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F533F" w14:textId="78D2350B" w:rsidR="00A1453A" w:rsidRDefault="00A1453A" w:rsidP="00C60706">
      <w:pPr>
        <w:ind w:left="0"/>
      </w:pPr>
      <w:bookmarkStart w:id="0" w:name="_GoBack"/>
      <w:bookmarkEnd w:id="0"/>
    </w:p>
    <w:p w14:paraId="3349E22E" w14:textId="38030F0B" w:rsidR="007341A7" w:rsidRDefault="007341A7" w:rsidP="00C60706">
      <w:pPr>
        <w:ind w:left="0"/>
      </w:pPr>
    </w:p>
    <w:p w14:paraId="63772122" w14:textId="558F622B" w:rsidR="007341A7" w:rsidRDefault="007341A7" w:rsidP="00C60706">
      <w:pPr>
        <w:ind w:left="0"/>
      </w:pPr>
    </w:p>
    <w:p w14:paraId="3F448C1F" w14:textId="3AB8CCA1" w:rsidR="001477CB" w:rsidRPr="00C60706" w:rsidRDefault="001477CB" w:rsidP="00C60706">
      <w:pPr>
        <w:ind w:left="0"/>
      </w:pPr>
    </w:p>
    <w:p w14:paraId="7F294E35" w14:textId="77777777" w:rsidR="009B4A51" w:rsidRDefault="009B4A51" w:rsidP="00CA5840">
      <w:pPr>
        <w:ind w:left="0"/>
      </w:pPr>
    </w:p>
    <w:p w14:paraId="6EF13A25" w14:textId="77777777" w:rsidR="00193C9B" w:rsidRPr="00C87399" w:rsidRDefault="0026193D" w:rsidP="00A03112">
      <w:pPr>
        <w:pStyle w:val="Heading1"/>
        <w:ind w:left="0"/>
      </w:pPr>
      <w:r w:rsidRPr="00C87399">
        <w:t xml:space="preserve">Pandemic Influenza: Assessing </w:t>
      </w:r>
      <w:r w:rsidR="00193C9B" w:rsidRPr="00C87399">
        <w:t xml:space="preserve">the </w:t>
      </w:r>
      <w:r w:rsidR="00A03112" w:rsidRPr="00C87399">
        <w:t>Feasibility</w:t>
      </w:r>
    </w:p>
    <w:p w14:paraId="1DD4EA40" w14:textId="77777777" w:rsidR="001B7272" w:rsidRPr="00C87399" w:rsidRDefault="00A03112" w:rsidP="00193C9B">
      <w:pPr>
        <w:pStyle w:val="Heading1"/>
        <w:ind w:left="0"/>
      </w:pPr>
      <w:r w:rsidRPr="00C87399">
        <w:t>and Acceptability of Implementing the</w:t>
      </w:r>
    </w:p>
    <w:p w14:paraId="38E6231A" w14:textId="32AC7A19" w:rsidR="00193C9B" w:rsidRPr="00C87399" w:rsidRDefault="0026193D" w:rsidP="00193C9B">
      <w:pPr>
        <w:pStyle w:val="Heading1"/>
        <w:ind w:left="0"/>
      </w:pPr>
      <w:r w:rsidRPr="00C87399">
        <w:t>2017 Community Mitigation Guidelines</w:t>
      </w:r>
    </w:p>
    <w:p w14:paraId="6EAA3B8A" w14:textId="5A383215" w:rsidR="00716F94" w:rsidRPr="00C87399" w:rsidRDefault="0026193D" w:rsidP="00193C9B">
      <w:pPr>
        <w:pStyle w:val="Heading1"/>
        <w:ind w:left="0"/>
      </w:pPr>
      <w:r w:rsidRPr="00C87399">
        <w:t>and Recommendations</w:t>
      </w:r>
    </w:p>
    <w:p w14:paraId="13BB19BE" w14:textId="77777777" w:rsidR="00AA3192" w:rsidRDefault="00AA3192" w:rsidP="00CA5840">
      <w:pPr>
        <w:ind w:left="0"/>
      </w:pPr>
    </w:p>
    <w:p w14:paraId="0BD74433" w14:textId="77777777" w:rsidR="00716F94" w:rsidRPr="00AA3192" w:rsidRDefault="00484011" w:rsidP="00CA5840">
      <w:pPr>
        <w:ind w:left="0"/>
        <w:jc w:val="center"/>
      </w:pPr>
      <w:r w:rsidRPr="00AA3192">
        <w:t>OSTL</w:t>
      </w:r>
      <w:r w:rsidR="00316F00">
        <w:t>TS Generic Information Collection</w:t>
      </w:r>
      <w:r w:rsidRPr="00AA3192">
        <w:t xml:space="preserve"> Request</w:t>
      </w:r>
    </w:p>
    <w:p w14:paraId="5C601884" w14:textId="77777777" w:rsidR="00484011" w:rsidRPr="00AA3192" w:rsidRDefault="00484011" w:rsidP="00CA5840">
      <w:pPr>
        <w:ind w:left="0"/>
        <w:jc w:val="center"/>
      </w:pPr>
      <w:r w:rsidRPr="00AA3192">
        <w:t>OMB No. 0920-0879</w:t>
      </w:r>
    </w:p>
    <w:p w14:paraId="6D995E6F" w14:textId="0F8EDD2F" w:rsidR="009B4A51" w:rsidRDefault="009B4A51" w:rsidP="00CA5840">
      <w:pPr>
        <w:ind w:left="0"/>
      </w:pPr>
    </w:p>
    <w:p w14:paraId="76C807B2" w14:textId="455A82D1" w:rsidR="001477CB" w:rsidRDefault="001477CB" w:rsidP="00CA5840">
      <w:pPr>
        <w:ind w:left="0"/>
      </w:pPr>
    </w:p>
    <w:p w14:paraId="116BE2BF" w14:textId="77777777" w:rsidR="001477CB" w:rsidRDefault="001477CB" w:rsidP="00CA5840">
      <w:pPr>
        <w:ind w:left="0"/>
      </w:pPr>
    </w:p>
    <w:p w14:paraId="2FC8CA67" w14:textId="77777777" w:rsidR="00AA3192" w:rsidRDefault="00AA3192" w:rsidP="00CA5840">
      <w:pPr>
        <w:ind w:left="0"/>
      </w:pPr>
    </w:p>
    <w:p w14:paraId="4509917B" w14:textId="77777777" w:rsidR="009B4A51" w:rsidRDefault="009B4A51" w:rsidP="00A1453A">
      <w:pPr>
        <w:pStyle w:val="Heading2"/>
        <w:ind w:left="0"/>
      </w:pPr>
      <w:r w:rsidRPr="007D6163">
        <w:t>Supporting Statement – Section A</w:t>
      </w:r>
    </w:p>
    <w:p w14:paraId="1B1F0124" w14:textId="77777777" w:rsidR="00187D5A" w:rsidRDefault="00187D5A" w:rsidP="00CA5840">
      <w:pPr>
        <w:ind w:left="0"/>
      </w:pPr>
    </w:p>
    <w:p w14:paraId="54A5AF54" w14:textId="77777777" w:rsidR="0089234C" w:rsidRPr="0089234C" w:rsidRDefault="0089234C" w:rsidP="0089234C">
      <w:pPr>
        <w:tabs>
          <w:tab w:val="clear" w:pos="9360"/>
        </w:tabs>
        <w:rPr>
          <w:rFonts w:ascii="Cambria" w:eastAsia="Times New Roman" w:hAnsi="Cambria" w:cs="Times New Roman"/>
        </w:rPr>
      </w:pPr>
    </w:p>
    <w:p w14:paraId="73440B4B" w14:textId="77777777" w:rsidR="0089234C" w:rsidRPr="0089234C" w:rsidRDefault="0089234C" w:rsidP="0089234C">
      <w:pPr>
        <w:tabs>
          <w:tab w:val="clear" w:pos="9360"/>
        </w:tabs>
        <w:ind w:left="0"/>
        <w:jc w:val="center"/>
        <w:rPr>
          <w:rFonts w:ascii="Cambria" w:eastAsia="Times New Roman" w:hAnsi="Cambria" w:cs="Times New Roman"/>
        </w:rPr>
      </w:pPr>
      <w:r w:rsidRPr="0089234C">
        <w:rPr>
          <w:rFonts w:ascii="Cambria" w:eastAsia="Times New Roman" w:hAnsi="Cambria" w:cs="Times New Roman"/>
        </w:rPr>
        <w:t>Submitted: May 15, 2019</w:t>
      </w:r>
    </w:p>
    <w:p w14:paraId="725804CD" w14:textId="19CE38E5" w:rsidR="002072A0" w:rsidRDefault="002072A0" w:rsidP="00DA0692">
      <w:pPr>
        <w:ind w:left="0"/>
        <w:rPr>
          <w:color w:val="0070C0"/>
        </w:rPr>
      </w:pPr>
    </w:p>
    <w:p w14:paraId="135AA7B3" w14:textId="67492384" w:rsidR="002072A0" w:rsidRDefault="002072A0" w:rsidP="00DA0692">
      <w:pPr>
        <w:ind w:left="0"/>
      </w:pPr>
    </w:p>
    <w:p w14:paraId="7BE476FC" w14:textId="4D908721" w:rsidR="001477CB" w:rsidRDefault="001477CB" w:rsidP="00DA0692">
      <w:pPr>
        <w:ind w:left="0"/>
      </w:pPr>
    </w:p>
    <w:p w14:paraId="3C9CEE6E" w14:textId="43199F58" w:rsidR="001477CB" w:rsidRDefault="001477CB" w:rsidP="00DA0692">
      <w:pPr>
        <w:ind w:left="0"/>
      </w:pPr>
    </w:p>
    <w:p w14:paraId="3FA22242" w14:textId="68DB2617" w:rsidR="001477CB" w:rsidRDefault="001477CB" w:rsidP="00DF79A4">
      <w:pPr>
        <w:ind w:left="0"/>
      </w:pPr>
    </w:p>
    <w:p w14:paraId="13A334B9" w14:textId="77777777" w:rsidR="002072A0" w:rsidRDefault="002072A0" w:rsidP="00DA0692">
      <w:pPr>
        <w:ind w:left="0"/>
      </w:pPr>
    </w:p>
    <w:p w14:paraId="55843A45" w14:textId="77777777" w:rsidR="00441CC3" w:rsidRPr="00D07161" w:rsidRDefault="00716F94" w:rsidP="00CA5840">
      <w:pPr>
        <w:ind w:left="0"/>
        <w:rPr>
          <w:b/>
          <w:u w:val="single"/>
        </w:rPr>
      </w:pPr>
      <w:r w:rsidRPr="00D07161">
        <w:rPr>
          <w:b/>
          <w:u w:val="single"/>
        </w:rPr>
        <w:t>P</w:t>
      </w:r>
      <w:r w:rsidR="00667C89" w:rsidRPr="00D07161">
        <w:rPr>
          <w:b/>
          <w:u w:val="single"/>
        </w:rPr>
        <w:t>rogram Official/Project Officer</w:t>
      </w:r>
    </w:p>
    <w:p w14:paraId="4CBC5E7B" w14:textId="77777777" w:rsidR="00321B51" w:rsidRPr="00D07161" w:rsidRDefault="00321B51" w:rsidP="00CA5840">
      <w:pPr>
        <w:ind w:left="0"/>
      </w:pPr>
      <w:r w:rsidRPr="00D07161">
        <w:t>Name</w:t>
      </w:r>
      <w:r w:rsidR="00A71E32" w:rsidRPr="00D07161">
        <w:t>: Noreen Qualls</w:t>
      </w:r>
      <w:r w:rsidR="00245F23" w:rsidRPr="00D07161">
        <w:t>, DrPH</w:t>
      </w:r>
      <w:r w:rsidR="007D08AC" w:rsidRPr="00D07161">
        <w:t>, MSPH</w:t>
      </w:r>
    </w:p>
    <w:p w14:paraId="7181605C" w14:textId="77777777" w:rsidR="00321B51" w:rsidRPr="00D07161" w:rsidRDefault="00321B51" w:rsidP="00CA5840">
      <w:pPr>
        <w:ind w:left="0"/>
      </w:pPr>
      <w:r w:rsidRPr="00D07161">
        <w:t>Title</w:t>
      </w:r>
      <w:r w:rsidR="00A71E32" w:rsidRPr="00D07161">
        <w:t>: Health Scientist</w:t>
      </w:r>
    </w:p>
    <w:p w14:paraId="0B5A94CC" w14:textId="77777777" w:rsidR="00A71E32" w:rsidRPr="00D07161" w:rsidRDefault="00321B51" w:rsidP="00CA5840">
      <w:pPr>
        <w:ind w:left="0"/>
      </w:pPr>
      <w:r w:rsidRPr="00D07161">
        <w:t>Organization</w:t>
      </w:r>
      <w:r w:rsidR="00A71E32" w:rsidRPr="00D07161">
        <w:t xml:space="preserve">: Division of Global Migration and Quarantine (DGMQ) </w:t>
      </w:r>
    </w:p>
    <w:p w14:paraId="2D0B14D3" w14:textId="77777777" w:rsidR="00321B51" w:rsidRPr="00D07161" w:rsidRDefault="00A71E32" w:rsidP="00CA5840">
      <w:pPr>
        <w:ind w:left="0"/>
      </w:pPr>
      <w:r w:rsidRPr="00D07161">
        <w:t>Centers for Disease Control and Prevention (CDC)</w:t>
      </w:r>
    </w:p>
    <w:p w14:paraId="1D2ABDC5" w14:textId="62D4B7A0" w:rsidR="00321B51" w:rsidRPr="00D07161" w:rsidRDefault="00321B51" w:rsidP="00CA5840">
      <w:pPr>
        <w:ind w:left="0"/>
      </w:pPr>
      <w:r w:rsidRPr="00D07161">
        <w:t>Address</w:t>
      </w:r>
      <w:r w:rsidR="00A71E32" w:rsidRPr="00D07161">
        <w:t>:</w:t>
      </w:r>
      <w:r w:rsidR="003E447C">
        <w:t xml:space="preserve"> </w:t>
      </w:r>
      <w:r w:rsidR="00986790" w:rsidRPr="00D07161">
        <w:t>1600 Clifton Road NE, MS V18-2</w:t>
      </w:r>
    </w:p>
    <w:p w14:paraId="0BBEDD40" w14:textId="12965C7B" w:rsidR="00A71E32" w:rsidRPr="00D07161" w:rsidRDefault="00A71E32" w:rsidP="00CA5840">
      <w:pPr>
        <w:ind w:left="0"/>
      </w:pPr>
      <w:r w:rsidRPr="00D07161">
        <w:t>Atlanta, GA 30329</w:t>
      </w:r>
      <w:r w:rsidR="005C00EF" w:rsidRPr="00D07161">
        <w:t>-4027</w:t>
      </w:r>
    </w:p>
    <w:p w14:paraId="343A99F2" w14:textId="77777777" w:rsidR="00321B51" w:rsidRPr="00D07161" w:rsidRDefault="00321B51" w:rsidP="00CA5840">
      <w:pPr>
        <w:ind w:left="0"/>
      </w:pPr>
      <w:r w:rsidRPr="00D07161">
        <w:t>Phone number</w:t>
      </w:r>
      <w:r w:rsidR="00A71E32" w:rsidRPr="00D07161">
        <w:t>: 404-639-8195</w:t>
      </w:r>
    </w:p>
    <w:p w14:paraId="4730AD82" w14:textId="27FCFD12" w:rsidR="00321B51" w:rsidRPr="00D07161" w:rsidRDefault="00321B51" w:rsidP="00CA5840">
      <w:pPr>
        <w:ind w:left="0"/>
      </w:pPr>
      <w:r w:rsidRPr="00D07161">
        <w:t xml:space="preserve">Fax </w:t>
      </w:r>
      <w:r w:rsidR="00422895" w:rsidRPr="00D07161">
        <w:t>n</w:t>
      </w:r>
      <w:r w:rsidRPr="00D07161">
        <w:t>umber</w:t>
      </w:r>
      <w:r w:rsidR="00A71E32" w:rsidRPr="00D07161">
        <w:t>:</w:t>
      </w:r>
      <w:r w:rsidR="00986790" w:rsidRPr="00D07161">
        <w:t xml:space="preserve"> 404-498-0830</w:t>
      </w:r>
    </w:p>
    <w:p w14:paraId="4941C698" w14:textId="2BEA2932" w:rsidR="005C00EF" w:rsidRDefault="00321B51" w:rsidP="00CA5840">
      <w:pPr>
        <w:ind w:left="0"/>
        <w:rPr>
          <w:rStyle w:val="Hyperlink"/>
        </w:rPr>
      </w:pPr>
      <w:r w:rsidRPr="00422895">
        <w:t>Email</w:t>
      </w:r>
      <w:r w:rsidR="00A71E32" w:rsidRPr="00422895">
        <w:t>:</w:t>
      </w:r>
      <w:r w:rsidR="00A71E32">
        <w:rPr>
          <w:color w:val="0070C0"/>
        </w:rPr>
        <w:t xml:space="preserve"> </w:t>
      </w:r>
      <w:hyperlink r:id="rId14" w:history="1">
        <w:r w:rsidR="005C00EF" w:rsidRPr="001D376B">
          <w:rPr>
            <w:rStyle w:val="Hyperlink"/>
          </w:rPr>
          <w:t>NLQ0@cdc.gov</w:t>
        </w:r>
      </w:hyperlink>
    </w:p>
    <w:p w14:paraId="513B25ED" w14:textId="77777777" w:rsidR="00C57BED" w:rsidRDefault="00C57BED" w:rsidP="00CA5840">
      <w:pPr>
        <w:ind w:left="0"/>
        <w:rPr>
          <w:rStyle w:val="Hyperlink"/>
        </w:rPr>
      </w:pPr>
    </w:p>
    <w:p w14:paraId="239DA1C0" w14:textId="0E79E9D3" w:rsidR="00D07161" w:rsidRDefault="00D07161" w:rsidP="00CA5840">
      <w:pPr>
        <w:ind w:left="0"/>
        <w:rPr>
          <w:color w:val="0070C0"/>
        </w:rPr>
      </w:pPr>
    </w:p>
    <w:p w14:paraId="760C0057" w14:textId="74F9C0EB" w:rsidR="004711CF" w:rsidRDefault="004711CF" w:rsidP="00CA5840">
      <w:pPr>
        <w:ind w:left="0"/>
        <w:rPr>
          <w:color w:val="0070C0"/>
        </w:rPr>
      </w:pPr>
    </w:p>
    <w:p w14:paraId="2C6AE8D0" w14:textId="77777777" w:rsidR="004711CF" w:rsidRPr="00713412" w:rsidRDefault="004711CF" w:rsidP="00CA5840">
      <w:pPr>
        <w:ind w:left="0"/>
        <w:rPr>
          <w:color w:val="0070C0"/>
        </w:rPr>
      </w:pPr>
    </w:p>
    <w:p w14:paraId="2AC76F10" w14:textId="77777777" w:rsidR="003860A5" w:rsidRDefault="003860A5" w:rsidP="003860A5">
      <w:pPr>
        <w:pStyle w:val="Heading3"/>
        <w:ind w:left="0"/>
      </w:pPr>
      <w:bookmarkStart w:id="1" w:name="_Toc427752811"/>
      <w:r>
        <w:lastRenderedPageBreak/>
        <w:t>Table of Contents</w:t>
      </w:r>
      <w:bookmarkEnd w:id="1"/>
    </w:p>
    <w:p w14:paraId="3FFC932D" w14:textId="77777777" w:rsidR="003860A5" w:rsidRPr="003860A5" w:rsidRDefault="003860A5" w:rsidP="003860A5"/>
    <w:p w14:paraId="57A7016F" w14:textId="40C3B0D2" w:rsidR="00CC4DAB" w:rsidRDefault="003860A5">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anchor="_Toc427752811" w:history="1">
        <w:r w:rsidR="00CC4DAB" w:rsidRPr="00A94C41">
          <w:rPr>
            <w:rStyle w:val="Hyperlink"/>
            <w:noProof/>
          </w:rPr>
          <w:t>Table of Contents</w:t>
        </w:r>
        <w:r w:rsidR="00CC4DAB">
          <w:rPr>
            <w:noProof/>
            <w:webHidden/>
          </w:rPr>
          <w:tab/>
        </w:r>
        <w:r w:rsidR="00CC4DAB">
          <w:rPr>
            <w:noProof/>
            <w:webHidden/>
          </w:rPr>
          <w:fldChar w:fldCharType="begin"/>
        </w:r>
        <w:r w:rsidR="00CC4DAB">
          <w:rPr>
            <w:noProof/>
            <w:webHidden/>
          </w:rPr>
          <w:instrText xml:space="preserve"> PAGEREF _Toc427752811 \h </w:instrText>
        </w:r>
        <w:r w:rsidR="00CC4DAB">
          <w:rPr>
            <w:noProof/>
            <w:webHidden/>
          </w:rPr>
        </w:r>
        <w:r w:rsidR="00CC4DAB">
          <w:rPr>
            <w:noProof/>
            <w:webHidden/>
          </w:rPr>
          <w:fldChar w:fldCharType="separate"/>
        </w:r>
        <w:r w:rsidR="0089234C">
          <w:rPr>
            <w:noProof/>
            <w:webHidden/>
          </w:rPr>
          <w:t>2</w:t>
        </w:r>
        <w:r w:rsidR="00CC4DAB">
          <w:rPr>
            <w:noProof/>
            <w:webHidden/>
          </w:rPr>
          <w:fldChar w:fldCharType="end"/>
        </w:r>
      </w:hyperlink>
    </w:p>
    <w:p w14:paraId="3CEEE23B" w14:textId="01862AC4" w:rsidR="00CC4DAB" w:rsidRDefault="00687FC7">
      <w:pPr>
        <w:pStyle w:val="TOC1"/>
        <w:tabs>
          <w:tab w:val="right" w:leader="dot" w:pos="9350"/>
        </w:tabs>
        <w:rPr>
          <w:rFonts w:asciiTheme="minorHAnsi" w:hAnsiTheme="minorHAnsi"/>
          <w:noProof/>
        </w:rPr>
      </w:pPr>
      <w:hyperlink w:anchor="_Toc427752813" w:history="1">
        <w:r w:rsidR="00CC4DAB" w:rsidRPr="00A94C41">
          <w:rPr>
            <w:rStyle w:val="Hyperlink"/>
            <w:noProof/>
          </w:rPr>
          <w:t>Section A – Justification</w:t>
        </w:r>
        <w:r w:rsidR="00CC4DAB">
          <w:rPr>
            <w:noProof/>
            <w:webHidden/>
          </w:rPr>
          <w:tab/>
        </w:r>
        <w:r w:rsidR="00CC4DAB">
          <w:rPr>
            <w:noProof/>
            <w:webHidden/>
          </w:rPr>
          <w:fldChar w:fldCharType="begin"/>
        </w:r>
        <w:r w:rsidR="00CC4DAB">
          <w:rPr>
            <w:noProof/>
            <w:webHidden/>
          </w:rPr>
          <w:instrText xml:space="preserve"> PAGEREF _Toc427752813 \h </w:instrText>
        </w:r>
        <w:r w:rsidR="00CC4DAB">
          <w:rPr>
            <w:noProof/>
            <w:webHidden/>
          </w:rPr>
        </w:r>
        <w:r w:rsidR="00CC4DAB">
          <w:rPr>
            <w:noProof/>
            <w:webHidden/>
          </w:rPr>
          <w:fldChar w:fldCharType="separate"/>
        </w:r>
        <w:r w:rsidR="0089234C">
          <w:rPr>
            <w:noProof/>
            <w:webHidden/>
          </w:rPr>
          <w:t>3</w:t>
        </w:r>
        <w:r w:rsidR="00CC4DAB">
          <w:rPr>
            <w:noProof/>
            <w:webHidden/>
          </w:rPr>
          <w:fldChar w:fldCharType="end"/>
        </w:r>
      </w:hyperlink>
    </w:p>
    <w:p w14:paraId="3369C248" w14:textId="4884A6E0" w:rsidR="00CC4DAB" w:rsidRDefault="00687FC7">
      <w:pPr>
        <w:pStyle w:val="TOC2"/>
        <w:rPr>
          <w:rFonts w:asciiTheme="minorHAnsi" w:hAnsiTheme="minorHAnsi"/>
          <w:noProof/>
        </w:rPr>
      </w:pPr>
      <w:hyperlink w:anchor="_Toc427752814" w:history="1">
        <w:r w:rsidR="00CC4DAB" w:rsidRPr="00A94C41">
          <w:rPr>
            <w:rStyle w:val="Hyperlink"/>
            <w:noProof/>
          </w:rPr>
          <w:t>1.</w:t>
        </w:r>
        <w:r w:rsidR="00CC4DAB">
          <w:rPr>
            <w:rFonts w:asciiTheme="minorHAnsi" w:hAnsiTheme="minorHAnsi"/>
            <w:noProof/>
          </w:rPr>
          <w:tab/>
        </w:r>
        <w:r w:rsidR="00CC4DAB" w:rsidRPr="00A94C41">
          <w:rPr>
            <w:rStyle w:val="Hyperlink"/>
            <w:noProof/>
          </w:rPr>
          <w:t>Circumstances Making the Collection of Information Necessary</w:t>
        </w:r>
        <w:r w:rsidR="00CC4DAB">
          <w:rPr>
            <w:noProof/>
            <w:webHidden/>
          </w:rPr>
          <w:tab/>
        </w:r>
        <w:r w:rsidR="00CC4DAB">
          <w:rPr>
            <w:noProof/>
            <w:webHidden/>
          </w:rPr>
          <w:fldChar w:fldCharType="begin"/>
        </w:r>
        <w:r w:rsidR="00CC4DAB">
          <w:rPr>
            <w:noProof/>
            <w:webHidden/>
          </w:rPr>
          <w:instrText xml:space="preserve"> PAGEREF _Toc427752814 \h </w:instrText>
        </w:r>
        <w:r w:rsidR="00CC4DAB">
          <w:rPr>
            <w:noProof/>
            <w:webHidden/>
          </w:rPr>
        </w:r>
        <w:r w:rsidR="00CC4DAB">
          <w:rPr>
            <w:noProof/>
            <w:webHidden/>
          </w:rPr>
          <w:fldChar w:fldCharType="separate"/>
        </w:r>
        <w:r w:rsidR="0089234C">
          <w:rPr>
            <w:noProof/>
            <w:webHidden/>
          </w:rPr>
          <w:t>3</w:t>
        </w:r>
        <w:r w:rsidR="00CC4DAB">
          <w:rPr>
            <w:noProof/>
            <w:webHidden/>
          </w:rPr>
          <w:fldChar w:fldCharType="end"/>
        </w:r>
      </w:hyperlink>
    </w:p>
    <w:p w14:paraId="7B4F1D9E" w14:textId="3E6A84F2" w:rsidR="00CC4DAB" w:rsidRDefault="00687FC7">
      <w:pPr>
        <w:pStyle w:val="TOC2"/>
        <w:rPr>
          <w:rFonts w:asciiTheme="minorHAnsi" w:hAnsiTheme="minorHAnsi"/>
          <w:noProof/>
        </w:rPr>
      </w:pPr>
      <w:hyperlink w:anchor="_Toc427752815" w:history="1">
        <w:r w:rsidR="00CC4DAB" w:rsidRPr="00A94C41">
          <w:rPr>
            <w:rStyle w:val="Hyperlink"/>
            <w:noProof/>
          </w:rPr>
          <w:t>2.</w:t>
        </w:r>
        <w:r w:rsidR="00CC4DAB">
          <w:rPr>
            <w:rFonts w:asciiTheme="minorHAnsi" w:hAnsiTheme="minorHAnsi"/>
            <w:noProof/>
          </w:rPr>
          <w:tab/>
        </w:r>
        <w:r w:rsidR="00CC4DAB" w:rsidRPr="00A94C41">
          <w:rPr>
            <w:rStyle w:val="Hyperlink"/>
            <w:noProof/>
          </w:rPr>
          <w:t>Purpose and Use of the Information Collection</w:t>
        </w:r>
        <w:r w:rsidR="00CC4DAB">
          <w:rPr>
            <w:noProof/>
            <w:webHidden/>
          </w:rPr>
          <w:tab/>
        </w:r>
        <w:r w:rsidR="00CC4DAB">
          <w:rPr>
            <w:noProof/>
            <w:webHidden/>
          </w:rPr>
          <w:fldChar w:fldCharType="begin"/>
        </w:r>
        <w:r w:rsidR="00CC4DAB">
          <w:rPr>
            <w:noProof/>
            <w:webHidden/>
          </w:rPr>
          <w:instrText xml:space="preserve"> PAGEREF _Toc427752815 \h </w:instrText>
        </w:r>
        <w:r w:rsidR="00CC4DAB">
          <w:rPr>
            <w:noProof/>
            <w:webHidden/>
          </w:rPr>
        </w:r>
        <w:r w:rsidR="00CC4DAB">
          <w:rPr>
            <w:noProof/>
            <w:webHidden/>
          </w:rPr>
          <w:fldChar w:fldCharType="separate"/>
        </w:r>
        <w:r w:rsidR="0089234C">
          <w:rPr>
            <w:noProof/>
            <w:webHidden/>
          </w:rPr>
          <w:t>7</w:t>
        </w:r>
        <w:r w:rsidR="00CC4DAB">
          <w:rPr>
            <w:noProof/>
            <w:webHidden/>
          </w:rPr>
          <w:fldChar w:fldCharType="end"/>
        </w:r>
      </w:hyperlink>
    </w:p>
    <w:p w14:paraId="253031F5" w14:textId="3D1D59D1" w:rsidR="00CC4DAB" w:rsidRDefault="00687FC7">
      <w:pPr>
        <w:pStyle w:val="TOC2"/>
        <w:rPr>
          <w:rFonts w:asciiTheme="minorHAnsi" w:hAnsiTheme="minorHAnsi"/>
          <w:noProof/>
        </w:rPr>
      </w:pPr>
      <w:hyperlink w:anchor="_Toc427752816" w:history="1">
        <w:r w:rsidR="00CC4DAB" w:rsidRPr="00A94C41">
          <w:rPr>
            <w:rStyle w:val="Hyperlink"/>
            <w:noProof/>
          </w:rPr>
          <w:t>3.</w:t>
        </w:r>
        <w:r w:rsidR="00CC4DAB">
          <w:rPr>
            <w:rFonts w:asciiTheme="minorHAnsi" w:hAnsiTheme="minorHAnsi"/>
            <w:noProof/>
          </w:rPr>
          <w:tab/>
        </w:r>
        <w:r w:rsidR="00CC4DAB" w:rsidRPr="00A94C41">
          <w:rPr>
            <w:rStyle w:val="Hyperlink"/>
            <w:noProof/>
          </w:rPr>
          <w:t>Use of Improved Information Technology and Burden Reduction</w:t>
        </w:r>
        <w:r w:rsidR="00CC4DAB">
          <w:rPr>
            <w:noProof/>
            <w:webHidden/>
          </w:rPr>
          <w:tab/>
        </w:r>
        <w:r w:rsidR="00CC4DAB">
          <w:rPr>
            <w:noProof/>
            <w:webHidden/>
          </w:rPr>
          <w:fldChar w:fldCharType="begin"/>
        </w:r>
        <w:r w:rsidR="00CC4DAB">
          <w:rPr>
            <w:noProof/>
            <w:webHidden/>
          </w:rPr>
          <w:instrText xml:space="preserve"> PAGEREF _Toc427752816 \h </w:instrText>
        </w:r>
        <w:r w:rsidR="00CC4DAB">
          <w:rPr>
            <w:noProof/>
            <w:webHidden/>
          </w:rPr>
        </w:r>
        <w:r w:rsidR="00CC4DAB">
          <w:rPr>
            <w:noProof/>
            <w:webHidden/>
          </w:rPr>
          <w:fldChar w:fldCharType="separate"/>
        </w:r>
        <w:r w:rsidR="0089234C">
          <w:rPr>
            <w:noProof/>
            <w:webHidden/>
          </w:rPr>
          <w:t>7</w:t>
        </w:r>
        <w:r w:rsidR="00CC4DAB">
          <w:rPr>
            <w:noProof/>
            <w:webHidden/>
          </w:rPr>
          <w:fldChar w:fldCharType="end"/>
        </w:r>
      </w:hyperlink>
    </w:p>
    <w:p w14:paraId="44F94BB6" w14:textId="6E4A1AC0" w:rsidR="00CC4DAB" w:rsidRDefault="00687FC7">
      <w:pPr>
        <w:pStyle w:val="TOC2"/>
        <w:rPr>
          <w:rFonts w:asciiTheme="minorHAnsi" w:hAnsiTheme="minorHAnsi"/>
          <w:noProof/>
        </w:rPr>
      </w:pPr>
      <w:hyperlink w:anchor="_Toc427752817" w:history="1">
        <w:r w:rsidR="00CC4DAB" w:rsidRPr="00A94C41">
          <w:rPr>
            <w:rStyle w:val="Hyperlink"/>
            <w:noProof/>
          </w:rPr>
          <w:t>4.</w:t>
        </w:r>
        <w:r w:rsidR="00CC4DAB">
          <w:rPr>
            <w:rFonts w:asciiTheme="minorHAnsi" w:hAnsiTheme="minorHAnsi"/>
            <w:noProof/>
          </w:rPr>
          <w:tab/>
        </w:r>
        <w:r w:rsidR="00CC4DAB" w:rsidRPr="00A94C41">
          <w:rPr>
            <w:rStyle w:val="Hyperlink"/>
            <w:noProof/>
          </w:rPr>
          <w:t>Efforts to Identify Duplication and Use of Similar Information</w:t>
        </w:r>
        <w:r w:rsidR="00CC4DAB">
          <w:rPr>
            <w:noProof/>
            <w:webHidden/>
          </w:rPr>
          <w:tab/>
        </w:r>
        <w:r w:rsidR="00CC4DAB">
          <w:rPr>
            <w:noProof/>
            <w:webHidden/>
          </w:rPr>
          <w:fldChar w:fldCharType="begin"/>
        </w:r>
        <w:r w:rsidR="00CC4DAB">
          <w:rPr>
            <w:noProof/>
            <w:webHidden/>
          </w:rPr>
          <w:instrText xml:space="preserve"> PAGEREF _Toc427752817 \h </w:instrText>
        </w:r>
        <w:r w:rsidR="00CC4DAB">
          <w:rPr>
            <w:noProof/>
            <w:webHidden/>
          </w:rPr>
        </w:r>
        <w:r w:rsidR="00CC4DAB">
          <w:rPr>
            <w:noProof/>
            <w:webHidden/>
          </w:rPr>
          <w:fldChar w:fldCharType="separate"/>
        </w:r>
        <w:r w:rsidR="0089234C">
          <w:rPr>
            <w:noProof/>
            <w:webHidden/>
          </w:rPr>
          <w:t>8</w:t>
        </w:r>
        <w:r w:rsidR="00CC4DAB">
          <w:rPr>
            <w:noProof/>
            <w:webHidden/>
          </w:rPr>
          <w:fldChar w:fldCharType="end"/>
        </w:r>
      </w:hyperlink>
    </w:p>
    <w:p w14:paraId="2ADA5870" w14:textId="13C55A30" w:rsidR="00CC4DAB" w:rsidRDefault="00687FC7">
      <w:pPr>
        <w:pStyle w:val="TOC2"/>
        <w:rPr>
          <w:rFonts w:asciiTheme="minorHAnsi" w:hAnsiTheme="minorHAnsi"/>
          <w:noProof/>
        </w:rPr>
      </w:pPr>
      <w:hyperlink w:anchor="_Toc427752818" w:history="1">
        <w:r w:rsidR="00CC4DAB" w:rsidRPr="00A94C41">
          <w:rPr>
            <w:rStyle w:val="Hyperlink"/>
            <w:noProof/>
          </w:rPr>
          <w:t>5.</w:t>
        </w:r>
        <w:r w:rsidR="00CC4DAB">
          <w:rPr>
            <w:rFonts w:asciiTheme="minorHAnsi" w:hAnsiTheme="minorHAnsi"/>
            <w:noProof/>
          </w:rPr>
          <w:tab/>
        </w:r>
        <w:r w:rsidR="00CC4DAB" w:rsidRPr="00A94C41">
          <w:rPr>
            <w:rStyle w:val="Hyperlink"/>
            <w:noProof/>
          </w:rPr>
          <w:t>Impact on Small Businesses or Other Small Entities</w:t>
        </w:r>
        <w:r w:rsidR="00CC4DAB">
          <w:rPr>
            <w:noProof/>
            <w:webHidden/>
          </w:rPr>
          <w:tab/>
        </w:r>
        <w:r w:rsidR="00CC4DAB">
          <w:rPr>
            <w:noProof/>
            <w:webHidden/>
          </w:rPr>
          <w:fldChar w:fldCharType="begin"/>
        </w:r>
        <w:r w:rsidR="00CC4DAB">
          <w:rPr>
            <w:noProof/>
            <w:webHidden/>
          </w:rPr>
          <w:instrText xml:space="preserve"> PAGEREF _Toc427752818 \h </w:instrText>
        </w:r>
        <w:r w:rsidR="00CC4DAB">
          <w:rPr>
            <w:noProof/>
            <w:webHidden/>
          </w:rPr>
        </w:r>
        <w:r w:rsidR="00CC4DAB">
          <w:rPr>
            <w:noProof/>
            <w:webHidden/>
          </w:rPr>
          <w:fldChar w:fldCharType="separate"/>
        </w:r>
        <w:r w:rsidR="0089234C">
          <w:rPr>
            <w:noProof/>
            <w:webHidden/>
          </w:rPr>
          <w:t>8</w:t>
        </w:r>
        <w:r w:rsidR="00CC4DAB">
          <w:rPr>
            <w:noProof/>
            <w:webHidden/>
          </w:rPr>
          <w:fldChar w:fldCharType="end"/>
        </w:r>
      </w:hyperlink>
    </w:p>
    <w:p w14:paraId="157F99EE" w14:textId="56A655F0" w:rsidR="00CC4DAB" w:rsidRDefault="00687FC7">
      <w:pPr>
        <w:pStyle w:val="TOC2"/>
        <w:rPr>
          <w:rFonts w:asciiTheme="minorHAnsi" w:hAnsiTheme="minorHAnsi"/>
          <w:noProof/>
        </w:rPr>
      </w:pPr>
      <w:hyperlink w:anchor="_Toc427752819" w:history="1">
        <w:r w:rsidR="00CC4DAB" w:rsidRPr="00A94C41">
          <w:rPr>
            <w:rStyle w:val="Hyperlink"/>
            <w:noProof/>
          </w:rPr>
          <w:t>6.</w:t>
        </w:r>
        <w:r w:rsidR="00CC4DAB">
          <w:rPr>
            <w:rFonts w:asciiTheme="minorHAnsi" w:hAnsiTheme="minorHAnsi"/>
            <w:noProof/>
          </w:rPr>
          <w:tab/>
        </w:r>
        <w:r w:rsidR="00CC4DAB" w:rsidRPr="00A94C41">
          <w:rPr>
            <w:rStyle w:val="Hyperlink"/>
            <w:noProof/>
          </w:rPr>
          <w:t xml:space="preserve">Consequences of Collecting the Information Less Frequently   </w:t>
        </w:r>
        <w:r w:rsidR="00CC4DAB">
          <w:rPr>
            <w:noProof/>
            <w:webHidden/>
          </w:rPr>
          <w:tab/>
        </w:r>
        <w:r w:rsidR="00CC4DAB">
          <w:rPr>
            <w:noProof/>
            <w:webHidden/>
          </w:rPr>
          <w:fldChar w:fldCharType="begin"/>
        </w:r>
        <w:r w:rsidR="00CC4DAB">
          <w:rPr>
            <w:noProof/>
            <w:webHidden/>
          </w:rPr>
          <w:instrText xml:space="preserve"> PAGEREF _Toc427752819 \h </w:instrText>
        </w:r>
        <w:r w:rsidR="00CC4DAB">
          <w:rPr>
            <w:noProof/>
            <w:webHidden/>
          </w:rPr>
        </w:r>
        <w:r w:rsidR="00CC4DAB">
          <w:rPr>
            <w:noProof/>
            <w:webHidden/>
          </w:rPr>
          <w:fldChar w:fldCharType="separate"/>
        </w:r>
        <w:r w:rsidR="0089234C">
          <w:rPr>
            <w:noProof/>
            <w:webHidden/>
          </w:rPr>
          <w:t>8</w:t>
        </w:r>
        <w:r w:rsidR="00CC4DAB">
          <w:rPr>
            <w:noProof/>
            <w:webHidden/>
          </w:rPr>
          <w:fldChar w:fldCharType="end"/>
        </w:r>
      </w:hyperlink>
    </w:p>
    <w:p w14:paraId="5B40FFC0" w14:textId="1498A10E" w:rsidR="00CC4DAB" w:rsidRDefault="00687FC7">
      <w:pPr>
        <w:pStyle w:val="TOC2"/>
        <w:rPr>
          <w:rFonts w:asciiTheme="minorHAnsi" w:hAnsiTheme="minorHAnsi"/>
          <w:noProof/>
        </w:rPr>
      </w:pPr>
      <w:hyperlink w:anchor="_Toc427752820" w:history="1">
        <w:r w:rsidR="00CC4DAB" w:rsidRPr="00A94C41">
          <w:rPr>
            <w:rStyle w:val="Hyperlink"/>
            <w:noProof/>
          </w:rPr>
          <w:t>7.</w:t>
        </w:r>
        <w:r w:rsidR="00CC4DAB">
          <w:rPr>
            <w:rFonts w:asciiTheme="minorHAnsi" w:hAnsiTheme="minorHAnsi"/>
            <w:noProof/>
          </w:rPr>
          <w:tab/>
        </w:r>
        <w:r w:rsidR="00CC4DAB" w:rsidRPr="00A94C41">
          <w:rPr>
            <w:rStyle w:val="Hyperlink"/>
            <w:noProof/>
          </w:rPr>
          <w:t>Special Circumstances Relating to the Guidelines of 5 CFR 1320.5</w:t>
        </w:r>
        <w:r w:rsidR="00CC4DAB">
          <w:rPr>
            <w:noProof/>
            <w:webHidden/>
          </w:rPr>
          <w:tab/>
        </w:r>
        <w:r w:rsidR="00CC4DAB">
          <w:rPr>
            <w:noProof/>
            <w:webHidden/>
          </w:rPr>
          <w:fldChar w:fldCharType="begin"/>
        </w:r>
        <w:r w:rsidR="00CC4DAB">
          <w:rPr>
            <w:noProof/>
            <w:webHidden/>
          </w:rPr>
          <w:instrText xml:space="preserve"> PAGEREF _Toc427752820 \h </w:instrText>
        </w:r>
        <w:r w:rsidR="00CC4DAB">
          <w:rPr>
            <w:noProof/>
            <w:webHidden/>
          </w:rPr>
        </w:r>
        <w:r w:rsidR="00CC4DAB">
          <w:rPr>
            <w:noProof/>
            <w:webHidden/>
          </w:rPr>
          <w:fldChar w:fldCharType="separate"/>
        </w:r>
        <w:r w:rsidR="0089234C">
          <w:rPr>
            <w:noProof/>
            <w:webHidden/>
          </w:rPr>
          <w:t>8</w:t>
        </w:r>
        <w:r w:rsidR="00CC4DAB">
          <w:rPr>
            <w:noProof/>
            <w:webHidden/>
          </w:rPr>
          <w:fldChar w:fldCharType="end"/>
        </w:r>
      </w:hyperlink>
    </w:p>
    <w:p w14:paraId="67A03CBE" w14:textId="40949A41" w:rsidR="00CC4DAB" w:rsidRDefault="00687FC7">
      <w:pPr>
        <w:pStyle w:val="TOC2"/>
        <w:rPr>
          <w:rFonts w:asciiTheme="minorHAnsi" w:hAnsiTheme="minorHAnsi"/>
          <w:noProof/>
        </w:rPr>
      </w:pPr>
      <w:hyperlink w:anchor="_Toc427752821" w:history="1">
        <w:r w:rsidR="00CC4DAB" w:rsidRPr="00A94C41">
          <w:rPr>
            <w:rStyle w:val="Hyperlink"/>
            <w:noProof/>
          </w:rPr>
          <w:t>8.</w:t>
        </w:r>
        <w:r w:rsidR="00CC4DAB">
          <w:rPr>
            <w:rFonts w:asciiTheme="minorHAnsi" w:hAnsiTheme="minorHAnsi"/>
            <w:noProof/>
          </w:rPr>
          <w:tab/>
        </w:r>
        <w:r w:rsidR="00CC4DAB" w:rsidRPr="00A94C41">
          <w:rPr>
            <w:rStyle w:val="Hyperlink"/>
            <w:noProof/>
          </w:rPr>
          <w:t>Comments in Response to the Federal Register Notice and Efforts to Consult Outside the Agency</w:t>
        </w:r>
        <w:r w:rsidR="00CC4DAB">
          <w:rPr>
            <w:noProof/>
            <w:webHidden/>
          </w:rPr>
          <w:tab/>
        </w:r>
        <w:r w:rsidR="00CC4DAB">
          <w:rPr>
            <w:noProof/>
            <w:webHidden/>
          </w:rPr>
          <w:fldChar w:fldCharType="begin"/>
        </w:r>
        <w:r w:rsidR="00CC4DAB">
          <w:rPr>
            <w:noProof/>
            <w:webHidden/>
          </w:rPr>
          <w:instrText xml:space="preserve"> PAGEREF _Toc427752821 \h </w:instrText>
        </w:r>
        <w:r w:rsidR="00CC4DAB">
          <w:rPr>
            <w:noProof/>
            <w:webHidden/>
          </w:rPr>
        </w:r>
        <w:r w:rsidR="00CC4DAB">
          <w:rPr>
            <w:noProof/>
            <w:webHidden/>
          </w:rPr>
          <w:fldChar w:fldCharType="separate"/>
        </w:r>
        <w:r w:rsidR="0089234C">
          <w:rPr>
            <w:noProof/>
            <w:webHidden/>
          </w:rPr>
          <w:t>9</w:t>
        </w:r>
        <w:r w:rsidR="00CC4DAB">
          <w:rPr>
            <w:noProof/>
            <w:webHidden/>
          </w:rPr>
          <w:fldChar w:fldCharType="end"/>
        </w:r>
      </w:hyperlink>
    </w:p>
    <w:p w14:paraId="0947369E" w14:textId="5B372077" w:rsidR="00CC4DAB" w:rsidRDefault="00687FC7">
      <w:pPr>
        <w:pStyle w:val="TOC2"/>
        <w:rPr>
          <w:rFonts w:asciiTheme="minorHAnsi" w:hAnsiTheme="minorHAnsi"/>
          <w:noProof/>
        </w:rPr>
      </w:pPr>
      <w:hyperlink w:anchor="_Toc427752822" w:history="1">
        <w:r w:rsidR="00CC4DAB" w:rsidRPr="00A94C41">
          <w:rPr>
            <w:rStyle w:val="Hyperlink"/>
            <w:noProof/>
          </w:rPr>
          <w:t>9.</w:t>
        </w:r>
        <w:r w:rsidR="00CC4DAB">
          <w:rPr>
            <w:rFonts w:asciiTheme="minorHAnsi" w:hAnsiTheme="minorHAnsi"/>
            <w:noProof/>
          </w:rPr>
          <w:tab/>
        </w:r>
        <w:r w:rsidR="00CC4DAB" w:rsidRPr="00A94C41">
          <w:rPr>
            <w:rStyle w:val="Hyperlink"/>
            <w:noProof/>
          </w:rPr>
          <w:t>Explanation of Any Payment or Gift to Respondents</w:t>
        </w:r>
        <w:r w:rsidR="00CC4DAB">
          <w:rPr>
            <w:noProof/>
            <w:webHidden/>
          </w:rPr>
          <w:tab/>
        </w:r>
        <w:r w:rsidR="00CC4DAB">
          <w:rPr>
            <w:noProof/>
            <w:webHidden/>
          </w:rPr>
          <w:fldChar w:fldCharType="begin"/>
        </w:r>
        <w:r w:rsidR="00CC4DAB">
          <w:rPr>
            <w:noProof/>
            <w:webHidden/>
          </w:rPr>
          <w:instrText xml:space="preserve"> PAGEREF _Toc427752822 \h </w:instrText>
        </w:r>
        <w:r w:rsidR="00CC4DAB">
          <w:rPr>
            <w:noProof/>
            <w:webHidden/>
          </w:rPr>
        </w:r>
        <w:r w:rsidR="00CC4DAB">
          <w:rPr>
            <w:noProof/>
            <w:webHidden/>
          </w:rPr>
          <w:fldChar w:fldCharType="separate"/>
        </w:r>
        <w:r w:rsidR="0089234C">
          <w:rPr>
            <w:noProof/>
            <w:webHidden/>
          </w:rPr>
          <w:t>9</w:t>
        </w:r>
        <w:r w:rsidR="00CC4DAB">
          <w:rPr>
            <w:noProof/>
            <w:webHidden/>
          </w:rPr>
          <w:fldChar w:fldCharType="end"/>
        </w:r>
      </w:hyperlink>
    </w:p>
    <w:p w14:paraId="0C070CF7" w14:textId="6039A889" w:rsidR="00CC4DAB" w:rsidRDefault="00687FC7">
      <w:pPr>
        <w:pStyle w:val="TOC2"/>
        <w:rPr>
          <w:rFonts w:asciiTheme="minorHAnsi" w:hAnsiTheme="minorHAnsi"/>
          <w:noProof/>
        </w:rPr>
      </w:pPr>
      <w:hyperlink w:anchor="_Toc427752823" w:history="1">
        <w:r w:rsidR="00CC4DAB" w:rsidRPr="00A94C41">
          <w:rPr>
            <w:rStyle w:val="Hyperlink"/>
            <w:noProof/>
          </w:rPr>
          <w:t>10.</w:t>
        </w:r>
        <w:r w:rsidR="00CC4DAB">
          <w:rPr>
            <w:rFonts w:asciiTheme="minorHAnsi" w:hAnsiTheme="minorHAnsi"/>
            <w:noProof/>
          </w:rPr>
          <w:tab/>
        </w:r>
        <w:r w:rsidR="00CC4DAB" w:rsidRPr="00A94C41">
          <w:rPr>
            <w:rStyle w:val="Hyperlink"/>
            <w:noProof/>
          </w:rPr>
          <w:t>Protection of the Privacy and Confidentiality of Information Provided by Respondents</w:t>
        </w:r>
        <w:r w:rsidR="00CC4DAB">
          <w:rPr>
            <w:noProof/>
            <w:webHidden/>
          </w:rPr>
          <w:tab/>
        </w:r>
        <w:r w:rsidR="00CC4DAB">
          <w:rPr>
            <w:noProof/>
            <w:webHidden/>
          </w:rPr>
          <w:fldChar w:fldCharType="begin"/>
        </w:r>
        <w:r w:rsidR="00CC4DAB">
          <w:rPr>
            <w:noProof/>
            <w:webHidden/>
          </w:rPr>
          <w:instrText xml:space="preserve"> PAGEREF _Toc427752823 \h </w:instrText>
        </w:r>
        <w:r w:rsidR="00CC4DAB">
          <w:rPr>
            <w:noProof/>
            <w:webHidden/>
          </w:rPr>
        </w:r>
        <w:r w:rsidR="00CC4DAB">
          <w:rPr>
            <w:noProof/>
            <w:webHidden/>
          </w:rPr>
          <w:fldChar w:fldCharType="separate"/>
        </w:r>
        <w:r w:rsidR="0089234C">
          <w:rPr>
            <w:noProof/>
            <w:webHidden/>
          </w:rPr>
          <w:t>9</w:t>
        </w:r>
        <w:r w:rsidR="00CC4DAB">
          <w:rPr>
            <w:noProof/>
            <w:webHidden/>
          </w:rPr>
          <w:fldChar w:fldCharType="end"/>
        </w:r>
      </w:hyperlink>
    </w:p>
    <w:p w14:paraId="058910BD" w14:textId="54CAFDF7" w:rsidR="00CC4DAB" w:rsidRDefault="00687FC7">
      <w:pPr>
        <w:pStyle w:val="TOC2"/>
        <w:rPr>
          <w:rFonts w:asciiTheme="minorHAnsi" w:hAnsiTheme="minorHAnsi"/>
          <w:noProof/>
        </w:rPr>
      </w:pPr>
      <w:hyperlink w:anchor="_Toc427752824" w:history="1">
        <w:r w:rsidR="00CC4DAB" w:rsidRPr="00A94C41">
          <w:rPr>
            <w:rStyle w:val="Hyperlink"/>
            <w:noProof/>
          </w:rPr>
          <w:t>11.</w:t>
        </w:r>
        <w:r w:rsidR="00CC4DAB">
          <w:rPr>
            <w:rFonts w:asciiTheme="minorHAnsi" w:hAnsiTheme="minorHAnsi"/>
            <w:noProof/>
          </w:rPr>
          <w:tab/>
        </w:r>
        <w:r w:rsidR="00CC4DAB" w:rsidRPr="00A94C41">
          <w:rPr>
            <w:rStyle w:val="Hyperlink"/>
            <w:noProof/>
          </w:rPr>
          <w:t>Institutional Review Board (IRB) and Justification for Sensitive Questions</w:t>
        </w:r>
        <w:r w:rsidR="00CC4DAB">
          <w:rPr>
            <w:noProof/>
            <w:webHidden/>
          </w:rPr>
          <w:tab/>
        </w:r>
        <w:r w:rsidR="00CC4DAB">
          <w:rPr>
            <w:noProof/>
            <w:webHidden/>
          </w:rPr>
          <w:fldChar w:fldCharType="begin"/>
        </w:r>
        <w:r w:rsidR="00CC4DAB">
          <w:rPr>
            <w:noProof/>
            <w:webHidden/>
          </w:rPr>
          <w:instrText xml:space="preserve"> PAGEREF _Toc427752824 \h </w:instrText>
        </w:r>
        <w:r w:rsidR="00CC4DAB">
          <w:rPr>
            <w:noProof/>
            <w:webHidden/>
          </w:rPr>
        </w:r>
        <w:r w:rsidR="00CC4DAB">
          <w:rPr>
            <w:noProof/>
            <w:webHidden/>
          </w:rPr>
          <w:fldChar w:fldCharType="separate"/>
        </w:r>
        <w:r w:rsidR="0089234C">
          <w:rPr>
            <w:noProof/>
            <w:webHidden/>
          </w:rPr>
          <w:t>9</w:t>
        </w:r>
        <w:r w:rsidR="00CC4DAB">
          <w:rPr>
            <w:noProof/>
            <w:webHidden/>
          </w:rPr>
          <w:fldChar w:fldCharType="end"/>
        </w:r>
      </w:hyperlink>
    </w:p>
    <w:p w14:paraId="7653CE31" w14:textId="23ECAA84" w:rsidR="00CC4DAB" w:rsidRDefault="00687FC7">
      <w:pPr>
        <w:pStyle w:val="TOC2"/>
        <w:rPr>
          <w:rFonts w:asciiTheme="minorHAnsi" w:hAnsiTheme="minorHAnsi"/>
          <w:noProof/>
        </w:rPr>
      </w:pPr>
      <w:hyperlink w:anchor="_Toc427752825" w:history="1">
        <w:r w:rsidR="00CC4DAB" w:rsidRPr="00A94C41">
          <w:rPr>
            <w:rStyle w:val="Hyperlink"/>
            <w:noProof/>
          </w:rPr>
          <w:t>12.</w:t>
        </w:r>
        <w:r w:rsidR="00CC4DAB">
          <w:rPr>
            <w:rFonts w:asciiTheme="minorHAnsi" w:hAnsiTheme="minorHAnsi"/>
            <w:noProof/>
          </w:rPr>
          <w:tab/>
        </w:r>
        <w:r w:rsidR="00CC4DAB" w:rsidRPr="00A94C41">
          <w:rPr>
            <w:rStyle w:val="Hyperlink"/>
            <w:noProof/>
          </w:rPr>
          <w:t>Estimates of Annualized Burden Hours and Costs</w:t>
        </w:r>
        <w:r w:rsidR="00CC4DAB">
          <w:rPr>
            <w:noProof/>
            <w:webHidden/>
          </w:rPr>
          <w:tab/>
        </w:r>
        <w:r w:rsidR="00CC4DAB">
          <w:rPr>
            <w:noProof/>
            <w:webHidden/>
          </w:rPr>
          <w:fldChar w:fldCharType="begin"/>
        </w:r>
        <w:r w:rsidR="00CC4DAB">
          <w:rPr>
            <w:noProof/>
            <w:webHidden/>
          </w:rPr>
          <w:instrText xml:space="preserve"> PAGEREF _Toc427752825 \h </w:instrText>
        </w:r>
        <w:r w:rsidR="00CC4DAB">
          <w:rPr>
            <w:noProof/>
            <w:webHidden/>
          </w:rPr>
        </w:r>
        <w:r w:rsidR="00CC4DAB">
          <w:rPr>
            <w:noProof/>
            <w:webHidden/>
          </w:rPr>
          <w:fldChar w:fldCharType="separate"/>
        </w:r>
        <w:r w:rsidR="0089234C">
          <w:rPr>
            <w:noProof/>
            <w:webHidden/>
          </w:rPr>
          <w:t>9</w:t>
        </w:r>
        <w:r w:rsidR="00CC4DAB">
          <w:rPr>
            <w:noProof/>
            <w:webHidden/>
          </w:rPr>
          <w:fldChar w:fldCharType="end"/>
        </w:r>
      </w:hyperlink>
    </w:p>
    <w:p w14:paraId="081A1C19" w14:textId="478E3035" w:rsidR="00CC4DAB" w:rsidRDefault="00687FC7">
      <w:pPr>
        <w:pStyle w:val="TOC2"/>
        <w:rPr>
          <w:rFonts w:asciiTheme="minorHAnsi" w:hAnsiTheme="minorHAnsi"/>
          <w:noProof/>
        </w:rPr>
      </w:pPr>
      <w:hyperlink w:anchor="_Toc427752826" w:history="1">
        <w:r w:rsidR="00CC4DAB" w:rsidRPr="00A94C41">
          <w:rPr>
            <w:rStyle w:val="Hyperlink"/>
            <w:noProof/>
          </w:rPr>
          <w:t>13.</w:t>
        </w:r>
        <w:r w:rsidR="00CC4DAB">
          <w:rPr>
            <w:rFonts w:asciiTheme="minorHAnsi" w:hAnsiTheme="minorHAnsi"/>
            <w:noProof/>
          </w:rPr>
          <w:tab/>
        </w:r>
        <w:r w:rsidR="00CC4DAB" w:rsidRPr="00A94C41">
          <w:rPr>
            <w:rStyle w:val="Hyperlink"/>
            <w:noProof/>
          </w:rPr>
          <w:t>Estimates of Other Total Annual Cost Burden to Respondents or Record Keepers</w:t>
        </w:r>
        <w:r w:rsidR="00CC4DAB">
          <w:rPr>
            <w:noProof/>
            <w:webHidden/>
          </w:rPr>
          <w:tab/>
        </w:r>
        <w:r w:rsidR="00CC4DAB">
          <w:rPr>
            <w:noProof/>
            <w:webHidden/>
          </w:rPr>
          <w:fldChar w:fldCharType="begin"/>
        </w:r>
        <w:r w:rsidR="00CC4DAB">
          <w:rPr>
            <w:noProof/>
            <w:webHidden/>
          </w:rPr>
          <w:instrText xml:space="preserve"> PAGEREF _Toc427752826 \h </w:instrText>
        </w:r>
        <w:r w:rsidR="00CC4DAB">
          <w:rPr>
            <w:noProof/>
            <w:webHidden/>
          </w:rPr>
        </w:r>
        <w:r w:rsidR="00CC4DAB">
          <w:rPr>
            <w:noProof/>
            <w:webHidden/>
          </w:rPr>
          <w:fldChar w:fldCharType="separate"/>
        </w:r>
        <w:r w:rsidR="0089234C">
          <w:rPr>
            <w:noProof/>
            <w:webHidden/>
          </w:rPr>
          <w:t>10</w:t>
        </w:r>
        <w:r w:rsidR="00CC4DAB">
          <w:rPr>
            <w:noProof/>
            <w:webHidden/>
          </w:rPr>
          <w:fldChar w:fldCharType="end"/>
        </w:r>
      </w:hyperlink>
    </w:p>
    <w:p w14:paraId="6CB4ACF1" w14:textId="231E2F6E" w:rsidR="00CC4DAB" w:rsidRDefault="00687FC7">
      <w:pPr>
        <w:pStyle w:val="TOC2"/>
        <w:rPr>
          <w:rFonts w:asciiTheme="minorHAnsi" w:hAnsiTheme="minorHAnsi"/>
          <w:noProof/>
        </w:rPr>
      </w:pPr>
      <w:hyperlink w:anchor="_Toc427752827" w:history="1">
        <w:r w:rsidR="00CC4DAB" w:rsidRPr="00A94C41">
          <w:rPr>
            <w:rStyle w:val="Hyperlink"/>
            <w:noProof/>
          </w:rPr>
          <w:t>14.</w:t>
        </w:r>
        <w:r w:rsidR="00CC4DAB">
          <w:rPr>
            <w:rFonts w:asciiTheme="minorHAnsi" w:hAnsiTheme="minorHAnsi"/>
            <w:noProof/>
          </w:rPr>
          <w:tab/>
        </w:r>
        <w:r w:rsidR="00CC4DAB" w:rsidRPr="00A94C41">
          <w:rPr>
            <w:rStyle w:val="Hyperlink"/>
            <w:noProof/>
          </w:rPr>
          <w:t>Annualized Cost to the Government</w:t>
        </w:r>
        <w:r w:rsidR="00CC4DAB">
          <w:rPr>
            <w:noProof/>
            <w:webHidden/>
          </w:rPr>
          <w:tab/>
        </w:r>
        <w:r w:rsidR="00CC4DAB">
          <w:rPr>
            <w:noProof/>
            <w:webHidden/>
          </w:rPr>
          <w:fldChar w:fldCharType="begin"/>
        </w:r>
        <w:r w:rsidR="00CC4DAB">
          <w:rPr>
            <w:noProof/>
            <w:webHidden/>
          </w:rPr>
          <w:instrText xml:space="preserve"> PAGEREF _Toc427752827 \h </w:instrText>
        </w:r>
        <w:r w:rsidR="00CC4DAB">
          <w:rPr>
            <w:noProof/>
            <w:webHidden/>
          </w:rPr>
        </w:r>
        <w:r w:rsidR="00CC4DAB">
          <w:rPr>
            <w:noProof/>
            <w:webHidden/>
          </w:rPr>
          <w:fldChar w:fldCharType="separate"/>
        </w:r>
        <w:r w:rsidR="0089234C">
          <w:rPr>
            <w:noProof/>
            <w:webHidden/>
          </w:rPr>
          <w:t>10</w:t>
        </w:r>
        <w:r w:rsidR="00CC4DAB">
          <w:rPr>
            <w:noProof/>
            <w:webHidden/>
          </w:rPr>
          <w:fldChar w:fldCharType="end"/>
        </w:r>
      </w:hyperlink>
    </w:p>
    <w:p w14:paraId="6A5B8CCA" w14:textId="4EF3A342" w:rsidR="00CC4DAB" w:rsidRDefault="00687FC7">
      <w:pPr>
        <w:pStyle w:val="TOC2"/>
        <w:rPr>
          <w:rFonts w:asciiTheme="minorHAnsi" w:hAnsiTheme="minorHAnsi"/>
          <w:noProof/>
        </w:rPr>
      </w:pPr>
      <w:hyperlink w:anchor="_Toc427752828" w:history="1">
        <w:r w:rsidR="00CC4DAB" w:rsidRPr="00A94C41">
          <w:rPr>
            <w:rStyle w:val="Hyperlink"/>
            <w:noProof/>
          </w:rPr>
          <w:t>15.</w:t>
        </w:r>
        <w:r w:rsidR="00CC4DAB">
          <w:rPr>
            <w:rFonts w:asciiTheme="minorHAnsi" w:hAnsiTheme="minorHAnsi"/>
            <w:noProof/>
          </w:rPr>
          <w:tab/>
        </w:r>
        <w:r w:rsidR="00CC4DAB" w:rsidRPr="00A94C41">
          <w:rPr>
            <w:rStyle w:val="Hyperlink"/>
            <w:noProof/>
          </w:rPr>
          <w:t>Explanation for Program Changes or Adjustments</w:t>
        </w:r>
        <w:r w:rsidR="00CC4DAB">
          <w:rPr>
            <w:noProof/>
            <w:webHidden/>
          </w:rPr>
          <w:tab/>
        </w:r>
        <w:r w:rsidR="00CC4DAB">
          <w:rPr>
            <w:noProof/>
            <w:webHidden/>
          </w:rPr>
          <w:fldChar w:fldCharType="begin"/>
        </w:r>
        <w:r w:rsidR="00CC4DAB">
          <w:rPr>
            <w:noProof/>
            <w:webHidden/>
          </w:rPr>
          <w:instrText xml:space="preserve"> PAGEREF _Toc427752828 \h </w:instrText>
        </w:r>
        <w:r w:rsidR="00CC4DAB">
          <w:rPr>
            <w:noProof/>
            <w:webHidden/>
          </w:rPr>
        </w:r>
        <w:r w:rsidR="00CC4DAB">
          <w:rPr>
            <w:noProof/>
            <w:webHidden/>
          </w:rPr>
          <w:fldChar w:fldCharType="separate"/>
        </w:r>
        <w:r w:rsidR="0089234C">
          <w:rPr>
            <w:noProof/>
            <w:webHidden/>
          </w:rPr>
          <w:t>12</w:t>
        </w:r>
        <w:r w:rsidR="00CC4DAB">
          <w:rPr>
            <w:noProof/>
            <w:webHidden/>
          </w:rPr>
          <w:fldChar w:fldCharType="end"/>
        </w:r>
      </w:hyperlink>
    </w:p>
    <w:p w14:paraId="5535094F" w14:textId="38239331" w:rsidR="00CC4DAB" w:rsidRDefault="00687FC7">
      <w:pPr>
        <w:pStyle w:val="TOC2"/>
        <w:rPr>
          <w:rFonts w:asciiTheme="minorHAnsi" w:hAnsiTheme="minorHAnsi"/>
          <w:noProof/>
        </w:rPr>
      </w:pPr>
      <w:hyperlink w:anchor="_Toc427752829" w:history="1">
        <w:r w:rsidR="00CC4DAB" w:rsidRPr="00A94C41">
          <w:rPr>
            <w:rStyle w:val="Hyperlink"/>
            <w:noProof/>
          </w:rPr>
          <w:t>16.</w:t>
        </w:r>
        <w:r w:rsidR="00CC4DAB">
          <w:rPr>
            <w:rFonts w:asciiTheme="minorHAnsi" w:hAnsiTheme="minorHAnsi"/>
            <w:noProof/>
          </w:rPr>
          <w:tab/>
        </w:r>
        <w:r w:rsidR="00CC4DAB" w:rsidRPr="00A94C41">
          <w:rPr>
            <w:rStyle w:val="Hyperlink"/>
            <w:noProof/>
          </w:rPr>
          <w:t>Plans for Tabulation and Publication and Project Time Schedule</w:t>
        </w:r>
        <w:r w:rsidR="00CC4DAB">
          <w:rPr>
            <w:noProof/>
            <w:webHidden/>
          </w:rPr>
          <w:tab/>
        </w:r>
        <w:r w:rsidR="00CC4DAB">
          <w:rPr>
            <w:noProof/>
            <w:webHidden/>
          </w:rPr>
          <w:fldChar w:fldCharType="begin"/>
        </w:r>
        <w:r w:rsidR="00CC4DAB">
          <w:rPr>
            <w:noProof/>
            <w:webHidden/>
          </w:rPr>
          <w:instrText xml:space="preserve"> PAGEREF _Toc427752829 \h </w:instrText>
        </w:r>
        <w:r w:rsidR="00CC4DAB">
          <w:rPr>
            <w:noProof/>
            <w:webHidden/>
          </w:rPr>
        </w:r>
        <w:r w:rsidR="00CC4DAB">
          <w:rPr>
            <w:noProof/>
            <w:webHidden/>
          </w:rPr>
          <w:fldChar w:fldCharType="separate"/>
        </w:r>
        <w:r w:rsidR="0089234C">
          <w:rPr>
            <w:noProof/>
            <w:webHidden/>
          </w:rPr>
          <w:t>12</w:t>
        </w:r>
        <w:r w:rsidR="00CC4DAB">
          <w:rPr>
            <w:noProof/>
            <w:webHidden/>
          </w:rPr>
          <w:fldChar w:fldCharType="end"/>
        </w:r>
      </w:hyperlink>
    </w:p>
    <w:p w14:paraId="6EB2F310" w14:textId="7EBF921D" w:rsidR="00CC4DAB" w:rsidRDefault="00687FC7">
      <w:pPr>
        <w:pStyle w:val="TOC2"/>
        <w:rPr>
          <w:rFonts w:asciiTheme="minorHAnsi" w:hAnsiTheme="minorHAnsi"/>
          <w:noProof/>
        </w:rPr>
      </w:pPr>
      <w:hyperlink w:anchor="_Toc427752830" w:history="1">
        <w:r w:rsidR="00CC4DAB" w:rsidRPr="00A94C41">
          <w:rPr>
            <w:rStyle w:val="Hyperlink"/>
            <w:noProof/>
          </w:rPr>
          <w:t>17.</w:t>
        </w:r>
        <w:r w:rsidR="00CC4DAB">
          <w:rPr>
            <w:rFonts w:asciiTheme="minorHAnsi" w:hAnsiTheme="minorHAnsi"/>
            <w:noProof/>
          </w:rPr>
          <w:tab/>
        </w:r>
        <w:r w:rsidR="00CC4DAB" w:rsidRPr="00A94C41">
          <w:rPr>
            <w:rStyle w:val="Hyperlink"/>
            <w:noProof/>
          </w:rPr>
          <w:t>Reason(s) Display of OMB Expiration Date is Inappropriate</w:t>
        </w:r>
        <w:r w:rsidR="00CC4DAB">
          <w:rPr>
            <w:noProof/>
            <w:webHidden/>
          </w:rPr>
          <w:tab/>
        </w:r>
        <w:r w:rsidR="00CC4DAB">
          <w:rPr>
            <w:noProof/>
            <w:webHidden/>
          </w:rPr>
          <w:fldChar w:fldCharType="begin"/>
        </w:r>
        <w:r w:rsidR="00CC4DAB">
          <w:rPr>
            <w:noProof/>
            <w:webHidden/>
          </w:rPr>
          <w:instrText xml:space="preserve"> PAGEREF _Toc427752830 \h </w:instrText>
        </w:r>
        <w:r w:rsidR="00CC4DAB">
          <w:rPr>
            <w:noProof/>
            <w:webHidden/>
          </w:rPr>
        </w:r>
        <w:r w:rsidR="00CC4DAB">
          <w:rPr>
            <w:noProof/>
            <w:webHidden/>
          </w:rPr>
          <w:fldChar w:fldCharType="separate"/>
        </w:r>
        <w:r w:rsidR="0089234C">
          <w:rPr>
            <w:noProof/>
            <w:webHidden/>
          </w:rPr>
          <w:t>13</w:t>
        </w:r>
        <w:r w:rsidR="00CC4DAB">
          <w:rPr>
            <w:noProof/>
            <w:webHidden/>
          </w:rPr>
          <w:fldChar w:fldCharType="end"/>
        </w:r>
      </w:hyperlink>
    </w:p>
    <w:p w14:paraId="6223A512" w14:textId="1B646984" w:rsidR="00CC4DAB" w:rsidRDefault="00687FC7">
      <w:pPr>
        <w:pStyle w:val="TOC2"/>
        <w:rPr>
          <w:rFonts w:asciiTheme="minorHAnsi" w:hAnsiTheme="minorHAnsi"/>
          <w:noProof/>
        </w:rPr>
      </w:pPr>
      <w:hyperlink w:anchor="_Toc427752831" w:history="1">
        <w:r w:rsidR="00CC4DAB" w:rsidRPr="00A94C41">
          <w:rPr>
            <w:rStyle w:val="Hyperlink"/>
            <w:noProof/>
          </w:rPr>
          <w:t>18.</w:t>
        </w:r>
        <w:r w:rsidR="00CC4DAB">
          <w:rPr>
            <w:rFonts w:asciiTheme="minorHAnsi" w:hAnsiTheme="minorHAnsi"/>
            <w:noProof/>
          </w:rPr>
          <w:tab/>
        </w:r>
        <w:r w:rsidR="00CC4DAB" w:rsidRPr="00A94C41">
          <w:rPr>
            <w:rStyle w:val="Hyperlink"/>
            <w:noProof/>
          </w:rPr>
          <w:t>Exceptions to Certification for Paperwork Reduction Act Submissions</w:t>
        </w:r>
        <w:r w:rsidR="00CC4DAB">
          <w:rPr>
            <w:noProof/>
            <w:webHidden/>
          </w:rPr>
          <w:tab/>
        </w:r>
        <w:r w:rsidR="00CC4DAB">
          <w:rPr>
            <w:noProof/>
            <w:webHidden/>
          </w:rPr>
          <w:fldChar w:fldCharType="begin"/>
        </w:r>
        <w:r w:rsidR="00CC4DAB">
          <w:rPr>
            <w:noProof/>
            <w:webHidden/>
          </w:rPr>
          <w:instrText xml:space="preserve"> PAGEREF _Toc427752831 \h </w:instrText>
        </w:r>
        <w:r w:rsidR="00CC4DAB">
          <w:rPr>
            <w:noProof/>
            <w:webHidden/>
          </w:rPr>
        </w:r>
        <w:r w:rsidR="00CC4DAB">
          <w:rPr>
            <w:noProof/>
            <w:webHidden/>
          </w:rPr>
          <w:fldChar w:fldCharType="separate"/>
        </w:r>
        <w:r w:rsidR="0089234C">
          <w:rPr>
            <w:noProof/>
            <w:webHidden/>
          </w:rPr>
          <w:t>13</w:t>
        </w:r>
        <w:r w:rsidR="00CC4DAB">
          <w:rPr>
            <w:noProof/>
            <w:webHidden/>
          </w:rPr>
          <w:fldChar w:fldCharType="end"/>
        </w:r>
      </w:hyperlink>
    </w:p>
    <w:p w14:paraId="0C8091E9" w14:textId="2898471A" w:rsidR="00CC4DAB" w:rsidRDefault="00687FC7">
      <w:pPr>
        <w:pStyle w:val="TOC1"/>
        <w:tabs>
          <w:tab w:val="right" w:leader="dot" w:pos="9350"/>
        </w:tabs>
        <w:rPr>
          <w:rFonts w:asciiTheme="minorHAnsi" w:hAnsiTheme="minorHAnsi"/>
          <w:noProof/>
        </w:rPr>
      </w:pPr>
      <w:hyperlink w:anchor="_Toc427752832" w:history="1">
        <w:r w:rsidR="00CC4DAB" w:rsidRPr="00A94C41">
          <w:rPr>
            <w:rStyle w:val="Hyperlink"/>
            <w:noProof/>
          </w:rPr>
          <w:t>LIST OF ATTACHMENTS – Section A</w:t>
        </w:r>
        <w:r w:rsidR="00CC4DAB">
          <w:rPr>
            <w:noProof/>
            <w:webHidden/>
          </w:rPr>
          <w:tab/>
        </w:r>
        <w:r w:rsidR="00CC4DAB">
          <w:rPr>
            <w:noProof/>
            <w:webHidden/>
          </w:rPr>
          <w:fldChar w:fldCharType="begin"/>
        </w:r>
        <w:r w:rsidR="00CC4DAB">
          <w:rPr>
            <w:noProof/>
            <w:webHidden/>
          </w:rPr>
          <w:instrText xml:space="preserve"> PAGEREF _Toc427752832 \h </w:instrText>
        </w:r>
        <w:r w:rsidR="00CC4DAB">
          <w:rPr>
            <w:noProof/>
            <w:webHidden/>
          </w:rPr>
        </w:r>
        <w:r w:rsidR="00CC4DAB">
          <w:rPr>
            <w:noProof/>
            <w:webHidden/>
          </w:rPr>
          <w:fldChar w:fldCharType="separate"/>
        </w:r>
        <w:r w:rsidR="0089234C">
          <w:rPr>
            <w:noProof/>
            <w:webHidden/>
          </w:rPr>
          <w:t>13</w:t>
        </w:r>
        <w:r w:rsidR="00CC4DAB">
          <w:rPr>
            <w:noProof/>
            <w:webHidden/>
          </w:rPr>
          <w:fldChar w:fldCharType="end"/>
        </w:r>
      </w:hyperlink>
    </w:p>
    <w:p w14:paraId="3B6A607A" w14:textId="4F878D6F" w:rsidR="00CC4DAB" w:rsidRDefault="00687FC7">
      <w:pPr>
        <w:pStyle w:val="TOC1"/>
        <w:tabs>
          <w:tab w:val="right" w:leader="dot" w:pos="9350"/>
        </w:tabs>
        <w:rPr>
          <w:rFonts w:asciiTheme="minorHAnsi" w:hAnsiTheme="minorHAnsi"/>
          <w:noProof/>
        </w:rPr>
      </w:pPr>
      <w:hyperlink w:anchor="_Toc427752833" w:history="1">
        <w:r w:rsidR="00CC4DAB" w:rsidRPr="00A94C41">
          <w:rPr>
            <w:rStyle w:val="Hyperlink"/>
            <w:noProof/>
          </w:rPr>
          <w:t xml:space="preserve">REFERENCE LIST </w:t>
        </w:r>
        <w:r w:rsidR="00CC4DAB">
          <w:rPr>
            <w:noProof/>
            <w:webHidden/>
          </w:rPr>
          <w:tab/>
        </w:r>
        <w:r w:rsidR="00CC4DAB">
          <w:rPr>
            <w:noProof/>
            <w:webHidden/>
          </w:rPr>
          <w:fldChar w:fldCharType="begin"/>
        </w:r>
        <w:r w:rsidR="00CC4DAB">
          <w:rPr>
            <w:noProof/>
            <w:webHidden/>
          </w:rPr>
          <w:instrText xml:space="preserve"> PAGEREF _Toc427752833 \h </w:instrText>
        </w:r>
        <w:r w:rsidR="00CC4DAB">
          <w:rPr>
            <w:noProof/>
            <w:webHidden/>
          </w:rPr>
        </w:r>
        <w:r w:rsidR="00CC4DAB">
          <w:rPr>
            <w:noProof/>
            <w:webHidden/>
          </w:rPr>
          <w:fldChar w:fldCharType="separate"/>
        </w:r>
        <w:r w:rsidR="0089234C">
          <w:rPr>
            <w:noProof/>
            <w:webHidden/>
          </w:rPr>
          <w:t>13</w:t>
        </w:r>
        <w:r w:rsidR="00CC4DAB">
          <w:rPr>
            <w:noProof/>
            <w:webHidden/>
          </w:rPr>
          <w:fldChar w:fldCharType="end"/>
        </w:r>
      </w:hyperlink>
    </w:p>
    <w:p w14:paraId="7B03F113" w14:textId="77777777" w:rsidR="003860A5" w:rsidRPr="00AD6973" w:rsidRDefault="003860A5" w:rsidP="00CA5840">
      <w:pPr>
        <w:pStyle w:val="Heading3"/>
        <w:ind w:left="0"/>
        <w:rPr>
          <w:b w:val="0"/>
          <w:sz w:val="22"/>
        </w:rPr>
      </w:pPr>
      <w:r>
        <w:fldChar w:fldCharType="end"/>
      </w:r>
    </w:p>
    <w:p w14:paraId="61444E0D" w14:textId="77777777" w:rsidR="00487937" w:rsidRPr="00AD6973" w:rsidRDefault="00487937" w:rsidP="00CA5840">
      <w:pPr>
        <w:pStyle w:val="Heading3"/>
        <w:ind w:left="0"/>
        <w:rPr>
          <w:b w:val="0"/>
          <w:sz w:val="22"/>
        </w:rPr>
      </w:pPr>
    </w:p>
    <w:p w14:paraId="0D398DC1" w14:textId="73C4EB09" w:rsidR="00DF7345" w:rsidRPr="00AD6973" w:rsidRDefault="00DF7345" w:rsidP="00D76BF1">
      <w:pPr>
        <w:spacing w:after="200"/>
        <w:ind w:left="0"/>
        <w:rPr>
          <w:rFonts w:ascii="Cambria" w:eastAsia="Times New Roman" w:hAnsi="Cambria" w:cs="Times New Roman"/>
        </w:rPr>
      </w:pPr>
      <w:bookmarkStart w:id="2" w:name="_Toc427752813"/>
    </w:p>
    <w:p w14:paraId="0A0436D0" w14:textId="44E0BC5E" w:rsidR="000C1D5D" w:rsidRPr="000C1D5D" w:rsidRDefault="000C1D5D" w:rsidP="00F63105">
      <w:pPr>
        <w:ind w:left="0"/>
      </w:pPr>
      <w:r>
        <w:rPr>
          <w:noProof/>
        </w:rPr>
        <w:lastRenderedPageBreak/>
        <mc:AlternateContent>
          <mc:Choice Requires="wps">
            <w:drawing>
              <wp:anchor distT="45720" distB="45720" distL="114300" distR="114300" simplePos="0" relativeHeight="251659264" behindDoc="0" locked="0" layoutInCell="1" allowOverlap="1" wp14:anchorId="04DE953F" wp14:editId="19919611">
                <wp:simplePos x="0" y="0"/>
                <wp:positionH relativeFrom="margin">
                  <wp:align>right</wp:align>
                </wp:positionH>
                <wp:positionV relativeFrom="paragraph">
                  <wp:posOffset>0</wp:posOffset>
                </wp:positionV>
                <wp:extent cx="5924550" cy="5486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486400"/>
                        </a:xfrm>
                        <a:prstGeom prst="rect">
                          <a:avLst/>
                        </a:prstGeom>
                        <a:solidFill>
                          <a:srgbClr val="FFFFFF"/>
                        </a:solidFill>
                        <a:ln w="9525">
                          <a:solidFill>
                            <a:srgbClr val="000000"/>
                          </a:solidFill>
                          <a:miter lim="800000"/>
                          <a:headEnd/>
                          <a:tailEnd/>
                        </a:ln>
                      </wps:spPr>
                      <wps:txbx>
                        <w:txbxContent>
                          <w:p w14:paraId="371B8F80" w14:textId="5E79A945" w:rsidR="00FD28BD" w:rsidRDefault="00FD28BD" w:rsidP="0006780A">
                            <w:pPr>
                              <w:pStyle w:val="ListParagraph"/>
                              <w:numPr>
                                <w:ilvl w:val="0"/>
                                <w:numId w:val="8"/>
                              </w:numPr>
                              <w:tabs>
                                <w:tab w:val="clear" w:pos="9360"/>
                              </w:tabs>
                              <w:spacing w:after="200"/>
                            </w:pPr>
                            <w:r>
                              <w:rPr>
                                <w:b/>
                              </w:rPr>
                              <w:t xml:space="preserve">Purpose of the data collection: </w:t>
                            </w:r>
                            <w:r w:rsidRPr="00FF3244">
                              <w:t>The purpose of this data collection is to</w:t>
                            </w:r>
                            <w:r>
                              <w:t xml:space="preserve"> assess the </w:t>
                            </w:r>
                            <w:r w:rsidRPr="00FF3244">
                              <w:t xml:space="preserve">feasibility and acceptability of and barriers to implementing the recommendations in the HHS/CDC </w:t>
                            </w:r>
                            <w:r w:rsidRPr="00FF3244">
                              <w:rPr>
                                <w:i/>
                              </w:rPr>
                              <w:t>Community Mitigation Guidelines to Prevent Pandemic Influenza – United States, 2017</w:t>
                            </w:r>
                            <w:r w:rsidRPr="00FF3244">
                              <w:t xml:space="preserve"> that were released as a MMWR-Recommendations and Reports on April 21, 2017. The updated guidelines serve as a pre-pandemic planning tool for state, territorial, and local public health officials. The guidelines include recommendations on the use of non-pharmaceutical interventions (NPIs) in community settings during influenza pandemics.</w:t>
                            </w:r>
                          </w:p>
                          <w:p w14:paraId="0E0CE391" w14:textId="77777777" w:rsidR="00FD28BD" w:rsidRPr="0006780A" w:rsidRDefault="00FD28BD" w:rsidP="0006780A">
                            <w:pPr>
                              <w:pStyle w:val="ListParagraph"/>
                              <w:tabs>
                                <w:tab w:val="clear" w:pos="9360"/>
                              </w:tabs>
                              <w:spacing w:after="200"/>
                              <w:ind w:left="360"/>
                            </w:pPr>
                          </w:p>
                          <w:p w14:paraId="7F3EE15B" w14:textId="20FBBEDC" w:rsidR="00FD28BD" w:rsidRPr="00FF3244" w:rsidRDefault="00FD28BD" w:rsidP="0006780A">
                            <w:pPr>
                              <w:pStyle w:val="ListParagraph"/>
                              <w:numPr>
                                <w:ilvl w:val="0"/>
                                <w:numId w:val="8"/>
                              </w:numPr>
                              <w:tabs>
                                <w:tab w:val="clear" w:pos="9360"/>
                              </w:tabs>
                              <w:spacing w:after="200"/>
                            </w:pPr>
                            <w:r w:rsidRPr="0006780A">
                              <w:rPr>
                                <w:b/>
                              </w:rPr>
                              <w:t>Inte</w:t>
                            </w:r>
                            <w:r w:rsidR="00AC13CB">
                              <w:rPr>
                                <w:b/>
                              </w:rPr>
                              <w:t xml:space="preserve">nded use of the resulting data: </w:t>
                            </w:r>
                            <w:r w:rsidR="004D52F6">
                              <w:t xml:space="preserve">The results will </w:t>
                            </w:r>
                            <w:r w:rsidR="000F472A">
                              <w:t>help inform implementation considerations of t</w:t>
                            </w:r>
                            <w:r w:rsidR="000A4AE7">
                              <w:t xml:space="preserve">he guidelines, particularly the feasibility and acceptability </w:t>
                            </w:r>
                            <w:r w:rsidR="000F472A">
                              <w:t>issues and barriers that CDC and other partners can help address to strengthen the capacity of state, territorial, and local health departments to implement the guidelines; increase awareness, understanding, and uptake of the NPI recommendations; and facilitate public health stakeholder engagement for future guideline development.</w:t>
                            </w:r>
                            <w:r w:rsidRPr="00FF3244">
                              <w:t xml:space="preserve"> </w:t>
                            </w:r>
                          </w:p>
                          <w:p w14:paraId="21DCE5CF" w14:textId="77777777" w:rsidR="00FD28BD" w:rsidRPr="0006780A" w:rsidRDefault="00FD28BD" w:rsidP="0006780A">
                            <w:pPr>
                              <w:pStyle w:val="ListParagraph"/>
                              <w:tabs>
                                <w:tab w:val="clear" w:pos="9360"/>
                              </w:tabs>
                              <w:ind w:left="360"/>
                            </w:pPr>
                          </w:p>
                          <w:p w14:paraId="5BF9FD46" w14:textId="6AEC7AAB" w:rsidR="00FD28BD" w:rsidRDefault="00FD28BD" w:rsidP="0006780A">
                            <w:pPr>
                              <w:pStyle w:val="ListParagraph"/>
                              <w:numPr>
                                <w:ilvl w:val="0"/>
                                <w:numId w:val="8"/>
                              </w:numPr>
                              <w:tabs>
                                <w:tab w:val="clear" w:pos="9360"/>
                              </w:tabs>
                            </w:pPr>
                            <w:r w:rsidRPr="00FF3244">
                              <w:rPr>
                                <w:b/>
                              </w:rPr>
                              <w:t>Meth</w:t>
                            </w:r>
                            <w:r>
                              <w:rPr>
                                <w:b/>
                              </w:rPr>
                              <w:t xml:space="preserve">ods to be used to collect data: </w:t>
                            </w:r>
                            <w:r w:rsidRPr="00FF3244">
                              <w:t>A one-time, web-based information collection instrument will be used to collect data.</w:t>
                            </w:r>
                          </w:p>
                          <w:p w14:paraId="3FB25886" w14:textId="77777777" w:rsidR="00FD28BD" w:rsidRPr="00563BA0" w:rsidRDefault="00FD28BD" w:rsidP="0006780A">
                            <w:pPr>
                              <w:pStyle w:val="ListParagraph"/>
                            </w:pPr>
                          </w:p>
                          <w:p w14:paraId="5C533FD9" w14:textId="5AB587B2" w:rsidR="00FD28BD" w:rsidRDefault="00FD28BD" w:rsidP="0006780A">
                            <w:pPr>
                              <w:pStyle w:val="ListParagraph"/>
                              <w:numPr>
                                <w:ilvl w:val="0"/>
                                <w:numId w:val="8"/>
                              </w:numPr>
                              <w:tabs>
                                <w:tab w:val="clear" w:pos="9360"/>
                              </w:tabs>
                            </w:pPr>
                            <w:r>
                              <w:rPr>
                                <w:b/>
                              </w:rPr>
                              <w:t xml:space="preserve">Respondent universe: </w:t>
                            </w:r>
                            <w:r w:rsidRPr="00FF3244">
                              <w:t>Data will b</w:t>
                            </w:r>
                            <w:r>
                              <w:t xml:space="preserve">e collected from 878 </w:t>
                            </w:r>
                            <w:r w:rsidRPr="00FF3244">
                              <w:t>respondents. Acting in their o</w:t>
                            </w:r>
                            <w:r>
                              <w:t xml:space="preserve">fficial capacities, respondents </w:t>
                            </w:r>
                            <w:r w:rsidRPr="00FF3244">
                              <w:t xml:space="preserve">will include 59 </w:t>
                            </w:r>
                            <w:r>
                              <w:t xml:space="preserve">Directors of Public Health Preparedness </w:t>
                            </w:r>
                            <w:r w:rsidRPr="00FF3244">
                              <w:t xml:space="preserve">of all 50 U.S. states, the District of Columbia (D.C.), and 8 U.S. territories, and </w:t>
                            </w:r>
                            <w:r w:rsidR="005E5522">
                              <w:t xml:space="preserve">a </w:t>
                            </w:r>
                            <w:r>
                              <w:t xml:space="preserve">sample of </w:t>
                            </w:r>
                            <w:r w:rsidRPr="00FF3244">
                              <w:t>819 local health department (LHD)</w:t>
                            </w:r>
                            <w:r>
                              <w:t xml:space="preserve"> preparedness coordinators and/or local health</w:t>
                            </w:r>
                            <w:r w:rsidRPr="00FF3244">
                              <w:t xml:space="preserve"> officials</w:t>
                            </w:r>
                            <w:r>
                              <w:t xml:space="preserve"> (LHOs).</w:t>
                            </w:r>
                          </w:p>
                          <w:p w14:paraId="580D6E6D" w14:textId="77777777" w:rsidR="00FD28BD" w:rsidRPr="00FF3244" w:rsidRDefault="00FD28BD" w:rsidP="00786A2C">
                            <w:pPr>
                              <w:tabs>
                                <w:tab w:val="clear" w:pos="9360"/>
                              </w:tabs>
                              <w:ind w:left="0"/>
                            </w:pPr>
                          </w:p>
                          <w:p w14:paraId="00C5589A" w14:textId="208B4C7A" w:rsidR="00FD28BD" w:rsidRPr="00FF3244" w:rsidRDefault="00FD28BD" w:rsidP="00786A2C">
                            <w:pPr>
                              <w:pStyle w:val="ListParagraph"/>
                              <w:numPr>
                                <w:ilvl w:val="0"/>
                                <w:numId w:val="8"/>
                              </w:numPr>
                              <w:tabs>
                                <w:tab w:val="clear" w:pos="9360"/>
                              </w:tabs>
                            </w:pPr>
                            <w:r>
                              <w:rPr>
                                <w:b/>
                              </w:rPr>
                              <w:t xml:space="preserve">How data will be analyzed: </w:t>
                            </w:r>
                            <w:r w:rsidRPr="00FF3244">
                              <w:t>Responses to quantitative, close-ended questions will be analyzed using distributional descriptive statistics (frequencies, means, and ranges). Additional analyses might be needed to compare subgroups, or to examine measurements by strata (small, medium, and large LHDs). Responses to qualitative, open-ended questions will be analyzed thematically. All data will be reported in aggregate.</w:t>
                            </w:r>
                          </w:p>
                          <w:p w14:paraId="0C6BFE3C" w14:textId="49AC3CE1" w:rsidR="00FD28BD" w:rsidRPr="00FF3244" w:rsidRDefault="00FD28BD" w:rsidP="00C55AB1">
                            <w:pPr>
                              <w:tabs>
                                <w:tab w:val="clear" w:pos="9360"/>
                              </w:tabs>
                              <w:ind w:left="0"/>
                            </w:pPr>
                          </w:p>
                          <w:p w14:paraId="0FA71E6E" w14:textId="4C3AC5C3" w:rsidR="00FD28BD" w:rsidRDefault="00FD28BD" w:rsidP="00786A2C">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3pt;margin-top:0;width:466.5pt;height:6in;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">
                <v:textbox>
                  <w:txbxContent>
                    <w:p w14:paraId="371B8F80" w14:textId="5E79A945" w:rsidR="00FD28BD" w:rsidRDefault="00FD28BD" w:rsidP="0006780A">
                      <w:pPr>
                        <w:pStyle w:val="ListParagraph"/>
                        <w:numPr>
                          <w:ilvl w:val="0"/>
                          <w:numId w:val="8"/>
                        </w:numPr>
                        <w:tabs>
                          <w:tab w:val="clear" w:pos="9360"/>
                        </w:tabs>
                        <w:spacing w:after="200"/>
                      </w:pPr>
                      <w:r>
                        <w:rPr>
                          <w:b/>
                        </w:rPr>
                        <w:t xml:space="preserve">Purpose of the data collection: </w:t>
                      </w:r>
                      <w:r w:rsidRPr="00FF3244">
                        <w:t>The purpose of this data collection is to</w:t>
                      </w:r>
                      <w:r>
                        <w:t xml:space="preserve"> assess the </w:t>
                      </w:r>
                      <w:r w:rsidRPr="00FF3244">
                        <w:t xml:space="preserve">feasibility and acceptability of and barriers to implementing the recommendations in the HHS/CDC </w:t>
                      </w:r>
                      <w:r w:rsidRPr="00FF3244">
                        <w:rPr>
                          <w:i/>
                        </w:rPr>
                        <w:t>Community Mitigation Guidelines to Prevent Pandemic Influenza – United States, 2017</w:t>
                      </w:r>
                      <w:r w:rsidRPr="00FF3244">
                        <w:t xml:space="preserve"> that were released as a MMWR-Recommendations and Reports on April 21, 2017. The updated guidelines serve as a pre-pandemic planning tool for state, territorial, and local public health officials. The guidelines include recommendations on the use of non-pharmaceutical interventions (NPIs) in community settings during influenza pandemics.</w:t>
                      </w:r>
                    </w:p>
                    <w:p w14:paraId="0E0CE391" w14:textId="77777777" w:rsidR="00FD28BD" w:rsidRPr="0006780A" w:rsidRDefault="00FD28BD" w:rsidP="0006780A">
                      <w:pPr>
                        <w:pStyle w:val="ListParagraph"/>
                        <w:tabs>
                          <w:tab w:val="clear" w:pos="9360"/>
                        </w:tabs>
                        <w:spacing w:after="200"/>
                        <w:ind w:left="360"/>
                      </w:pPr>
                    </w:p>
                    <w:p w14:paraId="7F3EE15B" w14:textId="20FBBEDC" w:rsidR="00FD28BD" w:rsidRPr="00FF3244" w:rsidRDefault="00FD28BD" w:rsidP="0006780A">
                      <w:pPr>
                        <w:pStyle w:val="ListParagraph"/>
                        <w:numPr>
                          <w:ilvl w:val="0"/>
                          <w:numId w:val="8"/>
                        </w:numPr>
                        <w:tabs>
                          <w:tab w:val="clear" w:pos="9360"/>
                        </w:tabs>
                        <w:spacing w:after="200"/>
                      </w:pPr>
                      <w:r w:rsidRPr="0006780A">
                        <w:rPr>
                          <w:b/>
                        </w:rPr>
                        <w:t>Inte</w:t>
                      </w:r>
                      <w:r w:rsidR="00AC13CB">
                        <w:rPr>
                          <w:b/>
                        </w:rPr>
                        <w:t xml:space="preserve">nded use of the resulting data: </w:t>
                      </w:r>
                      <w:r w:rsidR="004D52F6">
                        <w:t xml:space="preserve">The results will </w:t>
                      </w:r>
                      <w:r w:rsidR="000F472A">
                        <w:t>help inform implementation considerations of t</w:t>
                      </w:r>
                      <w:r w:rsidR="000A4AE7">
                        <w:t xml:space="preserve">he guidelines, particularly the feasibility and acceptability </w:t>
                      </w:r>
                      <w:r w:rsidR="000F472A">
                        <w:t>issues and barriers that CDC and other partners can help address to strengthen the capacity of state, territorial, and local health departments to implement the guidelines; increase awareness, understanding, and uptake of the NPI recommendations; and facilitate public health stakeholder engagement for future guideline development.</w:t>
                      </w:r>
                      <w:r w:rsidRPr="00FF3244">
                        <w:t xml:space="preserve"> </w:t>
                      </w:r>
                    </w:p>
                    <w:p w14:paraId="21DCE5CF" w14:textId="77777777" w:rsidR="00FD28BD" w:rsidRPr="0006780A" w:rsidRDefault="00FD28BD" w:rsidP="0006780A">
                      <w:pPr>
                        <w:pStyle w:val="ListParagraph"/>
                        <w:tabs>
                          <w:tab w:val="clear" w:pos="9360"/>
                        </w:tabs>
                        <w:ind w:left="360"/>
                      </w:pPr>
                    </w:p>
                    <w:p w14:paraId="5BF9FD46" w14:textId="6AEC7AAB" w:rsidR="00FD28BD" w:rsidRDefault="00FD28BD" w:rsidP="0006780A">
                      <w:pPr>
                        <w:pStyle w:val="ListParagraph"/>
                        <w:numPr>
                          <w:ilvl w:val="0"/>
                          <w:numId w:val="8"/>
                        </w:numPr>
                        <w:tabs>
                          <w:tab w:val="clear" w:pos="9360"/>
                        </w:tabs>
                      </w:pPr>
                      <w:r w:rsidRPr="00FF3244">
                        <w:rPr>
                          <w:b/>
                        </w:rPr>
                        <w:t>Meth</w:t>
                      </w:r>
                      <w:r>
                        <w:rPr>
                          <w:b/>
                        </w:rPr>
                        <w:t xml:space="preserve">ods to be used to collect data: </w:t>
                      </w:r>
                      <w:r w:rsidRPr="00FF3244">
                        <w:t>A one-time, web-based information collection instrument will be used to collect data.</w:t>
                      </w:r>
                    </w:p>
                    <w:p w14:paraId="3FB25886" w14:textId="77777777" w:rsidR="00FD28BD" w:rsidRPr="00563BA0" w:rsidRDefault="00FD28BD" w:rsidP="0006780A">
                      <w:pPr>
                        <w:pStyle w:val="ListParagraph"/>
                      </w:pPr>
                    </w:p>
                    <w:p w14:paraId="5C533FD9" w14:textId="5AB587B2" w:rsidR="00FD28BD" w:rsidRDefault="00FD28BD" w:rsidP="0006780A">
                      <w:pPr>
                        <w:pStyle w:val="ListParagraph"/>
                        <w:numPr>
                          <w:ilvl w:val="0"/>
                          <w:numId w:val="8"/>
                        </w:numPr>
                        <w:tabs>
                          <w:tab w:val="clear" w:pos="9360"/>
                        </w:tabs>
                      </w:pPr>
                      <w:r>
                        <w:rPr>
                          <w:b/>
                        </w:rPr>
                        <w:t xml:space="preserve">Respondent universe: </w:t>
                      </w:r>
                      <w:r w:rsidRPr="00FF3244">
                        <w:t>Data will b</w:t>
                      </w:r>
                      <w:r>
                        <w:t xml:space="preserve">e collected from 878 </w:t>
                      </w:r>
                      <w:r w:rsidRPr="00FF3244">
                        <w:t>respondents. Acting in their o</w:t>
                      </w:r>
                      <w:r>
                        <w:t xml:space="preserve">fficial capacities, respondents </w:t>
                      </w:r>
                      <w:r w:rsidRPr="00FF3244">
                        <w:t xml:space="preserve">will include 59 </w:t>
                      </w:r>
                      <w:r>
                        <w:t xml:space="preserve">Directors of Public Health Preparedness </w:t>
                      </w:r>
                      <w:r w:rsidRPr="00FF3244">
                        <w:t xml:space="preserve">of all 50 U.S. states, the District of Columbia (D.C.), and 8 U.S. territories, and </w:t>
                      </w:r>
                      <w:r w:rsidR="005E5522">
                        <w:t xml:space="preserve">a </w:t>
                      </w:r>
                      <w:r>
                        <w:t xml:space="preserve">sample of </w:t>
                      </w:r>
                      <w:r w:rsidRPr="00FF3244">
                        <w:t>819 local health department (LHD)</w:t>
                      </w:r>
                      <w:r>
                        <w:t xml:space="preserve"> preparedness coordinators and/or local health</w:t>
                      </w:r>
                      <w:r w:rsidRPr="00FF3244">
                        <w:t xml:space="preserve"> officials</w:t>
                      </w:r>
                      <w:r>
                        <w:t xml:space="preserve"> (LHOs).</w:t>
                      </w:r>
                    </w:p>
                    <w:p w14:paraId="580D6E6D" w14:textId="77777777" w:rsidR="00FD28BD" w:rsidRPr="00FF3244" w:rsidRDefault="00FD28BD" w:rsidP="00786A2C">
                      <w:pPr>
                        <w:tabs>
                          <w:tab w:val="clear" w:pos="9360"/>
                        </w:tabs>
                        <w:ind w:left="0"/>
                      </w:pPr>
                    </w:p>
                    <w:p w14:paraId="00C5589A" w14:textId="208B4C7A" w:rsidR="00FD28BD" w:rsidRPr="00FF3244" w:rsidRDefault="00FD28BD" w:rsidP="00786A2C">
                      <w:pPr>
                        <w:pStyle w:val="ListParagraph"/>
                        <w:numPr>
                          <w:ilvl w:val="0"/>
                          <w:numId w:val="8"/>
                        </w:numPr>
                        <w:tabs>
                          <w:tab w:val="clear" w:pos="9360"/>
                        </w:tabs>
                      </w:pPr>
                      <w:r>
                        <w:rPr>
                          <w:b/>
                        </w:rPr>
                        <w:t xml:space="preserve">How data will be analyzed: </w:t>
                      </w:r>
                      <w:r w:rsidRPr="00FF3244">
                        <w:t>Responses to quantitative, close-ended questions will be analyzed using distributional descriptive statistics (frequencies, means, and ranges). Additional analyses might be needed to compare subgroups, or to examine measurements by strata (small, medium, and large LHDs). Responses to qualitative, open-ended questions will be analyzed thematically. All data will be reported in aggregate.</w:t>
                      </w:r>
                    </w:p>
                    <w:p w14:paraId="0C6BFE3C" w14:textId="49AC3CE1" w:rsidR="00FD28BD" w:rsidRPr="00FF3244" w:rsidRDefault="00FD28BD" w:rsidP="00C55AB1">
                      <w:pPr>
                        <w:tabs>
                          <w:tab w:val="clear" w:pos="9360"/>
                        </w:tabs>
                        <w:ind w:left="0"/>
                      </w:pPr>
                    </w:p>
                    <w:p w14:paraId="0FA71E6E" w14:textId="4C3AC5C3" w:rsidR="00FD28BD" w:rsidRDefault="00FD28BD" w:rsidP="00786A2C">
                      <w:pPr>
                        <w:ind w:left="0"/>
                      </w:pPr>
                    </w:p>
                  </w:txbxContent>
                </v:textbox>
                <w10:wrap type="square" anchorx="margin"/>
              </v:shape>
            </w:pict>
          </mc:Fallback>
        </mc:AlternateContent>
      </w:r>
    </w:p>
    <w:p w14:paraId="22CA9FEA" w14:textId="041C21C8" w:rsidR="00CD1EA8" w:rsidRPr="007D6163" w:rsidRDefault="00CD1EA8" w:rsidP="00CA5840">
      <w:pPr>
        <w:pStyle w:val="Heading3"/>
        <w:ind w:left="0"/>
      </w:pPr>
      <w:r w:rsidRPr="007D6163">
        <w:t>Section A</w:t>
      </w:r>
      <w:r w:rsidR="00B12F51" w:rsidRPr="007D6163">
        <w:t xml:space="preserve"> – Justification</w:t>
      </w:r>
      <w:bookmarkEnd w:id="2"/>
    </w:p>
    <w:p w14:paraId="526594D2" w14:textId="77777777" w:rsidR="00B12F51" w:rsidRDefault="00B12F51" w:rsidP="007D6163"/>
    <w:p w14:paraId="1E0B1AB3" w14:textId="77777777" w:rsidR="00CD1EA8" w:rsidRPr="007D6163" w:rsidRDefault="00B12F51" w:rsidP="00692DEB">
      <w:pPr>
        <w:pStyle w:val="Heading4"/>
      </w:pPr>
      <w:bookmarkStart w:id="3" w:name="_Toc427752814"/>
      <w:r w:rsidRPr="00692DEB">
        <w:t>Circumstances</w:t>
      </w:r>
      <w:r w:rsidRPr="007D6163">
        <w:t xml:space="preserve"> Making the Collection of Information </w:t>
      </w:r>
      <w:r w:rsidRPr="00692DEB">
        <w:t>Necessary</w:t>
      </w:r>
      <w:bookmarkEnd w:id="3"/>
    </w:p>
    <w:p w14:paraId="2B0C19C6" w14:textId="77777777" w:rsidR="00E33E1B" w:rsidRPr="007D6163" w:rsidRDefault="00E33E1B" w:rsidP="007B7C44">
      <w:pPr>
        <w:pStyle w:val="Heading5"/>
        <w:spacing w:after="120"/>
        <w:ind w:left="360"/>
      </w:pPr>
      <w:r w:rsidRPr="008B12FA">
        <w:t>Background</w:t>
      </w:r>
    </w:p>
    <w:p w14:paraId="6D2B0BB7" w14:textId="111D6E47" w:rsidR="00E02389" w:rsidRDefault="004F67A8" w:rsidP="00DF33F1">
      <w:pPr>
        <w:ind w:left="360"/>
      </w:pPr>
      <w:r w:rsidRPr="00F3647E">
        <w:t xml:space="preserve">This </w:t>
      </w:r>
      <w:r w:rsidR="00157413" w:rsidRPr="00F3647E">
        <w:t>information collection</w:t>
      </w:r>
      <w:r w:rsidR="00484011" w:rsidRPr="00F3647E">
        <w:t xml:space="preserve"> is being conducted </w:t>
      </w:r>
      <w:r w:rsidR="009252DC" w:rsidRPr="00F3647E">
        <w:t>using</w:t>
      </w:r>
      <w:r w:rsidR="00484011" w:rsidRPr="00F3647E">
        <w:t xml:space="preserve"> the</w:t>
      </w:r>
      <w:r w:rsidR="00701532">
        <w:t xml:space="preserve"> Generic Information Collection </w:t>
      </w:r>
      <w:r w:rsidR="00484011" w:rsidRPr="00F3647E">
        <w:t xml:space="preserve">mechanism </w:t>
      </w:r>
      <w:r w:rsidR="00157413" w:rsidRPr="00F3647E">
        <w:t>of the OSTLTS OMB Clearance Center</w:t>
      </w:r>
      <w:r w:rsidR="009252DC" w:rsidRPr="00F3647E">
        <w:t xml:space="preserve"> (O</w:t>
      </w:r>
      <w:r w:rsidR="00157413" w:rsidRPr="00F3647E">
        <w:t>2</w:t>
      </w:r>
      <w:r w:rsidR="009252DC" w:rsidRPr="00F3647E">
        <w:t>C</w:t>
      </w:r>
      <w:r w:rsidR="00157413" w:rsidRPr="00F3647E">
        <w:t>2</w:t>
      </w:r>
      <w:r w:rsidR="009252DC" w:rsidRPr="00F3647E">
        <w:t xml:space="preserve">) </w:t>
      </w:r>
      <w:r w:rsidR="00484011" w:rsidRPr="00F3647E">
        <w:t>– OMB No. 0920-0879</w:t>
      </w:r>
      <w:r w:rsidRPr="00F3647E">
        <w:t>.</w:t>
      </w:r>
      <w:r w:rsidR="009252DC" w:rsidRPr="00F3647E">
        <w:t xml:space="preserve"> The respondent universe for this </w:t>
      </w:r>
      <w:r w:rsidR="00157413" w:rsidRPr="00F3647E">
        <w:t>information collection aligns with that of the O2C2.</w:t>
      </w:r>
      <w:r w:rsidR="009252DC" w:rsidRPr="00F3647E">
        <w:t xml:space="preserve"> </w:t>
      </w:r>
      <w:r w:rsidR="0019164D" w:rsidRPr="00F3647E">
        <w:t>Data will be collected from</w:t>
      </w:r>
      <w:r w:rsidR="006C54FB">
        <w:t xml:space="preserve"> </w:t>
      </w:r>
      <w:r w:rsidR="008B12FA" w:rsidRPr="00F3647E">
        <w:t xml:space="preserve">a total of </w:t>
      </w:r>
      <w:r w:rsidR="00DC6230" w:rsidRPr="005A36ED">
        <w:t>87</w:t>
      </w:r>
      <w:r w:rsidR="00E72145" w:rsidRPr="005A36ED">
        <w:t>8</w:t>
      </w:r>
      <w:r w:rsidR="001E7537" w:rsidRPr="00F3647E">
        <w:t xml:space="preserve"> respondent</w:t>
      </w:r>
      <w:r w:rsidR="00613BCF" w:rsidRPr="00F3647E">
        <w:t>s</w:t>
      </w:r>
      <w:r w:rsidR="00800CBE">
        <w:t xml:space="preserve">. </w:t>
      </w:r>
      <w:r w:rsidR="00E72145" w:rsidRPr="00F3647E">
        <w:t>A</w:t>
      </w:r>
      <w:r w:rsidR="008B12FA" w:rsidRPr="00F3647E">
        <w:t>cting in their official capacities</w:t>
      </w:r>
      <w:r w:rsidR="00E72145" w:rsidRPr="00F3647E">
        <w:t>,</w:t>
      </w:r>
      <w:r w:rsidR="008B12FA" w:rsidRPr="00F3647E">
        <w:t xml:space="preserve"> </w:t>
      </w:r>
      <w:r w:rsidR="00E72145" w:rsidRPr="00F3647E">
        <w:t xml:space="preserve">respondents will </w:t>
      </w:r>
      <w:r w:rsidR="008B12FA" w:rsidRPr="00F3647E">
        <w:t>include</w:t>
      </w:r>
      <w:r w:rsidR="00E02389">
        <w:t>:</w:t>
      </w:r>
    </w:p>
    <w:p w14:paraId="0943198A" w14:textId="428AE588" w:rsidR="00E02389" w:rsidRDefault="00B61B96" w:rsidP="00E02389">
      <w:pPr>
        <w:pStyle w:val="ListParagraph"/>
        <w:numPr>
          <w:ilvl w:val="0"/>
          <w:numId w:val="39"/>
        </w:numPr>
      </w:pPr>
      <w:r w:rsidRPr="005A36ED">
        <w:t>59</w:t>
      </w:r>
      <w:r w:rsidRPr="00F3647E">
        <w:t xml:space="preserve"> </w:t>
      </w:r>
      <w:r w:rsidR="0079611F">
        <w:t>Directors of Public Health Preparedness</w:t>
      </w:r>
      <w:r w:rsidRPr="00F3647E">
        <w:t xml:space="preserve"> of all 50 </w:t>
      </w:r>
      <w:r w:rsidR="00E72145" w:rsidRPr="00F3647E">
        <w:t xml:space="preserve">U.S. </w:t>
      </w:r>
      <w:r w:rsidRPr="00F3647E">
        <w:t xml:space="preserve">states, </w:t>
      </w:r>
      <w:r w:rsidR="00D13265" w:rsidRPr="00F3647E">
        <w:t>the District of Columbia (</w:t>
      </w:r>
      <w:r w:rsidRPr="00F3647E">
        <w:t>D</w:t>
      </w:r>
      <w:r w:rsidR="00E72145" w:rsidRPr="00F3647E">
        <w:t>.</w:t>
      </w:r>
      <w:r w:rsidRPr="00F3647E">
        <w:t>C</w:t>
      </w:r>
      <w:r w:rsidR="00E72145" w:rsidRPr="00F3647E">
        <w:t>.</w:t>
      </w:r>
      <w:r w:rsidR="00D13265" w:rsidRPr="00F3647E">
        <w:t>)</w:t>
      </w:r>
      <w:r w:rsidRPr="00F3647E">
        <w:t xml:space="preserve">, and </w:t>
      </w:r>
      <w:r w:rsidR="00A83BEA" w:rsidRPr="00F3647E">
        <w:t xml:space="preserve">8 </w:t>
      </w:r>
      <w:r w:rsidRPr="00F3647E">
        <w:t>U.S. territories</w:t>
      </w:r>
      <w:r w:rsidR="003E0B53">
        <w:t>.</w:t>
      </w:r>
    </w:p>
    <w:p w14:paraId="523A37F5" w14:textId="64B9EB8E" w:rsidR="00DF33F1" w:rsidRPr="00B6556D" w:rsidRDefault="00B61B96" w:rsidP="00E02389">
      <w:pPr>
        <w:pStyle w:val="ListParagraph"/>
        <w:numPr>
          <w:ilvl w:val="0"/>
          <w:numId w:val="39"/>
        </w:numPr>
      </w:pPr>
      <w:r w:rsidRPr="00F3647E">
        <w:t>81</w:t>
      </w:r>
      <w:r w:rsidR="00E72145" w:rsidRPr="00F3647E">
        <w:t>9</w:t>
      </w:r>
      <w:r w:rsidR="00E02389">
        <w:t xml:space="preserve"> local health department (LHD) preparedness coordinators and/or local health </w:t>
      </w:r>
      <w:r w:rsidRPr="00F3647E">
        <w:t>officials</w:t>
      </w:r>
      <w:r w:rsidR="00E02389">
        <w:t xml:space="preserve"> (LHOs) from 385 small LHDs, 309 medium LHDs, and 125 large LHDs across 47 </w:t>
      </w:r>
      <w:r w:rsidR="00E02389" w:rsidRPr="00B6556D">
        <w:t xml:space="preserve">states (see </w:t>
      </w:r>
      <w:r w:rsidR="00E02389" w:rsidRPr="00B6556D">
        <w:rPr>
          <w:b/>
        </w:rPr>
        <w:t>Attachment</w:t>
      </w:r>
      <w:r w:rsidR="00B6556D" w:rsidRPr="00B6556D">
        <w:rPr>
          <w:b/>
        </w:rPr>
        <w:t xml:space="preserve"> A: Respondent Universe and Sample </w:t>
      </w:r>
      <w:r w:rsidR="00E02389" w:rsidRPr="00B6556D">
        <w:rPr>
          <w:b/>
        </w:rPr>
        <w:t>Table</w:t>
      </w:r>
      <w:r w:rsidR="00B6556D" w:rsidRPr="00B6556D">
        <w:rPr>
          <w:b/>
        </w:rPr>
        <w:t>s</w:t>
      </w:r>
      <w:r w:rsidR="00E02389" w:rsidRPr="00B6556D">
        <w:t>)</w:t>
      </w:r>
      <w:r w:rsidR="008B12FA" w:rsidRPr="00B6556D">
        <w:t>.</w:t>
      </w:r>
      <w:r w:rsidR="00613BCF" w:rsidRPr="00B6556D">
        <w:t xml:space="preserve"> </w:t>
      </w:r>
    </w:p>
    <w:p w14:paraId="28108E9D" w14:textId="77777777" w:rsidR="009252DC" w:rsidRDefault="009252DC" w:rsidP="007B7C44">
      <w:pPr>
        <w:ind w:left="1080"/>
      </w:pPr>
    </w:p>
    <w:p w14:paraId="1E3BF826" w14:textId="6BCF1B6E" w:rsidR="001E7537" w:rsidRPr="00F3647E" w:rsidRDefault="00350C8C" w:rsidP="007B7C44">
      <w:pPr>
        <w:ind w:left="360"/>
        <w:rPr>
          <w:i/>
          <w:iCs/>
        </w:rPr>
      </w:pPr>
      <w:r w:rsidRPr="00F3647E">
        <w:t xml:space="preserve">This </w:t>
      </w:r>
      <w:r w:rsidR="00157413" w:rsidRPr="00F3647E">
        <w:t>information collection</w:t>
      </w:r>
      <w:r w:rsidRPr="00F3647E">
        <w:t xml:space="preserve"> is authorized by Section 301 of the Public Health Service Act (42 U.S.C. 241).</w:t>
      </w:r>
      <w:r w:rsidR="001E7537" w:rsidRPr="00F3647E">
        <w:t xml:space="preserve"> </w:t>
      </w:r>
      <w:r w:rsidR="001E7537" w:rsidRPr="00F3647E">
        <w:rPr>
          <w:iCs/>
        </w:rPr>
        <w:t xml:space="preserve">This information collection falls under the essential public health service(s) of </w:t>
      </w:r>
      <w:r w:rsidR="00135324" w:rsidRPr="00F3647E">
        <w:rPr>
          <w:iCs/>
        </w:rPr>
        <w:t>#3) Informing, educating, and empowering pe</w:t>
      </w:r>
      <w:r w:rsidR="00D05BFE">
        <w:rPr>
          <w:iCs/>
        </w:rPr>
        <w:t>ople about health issues, and #</w:t>
      </w:r>
      <w:r w:rsidR="00135324" w:rsidRPr="00F3647E">
        <w:rPr>
          <w:iCs/>
        </w:rPr>
        <w:t>5) Development of policies and plans that support individual and community health efforts:</w:t>
      </w:r>
    </w:p>
    <w:p w14:paraId="7DAB9ED8" w14:textId="77777777" w:rsidR="00350C8C" w:rsidRPr="00774689" w:rsidRDefault="00350C8C" w:rsidP="007B7C44">
      <w:pPr>
        <w:ind w:left="360"/>
      </w:pPr>
    </w:p>
    <w:p w14:paraId="3BF9CAE4"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bookmarkStart w:id="4" w:name="Check25"/>
      <w:r w:rsidRPr="00774689">
        <w:rPr>
          <w:rFonts w:ascii="Shruti" w:eastAsia="Times New Roman" w:hAnsi="Shruti" w:cs="Shruti"/>
          <w:sz w:val="16"/>
          <w:szCs w:val="14"/>
        </w:rPr>
        <w:instrText xml:space="preserve"> FORMCHECKBOX </w:instrText>
      </w:r>
      <w:r w:rsidR="00687FC7">
        <w:rPr>
          <w:rFonts w:ascii="Shruti" w:eastAsia="Times New Roman" w:hAnsi="Shruti" w:cs="Shruti"/>
          <w:sz w:val="16"/>
          <w:szCs w:val="14"/>
        </w:rPr>
      </w:r>
      <w:r w:rsidR="00687FC7">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bookmarkEnd w:id="4"/>
      <w:r w:rsidRPr="00774689">
        <w:rPr>
          <w:rFonts w:ascii="Shruti" w:eastAsia="Times New Roman" w:hAnsi="Shruti" w:cs="Shruti"/>
          <w:sz w:val="16"/>
          <w:szCs w:val="14"/>
        </w:rPr>
        <w:t xml:space="preserve"> </w:t>
      </w:r>
      <w:r w:rsidR="00F45451" w:rsidRPr="00774689">
        <w:t>1. M</w:t>
      </w:r>
      <w:r w:rsidR="00587C72" w:rsidRPr="00774689">
        <w:t>onitoring health status to identify community health problems</w:t>
      </w:r>
    </w:p>
    <w:p w14:paraId="78E96192"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687FC7">
        <w:rPr>
          <w:rFonts w:ascii="Shruti" w:eastAsia="Times New Roman" w:hAnsi="Shruti" w:cs="Shruti"/>
          <w:sz w:val="16"/>
          <w:szCs w:val="14"/>
        </w:rPr>
      </w:r>
      <w:r w:rsidR="00687FC7">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F45451" w:rsidRPr="00774689">
        <w:t>2. D</w:t>
      </w:r>
      <w:r w:rsidR="00587C72" w:rsidRPr="00774689">
        <w:t>iagnosing and investigating health problems and health hazards in the community</w:t>
      </w:r>
    </w:p>
    <w:p w14:paraId="2C510897" w14:textId="77777777" w:rsidR="00587C72" w:rsidRPr="00774689" w:rsidRDefault="00B40E26" w:rsidP="007B7C44">
      <w:pPr>
        <w:ind w:left="36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687FC7">
        <w:rPr>
          <w:rFonts w:ascii="Shruti" w:eastAsia="Times New Roman" w:hAnsi="Shruti" w:cs="Shruti"/>
          <w:sz w:val="16"/>
          <w:szCs w:val="14"/>
        </w:rPr>
      </w:r>
      <w:r w:rsidR="00687FC7">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F45451" w:rsidRPr="00774689">
        <w:t>3. I</w:t>
      </w:r>
      <w:r w:rsidR="00587C72" w:rsidRPr="00774689">
        <w:t>nforming, educating, and empowering people about health issues</w:t>
      </w:r>
    </w:p>
    <w:p w14:paraId="3BC347B9"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687FC7">
        <w:rPr>
          <w:rFonts w:ascii="Shruti" w:eastAsia="Times New Roman" w:hAnsi="Shruti" w:cs="Shruti"/>
          <w:sz w:val="16"/>
          <w:szCs w:val="14"/>
        </w:rPr>
      </w:r>
      <w:r w:rsidR="00687FC7">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4. M</w:t>
      </w:r>
      <w:r w:rsidR="00587C72" w:rsidRPr="00774689">
        <w:t>obilizing community partnerships to identify and solve health problems</w:t>
      </w:r>
    </w:p>
    <w:p w14:paraId="4DA346E5" w14:textId="77777777" w:rsidR="00587C72" w:rsidRPr="00774689" w:rsidRDefault="00125B57" w:rsidP="007B7C44">
      <w:pPr>
        <w:ind w:left="36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687FC7">
        <w:rPr>
          <w:rFonts w:ascii="Shruti" w:eastAsia="Times New Roman" w:hAnsi="Shruti" w:cs="Shruti"/>
          <w:sz w:val="16"/>
          <w:szCs w:val="14"/>
        </w:rPr>
      </w:r>
      <w:r w:rsidR="00687FC7">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5. D</w:t>
      </w:r>
      <w:r w:rsidR="00587C72" w:rsidRPr="00774689">
        <w:t>evelopment of policies and plans that support individual and community health efforts</w:t>
      </w:r>
    </w:p>
    <w:p w14:paraId="0BE38BFF"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687FC7">
        <w:rPr>
          <w:rFonts w:ascii="Shruti" w:eastAsia="Times New Roman" w:hAnsi="Shruti" w:cs="Shruti"/>
          <w:sz w:val="16"/>
          <w:szCs w:val="14"/>
        </w:rPr>
      </w:r>
      <w:r w:rsidR="00687FC7">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6. E</w:t>
      </w:r>
      <w:r w:rsidR="00587C72" w:rsidRPr="00774689">
        <w:t>nforcement of laws and regulations that pr</w:t>
      </w:r>
      <w:r w:rsidR="008E3D8D" w:rsidRPr="00774689">
        <w:t>otect health and ensure safety</w:t>
      </w:r>
    </w:p>
    <w:p w14:paraId="337E7015" w14:textId="77777777" w:rsidR="00481D80"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687FC7">
        <w:rPr>
          <w:rFonts w:ascii="Shruti" w:eastAsia="Times New Roman" w:hAnsi="Shruti" w:cs="Shruti"/>
          <w:sz w:val="16"/>
          <w:szCs w:val="14"/>
        </w:rPr>
      </w:r>
      <w:r w:rsidR="00687FC7">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7. L</w:t>
      </w:r>
      <w:r w:rsidR="00587C72" w:rsidRPr="00774689">
        <w:t xml:space="preserve">inking people to needed personal health services and assure the provision of health care </w:t>
      </w:r>
    </w:p>
    <w:p w14:paraId="149EA32F" w14:textId="77777777" w:rsidR="00587C72" w:rsidRPr="00774689" w:rsidRDefault="00481D80" w:rsidP="00EA3A4A">
      <w:pPr>
        <w:ind w:left="360"/>
      </w:pPr>
      <w:r w:rsidRPr="00774689">
        <w:t xml:space="preserve">            </w:t>
      </w:r>
      <w:r w:rsidR="00587C72" w:rsidRPr="00774689">
        <w:t>when otherwise unavailable</w:t>
      </w:r>
    </w:p>
    <w:p w14:paraId="24E6F57A"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687FC7">
        <w:rPr>
          <w:rFonts w:ascii="Shruti" w:eastAsia="Times New Roman" w:hAnsi="Shruti" w:cs="Shruti"/>
          <w:sz w:val="16"/>
          <w:szCs w:val="14"/>
        </w:rPr>
      </w:r>
      <w:r w:rsidR="00687FC7">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8. A</w:t>
      </w:r>
      <w:r w:rsidR="00587C72" w:rsidRPr="00774689">
        <w:t>ssuring a competent public health and personal health care workforce</w:t>
      </w:r>
    </w:p>
    <w:p w14:paraId="4B641406" w14:textId="77777777" w:rsidR="00EA3A4A" w:rsidRDefault="00B63CF3" w:rsidP="00EA3A4A">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687FC7">
        <w:rPr>
          <w:rFonts w:ascii="Shruti" w:eastAsia="Times New Roman" w:hAnsi="Shruti" w:cs="Shruti"/>
          <w:sz w:val="16"/>
          <w:szCs w:val="14"/>
        </w:rPr>
      </w:r>
      <w:r w:rsidR="00687FC7">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9. E</w:t>
      </w:r>
      <w:r w:rsidR="00587C72" w:rsidRPr="00774689">
        <w:t>valuating effectiveness, accessibility, and quality o</w:t>
      </w:r>
      <w:r w:rsidR="00EA3A4A">
        <w:t xml:space="preserve">f personal and population-based  </w:t>
      </w:r>
    </w:p>
    <w:p w14:paraId="596107B0" w14:textId="77777777" w:rsidR="00587C72" w:rsidRPr="00774689" w:rsidRDefault="00EA3A4A" w:rsidP="00EA3A4A">
      <w:r>
        <w:t xml:space="preserve">     </w:t>
      </w:r>
      <w:r w:rsidRPr="00774689">
        <w:t>health services</w:t>
      </w:r>
    </w:p>
    <w:p w14:paraId="7A70DF26" w14:textId="77777777" w:rsidR="00481D80" w:rsidRDefault="00B63CF3" w:rsidP="007B7C44">
      <w:pPr>
        <w:ind w:left="360"/>
        <w:rPr>
          <w:iCs/>
          <w:vertAlign w:val="superscript"/>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687FC7">
        <w:rPr>
          <w:rFonts w:ascii="Shruti" w:eastAsia="Times New Roman" w:hAnsi="Shruti" w:cs="Shruti"/>
          <w:sz w:val="16"/>
          <w:szCs w:val="14"/>
        </w:rPr>
      </w:r>
      <w:r w:rsidR="00687FC7">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10. R</w:t>
      </w:r>
      <w:r w:rsidR="00587C72" w:rsidRPr="00774689">
        <w:t>esearch for new insights and innovative solutions to health problems</w:t>
      </w:r>
      <w:r w:rsidR="00587C72" w:rsidRPr="00774689">
        <w:rPr>
          <w:iCs/>
          <w:vertAlign w:val="superscript"/>
        </w:rPr>
        <w:t xml:space="preserve"> 1</w:t>
      </w:r>
    </w:p>
    <w:p w14:paraId="572DAA71" w14:textId="77777777" w:rsidR="00A62C98" w:rsidRPr="005001FB" w:rsidRDefault="00A62C98" w:rsidP="00EA3A4A">
      <w:pPr>
        <w:ind w:left="0"/>
        <w:rPr>
          <w:iCs/>
        </w:rPr>
      </w:pPr>
    </w:p>
    <w:p w14:paraId="0DF091C9" w14:textId="11183CAF" w:rsidR="00470B19" w:rsidRPr="005F0E47" w:rsidRDefault="005F0E47" w:rsidP="00183722">
      <w:pPr>
        <w:ind w:left="360"/>
        <w:rPr>
          <w:iCs/>
          <w:color w:val="0070C0"/>
          <w:vertAlign w:val="superscript"/>
        </w:rPr>
      </w:pPr>
      <w:r w:rsidRPr="00FE6F14">
        <w:t>The information c</w:t>
      </w:r>
      <w:r w:rsidR="00953282">
        <w:t xml:space="preserve">ollection for which approval is </w:t>
      </w:r>
      <w:r w:rsidRPr="00FE6F14">
        <w:t>sought is in accordanc</w:t>
      </w:r>
      <w:r w:rsidR="00F27E92" w:rsidRPr="00FE6F14">
        <w:t xml:space="preserve">e with the mission of the Division of Global Migration and Quarantine (DGMQ), </w:t>
      </w:r>
      <w:r w:rsidR="00953282">
        <w:t xml:space="preserve">Centers for Disease Control and </w:t>
      </w:r>
      <w:r w:rsidR="00F27E92" w:rsidRPr="00FE6F14">
        <w:t xml:space="preserve">Prevention (CDC), </w:t>
      </w:r>
      <w:r w:rsidR="00581E61" w:rsidRPr="00FE6F14">
        <w:t xml:space="preserve">which is </w:t>
      </w:r>
      <w:r w:rsidRPr="00FE6F14">
        <w:t>to prevent the introduct</w:t>
      </w:r>
      <w:r w:rsidR="00953282">
        <w:t xml:space="preserve">ion, transmission, or spread of </w:t>
      </w:r>
      <w:r w:rsidRPr="00FE6F14">
        <w:t>communicable diseases within the United States</w:t>
      </w:r>
      <w:r w:rsidR="00C564B4" w:rsidRPr="00FE6F14">
        <w:t xml:space="preserve"> (U.S.) </w:t>
      </w:r>
      <w:r w:rsidRPr="00FE6F14">
        <w:t>and its t</w:t>
      </w:r>
      <w:r w:rsidR="008573F6">
        <w:t>erritories.</w:t>
      </w:r>
    </w:p>
    <w:p w14:paraId="6115929A" w14:textId="4E59A657" w:rsidR="00470B19" w:rsidRDefault="00470B19" w:rsidP="00183722">
      <w:pPr>
        <w:ind w:left="360"/>
        <w:rPr>
          <w:color w:val="0070C0"/>
        </w:rPr>
      </w:pPr>
    </w:p>
    <w:p w14:paraId="604F27DA" w14:textId="2547B9A7" w:rsidR="005F0E47" w:rsidRPr="00FE6F14" w:rsidRDefault="005F0E47" w:rsidP="00183722">
      <w:pPr>
        <w:ind w:left="360"/>
      </w:pPr>
      <w:r w:rsidRPr="00FE6F14">
        <w:t xml:space="preserve">As part of their “all hazards” emergency preparedness and response activities, </w:t>
      </w:r>
      <w:r w:rsidR="000B24B6" w:rsidRPr="00FE6F14">
        <w:t>state, tribal, local, and territorial (</w:t>
      </w:r>
      <w:r w:rsidRPr="00FE6F14">
        <w:t>STLT</w:t>
      </w:r>
      <w:r w:rsidR="000B24B6" w:rsidRPr="00FE6F14">
        <w:t>)</w:t>
      </w:r>
      <w:r w:rsidRPr="00FE6F14">
        <w:t xml:space="preserve"> public health departments deve</w:t>
      </w:r>
      <w:r w:rsidR="00953282">
        <w:t xml:space="preserve">lop pandemic influenza plans or </w:t>
      </w:r>
      <w:r w:rsidRPr="00FE6F14">
        <w:t xml:space="preserve">annexes that include </w:t>
      </w:r>
      <w:r w:rsidR="000F2720" w:rsidRPr="00FE6F14">
        <w:t>non-pharmaceutical interventions (</w:t>
      </w:r>
      <w:r w:rsidRPr="00FE6F14">
        <w:t>NPIs</w:t>
      </w:r>
      <w:r w:rsidR="000F2720" w:rsidRPr="00FE6F14">
        <w:t>)</w:t>
      </w:r>
      <w:r w:rsidRPr="00FE6F14">
        <w:t xml:space="preserve"> as a critical countermeasure, along with pandemic influenza vaccination and antiviral medications. NPIs also are listed as one of 15 capabilities in the </w:t>
      </w:r>
      <w:r w:rsidRPr="00FE6F14">
        <w:rPr>
          <w:i/>
        </w:rPr>
        <w:t>CDC Public Health Preparedness Capabilities: National Standards for State and Local Planning</w:t>
      </w:r>
      <w:r w:rsidR="00B10857">
        <w:t>.</w:t>
      </w:r>
      <w:r w:rsidR="001E48C6" w:rsidRPr="00FE6F14">
        <w:rPr>
          <w:rStyle w:val="Hyperlink"/>
          <w:color w:val="auto"/>
          <w:u w:val="none"/>
          <w:vertAlign w:val="superscript"/>
        </w:rPr>
        <w:t>2</w:t>
      </w:r>
    </w:p>
    <w:p w14:paraId="491147CF" w14:textId="77777777" w:rsidR="005F0E47" w:rsidRPr="00FE6F14" w:rsidRDefault="005F0E47" w:rsidP="00183722">
      <w:pPr>
        <w:ind w:left="360"/>
      </w:pPr>
    </w:p>
    <w:p w14:paraId="13A5FBD5" w14:textId="7C966083" w:rsidR="00470B19" w:rsidRDefault="00470B19" w:rsidP="00183722">
      <w:pPr>
        <w:ind w:left="360"/>
      </w:pPr>
      <w:r w:rsidRPr="00FE6F14">
        <w:t xml:space="preserve">On </w:t>
      </w:r>
      <w:r w:rsidR="00953282">
        <w:t xml:space="preserve">April 21, 2017, </w:t>
      </w:r>
      <w:r w:rsidRPr="00FE6F14">
        <w:t xml:space="preserve">HHS and CDC released updated pre-pandemic planning guidelines entitled </w:t>
      </w:r>
      <w:r w:rsidRPr="00FE6F14">
        <w:rPr>
          <w:i/>
        </w:rPr>
        <w:t>Community Mitigation Guidelines to Prevent Pandemic Influenza – United States, 2017</w:t>
      </w:r>
      <w:r w:rsidRPr="00FE6F14">
        <w:t>.</w:t>
      </w:r>
      <w:r w:rsidR="001E48C6" w:rsidRPr="00FE6F14">
        <w:rPr>
          <w:vertAlign w:val="superscript"/>
        </w:rPr>
        <w:t>3</w:t>
      </w:r>
      <w:r w:rsidR="00953282">
        <w:t xml:space="preserve"> </w:t>
      </w:r>
      <w:r w:rsidRPr="00FE6F14">
        <w:t xml:space="preserve">The updated </w:t>
      </w:r>
      <w:r w:rsidR="00E644A6" w:rsidRPr="00FE6F14">
        <w:t>g</w:t>
      </w:r>
      <w:r w:rsidRPr="00FE6F14">
        <w:t>uidelines encourage STLT public health officials to plan and prepare for implementing NPIs early in a</w:t>
      </w:r>
      <w:r w:rsidR="00E644A6" w:rsidRPr="00FE6F14">
        <w:t>n influenza</w:t>
      </w:r>
      <w:r w:rsidRPr="00FE6F14">
        <w:t xml:space="preserve"> pandemic in community settings; summarize key lessons learned from the 2009 H1N1 pandemic response; describe new or updated pandemic planning and assessment tools; and provide the latest scientific findings </w:t>
      </w:r>
      <w:r w:rsidR="00974203">
        <w:t>to support updated</w:t>
      </w:r>
      <w:r w:rsidR="005001FB">
        <w:t xml:space="preserve"> </w:t>
      </w:r>
      <w:r w:rsidR="00974203">
        <w:t xml:space="preserve">recommendations </w:t>
      </w:r>
      <w:r w:rsidRPr="00FE6F14">
        <w:t>on the use of NPIs</w:t>
      </w:r>
      <w:r w:rsidR="00974203">
        <w:t xml:space="preserve"> to help slow the spread and decrease the impact of an influenza pandemic.</w:t>
      </w:r>
    </w:p>
    <w:p w14:paraId="2C1394B5" w14:textId="55073C28" w:rsidR="005B10E4" w:rsidRDefault="005B10E4" w:rsidP="00974203">
      <w:pPr>
        <w:ind w:left="0"/>
      </w:pPr>
    </w:p>
    <w:p w14:paraId="2E96AD05" w14:textId="4CA62181" w:rsidR="00E47FEE" w:rsidRDefault="0002423E" w:rsidP="002F0CB5">
      <w:pPr>
        <w:ind w:left="360"/>
      </w:pPr>
      <w:r>
        <w:t xml:space="preserve">The 2017 guidelines delineate NPIs into 2 categories: 1) NPIs recommended at all times, and 2) NPIs reserved for influenza pandemics. Categories of </w:t>
      </w:r>
      <w:r w:rsidRPr="00994B94">
        <w:rPr>
          <w:i/>
        </w:rPr>
        <w:t>NPIs recommended at all times and in all settings</w:t>
      </w:r>
      <w:r>
        <w:t xml:space="preserve"> include personal protective measures for everyday use (voluntary home isolation of ill persons, respiratory etiquette, and hand hygiene) and environmental surface cleaning measures (routine cleaning of frequently touched surfaces and objects)</w:t>
      </w:r>
      <w:r w:rsidR="008040FC">
        <w:t>. During an influenza pandemic, these NPIs will be recommended regardless of the pandemic severity level.</w:t>
      </w:r>
      <w:r w:rsidR="00FC6B9C">
        <w:t xml:space="preserve"> </w:t>
      </w:r>
      <w:r w:rsidR="001A78F2" w:rsidRPr="00FE6F14">
        <w:t xml:space="preserve">Categories of </w:t>
      </w:r>
      <w:r w:rsidR="001A78F2" w:rsidRPr="00FE6F14">
        <w:rPr>
          <w:i/>
        </w:rPr>
        <w:t>NPIs reserved for influenza pandemics</w:t>
      </w:r>
      <w:r w:rsidR="001A78F2" w:rsidRPr="00FE6F14">
        <w:t xml:space="preserve"> include pers</w:t>
      </w:r>
      <w:r w:rsidR="002F0CB5">
        <w:t>onal protective measures (</w:t>
      </w:r>
      <w:r w:rsidR="001A78F2" w:rsidRPr="00FE6F14">
        <w:t>voluntary home quarantine of exposed household members, and use of facemasks in community settings when ill) and community measures aimed at incr</w:t>
      </w:r>
      <w:r w:rsidR="002F0CB5">
        <w:t>easing social distancing (</w:t>
      </w:r>
      <w:r w:rsidR="00385CEA">
        <w:t xml:space="preserve">temporarily </w:t>
      </w:r>
      <w:r w:rsidR="00875F86">
        <w:t>closing or dis</w:t>
      </w:r>
      <w:r w:rsidR="00385CEA">
        <w:t>missing schools</w:t>
      </w:r>
      <w:r w:rsidR="009D0499" w:rsidRPr="009D0499">
        <w:rPr>
          <w:vertAlign w:val="superscript"/>
        </w:rPr>
        <w:t>4</w:t>
      </w:r>
      <w:r w:rsidR="001A78F2" w:rsidRPr="00FE6F14">
        <w:t>, limiting face-to-face contact in workplaces, and postponing</w:t>
      </w:r>
      <w:r w:rsidR="00EF1E20">
        <w:t xml:space="preserve"> </w:t>
      </w:r>
      <w:r w:rsidR="00FC6B9C">
        <w:t xml:space="preserve">or cancelling mass gatherings). </w:t>
      </w:r>
      <w:r w:rsidR="00EF1E20">
        <w:t>During an influenza pandemic, these additional personal and community NPIs might be recommended depending on the overall pandemic severity and local conditions</w:t>
      </w:r>
      <w:r w:rsidR="00BD3F0E">
        <w:t>.</w:t>
      </w:r>
    </w:p>
    <w:p w14:paraId="4261D84B" w14:textId="77777777" w:rsidR="00E47FEE" w:rsidRDefault="00E47FEE" w:rsidP="002F0CB5">
      <w:pPr>
        <w:ind w:left="360"/>
      </w:pPr>
    </w:p>
    <w:p w14:paraId="622F657D" w14:textId="53F0B77D" w:rsidR="00DA1B0F" w:rsidRPr="00FC6B9C" w:rsidRDefault="00BD3F0E" w:rsidP="00E47FEE">
      <w:pPr>
        <w:ind w:left="360"/>
      </w:pPr>
      <w:r>
        <w:t xml:space="preserve">Local decisions about the selection and timing of </w:t>
      </w:r>
      <w:r w:rsidRPr="00BD3F0E">
        <w:rPr>
          <w:i/>
        </w:rPr>
        <w:t>NPIs reserved for influenza pandemics</w:t>
      </w:r>
      <w:r>
        <w:t xml:space="preserve"> </w:t>
      </w:r>
      <w:r w:rsidR="00E95973">
        <w:t xml:space="preserve">will </w:t>
      </w:r>
      <w:r>
        <w:t>require flexibility and modificat</w:t>
      </w:r>
      <w:r w:rsidR="00E47FEE">
        <w:t xml:space="preserve">ion as a </w:t>
      </w:r>
      <w:r>
        <w:t>pandemic progresses and new information becomes available.</w:t>
      </w:r>
      <w:r w:rsidR="00E47FEE">
        <w:t xml:space="preserve"> </w:t>
      </w:r>
      <w:r w:rsidR="00470B19" w:rsidRPr="00FE6F14">
        <w:t>As part of their ongoing pandemic influenza planning and prepar</w:t>
      </w:r>
      <w:r w:rsidR="00AB76EC" w:rsidRPr="00FE6F14">
        <w:t>edness</w:t>
      </w:r>
      <w:r w:rsidR="00470B19" w:rsidRPr="00FE6F14">
        <w:t xml:space="preserve"> activities, STLT public health officials will need to consider how to put the updated recommendations for </w:t>
      </w:r>
      <w:r w:rsidR="00470B19" w:rsidRPr="00FE6F14">
        <w:rPr>
          <w:i/>
        </w:rPr>
        <w:t>NPIs reserved for influenza pandemics</w:t>
      </w:r>
      <w:r w:rsidR="00470B19" w:rsidRPr="00FE6F14">
        <w:t xml:space="preserve"> into practice in their communities</w:t>
      </w:r>
      <w:r w:rsidR="00642A96">
        <w:t>.</w:t>
      </w:r>
      <w:r w:rsidR="00B53A5C" w:rsidDel="00B53A5C">
        <w:t xml:space="preserve"> </w:t>
      </w:r>
    </w:p>
    <w:p w14:paraId="2BD52A5D" w14:textId="65937B7F" w:rsidR="00786A2C" w:rsidRPr="00792084" w:rsidRDefault="00786A2C" w:rsidP="00792084">
      <w:pPr>
        <w:ind w:left="0"/>
      </w:pPr>
    </w:p>
    <w:p w14:paraId="2BC6F586" w14:textId="024E6495" w:rsidR="00786A2C" w:rsidRPr="00792084" w:rsidRDefault="00786A2C" w:rsidP="00792084">
      <w:pPr>
        <w:ind w:left="360"/>
      </w:pPr>
      <w:r w:rsidRPr="00792084">
        <w:t xml:space="preserve">This information collection will focus specifically on implementation of the above-mentioned </w:t>
      </w:r>
      <w:r w:rsidRPr="00792084">
        <w:rPr>
          <w:i/>
        </w:rPr>
        <w:t>NPIs reserved for influenza pandemics</w:t>
      </w:r>
      <w:r w:rsidRPr="00792084">
        <w:t xml:space="preserve"> during a severe pandemic</w:t>
      </w:r>
      <w:r w:rsidR="009B43C0" w:rsidRPr="00792084">
        <w:t>,</w:t>
      </w:r>
      <w:r w:rsidRPr="00792084">
        <w:t xml:space="preserve"> and will assess 3 important considerations when implementing </w:t>
      </w:r>
      <w:r w:rsidR="00984DE2" w:rsidRPr="00792084">
        <w:t xml:space="preserve">these NPIs </w:t>
      </w:r>
      <w:r w:rsidRPr="00792084">
        <w:t xml:space="preserve">in state, territorial, and local </w:t>
      </w:r>
      <w:r w:rsidR="009B43C0" w:rsidRPr="00792084">
        <w:t xml:space="preserve">public health jurisdictions: 1) </w:t>
      </w:r>
      <w:r w:rsidRPr="00792084">
        <w:t>the feas</w:t>
      </w:r>
      <w:r w:rsidR="00CC105A" w:rsidRPr="00792084">
        <w:t xml:space="preserve">ibility of implementing the NPI </w:t>
      </w:r>
      <w:r w:rsidRPr="00792084">
        <w:t>recommendations, 2) the level of acceptability of the NPI recommendations, and 3) the barriers to implementing the NPI recommendations</w:t>
      </w:r>
      <w:r w:rsidR="009B43C0" w:rsidRPr="00792084">
        <w:t xml:space="preserve"> (see </w:t>
      </w:r>
      <w:r w:rsidR="009B43C0" w:rsidRPr="00792084">
        <w:rPr>
          <w:b/>
        </w:rPr>
        <w:t>Attachment B: NPIs Reserved for Influenza Pandemics Table</w:t>
      </w:r>
      <w:r w:rsidR="009B43C0" w:rsidRPr="00792084">
        <w:t>)</w:t>
      </w:r>
      <w:r w:rsidRPr="00792084">
        <w:t xml:space="preserve">. </w:t>
      </w:r>
    </w:p>
    <w:p w14:paraId="36D685A7" w14:textId="0C407FF2" w:rsidR="00786A2C" w:rsidRPr="00792084" w:rsidRDefault="00786A2C" w:rsidP="00792084">
      <w:pPr>
        <w:ind w:left="0"/>
      </w:pPr>
    </w:p>
    <w:p w14:paraId="198525BB" w14:textId="700092CD" w:rsidR="00D94632" w:rsidRDefault="002D301E" w:rsidP="003A6A58">
      <w:pPr>
        <w:ind w:left="360"/>
      </w:pPr>
      <w:r w:rsidRPr="00A71060">
        <w:t xml:space="preserve">The </w:t>
      </w:r>
      <w:r w:rsidR="003E3B78">
        <w:t xml:space="preserve">resulting </w:t>
      </w:r>
      <w:r w:rsidR="00065CF0" w:rsidRPr="00A71060">
        <w:t xml:space="preserve">data will be </w:t>
      </w:r>
      <w:r w:rsidR="003E3B78">
        <w:t xml:space="preserve">summarized and presented in a comprehensive summary report. The report will </w:t>
      </w:r>
      <w:r w:rsidRPr="00A71060">
        <w:t>iden</w:t>
      </w:r>
      <w:r w:rsidR="00432731" w:rsidRPr="00A71060">
        <w:t xml:space="preserve">tify </w:t>
      </w:r>
      <w:r w:rsidRPr="00A71060">
        <w:t xml:space="preserve">issues raised </w:t>
      </w:r>
      <w:r w:rsidR="0043767F">
        <w:t xml:space="preserve">by the respondents </w:t>
      </w:r>
      <w:r w:rsidRPr="00A71060">
        <w:t>with</w:t>
      </w:r>
      <w:r w:rsidR="00432731" w:rsidRPr="00A71060">
        <w:t xml:space="preserve"> respect to the feasibility and </w:t>
      </w:r>
      <w:r w:rsidRPr="00A71060">
        <w:t xml:space="preserve">acceptability of implementing </w:t>
      </w:r>
      <w:r w:rsidR="0043767F">
        <w:t xml:space="preserve">the </w:t>
      </w:r>
      <w:r w:rsidR="002244C0" w:rsidRPr="00A71060">
        <w:t>NPI</w:t>
      </w:r>
      <w:r w:rsidR="0043767F">
        <w:t xml:space="preserve"> recommendations during severe influenza pandemics</w:t>
      </w:r>
      <w:r w:rsidR="00065CF0" w:rsidRPr="00A71060">
        <w:t xml:space="preserve">; </w:t>
      </w:r>
      <w:r w:rsidR="0043767F">
        <w:t xml:space="preserve">and highlight </w:t>
      </w:r>
      <w:r w:rsidRPr="00A71060">
        <w:t>expr</w:t>
      </w:r>
      <w:r w:rsidR="00C22266" w:rsidRPr="00A71060">
        <w:t xml:space="preserve">essed barriers to </w:t>
      </w:r>
      <w:r w:rsidRPr="00A71060">
        <w:t xml:space="preserve">implementing </w:t>
      </w:r>
      <w:r w:rsidR="0043767F">
        <w:t xml:space="preserve">the </w:t>
      </w:r>
      <w:r w:rsidR="00432731" w:rsidRPr="00A71060">
        <w:t>NPI</w:t>
      </w:r>
      <w:r w:rsidR="0043767F">
        <w:t xml:space="preserve"> recommendations in community settings. The resulting data also will be used to </w:t>
      </w:r>
      <w:r w:rsidR="00432731" w:rsidRPr="00A71060">
        <w:t xml:space="preserve">update </w:t>
      </w:r>
      <w:r w:rsidR="00065CF0" w:rsidRPr="00A71060">
        <w:t>sections of the 2017 Comm</w:t>
      </w:r>
      <w:r w:rsidR="00432731" w:rsidRPr="00A71060">
        <w:t xml:space="preserve">unity Mitigation Guidelines, as </w:t>
      </w:r>
      <w:r w:rsidR="00065CF0" w:rsidRPr="00A71060">
        <w:t>ne</w:t>
      </w:r>
      <w:r w:rsidR="00761AC5" w:rsidRPr="00A71060">
        <w:t>eded.</w:t>
      </w:r>
      <w:r w:rsidR="00792084">
        <w:t xml:space="preserve"> </w:t>
      </w:r>
      <w:r w:rsidR="008D7466">
        <w:t>This new information collection will help inform implementation considerations of t</w:t>
      </w:r>
      <w:r w:rsidR="00785281">
        <w:t xml:space="preserve">he guidelines, particularly the feasibility and acceptability </w:t>
      </w:r>
      <w:r w:rsidR="008D7466">
        <w:t>issues and barriers that CDC and other partners can help address to strengthen the capacity of state, territorial, and local health departments to implement the guidelines; increase awareness, understanding, and uptake of the NPI recommendations; and facilitate public health stakeholder engagement for future guideline development.</w:t>
      </w:r>
    </w:p>
    <w:p w14:paraId="05B51883" w14:textId="765A3866" w:rsidR="00BE04E9" w:rsidRDefault="00BE04E9" w:rsidP="008D7466">
      <w:pPr>
        <w:ind w:left="360"/>
      </w:pPr>
    </w:p>
    <w:p w14:paraId="2465A35A" w14:textId="17BB4D30" w:rsidR="00BE04E9" w:rsidRPr="00910E9D" w:rsidRDefault="00BE04E9" w:rsidP="00910E9D">
      <w:pPr>
        <w:tabs>
          <w:tab w:val="clear" w:pos="9360"/>
        </w:tabs>
        <w:ind w:left="360"/>
      </w:pPr>
      <w:r>
        <w:t xml:space="preserve">A </w:t>
      </w:r>
      <w:r w:rsidR="00910E9D">
        <w:t xml:space="preserve">task order </w:t>
      </w:r>
      <w:r>
        <w:t>contractor (</w:t>
      </w:r>
      <w:r w:rsidR="00910E9D">
        <w:t xml:space="preserve">The </w:t>
      </w:r>
      <w:r>
        <w:t>MayaTech Corporation) and the National Association of County and City Health Officials (NACCHO)</w:t>
      </w:r>
      <w:r w:rsidR="00910E9D">
        <w:t xml:space="preserve">, </w:t>
      </w:r>
      <w:r>
        <w:t xml:space="preserve">funded through </w:t>
      </w:r>
      <w:r w:rsidR="00910E9D">
        <w:t xml:space="preserve">a </w:t>
      </w:r>
      <w:r>
        <w:t>cooperative agreement (</w:t>
      </w:r>
      <w:r w:rsidR="00910E9D">
        <w:t>OT18-1802</w:t>
      </w:r>
      <w:r>
        <w:t>)</w:t>
      </w:r>
      <w:r w:rsidR="00910E9D">
        <w:t xml:space="preserve">, </w:t>
      </w:r>
      <w:r>
        <w:t>will both support this data co</w:t>
      </w:r>
      <w:r w:rsidR="00910E9D">
        <w:t xml:space="preserve">llection in varying capacities. </w:t>
      </w:r>
      <w:r>
        <w:rPr>
          <w:rFonts w:cs="Times New Roman"/>
        </w:rPr>
        <w:t>Additionally, to help support the goals and objectives of this data collection effort, a 15-member Sta</w:t>
      </w:r>
      <w:r w:rsidR="00404707">
        <w:rPr>
          <w:rFonts w:cs="Times New Roman"/>
        </w:rPr>
        <w:t>keholder Engagement Group (SEG)</w:t>
      </w:r>
      <w:r w:rsidR="00792084">
        <w:rPr>
          <w:rFonts w:cs="Times New Roman"/>
        </w:rPr>
        <w:t xml:space="preserve"> </w:t>
      </w:r>
      <w:r>
        <w:rPr>
          <w:rFonts w:cs="Times New Roman"/>
        </w:rPr>
        <w:t>was established with representatives from the Association of State and Territorial Health Officials (ASTHO), Council of State and Territorial Epidemiologists (CSTE), NACCHO, and National Public Health</w:t>
      </w:r>
      <w:r w:rsidR="00404707">
        <w:rPr>
          <w:rFonts w:cs="Times New Roman"/>
        </w:rPr>
        <w:t xml:space="preserve"> Information Coalition (NPHIC). </w:t>
      </w:r>
      <w:r>
        <w:rPr>
          <w:rFonts w:cs="Times New Roman"/>
        </w:rPr>
        <w:t>The SEG members helped identify lists of prospective recipients of the online assessment tool; determine appropriate recipient sampling methods; improve the clarity of the draft assessment questions; and define the best approach for conducting the online assessment to generate strong response rates.</w:t>
      </w:r>
    </w:p>
    <w:p w14:paraId="2C91BFA6" w14:textId="260866C0" w:rsidR="00930D2D" w:rsidRPr="007C46D2" w:rsidRDefault="00930D2D" w:rsidP="004711CF">
      <w:pPr>
        <w:ind w:left="0"/>
      </w:pPr>
    </w:p>
    <w:p w14:paraId="3225B628" w14:textId="1D785641" w:rsidR="00376290" w:rsidRDefault="006102DA" w:rsidP="00376290">
      <w:pPr>
        <w:pStyle w:val="Heading5"/>
        <w:spacing w:after="120"/>
        <w:ind w:left="360"/>
      </w:pPr>
      <w:r w:rsidRPr="00BB0813">
        <w:t xml:space="preserve">Overview of the </w:t>
      </w:r>
      <w:r w:rsidR="007F5776" w:rsidRPr="00BB0813">
        <w:t>Information C</w:t>
      </w:r>
      <w:r w:rsidR="00157413" w:rsidRPr="00BB0813">
        <w:t>ollection</w:t>
      </w:r>
      <w:r w:rsidRPr="00BB0813">
        <w:t xml:space="preserve"> System</w:t>
      </w:r>
      <w:r w:rsidR="00151567" w:rsidRPr="001A28F6">
        <w:t xml:space="preserve"> </w:t>
      </w:r>
    </w:p>
    <w:p w14:paraId="6BC9F073" w14:textId="6A50E56B" w:rsidR="00DC2AD2" w:rsidRPr="008A2864" w:rsidRDefault="00692DEB" w:rsidP="008B65FF">
      <w:pPr>
        <w:ind w:left="360"/>
      </w:pPr>
      <w:r w:rsidRPr="008A2864">
        <w:t>Data will be collected</w:t>
      </w:r>
      <w:r w:rsidR="00376290" w:rsidRPr="008A2864">
        <w:t xml:space="preserve"> from </w:t>
      </w:r>
      <w:r w:rsidR="004B5230" w:rsidRPr="008A2864">
        <w:t xml:space="preserve">a </w:t>
      </w:r>
      <w:r w:rsidR="00B57B47">
        <w:t xml:space="preserve">universe </w:t>
      </w:r>
      <w:r w:rsidR="004B5230" w:rsidRPr="008A2864">
        <w:t>of 87</w:t>
      </w:r>
      <w:r w:rsidR="00832969" w:rsidRPr="008A2864">
        <w:t>8</w:t>
      </w:r>
      <w:r w:rsidR="004B5230" w:rsidRPr="008A2864">
        <w:t xml:space="preserve"> state, territorial, and local health department officials</w:t>
      </w:r>
      <w:r w:rsidR="00832969" w:rsidRPr="008A2864">
        <w:t xml:space="preserve"> comprised of </w:t>
      </w:r>
      <w:r w:rsidR="004B5230" w:rsidRPr="008A2864">
        <w:t>5</w:t>
      </w:r>
      <w:r w:rsidR="000517D1" w:rsidRPr="008A2864">
        <w:t xml:space="preserve">9 </w:t>
      </w:r>
      <w:r w:rsidR="00B57B47">
        <w:t>Directors of Public Health Preparedness</w:t>
      </w:r>
      <w:r w:rsidR="009B010C" w:rsidRPr="008A2864">
        <w:t xml:space="preserve"> </w:t>
      </w:r>
      <w:r w:rsidR="000517D1" w:rsidRPr="008A2864">
        <w:t xml:space="preserve">of all 50 </w:t>
      </w:r>
      <w:r w:rsidR="00832969" w:rsidRPr="008A2864">
        <w:t xml:space="preserve">U.S. </w:t>
      </w:r>
      <w:r w:rsidR="000517D1" w:rsidRPr="008A2864">
        <w:t>states, D</w:t>
      </w:r>
      <w:r w:rsidR="00832969" w:rsidRPr="008A2864">
        <w:t>.</w:t>
      </w:r>
      <w:r w:rsidR="000517D1" w:rsidRPr="008A2864">
        <w:t>C</w:t>
      </w:r>
      <w:r w:rsidR="00832969" w:rsidRPr="008A2864">
        <w:t>.</w:t>
      </w:r>
      <w:r w:rsidR="00DD33D7" w:rsidRPr="008A2864">
        <w:t xml:space="preserve">, and 8 </w:t>
      </w:r>
      <w:r w:rsidR="000517D1" w:rsidRPr="008A2864">
        <w:t xml:space="preserve">U.S. territories, and </w:t>
      </w:r>
      <w:r w:rsidR="00386DC9">
        <w:t xml:space="preserve">a stratified random sample of </w:t>
      </w:r>
      <w:r w:rsidR="000517D1" w:rsidRPr="008A2864">
        <w:t>81</w:t>
      </w:r>
      <w:r w:rsidR="0070323D" w:rsidRPr="008A2864">
        <w:t>9</w:t>
      </w:r>
      <w:r w:rsidR="000517D1" w:rsidRPr="008A2864">
        <w:t xml:space="preserve"> </w:t>
      </w:r>
      <w:r w:rsidR="004B5230" w:rsidRPr="008A2864">
        <w:t>LHD</w:t>
      </w:r>
      <w:r w:rsidR="000517D1" w:rsidRPr="008A2864">
        <w:t xml:space="preserve"> </w:t>
      </w:r>
      <w:r w:rsidR="00B57B47">
        <w:t xml:space="preserve">preparedness coordinators and/or local health </w:t>
      </w:r>
      <w:r w:rsidR="000517D1" w:rsidRPr="008A2864">
        <w:t>officials</w:t>
      </w:r>
      <w:r w:rsidR="00B57B47">
        <w:t xml:space="preserve"> (LHOs)</w:t>
      </w:r>
      <w:r w:rsidR="00731796">
        <w:t xml:space="preserve">. </w:t>
      </w:r>
      <w:r w:rsidR="00FB29EB" w:rsidRPr="008A2864">
        <w:t xml:space="preserve">Data will be collected </w:t>
      </w:r>
      <w:r w:rsidR="00376290" w:rsidRPr="008A2864">
        <w:t xml:space="preserve">via </w:t>
      </w:r>
      <w:r w:rsidR="004B5230" w:rsidRPr="008A2864">
        <w:t>a web-based</w:t>
      </w:r>
      <w:r w:rsidR="006B0053" w:rsidRPr="008A2864">
        <w:t xml:space="preserve"> online instrument </w:t>
      </w:r>
      <w:r w:rsidR="004B5230" w:rsidRPr="008A2864">
        <w:t xml:space="preserve">using </w:t>
      </w:r>
      <w:r w:rsidR="004B5230" w:rsidRPr="008A2864">
        <w:rPr>
          <w:i/>
        </w:rPr>
        <w:t>SurveyMonkey</w:t>
      </w:r>
      <w:r w:rsidRPr="008A2864">
        <w:t xml:space="preserve"> </w:t>
      </w:r>
      <w:r w:rsidR="00B57B47">
        <w:t xml:space="preserve">for the Directors of Public Health Preparedness and </w:t>
      </w:r>
      <w:r w:rsidR="00471001">
        <w:t xml:space="preserve">using </w:t>
      </w:r>
      <w:r w:rsidR="00B57B47" w:rsidRPr="00B57B47">
        <w:rPr>
          <w:i/>
        </w:rPr>
        <w:t>Qualtrics</w:t>
      </w:r>
      <w:r w:rsidR="00B57B47">
        <w:t xml:space="preserve"> for the LHD preparedness coordinators and/or </w:t>
      </w:r>
      <w:r w:rsidR="00B57B47" w:rsidRPr="0026408B">
        <w:t xml:space="preserve">LHOs </w:t>
      </w:r>
      <w:r w:rsidRPr="0026408B">
        <w:t>(</w:t>
      </w:r>
      <w:r w:rsidR="00E647FB" w:rsidRPr="0026408B">
        <w:t xml:space="preserve">see </w:t>
      </w:r>
      <w:r w:rsidR="0026408B" w:rsidRPr="0026408B">
        <w:rPr>
          <w:b/>
        </w:rPr>
        <w:t xml:space="preserve">Attachment C: </w:t>
      </w:r>
      <w:r w:rsidR="008576C8" w:rsidRPr="0026408B">
        <w:rPr>
          <w:b/>
        </w:rPr>
        <w:t>Instrument Word Version</w:t>
      </w:r>
      <w:r w:rsidR="00731796" w:rsidRPr="00731796">
        <w:t>,</w:t>
      </w:r>
      <w:r w:rsidR="00DD33D7" w:rsidRPr="0026408B">
        <w:t xml:space="preserve"> </w:t>
      </w:r>
      <w:r w:rsidR="008A2864" w:rsidRPr="0026408B">
        <w:rPr>
          <w:b/>
        </w:rPr>
        <w:t xml:space="preserve">Attachment D: </w:t>
      </w:r>
      <w:r w:rsidR="008576C8" w:rsidRPr="0026408B">
        <w:rPr>
          <w:b/>
        </w:rPr>
        <w:t>Instrument Web Version</w:t>
      </w:r>
      <w:r w:rsidR="00731796">
        <w:rPr>
          <w:b/>
        </w:rPr>
        <w:t xml:space="preserve"> [using </w:t>
      </w:r>
      <w:r w:rsidR="00731796" w:rsidRPr="00731796">
        <w:rPr>
          <w:b/>
          <w:i/>
        </w:rPr>
        <w:t>SurveyMonkey</w:t>
      </w:r>
      <w:r w:rsidR="00731796">
        <w:rPr>
          <w:b/>
        </w:rPr>
        <w:t>]</w:t>
      </w:r>
      <w:r w:rsidR="00731796" w:rsidRPr="00731796">
        <w:t xml:space="preserve">, and </w:t>
      </w:r>
      <w:r w:rsidR="00731796">
        <w:rPr>
          <w:b/>
        </w:rPr>
        <w:t xml:space="preserve">Attachment E: Instrument Web Version [using </w:t>
      </w:r>
      <w:r w:rsidR="00731796" w:rsidRPr="00731796">
        <w:rPr>
          <w:b/>
          <w:i/>
        </w:rPr>
        <w:t>Qualtrics</w:t>
      </w:r>
      <w:r w:rsidR="00731796">
        <w:rPr>
          <w:b/>
        </w:rPr>
        <w:t>]</w:t>
      </w:r>
      <w:r w:rsidR="00DD33D7" w:rsidRPr="00731796">
        <w:t>)</w:t>
      </w:r>
      <w:r w:rsidR="0026408B" w:rsidRPr="00731796">
        <w:t xml:space="preserve">. </w:t>
      </w:r>
    </w:p>
    <w:p w14:paraId="2AE3FA89" w14:textId="77777777" w:rsidR="00977682" w:rsidRPr="008A2864" w:rsidRDefault="00977682" w:rsidP="00977682">
      <w:pPr>
        <w:ind w:left="360"/>
      </w:pPr>
    </w:p>
    <w:p w14:paraId="070F12DE" w14:textId="087AB83A" w:rsidR="00977682" w:rsidRDefault="00977682" w:rsidP="00977682">
      <w:pPr>
        <w:ind w:left="360"/>
      </w:pPr>
      <w:r>
        <w:t>The information collection instrument was pilot tested by</w:t>
      </w:r>
      <w:r w:rsidR="00BE3E80">
        <w:t xml:space="preserve"> 8 public health professionals. </w:t>
      </w:r>
      <w:r>
        <w:t>Feedback from this group was used to clarify definitions and instructions provided; refine questions as needed; ensure accurate programming, skip patterns, and adequacy of the scale; and establish the estimated time required to complete the information collection instrument.</w:t>
      </w:r>
    </w:p>
    <w:p w14:paraId="2079D56D" w14:textId="082C6F79" w:rsidR="00977682" w:rsidRDefault="00977682" w:rsidP="00731796">
      <w:pPr>
        <w:ind w:left="0"/>
      </w:pPr>
    </w:p>
    <w:p w14:paraId="285A9F00" w14:textId="77777777" w:rsidR="00692DEB" w:rsidRPr="007B7C44" w:rsidRDefault="00692DEB" w:rsidP="008B65FF">
      <w:pPr>
        <w:pStyle w:val="Heading5"/>
        <w:spacing w:after="120"/>
        <w:ind w:left="360"/>
      </w:pPr>
      <w:r w:rsidRPr="00755179">
        <w:t>Items of Information to be Collected</w:t>
      </w:r>
    </w:p>
    <w:p w14:paraId="063F435D" w14:textId="1D08CEFB" w:rsidR="00A17842" w:rsidRDefault="00692DEB" w:rsidP="00287DCC">
      <w:pPr>
        <w:ind w:left="360"/>
      </w:pPr>
      <w:r w:rsidRPr="00424267">
        <w:t>The data co</w:t>
      </w:r>
      <w:r w:rsidR="00337D43">
        <w:t xml:space="preserve">llection instrument consists of 42 </w:t>
      </w:r>
      <w:r w:rsidRPr="00424267">
        <w:t>main questions of various types</w:t>
      </w:r>
      <w:r w:rsidR="00204ECC" w:rsidRPr="00424267">
        <w:t xml:space="preserve"> and mixed formats, </w:t>
      </w:r>
      <w:r w:rsidRPr="00424267">
        <w:t>including</w:t>
      </w:r>
      <w:r w:rsidR="00752CA2" w:rsidRPr="00424267">
        <w:t xml:space="preserve"> </w:t>
      </w:r>
      <w:r w:rsidR="00E96602" w:rsidRPr="00424267">
        <w:t xml:space="preserve">close-ended </w:t>
      </w:r>
      <w:r w:rsidR="00752CA2" w:rsidRPr="00424267">
        <w:t>questions (</w:t>
      </w:r>
      <w:r w:rsidR="00A17842" w:rsidRPr="00424267">
        <w:t xml:space="preserve">e.g., </w:t>
      </w:r>
      <w:r w:rsidR="00752CA2" w:rsidRPr="00424267">
        <w:t>yes/no</w:t>
      </w:r>
      <w:r w:rsidR="00E96602" w:rsidRPr="00424267">
        <w:t>/do not know</w:t>
      </w:r>
      <w:r w:rsidR="00A17842" w:rsidRPr="00424267">
        <w:t>/not sure</w:t>
      </w:r>
      <w:r w:rsidR="00883E8C" w:rsidRPr="00424267">
        <w:t xml:space="preserve">); </w:t>
      </w:r>
      <w:r w:rsidR="00A17842" w:rsidRPr="00424267">
        <w:t xml:space="preserve">four-point, </w:t>
      </w:r>
      <w:r w:rsidR="00883E8C" w:rsidRPr="00424267">
        <w:t xml:space="preserve">ordinal Likert scales </w:t>
      </w:r>
      <w:r w:rsidR="00A17842" w:rsidRPr="00424267">
        <w:t>to prevent neutral ratings (e.g., high f</w:t>
      </w:r>
      <w:r w:rsidR="00BE3E80">
        <w:t xml:space="preserve">easibility to low feasibility); </w:t>
      </w:r>
      <w:r w:rsidR="00A17842" w:rsidRPr="00424267">
        <w:t xml:space="preserve">and </w:t>
      </w:r>
      <w:r w:rsidR="002F2CD2" w:rsidRPr="00424267">
        <w:t xml:space="preserve">open-ended </w:t>
      </w:r>
      <w:r w:rsidR="00752CA2" w:rsidRPr="00424267">
        <w:t>questions</w:t>
      </w:r>
      <w:r w:rsidR="00EA56A5" w:rsidRPr="00424267">
        <w:t xml:space="preserve"> (e.g., describe </w:t>
      </w:r>
      <w:r w:rsidR="002F2CD2" w:rsidRPr="00424267">
        <w:t xml:space="preserve">the </w:t>
      </w:r>
      <w:r w:rsidR="007952C7" w:rsidRPr="00424267">
        <w:t xml:space="preserve">perceived </w:t>
      </w:r>
      <w:r w:rsidR="002F2CD2" w:rsidRPr="00424267">
        <w:t>barriers</w:t>
      </w:r>
      <w:r w:rsidR="00A17842" w:rsidRPr="00424267">
        <w:t xml:space="preserve"> in your jurisdiction</w:t>
      </w:r>
      <w:r w:rsidR="002F2CD2" w:rsidRPr="00424267">
        <w:t>)</w:t>
      </w:r>
      <w:r w:rsidR="00D77947">
        <w:t>. The</w:t>
      </w:r>
      <w:r w:rsidR="00337D43">
        <w:t xml:space="preserve"> 42 </w:t>
      </w:r>
      <w:r w:rsidR="00D77947">
        <w:t>main questions cover the following 4 topic areas:</w:t>
      </w:r>
    </w:p>
    <w:p w14:paraId="74256D8F" w14:textId="1992C6E2" w:rsidR="003A2125" w:rsidRDefault="003A2125" w:rsidP="00287DCC">
      <w:pPr>
        <w:ind w:left="360"/>
      </w:pPr>
    </w:p>
    <w:p w14:paraId="2EE48C8B" w14:textId="2EFD9B91" w:rsidR="003A2125" w:rsidRDefault="006F0536" w:rsidP="003A2125">
      <w:pPr>
        <w:pStyle w:val="ListParagraph"/>
        <w:numPr>
          <w:ilvl w:val="0"/>
          <w:numId w:val="29"/>
        </w:numPr>
      </w:pPr>
      <w:r>
        <w:rPr>
          <w:i/>
        </w:rPr>
        <w:t xml:space="preserve">Background Information on Respondent and </w:t>
      </w:r>
      <w:r w:rsidR="00B658F6" w:rsidRPr="00B658F6">
        <w:rPr>
          <w:i/>
        </w:rPr>
        <w:t>Jurisdiction</w:t>
      </w:r>
      <w:r>
        <w:rPr>
          <w:i/>
        </w:rPr>
        <w:t>(s)</w:t>
      </w:r>
      <w:r w:rsidR="00B658F6">
        <w:t xml:space="preserve"> a</w:t>
      </w:r>
      <w:r w:rsidR="00032FDD">
        <w:t xml:space="preserve">sks the instrument recipient </w:t>
      </w:r>
      <w:r>
        <w:t xml:space="preserve">4 </w:t>
      </w:r>
      <w:r w:rsidR="00B658F6">
        <w:t>brief background questions about their jurisdiction.</w:t>
      </w:r>
    </w:p>
    <w:p w14:paraId="1B6B6F02" w14:textId="58FD4D9A" w:rsidR="003A2125" w:rsidRDefault="003A2125" w:rsidP="003A2125">
      <w:pPr>
        <w:pStyle w:val="ListParagraph"/>
        <w:numPr>
          <w:ilvl w:val="0"/>
          <w:numId w:val="29"/>
        </w:numPr>
      </w:pPr>
      <w:r w:rsidRPr="00B658F6">
        <w:rPr>
          <w:i/>
        </w:rPr>
        <w:t>Status of Pre-pandemic Planning in Your Jurisdiction</w:t>
      </w:r>
      <w:r w:rsidR="00B658F6">
        <w:t xml:space="preserve"> asks the </w:t>
      </w:r>
      <w:r w:rsidR="00032FDD">
        <w:t xml:space="preserve">instrument recipient </w:t>
      </w:r>
      <w:r w:rsidR="00C321F7">
        <w:t xml:space="preserve">8 </w:t>
      </w:r>
      <w:r w:rsidR="00B658F6">
        <w:t>questions about their jurisdiction’s progress in planning for an influenza pandemic</w:t>
      </w:r>
      <w:r w:rsidR="00C23A2C">
        <w:t xml:space="preserve">, </w:t>
      </w:r>
      <w:r w:rsidR="00B658F6">
        <w:t>and in incorporating the 2017 Community Mitigation Guidelines in their pandemic influenza preparedness plan.</w:t>
      </w:r>
    </w:p>
    <w:p w14:paraId="51779F31" w14:textId="415D6582" w:rsidR="003A2125" w:rsidRDefault="003A2125" w:rsidP="003A2125">
      <w:pPr>
        <w:pStyle w:val="ListParagraph"/>
        <w:numPr>
          <w:ilvl w:val="0"/>
          <w:numId w:val="29"/>
        </w:numPr>
      </w:pPr>
      <w:r w:rsidRPr="00546EBF">
        <w:rPr>
          <w:i/>
        </w:rPr>
        <w:t>Feasibility and Acceptability of Implementing NPI Recommendations in Your Jurisdiction</w:t>
      </w:r>
      <w:r w:rsidR="00546EBF">
        <w:t xml:space="preserve"> asks the </w:t>
      </w:r>
      <w:r w:rsidR="00032FDD">
        <w:t xml:space="preserve">instrument recipient </w:t>
      </w:r>
      <w:r w:rsidR="00D57A66">
        <w:t xml:space="preserve">24 </w:t>
      </w:r>
      <w:r w:rsidR="00546EBF">
        <w:t xml:space="preserve">questions about the feasibility and acceptability of and barriers to implementing the 4 </w:t>
      </w:r>
      <w:r w:rsidR="00546EBF" w:rsidRPr="00546EBF">
        <w:rPr>
          <w:i/>
        </w:rPr>
        <w:t>NP</w:t>
      </w:r>
      <w:r w:rsidR="000A5056">
        <w:rPr>
          <w:i/>
        </w:rPr>
        <w:t xml:space="preserve">Is reserved for </w:t>
      </w:r>
      <w:r w:rsidR="00546EBF" w:rsidRPr="00546EBF">
        <w:rPr>
          <w:i/>
        </w:rPr>
        <w:t>influenza pandemics</w:t>
      </w:r>
      <w:r w:rsidR="00546EBF">
        <w:t xml:space="preserve"> – voluntary home quarantine, use of face masks by ill persons, school closures and dismissals, and social distancing at schools, workplaces, and mass gatherings – in their jurisdiction.</w:t>
      </w:r>
    </w:p>
    <w:p w14:paraId="10C93B73" w14:textId="5658573B" w:rsidR="003A2125" w:rsidRDefault="003A2125" w:rsidP="003A2125">
      <w:pPr>
        <w:pStyle w:val="ListParagraph"/>
        <w:numPr>
          <w:ilvl w:val="0"/>
          <w:numId w:val="29"/>
        </w:numPr>
      </w:pPr>
      <w:r w:rsidRPr="00546EBF">
        <w:rPr>
          <w:i/>
        </w:rPr>
        <w:t>Potential Triggers to Activate NPIs in Your Jurisdiction</w:t>
      </w:r>
      <w:r w:rsidR="00546EBF">
        <w:t xml:space="preserve"> asks the </w:t>
      </w:r>
      <w:r w:rsidR="00032FDD">
        <w:t xml:space="preserve">instrument recipient </w:t>
      </w:r>
      <w:r w:rsidR="00A14FBB">
        <w:t xml:space="preserve">6 </w:t>
      </w:r>
      <w:r w:rsidR="001D4342">
        <w:t xml:space="preserve">questions about </w:t>
      </w:r>
      <w:r w:rsidR="00546EBF">
        <w:t xml:space="preserve">influenza surveillance </w:t>
      </w:r>
      <w:r w:rsidR="00F60727">
        <w:t xml:space="preserve">indicators and data sources </w:t>
      </w:r>
      <w:r w:rsidR="00546EBF">
        <w:t xml:space="preserve">that </w:t>
      </w:r>
      <w:r w:rsidR="00032FDD">
        <w:t xml:space="preserve">their </w:t>
      </w:r>
      <w:r w:rsidR="00546EBF">
        <w:t>jurisdiction would use for trigger</w:t>
      </w:r>
      <w:r w:rsidR="00032FDD">
        <w:t xml:space="preserve">ing implementation of the above-mentioned </w:t>
      </w:r>
      <w:r w:rsidR="00546EBF">
        <w:t>NPIs before the explosive growth of an influenza pandemic in their jurisdiction.</w:t>
      </w:r>
    </w:p>
    <w:p w14:paraId="0DACCC35" w14:textId="4CB3338D" w:rsidR="00145BB9" w:rsidRDefault="00145BB9" w:rsidP="00813958">
      <w:pPr>
        <w:ind w:left="0"/>
        <w:rPr>
          <w:lang w:eastAsia="zh-CN"/>
        </w:rPr>
      </w:pPr>
    </w:p>
    <w:p w14:paraId="535C5B0D" w14:textId="77777777" w:rsidR="00B12F51" w:rsidRDefault="00B12F51" w:rsidP="00692DEB">
      <w:pPr>
        <w:pStyle w:val="Heading4"/>
      </w:pPr>
      <w:bookmarkStart w:id="5" w:name="_Toc427752815"/>
      <w:r w:rsidRPr="00014361">
        <w:t>Purpose and Use of the Information Collection</w:t>
      </w:r>
      <w:bookmarkEnd w:id="5"/>
    </w:p>
    <w:p w14:paraId="701811FC" w14:textId="77777777" w:rsidR="00C15F59" w:rsidRDefault="00C15F59" w:rsidP="00C15F59">
      <w:pPr>
        <w:ind w:left="360"/>
      </w:pPr>
      <w:r>
        <w:t xml:space="preserve">The purpose of this information collection is to assess the feasibility and acceptability of and barriers to implementing the recommendations in the HHS/CDC </w:t>
      </w:r>
      <w:r w:rsidRPr="000573A8">
        <w:rPr>
          <w:i/>
        </w:rPr>
        <w:t>Community Mitigation Guidelines to Prevent Pandemic Influenza – United States, 2017</w:t>
      </w:r>
      <w:r>
        <w:t xml:space="preserve"> that were released as a MMWR-Recommendations and Reports in April 2017. The recommendations relate to the use of non-pharmaceutical interventions (NPIs) in community settings during influenza pandemics. </w:t>
      </w:r>
    </w:p>
    <w:p w14:paraId="6676DBB1" w14:textId="77777777" w:rsidR="00C15F59" w:rsidRDefault="00C15F59" w:rsidP="00C15F59">
      <w:pPr>
        <w:ind w:left="360"/>
      </w:pPr>
      <w:r>
        <w:t xml:space="preserve">There are 2 categories of NPIs: 1) those recommended at all times, and 2) those reserved for influenza pandemics. This data collection focuses on </w:t>
      </w:r>
      <w:r w:rsidRPr="008E3091">
        <w:rPr>
          <w:i/>
        </w:rPr>
        <w:t>NPIs reserved for influenza pandemics</w:t>
      </w:r>
      <w:r>
        <w:t>, which include personal protective measures (voluntary home quarantine of exposed household members, and use of facemasks in community settings when ill) and community measures aimed at increasing social distancing (temporarily closing or dismissing schools, limiting face-to-face contact in workplaces, and postponing or cancelling mass gatherings).</w:t>
      </w:r>
    </w:p>
    <w:p w14:paraId="78D70BE9" w14:textId="77777777" w:rsidR="00C15F59" w:rsidRPr="00AD64E9" w:rsidRDefault="00C15F59" w:rsidP="00AD64E9">
      <w:pPr>
        <w:ind w:left="360"/>
      </w:pPr>
    </w:p>
    <w:p w14:paraId="6CF0D816" w14:textId="68348A27" w:rsidR="00C15F59" w:rsidRPr="00AD64E9" w:rsidRDefault="00C15F59" w:rsidP="00AD64E9">
      <w:pPr>
        <w:ind w:left="360"/>
      </w:pPr>
      <w:r w:rsidRPr="00AD64E9">
        <w:t xml:space="preserve">This information collection will focus specifically on implementation of the above-mentioned </w:t>
      </w:r>
      <w:r w:rsidRPr="00AD64E9">
        <w:rPr>
          <w:i/>
        </w:rPr>
        <w:t>NPIs reserved for influenza pandemics</w:t>
      </w:r>
      <w:r w:rsidRPr="00AD64E9">
        <w:t xml:space="preserve"> during a severe pandemic and will assess 3 important considerations when implementing </w:t>
      </w:r>
      <w:r w:rsidR="00984DE2" w:rsidRPr="00AD64E9">
        <w:t xml:space="preserve">these NPIs </w:t>
      </w:r>
      <w:r w:rsidRPr="00AD64E9">
        <w:t xml:space="preserve">in state, territorial, and local public health jurisdictions: 1) the feasibility of implementing the NPI recommendations, 2) the level of acceptability of the NPI recommendations, and 3) the barriers to implementing the NPI recommendations. </w:t>
      </w:r>
    </w:p>
    <w:p w14:paraId="6E9EBA4D" w14:textId="77777777" w:rsidR="00C15F59" w:rsidRPr="00AD64E9" w:rsidRDefault="00C15F59" w:rsidP="00AD64E9">
      <w:pPr>
        <w:ind w:left="360"/>
      </w:pPr>
    </w:p>
    <w:p w14:paraId="7D594C98" w14:textId="791DBC2E" w:rsidR="0006780A" w:rsidRDefault="00C15F59" w:rsidP="00C15F59">
      <w:pPr>
        <w:ind w:left="360"/>
      </w:pPr>
      <w:r>
        <w:t>The resulting data will be summarized and presented in a comprehensive summary report. The report will identify issues raised by the respondents with respect to the feasibility and acceptability of implementing the NPI recommendations during severe influenza pandemics; and highlight expressed barriers to implementing the NPI recommendations in community settings. The resulting data also will be used to update sections of the 2017 Community Mi</w:t>
      </w:r>
      <w:r w:rsidR="002E73EE">
        <w:t>tigation Guidelines, as needed.</w:t>
      </w:r>
      <w:r>
        <w:t xml:space="preserve"> </w:t>
      </w:r>
      <w:r w:rsidR="0006780A" w:rsidRPr="00FF3244">
        <w:t>This new informat</w:t>
      </w:r>
      <w:r w:rsidR="00AD64E9">
        <w:t xml:space="preserve">ion collection will help inform </w:t>
      </w:r>
      <w:r w:rsidR="0006780A" w:rsidRPr="00FF3244">
        <w:t>implementation considerations of the guidelines</w:t>
      </w:r>
      <w:r w:rsidR="0006780A">
        <w:t xml:space="preserve">, particularly the </w:t>
      </w:r>
      <w:r w:rsidR="004D2198">
        <w:t xml:space="preserve">feasibility and acceptability </w:t>
      </w:r>
      <w:r w:rsidR="0006780A">
        <w:t xml:space="preserve">issues and barriers that CDC and other partners can help address to strengthen the capacity of state, territorial, and local health departments to implement the guidelines; </w:t>
      </w:r>
      <w:r w:rsidR="0006780A" w:rsidRPr="00FF3244">
        <w:t>increase awareness, understanding, and uptake of the NPI recommendations; and facilitate public health stakeholder engagement for future guideline development.</w:t>
      </w:r>
    </w:p>
    <w:p w14:paraId="3E5E4906" w14:textId="77777777" w:rsidR="003B7C08" w:rsidRDefault="003B7C08" w:rsidP="003B7C08">
      <w:pPr>
        <w:pStyle w:val="ListParagraph"/>
        <w:tabs>
          <w:tab w:val="clear" w:pos="9360"/>
        </w:tabs>
        <w:spacing w:after="200"/>
        <w:ind w:left="360"/>
      </w:pPr>
    </w:p>
    <w:p w14:paraId="14362F3C" w14:textId="77777777" w:rsidR="00B47055" w:rsidRPr="00FF5BF1" w:rsidRDefault="00B47055" w:rsidP="00692DEB">
      <w:pPr>
        <w:pStyle w:val="Heading4"/>
      </w:pPr>
      <w:bookmarkStart w:id="6" w:name="_Toc427752816"/>
      <w:r w:rsidRPr="00FF5BF1">
        <w:t>Use of Improved Information Technology and Burden Reduction</w:t>
      </w:r>
      <w:bookmarkEnd w:id="6"/>
    </w:p>
    <w:p w14:paraId="3464AA37" w14:textId="59B932CD" w:rsidR="004B523B" w:rsidRDefault="00EA3A4A" w:rsidP="007B7C44">
      <w:pPr>
        <w:ind w:left="360"/>
      </w:pPr>
      <w:r w:rsidRPr="00685DF1">
        <w:t>Data will be collected via</w:t>
      </w:r>
      <w:r w:rsidR="00622D0D">
        <w:t xml:space="preserve"> a web-based online instrument </w:t>
      </w:r>
      <w:r w:rsidR="001A5ABE" w:rsidRPr="00685DF1">
        <w:t>allowing respondents to complete and submit their responses electronically</w:t>
      </w:r>
      <w:r w:rsidR="00622D0D">
        <w:t xml:space="preserve">. </w:t>
      </w:r>
      <w:r w:rsidR="00692DEB" w:rsidRPr="00685DF1">
        <w:t>This method was chosen to reduce the overall burden on respondents</w:t>
      </w:r>
      <w:r w:rsidR="00C44EB5" w:rsidRPr="00685DF1">
        <w:t xml:space="preserve"> by allowing for auto-skipping </w:t>
      </w:r>
      <w:r w:rsidR="00D36F8B" w:rsidRPr="00685DF1">
        <w:t xml:space="preserve">when an item does not apply and as </w:t>
      </w:r>
      <w:r w:rsidR="00C44EB5" w:rsidRPr="00685DF1">
        <w:t xml:space="preserve">a means by which respondents can contribute to the </w:t>
      </w:r>
      <w:r w:rsidR="00685DF1" w:rsidRPr="00685DF1">
        <w:t xml:space="preserve">assessment </w:t>
      </w:r>
      <w:r w:rsidR="00C44EB5" w:rsidRPr="00685DF1">
        <w:t>without arduous tracking of file versions</w:t>
      </w:r>
      <w:r w:rsidR="00692DEB" w:rsidRPr="00685DF1">
        <w:t>.</w:t>
      </w:r>
      <w:r w:rsidR="00C44EB5" w:rsidRPr="00685DF1">
        <w:t xml:space="preserve"> Respondents can open th</w:t>
      </w:r>
      <w:r w:rsidR="00622D0D">
        <w:t xml:space="preserve">e online assessment, </w:t>
      </w:r>
      <w:r w:rsidR="00C44EB5" w:rsidRPr="00685DF1">
        <w:t>save it as needed, and return to it for completion and s</w:t>
      </w:r>
      <w:r w:rsidR="004B523B">
        <w:t>ubmission at their convenience.</w:t>
      </w:r>
    </w:p>
    <w:p w14:paraId="221CABD9" w14:textId="77777777" w:rsidR="004B523B" w:rsidRDefault="004B523B" w:rsidP="007B7C44">
      <w:pPr>
        <w:ind w:left="360"/>
      </w:pPr>
    </w:p>
    <w:p w14:paraId="405182A3" w14:textId="142DE073" w:rsidR="009C71AD" w:rsidRDefault="00692DEB" w:rsidP="00C15F59">
      <w:pPr>
        <w:ind w:left="360"/>
      </w:pPr>
      <w:r w:rsidRPr="00685DF1">
        <w:t xml:space="preserve">The </w:t>
      </w:r>
      <w:r w:rsidR="002E2EDD" w:rsidRPr="00685DF1">
        <w:t>data</w:t>
      </w:r>
      <w:r w:rsidRPr="00685DF1">
        <w:t xml:space="preserve"> collection instrument was designed to collect the minimum information necessary for the purposes of</w:t>
      </w:r>
      <w:r w:rsidR="0052706D">
        <w:t xml:space="preserve"> this project (i.e., limited to 42 </w:t>
      </w:r>
      <w:r w:rsidR="00C35202" w:rsidRPr="00685DF1">
        <w:t xml:space="preserve">main </w:t>
      </w:r>
      <w:r w:rsidRPr="00685DF1">
        <w:t>questions).</w:t>
      </w:r>
      <w:r w:rsidR="004B523B">
        <w:t xml:space="preserve"> Most questions require selection of one response using a close-ended format, or selection of a rating response using a Likert-type scale. When “other” or “please explain” type questions are used, space is provided f</w:t>
      </w:r>
      <w:r w:rsidR="0096684A">
        <w:t xml:space="preserve">or open-ended responses to give the </w:t>
      </w:r>
      <w:r w:rsidR="00604F6C">
        <w:t xml:space="preserve">instrument </w:t>
      </w:r>
      <w:r w:rsidR="0096684A">
        <w:t xml:space="preserve">recipients </w:t>
      </w:r>
      <w:r w:rsidR="004B523B">
        <w:t>an opportunity to elaborate on or expla</w:t>
      </w:r>
      <w:r w:rsidR="00ED0B72">
        <w:t xml:space="preserve">in their ratings. An effort was </w:t>
      </w:r>
      <w:r w:rsidR="004B523B">
        <w:t xml:space="preserve">made to limit the number of questions requiring narrative responses from </w:t>
      </w:r>
      <w:r w:rsidR="0096684A">
        <w:t xml:space="preserve">the recipients </w:t>
      </w:r>
      <w:r w:rsidR="004B523B">
        <w:t>whenever possible.</w:t>
      </w:r>
    </w:p>
    <w:p w14:paraId="799DA0F5" w14:textId="77777777" w:rsidR="00C15F59" w:rsidRDefault="00C15F59" w:rsidP="00C15F59">
      <w:pPr>
        <w:ind w:left="360"/>
      </w:pPr>
    </w:p>
    <w:p w14:paraId="6A8DC0FD" w14:textId="77777777" w:rsidR="00B47055" w:rsidRPr="00D42A92" w:rsidRDefault="00B47055" w:rsidP="00692DEB">
      <w:pPr>
        <w:pStyle w:val="Heading4"/>
      </w:pPr>
      <w:bookmarkStart w:id="7" w:name="_Toc427752817"/>
      <w:r w:rsidRPr="00D42A92">
        <w:t>Efforts to Identify Duplication and Use of Similar Information</w:t>
      </w:r>
      <w:bookmarkEnd w:id="7"/>
    </w:p>
    <w:p w14:paraId="02881C45" w14:textId="63B7F004" w:rsidR="00E51604" w:rsidRPr="00216CEB" w:rsidRDefault="00C15F59" w:rsidP="00A54058">
      <w:pPr>
        <w:ind w:left="360"/>
      </w:pPr>
      <w:r>
        <w:t>P</w:t>
      </w:r>
      <w:r w:rsidR="00385683" w:rsidRPr="00C04D80">
        <w:t xml:space="preserve">revious </w:t>
      </w:r>
      <w:r w:rsidR="00FA633A">
        <w:t xml:space="preserve">CDC-funded </w:t>
      </w:r>
      <w:r w:rsidR="00385683" w:rsidRPr="00C04D80">
        <w:t xml:space="preserve">efforts </w:t>
      </w:r>
      <w:r w:rsidR="005E6E66" w:rsidRPr="00C04D80">
        <w:t xml:space="preserve">to collect data </w:t>
      </w:r>
      <w:r w:rsidR="00FA633A">
        <w:t xml:space="preserve">from public health officials </w:t>
      </w:r>
      <w:r w:rsidR="00385683" w:rsidRPr="00C04D80">
        <w:t>on the use of community mitigation strategies (or NPIs) during influenz</w:t>
      </w:r>
      <w:r w:rsidR="00860C11" w:rsidRPr="00C04D80">
        <w:t>a pandemics</w:t>
      </w:r>
      <w:r w:rsidR="005E6E66" w:rsidRPr="00C04D80">
        <w:t xml:space="preserve">, </w:t>
      </w:r>
      <w:r w:rsidR="006E47DB">
        <w:t xml:space="preserve">or to collect data from a similar </w:t>
      </w:r>
      <w:r w:rsidR="00314A3E">
        <w:t>respondent universe of Directors of Public Health Preparedness, Public Health Emergency Preparedness (</w:t>
      </w:r>
      <w:r w:rsidR="00FA633A">
        <w:t>PHEP</w:t>
      </w:r>
      <w:r w:rsidR="00314A3E">
        <w:t xml:space="preserve">) </w:t>
      </w:r>
      <w:r w:rsidR="00FA633A">
        <w:t>directors</w:t>
      </w:r>
      <w:r w:rsidR="00314A3E">
        <w:t>, and/or preparedness coordinators</w:t>
      </w:r>
      <w:r w:rsidR="00A54058">
        <w:t xml:space="preserve"> were reviewed prior to the development of this information collection.</w:t>
      </w:r>
      <w:r w:rsidR="008F7FAD">
        <w:t xml:space="preserve"> </w:t>
      </w:r>
      <w:r w:rsidR="00A54058">
        <w:t>Reviews included both internal to CDC and externa</w:t>
      </w:r>
      <w:r w:rsidR="008F7FAD">
        <w:t xml:space="preserve">l data collections and reports. </w:t>
      </w:r>
      <w:r w:rsidR="00A54058">
        <w:t>Results of this review determi</w:t>
      </w:r>
      <w:r w:rsidR="008F7FAD">
        <w:t xml:space="preserve">ned that this </w:t>
      </w:r>
      <w:r w:rsidR="00C805E4">
        <w:t xml:space="preserve">information </w:t>
      </w:r>
      <w:r w:rsidR="008F7FAD">
        <w:t>collection is non-</w:t>
      </w:r>
      <w:r w:rsidR="00A54058">
        <w:t xml:space="preserve">duplicative of past or planned collections.  </w:t>
      </w:r>
    </w:p>
    <w:p w14:paraId="2EFCCA53" w14:textId="61D0456D" w:rsidR="00675F9A" w:rsidRDefault="00675F9A" w:rsidP="002554DD">
      <w:pPr>
        <w:ind w:left="0"/>
      </w:pPr>
    </w:p>
    <w:p w14:paraId="32EA9956" w14:textId="77777777" w:rsidR="00B12F51" w:rsidRPr="00B47055" w:rsidRDefault="00B47055" w:rsidP="00692DEB">
      <w:pPr>
        <w:pStyle w:val="Heading4"/>
      </w:pPr>
      <w:bookmarkStart w:id="8" w:name="_Toc427752818"/>
      <w:r w:rsidRPr="00B47055">
        <w:t>Impact on Small Businesses or Other Small Entities</w:t>
      </w:r>
      <w:bookmarkEnd w:id="8"/>
    </w:p>
    <w:p w14:paraId="6D094125" w14:textId="77777777" w:rsidR="0053557D" w:rsidRDefault="00D26A64" w:rsidP="007B7C44">
      <w:pPr>
        <w:ind w:left="360"/>
      </w:pPr>
      <w:r>
        <w:t>N</w:t>
      </w:r>
      <w:r w:rsidR="00AF2252">
        <w:t xml:space="preserve">o small businesses will be involved in this </w:t>
      </w:r>
      <w:r w:rsidR="00157413">
        <w:t>information collection</w:t>
      </w:r>
      <w:r>
        <w:t>.</w:t>
      </w:r>
    </w:p>
    <w:p w14:paraId="17151E88" w14:textId="77777777" w:rsidR="00441CC3" w:rsidRDefault="00441CC3" w:rsidP="005D6F14"/>
    <w:p w14:paraId="20410513" w14:textId="77777777" w:rsidR="00B12F51" w:rsidRPr="00B47055" w:rsidRDefault="00B47055" w:rsidP="00692DEB">
      <w:pPr>
        <w:pStyle w:val="Heading4"/>
      </w:pPr>
      <w:bookmarkStart w:id="9" w:name="_Toc427752819"/>
      <w:r w:rsidRPr="00B47055">
        <w:t xml:space="preserve">Consequences of Collecting the Information Less Frequently </w:t>
      </w:r>
      <w:r w:rsidR="00D95FBF" w:rsidRPr="00B47055">
        <w:t xml:space="preserve">  </w:t>
      </w:r>
      <w:bookmarkEnd w:id="9"/>
      <w:r w:rsidR="00D95FBF" w:rsidRPr="00B47055">
        <w:t xml:space="preserve"> </w:t>
      </w:r>
    </w:p>
    <w:p w14:paraId="796C702F" w14:textId="2046B3A4" w:rsidR="000058E0" w:rsidRPr="00CC189C" w:rsidRDefault="004134D1" w:rsidP="00CC189C">
      <w:pPr>
        <w:ind w:left="360"/>
      </w:pPr>
      <w:r>
        <w:t>This request is for a one-</w:t>
      </w:r>
      <w:r w:rsidR="000058E0" w:rsidRPr="00CC189C">
        <w:t xml:space="preserve">time </w:t>
      </w:r>
      <w:r w:rsidR="005212E5" w:rsidRPr="00CC189C">
        <w:t>data</w:t>
      </w:r>
      <w:r w:rsidR="006E19C9" w:rsidRPr="00CC189C">
        <w:t xml:space="preserve"> collection. </w:t>
      </w:r>
      <w:r w:rsidR="000058E0" w:rsidRPr="00CC189C">
        <w:t>There are no legal obstacles to reduce the burden.</w:t>
      </w:r>
      <w:r w:rsidR="00CE2931" w:rsidRPr="00CC189C">
        <w:t xml:space="preserve"> </w:t>
      </w:r>
      <w:r w:rsidR="000058E0" w:rsidRPr="00CC189C">
        <w:t>If no data are collected, CDC will be unable to:</w:t>
      </w:r>
    </w:p>
    <w:p w14:paraId="433588F2" w14:textId="77777777" w:rsidR="00CD2BA3" w:rsidRPr="00CC189C" w:rsidRDefault="00CD2BA3" w:rsidP="00CC189C">
      <w:pPr>
        <w:ind w:left="360"/>
      </w:pPr>
    </w:p>
    <w:p w14:paraId="20C4D456" w14:textId="44D1FDCA" w:rsidR="009446B0" w:rsidRDefault="009446B0" w:rsidP="00CC189C">
      <w:pPr>
        <w:pStyle w:val="ListParagraph"/>
        <w:numPr>
          <w:ilvl w:val="0"/>
          <w:numId w:val="19"/>
        </w:numPr>
      </w:pPr>
      <w:r w:rsidRPr="00CC189C">
        <w:t>Iden</w:t>
      </w:r>
      <w:r w:rsidR="00C11DC0" w:rsidRPr="00CC189C">
        <w:t xml:space="preserve">tify </w:t>
      </w:r>
      <w:r w:rsidRPr="00CC189C">
        <w:t xml:space="preserve">issues raised by </w:t>
      </w:r>
      <w:r w:rsidR="00CC189C">
        <w:t xml:space="preserve">state, territorial, and local </w:t>
      </w:r>
      <w:r w:rsidRPr="00CC189C">
        <w:t xml:space="preserve">public health officials with respect to the feasibility </w:t>
      </w:r>
      <w:r w:rsidR="00CC189C">
        <w:t xml:space="preserve">(capability) </w:t>
      </w:r>
      <w:r w:rsidRPr="00CC189C">
        <w:t xml:space="preserve">of implementing </w:t>
      </w:r>
      <w:r w:rsidR="00B85648">
        <w:t xml:space="preserve">the </w:t>
      </w:r>
      <w:r w:rsidRPr="00CC189C">
        <w:t>NPI</w:t>
      </w:r>
      <w:r w:rsidR="00B85648">
        <w:t xml:space="preserve"> </w:t>
      </w:r>
      <w:r w:rsidR="00CC189C">
        <w:t>recommendations</w:t>
      </w:r>
      <w:r w:rsidR="00B85648">
        <w:t xml:space="preserve"> </w:t>
      </w:r>
      <w:r w:rsidRPr="00CC189C">
        <w:t xml:space="preserve">during </w:t>
      </w:r>
      <w:r w:rsidR="00CC189C">
        <w:t xml:space="preserve">severe </w:t>
      </w:r>
      <w:r w:rsidRPr="00CC189C">
        <w:t>influenza pandemics;</w:t>
      </w:r>
    </w:p>
    <w:p w14:paraId="25FB3D8C" w14:textId="5720E3F7" w:rsidR="00CC189C" w:rsidRPr="00CC189C" w:rsidRDefault="00CC189C" w:rsidP="00CC189C">
      <w:pPr>
        <w:pStyle w:val="ListParagraph"/>
        <w:numPr>
          <w:ilvl w:val="0"/>
          <w:numId w:val="19"/>
        </w:numPr>
      </w:pPr>
      <w:r>
        <w:t>Identify issues raised by public health officials regarding the level of accepta</w:t>
      </w:r>
      <w:r w:rsidR="00B85648">
        <w:t xml:space="preserve">bility of (compliance with) the </w:t>
      </w:r>
      <w:r>
        <w:t>NPI recommendations by community stakeholders and partners;</w:t>
      </w:r>
    </w:p>
    <w:p w14:paraId="16A534DC" w14:textId="3A2E7AAA" w:rsidR="008C59E7" w:rsidRPr="00CC189C" w:rsidRDefault="00CC189C" w:rsidP="00CC189C">
      <w:pPr>
        <w:pStyle w:val="ListParagraph"/>
        <w:numPr>
          <w:ilvl w:val="0"/>
          <w:numId w:val="19"/>
        </w:numPr>
      </w:pPr>
      <w:r>
        <w:t xml:space="preserve">Highlight </w:t>
      </w:r>
      <w:r w:rsidR="00C22266" w:rsidRPr="00CC189C">
        <w:t xml:space="preserve">expressed barriers to </w:t>
      </w:r>
      <w:r w:rsidR="009446B0" w:rsidRPr="00CC189C">
        <w:t xml:space="preserve">implementing </w:t>
      </w:r>
      <w:r>
        <w:t xml:space="preserve">the </w:t>
      </w:r>
      <w:r w:rsidR="009446B0" w:rsidRPr="00CC189C">
        <w:t xml:space="preserve">NPI </w:t>
      </w:r>
      <w:r>
        <w:t xml:space="preserve">recommendations </w:t>
      </w:r>
      <w:r w:rsidR="009446B0" w:rsidRPr="00CC189C">
        <w:t>in community settings by public health officials</w:t>
      </w:r>
      <w:r w:rsidR="00CE2931" w:rsidRPr="00CC189C">
        <w:t>; and</w:t>
      </w:r>
    </w:p>
    <w:p w14:paraId="3D77E0C7" w14:textId="5BD24520" w:rsidR="00AB5B7D" w:rsidRPr="00CC189C" w:rsidRDefault="00C11DC0" w:rsidP="00CC189C">
      <w:pPr>
        <w:pStyle w:val="ListParagraph"/>
        <w:numPr>
          <w:ilvl w:val="0"/>
          <w:numId w:val="19"/>
        </w:numPr>
      </w:pPr>
      <w:r w:rsidRPr="00CC189C">
        <w:t xml:space="preserve">Update </w:t>
      </w:r>
      <w:r w:rsidR="00AB5B7D" w:rsidRPr="00CC189C">
        <w:t>sections of the 2017 Community Mitigation Guidelines</w:t>
      </w:r>
      <w:r w:rsidR="006B4F6F">
        <w:t xml:space="preserve">, as needed, </w:t>
      </w:r>
      <w:r w:rsidR="00AB5B7D" w:rsidRPr="00CC189C">
        <w:t>to enhance the usefulness of the guideline</w:t>
      </w:r>
      <w:r w:rsidRPr="00CC189C">
        <w:t>s for pre-pandemic planning</w:t>
      </w:r>
      <w:r w:rsidR="00AB5B7D" w:rsidRPr="00CC189C">
        <w:t>.</w:t>
      </w:r>
    </w:p>
    <w:p w14:paraId="612C46C9" w14:textId="52518016" w:rsidR="00DA7EC8" w:rsidRPr="00685F8E" w:rsidRDefault="00DA7EC8" w:rsidP="00D8524E">
      <w:pPr>
        <w:ind w:left="0"/>
        <w:rPr>
          <w:lang w:eastAsia="zh-CN"/>
        </w:rPr>
      </w:pPr>
    </w:p>
    <w:p w14:paraId="682972C8" w14:textId="77777777" w:rsidR="00B12F51" w:rsidRPr="00B47055" w:rsidRDefault="00B47055" w:rsidP="00692DEB">
      <w:pPr>
        <w:pStyle w:val="Heading4"/>
      </w:pPr>
      <w:bookmarkStart w:id="10" w:name="_Toc427752820"/>
      <w:r w:rsidRPr="00B47055">
        <w:t>Special Circumstances Relating to the Guidelines of 5 CFR 1320.5</w:t>
      </w:r>
      <w:bookmarkEnd w:id="10"/>
    </w:p>
    <w:p w14:paraId="19254C15" w14:textId="1CA6EE1B" w:rsidR="00F52BCC" w:rsidRDefault="00A809AA" w:rsidP="007B7C44">
      <w:pPr>
        <w:ind w:left="360"/>
      </w:pPr>
      <w:r>
        <w:t xml:space="preserve">There are no special circumstances with this </w:t>
      </w:r>
      <w:r w:rsidR="002E2EDD">
        <w:t>data</w:t>
      </w:r>
      <w:r w:rsidR="00270406">
        <w:t xml:space="preserve"> collection package. </w:t>
      </w:r>
      <w:r w:rsidR="00835CA7">
        <w:t>This request fully complies with the regulation 5 CFR 1320.5</w:t>
      </w:r>
      <w:r w:rsidR="00183483">
        <w:t xml:space="preserve"> </w:t>
      </w:r>
      <w:r w:rsidR="00D95FBF">
        <w:t>and will be voluntary</w:t>
      </w:r>
      <w:r w:rsidR="00835CA7">
        <w:t>.</w:t>
      </w:r>
    </w:p>
    <w:p w14:paraId="46E48AE9" w14:textId="0A00875E" w:rsidR="00BD4599" w:rsidRDefault="00BD4599" w:rsidP="00675F9A">
      <w:pPr>
        <w:ind w:left="360"/>
      </w:pPr>
    </w:p>
    <w:p w14:paraId="5155C4AA" w14:textId="248BCE06" w:rsidR="004711CF" w:rsidRDefault="004711CF" w:rsidP="00675F9A">
      <w:pPr>
        <w:ind w:left="360"/>
      </w:pPr>
    </w:p>
    <w:p w14:paraId="226B82B0" w14:textId="77777777" w:rsidR="004711CF" w:rsidRDefault="004711CF" w:rsidP="00675F9A">
      <w:pPr>
        <w:ind w:left="360"/>
      </w:pPr>
    </w:p>
    <w:p w14:paraId="48B1D8D9" w14:textId="77777777" w:rsidR="00B12F51" w:rsidRPr="0088467A" w:rsidRDefault="0088467A" w:rsidP="00692DEB">
      <w:pPr>
        <w:pStyle w:val="Heading4"/>
      </w:pPr>
      <w:bookmarkStart w:id="11" w:name="_Toc427752821"/>
      <w:r w:rsidRPr="0088467A">
        <w:t>Comments in Response to the Federal Register Notice and Efforts to Consult Outside the Agency</w:t>
      </w:r>
      <w:bookmarkEnd w:id="11"/>
    </w:p>
    <w:p w14:paraId="1841DD62" w14:textId="7C0757CC" w:rsidR="00595328" w:rsidRDefault="00595328" w:rsidP="00595328">
      <w:pPr>
        <w:ind w:left="360"/>
      </w:pPr>
      <w:r>
        <w:t>This data collection is being conducted using the Generic Information Collection mechanism of the OSTLTS OMB Clearance Center (O2C2) – OMB No. 0920-0879. A 60-day Federal Register Notice was published in the Federal Register on April 27, 2017, Vo</w:t>
      </w:r>
      <w:r w:rsidR="00CD2BA3">
        <w:t xml:space="preserve">l. 82, No. 80, pp 19371-19373. </w:t>
      </w:r>
      <w:r>
        <w:t>One non-sub</w:t>
      </w:r>
      <w:r w:rsidR="00CD2BA3">
        <w:t xml:space="preserve">stantive comment was received. </w:t>
      </w:r>
      <w:r>
        <w:t>CDC sent forward the standard CDC response.</w:t>
      </w:r>
    </w:p>
    <w:p w14:paraId="31D6B2AC" w14:textId="77777777" w:rsidR="00595328" w:rsidRDefault="00595328" w:rsidP="00595328">
      <w:pPr>
        <w:ind w:left="360"/>
      </w:pPr>
    </w:p>
    <w:p w14:paraId="047440C7" w14:textId="4A8E2F33" w:rsidR="00675F9A" w:rsidRDefault="00595328" w:rsidP="007B7C44">
      <w:pPr>
        <w:ind w:left="360"/>
      </w:pPr>
      <w:r>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4BB58DEB" w14:textId="77777777" w:rsidR="00CD2BA3" w:rsidRPr="00A809AA" w:rsidRDefault="00CD2BA3" w:rsidP="007B7C44">
      <w:pPr>
        <w:ind w:left="360"/>
      </w:pPr>
    </w:p>
    <w:p w14:paraId="7AE5D4D3" w14:textId="77777777" w:rsidR="00B12F51" w:rsidRPr="0088467A" w:rsidRDefault="0088467A" w:rsidP="00692DEB">
      <w:pPr>
        <w:pStyle w:val="Heading4"/>
      </w:pPr>
      <w:bookmarkStart w:id="12" w:name="_Toc427752822"/>
      <w:r w:rsidRPr="0088467A">
        <w:t>Explanation of Any Payment or Gift to Respondents</w:t>
      </w:r>
      <w:bookmarkEnd w:id="12"/>
    </w:p>
    <w:p w14:paraId="5E22AE3E" w14:textId="77777777" w:rsidR="00675F9A" w:rsidRDefault="00A809AA" w:rsidP="005212E5">
      <w:pPr>
        <w:ind w:left="360"/>
      </w:pPr>
      <w:r>
        <w:t>CDC will not provide p</w:t>
      </w:r>
      <w:r w:rsidR="00D26A64">
        <w:t>ayments or gifts to respondents.</w:t>
      </w:r>
    </w:p>
    <w:p w14:paraId="738369A5" w14:textId="77777777" w:rsidR="006A09E0" w:rsidRDefault="006A09E0" w:rsidP="005212E5">
      <w:pPr>
        <w:ind w:left="360"/>
      </w:pPr>
    </w:p>
    <w:p w14:paraId="1378D914" w14:textId="77777777" w:rsidR="00B12F51" w:rsidRPr="00D16E78" w:rsidRDefault="0088467A" w:rsidP="00692DEB">
      <w:pPr>
        <w:pStyle w:val="Heading4"/>
      </w:pPr>
      <w:r>
        <w:t xml:space="preserve"> </w:t>
      </w:r>
      <w:bookmarkStart w:id="13" w:name="_Toc427752823"/>
      <w:r w:rsidR="009D5927" w:rsidRPr="009D5927">
        <w:t>Protection of the Privacy and Confidentiality of Information Provided by Respondents</w:t>
      </w:r>
      <w:bookmarkEnd w:id="13"/>
    </w:p>
    <w:p w14:paraId="2B41CE2E" w14:textId="3BDD9C51" w:rsidR="00CD2BA3" w:rsidRDefault="003C31C9" w:rsidP="009B36EF">
      <w:pPr>
        <w:ind w:left="360"/>
      </w:pPr>
      <w:r w:rsidRPr="003C31C9">
        <w:t xml:space="preserve">The Privacy Act does not apply to this </w:t>
      </w:r>
      <w:r w:rsidR="002E2EDD">
        <w:t>data</w:t>
      </w:r>
      <w:r w:rsidR="00157413">
        <w:t xml:space="preserve"> </w:t>
      </w:r>
      <w:r w:rsidR="00157413" w:rsidRPr="00040611">
        <w:t>collection</w:t>
      </w:r>
      <w:r w:rsidR="00D67B84">
        <w:t xml:space="preserve">. </w:t>
      </w:r>
      <w:r w:rsidR="000F5B1B">
        <w:t xml:space="preserve">STLT governmental staff </w:t>
      </w:r>
      <w:r w:rsidRPr="00040611">
        <w:t>will be speaking from their official roles</w:t>
      </w:r>
      <w:r w:rsidR="00D06816">
        <w:t>.</w:t>
      </w:r>
    </w:p>
    <w:p w14:paraId="7C265AD4" w14:textId="7AEB2D9D" w:rsidR="002E2EDD" w:rsidRPr="00675F9A" w:rsidRDefault="00D06816" w:rsidP="00C51BC3">
      <w:pPr>
        <w:ind w:left="0"/>
      </w:pPr>
      <w:r>
        <w:t xml:space="preserve">  </w:t>
      </w:r>
      <w:r w:rsidR="003C31C9" w:rsidRPr="00040611">
        <w:t xml:space="preserve"> </w:t>
      </w:r>
    </w:p>
    <w:p w14:paraId="66775F77" w14:textId="77777777" w:rsidR="00B12F51" w:rsidRPr="0088467A" w:rsidRDefault="009D5927" w:rsidP="00692DEB">
      <w:pPr>
        <w:pStyle w:val="Heading4"/>
      </w:pPr>
      <w:bookmarkStart w:id="14" w:name="_Toc427752824"/>
      <w:r w:rsidRPr="009D5927">
        <w:t>Institutional Review Board (IRB) and Justification for Sensitive Questions</w:t>
      </w:r>
      <w:bookmarkEnd w:id="14"/>
    </w:p>
    <w:p w14:paraId="0C963A2A" w14:textId="2E18A628" w:rsidR="00F52BCC" w:rsidRDefault="003C31C9" w:rsidP="008B65FF">
      <w:pPr>
        <w:ind w:left="360"/>
      </w:pPr>
      <w:r>
        <w:t>No information will be collected</w:t>
      </w:r>
      <w:r w:rsidR="00616090">
        <w:t xml:space="preserve"> that are of personal or sensitive nature</w:t>
      </w:r>
      <w:r w:rsidR="00D26A64">
        <w:t>.</w:t>
      </w:r>
      <w:r w:rsidR="00595328" w:rsidRPr="00595328">
        <w:t xml:space="preserve"> This data collection is not research involving human subjects.</w:t>
      </w:r>
    </w:p>
    <w:p w14:paraId="242CFFC1" w14:textId="1BE81628" w:rsidR="004E4E0D" w:rsidRPr="0088467A" w:rsidRDefault="004E4E0D" w:rsidP="00F258A9">
      <w:pPr>
        <w:ind w:left="0"/>
      </w:pPr>
    </w:p>
    <w:p w14:paraId="6D421BEC" w14:textId="77777777" w:rsidR="00B64BFA" w:rsidRPr="0088467A" w:rsidRDefault="0088467A" w:rsidP="00692DEB">
      <w:pPr>
        <w:pStyle w:val="Heading4"/>
      </w:pPr>
      <w:bookmarkStart w:id="15" w:name="_Toc427752825"/>
      <w:r w:rsidRPr="0088467A">
        <w:t>Estimates of Annualized Burden Hours and Costs</w:t>
      </w:r>
      <w:bookmarkEnd w:id="15"/>
    </w:p>
    <w:p w14:paraId="64D42B74" w14:textId="4FE72AC9" w:rsidR="000058E0" w:rsidRDefault="000058E0" w:rsidP="00027B55">
      <w:pPr>
        <w:ind w:left="360"/>
      </w:pPr>
      <w:r w:rsidRPr="00711BFA">
        <w:rPr>
          <w:color w:val="000000"/>
        </w:rPr>
        <w:t xml:space="preserve">The estimate for burden hours is based on a pilot test of </w:t>
      </w:r>
      <w:r w:rsidRPr="0061015C">
        <w:t xml:space="preserve">the </w:t>
      </w:r>
      <w:r w:rsidR="008B17F1">
        <w:t xml:space="preserve">online </w:t>
      </w:r>
      <w:r w:rsidR="002E2EDD">
        <w:t>data</w:t>
      </w:r>
      <w:r w:rsidRPr="0061015C">
        <w:t xml:space="preserve"> collection instrument </w:t>
      </w:r>
      <w:r w:rsidRPr="00711BFA">
        <w:rPr>
          <w:color w:val="000000"/>
        </w:rPr>
        <w:t xml:space="preserve">by </w:t>
      </w:r>
      <w:r w:rsidR="00DA7EC8">
        <w:rPr>
          <w:color w:val="000000"/>
        </w:rPr>
        <w:t xml:space="preserve">8 </w:t>
      </w:r>
      <w:r w:rsidRPr="00711BFA">
        <w:t xml:space="preserve">public health professionals. In the pilot test, the average time to complete the </w:t>
      </w:r>
      <w:r w:rsidRPr="0061015C">
        <w:t>instrument including time for reviewing instructions, gathering needed information</w:t>
      </w:r>
      <w:r w:rsidR="001324CA">
        <w:t>,</w:t>
      </w:r>
      <w:r w:rsidRPr="0061015C">
        <w:t xml:space="preserve"> and completing the instrument</w:t>
      </w:r>
      <w:r w:rsidR="00C43771">
        <w:t xml:space="preserve">, was </w:t>
      </w:r>
      <w:r w:rsidR="00C43771" w:rsidRPr="0069708C">
        <w:t xml:space="preserve">approximately 51 </w:t>
      </w:r>
      <w:r w:rsidRPr="0069708C">
        <w:t>minutes</w:t>
      </w:r>
      <w:r w:rsidR="005A088E" w:rsidRPr="0069708C">
        <w:t xml:space="preserve"> (range: 24</w:t>
      </w:r>
      <w:r w:rsidR="00721719" w:rsidRPr="0069708C">
        <w:t>–</w:t>
      </w:r>
      <w:r w:rsidR="005A088E" w:rsidRPr="0069708C">
        <w:t>90 minutes</w:t>
      </w:r>
      <w:r w:rsidR="00721719" w:rsidRPr="00721719">
        <w:t>)</w:t>
      </w:r>
      <w:r w:rsidRPr="00711BFA">
        <w:t>. For the purpo</w:t>
      </w:r>
      <w:r w:rsidR="0029579B">
        <w:t xml:space="preserve">ses of estimating burden hours, the upper limit of this range </w:t>
      </w:r>
      <w:r w:rsidR="00EE307C">
        <w:t xml:space="preserve">(i.e., </w:t>
      </w:r>
      <w:r w:rsidR="0089626E" w:rsidRPr="00C33E5F">
        <w:t>90</w:t>
      </w:r>
      <w:r w:rsidR="0089626E">
        <w:rPr>
          <w:color w:val="0070C0"/>
        </w:rPr>
        <w:t xml:space="preserve"> </w:t>
      </w:r>
      <w:r w:rsidRPr="00711BFA">
        <w:t>minutes) is used.</w:t>
      </w:r>
    </w:p>
    <w:p w14:paraId="726149B1" w14:textId="77777777" w:rsidR="00027B55" w:rsidRPr="00027B55" w:rsidRDefault="00027B55" w:rsidP="00027B55">
      <w:pPr>
        <w:ind w:left="360"/>
        <w:rPr>
          <w:color w:val="000000"/>
        </w:rPr>
      </w:pPr>
    </w:p>
    <w:p w14:paraId="73F692C6" w14:textId="0F315E65" w:rsidR="000E1EAC" w:rsidRDefault="008C408E" w:rsidP="000E1EAC">
      <w:pPr>
        <w:ind w:left="360"/>
      </w:pPr>
      <w:r w:rsidRPr="00EE2A79">
        <w:t>Estimates for the aver</w:t>
      </w:r>
      <w:r w:rsidR="007376E0">
        <w:t xml:space="preserve">age hourly wage for respondents </w:t>
      </w:r>
      <w:r w:rsidRPr="00EE2A79">
        <w:t>are based on the Department of Labor (DOL) Bureau of Labor Statisti</w:t>
      </w:r>
      <w:r w:rsidR="008F3D10" w:rsidRPr="00EE2A79">
        <w:t xml:space="preserve">cs for occupational employment </w:t>
      </w:r>
      <w:r w:rsidRPr="00EE2A79">
        <w:t>for</w:t>
      </w:r>
      <w:r w:rsidR="00AB138D" w:rsidRPr="00EE2A79">
        <w:t xml:space="preserve"> eme</w:t>
      </w:r>
      <w:r w:rsidR="00D36A9D" w:rsidRPr="00EE2A79">
        <w:t xml:space="preserve">rgency management directors or </w:t>
      </w:r>
      <w:r w:rsidR="006F441D" w:rsidRPr="00EE2A79">
        <w:t xml:space="preserve">environmental scientists and </w:t>
      </w:r>
      <w:r w:rsidR="00AB138D" w:rsidRPr="00EE2A79">
        <w:t>specialists, inclu</w:t>
      </w:r>
      <w:r w:rsidR="00270406">
        <w:t xml:space="preserve">ding health </w:t>
      </w:r>
      <w:r w:rsidR="000A5402" w:rsidRPr="000A5402">
        <w:t>(</w:t>
      </w:r>
      <w:hyperlink r:id="rId15" w:history="1">
        <w:r w:rsidRPr="009C70BD">
          <w:rPr>
            <w:rStyle w:val="Hyperlink"/>
          </w:rPr>
          <w:t>http://www.bls.gov/oes/current/oes_nat.htm</w:t>
        </w:r>
      </w:hyperlink>
      <w:r w:rsidR="000A5402" w:rsidRPr="000A5402">
        <w:rPr>
          <w:rStyle w:val="Hyperlink"/>
          <w:color w:val="auto"/>
          <w:u w:val="none"/>
        </w:rPr>
        <w:t>)</w:t>
      </w:r>
      <w:r w:rsidRPr="000A5402">
        <w:t>.</w:t>
      </w:r>
      <w:r w:rsidR="00483174">
        <w:t xml:space="preserve"> </w:t>
      </w:r>
      <w:r w:rsidR="006F441D">
        <w:t xml:space="preserve">Based on </w:t>
      </w:r>
      <w:r w:rsidR="000058E0" w:rsidRPr="00711BFA">
        <w:t xml:space="preserve">DOL data, an average hourly wage of </w:t>
      </w:r>
      <w:r w:rsidR="008C59E7" w:rsidRPr="00EE2A79">
        <w:t>$</w:t>
      </w:r>
      <w:r w:rsidR="00270406">
        <w:t xml:space="preserve">39.01 </w:t>
      </w:r>
      <w:r w:rsidR="006F441D" w:rsidRPr="00EE2A79">
        <w:t xml:space="preserve">is </w:t>
      </w:r>
      <w:r w:rsidR="000D7981" w:rsidRPr="00EE2A79">
        <w:t xml:space="preserve">estimated for 59 </w:t>
      </w:r>
      <w:r w:rsidR="000058E0" w:rsidRPr="00EE2A79">
        <w:t>respondents</w:t>
      </w:r>
      <w:r w:rsidR="000D7981" w:rsidRPr="00EE2A79">
        <w:t xml:space="preserve"> and $36.64 is estimated for 819 respondents</w:t>
      </w:r>
      <w:r w:rsidR="000058E0" w:rsidRPr="00EE2A79">
        <w:t>. Table A-12 shows estimated burden and cost information.</w:t>
      </w:r>
    </w:p>
    <w:p w14:paraId="25FD97A7" w14:textId="0BF18B21" w:rsidR="000E1EAC" w:rsidRDefault="000E1EAC" w:rsidP="00027B55">
      <w:pPr>
        <w:ind w:left="0"/>
      </w:pPr>
    </w:p>
    <w:p w14:paraId="4C7320B8" w14:textId="77777777" w:rsidR="00027B55" w:rsidRDefault="00027B55" w:rsidP="00027B55">
      <w:pPr>
        <w:ind w:left="0"/>
      </w:pPr>
    </w:p>
    <w:p w14:paraId="3898A6D1" w14:textId="5A702052" w:rsidR="00E41812" w:rsidRPr="00393DFE" w:rsidRDefault="005A59E5" w:rsidP="006A09E0">
      <w:pPr>
        <w:pStyle w:val="CommentText"/>
        <w:ind w:left="360"/>
        <w:rPr>
          <w:sz w:val="22"/>
          <w:szCs w:val="22"/>
        </w:rPr>
      </w:pPr>
      <w:r w:rsidRPr="00393DFE">
        <w:rPr>
          <w:b/>
          <w:sz w:val="22"/>
          <w:szCs w:val="22"/>
          <w:u w:val="single"/>
        </w:rPr>
        <w:t>Table A-12</w:t>
      </w:r>
      <w:r w:rsidRPr="00393DFE">
        <w:rPr>
          <w:b/>
          <w:sz w:val="22"/>
          <w:szCs w:val="22"/>
        </w:rPr>
        <w:t>:</w:t>
      </w:r>
      <w:r w:rsidRPr="00393DFE">
        <w:rPr>
          <w:sz w:val="22"/>
          <w:szCs w:val="22"/>
        </w:rPr>
        <w:t xml:space="preserve"> Estimated Annualized Burden Hours and Costs to Respondents</w:t>
      </w:r>
    </w:p>
    <w:p w14:paraId="53447AF6" w14:textId="77777777" w:rsidR="005A59E5" w:rsidRDefault="005A59E5" w:rsidP="008B65FF">
      <w:pPr>
        <w:pStyle w:val="ListParagraph"/>
        <w:ind w:left="360"/>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350"/>
        <w:gridCol w:w="1440"/>
        <w:gridCol w:w="1350"/>
        <w:gridCol w:w="1350"/>
        <w:gridCol w:w="990"/>
        <w:gridCol w:w="1128"/>
        <w:gridCol w:w="1350"/>
      </w:tblGrid>
      <w:tr w:rsidR="0043229B" w:rsidRPr="00EE2A79" w14:paraId="6F02F0FC" w14:textId="77777777" w:rsidTr="00FE0CE6">
        <w:trPr>
          <w:trHeight w:val="1493"/>
          <w:jc w:val="center"/>
        </w:trPr>
        <w:tc>
          <w:tcPr>
            <w:tcW w:w="1350" w:type="dxa"/>
            <w:shd w:val="clear" w:color="auto" w:fill="D9D9D9" w:themeFill="background1" w:themeFillShade="D9"/>
          </w:tcPr>
          <w:p w14:paraId="4A0211BB" w14:textId="77777777" w:rsidR="006410E1" w:rsidRPr="00EE2A79" w:rsidRDefault="006410E1" w:rsidP="007B2C7C">
            <w:pPr>
              <w:ind w:left="-18"/>
              <w:jc w:val="center"/>
              <w:rPr>
                <w:b/>
                <w:sz w:val="20"/>
                <w:szCs w:val="20"/>
              </w:rPr>
            </w:pPr>
          </w:p>
          <w:p w14:paraId="052E23CF" w14:textId="17E51277" w:rsidR="003B2200" w:rsidRPr="00EE2A79" w:rsidRDefault="002E2EDD" w:rsidP="007B2C7C">
            <w:pPr>
              <w:ind w:left="-18"/>
              <w:jc w:val="center"/>
              <w:rPr>
                <w:b/>
                <w:sz w:val="20"/>
                <w:szCs w:val="20"/>
              </w:rPr>
            </w:pPr>
            <w:r w:rsidRPr="00EE2A79">
              <w:rPr>
                <w:b/>
                <w:sz w:val="20"/>
                <w:szCs w:val="20"/>
              </w:rPr>
              <w:t>Data</w:t>
            </w:r>
            <w:r w:rsidR="00BA0041" w:rsidRPr="00EE2A79">
              <w:rPr>
                <w:b/>
                <w:sz w:val="20"/>
                <w:szCs w:val="20"/>
              </w:rPr>
              <w:t xml:space="preserve"> C</w:t>
            </w:r>
            <w:r w:rsidR="00157413" w:rsidRPr="00EE2A79">
              <w:rPr>
                <w:b/>
                <w:sz w:val="20"/>
                <w:szCs w:val="20"/>
              </w:rPr>
              <w:t>ollection</w:t>
            </w:r>
            <w:r w:rsidR="003B2200" w:rsidRPr="00EE2A79">
              <w:rPr>
                <w:b/>
                <w:sz w:val="20"/>
                <w:szCs w:val="20"/>
              </w:rPr>
              <w:t xml:space="preserve"> Instrument: Form Name</w:t>
            </w:r>
          </w:p>
        </w:tc>
        <w:tc>
          <w:tcPr>
            <w:tcW w:w="1350" w:type="dxa"/>
            <w:shd w:val="clear" w:color="auto" w:fill="D9D9D9" w:themeFill="background1" w:themeFillShade="D9"/>
            <w:vAlign w:val="center"/>
          </w:tcPr>
          <w:p w14:paraId="56207A04" w14:textId="77777777" w:rsidR="003B2200" w:rsidRPr="00EE2A79" w:rsidRDefault="003B2200" w:rsidP="007B2C7C">
            <w:pPr>
              <w:ind w:left="0"/>
              <w:jc w:val="center"/>
              <w:rPr>
                <w:b/>
                <w:sz w:val="20"/>
                <w:szCs w:val="20"/>
              </w:rPr>
            </w:pPr>
            <w:r w:rsidRPr="00EE2A79">
              <w:rPr>
                <w:b/>
                <w:sz w:val="20"/>
                <w:szCs w:val="20"/>
              </w:rPr>
              <w:t>Type of Respondent</w:t>
            </w:r>
          </w:p>
        </w:tc>
        <w:tc>
          <w:tcPr>
            <w:tcW w:w="1440" w:type="dxa"/>
            <w:shd w:val="clear" w:color="auto" w:fill="D9D9D9" w:themeFill="background1" w:themeFillShade="D9"/>
            <w:vAlign w:val="center"/>
          </w:tcPr>
          <w:p w14:paraId="36F5BFAC" w14:textId="77777777" w:rsidR="003B2200" w:rsidRPr="00EE2A79" w:rsidRDefault="003B2200" w:rsidP="007B2C7C">
            <w:pPr>
              <w:ind w:left="-18"/>
              <w:jc w:val="center"/>
              <w:rPr>
                <w:b/>
                <w:sz w:val="20"/>
                <w:szCs w:val="20"/>
              </w:rPr>
            </w:pPr>
            <w:r w:rsidRPr="00EE2A79">
              <w:rPr>
                <w:b/>
                <w:sz w:val="20"/>
                <w:szCs w:val="20"/>
              </w:rPr>
              <w:t>No. of Respondents</w:t>
            </w:r>
          </w:p>
        </w:tc>
        <w:tc>
          <w:tcPr>
            <w:tcW w:w="1350" w:type="dxa"/>
            <w:shd w:val="clear" w:color="auto" w:fill="D9D9D9" w:themeFill="background1" w:themeFillShade="D9"/>
            <w:vAlign w:val="center"/>
          </w:tcPr>
          <w:p w14:paraId="0CC7099F" w14:textId="77777777" w:rsidR="003B2200" w:rsidRPr="00EE2A79" w:rsidRDefault="003B2200" w:rsidP="007B2C7C">
            <w:pPr>
              <w:ind w:left="-18"/>
              <w:jc w:val="center"/>
              <w:rPr>
                <w:b/>
                <w:sz w:val="20"/>
                <w:szCs w:val="20"/>
              </w:rPr>
            </w:pPr>
            <w:r w:rsidRPr="00EE2A79">
              <w:rPr>
                <w:b/>
                <w:sz w:val="20"/>
                <w:szCs w:val="20"/>
              </w:rPr>
              <w:t>No. of Responses per Respondent</w:t>
            </w:r>
          </w:p>
        </w:tc>
        <w:tc>
          <w:tcPr>
            <w:tcW w:w="1350" w:type="dxa"/>
            <w:shd w:val="clear" w:color="auto" w:fill="D9D9D9" w:themeFill="background1" w:themeFillShade="D9"/>
            <w:vAlign w:val="center"/>
          </w:tcPr>
          <w:p w14:paraId="4AC8CDF6" w14:textId="77777777" w:rsidR="003B2200" w:rsidRPr="00EE2A79" w:rsidRDefault="003B2200" w:rsidP="007B2C7C">
            <w:pPr>
              <w:ind w:left="-18"/>
              <w:jc w:val="center"/>
              <w:rPr>
                <w:b/>
                <w:sz w:val="20"/>
                <w:szCs w:val="20"/>
              </w:rPr>
            </w:pPr>
            <w:r w:rsidRPr="00EE2A79">
              <w:rPr>
                <w:b/>
                <w:sz w:val="20"/>
                <w:szCs w:val="20"/>
              </w:rPr>
              <w:t>Average Burden per Response (in hours)</w:t>
            </w:r>
          </w:p>
        </w:tc>
        <w:tc>
          <w:tcPr>
            <w:tcW w:w="990" w:type="dxa"/>
            <w:shd w:val="clear" w:color="auto" w:fill="D9D9D9" w:themeFill="background1" w:themeFillShade="D9"/>
            <w:vAlign w:val="center"/>
          </w:tcPr>
          <w:p w14:paraId="14922EDC" w14:textId="77777777" w:rsidR="003B2200" w:rsidRPr="00EE2A79" w:rsidRDefault="003B2200" w:rsidP="007B2C7C">
            <w:pPr>
              <w:ind w:left="-18"/>
              <w:jc w:val="center"/>
              <w:rPr>
                <w:b/>
                <w:sz w:val="20"/>
                <w:szCs w:val="20"/>
              </w:rPr>
            </w:pPr>
            <w:r w:rsidRPr="00EE2A79">
              <w:rPr>
                <w:b/>
                <w:sz w:val="20"/>
                <w:szCs w:val="20"/>
              </w:rPr>
              <w:t>Total Burden Hours</w:t>
            </w:r>
          </w:p>
        </w:tc>
        <w:tc>
          <w:tcPr>
            <w:tcW w:w="1128" w:type="dxa"/>
            <w:shd w:val="clear" w:color="auto" w:fill="D9D9D9" w:themeFill="background1" w:themeFillShade="D9"/>
            <w:vAlign w:val="center"/>
          </w:tcPr>
          <w:p w14:paraId="471C7541" w14:textId="5AE0D079" w:rsidR="003B2200" w:rsidRPr="00EE2A79" w:rsidRDefault="006410E1" w:rsidP="007B2C7C">
            <w:pPr>
              <w:ind w:left="-18"/>
              <w:jc w:val="center"/>
              <w:rPr>
                <w:b/>
                <w:sz w:val="20"/>
                <w:szCs w:val="20"/>
              </w:rPr>
            </w:pPr>
            <w:r w:rsidRPr="00EE2A79">
              <w:rPr>
                <w:b/>
                <w:sz w:val="20"/>
                <w:szCs w:val="20"/>
              </w:rPr>
              <w:t xml:space="preserve">Average </w:t>
            </w:r>
            <w:r w:rsidR="003B2200" w:rsidRPr="00EE2A79">
              <w:rPr>
                <w:b/>
                <w:sz w:val="20"/>
                <w:szCs w:val="20"/>
              </w:rPr>
              <w:t>Hourly Wage Rate</w:t>
            </w:r>
          </w:p>
        </w:tc>
        <w:tc>
          <w:tcPr>
            <w:tcW w:w="1350" w:type="dxa"/>
            <w:shd w:val="clear" w:color="auto" w:fill="D9D9D9" w:themeFill="background1" w:themeFillShade="D9"/>
            <w:vAlign w:val="center"/>
          </w:tcPr>
          <w:p w14:paraId="29CB1575" w14:textId="77777777" w:rsidR="003B2200" w:rsidRPr="00EE2A79" w:rsidRDefault="003B2200" w:rsidP="007B2C7C">
            <w:pPr>
              <w:ind w:left="-18"/>
              <w:jc w:val="center"/>
              <w:rPr>
                <w:b/>
                <w:sz w:val="20"/>
                <w:szCs w:val="20"/>
              </w:rPr>
            </w:pPr>
            <w:r w:rsidRPr="00EE2A79">
              <w:rPr>
                <w:b/>
                <w:sz w:val="20"/>
                <w:szCs w:val="20"/>
              </w:rPr>
              <w:t>Total Respondent Costs</w:t>
            </w:r>
          </w:p>
        </w:tc>
      </w:tr>
      <w:tr w:rsidR="00471642" w:rsidRPr="00EE2A79" w14:paraId="65103317" w14:textId="77777777" w:rsidTr="00FE0CE6">
        <w:trPr>
          <w:jc w:val="center"/>
        </w:trPr>
        <w:tc>
          <w:tcPr>
            <w:tcW w:w="1350" w:type="dxa"/>
          </w:tcPr>
          <w:p w14:paraId="5EE3D853" w14:textId="490E7B4F" w:rsidR="00471642" w:rsidRPr="00EE2A79" w:rsidRDefault="00F1236D" w:rsidP="00471642">
            <w:pPr>
              <w:ind w:left="0"/>
              <w:rPr>
                <w:sz w:val="20"/>
                <w:szCs w:val="20"/>
              </w:rPr>
            </w:pPr>
            <w:r w:rsidRPr="00EE2A79">
              <w:rPr>
                <w:sz w:val="20"/>
                <w:szCs w:val="20"/>
              </w:rPr>
              <w:t xml:space="preserve">Online </w:t>
            </w:r>
            <w:r w:rsidR="00E710F8" w:rsidRPr="00EE2A79">
              <w:rPr>
                <w:sz w:val="20"/>
                <w:szCs w:val="20"/>
              </w:rPr>
              <w:t>Assessment Tool</w:t>
            </w:r>
          </w:p>
        </w:tc>
        <w:tc>
          <w:tcPr>
            <w:tcW w:w="1350" w:type="dxa"/>
          </w:tcPr>
          <w:p w14:paraId="65EECDD4" w14:textId="673F8B18" w:rsidR="00471642" w:rsidRPr="00EE2A79" w:rsidRDefault="009839D1" w:rsidP="00471642">
            <w:pPr>
              <w:ind w:left="0"/>
              <w:rPr>
                <w:sz w:val="20"/>
                <w:szCs w:val="20"/>
              </w:rPr>
            </w:pPr>
            <w:r w:rsidRPr="00EE2A79">
              <w:rPr>
                <w:sz w:val="20"/>
                <w:szCs w:val="20"/>
              </w:rPr>
              <w:t xml:space="preserve">Director of Public Health Prepared-ness </w:t>
            </w:r>
            <w:r w:rsidR="003E0BCC" w:rsidRPr="00EE2A79">
              <w:rPr>
                <w:sz w:val="20"/>
                <w:szCs w:val="20"/>
              </w:rPr>
              <w:t>in state, territorial, and D.C. HDs</w:t>
            </w:r>
          </w:p>
        </w:tc>
        <w:tc>
          <w:tcPr>
            <w:tcW w:w="1440" w:type="dxa"/>
          </w:tcPr>
          <w:p w14:paraId="155B2A84" w14:textId="7121D183" w:rsidR="00471642" w:rsidRPr="00EE2A79" w:rsidRDefault="00E5138B" w:rsidP="007B2C7C">
            <w:pPr>
              <w:ind w:left="0"/>
              <w:jc w:val="center"/>
              <w:rPr>
                <w:sz w:val="20"/>
                <w:szCs w:val="20"/>
              </w:rPr>
            </w:pPr>
            <w:r w:rsidRPr="00EE2A79">
              <w:rPr>
                <w:sz w:val="20"/>
                <w:szCs w:val="20"/>
              </w:rPr>
              <w:t>59</w:t>
            </w:r>
          </w:p>
        </w:tc>
        <w:tc>
          <w:tcPr>
            <w:tcW w:w="1350" w:type="dxa"/>
          </w:tcPr>
          <w:p w14:paraId="657ABE07" w14:textId="77777777" w:rsidR="00471642" w:rsidRPr="00EE2A79" w:rsidRDefault="00471642" w:rsidP="007B2C7C">
            <w:pPr>
              <w:ind w:left="0"/>
              <w:jc w:val="center"/>
              <w:rPr>
                <w:sz w:val="20"/>
                <w:szCs w:val="20"/>
              </w:rPr>
            </w:pPr>
            <w:r w:rsidRPr="00EE2A79">
              <w:rPr>
                <w:sz w:val="20"/>
                <w:szCs w:val="20"/>
              </w:rPr>
              <w:t>1</w:t>
            </w:r>
          </w:p>
        </w:tc>
        <w:tc>
          <w:tcPr>
            <w:tcW w:w="1350" w:type="dxa"/>
          </w:tcPr>
          <w:p w14:paraId="30D8F599" w14:textId="23C6FBF1" w:rsidR="00471642" w:rsidRPr="00EE2A79" w:rsidRDefault="00511526" w:rsidP="007B2C7C">
            <w:pPr>
              <w:ind w:left="0"/>
              <w:jc w:val="center"/>
              <w:rPr>
                <w:sz w:val="20"/>
                <w:szCs w:val="20"/>
              </w:rPr>
            </w:pPr>
            <w:r w:rsidRPr="00EE2A79">
              <w:rPr>
                <w:sz w:val="20"/>
                <w:szCs w:val="20"/>
              </w:rPr>
              <w:t xml:space="preserve">90 </w:t>
            </w:r>
            <w:r w:rsidR="00471642" w:rsidRPr="00EE2A79">
              <w:rPr>
                <w:sz w:val="20"/>
                <w:szCs w:val="20"/>
              </w:rPr>
              <w:t>/ 60</w:t>
            </w:r>
          </w:p>
        </w:tc>
        <w:tc>
          <w:tcPr>
            <w:tcW w:w="990" w:type="dxa"/>
          </w:tcPr>
          <w:p w14:paraId="0E52CD5F" w14:textId="42C513E4" w:rsidR="00471642" w:rsidRPr="00EE2A79" w:rsidRDefault="000635C3" w:rsidP="007B2C7C">
            <w:pPr>
              <w:ind w:left="0"/>
              <w:jc w:val="center"/>
              <w:rPr>
                <w:sz w:val="20"/>
                <w:szCs w:val="20"/>
              </w:rPr>
            </w:pPr>
            <w:r w:rsidRPr="00EE2A79">
              <w:rPr>
                <w:sz w:val="20"/>
                <w:szCs w:val="20"/>
              </w:rPr>
              <w:t>89</w:t>
            </w:r>
          </w:p>
        </w:tc>
        <w:tc>
          <w:tcPr>
            <w:tcW w:w="1128" w:type="dxa"/>
          </w:tcPr>
          <w:p w14:paraId="199D6060" w14:textId="5346C91D" w:rsidR="00471642" w:rsidRPr="00EE2A79" w:rsidRDefault="004F6AFA" w:rsidP="007C1CC4">
            <w:pPr>
              <w:ind w:left="0"/>
              <w:jc w:val="center"/>
              <w:rPr>
                <w:sz w:val="20"/>
                <w:szCs w:val="20"/>
              </w:rPr>
            </w:pPr>
            <w:r w:rsidRPr="00EE2A79">
              <w:rPr>
                <w:sz w:val="20"/>
                <w:szCs w:val="20"/>
              </w:rPr>
              <w:t>$</w:t>
            </w:r>
            <w:r w:rsidR="006912DE" w:rsidRPr="00EE2A79">
              <w:rPr>
                <w:sz w:val="20"/>
                <w:szCs w:val="20"/>
              </w:rPr>
              <w:t>39.01</w:t>
            </w:r>
          </w:p>
        </w:tc>
        <w:tc>
          <w:tcPr>
            <w:tcW w:w="1350" w:type="dxa"/>
          </w:tcPr>
          <w:p w14:paraId="4586F274" w14:textId="1A10D8BB" w:rsidR="00471642" w:rsidRPr="00EE2A79" w:rsidRDefault="004F6AFA" w:rsidP="00F82EC2">
            <w:pPr>
              <w:ind w:left="0"/>
              <w:jc w:val="right"/>
              <w:rPr>
                <w:sz w:val="20"/>
                <w:szCs w:val="20"/>
              </w:rPr>
            </w:pPr>
            <w:r w:rsidRPr="00EE2A79">
              <w:rPr>
                <w:sz w:val="20"/>
                <w:szCs w:val="20"/>
              </w:rPr>
              <w:t>$</w:t>
            </w:r>
            <w:r w:rsidR="00CB5456" w:rsidRPr="00EE2A79">
              <w:rPr>
                <w:sz w:val="20"/>
                <w:szCs w:val="20"/>
              </w:rPr>
              <w:t>3,47</w:t>
            </w:r>
            <w:r w:rsidR="000635C3" w:rsidRPr="00EE2A79">
              <w:rPr>
                <w:sz w:val="20"/>
                <w:szCs w:val="20"/>
              </w:rPr>
              <w:t>2</w:t>
            </w:r>
          </w:p>
        </w:tc>
      </w:tr>
      <w:tr w:rsidR="000058E0" w:rsidRPr="00EE2A79" w14:paraId="2523FFA3" w14:textId="77777777" w:rsidTr="00FE0CE6">
        <w:trPr>
          <w:jc w:val="center"/>
        </w:trPr>
        <w:tc>
          <w:tcPr>
            <w:tcW w:w="1350" w:type="dxa"/>
          </w:tcPr>
          <w:p w14:paraId="3984E939" w14:textId="08CB93CE" w:rsidR="000058E0" w:rsidRPr="00EE2A79" w:rsidRDefault="00F1236D" w:rsidP="00E41812">
            <w:pPr>
              <w:ind w:left="0"/>
              <w:rPr>
                <w:sz w:val="20"/>
                <w:szCs w:val="20"/>
              </w:rPr>
            </w:pPr>
            <w:r w:rsidRPr="00EE2A79">
              <w:rPr>
                <w:sz w:val="20"/>
                <w:szCs w:val="20"/>
              </w:rPr>
              <w:t xml:space="preserve">Online </w:t>
            </w:r>
            <w:r w:rsidR="00E710F8" w:rsidRPr="00EE2A79">
              <w:rPr>
                <w:sz w:val="20"/>
                <w:szCs w:val="20"/>
              </w:rPr>
              <w:t>Assessment Tool</w:t>
            </w:r>
          </w:p>
        </w:tc>
        <w:tc>
          <w:tcPr>
            <w:tcW w:w="1350" w:type="dxa"/>
          </w:tcPr>
          <w:p w14:paraId="32A8176A" w14:textId="05CB3D49" w:rsidR="000B15D4" w:rsidRPr="00EE2A79" w:rsidRDefault="003E0BCC" w:rsidP="00E41812">
            <w:pPr>
              <w:ind w:left="0"/>
              <w:rPr>
                <w:sz w:val="20"/>
                <w:szCs w:val="20"/>
              </w:rPr>
            </w:pPr>
            <w:r w:rsidRPr="00EE2A79">
              <w:rPr>
                <w:sz w:val="20"/>
                <w:szCs w:val="20"/>
              </w:rPr>
              <w:t>Prepared-ness Coor</w:t>
            </w:r>
            <w:r w:rsidR="000B15D4" w:rsidRPr="00EE2A79">
              <w:rPr>
                <w:sz w:val="20"/>
                <w:szCs w:val="20"/>
              </w:rPr>
              <w:t>-</w:t>
            </w:r>
          </w:p>
          <w:p w14:paraId="3AF410D1" w14:textId="67E7A86B" w:rsidR="000058E0" w:rsidRPr="00EE2A79" w:rsidRDefault="000B15D4" w:rsidP="00E41812">
            <w:pPr>
              <w:ind w:left="0"/>
              <w:rPr>
                <w:sz w:val="20"/>
                <w:szCs w:val="20"/>
              </w:rPr>
            </w:pPr>
            <w:r w:rsidRPr="00EE2A79">
              <w:rPr>
                <w:sz w:val="20"/>
                <w:szCs w:val="20"/>
              </w:rPr>
              <w:t xml:space="preserve">dinator </w:t>
            </w:r>
            <w:r w:rsidR="003E0BCC" w:rsidRPr="00EE2A79">
              <w:rPr>
                <w:sz w:val="20"/>
                <w:szCs w:val="20"/>
              </w:rPr>
              <w:t>or Local Health Official in</w:t>
            </w:r>
            <w:r w:rsidR="001944B3" w:rsidRPr="00EE2A79">
              <w:rPr>
                <w:sz w:val="20"/>
                <w:szCs w:val="20"/>
              </w:rPr>
              <w:t xml:space="preserve"> local HDs</w:t>
            </w:r>
          </w:p>
        </w:tc>
        <w:tc>
          <w:tcPr>
            <w:tcW w:w="1440" w:type="dxa"/>
          </w:tcPr>
          <w:p w14:paraId="4035E4FD" w14:textId="1A1F3B1E" w:rsidR="000058E0" w:rsidRPr="00EE2A79" w:rsidRDefault="00E5138B" w:rsidP="007B2C7C">
            <w:pPr>
              <w:ind w:left="0"/>
              <w:jc w:val="center"/>
              <w:rPr>
                <w:sz w:val="20"/>
                <w:szCs w:val="20"/>
              </w:rPr>
            </w:pPr>
            <w:r w:rsidRPr="00EE2A79">
              <w:rPr>
                <w:sz w:val="20"/>
                <w:szCs w:val="20"/>
              </w:rPr>
              <w:t>819</w:t>
            </w:r>
          </w:p>
        </w:tc>
        <w:tc>
          <w:tcPr>
            <w:tcW w:w="1350" w:type="dxa"/>
          </w:tcPr>
          <w:p w14:paraId="6E9E8730" w14:textId="77777777" w:rsidR="000058E0" w:rsidRPr="00EE2A79" w:rsidRDefault="00E41812" w:rsidP="007B2C7C">
            <w:pPr>
              <w:ind w:left="0"/>
              <w:jc w:val="center"/>
              <w:rPr>
                <w:sz w:val="20"/>
                <w:szCs w:val="20"/>
              </w:rPr>
            </w:pPr>
            <w:r w:rsidRPr="00EE2A79">
              <w:rPr>
                <w:sz w:val="20"/>
                <w:szCs w:val="20"/>
              </w:rPr>
              <w:t>1</w:t>
            </w:r>
          </w:p>
        </w:tc>
        <w:tc>
          <w:tcPr>
            <w:tcW w:w="1350" w:type="dxa"/>
          </w:tcPr>
          <w:p w14:paraId="52B52F01" w14:textId="032DE69C" w:rsidR="000058E0" w:rsidRPr="00EE2A79" w:rsidRDefault="00511526" w:rsidP="007B2C7C">
            <w:pPr>
              <w:ind w:left="0"/>
              <w:jc w:val="center"/>
              <w:rPr>
                <w:sz w:val="20"/>
                <w:szCs w:val="20"/>
              </w:rPr>
            </w:pPr>
            <w:r w:rsidRPr="00EE2A79">
              <w:rPr>
                <w:sz w:val="20"/>
                <w:szCs w:val="20"/>
              </w:rPr>
              <w:t>90</w:t>
            </w:r>
            <w:r w:rsidR="000B15D4" w:rsidRPr="00EE2A79">
              <w:rPr>
                <w:sz w:val="20"/>
                <w:szCs w:val="20"/>
              </w:rPr>
              <w:t xml:space="preserve"> </w:t>
            </w:r>
            <w:r w:rsidR="00E41812" w:rsidRPr="00EE2A79">
              <w:rPr>
                <w:sz w:val="20"/>
                <w:szCs w:val="20"/>
              </w:rPr>
              <w:t>/ 60</w:t>
            </w:r>
          </w:p>
        </w:tc>
        <w:tc>
          <w:tcPr>
            <w:tcW w:w="990" w:type="dxa"/>
          </w:tcPr>
          <w:p w14:paraId="0BD908DE" w14:textId="70012BD9" w:rsidR="000058E0" w:rsidRPr="00EE2A79" w:rsidRDefault="000635C3" w:rsidP="007B2C7C">
            <w:pPr>
              <w:ind w:left="0"/>
              <w:jc w:val="center"/>
              <w:rPr>
                <w:sz w:val="20"/>
                <w:szCs w:val="20"/>
              </w:rPr>
            </w:pPr>
            <w:r w:rsidRPr="00EE2A79">
              <w:rPr>
                <w:sz w:val="20"/>
                <w:szCs w:val="20"/>
              </w:rPr>
              <w:t>1,229</w:t>
            </w:r>
          </w:p>
        </w:tc>
        <w:tc>
          <w:tcPr>
            <w:tcW w:w="1128" w:type="dxa"/>
          </w:tcPr>
          <w:p w14:paraId="2035D569" w14:textId="0BD99A3F" w:rsidR="000058E0" w:rsidRPr="00EE2A79" w:rsidRDefault="004F6AFA" w:rsidP="007C1CC4">
            <w:pPr>
              <w:ind w:left="0"/>
              <w:jc w:val="center"/>
              <w:rPr>
                <w:sz w:val="20"/>
                <w:szCs w:val="20"/>
              </w:rPr>
            </w:pPr>
            <w:r w:rsidRPr="00EE2A79">
              <w:rPr>
                <w:sz w:val="20"/>
                <w:szCs w:val="20"/>
              </w:rPr>
              <w:t>$</w:t>
            </w:r>
            <w:r w:rsidR="006912DE" w:rsidRPr="00EE2A79">
              <w:rPr>
                <w:sz w:val="20"/>
                <w:szCs w:val="20"/>
              </w:rPr>
              <w:t>36.64</w:t>
            </w:r>
          </w:p>
        </w:tc>
        <w:tc>
          <w:tcPr>
            <w:tcW w:w="1350" w:type="dxa"/>
          </w:tcPr>
          <w:p w14:paraId="4C48EFCA" w14:textId="088BA624" w:rsidR="000058E0" w:rsidRPr="00EE2A79" w:rsidRDefault="004F6AFA" w:rsidP="00F82EC2">
            <w:pPr>
              <w:ind w:left="0"/>
              <w:jc w:val="right"/>
              <w:rPr>
                <w:sz w:val="20"/>
                <w:szCs w:val="20"/>
              </w:rPr>
            </w:pPr>
            <w:r w:rsidRPr="00EE2A79">
              <w:rPr>
                <w:sz w:val="20"/>
                <w:szCs w:val="20"/>
              </w:rPr>
              <w:t>$</w:t>
            </w:r>
            <w:r w:rsidR="00E33921" w:rsidRPr="00EE2A79">
              <w:rPr>
                <w:sz w:val="20"/>
                <w:szCs w:val="20"/>
              </w:rPr>
              <w:t>45,031</w:t>
            </w:r>
          </w:p>
        </w:tc>
      </w:tr>
      <w:tr w:rsidR="0043229B" w:rsidRPr="00EE2A79" w14:paraId="47C6AE83" w14:textId="77777777" w:rsidTr="00FE0CE6">
        <w:trPr>
          <w:trHeight w:hRule="exact" w:val="1072"/>
          <w:jc w:val="center"/>
        </w:trPr>
        <w:tc>
          <w:tcPr>
            <w:tcW w:w="1350" w:type="dxa"/>
          </w:tcPr>
          <w:p w14:paraId="7112CF3A" w14:textId="77777777" w:rsidR="003B2200" w:rsidRPr="00EE2A79" w:rsidRDefault="003B2200" w:rsidP="000058E0">
            <w:pPr>
              <w:ind w:left="0"/>
              <w:rPr>
                <w:b/>
                <w:sz w:val="20"/>
                <w:szCs w:val="20"/>
              </w:rPr>
            </w:pPr>
          </w:p>
        </w:tc>
        <w:tc>
          <w:tcPr>
            <w:tcW w:w="1350" w:type="dxa"/>
            <w:vAlign w:val="center"/>
          </w:tcPr>
          <w:p w14:paraId="79A4DB0E" w14:textId="77777777" w:rsidR="003B2200" w:rsidRPr="00EE2A79" w:rsidRDefault="003B2200" w:rsidP="000058E0">
            <w:pPr>
              <w:ind w:left="0"/>
              <w:rPr>
                <w:b/>
                <w:sz w:val="20"/>
                <w:szCs w:val="20"/>
              </w:rPr>
            </w:pPr>
            <w:r w:rsidRPr="00EE2A79">
              <w:rPr>
                <w:b/>
                <w:sz w:val="20"/>
                <w:szCs w:val="20"/>
              </w:rPr>
              <w:t>TOTALS</w:t>
            </w:r>
          </w:p>
        </w:tc>
        <w:tc>
          <w:tcPr>
            <w:tcW w:w="1440" w:type="dxa"/>
            <w:vAlign w:val="center"/>
          </w:tcPr>
          <w:p w14:paraId="44749302" w14:textId="414EEB64" w:rsidR="003B2200" w:rsidRPr="00EE2A79" w:rsidRDefault="00E5138B" w:rsidP="007B2C7C">
            <w:pPr>
              <w:ind w:left="0"/>
              <w:jc w:val="center"/>
              <w:rPr>
                <w:b/>
                <w:sz w:val="20"/>
                <w:szCs w:val="20"/>
              </w:rPr>
            </w:pPr>
            <w:r w:rsidRPr="00EE2A79">
              <w:rPr>
                <w:b/>
                <w:sz w:val="20"/>
                <w:szCs w:val="20"/>
              </w:rPr>
              <w:t>878</w:t>
            </w:r>
          </w:p>
        </w:tc>
        <w:tc>
          <w:tcPr>
            <w:tcW w:w="1350" w:type="dxa"/>
            <w:shd w:val="clear" w:color="auto" w:fill="auto"/>
            <w:vAlign w:val="center"/>
          </w:tcPr>
          <w:p w14:paraId="4738955C" w14:textId="77777777" w:rsidR="003B2200" w:rsidRPr="00EE2A79" w:rsidRDefault="00471642" w:rsidP="007B2C7C">
            <w:pPr>
              <w:ind w:left="0"/>
              <w:jc w:val="center"/>
              <w:rPr>
                <w:b/>
                <w:sz w:val="20"/>
                <w:szCs w:val="20"/>
              </w:rPr>
            </w:pPr>
            <w:r w:rsidRPr="00EE2A79">
              <w:rPr>
                <w:b/>
                <w:sz w:val="20"/>
                <w:szCs w:val="20"/>
              </w:rPr>
              <w:t>1</w:t>
            </w:r>
          </w:p>
        </w:tc>
        <w:tc>
          <w:tcPr>
            <w:tcW w:w="1350" w:type="dxa"/>
            <w:shd w:val="clear" w:color="auto" w:fill="D9D9D9" w:themeFill="background1" w:themeFillShade="D9"/>
            <w:vAlign w:val="center"/>
          </w:tcPr>
          <w:p w14:paraId="60C6B7E5" w14:textId="77777777" w:rsidR="003B2200" w:rsidRPr="00EE2A79" w:rsidRDefault="003B2200" w:rsidP="000058E0">
            <w:pPr>
              <w:ind w:left="0"/>
              <w:rPr>
                <w:b/>
                <w:sz w:val="20"/>
                <w:szCs w:val="20"/>
              </w:rPr>
            </w:pPr>
          </w:p>
        </w:tc>
        <w:tc>
          <w:tcPr>
            <w:tcW w:w="990" w:type="dxa"/>
            <w:vAlign w:val="center"/>
          </w:tcPr>
          <w:p w14:paraId="4289C55A" w14:textId="00035C1D" w:rsidR="003B2200" w:rsidRPr="00EE2A79" w:rsidRDefault="00E33921" w:rsidP="007B2C7C">
            <w:pPr>
              <w:ind w:left="0"/>
              <w:jc w:val="center"/>
              <w:rPr>
                <w:b/>
                <w:sz w:val="20"/>
                <w:szCs w:val="20"/>
              </w:rPr>
            </w:pPr>
            <w:r w:rsidRPr="00EE2A79">
              <w:rPr>
                <w:b/>
                <w:sz w:val="20"/>
                <w:szCs w:val="20"/>
              </w:rPr>
              <w:t>1,318</w:t>
            </w:r>
          </w:p>
        </w:tc>
        <w:tc>
          <w:tcPr>
            <w:tcW w:w="1128" w:type="dxa"/>
            <w:shd w:val="clear" w:color="auto" w:fill="D9D9D9" w:themeFill="background1" w:themeFillShade="D9"/>
            <w:vAlign w:val="center"/>
          </w:tcPr>
          <w:p w14:paraId="3A64DC85" w14:textId="77777777" w:rsidR="003B2200" w:rsidRPr="00EE2A79" w:rsidRDefault="003B2200" w:rsidP="000058E0">
            <w:pPr>
              <w:ind w:left="0"/>
              <w:rPr>
                <w:b/>
                <w:sz w:val="20"/>
                <w:szCs w:val="20"/>
              </w:rPr>
            </w:pPr>
          </w:p>
        </w:tc>
        <w:tc>
          <w:tcPr>
            <w:tcW w:w="1350" w:type="dxa"/>
            <w:vAlign w:val="center"/>
          </w:tcPr>
          <w:p w14:paraId="4A6CB774" w14:textId="25B08E56" w:rsidR="003B2200" w:rsidRPr="00EE2A79" w:rsidRDefault="004F6AFA" w:rsidP="00F82EC2">
            <w:pPr>
              <w:ind w:left="0"/>
              <w:jc w:val="right"/>
              <w:rPr>
                <w:b/>
                <w:sz w:val="20"/>
                <w:szCs w:val="20"/>
              </w:rPr>
            </w:pPr>
            <w:r w:rsidRPr="00EE2A79">
              <w:rPr>
                <w:b/>
                <w:sz w:val="20"/>
                <w:szCs w:val="20"/>
              </w:rPr>
              <w:t>$</w:t>
            </w:r>
            <w:r w:rsidR="00E33921" w:rsidRPr="00EE2A79">
              <w:rPr>
                <w:b/>
                <w:sz w:val="20"/>
                <w:szCs w:val="20"/>
              </w:rPr>
              <w:t>48,503</w:t>
            </w:r>
          </w:p>
        </w:tc>
      </w:tr>
    </w:tbl>
    <w:p w14:paraId="55412950" w14:textId="406E1394" w:rsidR="00027B55" w:rsidRDefault="00027B55" w:rsidP="00393DFE">
      <w:pPr>
        <w:ind w:left="0"/>
      </w:pPr>
      <w:bookmarkStart w:id="16" w:name="_Toc427752826"/>
    </w:p>
    <w:p w14:paraId="250F9DEC" w14:textId="77777777" w:rsidR="00B12F51" w:rsidRPr="0088467A" w:rsidRDefault="0088467A" w:rsidP="00692DEB">
      <w:pPr>
        <w:pStyle w:val="Heading4"/>
      </w:pPr>
      <w:r w:rsidRPr="0088467A">
        <w:t>Estimates of Other Total Annual Cost Burden to Respondents or Record Keepers</w:t>
      </w:r>
      <w:bookmarkEnd w:id="16"/>
    </w:p>
    <w:p w14:paraId="632A26F2" w14:textId="77777777" w:rsidR="003C31C9" w:rsidRPr="00040611" w:rsidRDefault="003C31C9" w:rsidP="008B65FF">
      <w:pPr>
        <w:ind w:left="360"/>
      </w:pPr>
      <w:r w:rsidRPr="003C31C9">
        <w:t xml:space="preserve">There will be no </w:t>
      </w:r>
      <w:r w:rsidRPr="00040611">
        <w:t xml:space="preserve">direct costs to the respondents other than their time to participate in each </w:t>
      </w:r>
      <w:r w:rsidR="002E2EDD">
        <w:t>data</w:t>
      </w:r>
      <w:r w:rsidR="00157413" w:rsidRPr="008C59E7">
        <w:t xml:space="preserve"> collection</w:t>
      </w:r>
      <w:r w:rsidRPr="008C59E7">
        <w:t>.</w:t>
      </w:r>
    </w:p>
    <w:p w14:paraId="6325054D" w14:textId="77777777" w:rsidR="00911486" w:rsidRDefault="00911486" w:rsidP="00692DEB">
      <w:pPr>
        <w:ind w:left="0"/>
      </w:pPr>
    </w:p>
    <w:p w14:paraId="1E4950B0" w14:textId="77777777" w:rsidR="00B12F51" w:rsidRPr="0088467A" w:rsidRDefault="0088467A" w:rsidP="00692DEB">
      <w:pPr>
        <w:pStyle w:val="Heading4"/>
      </w:pPr>
      <w:bookmarkStart w:id="17" w:name="_Toc427752827"/>
      <w:r w:rsidRPr="0088467A">
        <w:t>Annualized Cost to the Government</w:t>
      </w:r>
      <w:bookmarkEnd w:id="17"/>
      <w:r w:rsidR="00D75750">
        <w:t xml:space="preserve"> </w:t>
      </w:r>
    </w:p>
    <w:p w14:paraId="4E6A4BCD" w14:textId="3E90BFC1" w:rsidR="000E1EAC" w:rsidRDefault="000058E0" w:rsidP="000E1EAC">
      <w:pPr>
        <w:ind w:left="360"/>
      </w:pPr>
      <w:r w:rsidRPr="000E58F5">
        <w:rPr>
          <w:rFonts w:cs="Arial"/>
        </w:rPr>
        <w:t xml:space="preserve">There are </w:t>
      </w:r>
      <w:r w:rsidR="00F258A9">
        <w:rPr>
          <w:rFonts w:cs="Arial"/>
        </w:rPr>
        <w:t xml:space="preserve">no equipment or overhead costs. </w:t>
      </w:r>
      <w:r w:rsidRPr="000E58F5">
        <w:rPr>
          <w:rFonts w:cs="Arial"/>
        </w:rPr>
        <w:t xml:space="preserve">The only cost </w:t>
      </w:r>
      <w:r w:rsidR="00C65199">
        <w:rPr>
          <w:rFonts w:cs="Arial"/>
        </w:rPr>
        <w:t xml:space="preserve">to the federal government will </w:t>
      </w:r>
      <w:r w:rsidRPr="000E58F5">
        <w:rPr>
          <w:rFonts w:cs="Arial"/>
        </w:rPr>
        <w:t xml:space="preserve">be the salary of CDC </w:t>
      </w:r>
      <w:r w:rsidR="00B818B9">
        <w:rPr>
          <w:rFonts w:cs="Arial"/>
        </w:rPr>
        <w:t xml:space="preserve">project </w:t>
      </w:r>
      <w:r w:rsidRPr="000E58F5">
        <w:rPr>
          <w:rFonts w:cs="Arial"/>
        </w:rPr>
        <w:t>staff</w:t>
      </w:r>
      <w:r w:rsidR="00317C9A">
        <w:rPr>
          <w:rFonts w:cs="Arial"/>
        </w:rPr>
        <w:t>, and the costs of a task order contractor – the MayaTech Corporat</w:t>
      </w:r>
      <w:r w:rsidR="00193C8A">
        <w:rPr>
          <w:rFonts w:cs="Arial"/>
        </w:rPr>
        <w:t xml:space="preserve">ion and a cooperative agreement awardee </w:t>
      </w:r>
      <w:r w:rsidR="00317C9A">
        <w:rPr>
          <w:rFonts w:cs="Arial"/>
        </w:rPr>
        <w:t>– NACCHO</w:t>
      </w:r>
      <w:r w:rsidR="00B818B9">
        <w:rPr>
          <w:rFonts w:cs="Arial"/>
        </w:rPr>
        <w:t xml:space="preserve"> – to implement this new information collection. </w:t>
      </w:r>
      <w:r w:rsidR="00317C9A">
        <w:rPr>
          <w:rFonts w:cs="Arial"/>
        </w:rPr>
        <w:t>Staff from CDC, the MayaT</w:t>
      </w:r>
      <w:r w:rsidR="00B818B9">
        <w:rPr>
          <w:rFonts w:cs="Arial"/>
        </w:rPr>
        <w:t xml:space="preserve">ech </w:t>
      </w:r>
      <w:r w:rsidR="00C65199">
        <w:rPr>
          <w:rFonts w:cs="Arial"/>
        </w:rPr>
        <w:t xml:space="preserve">Corporation, and NACCHO will </w:t>
      </w:r>
      <w:r w:rsidR="00317C9A">
        <w:rPr>
          <w:rFonts w:cs="Arial"/>
        </w:rPr>
        <w:t xml:space="preserve">support the tasks outlined below in Table A-14. </w:t>
      </w:r>
      <w:r w:rsidRPr="000E58F5">
        <w:rPr>
          <w:rFonts w:cs="Arial"/>
        </w:rPr>
        <w:t>The total estimated cost to the federal government is</w:t>
      </w:r>
      <w:r w:rsidR="008C59E7">
        <w:rPr>
          <w:rFonts w:cs="Arial"/>
        </w:rPr>
        <w:t xml:space="preserve"> </w:t>
      </w:r>
      <w:r w:rsidR="008C59E7" w:rsidRPr="0044130D">
        <w:rPr>
          <w:rFonts w:cs="Arial"/>
        </w:rPr>
        <w:t>$</w:t>
      </w:r>
      <w:r w:rsidR="004B0944" w:rsidRPr="00EE2A79">
        <w:rPr>
          <w:rFonts w:cs="Arial"/>
        </w:rPr>
        <w:t>215,841</w:t>
      </w:r>
      <w:r w:rsidRPr="000E58F5">
        <w:rPr>
          <w:rFonts w:cs="Arial"/>
        </w:rPr>
        <w:t>. Table A-14 describes how this cost estimate was calculated.</w:t>
      </w:r>
    </w:p>
    <w:p w14:paraId="52192CB3" w14:textId="77777777" w:rsidR="000E1EAC" w:rsidRDefault="000E1EAC" w:rsidP="000E1EAC">
      <w:pPr>
        <w:ind w:left="360"/>
      </w:pPr>
    </w:p>
    <w:p w14:paraId="31324F2B" w14:textId="2C686EBF" w:rsidR="003C31C9" w:rsidRPr="00393DFE" w:rsidRDefault="008E0683" w:rsidP="008B65FF">
      <w:pPr>
        <w:ind w:left="360"/>
      </w:pPr>
      <w:r w:rsidRPr="00393DFE">
        <w:rPr>
          <w:b/>
          <w:u w:val="single"/>
        </w:rPr>
        <w:t>Table A-14</w:t>
      </w:r>
      <w:r w:rsidRPr="00393DFE">
        <w:rPr>
          <w:b/>
        </w:rPr>
        <w:t>:</w:t>
      </w:r>
      <w:r w:rsidRPr="00393DFE">
        <w:t xml:space="preserve"> Estimated Annualized Cost to the Federal Government</w:t>
      </w:r>
    </w:p>
    <w:p w14:paraId="3D6D6230" w14:textId="77777777" w:rsidR="00393DFE" w:rsidRPr="00393DFE" w:rsidRDefault="00393DFE" w:rsidP="00500828">
      <w:pPr>
        <w:ind w:left="0"/>
      </w:pPr>
    </w:p>
    <w:tbl>
      <w:tblPr>
        <w:tblStyle w:val="TableGrid"/>
        <w:tblW w:w="9434" w:type="dxa"/>
        <w:tblInd w:w="355" w:type="dxa"/>
        <w:tblLook w:val="04A0" w:firstRow="1" w:lastRow="0" w:firstColumn="1" w:lastColumn="0" w:noHBand="0" w:noVBand="1"/>
      </w:tblPr>
      <w:tblGrid>
        <w:gridCol w:w="4158"/>
        <w:gridCol w:w="1782"/>
        <w:gridCol w:w="1822"/>
        <w:gridCol w:w="1672"/>
      </w:tblGrid>
      <w:tr w:rsidR="004841F1" w:rsidRPr="001A3A8E" w14:paraId="689F2BD4" w14:textId="77777777" w:rsidTr="00CF6092">
        <w:trPr>
          <w:trHeight w:val="593"/>
        </w:trPr>
        <w:tc>
          <w:tcPr>
            <w:tcW w:w="4158" w:type="dxa"/>
            <w:tcBorders>
              <w:bottom w:val="single" w:sz="12" w:space="0" w:color="auto"/>
            </w:tcBorders>
            <w:shd w:val="clear" w:color="auto" w:fill="D9D9D9" w:themeFill="background1" w:themeFillShade="D9"/>
            <w:vAlign w:val="center"/>
          </w:tcPr>
          <w:p w14:paraId="7213F1A5" w14:textId="0F30DA72" w:rsidR="004841F1" w:rsidRPr="001A3A8E" w:rsidRDefault="00F12262" w:rsidP="005D6F14">
            <w:pPr>
              <w:ind w:left="0"/>
              <w:jc w:val="center"/>
              <w:rPr>
                <w:b/>
                <w:sz w:val="20"/>
                <w:szCs w:val="20"/>
              </w:rPr>
            </w:pPr>
            <w:r>
              <w:rPr>
                <w:b/>
                <w:sz w:val="20"/>
                <w:szCs w:val="20"/>
              </w:rPr>
              <w:t>Staff</w:t>
            </w:r>
          </w:p>
        </w:tc>
        <w:tc>
          <w:tcPr>
            <w:tcW w:w="1782" w:type="dxa"/>
            <w:tcBorders>
              <w:bottom w:val="single" w:sz="12" w:space="0" w:color="auto"/>
            </w:tcBorders>
            <w:shd w:val="clear" w:color="auto" w:fill="D9D9D9" w:themeFill="background1" w:themeFillShade="D9"/>
            <w:vAlign w:val="center"/>
          </w:tcPr>
          <w:p w14:paraId="022A3CA8" w14:textId="77777777" w:rsidR="004841F1" w:rsidRPr="001A3A8E" w:rsidRDefault="004841F1" w:rsidP="005D6F14">
            <w:pPr>
              <w:ind w:left="0"/>
              <w:jc w:val="center"/>
              <w:rPr>
                <w:b/>
                <w:sz w:val="20"/>
                <w:szCs w:val="20"/>
              </w:rPr>
            </w:pPr>
            <w:r w:rsidRPr="001A3A8E">
              <w:rPr>
                <w:b/>
                <w:sz w:val="20"/>
                <w:szCs w:val="20"/>
              </w:rPr>
              <w:t>Average Hours per Collection</w:t>
            </w:r>
          </w:p>
        </w:tc>
        <w:tc>
          <w:tcPr>
            <w:tcW w:w="1822" w:type="dxa"/>
            <w:tcBorders>
              <w:bottom w:val="single" w:sz="12" w:space="0" w:color="auto"/>
            </w:tcBorders>
            <w:shd w:val="clear" w:color="auto" w:fill="D9D9D9" w:themeFill="background1" w:themeFillShade="D9"/>
            <w:vAlign w:val="center"/>
          </w:tcPr>
          <w:p w14:paraId="5F1AE29B" w14:textId="77777777" w:rsidR="009B72FB" w:rsidRPr="001A3A8E" w:rsidRDefault="009B72FB" w:rsidP="005D6F14">
            <w:pPr>
              <w:ind w:left="0"/>
              <w:jc w:val="center"/>
              <w:rPr>
                <w:b/>
                <w:sz w:val="20"/>
                <w:szCs w:val="20"/>
              </w:rPr>
            </w:pPr>
            <w:r w:rsidRPr="001A3A8E">
              <w:rPr>
                <w:b/>
                <w:sz w:val="20"/>
                <w:szCs w:val="20"/>
              </w:rPr>
              <w:t>Average</w:t>
            </w:r>
          </w:p>
          <w:p w14:paraId="2965BA4C" w14:textId="6596A3E8" w:rsidR="004841F1" w:rsidRPr="001A3A8E" w:rsidRDefault="004841F1" w:rsidP="005D6F14">
            <w:pPr>
              <w:ind w:left="0"/>
              <w:jc w:val="center"/>
              <w:rPr>
                <w:b/>
                <w:sz w:val="20"/>
                <w:szCs w:val="20"/>
              </w:rPr>
            </w:pPr>
            <w:r w:rsidRPr="001A3A8E">
              <w:rPr>
                <w:b/>
                <w:sz w:val="20"/>
                <w:szCs w:val="20"/>
              </w:rPr>
              <w:t>Hourly Rate</w:t>
            </w:r>
          </w:p>
        </w:tc>
        <w:tc>
          <w:tcPr>
            <w:tcW w:w="1672" w:type="dxa"/>
            <w:tcBorders>
              <w:bottom w:val="single" w:sz="12" w:space="0" w:color="auto"/>
            </w:tcBorders>
            <w:shd w:val="clear" w:color="auto" w:fill="D9D9D9" w:themeFill="background1" w:themeFillShade="D9"/>
            <w:vAlign w:val="center"/>
          </w:tcPr>
          <w:p w14:paraId="48ECBB9D" w14:textId="77777777" w:rsidR="009B72FB" w:rsidRPr="001A3A8E" w:rsidRDefault="009B72FB" w:rsidP="005D6F14">
            <w:pPr>
              <w:ind w:left="0"/>
              <w:jc w:val="center"/>
              <w:rPr>
                <w:b/>
                <w:sz w:val="20"/>
                <w:szCs w:val="20"/>
              </w:rPr>
            </w:pPr>
            <w:r w:rsidRPr="001A3A8E">
              <w:rPr>
                <w:b/>
                <w:sz w:val="20"/>
                <w:szCs w:val="20"/>
              </w:rPr>
              <w:t>Total</w:t>
            </w:r>
          </w:p>
          <w:p w14:paraId="3EA8B11B" w14:textId="46C68518" w:rsidR="004841F1" w:rsidRPr="001A3A8E" w:rsidRDefault="004841F1" w:rsidP="005D6F14">
            <w:pPr>
              <w:ind w:left="0"/>
              <w:jc w:val="center"/>
              <w:rPr>
                <w:b/>
                <w:sz w:val="20"/>
                <w:szCs w:val="20"/>
              </w:rPr>
            </w:pPr>
            <w:r w:rsidRPr="001A3A8E">
              <w:rPr>
                <w:b/>
                <w:sz w:val="20"/>
                <w:szCs w:val="20"/>
              </w:rPr>
              <w:t>Average Cost</w:t>
            </w:r>
          </w:p>
        </w:tc>
      </w:tr>
      <w:tr w:rsidR="004841F1" w:rsidRPr="001A3A8E" w14:paraId="14638C7B" w14:textId="77777777" w:rsidTr="00CF6092">
        <w:tc>
          <w:tcPr>
            <w:tcW w:w="4158" w:type="dxa"/>
            <w:tcBorders>
              <w:top w:val="single" w:sz="12" w:space="0" w:color="auto"/>
            </w:tcBorders>
          </w:tcPr>
          <w:p w14:paraId="3D6147BF" w14:textId="1D27411E" w:rsidR="00EE54FA" w:rsidRPr="001A3A8E" w:rsidRDefault="00F12262" w:rsidP="00756878">
            <w:pPr>
              <w:ind w:left="0"/>
              <w:rPr>
                <w:sz w:val="20"/>
                <w:szCs w:val="20"/>
              </w:rPr>
            </w:pPr>
            <w:r>
              <w:rPr>
                <w:sz w:val="20"/>
                <w:szCs w:val="20"/>
              </w:rPr>
              <w:t xml:space="preserve">CDC </w:t>
            </w:r>
            <w:r w:rsidR="00146438" w:rsidRPr="001A3A8E">
              <w:rPr>
                <w:sz w:val="20"/>
                <w:szCs w:val="20"/>
              </w:rPr>
              <w:t>Senior Epidemiologist – GS-14, Step 10:</w:t>
            </w:r>
          </w:p>
          <w:p w14:paraId="3067A1F2" w14:textId="1B170798" w:rsidR="00EE54FA" w:rsidRPr="001A3A8E" w:rsidRDefault="00F82EC2" w:rsidP="00756878">
            <w:pPr>
              <w:ind w:left="0"/>
              <w:rPr>
                <w:sz w:val="20"/>
                <w:szCs w:val="20"/>
              </w:rPr>
            </w:pPr>
            <w:r>
              <w:rPr>
                <w:sz w:val="20"/>
                <w:szCs w:val="20"/>
              </w:rPr>
              <w:t>Project Co-</w:t>
            </w:r>
            <w:r w:rsidR="005C4577" w:rsidRPr="001A3A8E">
              <w:rPr>
                <w:sz w:val="20"/>
                <w:szCs w:val="20"/>
              </w:rPr>
              <w:t>Lead</w:t>
            </w:r>
          </w:p>
          <w:p w14:paraId="7EE200A2" w14:textId="77777777" w:rsidR="00472E64" w:rsidRPr="001A3A8E" w:rsidRDefault="007E7106">
            <w:pPr>
              <w:pStyle w:val="ListParagraph"/>
              <w:numPr>
                <w:ilvl w:val="0"/>
                <w:numId w:val="21"/>
              </w:numPr>
              <w:rPr>
                <w:sz w:val="20"/>
                <w:szCs w:val="20"/>
              </w:rPr>
            </w:pPr>
            <w:r w:rsidRPr="001A3A8E">
              <w:rPr>
                <w:sz w:val="20"/>
                <w:szCs w:val="20"/>
              </w:rPr>
              <w:t>Co-lead and facilitate project activities</w:t>
            </w:r>
          </w:p>
          <w:p w14:paraId="62C9260C" w14:textId="252A2DF3" w:rsidR="00756878" w:rsidRPr="001A3A8E" w:rsidRDefault="00756878">
            <w:pPr>
              <w:pStyle w:val="ListParagraph"/>
              <w:numPr>
                <w:ilvl w:val="0"/>
                <w:numId w:val="21"/>
              </w:numPr>
              <w:rPr>
                <w:sz w:val="20"/>
                <w:szCs w:val="20"/>
              </w:rPr>
            </w:pPr>
            <w:r w:rsidRPr="001A3A8E">
              <w:rPr>
                <w:sz w:val="20"/>
                <w:szCs w:val="20"/>
              </w:rPr>
              <w:t xml:space="preserve">Provide technical </w:t>
            </w:r>
            <w:r w:rsidR="007D105D">
              <w:rPr>
                <w:sz w:val="20"/>
                <w:szCs w:val="20"/>
              </w:rPr>
              <w:t>subject matter expert (</w:t>
            </w:r>
            <w:r w:rsidRPr="001A3A8E">
              <w:rPr>
                <w:sz w:val="20"/>
                <w:szCs w:val="20"/>
              </w:rPr>
              <w:t>SME</w:t>
            </w:r>
            <w:r w:rsidR="007D105D">
              <w:rPr>
                <w:sz w:val="20"/>
                <w:szCs w:val="20"/>
              </w:rPr>
              <w:t>)</w:t>
            </w:r>
            <w:r w:rsidRPr="001A3A8E">
              <w:rPr>
                <w:sz w:val="20"/>
                <w:szCs w:val="20"/>
              </w:rPr>
              <w:t xml:space="preserve"> review and feedback</w:t>
            </w:r>
            <w:r w:rsidR="008519EF">
              <w:rPr>
                <w:sz w:val="20"/>
                <w:szCs w:val="20"/>
              </w:rPr>
              <w:t xml:space="preserve"> on project-related documents</w:t>
            </w:r>
          </w:p>
          <w:p w14:paraId="27229DB3" w14:textId="77777777" w:rsidR="0007040E" w:rsidRPr="001A3A8E" w:rsidRDefault="0007040E">
            <w:pPr>
              <w:pStyle w:val="ListParagraph"/>
              <w:numPr>
                <w:ilvl w:val="0"/>
                <w:numId w:val="21"/>
              </w:numPr>
              <w:rPr>
                <w:sz w:val="20"/>
                <w:szCs w:val="20"/>
              </w:rPr>
            </w:pPr>
            <w:r w:rsidRPr="001A3A8E">
              <w:rPr>
                <w:sz w:val="20"/>
                <w:szCs w:val="20"/>
              </w:rPr>
              <w:t>Prepare documents and manage OMB process</w:t>
            </w:r>
          </w:p>
          <w:p w14:paraId="16FFF03C" w14:textId="77777777" w:rsidR="008D426B" w:rsidRPr="001A3A8E" w:rsidRDefault="008D426B">
            <w:pPr>
              <w:pStyle w:val="ListParagraph"/>
              <w:numPr>
                <w:ilvl w:val="0"/>
                <w:numId w:val="21"/>
              </w:numPr>
              <w:rPr>
                <w:sz w:val="20"/>
                <w:szCs w:val="20"/>
              </w:rPr>
            </w:pPr>
            <w:r w:rsidRPr="001A3A8E">
              <w:rPr>
                <w:sz w:val="20"/>
                <w:szCs w:val="20"/>
              </w:rPr>
              <w:t>Review and interpret data tabulations and findings</w:t>
            </w:r>
          </w:p>
          <w:p w14:paraId="580A3B29" w14:textId="75182B5C" w:rsidR="008D426B" w:rsidRPr="001A3A8E" w:rsidRDefault="008D426B">
            <w:pPr>
              <w:pStyle w:val="ListParagraph"/>
              <w:numPr>
                <w:ilvl w:val="0"/>
                <w:numId w:val="21"/>
              </w:numPr>
              <w:rPr>
                <w:sz w:val="20"/>
                <w:szCs w:val="20"/>
              </w:rPr>
            </w:pPr>
            <w:r w:rsidRPr="001A3A8E">
              <w:rPr>
                <w:sz w:val="20"/>
                <w:szCs w:val="20"/>
              </w:rPr>
              <w:t>Contribute to summary report</w:t>
            </w:r>
          </w:p>
        </w:tc>
        <w:tc>
          <w:tcPr>
            <w:tcW w:w="1782" w:type="dxa"/>
            <w:tcBorders>
              <w:top w:val="single" w:sz="12" w:space="0" w:color="auto"/>
            </w:tcBorders>
          </w:tcPr>
          <w:p w14:paraId="1B8C6665" w14:textId="4FD42CC3" w:rsidR="004841F1" w:rsidRPr="001A3A8E" w:rsidRDefault="00ED58D6" w:rsidP="005A3933">
            <w:pPr>
              <w:ind w:left="0"/>
              <w:jc w:val="center"/>
              <w:rPr>
                <w:sz w:val="20"/>
                <w:szCs w:val="20"/>
              </w:rPr>
            </w:pPr>
            <w:r w:rsidRPr="001E6A62">
              <w:rPr>
                <w:sz w:val="20"/>
                <w:szCs w:val="20"/>
              </w:rPr>
              <w:t>608</w:t>
            </w:r>
          </w:p>
        </w:tc>
        <w:tc>
          <w:tcPr>
            <w:tcW w:w="1822" w:type="dxa"/>
            <w:tcBorders>
              <w:top w:val="single" w:sz="12" w:space="0" w:color="auto"/>
            </w:tcBorders>
          </w:tcPr>
          <w:p w14:paraId="7440E3A4" w14:textId="3F306D47" w:rsidR="004841F1" w:rsidRPr="001A3A8E" w:rsidRDefault="003A2555" w:rsidP="00F82EC2">
            <w:pPr>
              <w:ind w:left="0"/>
              <w:jc w:val="center"/>
              <w:rPr>
                <w:sz w:val="20"/>
                <w:szCs w:val="20"/>
              </w:rPr>
            </w:pPr>
            <w:r w:rsidRPr="001A3A8E">
              <w:rPr>
                <w:sz w:val="20"/>
                <w:szCs w:val="20"/>
              </w:rPr>
              <w:t>$</w:t>
            </w:r>
            <w:r w:rsidR="00127589" w:rsidRPr="001A3A8E">
              <w:rPr>
                <w:sz w:val="20"/>
                <w:szCs w:val="20"/>
              </w:rPr>
              <w:t>67.45</w:t>
            </w:r>
            <w:r w:rsidR="005A3933" w:rsidRPr="001A3A8E">
              <w:rPr>
                <w:sz w:val="20"/>
                <w:szCs w:val="20"/>
              </w:rPr>
              <w:t>/hour</w:t>
            </w:r>
          </w:p>
        </w:tc>
        <w:tc>
          <w:tcPr>
            <w:tcW w:w="1672" w:type="dxa"/>
            <w:tcBorders>
              <w:top w:val="single" w:sz="12" w:space="0" w:color="auto"/>
            </w:tcBorders>
          </w:tcPr>
          <w:p w14:paraId="7869F832" w14:textId="69AF21BD" w:rsidR="004841F1" w:rsidRPr="001A3A8E" w:rsidRDefault="000164D7" w:rsidP="00F82EC2">
            <w:pPr>
              <w:ind w:left="0"/>
              <w:jc w:val="right"/>
              <w:rPr>
                <w:sz w:val="20"/>
                <w:szCs w:val="20"/>
              </w:rPr>
            </w:pPr>
            <w:r>
              <w:rPr>
                <w:sz w:val="20"/>
                <w:szCs w:val="20"/>
              </w:rPr>
              <w:t>$</w:t>
            </w:r>
            <w:r w:rsidR="00DB5C09" w:rsidRPr="001E6A62">
              <w:rPr>
                <w:sz w:val="20"/>
                <w:szCs w:val="20"/>
              </w:rPr>
              <w:t>41,010</w:t>
            </w:r>
          </w:p>
        </w:tc>
      </w:tr>
      <w:tr w:rsidR="00D21D66" w:rsidRPr="001A3A8E" w14:paraId="543000BA" w14:textId="77777777" w:rsidTr="00CF6092">
        <w:tc>
          <w:tcPr>
            <w:tcW w:w="4158" w:type="dxa"/>
            <w:tcBorders>
              <w:top w:val="single" w:sz="12" w:space="0" w:color="auto"/>
            </w:tcBorders>
          </w:tcPr>
          <w:p w14:paraId="74D74BBA" w14:textId="301F7931" w:rsidR="00D21D66" w:rsidRPr="001A3A8E" w:rsidRDefault="00F12262" w:rsidP="00756878">
            <w:pPr>
              <w:ind w:left="0"/>
              <w:rPr>
                <w:sz w:val="20"/>
                <w:szCs w:val="20"/>
              </w:rPr>
            </w:pPr>
            <w:r>
              <w:rPr>
                <w:sz w:val="20"/>
                <w:szCs w:val="20"/>
              </w:rPr>
              <w:t xml:space="preserve">CDC </w:t>
            </w:r>
            <w:r w:rsidR="00146438" w:rsidRPr="001A3A8E">
              <w:rPr>
                <w:sz w:val="20"/>
                <w:szCs w:val="20"/>
              </w:rPr>
              <w:t>Senior Health Scientist – GS-14, Step 10:</w:t>
            </w:r>
          </w:p>
          <w:p w14:paraId="3D44C113" w14:textId="212801C3" w:rsidR="00D21D66" w:rsidRPr="001A3A8E" w:rsidRDefault="005C4577" w:rsidP="00756878">
            <w:pPr>
              <w:ind w:left="0"/>
              <w:rPr>
                <w:sz w:val="20"/>
                <w:szCs w:val="20"/>
              </w:rPr>
            </w:pPr>
            <w:r w:rsidRPr="001A3A8E">
              <w:rPr>
                <w:sz w:val="20"/>
                <w:szCs w:val="20"/>
              </w:rPr>
              <w:t xml:space="preserve">Project </w:t>
            </w:r>
            <w:r w:rsidR="00F82EC2">
              <w:rPr>
                <w:sz w:val="20"/>
                <w:szCs w:val="20"/>
              </w:rPr>
              <w:t>Co-</w:t>
            </w:r>
            <w:r w:rsidRPr="001A3A8E">
              <w:rPr>
                <w:sz w:val="20"/>
                <w:szCs w:val="20"/>
              </w:rPr>
              <w:t>Lead</w:t>
            </w:r>
          </w:p>
          <w:p w14:paraId="58815238" w14:textId="77777777" w:rsidR="00472E64" w:rsidRPr="001A3A8E" w:rsidRDefault="007E7106" w:rsidP="00756878">
            <w:pPr>
              <w:pStyle w:val="ListParagraph"/>
              <w:numPr>
                <w:ilvl w:val="0"/>
                <w:numId w:val="22"/>
              </w:numPr>
              <w:rPr>
                <w:sz w:val="20"/>
                <w:szCs w:val="20"/>
              </w:rPr>
            </w:pPr>
            <w:r w:rsidRPr="001A3A8E">
              <w:rPr>
                <w:sz w:val="20"/>
                <w:szCs w:val="20"/>
              </w:rPr>
              <w:t>Co-lead and facilitate project activities</w:t>
            </w:r>
          </w:p>
          <w:p w14:paraId="219D53AD" w14:textId="73A7C73C" w:rsidR="00756878" w:rsidRPr="001A3A8E" w:rsidRDefault="00756878" w:rsidP="00756878">
            <w:pPr>
              <w:pStyle w:val="ListParagraph"/>
              <w:numPr>
                <w:ilvl w:val="0"/>
                <w:numId w:val="22"/>
              </w:numPr>
              <w:rPr>
                <w:sz w:val="20"/>
                <w:szCs w:val="20"/>
              </w:rPr>
            </w:pPr>
            <w:r w:rsidRPr="001A3A8E">
              <w:rPr>
                <w:sz w:val="20"/>
                <w:szCs w:val="20"/>
              </w:rPr>
              <w:t>Provide technical SME review and feedback</w:t>
            </w:r>
            <w:r w:rsidR="008519EF">
              <w:rPr>
                <w:sz w:val="20"/>
                <w:szCs w:val="20"/>
              </w:rPr>
              <w:t xml:space="preserve"> on project-related documents</w:t>
            </w:r>
          </w:p>
          <w:p w14:paraId="12FDC930" w14:textId="77777777" w:rsidR="0007040E" w:rsidRPr="001A3A8E" w:rsidRDefault="0007040E" w:rsidP="00756878">
            <w:pPr>
              <w:pStyle w:val="ListParagraph"/>
              <w:numPr>
                <w:ilvl w:val="0"/>
                <w:numId w:val="22"/>
              </w:numPr>
              <w:rPr>
                <w:sz w:val="20"/>
                <w:szCs w:val="20"/>
              </w:rPr>
            </w:pPr>
            <w:r w:rsidRPr="001A3A8E">
              <w:rPr>
                <w:sz w:val="20"/>
                <w:szCs w:val="20"/>
              </w:rPr>
              <w:t>Prepare documents and manage OMB process</w:t>
            </w:r>
          </w:p>
          <w:p w14:paraId="746FFE99" w14:textId="77777777" w:rsidR="008D426B" w:rsidRPr="001A3A8E" w:rsidRDefault="008D426B" w:rsidP="00756878">
            <w:pPr>
              <w:pStyle w:val="ListParagraph"/>
              <w:numPr>
                <w:ilvl w:val="0"/>
                <w:numId w:val="22"/>
              </w:numPr>
              <w:rPr>
                <w:sz w:val="20"/>
                <w:szCs w:val="20"/>
              </w:rPr>
            </w:pPr>
            <w:r w:rsidRPr="001A3A8E">
              <w:rPr>
                <w:sz w:val="20"/>
                <w:szCs w:val="20"/>
              </w:rPr>
              <w:t>Review and interpret data tabulations and findings</w:t>
            </w:r>
          </w:p>
          <w:p w14:paraId="7D314714" w14:textId="074BE230" w:rsidR="008D426B" w:rsidRPr="001A3A8E" w:rsidRDefault="008D426B" w:rsidP="00756878">
            <w:pPr>
              <w:pStyle w:val="ListParagraph"/>
              <w:numPr>
                <w:ilvl w:val="0"/>
                <w:numId w:val="22"/>
              </w:numPr>
              <w:rPr>
                <w:sz w:val="20"/>
                <w:szCs w:val="20"/>
              </w:rPr>
            </w:pPr>
            <w:r w:rsidRPr="001A3A8E">
              <w:rPr>
                <w:sz w:val="20"/>
                <w:szCs w:val="20"/>
              </w:rPr>
              <w:t>Contribute to summary report</w:t>
            </w:r>
          </w:p>
        </w:tc>
        <w:tc>
          <w:tcPr>
            <w:tcW w:w="1782" w:type="dxa"/>
            <w:tcBorders>
              <w:top w:val="single" w:sz="12" w:space="0" w:color="auto"/>
            </w:tcBorders>
          </w:tcPr>
          <w:p w14:paraId="6680CD03" w14:textId="71A9853D" w:rsidR="00D21D66" w:rsidRPr="001A3A8E" w:rsidRDefault="00ED58D6" w:rsidP="005A3933">
            <w:pPr>
              <w:ind w:left="0"/>
              <w:jc w:val="center"/>
              <w:rPr>
                <w:sz w:val="20"/>
                <w:szCs w:val="20"/>
              </w:rPr>
            </w:pPr>
            <w:r w:rsidRPr="001E6A62">
              <w:rPr>
                <w:sz w:val="20"/>
                <w:szCs w:val="20"/>
              </w:rPr>
              <w:t>608</w:t>
            </w:r>
          </w:p>
        </w:tc>
        <w:tc>
          <w:tcPr>
            <w:tcW w:w="1822" w:type="dxa"/>
            <w:tcBorders>
              <w:top w:val="single" w:sz="12" w:space="0" w:color="auto"/>
            </w:tcBorders>
          </w:tcPr>
          <w:p w14:paraId="7645EAF1" w14:textId="22BAAC0E" w:rsidR="00D21D66" w:rsidRPr="001A3A8E" w:rsidRDefault="00D21D66" w:rsidP="00F82EC2">
            <w:pPr>
              <w:ind w:left="0"/>
              <w:jc w:val="center"/>
              <w:rPr>
                <w:sz w:val="20"/>
                <w:szCs w:val="20"/>
              </w:rPr>
            </w:pPr>
            <w:r w:rsidRPr="001A3A8E">
              <w:rPr>
                <w:sz w:val="20"/>
                <w:szCs w:val="20"/>
              </w:rPr>
              <w:t>$</w:t>
            </w:r>
            <w:r w:rsidR="00127589" w:rsidRPr="001A3A8E">
              <w:rPr>
                <w:sz w:val="20"/>
                <w:szCs w:val="20"/>
              </w:rPr>
              <w:t>67.45</w:t>
            </w:r>
            <w:r w:rsidRPr="001A3A8E">
              <w:rPr>
                <w:sz w:val="20"/>
                <w:szCs w:val="20"/>
              </w:rPr>
              <w:t>/hour</w:t>
            </w:r>
          </w:p>
        </w:tc>
        <w:tc>
          <w:tcPr>
            <w:tcW w:w="1672" w:type="dxa"/>
            <w:tcBorders>
              <w:top w:val="single" w:sz="12" w:space="0" w:color="auto"/>
            </w:tcBorders>
          </w:tcPr>
          <w:p w14:paraId="73530D3E" w14:textId="6D0CB97C" w:rsidR="00D21D66" w:rsidRPr="001A3A8E" w:rsidRDefault="000164D7" w:rsidP="00F82EC2">
            <w:pPr>
              <w:ind w:left="0"/>
              <w:jc w:val="right"/>
              <w:rPr>
                <w:sz w:val="20"/>
                <w:szCs w:val="20"/>
              </w:rPr>
            </w:pPr>
            <w:r>
              <w:rPr>
                <w:sz w:val="20"/>
                <w:szCs w:val="20"/>
              </w:rPr>
              <w:t>$</w:t>
            </w:r>
            <w:r w:rsidR="00DB5C09" w:rsidRPr="001E6A62">
              <w:rPr>
                <w:sz w:val="20"/>
                <w:szCs w:val="20"/>
              </w:rPr>
              <w:t>41,010</w:t>
            </w:r>
          </w:p>
        </w:tc>
      </w:tr>
      <w:tr w:rsidR="00285C00" w:rsidRPr="001A3A8E" w14:paraId="2C129F0D" w14:textId="77777777" w:rsidTr="00CF6092">
        <w:tc>
          <w:tcPr>
            <w:tcW w:w="4158" w:type="dxa"/>
            <w:tcBorders>
              <w:top w:val="single" w:sz="12" w:space="0" w:color="auto"/>
            </w:tcBorders>
          </w:tcPr>
          <w:p w14:paraId="232C9108" w14:textId="0333C919" w:rsidR="00285C00" w:rsidRDefault="00F12262" w:rsidP="00756878">
            <w:pPr>
              <w:ind w:left="0"/>
              <w:rPr>
                <w:sz w:val="20"/>
                <w:szCs w:val="20"/>
              </w:rPr>
            </w:pPr>
            <w:r>
              <w:rPr>
                <w:sz w:val="20"/>
                <w:szCs w:val="20"/>
              </w:rPr>
              <w:t xml:space="preserve">CDC </w:t>
            </w:r>
            <w:r w:rsidR="003C34AC">
              <w:rPr>
                <w:sz w:val="20"/>
                <w:szCs w:val="20"/>
              </w:rPr>
              <w:t xml:space="preserve">Mathematical </w:t>
            </w:r>
            <w:r w:rsidR="00285C00">
              <w:rPr>
                <w:sz w:val="20"/>
                <w:szCs w:val="20"/>
              </w:rPr>
              <w:t>Statistician – GS-14, Step</w:t>
            </w:r>
            <w:r w:rsidR="0098152E">
              <w:rPr>
                <w:sz w:val="20"/>
                <w:szCs w:val="20"/>
              </w:rPr>
              <w:t xml:space="preserve"> 3</w:t>
            </w:r>
            <w:r w:rsidR="00285C00">
              <w:rPr>
                <w:sz w:val="20"/>
                <w:szCs w:val="20"/>
              </w:rPr>
              <w:t>:</w:t>
            </w:r>
          </w:p>
          <w:p w14:paraId="68652F50" w14:textId="38EA0B65" w:rsidR="00285C00" w:rsidRPr="00285C00" w:rsidRDefault="007D105D" w:rsidP="00285C00">
            <w:pPr>
              <w:pStyle w:val="ListParagraph"/>
              <w:numPr>
                <w:ilvl w:val="0"/>
                <w:numId w:val="24"/>
              </w:numPr>
              <w:rPr>
                <w:sz w:val="20"/>
                <w:szCs w:val="20"/>
              </w:rPr>
            </w:pPr>
            <w:r>
              <w:rPr>
                <w:sz w:val="20"/>
                <w:szCs w:val="20"/>
              </w:rPr>
              <w:t>Provide</w:t>
            </w:r>
            <w:r w:rsidR="008519EF">
              <w:rPr>
                <w:sz w:val="20"/>
                <w:szCs w:val="20"/>
              </w:rPr>
              <w:t xml:space="preserve"> technical SME review and feedback on statistical aspects of data collection and analysis</w:t>
            </w:r>
          </w:p>
        </w:tc>
        <w:tc>
          <w:tcPr>
            <w:tcW w:w="1782" w:type="dxa"/>
            <w:tcBorders>
              <w:top w:val="single" w:sz="12" w:space="0" w:color="auto"/>
            </w:tcBorders>
          </w:tcPr>
          <w:p w14:paraId="0CD4ED94" w14:textId="0AA1749E" w:rsidR="00285C00" w:rsidRPr="001A3A8E" w:rsidRDefault="00185FA2" w:rsidP="005A3933">
            <w:pPr>
              <w:ind w:left="0"/>
              <w:jc w:val="center"/>
              <w:rPr>
                <w:sz w:val="20"/>
                <w:szCs w:val="20"/>
              </w:rPr>
            </w:pPr>
            <w:r w:rsidRPr="001E6A62">
              <w:rPr>
                <w:sz w:val="20"/>
                <w:szCs w:val="20"/>
              </w:rPr>
              <w:t>16</w:t>
            </w:r>
          </w:p>
        </w:tc>
        <w:tc>
          <w:tcPr>
            <w:tcW w:w="1822" w:type="dxa"/>
            <w:tcBorders>
              <w:top w:val="single" w:sz="12" w:space="0" w:color="auto"/>
            </w:tcBorders>
          </w:tcPr>
          <w:p w14:paraId="5FAAEE40" w14:textId="65C32D45" w:rsidR="00285C00" w:rsidRPr="001A3A8E" w:rsidRDefault="00F72E64" w:rsidP="00F82EC2">
            <w:pPr>
              <w:ind w:left="0"/>
              <w:jc w:val="center"/>
              <w:rPr>
                <w:sz w:val="20"/>
                <w:szCs w:val="20"/>
              </w:rPr>
            </w:pPr>
            <w:r>
              <w:rPr>
                <w:sz w:val="20"/>
                <w:szCs w:val="20"/>
              </w:rPr>
              <w:t>$</w:t>
            </w:r>
            <w:r w:rsidR="00185FA2">
              <w:rPr>
                <w:sz w:val="20"/>
                <w:szCs w:val="20"/>
              </w:rPr>
              <w:t>55.34</w:t>
            </w:r>
            <w:r>
              <w:rPr>
                <w:sz w:val="20"/>
                <w:szCs w:val="20"/>
              </w:rPr>
              <w:t>/hour</w:t>
            </w:r>
          </w:p>
        </w:tc>
        <w:tc>
          <w:tcPr>
            <w:tcW w:w="1672" w:type="dxa"/>
            <w:tcBorders>
              <w:top w:val="single" w:sz="12" w:space="0" w:color="auto"/>
            </w:tcBorders>
          </w:tcPr>
          <w:p w14:paraId="3B8302E3" w14:textId="3FFD633F" w:rsidR="00285C00" w:rsidRPr="001A3A8E" w:rsidRDefault="00185FA2" w:rsidP="00F82EC2">
            <w:pPr>
              <w:ind w:left="0"/>
              <w:jc w:val="right"/>
              <w:rPr>
                <w:sz w:val="20"/>
                <w:szCs w:val="20"/>
              </w:rPr>
            </w:pPr>
            <w:r>
              <w:rPr>
                <w:sz w:val="20"/>
                <w:szCs w:val="20"/>
              </w:rPr>
              <w:t>$</w:t>
            </w:r>
            <w:r w:rsidRPr="001E6A62">
              <w:rPr>
                <w:sz w:val="20"/>
                <w:szCs w:val="20"/>
              </w:rPr>
              <w:t>885</w:t>
            </w:r>
          </w:p>
        </w:tc>
      </w:tr>
      <w:tr w:rsidR="004841F1" w:rsidRPr="001A3A8E" w14:paraId="2B62D53A" w14:textId="77777777" w:rsidTr="00CF6092">
        <w:tc>
          <w:tcPr>
            <w:tcW w:w="4158" w:type="dxa"/>
          </w:tcPr>
          <w:p w14:paraId="4A10F6F7" w14:textId="1080EF3B" w:rsidR="004824FA" w:rsidRPr="001A3A8E" w:rsidRDefault="003E4E08" w:rsidP="00756878">
            <w:pPr>
              <w:ind w:left="0"/>
              <w:rPr>
                <w:sz w:val="20"/>
                <w:szCs w:val="20"/>
              </w:rPr>
            </w:pPr>
            <w:r>
              <w:rPr>
                <w:sz w:val="20"/>
                <w:szCs w:val="20"/>
              </w:rPr>
              <w:t xml:space="preserve">Task Order </w:t>
            </w:r>
            <w:r w:rsidR="00B74399" w:rsidRPr="001A3A8E">
              <w:rPr>
                <w:sz w:val="20"/>
                <w:szCs w:val="20"/>
              </w:rPr>
              <w:t>Contractor</w:t>
            </w:r>
            <w:r w:rsidR="00905805">
              <w:rPr>
                <w:sz w:val="20"/>
                <w:szCs w:val="20"/>
              </w:rPr>
              <w:t xml:space="preserve"> (</w:t>
            </w:r>
            <w:r w:rsidR="00AB7E81">
              <w:rPr>
                <w:sz w:val="20"/>
                <w:szCs w:val="20"/>
              </w:rPr>
              <w:t xml:space="preserve">4 </w:t>
            </w:r>
            <w:r w:rsidR="001D39F2">
              <w:rPr>
                <w:sz w:val="20"/>
                <w:szCs w:val="20"/>
              </w:rPr>
              <w:t>people</w:t>
            </w:r>
            <w:r w:rsidR="00905805">
              <w:rPr>
                <w:sz w:val="20"/>
                <w:szCs w:val="20"/>
              </w:rPr>
              <w:t>)</w:t>
            </w:r>
            <w:r w:rsidR="00B74399" w:rsidRPr="001A3A8E">
              <w:rPr>
                <w:sz w:val="20"/>
                <w:szCs w:val="20"/>
              </w:rPr>
              <w:t xml:space="preserve"> – The </w:t>
            </w:r>
            <w:r>
              <w:rPr>
                <w:sz w:val="20"/>
                <w:szCs w:val="20"/>
              </w:rPr>
              <w:t xml:space="preserve">MayaTech </w:t>
            </w:r>
            <w:r w:rsidR="00146438" w:rsidRPr="001A3A8E">
              <w:rPr>
                <w:sz w:val="20"/>
                <w:szCs w:val="20"/>
              </w:rPr>
              <w:t>Corporation:</w:t>
            </w:r>
          </w:p>
          <w:p w14:paraId="4A0978ED" w14:textId="537DF865" w:rsidR="001665F6" w:rsidRDefault="00FD3225" w:rsidP="009541C8">
            <w:pPr>
              <w:pStyle w:val="ListParagraph"/>
              <w:numPr>
                <w:ilvl w:val="0"/>
                <w:numId w:val="20"/>
              </w:numPr>
              <w:rPr>
                <w:sz w:val="20"/>
                <w:szCs w:val="20"/>
              </w:rPr>
            </w:pPr>
            <w:r w:rsidRPr="001A3A8E">
              <w:rPr>
                <w:sz w:val="20"/>
                <w:szCs w:val="20"/>
              </w:rPr>
              <w:t>Dev</w:t>
            </w:r>
            <w:r w:rsidR="00AC2E97">
              <w:rPr>
                <w:sz w:val="20"/>
                <w:szCs w:val="20"/>
              </w:rPr>
              <w:t>elop public health stakeholder engagement strategy</w:t>
            </w:r>
          </w:p>
          <w:p w14:paraId="4745CA31" w14:textId="14D4ECF4" w:rsidR="00AC2E97" w:rsidRPr="00AC2E97" w:rsidRDefault="00AC2E97" w:rsidP="00AC2E97">
            <w:pPr>
              <w:pStyle w:val="ListParagraph"/>
              <w:numPr>
                <w:ilvl w:val="0"/>
                <w:numId w:val="20"/>
              </w:numPr>
              <w:rPr>
                <w:sz w:val="20"/>
                <w:szCs w:val="20"/>
              </w:rPr>
            </w:pPr>
            <w:r>
              <w:rPr>
                <w:sz w:val="20"/>
                <w:szCs w:val="20"/>
              </w:rPr>
              <w:t>Develop technical approach/protocol</w:t>
            </w:r>
          </w:p>
          <w:p w14:paraId="592AACE1" w14:textId="7BFCD262" w:rsidR="0079438B" w:rsidRPr="001A3A8E" w:rsidRDefault="00120608">
            <w:pPr>
              <w:pStyle w:val="ListParagraph"/>
              <w:numPr>
                <w:ilvl w:val="0"/>
                <w:numId w:val="20"/>
              </w:numPr>
              <w:rPr>
                <w:sz w:val="20"/>
                <w:szCs w:val="20"/>
              </w:rPr>
            </w:pPr>
            <w:r w:rsidRPr="001A3A8E">
              <w:rPr>
                <w:sz w:val="20"/>
                <w:szCs w:val="20"/>
              </w:rPr>
              <w:t>Draft, pilot, and finalize data collection instrument</w:t>
            </w:r>
            <w:r w:rsidR="00A44758">
              <w:rPr>
                <w:sz w:val="20"/>
                <w:szCs w:val="20"/>
              </w:rPr>
              <w:t xml:space="preserve"> (online assessment</w:t>
            </w:r>
            <w:r w:rsidR="00CF08A0">
              <w:rPr>
                <w:sz w:val="20"/>
                <w:szCs w:val="20"/>
              </w:rPr>
              <w:t xml:space="preserve"> tool</w:t>
            </w:r>
            <w:r w:rsidR="00A44758">
              <w:rPr>
                <w:sz w:val="20"/>
                <w:szCs w:val="20"/>
              </w:rPr>
              <w:t>)</w:t>
            </w:r>
          </w:p>
          <w:p w14:paraId="705C0B61" w14:textId="0F3C382D" w:rsidR="00120608" w:rsidRPr="001A3A8E" w:rsidRDefault="00CF08A0">
            <w:pPr>
              <w:pStyle w:val="ListParagraph"/>
              <w:numPr>
                <w:ilvl w:val="0"/>
                <w:numId w:val="20"/>
              </w:numPr>
              <w:rPr>
                <w:sz w:val="20"/>
                <w:szCs w:val="20"/>
              </w:rPr>
            </w:pPr>
            <w:r>
              <w:rPr>
                <w:sz w:val="20"/>
                <w:szCs w:val="20"/>
              </w:rPr>
              <w:t xml:space="preserve">Distribute online assessment tool </w:t>
            </w:r>
            <w:r w:rsidR="00A60F93">
              <w:rPr>
                <w:sz w:val="20"/>
                <w:szCs w:val="20"/>
              </w:rPr>
              <w:t xml:space="preserve">(using </w:t>
            </w:r>
            <w:r w:rsidR="00A60F93" w:rsidRPr="00A60F93">
              <w:rPr>
                <w:i/>
                <w:sz w:val="20"/>
                <w:szCs w:val="20"/>
              </w:rPr>
              <w:t>SurveyMonkey</w:t>
            </w:r>
            <w:r w:rsidR="00A60F93">
              <w:rPr>
                <w:sz w:val="20"/>
                <w:szCs w:val="20"/>
              </w:rPr>
              <w:t xml:space="preserve">) </w:t>
            </w:r>
            <w:r w:rsidR="00A44758">
              <w:rPr>
                <w:sz w:val="20"/>
                <w:szCs w:val="20"/>
              </w:rPr>
              <w:t>and c</w:t>
            </w:r>
            <w:r w:rsidR="00120608" w:rsidRPr="001A3A8E">
              <w:rPr>
                <w:sz w:val="20"/>
                <w:szCs w:val="20"/>
              </w:rPr>
              <w:t>ollect data from</w:t>
            </w:r>
            <w:r w:rsidR="00F12262">
              <w:rPr>
                <w:sz w:val="20"/>
                <w:szCs w:val="20"/>
              </w:rPr>
              <w:t xml:space="preserve"> </w:t>
            </w:r>
            <w:r w:rsidR="00A44758">
              <w:rPr>
                <w:sz w:val="20"/>
                <w:szCs w:val="20"/>
              </w:rPr>
              <w:t xml:space="preserve">selected </w:t>
            </w:r>
            <w:r w:rsidR="00F12262">
              <w:rPr>
                <w:sz w:val="20"/>
                <w:szCs w:val="20"/>
              </w:rPr>
              <w:t xml:space="preserve">state/territorial </w:t>
            </w:r>
            <w:r w:rsidR="00120608" w:rsidRPr="001A3A8E">
              <w:rPr>
                <w:sz w:val="20"/>
                <w:szCs w:val="20"/>
              </w:rPr>
              <w:t>public health officials</w:t>
            </w:r>
          </w:p>
          <w:p w14:paraId="1428DF7A" w14:textId="3A166D20" w:rsidR="0079438B" w:rsidRPr="001A3A8E" w:rsidRDefault="0079438B">
            <w:pPr>
              <w:pStyle w:val="ListParagraph"/>
              <w:numPr>
                <w:ilvl w:val="0"/>
                <w:numId w:val="20"/>
              </w:numPr>
              <w:rPr>
                <w:sz w:val="20"/>
                <w:szCs w:val="20"/>
              </w:rPr>
            </w:pPr>
            <w:r w:rsidRPr="001A3A8E">
              <w:rPr>
                <w:sz w:val="20"/>
                <w:szCs w:val="20"/>
              </w:rPr>
              <w:t>Develop data dictionary and database</w:t>
            </w:r>
          </w:p>
          <w:p w14:paraId="20024AEE" w14:textId="196DF53E" w:rsidR="00120608" w:rsidRPr="001A3A8E" w:rsidRDefault="00B63AFF">
            <w:pPr>
              <w:pStyle w:val="ListParagraph"/>
              <w:numPr>
                <w:ilvl w:val="0"/>
                <w:numId w:val="20"/>
              </w:numPr>
              <w:rPr>
                <w:sz w:val="20"/>
                <w:szCs w:val="20"/>
              </w:rPr>
            </w:pPr>
            <w:r w:rsidRPr="001A3A8E">
              <w:rPr>
                <w:sz w:val="20"/>
                <w:szCs w:val="20"/>
              </w:rPr>
              <w:t>Perform data analyse</w:t>
            </w:r>
            <w:r w:rsidR="00120608" w:rsidRPr="001A3A8E">
              <w:rPr>
                <w:sz w:val="20"/>
                <w:szCs w:val="20"/>
              </w:rPr>
              <w:t>s</w:t>
            </w:r>
          </w:p>
          <w:p w14:paraId="07DF48FC" w14:textId="52CDAD75" w:rsidR="00120608" w:rsidRPr="001A3A8E" w:rsidRDefault="003E4E08">
            <w:pPr>
              <w:pStyle w:val="ListParagraph"/>
              <w:numPr>
                <w:ilvl w:val="0"/>
                <w:numId w:val="20"/>
              </w:numPr>
              <w:rPr>
                <w:sz w:val="20"/>
                <w:szCs w:val="20"/>
              </w:rPr>
            </w:pPr>
            <w:r>
              <w:rPr>
                <w:sz w:val="20"/>
                <w:szCs w:val="20"/>
              </w:rPr>
              <w:t xml:space="preserve">Complete comprehensive </w:t>
            </w:r>
            <w:r w:rsidR="00120608" w:rsidRPr="001A3A8E">
              <w:rPr>
                <w:sz w:val="20"/>
                <w:szCs w:val="20"/>
              </w:rPr>
              <w:t>summary report</w:t>
            </w:r>
          </w:p>
        </w:tc>
        <w:tc>
          <w:tcPr>
            <w:tcW w:w="1782" w:type="dxa"/>
          </w:tcPr>
          <w:p w14:paraId="1BFFAA90" w14:textId="50EDF034" w:rsidR="004841F1" w:rsidRPr="001A3A8E" w:rsidRDefault="004841F1" w:rsidP="005A3933">
            <w:pPr>
              <w:ind w:left="0"/>
              <w:jc w:val="center"/>
              <w:rPr>
                <w:sz w:val="20"/>
                <w:szCs w:val="20"/>
              </w:rPr>
            </w:pPr>
          </w:p>
        </w:tc>
        <w:tc>
          <w:tcPr>
            <w:tcW w:w="1822" w:type="dxa"/>
          </w:tcPr>
          <w:p w14:paraId="23C589C0" w14:textId="10D35B49" w:rsidR="004841F1" w:rsidRPr="001A3A8E" w:rsidRDefault="004841F1" w:rsidP="005A3933">
            <w:pPr>
              <w:ind w:left="0"/>
              <w:rPr>
                <w:sz w:val="20"/>
                <w:szCs w:val="20"/>
              </w:rPr>
            </w:pPr>
          </w:p>
          <w:p w14:paraId="6C4245F1" w14:textId="77777777" w:rsidR="005A3933" w:rsidRPr="001A3A8E" w:rsidRDefault="005A3933" w:rsidP="005A3933">
            <w:pPr>
              <w:ind w:left="0"/>
              <w:rPr>
                <w:sz w:val="20"/>
                <w:szCs w:val="20"/>
              </w:rPr>
            </w:pPr>
          </w:p>
        </w:tc>
        <w:tc>
          <w:tcPr>
            <w:tcW w:w="1672" w:type="dxa"/>
          </w:tcPr>
          <w:p w14:paraId="45821B6C" w14:textId="23D10ABE" w:rsidR="0017471C" w:rsidRPr="001A3A8E" w:rsidRDefault="0017471C" w:rsidP="00F82EC2">
            <w:pPr>
              <w:ind w:left="0"/>
              <w:jc w:val="right"/>
              <w:rPr>
                <w:sz w:val="20"/>
                <w:szCs w:val="20"/>
              </w:rPr>
            </w:pPr>
            <w:r>
              <w:rPr>
                <w:sz w:val="20"/>
                <w:szCs w:val="20"/>
              </w:rPr>
              <w:t>$94,185</w:t>
            </w:r>
          </w:p>
        </w:tc>
      </w:tr>
      <w:tr w:rsidR="00FB2BE2" w:rsidRPr="001A3A8E" w14:paraId="0F1CF92C" w14:textId="77777777" w:rsidTr="00CF6092">
        <w:tc>
          <w:tcPr>
            <w:tcW w:w="4158" w:type="dxa"/>
          </w:tcPr>
          <w:p w14:paraId="08454EB4" w14:textId="601677BD" w:rsidR="00FB2BE2" w:rsidRDefault="00FB2BE2" w:rsidP="00756878">
            <w:pPr>
              <w:ind w:left="0"/>
              <w:rPr>
                <w:sz w:val="20"/>
                <w:szCs w:val="20"/>
              </w:rPr>
            </w:pPr>
            <w:r>
              <w:rPr>
                <w:sz w:val="20"/>
                <w:szCs w:val="20"/>
              </w:rPr>
              <w:t xml:space="preserve">Cooperative Agreement Awardee </w:t>
            </w:r>
            <w:r w:rsidR="00905805">
              <w:rPr>
                <w:sz w:val="20"/>
                <w:szCs w:val="20"/>
              </w:rPr>
              <w:t>(</w:t>
            </w:r>
            <w:r w:rsidR="00AB7E81">
              <w:rPr>
                <w:sz w:val="20"/>
                <w:szCs w:val="20"/>
              </w:rPr>
              <w:t xml:space="preserve">4 </w:t>
            </w:r>
            <w:r w:rsidR="001D39F2">
              <w:rPr>
                <w:sz w:val="20"/>
                <w:szCs w:val="20"/>
              </w:rPr>
              <w:t>people</w:t>
            </w:r>
            <w:r w:rsidR="00905805">
              <w:rPr>
                <w:sz w:val="20"/>
                <w:szCs w:val="20"/>
              </w:rPr>
              <w:t>)</w:t>
            </w:r>
            <w:r w:rsidR="009835FE">
              <w:rPr>
                <w:sz w:val="20"/>
                <w:szCs w:val="20"/>
              </w:rPr>
              <w:t>–</w:t>
            </w:r>
            <w:r>
              <w:rPr>
                <w:sz w:val="20"/>
                <w:szCs w:val="20"/>
              </w:rPr>
              <w:t xml:space="preserve"> NACCHO</w:t>
            </w:r>
          </w:p>
          <w:p w14:paraId="2A52DB3F" w14:textId="15FBFE48" w:rsidR="006E4595" w:rsidRPr="00A44758" w:rsidRDefault="006E4595" w:rsidP="00A44758">
            <w:pPr>
              <w:pStyle w:val="ListParagraph"/>
              <w:numPr>
                <w:ilvl w:val="0"/>
                <w:numId w:val="38"/>
              </w:numPr>
              <w:rPr>
                <w:sz w:val="20"/>
                <w:szCs w:val="20"/>
              </w:rPr>
            </w:pPr>
            <w:r w:rsidRPr="00A44758">
              <w:rPr>
                <w:sz w:val="20"/>
                <w:szCs w:val="20"/>
              </w:rPr>
              <w:t xml:space="preserve">Establish criteria for identifying local health departments and prospective </w:t>
            </w:r>
            <w:r w:rsidR="00A44758" w:rsidRPr="00A44758">
              <w:rPr>
                <w:sz w:val="20"/>
                <w:szCs w:val="20"/>
              </w:rPr>
              <w:t>recipients of online assessme</w:t>
            </w:r>
            <w:r w:rsidR="00CF08A0">
              <w:rPr>
                <w:sz w:val="20"/>
                <w:szCs w:val="20"/>
              </w:rPr>
              <w:t>nt tool</w:t>
            </w:r>
          </w:p>
          <w:p w14:paraId="6D1E5958" w14:textId="5369D5C4" w:rsidR="00A44758" w:rsidRDefault="00A44758" w:rsidP="00A44758">
            <w:pPr>
              <w:pStyle w:val="ListParagraph"/>
              <w:numPr>
                <w:ilvl w:val="0"/>
                <w:numId w:val="38"/>
              </w:numPr>
              <w:rPr>
                <w:sz w:val="20"/>
                <w:szCs w:val="20"/>
              </w:rPr>
            </w:pPr>
            <w:r>
              <w:rPr>
                <w:sz w:val="20"/>
                <w:szCs w:val="20"/>
              </w:rPr>
              <w:t>Develop and implement approach and timeline for contacting prospective recipients</w:t>
            </w:r>
          </w:p>
          <w:p w14:paraId="7731FF77" w14:textId="3B45A2F2" w:rsidR="00A44758" w:rsidRDefault="00A44758" w:rsidP="00BE2D44">
            <w:pPr>
              <w:pStyle w:val="ListParagraph"/>
              <w:numPr>
                <w:ilvl w:val="0"/>
                <w:numId w:val="38"/>
              </w:numPr>
              <w:rPr>
                <w:sz w:val="20"/>
                <w:szCs w:val="20"/>
              </w:rPr>
            </w:pPr>
            <w:r>
              <w:rPr>
                <w:sz w:val="20"/>
                <w:szCs w:val="20"/>
              </w:rPr>
              <w:t>Di</w:t>
            </w:r>
            <w:r w:rsidR="00A60F93">
              <w:rPr>
                <w:sz w:val="20"/>
                <w:szCs w:val="20"/>
              </w:rPr>
              <w:t xml:space="preserve">stribute online assessment tool (using </w:t>
            </w:r>
            <w:r w:rsidR="00A60F93" w:rsidRPr="00A60F93">
              <w:rPr>
                <w:i/>
                <w:sz w:val="20"/>
                <w:szCs w:val="20"/>
              </w:rPr>
              <w:t>Qualtrics</w:t>
            </w:r>
            <w:r w:rsidR="00A60F93">
              <w:rPr>
                <w:sz w:val="20"/>
                <w:szCs w:val="20"/>
              </w:rPr>
              <w:t xml:space="preserve">) </w:t>
            </w:r>
            <w:r>
              <w:rPr>
                <w:sz w:val="20"/>
                <w:szCs w:val="20"/>
              </w:rPr>
              <w:t>and collect data from selected local public health officials</w:t>
            </w:r>
          </w:p>
          <w:p w14:paraId="0F08E778" w14:textId="4A84C454" w:rsidR="00964A56" w:rsidRDefault="00964A56" w:rsidP="00BE2D44">
            <w:pPr>
              <w:pStyle w:val="ListParagraph"/>
              <w:numPr>
                <w:ilvl w:val="0"/>
                <w:numId w:val="38"/>
              </w:numPr>
              <w:rPr>
                <w:sz w:val="20"/>
                <w:szCs w:val="20"/>
              </w:rPr>
            </w:pPr>
            <w:r>
              <w:rPr>
                <w:sz w:val="20"/>
                <w:szCs w:val="20"/>
              </w:rPr>
              <w:t>Submit dataset to MayaTech Corporation</w:t>
            </w:r>
          </w:p>
          <w:p w14:paraId="7F774262" w14:textId="11286AEA" w:rsidR="00A44758" w:rsidRPr="00964A56" w:rsidRDefault="00A44758" w:rsidP="00964A56">
            <w:pPr>
              <w:pStyle w:val="ListParagraph"/>
              <w:numPr>
                <w:ilvl w:val="0"/>
                <w:numId w:val="38"/>
              </w:numPr>
              <w:rPr>
                <w:sz w:val="20"/>
                <w:szCs w:val="20"/>
              </w:rPr>
            </w:pPr>
            <w:r w:rsidRPr="00964A56">
              <w:rPr>
                <w:sz w:val="20"/>
                <w:szCs w:val="20"/>
              </w:rPr>
              <w:t>Create brief summary report</w:t>
            </w:r>
          </w:p>
        </w:tc>
        <w:tc>
          <w:tcPr>
            <w:tcW w:w="1782" w:type="dxa"/>
          </w:tcPr>
          <w:p w14:paraId="1D3A9DF8" w14:textId="77777777" w:rsidR="00FB2BE2" w:rsidRPr="001A3A8E" w:rsidRDefault="00FB2BE2" w:rsidP="005A3933">
            <w:pPr>
              <w:ind w:left="0"/>
              <w:jc w:val="center"/>
              <w:rPr>
                <w:sz w:val="20"/>
                <w:szCs w:val="20"/>
              </w:rPr>
            </w:pPr>
          </w:p>
        </w:tc>
        <w:tc>
          <w:tcPr>
            <w:tcW w:w="1822" w:type="dxa"/>
          </w:tcPr>
          <w:p w14:paraId="6CCB00F1" w14:textId="77777777" w:rsidR="00FB2BE2" w:rsidRPr="001A3A8E" w:rsidRDefault="00FB2BE2" w:rsidP="005A3933">
            <w:pPr>
              <w:ind w:left="0"/>
              <w:rPr>
                <w:sz w:val="20"/>
                <w:szCs w:val="20"/>
              </w:rPr>
            </w:pPr>
          </w:p>
        </w:tc>
        <w:tc>
          <w:tcPr>
            <w:tcW w:w="1672" w:type="dxa"/>
          </w:tcPr>
          <w:p w14:paraId="288B4A86" w14:textId="5D5818E9" w:rsidR="0017471C" w:rsidRDefault="0017471C" w:rsidP="00F82EC2">
            <w:pPr>
              <w:ind w:left="0"/>
              <w:jc w:val="right"/>
              <w:rPr>
                <w:sz w:val="20"/>
                <w:szCs w:val="20"/>
              </w:rPr>
            </w:pPr>
            <w:r>
              <w:rPr>
                <w:sz w:val="20"/>
                <w:szCs w:val="20"/>
              </w:rPr>
              <w:t>$38,751</w:t>
            </w:r>
          </w:p>
          <w:p w14:paraId="42F01330" w14:textId="277700D2" w:rsidR="00FB2BE2" w:rsidRPr="001A3A8E" w:rsidRDefault="00FB2BE2" w:rsidP="00F82EC2">
            <w:pPr>
              <w:ind w:left="0"/>
              <w:jc w:val="right"/>
              <w:rPr>
                <w:sz w:val="20"/>
                <w:szCs w:val="20"/>
              </w:rPr>
            </w:pPr>
          </w:p>
        </w:tc>
      </w:tr>
      <w:tr w:rsidR="009B72FB" w:rsidRPr="001A3A8E" w14:paraId="0F480427" w14:textId="77777777" w:rsidTr="00C22266">
        <w:trPr>
          <w:trHeight w:val="332"/>
        </w:trPr>
        <w:tc>
          <w:tcPr>
            <w:tcW w:w="7762" w:type="dxa"/>
            <w:gridSpan w:val="3"/>
            <w:vAlign w:val="center"/>
          </w:tcPr>
          <w:p w14:paraId="663F6444" w14:textId="01BBD8E0" w:rsidR="009B72FB" w:rsidRPr="001A3A8E" w:rsidRDefault="009B72FB" w:rsidP="009B72FB">
            <w:pPr>
              <w:ind w:left="0"/>
              <w:jc w:val="center"/>
              <w:rPr>
                <w:b/>
                <w:sz w:val="20"/>
                <w:szCs w:val="20"/>
              </w:rPr>
            </w:pPr>
            <w:r w:rsidRPr="001A3A8E">
              <w:rPr>
                <w:b/>
                <w:sz w:val="20"/>
                <w:szCs w:val="20"/>
              </w:rPr>
              <w:t>Estimated Total Cost of Information Collection</w:t>
            </w:r>
          </w:p>
        </w:tc>
        <w:tc>
          <w:tcPr>
            <w:tcW w:w="1672" w:type="dxa"/>
            <w:vAlign w:val="center"/>
          </w:tcPr>
          <w:p w14:paraId="28F66330" w14:textId="1F04D789" w:rsidR="009B72FB" w:rsidRPr="001A3A8E" w:rsidRDefault="000164D7" w:rsidP="00F82EC2">
            <w:pPr>
              <w:ind w:left="0"/>
              <w:jc w:val="right"/>
              <w:rPr>
                <w:b/>
                <w:sz w:val="20"/>
                <w:szCs w:val="20"/>
              </w:rPr>
            </w:pPr>
            <w:r>
              <w:rPr>
                <w:b/>
                <w:sz w:val="20"/>
                <w:szCs w:val="20"/>
              </w:rPr>
              <w:t>$</w:t>
            </w:r>
            <w:r w:rsidR="001108AD">
              <w:rPr>
                <w:b/>
                <w:sz w:val="20"/>
                <w:szCs w:val="20"/>
              </w:rPr>
              <w:t>215,841</w:t>
            </w:r>
          </w:p>
        </w:tc>
      </w:tr>
    </w:tbl>
    <w:p w14:paraId="1E4303B6" w14:textId="7E00E310" w:rsidR="004711CF" w:rsidRDefault="004711CF" w:rsidP="00AB4BF6">
      <w:pPr>
        <w:ind w:left="0"/>
      </w:pPr>
      <w:bookmarkStart w:id="18" w:name="_Toc427752828"/>
    </w:p>
    <w:p w14:paraId="0313DE85" w14:textId="77777777" w:rsidR="00AB4BF6" w:rsidRPr="004711CF" w:rsidRDefault="00AB4BF6" w:rsidP="00AB4BF6">
      <w:pPr>
        <w:ind w:left="0"/>
      </w:pPr>
    </w:p>
    <w:p w14:paraId="1F2E96D1" w14:textId="23FCFD68" w:rsidR="00CB0D20" w:rsidRPr="00CB0D20" w:rsidRDefault="00D75750" w:rsidP="00CB0D20">
      <w:pPr>
        <w:pStyle w:val="Heading4"/>
      </w:pPr>
      <w:r w:rsidRPr="00D75750">
        <w:t>Explanation for Program Changes or Adjustments</w:t>
      </w:r>
      <w:bookmarkEnd w:id="18"/>
    </w:p>
    <w:p w14:paraId="4D1DC3E3" w14:textId="77777777" w:rsidR="00F52BCC" w:rsidRDefault="003C7C5D" w:rsidP="008B65FF">
      <w:pPr>
        <w:ind w:left="360"/>
      </w:pPr>
      <w:r>
        <w:t xml:space="preserve">This is a new </w:t>
      </w:r>
      <w:r w:rsidR="002E2EDD">
        <w:t>data</w:t>
      </w:r>
      <w:r w:rsidR="00157413">
        <w:t xml:space="preserve"> collection</w:t>
      </w:r>
      <w:r>
        <w:t>.</w:t>
      </w:r>
    </w:p>
    <w:p w14:paraId="739EB50A" w14:textId="58DE2593" w:rsidR="00734D99" w:rsidRDefault="00734D99" w:rsidP="00F258A9">
      <w:pPr>
        <w:ind w:left="0"/>
      </w:pPr>
    </w:p>
    <w:p w14:paraId="0BCA7D89" w14:textId="341ABA7A" w:rsidR="008F6269" w:rsidRPr="008F6269" w:rsidRDefault="00616090" w:rsidP="008F6269">
      <w:pPr>
        <w:pStyle w:val="Heading4"/>
      </w:pPr>
      <w:bookmarkStart w:id="19" w:name="_Toc427752829"/>
      <w:r w:rsidRPr="007B6A12">
        <w:t>Plan</w:t>
      </w:r>
      <w:r w:rsidR="00D75750" w:rsidRPr="007B6A12">
        <w:t>s for Tabulation and Publication and Project Time Schedule</w:t>
      </w:r>
      <w:bookmarkEnd w:id="19"/>
    </w:p>
    <w:p w14:paraId="7A6DA7A4" w14:textId="2E0E877B" w:rsidR="008F6269" w:rsidRPr="00FF17B6" w:rsidRDefault="008F6269" w:rsidP="008F6269">
      <w:pPr>
        <w:ind w:left="360"/>
        <w:rPr>
          <w:rFonts w:cs="Arial"/>
        </w:rPr>
      </w:pPr>
      <w:r w:rsidRPr="00FF17B6">
        <w:rPr>
          <w:rFonts w:cs="Arial"/>
        </w:rPr>
        <w:t>Data collected during the assessment will be kept on secure, password-prote</w:t>
      </w:r>
      <w:r w:rsidR="00A1003C" w:rsidRPr="00FF17B6">
        <w:rPr>
          <w:rFonts w:cs="Arial"/>
        </w:rPr>
        <w:t xml:space="preserve">cted servers accessible only to the </w:t>
      </w:r>
      <w:r w:rsidR="00E05BB0" w:rsidRPr="00FF17B6">
        <w:rPr>
          <w:rFonts w:cs="Arial"/>
        </w:rPr>
        <w:t xml:space="preserve">MayaTech Corporation </w:t>
      </w:r>
      <w:r w:rsidR="00C972D6" w:rsidRPr="00FF17B6">
        <w:rPr>
          <w:rFonts w:cs="Arial"/>
        </w:rPr>
        <w:t xml:space="preserve">and NACCHO project </w:t>
      </w:r>
      <w:r w:rsidR="00F8673D" w:rsidRPr="00FF17B6">
        <w:rPr>
          <w:rFonts w:cs="Arial"/>
        </w:rPr>
        <w:t>team member</w:t>
      </w:r>
      <w:r w:rsidR="00417E64" w:rsidRPr="00FF17B6">
        <w:rPr>
          <w:rFonts w:cs="Arial"/>
        </w:rPr>
        <w:t xml:space="preserve">s. </w:t>
      </w:r>
      <w:r w:rsidR="00E05BB0" w:rsidRPr="00FF17B6">
        <w:rPr>
          <w:rFonts w:cs="Arial"/>
        </w:rPr>
        <w:t xml:space="preserve">The </w:t>
      </w:r>
      <w:r w:rsidR="00F8673D" w:rsidRPr="00FF17B6">
        <w:rPr>
          <w:rFonts w:cs="Arial"/>
        </w:rPr>
        <w:t xml:space="preserve">MayaTech Corporation will develop a database of all quantitative </w:t>
      </w:r>
      <w:r w:rsidR="00E30789" w:rsidRPr="00FF17B6">
        <w:rPr>
          <w:rFonts w:cs="Arial"/>
        </w:rPr>
        <w:t xml:space="preserve">and qualitative data collected </w:t>
      </w:r>
      <w:r w:rsidR="00B83BF3" w:rsidRPr="00FF17B6">
        <w:rPr>
          <w:rFonts w:cs="Arial"/>
        </w:rPr>
        <w:t>and a data dictionary (</w:t>
      </w:r>
      <w:r w:rsidR="00F8673D" w:rsidRPr="00FF17B6">
        <w:rPr>
          <w:rFonts w:cs="Arial"/>
        </w:rPr>
        <w:t>catalogue</w:t>
      </w:r>
      <w:r w:rsidR="00B83BF3" w:rsidRPr="00FF17B6">
        <w:rPr>
          <w:rFonts w:cs="Arial"/>
        </w:rPr>
        <w:t xml:space="preserve"> or codebook)</w:t>
      </w:r>
      <w:r w:rsidR="00F8673D" w:rsidRPr="00FF17B6">
        <w:rPr>
          <w:rFonts w:cs="Arial"/>
        </w:rPr>
        <w:t xml:space="preserve"> of th</w:t>
      </w:r>
      <w:r w:rsidR="0008730F" w:rsidRPr="00FF17B6">
        <w:rPr>
          <w:rFonts w:cs="Arial"/>
        </w:rPr>
        <w:t xml:space="preserve">e data variables, types, level </w:t>
      </w:r>
      <w:r w:rsidR="00E72DD6">
        <w:rPr>
          <w:rFonts w:cs="Arial"/>
        </w:rPr>
        <w:t xml:space="preserve">of </w:t>
      </w:r>
      <w:r w:rsidR="00F8673D" w:rsidRPr="00FF17B6">
        <w:rPr>
          <w:rFonts w:cs="Arial"/>
        </w:rPr>
        <w:t>measurement, and value label</w:t>
      </w:r>
      <w:r w:rsidR="00E30789" w:rsidRPr="00FF17B6">
        <w:rPr>
          <w:rFonts w:cs="Arial"/>
        </w:rPr>
        <w:t xml:space="preserve">s. </w:t>
      </w:r>
      <w:r w:rsidR="00F8673D" w:rsidRPr="00FF17B6">
        <w:rPr>
          <w:rFonts w:cs="Arial"/>
        </w:rPr>
        <w:t xml:space="preserve">The </w:t>
      </w:r>
      <w:r w:rsidR="00C972D6" w:rsidRPr="00FF17B6">
        <w:rPr>
          <w:rFonts w:cs="Arial"/>
        </w:rPr>
        <w:t xml:space="preserve">MayaTech Corporation </w:t>
      </w:r>
      <w:r w:rsidR="00F8673D" w:rsidRPr="00FF17B6">
        <w:rPr>
          <w:rFonts w:cs="Arial"/>
        </w:rPr>
        <w:t xml:space="preserve">also will conduct </w:t>
      </w:r>
      <w:r w:rsidR="005E7F3A" w:rsidRPr="00FF17B6">
        <w:rPr>
          <w:rFonts w:cs="Arial"/>
        </w:rPr>
        <w:t xml:space="preserve">a structured </w:t>
      </w:r>
      <w:r w:rsidR="00F8673D" w:rsidRPr="00FF17B6">
        <w:rPr>
          <w:rFonts w:cs="Arial"/>
        </w:rPr>
        <w:t xml:space="preserve">data cleaning </w:t>
      </w:r>
      <w:r w:rsidR="005E7F3A" w:rsidRPr="00FF17B6">
        <w:rPr>
          <w:rFonts w:cs="Arial"/>
        </w:rPr>
        <w:t xml:space="preserve">process in SPSS </w:t>
      </w:r>
      <w:r w:rsidR="00F8673D" w:rsidRPr="00FF17B6">
        <w:rPr>
          <w:rFonts w:cs="Arial"/>
        </w:rPr>
        <w:t>to check for error</w:t>
      </w:r>
      <w:r w:rsidR="00E30789" w:rsidRPr="00FF17B6">
        <w:rPr>
          <w:rFonts w:cs="Arial"/>
        </w:rPr>
        <w:t xml:space="preserve">s, and </w:t>
      </w:r>
      <w:r w:rsidR="005E7F3A" w:rsidRPr="00FF17B6">
        <w:rPr>
          <w:rFonts w:cs="Arial"/>
        </w:rPr>
        <w:t>prepar</w:t>
      </w:r>
      <w:r w:rsidR="0008730F" w:rsidRPr="00FF17B6">
        <w:rPr>
          <w:rFonts w:cs="Arial"/>
        </w:rPr>
        <w:t>e a repor</w:t>
      </w:r>
      <w:r w:rsidR="00C237ED" w:rsidRPr="00FF17B6">
        <w:rPr>
          <w:rFonts w:cs="Arial"/>
        </w:rPr>
        <w:t>t of all errors found.</w:t>
      </w:r>
      <w:r w:rsidR="00B83BF3" w:rsidRPr="00FF17B6">
        <w:rPr>
          <w:rFonts w:cs="Arial"/>
        </w:rPr>
        <w:t xml:space="preserve"> At the completion of the project, the MayaTech Corporation will provide the data dictionary and database to CDC.</w:t>
      </w:r>
      <w:r w:rsidR="00905805" w:rsidRPr="00FF17B6">
        <w:rPr>
          <w:rFonts w:cs="Arial"/>
        </w:rPr>
        <w:t xml:space="preserve"> CDC will own the data dictionary, data collected, and database</w:t>
      </w:r>
      <w:r w:rsidR="00905805" w:rsidRPr="00FF17B6">
        <w:t xml:space="preserve"> as well as a comprehensive summary report</w:t>
      </w:r>
      <w:r w:rsidR="00FF17B6" w:rsidRPr="00FF17B6">
        <w:t>.</w:t>
      </w:r>
    </w:p>
    <w:p w14:paraId="781962C1" w14:textId="77777777" w:rsidR="008F6269" w:rsidRPr="00FF17B6" w:rsidRDefault="008F6269" w:rsidP="008B65FF">
      <w:pPr>
        <w:ind w:left="360"/>
        <w:rPr>
          <w:rFonts w:cs="Arial"/>
        </w:rPr>
      </w:pPr>
    </w:p>
    <w:p w14:paraId="5349FEE8" w14:textId="280311A2" w:rsidR="00300C19" w:rsidRDefault="00FF17B6" w:rsidP="005206DE">
      <w:pPr>
        <w:ind w:left="360"/>
        <w:rPr>
          <w:rFonts w:cs="Arial"/>
        </w:rPr>
      </w:pPr>
      <w:r>
        <w:rPr>
          <w:rFonts w:cs="Arial"/>
        </w:rPr>
        <w:t xml:space="preserve">The </w:t>
      </w:r>
      <w:r w:rsidR="00417E64" w:rsidRPr="006E6F02">
        <w:rPr>
          <w:rFonts w:cs="Arial"/>
        </w:rPr>
        <w:t xml:space="preserve">quantitative </w:t>
      </w:r>
      <w:r w:rsidR="0006603D" w:rsidRPr="006E6F02">
        <w:rPr>
          <w:rFonts w:cs="Arial"/>
        </w:rPr>
        <w:t>data collected will be analyzed</w:t>
      </w:r>
      <w:r w:rsidR="0029657A" w:rsidRPr="006E6F02">
        <w:rPr>
          <w:rFonts w:cs="Arial"/>
        </w:rPr>
        <w:t xml:space="preserve"> </w:t>
      </w:r>
      <w:r w:rsidR="003D3251" w:rsidRPr="006E6F02">
        <w:rPr>
          <w:rFonts w:cs="Arial"/>
        </w:rPr>
        <w:t xml:space="preserve">by the MayaTech Corporation </w:t>
      </w:r>
      <w:r w:rsidR="00904099" w:rsidRPr="006E6F02">
        <w:rPr>
          <w:rFonts w:cs="Arial"/>
        </w:rPr>
        <w:t>using distributional descriptive statistics (e.g., frequencies, means, and ranges). Additional analyses might be nee</w:t>
      </w:r>
      <w:r w:rsidR="00C237ED" w:rsidRPr="006E6F02">
        <w:rPr>
          <w:rFonts w:cs="Arial"/>
        </w:rPr>
        <w:t>ded to compa</w:t>
      </w:r>
      <w:r w:rsidR="009007FD">
        <w:rPr>
          <w:rFonts w:cs="Arial"/>
        </w:rPr>
        <w:t xml:space="preserve">re subgroups of the population, </w:t>
      </w:r>
      <w:r w:rsidR="00904099" w:rsidRPr="006E6F02">
        <w:rPr>
          <w:rFonts w:cs="Arial"/>
        </w:rPr>
        <w:t xml:space="preserve">or </w:t>
      </w:r>
      <w:r w:rsidR="0029657A" w:rsidRPr="006E6F02">
        <w:rPr>
          <w:rFonts w:cs="Arial"/>
        </w:rPr>
        <w:t xml:space="preserve">to </w:t>
      </w:r>
      <w:r w:rsidR="00904099" w:rsidRPr="006E6F02">
        <w:rPr>
          <w:rFonts w:cs="Arial"/>
        </w:rPr>
        <w:t>examine measurements by strata (e.g., small, medium, and larg</w:t>
      </w:r>
      <w:r w:rsidR="00E30789" w:rsidRPr="006E6F02">
        <w:rPr>
          <w:rFonts w:cs="Arial"/>
        </w:rPr>
        <w:t xml:space="preserve">e LHDs). Responses to qualitative, </w:t>
      </w:r>
      <w:r w:rsidR="003B72C8" w:rsidRPr="006E6F02">
        <w:rPr>
          <w:rFonts w:cs="Arial"/>
        </w:rPr>
        <w:t>open-ended questions will be analyzed</w:t>
      </w:r>
      <w:r w:rsidR="008F6863" w:rsidRPr="006E6F02">
        <w:rPr>
          <w:rFonts w:cs="Arial"/>
        </w:rPr>
        <w:t xml:space="preserve"> thematically</w:t>
      </w:r>
      <w:r w:rsidR="00A1003C" w:rsidRPr="006E6F02">
        <w:rPr>
          <w:rFonts w:cs="Arial"/>
        </w:rPr>
        <w:t>.</w:t>
      </w:r>
      <w:r w:rsidR="003E7121">
        <w:rPr>
          <w:rFonts w:cs="Arial"/>
        </w:rPr>
        <w:t xml:space="preserve"> </w:t>
      </w:r>
      <w:r w:rsidR="00300C19">
        <w:rPr>
          <w:rFonts w:cs="Arial"/>
        </w:rPr>
        <w:t>The qualitative, semi-structured responses will be entered into a qualitative analysis software</w:t>
      </w:r>
      <w:r w:rsidR="009247EC">
        <w:rPr>
          <w:rFonts w:cs="Arial"/>
        </w:rPr>
        <w:t xml:space="preserve"> (e.g., Atlas.ti, Dedoose, Nvivo, or QSR Nud*ist), </w:t>
      </w:r>
      <w:r w:rsidR="00300C19">
        <w:rPr>
          <w:rFonts w:cs="Arial"/>
        </w:rPr>
        <w:t>which will assist in the identification and analysis o</w:t>
      </w:r>
      <w:r w:rsidR="00FF5145">
        <w:rPr>
          <w:rFonts w:cs="Arial"/>
        </w:rPr>
        <w:t xml:space="preserve">f similar </w:t>
      </w:r>
      <w:r w:rsidR="00384D0C">
        <w:rPr>
          <w:rFonts w:cs="Arial"/>
        </w:rPr>
        <w:t xml:space="preserve">themes across </w:t>
      </w:r>
      <w:r w:rsidR="005206DE">
        <w:rPr>
          <w:rFonts w:cs="Arial"/>
        </w:rPr>
        <w:t>all of the respondent</w:t>
      </w:r>
      <w:r w:rsidR="002C2D6C">
        <w:rPr>
          <w:rFonts w:cs="Arial"/>
        </w:rPr>
        <w:t xml:space="preserve">s. Cross-cutting </w:t>
      </w:r>
      <w:r w:rsidR="005206DE">
        <w:rPr>
          <w:rFonts w:cs="Arial"/>
        </w:rPr>
        <w:t>themes t</w:t>
      </w:r>
      <w:r w:rsidR="00FF5145">
        <w:rPr>
          <w:rFonts w:cs="Arial"/>
        </w:rPr>
        <w:t>hat emer</w:t>
      </w:r>
      <w:r w:rsidR="002C2D6C">
        <w:rPr>
          <w:rFonts w:cs="Arial"/>
        </w:rPr>
        <w:t xml:space="preserve">ge will help </w:t>
      </w:r>
      <w:r w:rsidR="005206DE">
        <w:rPr>
          <w:rFonts w:cs="Arial"/>
        </w:rPr>
        <w:t>highlight priority areas fo</w:t>
      </w:r>
      <w:r w:rsidR="009247EC">
        <w:rPr>
          <w:rFonts w:cs="Arial"/>
        </w:rPr>
        <w:t xml:space="preserve">r future capacity-building </w:t>
      </w:r>
      <w:r w:rsidR="005206DE">
        <w:rPr>
          <w:rFonts w:cs="Arial"/>
        </w:rPr>
        <w:t>efforts related to NPI pre-pandemic planning and preparedness.</w:t>
      </w:r>
    </w:p>
    <w:p w14:paraId="2A2A5E28" w14:textId="13EBA566" w:rsidR="00EF1DE7" w:rsidRPr="006E6F02" w:rsidRDefault="00300C19" w:rsidP="005206DE">
      <w:pPr>
        <w:ind w:left="360"/>
        <w:rPr>
          <w:rFonts w:cs="Arial"/>
        </w:rPr>
      </w:pPr>
      <w:r>
        <w:rPr>
          <w:rFonts w:cs="Arial"/>
        </w:rPr>
        <w:t xml:space="preserve"> </w:t>
      </w:r>
    </w:p>
    <w:p w14:paraId="079E7B1A" w14:textId="19335FE9" w:rsidR="00EF1DE7" w:rsidRPr="006E6F02" w:rsidRDefault="00EF1DE7" w:rsidP="008B65FF">
      <w:pPr>
        <w:ind w:left="360"/>
        <w:rPr>
          <w:rFonts w:cs="Arial"/>
        </w:rPr>
      </w:pPr>
      <w:r w:rsidRPr="006E6F02">
        <w:rPr>
          <w:rFonts w:cs="Arial"/>
        </w:rPr>
        <w:t xml:space="preserve">The analysis of the data collected will be summarized and presented in </w:t>
      </w:r>
      <w:r w:rsidR="00A1003C" w:rsidRPr="006E6F02">
        <w:rPr>
          <w:rFonts w:cs="Arial"/>
        </w:rPr>
        <w:t>a comprehensive</w:t>
      </w:r>
      <w:r w:rsidR="00C237ED" w:rsidRPr="006E6F02">
        <w:rPr>
          <w:rFonts w:cs="Arial"/>
        </w:rPr>
        <w:t xml:space="preserve"> summary report.</w:t>
      </w:r>
      <w:r w:rsidR="00FF17B6">
        <w:rPr>
          <w:rFonts w:cs="Arial"/>
        </w:rPr>
        <w:t xml:space="preserve"> </w:t>
      </w:r>
      <w:r w:rsidR="00B83BF3" w:rsidRPr="006E6F02">
        <w:rPr>
          <w:rFonts w:cs="Arial"/>
        </w:rPr>
        <w:t xml:space="preserve">At the completion of the project, the MayaTech Corporation will submit the summary report to CDC. </w:t>
      </w:r>
      <w:r w:rsidRPr="006E6F02">
        <w:rPr>
          <w:rFonts w:cs="Arial"/>
        </w:rPr>
        <w:t>Plans for dissemin</w:t>
      </w:r>
      <w:r w:rsidR="00031819" w:rsidRPr="006E6F02">
        <w:rPr>
          <w:rFonts w:cs="Arial"/>
        </w:rPr>
        <w:t>ation and/or publication</w:t>
      </w:r>
      <w:r w:rsidRPr="006E6F02">
        <w:rPr>
          <w:rFonts w:cs="Arial"/>
        </w:rPr>
        <w:t xml:space="preserve"> of the findings include</w:t>
      </w:r>
      <w:r w:rsidR="00C5298A" w:rsidRPr="006E6F02">
        <w:rPr>
          <w:rFonts w:cs="Arial"/>
        </w:rPr>
        <w:t xml:space="preserve"> providing key public health partners </w:t>
      </w:r>
      <w:r w:rsidR="00355231" w:rsidRPr="006E6F02">
        <w:rPr>
          <w:rFonts w:cs="Arial"/>
        </w:rPr>
        <w:t>(ASTHO, CSTE, NACCHO, and NPHIC)</w:t>
      </w:r>
      <w:r w:rsidR="00216CEB" w:rsidRPr="006E6F02">
        <w:rPr>
          <w:rFonts w:cs="Arial"/>
        </w:rPr>
        <w:t xml:space="preserve"> </w:t>
      </w:r>
      <w:r w:rsidR="00C5298A" w:rsidRPr="006E6F02">
        <w:rPr>
          <w:rFonts w:cs="Arial"/>
        </w:rPr>
        <w:t>with a topline report (or webinar) to update them on the overall findings and next steps; presenting the findings at select public health conferences like NACCHO’s annual Preparedness Summit; and publishing the findin</w:t>
      </w:r>
      <w:r w:rsidR="0048122B" w:rsidRPr="006E6F02">
        <w:rPr>
          <w:rFonts w:cs="Arial"/>
        </w:rPr>
        <w:t>gs in a peer-reviewed journal.</w:t>
      </w:r>
    </w:p>
    <w:p w14:paraId="43676EAE" w14:textId="68156DE5" w:rsidR="0006603D" w:rsidRPr="006E6F02" w:rsidRDefault="0006603D" w:rsidP="008B65FF">
      <w:pPr>
        <w:ind w:left="360"/>
        <w:rPr>
          <w:rFonts w:cs="Arial"/>
        </w:rPr>
      </w:pPr>
    </w:p>
    <w:p w14:paraId="5376BE33" w14:textId="406D2FEB" w:rsidR="00C47C26" w:rsidRPr="006E6F02" w:rsidRDefault="0029657A" w:rsidP="00C47C26">
      <w:pPr>
        <w:ind w:left="360"/>
        <w:rPr>
          <w:rFonts w:cs="Arial"/>
        </w:rPr>
      </w:pPr>
      <w:r w:rsidRPr="006E6F02">
        <w:rPr>
          <w:rFonts w:cs="Arial"/>
        </w:rPr>
        <w:t xml:space="preserve">In addition, the </w:t>
      </w:r>
      <w:r w:rsidR="0006603D" w:rsidRPr="006E6F02">
        <w:rPr>
          <w:rFonts w:cs="Arial"/>
        </w:rPr>
        <w:t>collected data w</w:t>
      </w:r>
      <w:r w:rsidR="000B6DEB" w:rsidRPr="006E6F02">
        <w:rPr>
          <w:rFonts w:cs="Arial"/>
        </w:rPr>
        <w:t xml:space="preserve">ill be used to </w:t>
      </w:r>
      <w:r w:rsidR="0006603D" w:rsidRPr="006E6F02">
        <w:rPr>
          <w:rFonts w:cs="Arial"/>
        </w:rPr>
        <w:t>iden</w:t>
      </w:r>
      <w:r w:rsidR="00187D93" w:rsidRPr="006E6F02">
        <w:rPr>
          <w:rFonts w:cs="Arial"/>
        </w:rPr>
        <w:t xml:space="preserve">tify </w:t>
      </w:r>
      <w:r w:rsidR="0006603D" w:rsidRPr="006E6F02">
        <w:rPr>
          <w:rFonts w:cs="Arial"/>
        </w:rPr>
        <w:t xml:space="preserve">issues raised by the respondents with respect to the feasibility and acceptability of implementing </w:t>
      </w:r>
      <w:r w:rsidR="003B3965" w:rsidRPr="006E6F02">
        <w:rPr>
          <w:rFonts w:cs="Arial"/>
        </w:rPr>
        <w:t xml:space="preserve">the </w:t>
      </w:r>
      <w:r w:rsidR="0006603D" w:rsidRPr="006E6F02">
        <w:rPr>
          <w:rFonts w:cs="Arial"/>
        </w:rPr>
        <w:t xml:space="preserve">NPI </w:t>
      </w:r>
      <w:r w:rsidR="003B3965" w:rsidRPr="006E6F02">
        <w:rPr>
          <w:rFonts w:cs="Arial"/>
        </w:rPr>
        <w:t xml:space="preserve">recommendations </w:t>
      </w:r>
      <w:r w:rsidR="000B6DEB" w:rsidRPr="006E6F02">
        <w:rPr>
          <w:rFonts w:cs="Arial"/>
        </w:rPr>
        <w:t xml:space="preserve">during </w:t>
      </w:r>
      <w:r w:rsidR="003B3965" w:rsidRPr="006E6F02">
        <w:rPr>
          <w:rFonts w:cs="Arial"/>
        </w:rPr>
        <w:t xml:space="preserve">severe </w:t>
      </w:r>
      <w:r w:rsidR="000B6DEB" w:rsidRPr="006E6F02">
        <w:rPr>
          <w:rFonts w:cs="Arial"/>
        </w:rPr>
        <w:t xml:space="preserve">influenza pandemics; </w:t>
      </w:r>
      <w:r w:rsidR="003B3965" w:rsidRPr="006E6F02">
        <w:rPr>
          <w:rFonts w:cs="Arial"/>
        </w:rPr>
        <w:t xml:space="preserve">highlight </w:t>
      </w:r>
      <w:r w:rsidR="0006603D" w:rsidRPr="006E6F02">
        <w:rPr>
          <w:rFonts w:cs="Arial"/>
        </w:rPr>
        <w:t>expr</w:t>
      </w:r>
      <w:r w:rsidR="008139F0" w:rsidRPr="006E6F02">
        <w:rPr>
          <w:rFonts w:cs="Arial"/>
        </w:rPr>
        <w:t xml:space="preserve">essed barriers to </w:t>
      </w:r>
      <w:r w:rsidR="0006603D" w:rsidRPr="006E6F02">
        <w:rPr>
          <w:rFonts w:cs="Arial"/>
        </w:rPr>
        <w:t xml:space="preserve">implementing </w:t>
      </w:r>
      <w:r w:rsidR="003B3965" w:rsidRPr="006E6F02">
        <w:rPr>
          <w:rFonts w:cs="Arial"/>
        </w:rPr>
        <w:t xml:space="preserve">the </w:t>
      </w:r>
      <w:r w:rsidR="0006603D" w:rsidRPr="006E6F02">
        <w:rPr>
          <w:rFonts w:cs="Arial"/>
        </w:rPr>
        <w:t xml:space="preserve">NPI </w:t>
      </w:r>
      <w:r w:rsidR="003B3965" w:rsidRPr="006E6F02">
        <w:rPr>
          <w:rFonts w:cs="Arial"/>
        </w:rPr>
        <w:t xml:space="preserve">recommendations </w:t>
      </w:r>
      <w:r w:rsidR="0006603D" w:rsidRPr="006E6F02">
        <w:rPr>
          <w:rFonts w:cs="Arial"/>
        </w:rPr>
        <w:t>in community settings</w:t>
      </w:r>
      <w:r w:rsidR="008139F0" w:rsidRPr="006E6F02">
        <w:rPr>
          <w:rFonts w:cs="Arial"/>
        </w:rPr>
        <w:t xml:space="preserve">; and update </w:t>
      </w:r>
      <w:r w:rsidR="000B6DEB" w:rsidRPr="006E6F02">
        <w:rPr>
          <w:rFonts w:cs="Arial"/>
        </w:rPr>
        <w:t>sections of the 2017 Community Mitigation Gui</w:t>
      </w:r>
      <w:r w:rsidR="008139F0" w:rsidRPr="006E6F02">
        <w:rPr>
          <w:rFonts w:cs="Arial"/>
        </w:rPr>
        <w:t xml:space="preserve">delines, as </w:t>
      </w:r>
      <w:r w:rsidR="00C47C26" w:rsidRPr="006E6F02">
        <w:rPr>
          <w:rFonts w:cs="Arial"/>
        </w:rPr>
        <w:t xml:space="preserve">needed. </w:t>
      </w:r>
      <w:r w:rsidR="00C47C26" w:rsidRPr="006E6F02">
        <w:t>This new information collection also will help inform implementation co</w:t>
      </w:r>
      <w:r w:rsidR="008139F0" w:rsidRPr="006E6F02">
        <w:t>nsiderations of the guidelines</w:t>
      </w:r>
      <w:r w:rsidR="003D3251" w:rsidRPr="006E6F02">
        <w:t xml:space="preserve">, particularly the </w:t>
      </w:r>
      <w:r w:rsidR="00B70D8B">
        <w:t xml:space="preserve">feasibility and acceptability </w:t>
      </w:r>
      <w:r w:rsidR="003D3251" w:rsidRPr="006E6F02">
        <w:t>issues and barriers that CDC and other partners can help address to strengthen the capacity of state, territorial, and local health departments to implement the guidelines</w:t>
      </w:r>
      <w:r w:rsidR="008139F0" w:rsidRPr="006E6F02">
        <w:t xml:space="preserve">; increase awareness, understanding, and </w:t>
      </w:r>
      <w:r w:rsidR="00C47C26" w:rsidRPr="006E6F02">
        <w:t>uptake of the NPI recommendations; and facilitate public health stakeholder engagement for future guideline development.</w:t>
      </w:r>
    </w:p>
    <w:p w14:paraId="180E27B5" w14:textId="56945306" w:rsidR="00547F63" w:rsidRPr="00C470C5" w:rsidRDefault="00547F63" w:rsidP="0042500C">
      <w:pPr>
        <w:ind w:left="0"/>
        <w:rPr>
          <w:rFonts w:cs="Arial"/>
        </w:rPr>
      </w:pPr>
    </w:p>
    <w:p w14:paraId="32F63ABA" w14:textId="77777777" w:rsidR="008C59E7" w:rsidRPr="00BB090C" w:rsidRDefault="008C59E7" w:rsidP="008B65FF">
      <w:pPr>
        <w:ind w:left="360"/>
        <w:rPr>
          <w:rFonts w:cs="Arial"/>
          <w:color w:val="0070C0"/>
        </w:rPr>
      </w:pPr>
      <w:r w:rsidRPr="00BB090C">
        <w:rPr>
          <w:rFonts w:cs="Arial"/>
          <w:u w:val="single"/>
        </w:rPr>
        <w:t>Project Time Schedule</w:t>
      </w:r>
    </w:p>
    <w:p w14:paraId="2B37B7A1" w14:textId="77777777" w:rsidR="008C59E7" w:rsidRPr="00C237ED" w:rsidRDefault="008C59E7" w:rsidP="00782FBD">
      <w:pPr>
        <w:pStyle w:val="ListParagraph"/>
        <w:numPr>
          <w:ilvl w:val="0"/>
          <w:numId w:val="3"/>
        </w:numPr>
        <w:tabs>
          <w:tab w:val="right" w:leader="dot" w:pos="9360"/>
        </w:tabs>
        <w:ind w:left="1080"/>
      </w:pPr>
      <w:r w:rsidRPr="00C237ED">
        <w:rPr>
          <w:rFonts w:eastAsiaTheme="majorEastAsia" w:cstheme="majorBidi"/>
        </w:rPr>
        <w:t xml:space="preserve">Design </w:t>
      </w:r>
      <w:r w:rsidR="00F0000D" w:rsidRPr="00C237ED">
        <w:rPr>
          <w:rFonts w:eastAsiaTheme="majorEastAsia" w:cstheme="majorBidi"/>
        </w:rPr>
        <w:t>instrument</w:t>
      </w:r>
      <w:r w:rsidRPr="00C237ED">
        <w:rPr>
          <w:rFonts w:eastAsiaTheme="majorEastAsia" w:cstheme="majorBidi"/>
        </w:rPr>
        <w:t xml:space="preserve"> </w:t>
      </w:r>
      <w:r w:rsidRPr="00C237ED">
        <w:tab/>
      </w:r>
      <w:r w:rsidRPr="00C237ED">
        <w:rPr>
          <w:rFonts w:eastAsiaTheme="majorEastAsia" w:cstheme="majorBidi"/>
        </w:rPr>
        <w:t>(COMPLETE)</w:t>
      </w:r>
    </w:p>
    <w:p w14:paraId="138C6EF6" w14:textId="77777777" w:rsidR="008C59E7" w:rsidRPr="00C237ED" w:rsidRDefault="008C59E7" w:rsidP="00782FBD">
      <w:pPr>
        <w:pStyle w:val="ListParagraph"/>
        <w:numPr>
          <w:ilvl w:val="0"/>
          <w:numId w:val="4"/>
        </w:numPr>
        <w:tabs>
          <w:tab w:val="right" w:leader="dot" w:pos="9360"/>
        </w:tabs>
        <w:ind w:left="1080"/>
      </w:pPr>
      <w:r w:rsidRPr="00C237ED">
        <w:rPr>
          <w:rFonts w:eastAsiaTheme="majorEastAsia" w:cstheme="majorBidi"/>
        </w:rPr>
        <w:t xml:space="preserve">Develop protocol, instructions, and analysis plan </w:t>
      </w:r>
      <w:r w:rsidRPr="00C237ED">
        <w:tab/>
      </w:r>
      <w:r w:rsidRPr="00C237ED">
        <w:rPr>
          <w:rFonts w:eastAsiaTheme="majorEastAsia" w:cstheme="majorBidi"/>
        </w:rPr>
        <w:t>(COMPLETE)</w:t>
      </w:r>
    </w:p>
    <w:p w14:paraId="0D89942F" w14:textId="77777777" w:rsidR="008C59E7" w:rsidRPr="00C237ED" w:rsidRDefault="008C59E7" w:rsidP="00782FBD">
      <w:pPr>
        <w:pStyle w:val="ListParagraph"/>
        <w:numPr>
          <w:ilvl w:val="0"/>
          <w:numId w:val="5"/>
        </w:numPr>
        <w:tabs>
          <w:tab w:val="right" w:leader="dot" w:pos="9360"/>
        </w:tabs>
        <w:ind w:left="1080"/>
      </w:pPr>
      <w:r w:rsidRPr="00C237ED">
        <w:rPr>
          <w:rFonts w:eastAsiaTheme="majorEastAsia" w:cstheme="majorBidi"/>
        </w:rPr>
        <w:t xml:space="preserve">Pilot test </w:t>
      </w:r>
      <w:r w:rsidR="00F0000D" w:rsidRPr="00C237ED">
        <w:rPr>
          <w:rFonts w:eastAsiaTheme="majorEastAsia" w:cstheme="majorBidi"/>
        </w:rPr>
        <w:t>instrument</w:t>
      </w:r>
      <w:r w:rsidRPr="00C237ED">
        <w:rPr>
          <w:rFonts w:eastAsiaTheme="majorEastAsia" w:cstheme="majorBidi"/>
        </w:rPr>
        <w:t xml:space="preserve"> </w:t>
      </w:r>
      <w:r w:rsidRPr="00C237ED">
        <w:tab/>
      </w:r>
      <w:r w:rsidRPr="00C237ED">
        <w:rPr>
          <w:rFonts w:eastAsiaTheme="majorEastAsia" w:cstheme="majorBidi"/>
        </w:rPr>
        <w:t>(COMPLETE)</w:t>
      </w:r>
    </w:p>
    <w:p w14:paraId="7206871E" w14:textId="77777777" w:rsidR="008C59E7" w:rsidRPr="00C237ED" w:rsidRDefault="008C59E7" w:rsidP="00782FBD">
      <w:pPr>
        <w:pStyle w:val="ListParagraph"/>
        <w:numPr>
          <w:ilvl w:val="0"/>
          <w:numId w:val="5"/>
        </w:numPr>
        <w:tabs>
          <w:tab w:val="right" w:leader="dot" w:pos="9360"/>
        </w:tabs>
        <w:ind w:left="1080"/>
      </w:pPr>
      <w:r w:rsidRPr="00C237ED">
        <w:rPr>
          <w:rFonts w:eastAsiaTheme="majorEastAsia" w:cstheme="majorBidi"/>
        </w:rPr>
        <w:t xml:space="preserve">Prepare OMB package </w:t>
      </w:r>
      <w:r w:rsidRPr="00C237ED">
        <w:tab/>
      </w:r>
      <w:r w:rsidRPr="00C237ED">
        <w:rPr>
          <w:rFonts w:eastAsiaTheme="majorEastAsia" w:cstheme="majorBidi"/>
        </w:rPr>
        <w:t>(COMPLETE)</w:t>
      </w:r>
    </w:p>
    <w:p w14:paraId="7F7A8501" w14:textId="77777777" w:rsidR="008C59E7" w:rsidRPr="00C237ED" w:rsidRDefault="008C59E7" w:rsidP="00782FBD">
      <w:pPr>
        <w:pStyle w:val="ListParagraph"/>
        <w:numPr>
          <w:ilvl w:val="0"/>
          <w:numId w:val="5"/>
        </w:numPr>
        <w:tabs>
          <w:tab w:val="right" w:leader="dot" w:pos="9360"/>
        </w:tabs>
        <w:ind w:left="1080"/>
      </w:pPr>
      <w:r w:rsidRPr="00C237ED">
        <w:rPr>
          <w:rFonts w:eastAsiaTheme="majorEastAsia" w:cstheme="majorBidi"/>
        </w:rPr>
        <w:t xml:space="preserve">Submit OMB package </w:t>
      </w:r>
      <w:r w:rsidRPr="00C237ED">
        <w:tab/>
      </w:r>
      <w:r w:rsidRPr="00C237ED">
        <w:rPr>
          <w:rFonts w:eastAsiaTheme="majorEastAsia" w:cstheme="majorBidi"/>
        </w:rPr>
        <w:t>(COMPLETE)</w:t>
      </w:r>
    </w:p>
    <w:p w14:paraId="1A4D61FD" w14:textId="77777777" w:rsidR="008C59E7" w:rsidRPr="00C237ED" w:rsidRDefault="008C59E7" w:rsidP="00782FBD">
      <w:pPr>
        <w:pStyle w:val="ListParagraph"/>
        <w:numPr>
          <w:ilvl w:val="0"/>
          <w:numId w:val="2"/>
        </w:numPr>
        <w:tabs>
          <w:tab w:val="right" w:leader="dot" w:pos="9360"/>
        </w:tabs>
        <w:ind w:left="1080"/>
      </w:pPr>
      <w:r w:rsidRPr="00C237ED">
        <w:rPr>
          <w:rFonts w:eastAsiaTheme="majorEastAsia" w:cstheme="majorBidi"/>
        </w:rPr>
        <w:t xml:space="preserve">OMB approval </w:t>
      </w:r>
      <w:r w:rsidRPr="00C237ED">
        <w:tab/>
      </w:r>
      <w:r w:rsidRPr="00C237ED">
        <w:rPr>
          <w:rFonts w:eastAsiaTheme="majorEastAsia" w:cstheme="majorBidi"/>
        </w:rPr>
        <w:t>(TBD)</w:t>
      </w:r>
    </w:p>
    <w:p w14:paraId="25B4ECAC" w14:textId="12F49A5C" w:rsidR="008C59E7" w:rsidRPr="00C237ED" w:rsidRDefault="008C59E7" w:rsidP="00782FBD">
      <w:pPr>
        <w:pStyle w:val="ListParagraph"/>
        <w:numPr>
          <w:ilvl w:val="0"/>
          <w:numId w:val="2"/>
        </w:numPr>
        <w:tabs>
          <w:tab w:val="right" w:leader="dot" w:pos="9360"/>
        </w:tabs>
        <w:ind w:left="1080"/>
      </w:pPr>
      <w:r w:rsidRPr="00C237ED">
        <w:rPr>
          <w:rFonts w:eastAsiaTheme="majorEastAsia" w:cstheme="majorBidi"/>
        </w:rPr>
        <w:t xml:space="preserve">Conduct </w:t>
      </w:r>
      <w:r w:rsidR="00F0000D" w:rsidRPr="00C237ED">
        <w:rPr>
          <w:rFonts w:eastAsiaTheme="majorEastAsia" w:cstheme="majorBidi"/>
        </w:rPr>
        <w:t>data collection</w:t>
      </w:r>
      <w:r w:rsidRPr="00C237ED">
        <w:rPr>
          <w:rFonts w:eastAsiaTheme="majorEastAsia" w:cstheme="majorBidi"/>
        </w:rPr>
        <w:t xml:space="preserve"> </w:t>
      </w:r>
      <w:r w:rsidRPr="00C237ED">
        <w:tab/>
      </w:r>
      <w:r w:rsidRPr="00C237ED">
        <w:rPr>
          <w:rFonts w:eastAsiaTheme="majorEastAsia" w:cstheme="majorBidi"/>
        </w:rPr>
        <w:t>(</w:t>
      </w:r>
      <w:r w:rsidR="00F0000D" w:rsidRPr="00C237ED">
        <w:rPr>
          <w:rFonts w:eastAsiaTheme="majorEastAsia" w:cstheme="majorBidi"/>
        </w:rPr>
        <w:t>O</w:t>
      </w:r>
      <w:r w:rsidR="00605437" w:rsidRPr="00C237ED">
        <w:rPr>
          <w:rFonts w:eastAsiaTheme="majorEastAsia" w:cstheme="majorBidi"/>
        </w:rPr>
        <w:t xml:space="preserve">pen </w:t>
      </w:r>
      <w:r w:rsidR="00417937">
        <w:rPr>
          <w:rFonts w:eastAsiaTheme="majorEastAsia" w:cstheme="majorBidi"/>
        </w:rPr>
        <w:t xml:space="preserve">4 </w:t>
      </w:r>
      <w:r w:rsidRPr="00C237ED">
        <w:rPr>
          <w:rFonts w:eastAsiaTheme="majorEastAsia" w:cstheme="majorBidi"/>
        </w:rPr>
        <w:t>weeks)</w:t>
      </w:r>
    </w:p>
    <w:p w14:paraId="28E83A15" w14:textId="659D745A" w:rsidR="008C59E7" w:rsidRPr="00C237ED" w:rsidRDefault="008C59E7" w:rsidP="00782FBD">
      <w:pPr>
        <w:pStyle w:val="ListParagraph"/>
        <w:numPr>
          <w:ilvl w:val="0"/>
          <w:numId w:val="2"/>
        </w:numPr>
        <w:tabs>
          <w:tab w:val="right" w:leader="dot" w:pos="9360"/>
        </w:tabs>
        <w:ind w:left="1080"/>
      </w:pPr>
      <w:r w:rsidRPr="00C237ED">
        <w:rPr>
          <w:rFonts w:eastAsiaTheme="majorEastAsia" w:cstheme="majorBidi"/>
        </w:rPr>
        <w:t>Code</w:t>
      </w:r>
      <w:r w:rsidR="001C7607" w:rsidRPr="00C237ED">
        <w:rPr>
          <w:rFonts w:eastAsiaTheme="majorEastAsia" w:cstheme="majorBidi"/>
        </w:rPr>
        <w:t xml:space="preserve"> data</w:t>
      </w:r>
      <w:r w:rsidRPr="00C237ED">
        <w:rPr>
          <w:rFonts w:eastAsiaTheme="majorEastAsia" w:cstheme="majorBidi"/>
        </w:rPr>
        <w:t xml:space="preserve">, </w:t>
      </w:r>
      <w:r w:rsidR="001C7607" w:rsidRPr="00C237ED">
        <w:rPr>
          <w:rFonts w:eastAsiaTheme="majorEastAsia" w:cstheme="majorBidi"/>
        </w:rPr>
        <w:t xml:space="preserve">conduct </w:t>
      </w:r>
      <w:r w:rsidRPr="00C237ED">
        <w:rPr>
          <w:rFonts w:eastAsiaTheme="majorEastAsia" w:cstheme="majorBidi"/>
        </w:rPr>
        <w:t>quality control, and analyze data</w:t>
      </w:r>
      <w:r w:rsidRPr="00C237ED">
        <w:rPr>
          <w:rFonts w:cs="Arial"/>
        </w:rPr>
        <w:tab/>
      </w:r>
      <w:r w:rsidR="00273960" w:rsidRPr="00C237ED">
        <w:rPr>
          <w:rFonts w:eastAsiaTheme="majorEastAsia" w:cstheme="majorBidi"/>
        </w:rPr>
        <w:t xml:space="preserve">(2-3 </w:t>
      </w:r>
      <w:r w:rsidR="00954637" w:rsidRPr="00C237ED">
        <w:rPr>
          <w:rFonts w:eastAsiaTheme="majorEastAsia" w:cstheme="majorBidi"/>
        </w:rPr>
        <w:t>months</w:t>
      </w:r>
      <w:r w:rsidRPr="00C237ED">
        <w:rPr>
          <w:rFonts w:eastAsiaTheme="majorEastAsia" w:cstheme="majorBidi"/>
        </w:rPr>
        <w:t>)</w:t>
      </w:r>
    </w:p>
    <w:p w14:paraId="700908EC" w14:textId="44E33BB4" w:rsidR="008C59E7" w:rsidRPr="00C237ED" w:rsidRDefault="007B6A12" w:rsidP="00782FBD">
      <w:pPr>
        <w:pStyle w:val="ListParagraph"/>
        <w:numPr>
          <w:ilvl w:val="0"/>
          <w:numId w:val="2"/>
        </w:numPr>
        <w:tabs>
          <w:tab w:val="right" w:leader="dot" w:pos="9360"/>
        </w:tabs>
        <w:ind w:left="1080"/>
      </w:pPr>
      <w:r w:rsidRPr="00C237ED">
        <w:rPr>
          <w:rFonts w:eastAsiaTheme="majorEastAsia" w:cstheme="majorBidi"/>
        </w:rPr>
        <w:t xml:space="preserve">Prepare </w:t>
      </w:r>
      <w:r w:rsidR="001C7607" w:rsidRPr="00C237ED">
        <w:rPr>
          <w:rFonts w:eastAsiaTheme="majorEastAsia" w:cstheme="majorBidi"/>
        </w:rPr>
        <w:t xml:space="preserve">summary </w:t>
      </w:r>
      <w:r w:rsidRPr="00C237ED">
        <w:rPr>
          <w:rFonts w:eastAsiaTheme="majorEastAsia" w:cstheme="majorBidi"/>
        </w:rPr>
        <w:t>report(s)</w:t>
      </w:r>
      <w:r w:rsidR="008C59E7" w:rsidRPr="00C237ED">
        <w:rPr>
          <w:rFonts w:eastAsiaTheme="majorEastAsia" w:cstheme="majorBidi"/>
        </w:rPr>
        <w:t xml:space="preserve"> </w:t>
      </w:r>
      <w:r w:rsidR="008C59E7" w:rsidRPr="00C237ED">
        <w:tab/>
      </w:r>
      <w:r w:rsidR="008C59E7" w:rsidRPr="00C237ED">
        <w:rPr>
          <w:rFonts w:eastAsiaTheme="majorEastAsia" w:cstheme="majorBidi"/>
        </w:rPr>
        <w:t>(</w:t>
      </w:r>
      <w:r w:rsidR="00273960" w:rsidRPr="00C237ED">
        <w:rPr>
          <w:rFonts w:eastAsiaTheme="majorEastAsia" w:cstheme="majorBidi"/>
        </w:rPr>
        <w:t xml:space="preserve">1-2 </w:t>
      </w:r>
      <w:r w:rsidR="00954637" w:rsidRPr="00C237ED">
        <w:rPr>
          <w:rFonts w:eastAsiaTheme="majorEastAsia" w:cstheme="majorBidi"/>
        </w:rPr>
        <w:t>months</w:t>
      </w:r>
      <w:r w:rsidR="008C59E7" w:rsidRPr="00C237ED">
        <w:rPr>
          <w:rFonts w:eastAsiaTheme="majorEastAsia" w:cstheme="majorBidi"/>
        </w:rPr>
        <w:t>)</w:t>
      </w:r>
    </w:p>
    <w:p w14:paraId="25A84903" w14:textId="43F92677" w:rsidR="008C59E7" w:rsidRPr="00C237ED" w:rsidRDefault="008C59E7" w:rsidP="00782FBD">
      <w:pPr>
        <w:pStyle w:val="ListParagraph"/>
        <w:numPr>
          <w:ilvl w:val="0"/>
          <w:numId w:val="2"/>
        </w:numPr>
        <w:tabs>
          <w:tab w:val="right" w:leader="dot" w:pos="9360"/>
        </w:tabs>
        <w:ind w:left="1080"/>
      </w:pPr>
      <w:r w:rsidRPr="00C237ED">
        <w:rPr>
          <w:rFonts w:eastAsiaTheme="majorEastAsia" w:cstheme="majorBidi"/>
        </w:rPr>
        <w:t xml:space="preserve">Disseminate results/reports </w:t>
      </w:r>
      <w:r w:rsidRPr="00C237ED">
        <w:tab/>
      </w:r>
      <w:r w:rsidRPr="00C237ED">
        <w:rPr>
          <w:rFonts w:eastAsiaTheme="majorEastAsia" w:cstheme="majorBidi"/>
        </w:rPr>
        <w:t>(</w:t>
      </w:r>
      <w:r w:rsidR="00E06D0A" w:rsidRPr="00C237ED">
        <w:rPr>
          <w:rFonts w:eastAsiaTheme="majorEastAsia" w:cstheme="majorBidi"/>
        </w:rPr>
        <w:t xml:space="preserve">4-6 </w:t>
      </w:r>
      <w:r w:rsidR="00954637" w:rsidRPr="00C237ED">
        <w:rPr>
          <w:rFonts w:eastAsiaTheme="majorEastAsia" w:cstheme="majorBidi"/>
        </w:rPr>
        <w:t>months</w:t>
      </w:r>
      <w:r w:rsidRPr="00C237ED">
        <w:rPr>
          <w:rFonts w:eastAsiaTheme="majorEastAsia" w:cstheme="majorBidi"/>
        </w:rPr>
        <w:t>)</w:t>
      </w:r>
    </w:p>
    <w:p w14:paraId="29EC9BD5" w14:textId="2DBBBCF8" w:rsidR="00F0000D" w:rsidRDefault="00F0000D" w:rsidP="00F258A9">
      <w:pPr>
        <w:ind w:left="0"/>
      </w:pPr>
    </w:p>
    <w:p w14:paraId="7522F199" w14:textId="77777777" w:rsidR="00B12F51" w:rsidRPr="00D75750" w:rsidRDefault="00D75750" w:rsidP="00692DEB">
      <w:pPr>
        <w:pStyle w:val="Heading4"/>
      </w:pPr>
      <w:bookmarkStart w:id="20" w:name="_Toc427752830"/>
      <w:r w:rsidRPr="00D75750">
        <w:t xml:space="preserve">Reason(s) Display of OMB Expiration </w:t>
      </w:r>
      <w:r>
        <w:t xml:space="preserve">Date </w:t>
      </w:r>
      <w:r w:rsidRPr="00D75750">
        <w:t>is Inappropriate</w:t>
      </w:r>
      <w:bookmarkEnd w:id="20"/>
    </w:p>
    <w:p w14:paraId="589B75C3" w14:textId="77777777" w:rsidR="00F52BCC" w:rsidRDefault="00180D45" w:rsidP="008B65FF">
      <w:pPr>
        <w:ind w:left="360"/>
      </w:pPr>
      <w:r>
        <w:t>We are requesting no exemption.</w:t>
      </w:r>
    </w:p>
    <w:p w14:paraId="5E17A304" w14:textId="6AB4C951" w:rsidR="003705DF" w:rsidRDefault="003705DF" w:rsidP="00F258A9">
      <w:pPr>
        <w:ind w:left="0"/>
      </w:pPr>
    </w:p>
    <w:p w14:paraId="4BD5ABF1" w14:textId="77777777" w:rsidR="00B12F51" w:rsidRPr="00D26A64" w:rsidRDefault="00B12F51" w:rsidP="00692DEB">
      <w:pPr>
        <w:pStyle w:val="Heading4"/>
      </w:pPr>
      <w:bookmarkStart w:id="21" w:name="_Toc427752831"/>
      <w:r w:rsidRPr="00D26A64">
        <w:t>Exceptions to Certification for Paperwork Reduction Act Submissions</w:t>
      </w:r>
      <w:bookmarkEnd w:id="21"/>
    </w:p>
    <w:p w14:paraId="5F320E12" w14:textId="7C93A551" w:rsidR="00D1343B" w:rsidRDefault="0031279F" w:rsidP="00DD5E65">
      <w:pPr>
        <w:ind w:left="360"/>
      </w:pPr>
      <w:r>
        <w:t>There are no exceptions to the certification.</w:t>
      </w:r>
      <w:r w:rsidR="00F258A9">
        <w:t xml:space="preserve"> </w:t>
      </w:r>
      <w:r w:rsidR="00180D45">
        <w:t>These activities comply with the requirements in 5 CFR 1320.9.</w:t>
      </w:r>
    </w:p>
    <w:p w14:paraId="473A07F7" w14:textId="77777777" w:rsidR="00C60706" w:rsidRDefault="00C60706" w:rsidP="00DD5E65">
      <w:pPr>
        <w:ind w:left="360"/>
      </w:pPr>
    </w:p>
    <w:p w14:paraId="2E511EBE" w14:textId="1F9C66D7" w:rsidR="001F3C61" w:rsidRPr="001F3C61" w:rsidRDefault="00A36419" w:rsidP="004711CF">
      <w:pPr>
        <w:pStyle w:val="Heading3"/>
        <w:ind w:left="0"/>
      </w:pPr>
      <w:bookmarkStart w:id="22" w:name="_Toc427752832"/>
      <w:r>
        <w:t>LIST OF ATTACHMENTS</w:t>
      </w:r>
      <w:r w:rsidR="00A33E90">
        <w:t xml:space="preserve"> – Section A</w:t>
      </w:r>
      <w:bookmarkEnd w:id="22"/>
    </w:p>
    <w:p w14:paraId="7ECD1CF7" w14:textId="6D0EC1D2" w:rsidR="00692A7B" w:rsidRPr="00632E5E" w:rsidRDefault="006E6F02" w:rsidP="006E6F02">
      <w:pPr>
        <w:tabs>
          <w:tab w:val="clear" w:pos="9360"/>
        </w:tabs>
        <w:spacing w:line="240" w:lineRule="auto"/>
        <w:ind w:left="360"/>
      </w:pPr>
      <w:r>
        <w:t xml:space="preserve">Attachment A: </w:t>
      </w:r>
      <w:r w:rsidR="000334CE" w:rsidRPr="00632E5E">
        <w:t xml:space="preserve">Respondent Universe </w:t>
      </w:r>
      <w:r w:rsidR="00112841">
        <w:t xml:space="preserve">and Sample </w:t>
      </w:r>
      <w:r w:rsidR="000334CE" w:rsidRPr="00632E5E">
        <w:t>Table</w:t>
      </w:r>
      <w:r w:rsidR="00112841">
        <w:t>s</w:t>
      </w:r>
    </w:p>
    <w:p w14:paraId="1DDD26F2" w14:textId="48F7A62E" w:rsidR="00E647FB" w:rsidRPr="00DD240E" w:rsidRDefault="006E6F02" w:rsidP="006E6F02">
      <w:pPr>
        <w:tabs>
          <w:tab w:val="clear" w:pos="9360"/>
        </w:tabs>
        <w:spacing w:line="240" w:lineRule="auto"/>
        <w:ind w:left="360"/>
      </w:pPr>
      <w:r>
        <w:t xml:space="preserve">Attachment B: </w:t>
      </w:r>
      <w:r w:rsidR="009137E5" w:rsidRPr="00DD240E">
        <w:t>NPIs Reserved for Influenza Pandemics Table</w:t>
      </w:r>
    </w:p>
    <w:p w14:paraId="4578F5BE" w14:textId="4CD26AEE" w:rsidR="00CC59B6" w:rsidRPr="001F3C61" w:rsidRDefault="006E6F02" w:rsidP="006E6F02">
      <w:pPr>
        <w:tabs>
          <w:tab w:val="clear" w:pos="9360"/>
        </w:tabs>
        <w:spacing w:line="240" w:lineRule="auto"/>
        <w:ind w:left="360"/>
      </w:pPr>
      <w:r>
        <w:t xml:space="preserve">Attachment C: </w:t>
      </w:r>
      <w:r w:rsidR="001F3C61">
        <w:t>Instrument Word Version</w:t>
      </w:r>
    </w:p>
    <w:p w14:paraId="4C7853DD" w14:textId="7906AFF7" w:rsidR="00CC59B6" w:rsidRDefault="006E6F02" w:rsidP="006E6F02">
      <w:pPr>
        <w:tabs>
          <w:tab w:val="clear" w:pos="9360"/>
        </w:tabs>
        <w:spacing w:line="240" w:lineRule="auto"/>
        <w:ind w:left="360"/>
      </w:pPr>
      <w:r>
        <w:t xml:space="preserve">Attachment D: </w:t>
      </w:r>
      <w:r w:rsidR="001F3C61">
        <w:t>Instrument Web Version</w:t>
      </w:r>
      <w:r w:rsidR="00E36125">
        <w:t xml:space="preserve"> (using </w:t>
      </w:r>
      <w:r w:rsidR="00E36125" w:rsidRPr="00E36125">
        <w:rPr>
          <w:i/>
        </w:rPr>
        <w:t>SurveyMonkey</w:t>
      </w:r>
      <w:r w:rsidR="00E36125">
        <w:t>)</w:t>
      </w:r>
    </w:p>
    <w:p w14:paraId="10999331" w14:textId="5AA70557" w:rsidR="00E36125" w:rsidRPr="001F3C61" w:rsidRDefault="00E36125" w:rsidP="006E6F02">
      <w:pPr>
        <w:tabs>
          <w:tab w:val="clear" w:pos="9360"/>
        </w:tabs>
        <w:spacing w:line="240" w:lineRule="auto"/>
        <w:ind w:left="360"/>
      </w:pPr>
      <w:r>
        <w:t xml:space="preserve">Attachment E: Instrument Web Version (using </w:t>
      </w:r>
      <w:r w:rsidRPr="00E36125">
        <w:rPr>
          <w:i/>
        </w:rPr>
        <w:t>Qualtrics</w:t>
      </w:r>
      <w:r>
        <w:t>)</w:t>
      </w:r>
    </w:p>
    <w:p w14:paraId="18E82374" w14:textId="441C19A6" w:rsidR="00D0770C" w:rsidRDefault="00D0770C" w:rsidP="00F258A9">
      <w:pPr>
        <w:ind w:left="0"/>
      </w:pPr>
    </w:p>
    <w:p w14:paraId="238DE49B" w14:textId="42F8E4BF" w:rsidR="00CC7188" w:rsidRPr="004711CF" w:rsidRDefault="00CC7188" w:rsidP="003860A5">
      <w:pPr>
        <w:pStyle w:val="Heading3"/>
        <w:ind w:left="0"/>
      </w:pPr>
      <w:bookmarkStart w:id="23" w:name="_Toc427752833"/>
      <w:r w:rsidRPr="00CC7188">
        <w:t>REFERENCE LIST</w:t>
      </w:r>
      <w:bookmarkEnd w:id="23"/>
    </w:p>
    <w:p w14:paraId="7E0FA803" w14:textId="106ED420" w:rsidR="008D73E4" w:rsidRPr="00BF3C5F" w:rsidRDefault="000058E0" w:rsidP="00BF3C5F">
      <w:pPr>
        <w:pStyle w:val="ListParagraph"/>
        <w:numPr>
          <w:ilvl w:val="0"/>
          <w:numId w:val="40"/>
        </w:numPr>
        <w:ind w:left="360"/>
        <w:rPr>
          <w:rStyle w:val="Hyperlink"/>
          <w:color w:val="auto"/>
          <w:u w:val="none"/>
        </w:rPr>
      </w:pPr>
      <w:r w:rsidRPr="008C59E7">
        <w:t>Centers for Disease Control and Prevention</w:t>
      </w:r>
      <w:r w:rsidR="00B64842">
        <w:t xml:space="preserve"> (CDC). "National Public Health Performance </w:t>
      </w:r>
      <w:r w:rsidR="008D73E4">
        <w:t xml:space="preserve">Standards Program (NPHPSP): </w:t>
      </w:r>
      <w:r w:rsidRPr="008C59E7">
        <w:t>10 Essential Public</w:t>
      </w:r>
      <w:r w:rsidR="008318A2">
        <w:t xml:space="preserve"> Health Services." </w:t>
      </w:r>
      <w:r w:rsidR="003205BB">
        <w:t>Available at</w:t>
      </w:r>
      <w:r w:rsidR="008318A2">
        <w:t>:</w:t>
      </w:r>
      <w:r w:rsidR="00BF28C9">
        <w:t xml:space="preserve"> </w:t>
      </w:r>
      <w:hyperlink r:id="rId16" w:history="1">
        <w:r w:rsidR="00BF3C5F" w:rsidRPr="00813E1C">
          <w:rPr>
            <w:rStyle w:val="Hyperlink"/>
          </w:rPr>
          <w:t>https://www.cdc.gov/stltpublichealth/publichealthservices/essentialhealthservices.html</w:t>
        </w:r>
      </w:hyperlink>
    </w:p>
    <w:p w14:paraId="3E58D277" w14:textId="77777777" w:rsidR="00BF3C5F" w:rsidRPr="00BF3C5F" w:rsidRDefault="00C67F50" w:rsidP="00BF3C5F">
      <w:pPr>
        <w:pStyle w:val="ListParagraph"/>
        <w:numPr>
          <w:ilvl w:val="0"/>
          <w:numId w:val="40"/>
        </w:numPr>
        <w:ind w:left="360"/>
        <w:rPr>
          <w:rStyle w:val="Hyperlink"/>
          <w:color w:val="auto"/>
          <w:u w:val="none"/>
        </w:rPr>
      </w:pPr>
      <w:r w:rsidRPr="001332C7">
        <w:t xml:space="preserve">Centers for Disease Control and Prevention (CDC), Office of Public Health Preparedness and Response (OPHPR). Public Health Preparedness Capabilities: National Standards for </w:t>
      </w:r>
      <w:r w:rsidR="008B5CB2" w:rsidRPr="001332C7">
        <w:t xml:space="preserve">State and Local Planning. </w:t>
      </w:r>
      <w:r w:rsidRPr="001332C7">
        <w:t>2011</w:t>
      </w:r>
      <w:r w:rsidR="008B5CB2" w:rsidRPr="001332C7">
        <w:t xml:space="preserve"> March</w:t>
      </w:r>
      <w:r w:rsidRPr="001332C7">
        <w:t>; 1-</w:t>
      </w:r>
      <w:r w:rsidR="008B5CB2" w:rsidRPr="001332C7">
        <w:t>152</w:t>
      </w:r>
      <w:r w:rsidR="00762D95">
        <w:t xml:space="preserve">. Available at: </w:t>
      </w:r>
      <w:hyperlink r:id="rId17" w:history="1">
        <w:r w:rsidR="00762D95" w:rsidRPr="00AF4227">
          <w:rPr>
            <w:rStyle w:val="Hyperlink"/>
          </w:rPr>
          <w:t>https://www.cdc.gov/phpr/readiness/00_docs/DSLR_capabilities_July.pdf</w:t>
        </w:r>
      </w:hyperlink>
    </w:p>
    <w:p w14:paraId="7756EAB1" w14:textId="77777777" w:rsidR="00BF3C5F" w:rsidRPr="00BF3C5F" w:rsidRDefault="00C75DE2" w:rsidP="00BF3C5F">
      <w:pPr>
        <w:pStyle w:val="ListParagraph"/>
        <w:numPr>
          <w:ilvl w:val="0"/>
          <w:numId w:val="40"/>
        </w:numPr>
        <w:ind w:left="360"/>
        <w:rPr>
          <w:rStyle w:val="Hyperlink"/>
          <w:color w:val="auto"/>
          <w:u w:val="none"/>
        </w:rPr>
      </w:pPr>
      <w:r w:rsidRPr="001332C7">
        <w:t>Qualls N, Levitt A, Kanade N, et al. Community Mitigation Guidelines to Prevent Pandemic Influenza – United States, 2017. Morbidity and Mortality Weekly Report. Recommendations and Reports. 2017;</w:t>
      </w:r>
      <w:r w:rsidR="00A80D73" w:rsidRPr="001332C7">
        <w:t xml:space="preserve"> </w:t>
      </w:r>
      <w:r w:rsidR="008318A2">
        <w:t xml:space="preserve">66(1):1-34. Available at: </w:t>
      </w:r>
      <w:hyperlink r:id="rId18" w:history="1">
        <w:r w:rsidR="008318A2" w:rsidRPr="004432CA">
          <w:rPr>
            <w:rStyle w:val="Hyperlink"/>
          </w:rPr>
          <w:t>https://www.cdc.gov/mmwr/volumes/66/rr/pdfs/rr6601.pdf</w:t>
        </w:r>
      </w:hyperlink>
    </w:p>
    <w:p w14:paraId="1319FDF8" w14:textId="0E694576" w:rsidR="00831496" w:rsidRDefault="0033727B" w:rsidP="00BF3C5F">
      <w:pPr>
        <w:pStyle w:val="ListParagraph"/>
        <w:numPr>
          <w:ilvl w:val="0"/>
          <w:numId w:val="40"/>
        </w:numPr>
        <w:ind w:left="360"/>
      </w:pPr>
      <w:r>
        <w:t>U.S. Community Preventive Services Task Force (USCPSTF). Emergency Preparedness and Response: School Dismissals to Reduce Transmission of Pandemic Influenza [The Community Guide Systematic Review]. 2012 August. Available at:</w:t>
      </w:r>
    </w:p>
    <w:p w14:paraId="6B70932F" w14:textId="433D8640" w:rsidR="0086086F" w:rsidRPr="004711CF" w:rsidRDefault="00687FC7" w:rsidP="004711CF">
      <w:pPr>
        <w:pStyle w:val="ListParagraph"/>
        <w:tabs>
          <w:tab w:val="clear" w:pos="9360"/>
        </w:tabs>
        <w:spacing w:line="240" w:lineRule="auto"/>
        <w:ind w:left="360"/>
        <w:rPr>
          <w:highlight w:val="yellow"/>
        </w:rPr>
      </w:pPr>
      <w:hyperlink r:id="rId19" w:history="1">
        <w:r w:rsidR="0033727B" w:rsidRPr="00A74C05">
          <w:rPr>
            <w:rStyle w:val="Hyperlink"/>
          </w:rPr>
          <w:t>https://www.thecommunityguide.org/findings/emergency-preparedness-and-response-school-dismissals-reduce-transmission-pandemic-influenza</w:t>
        </w:r>
      </w:hyperlink>
      <w:r w:rsidR="0033727B">
        <w:t xml:space="preserve"> </w:t>
      </w:r>
    </w:p>
    <w:sectPr w:rsidR="0086086F" w:rsidRPr="004711CF" w:rsidSect="00385BB5">
      <w:headerReference w:type="default" r:id="rId20"/>
      <w:footerReference w:type="defaul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183A2" w14:textId="77777777" w:rsidR="00AA67A5" w:rsidRDefault="00AA67A5" w:rsidP="007D6163">
      <w:r>
        <w:separator/>
      </w:r>
    </w:p>
    <w:p w14:paraId="7B43B1C5" w14:textId="77777777" w:rsidR="00AA67A5" w:rsidRDefault="00AA67A5" w:rsidP="007D6163"/>
  </w:endnote>
  <w:endnote w:type="continuationSeparator" w:id="0">
    <w:p w14:paraId="16F1C690" w14:textId="77777777" w:rsidR="00AA67A5" w:rsidRDefault="00AA67A5" w:rsidP="007D6163">
      <w:r>
        <w:continuationSeparator/>
      </w:r>
    </w:p>
    <w:p w14:paraId="545B39FC" w14:textId="77777777" w:rsidR="00AA67A5" w:rsidRDefault="00AA67A5"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09622E63" w14:textId="58FA399F" w:rsidR="00FD28BD" w:rsidRDefault="00FD28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87FC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7FC7">
              <w:rPr>
                <w:b/>
                <w:bCs/>
                <w:noProof/>
              </w:rPr>
              <w:t>2</w:t>
            </w:r>
            <w:r>
              <w:rPr>
                <w:b/>
                <w:bCs/>
                <w:sz w:val="24"/>
                <w:szCs w:val="24"/>
              </w:rPr>
              <w:fldChar w:fldCharType="end"/>
            </w:r>
          </w:p>
        </w:sdtContent>
      </w:sdt>
    </w:sdtContent>
  </w:sdt>
  <w:p w14:paraId="169A3328" w14:textId="77777777" w:rsidR="00FD28BD" w:rsidRDefault="00FD28BD"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E12E5" w14:textId="77777777" w:rsidR="00AA67A5" w:rsidRDefault="00AA67A5" w:rsidP="007D6163">
      <w:r>
        <w:separator/>
      </w:r>
    </w:p>
    <w:p w14:paraId="4287C24B" w14:textId="77777777" w:rsidR="00AA67A5" w:rsidRDefault="00AA67A5" w:rsidP="007D6163"/>
  </w:footnote>
  <w:footnote w:type="continuationSeparator" w:id="0">
    <w:p w14:paraId="3AAFCECE" w14:textId="77777777" w:rsidR="00AA67A5" w:rsidRDefault="00AA67A5" w:rsidP="007D6163">
      <w:r>
        <w:continuationSeparator/>
      </w:r>
    </w:p>
    <w:p w14:paraId="059D78CD" w14:textId="77777777" w:rsidR="00AA67A5" w:rsidRDefault="00AA67A5"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47E7F" w14:textId="77777777" w:rsidR="00FD28BD" w:rsidRPr="00716F94" w:rsidRDefault="00FD28BD" w:rsidP="007D6163">
    <w:pPr>
      <w:pStyle w:val="Header"/>
      <w:rPr>
        <w:color w:val="0033CC"/>
      </w:rPr>
    </w:pPr>
    <w:r>
      <w:tab/>
    </w:r>
  </w:p>
  <w:p w14:paraId="7025A7D3" w14:textId="77777777" w:rsidR="00FD28BD" w:rsidRDefault="00FD28BD"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0B2A"/>
    <w:multiLevelType w:val="hybridMultilevel"/>
    <w:tmpl w:val="AB62759E"/>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A6A2F"/>
    <w:multiLevelType w:val="hybridMultilevel"/>
    <w:tmpl w:val="C68A12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151F0E"/>
    <w:multiLevelType w:val="hybridMultilevel"/>
    <w:tmpl w:val="E8DC04BE"/>
    <w:lvl w:ilvl="0" w:tplc="53EA8D2A">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96506"/>
    <w:multiLevelType w:val="hybridMultilevel"/>
    <w:tmpl w:val="3A5ADE0A"/>
    <w:lvl w:ilvl="0" w:tplc="A34656DA">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67CA3"/>
    <w:multiLevelType w:val="hybridMultilevel"/>
    <w:tmpl w:val="CC3CB8DC"/>
    <w:lvl w:ilvl="0" w:tplc="74A0979C">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135F3"/>
    <w:multiLevelType w:val="hybridMultilevel"/>
    <w:tmpl w:val="E200C3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733913"/>
    <w:multiLevelType w:val="hybridMultilevel"/>
    <w:tmpl w:val="69FC42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840055"/>
    <w:multiLevelType w:val="hybridMultilevel"/>
    <w:tmpl w:val="8A9AA70A"/>
    <w:lvl w:ilvl="0" w:tplc="696A9A6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F0FA1"/>
    <w:multiLevelType w:val="hybridMultilevel"/>
    <w:tmpl w:val="596AC15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B122AE"/>
    <w:multiLevelType w:val="hybridMultilevel"/>
    <w:tmpl w:val="3BBE6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DCB4732"/>
    <w:multiLevelType w:val="hybridMultilevel"/>
    <w:tmpl w:val="2668BB34"/>
    <w:lvl w:ilvl="0" w:tplc="BE4A9A2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A61771"/>
    <w:multiLevelType w:val="hybridMultilevel"/>
    <w:tmpl w:val="DB18D88E"/>
    <w:lvl w:ilvl="0" w:tplc="0409000F">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6172B0"/>
    <w:multiLevelType w:val="hybridMultilevel"/>
    <w:tmpl w:val="2A5211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5F74EE"/>
    <w:multiLevelType w:val="hybridMultilevel"/>
    <w:tmpl w:val="C950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B5F437E"/>
    <w:multiLevelType w:val="hybridMultilevel"/>
    <w:tmpl w:val="E0F0E7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3">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546201D8"/>
    <w:multiLevelType w:val="hybridMultilevel"/>
    <w:tmpl w:val="E8280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993BD6"/>
    <w:multiLevelType w:val="hybridMultilevel"/>
    <w:tmpl w:val="7AF6CAD6"/>
    <w:lvl w:ilvl="0" w:tplc="E89A1188">
      <w:start w:val="1"/>
      <w:numFmt w:val="decimal"/>
      <w:lvlText w:val="%1."/>
      <w:lvlJc w:val="left"/>
      <w:pPr>
        <w:ind w:left="360" w:hanging="360"/>
      </w:pPr>
      <w:rPr>
        <w:rFonts w:asciiTheme="majorHAnsi" w:hAnsiTheme="majorHAnsi" w:cs="Times New Roman" w:hint="default"/>
        <w:b w:val="0"/>
      </w:rPr>
    </w:lvl>
    <w:lvl w:ilvl="1" w:tplc="042699B0">
      <w:start w:val="1"/>
      <w:numFmt w:val="lowerLetter"/>
      <w:lvlText w:val="%2."/>
      <w:lvlJc w:val="left"/>
      <w:pPr>
        <w:ind w:left="1260" w:hanging="360"/>
      </w:pPr>
      <w:rPr>
        <w:rFonts w:asciiTheme="majorHAnsi" w:hAnsiTheme="majorHAnsi" w:cstheme="majorHAnsi" w:hint="default"/>
        <w:b w:val="0"/>
        <w:sz w:val="22"/>
        <w:szCs w:val="22"/>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6">
    <w:nsid w:val="55444BD2"/>
    <w:multiLevelType w:val="hybridMultilevel"/>
    <w:tmpl w:val="12FCC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6BC34CE"/>
    <w:multiLevelType w:val="hybridMultilevel"/>
    <w:tmpl w:val="E4D694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1F31EA"/>
    <w:multiLevelType w:val="hybridMultilevel"/>
    <w:tmpl w:val="2B20F4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4A72C93"/>
    <w:multiLevelType w:val="hybridMultilevel"/>
    <w:tmpl w:val="04684B5C"/>
    <w:lvl w:ilvl="0" w:tplc="24FE6F3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020747"/>
    <w:multiLevelType w:val="hybridMultilevel"/>
    <w:tmpl w:val="F754D6C6"/>
    <w:lvl w:ilvl="0" w:tplc="41721F7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E14C9B"/>
    <w:multiLevelType w:val="hybridMultilevel"/>
    <w:tmpl w:val="33688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34"/>
  </w:num>
  <w:num w:numId="4">
    <w:abstractNumId w:val="11"/>
  </w:num>
  <w:num w:numId="5">
    <w:abstractNumId w:val="29"/>
  </w:num>
  <w:num w:numId="6">
    <w:abstractNumId w:val="1"/>
  </w:num>
  <w:num w:numId="7">
    <w:abstractNumId w:val="14"/>
  </w:num>
  <w:num w:numId="8">
    <w:abstractNumId w:val="10"/>
  </w:num>
  <w:num w:numId="9">
    <w:abstractNumId w:val="23"/>
  </w:num>
  <w:num w:numId="10">
    <w:abstractNumId w:val="9"/>
  </w:num>
  <w:num w:numId="11">
    <w:abstractNumId w:val="13"/>
  </w:num>
  <w:num w:numId="12">
    <w:abstractNumId w:val="36"/>
  </w:num>
  <w:num w:numId="13">
    <w:abstractNumId w:val="35"/>
  </w:num>
  <w:num w:numId="14">
    <w:abstractNumId w:val="22"/>
  </w:num>
  <w:num w:numId="15">
    <w:abstractNumId w:val="21"/>
  </w:num>
  <w:num w:numId="16">
    <w:abstractNumId w:val="32"/>
  </w:num>
  <w:num w:numId="17">
    <w:abstractNumId w:val="37"/>
  </w:num>
  <w:num w:numId="18">
    <w:abstractNumId w:val="6"/>
  </w:num>
  <w:num w:numId="19">
    <w:abstractNumId w:val="20"/>
  </w:num>
  <w:num w:numId="20">
    <w:abstractNumId w:val="8"/>
  </w:num>
  <w:num w:numId="21">
    <w:abstractNumId w:val="33"/>
  </w:num>
  <w:num w:numId="22">
    <w:abstractNumId w:val="30"/>
  </w:num>
  <w:num w:numId="23">
    <w:abstractNumId w:val="26"/>
  </w:num>
  <w:num w:numId="24">
    <w:abstractNumId w:val="3"/>
  </w:num>
  <w:num w:numId="25">
    <w:abstractNumId w:val="2"/>
  </w:num>
  <w:num w:numId="26">
    <w:abstractNumId w:val="28"/>
  </w:num>
  <w:num w:numId="27">
    <w:abstractNumId w:val="24"/>
  </w:num>
  <w:num w:numId="28">
    <w:abstractNumId w:val="18"/>
  </w:num>
  <w:num w:numId="29">
    <w:abstractNumId w:val="27"/>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6"/>
  </w:num>
  <w:num w:numId="34">
    <w:abstractNumId w:val="19"/>
  </w:num>
  <w:num w:numId="35">
    <w:abstractNumId w:val="15"/>
  </w:num>
  <w:num w:numId="36">
    <w:abstractNumId w:val="10"/>
  </w:num>
  <w:num w:numId="37">
    <w:abstractNumId w:val="5"/>
  </w:num>
  <w:num w:numId="38">
    <w:abstractNumId w:val="4"/>
  </w:num>
  <w:num w:numId="39">
    <w:abstractNumId w:val="7"/>
  </w:num>
  <w:num w:numId="4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15D1"/>
    <w:rsid w:val="000023EE"/>
    <w:rsid w:val="00002470"/>
    <w:rsid w:val="0000395C"/>
    <w:rsid w:val="00003BAC"/>
    <w:rsid w:val="000058E0"/>
    <w:rsid w:val="00006081"/>
    <w:rsid w:val="00006276"/>
    <w:rsid w:val="00006B09"/>
    <w:rsid w:val="00007EF7"/>
    <w:rsid w:val="00011A98"/>
    <w:rsid w:val="00011F8D"/>
    <w:rsid w:val="000130B4"/>
    <w:rsid w:val="00014361"/>
    <w:rsid w:val="00014579"/>
    <w:rsid w:val="00014944"/>
    <w:rsid w:val="00015EDC"/>
    <w:rsid w:val="000164D7"/>
    <w:rsid w:val="00022824"/>
    <w:rsid w:val="00023547"/>
    <w:rsid w:val="0002423E"/>
    <w:rsid w:val="00025131"/>
    <w:rsid w:val="00026813"/>
    <w:rsid w:val="00027644"/>
    <w:rsid w:val="00027B55"/>
    <w:rsid w:val="000305E6"/>
    <w:rsid w:val="00031819"/>
    <w:rsid w:val="000326CA"/>
    <w:rsid w:val="00032FDD"/>
    <w:rsid w:val="000334CE"/>
    <w:rsid w:val="00034DA6"/>
    <w:rsid w:val="00035291"/>
    <w:rsid w:val="0003538E"/>
    <w:rsid w:val="00035536"/>
    <w:rsid w:val="000376B3"/>
    <w:rsid w:val="00040611"/>
    <w:rsid w:val="000425E4"/>
    <w:rsid w:val="0004305C"/>
    <w:rsid w:val="000447C4"/>
    <w:rsid w:val="00044B46"/>
    <w:rsid w:val="00045708"/>
    <w:rsid w:val="0004634F"/>
    <w:rsid w:val="00046CCD"/>
    <w:rsid w:val="000474FB"/>
    <w:rsid w:val="00050086"/>
    <w:rsid w:val="00050240"/>
    <w:rsid w:val="000517D1"/>
    <w:rsid w:val="00053A92"/>
    <w:rsid w:val="00054839"/>
    <w:rsid w:val="000550BE"/>
    <w:rsid w:val="00055DAE"/>
    <w:rsid w:val="000567A8"/>
    <w:rsid w:val="00056C43"/>
    <w:rsid w:val="00056E9C"/>
    <w:rsid w:val="000573A8"/>
    <w:rsid w:val="00057F36"/>
    <w:rsid w:val="000635C3"/>
    <w:rsid w:val="00065CF0"/>
    <w:rsid w:val="0006603D"/>
    <w:rsid w:val="0006780A"/>
    <w:rsid w:val="00067A1F"/>
    <w:rsid w:val="0007040E"/>
    <w:rsid w:val="00071721"/>
    <w:rsid w:val="00071876"/>
    <w:rsid w:val="00071AEE"/>
    <w:rsid w:val="00072D60"/>
    <w:rsid w:val="0007683E"/>
    <w:rsid w:val="00076A06"/>
    <w:rsid w:val="00084AA3"/>
    <w:rsid w:val="000866EF"/>
    <w:rsid w:val="0008730F"/>
    <w:rsid w:val="00091882"/>
    <w:rsid w:val="0009236F"/>
    <w:rsid w:val="00097DAE"/>
    <w:rsid w:val="000A06C0"/>
    <w:rsid w:val="000A18AF"/>
    <w:rsid w:val="000A1F30"/>
    <w:rsid w:val="000A2D0C"/>
    <w:rsid w:val="000A4AE7"/>
    <w:rsid w:val="000A5056"/>
    <w:rsid w:val="000A5402"/>
    <w:rsid w:val="000A71DF"/>
    <w:rsid w:val="000A71EA"/>
    <w:rsid w:val="000A780E"/>
    <w:rsid w:val="000B0962"/>
    <w:rsid w:val="000B15D4"/>
    <w:rsid w:val="000B24B6"/>
    <w:rsid w:val="000B2CBC"/>
    <w:rsid w:val="000B2E95"/>
    <w:rsid w:val="000B4BFC"/>
    <w:rsid w:val="000B5E4E"/>
    <w:rsid w:val="000B5EE2"/>
    <w:rsid w:val="000B6DEB"/>
    <w:rsid w:val="000C1D5D"/>
    <w:rsid w:val="000C4B43"/>
    <w:rsid w:val="000C57B1"/>
    <w:rsid w:val="000C57BC"/>
    <w:rsid w:val="000C5CF3"/>
    <w:rsid w:val="000C5F61"/>
    <w:rsid w:val="000C6B21"/>
    <w:rsid w:val="000C6FA7"/>
    <w:rsid w:val="000D1DD6"/>
    <w:rsid w:val="000D7981"/>
    <w:rsid w:val="000D7CF2"/>
    <w:rsid w:val="000E0A46"/>
    <w:rsid w:val="000E1327"/>
    <w:rsid w:val="000E1EAC"/>
    <w:rsid w:val="000E2E50"/>
    <w:rsid w:val="000E5779"/>
    <w:rsid w:val="000E6577"/>
    <w:rsid w:val="000E7A19"/>
    <w:rsid w:val="000F2720"/>
    <w:rsid w:val="000F2772"/>
    <w:rsid w:val="000F3062"/>
    <w:rsid w:val="000F4397"/>
    <w:rsid w:val="000F472A"/>
    <w:rsid w:val="000F5B1B"/>
    <w:rsid w:val="00100F09"/>
    <w:rsid w:val="001023A6"/>
    <w:rsid w:val="00104A1B"/>
    <w:rsid w:val="001059FE"/>
    <w:rsid w:val="00106D9F"/>
    <w:rsid w:val="0010766D"/>
    <w:rsid w:val="001108AD"/>
    <w:rsid w:val="00111EBC"/>
    <w:rsid w:val="00112841"/>
    <w:rsid w:val="0011540B"/>
    <w:rsid w:val="001177DD"/>
    <w:rsid w:val="00120608"/>
    <w:rsid w:val="0012135C"/>
    <w:rsid w:val="001234B0"/>
    <w:rsid w:val="00124748"/>
    <w:rsid w:val="00124DDF"/>
    <w:rsid w:val="00125B57"/>
    <w:rsid w:val="00127589"/>
    <w:rsid w:val="00130D45"/>
    <w:rsid w:val="001324CA"/>
    <w:rsid w:val="00132691"/>
    <w:rsid w:val="001332C7"/>
    <w:rsid w:val="00135145"/>
    <w:rsid w:val="00135324"/>
    <w:rsid w:val="00135334"/>
    <w:rsid w:val="0013559F"/>
    <w:rsid w:val="0013603A"/>
    <w:rsid w:val="00140B35"/>
    <w:rsid w:val="001412D4"/>
    <w:rsid w:val="00142B5F"/>
    <w:rsid w:val="00144F64"/>
    <w:rsid w:val="00145BB9"/>
    <w:rsid w:val="00145D62"/>
    <w:rsid w:val="00146438"/>
    <w:rsid w:val="0014725C"/>
    <w:rsid w:val="001477CB"/>
    <w:rsid w:val="001478A6"/>
    <w:rsid w:val="00150527"/>
    <w:rsid w:val="00151567"/>
    <w:rsid w:val="00153087"/>
    <w:rsid w:val="00154633"/>
    <w:rsid w:val="00156CFE"/>
    <w:rsid w:val="00156D76"/>
    <w:rsid w:val="0015715D"/>
    <w:rsid w:val="00157413"/>
    <w:rsid w:val="00160621"/>
    <w:rsid w:val="00160711"/>
    <w:rsid w:val="00163746"/>
    <w:rsid w:val="00163894"/>
    <w:rsid w:val="00163E17"/>
    <w:rsid w:val="00165024"/>
    <w:rsid w:val="00165E3F"/>
    <w:rsid w:val="001665F6"/>
    <w:rsid w:val="00166F9E"/>
    <w:rsid w:val="00167880"/>
    <w:rsid w:val="00167B42"/>
    <w:rsid w:val="001738FB"/>
    <w:rsid w:val="0017471C"/>
    <w:rsid w:val="00174A5E"/>
    <w:rsid w:val="001756B0"/>
    <w:rsid w:val="00180B2C"/>
    <w:rsid w:val="00180D45"/>
    <w:rsid w:val="00182EE9"/>
    <w:rsid w:val="00183483"/>
    <w:rsid w:val="00183722"/>
    <w:rsid w:val="00183AD1"/>
    <w:rsid w:val="00185FA2"/>
    <w:rsid w:val="00186932"/>
    <w:rsid w:val="00187870"/>
    <w:rsid w:val="00187D5A"/>
    <w:rsid w:val="00187D93"/>
    <w:rsid w:val="0019164D"/>
    <w:rsid w:val="00191CA8"/>
    <w:rsid w:val="0019279C"/>
    <w:rsid w:val="00193C8A"/>
    <w:rsid w:val="00193C9B"/>
    <w:rsid w:val="001944B3"/>
    <w:rsid w:val="001957B5"/>
    <w:rsid w:val="00195C70"/>
    <w:rsid w:val="00196622"/>
    <w:rsid w:val="001972D7"/>
    <w:rsid w:val="001979D0"/>
    <w:rsid w:val="00197D90"/>
    <w:rsid w:val="001A160D"/>
    <w:rsid w:val="001A28F6"/>
    <w:rsid w:val="001A362D"/>
    <w:rsid w:val="001A3A8E"/>
    <w:rsid w:val="001A5626"/>
    <w:rsid w:val="001A5ABE"/>
    <w:rsid w:val="001A5DA5"/>
    <w:rsid w:val="001A78F2"/>
    <w:rsid w:val="001B1335"/>
    <w:rsid w:val="001B1CB3"/>
    <w:rsid w:val="001B2831"/>
    <w:rsid w:val="001B3CDA"/>
    <w:rsid w:val="001B4065"/>
    <w:rsid w:val="001B4ADC"/>
    <w:rsid w:val="001B5910"/>
    <w:rsid w:val="001B70B4"/>
    <w:rsid w:val="001B7272"/>
    <w:rsid w:val="001B7652"/>
    <w:rsid w:val="001B7A95"/>
    <w:rsid w:val="001C0493"/>
    <w:rsid w:val="001C28AD"/>
    <w:rsid w:val="001C7607"/>
    <w:rsid w:val="001D0FD1"/>
    <w:rsid w:val="001D39F2"/>
    <w:rsid w:val="001D4342"/>
    <w:rsid w:val="001D5697"/>
    <w:rsid w:val="001D59CD"/>
    <w:rsid w:val="001D6858"/>
    <w:rsid w:val="001D7FCB"/>
    <w:rsid w:val="001E0BB3"/>
    <w:rsid w:val="001E2075"/>
    <w:rsid w:val="001E2B99"/>
    <w:rsid w:val="001E48C6"/>
    <w:rsid w:val="001E69B6"/>
    <w:rsid w:val="001E6A62"/>
    <w:rsid w:val="001E7537"/>
    <w:rsid w:val="001E774E"/>
    <w:rsid w:val="001E777C"/>
    <w:rsid w:val="001F261A"/>
    <w:rsid w:val="001F3C61"/>
    <w:rsid w:val="001F4DBB"/>
    <w:rsid w:val="001F59F8"/>
    <w:rsid w:val="00200453"/>
    <w:rsid w:val="00202402"/>
    <w:rsid w:val="00202D07"/>
    <w:rsid w:val="0020312D"/>
    <w:rsid w:val="00204ECC"/>
    <w:rsid w:val="00205DE7"/>
    <w:rsid w:val="00206E33"/>
    <w:rsid w:val="002072A0"/>
    <w:rsid w:val="00210519"/>
    <w:rsid w:val="00211793"/>
    <w:rsid w:val="00212B10"/>
    <w:rsid w:val="002134ED"/>
    <w:rsid w:val="00216B68"/>
    <w:rsid w:val="00216CEB"/>
    <w:rsid w:val="002224FE"/>
    <w:rsid w:val="00222C4B"/>
    <w:rsid w:val="002244C0"/>
    <w:rsid w:val="00227078"/>
    <w:rsid w:val="00227259"/>
    <w:rsid w:val="00230433"/>
    <w:rsid w:val="00231312"/>
    <w:rsid w:val="0023569F"/>
    <w:rsid w:val="002359EC"/>
    <w:rsid w:val="002366DE"/>
    <w:rsid w:val="00241B17"/>
    <w:rsid w:val="00241C81"/>
    <w:rsid w:val="00244557"/>
    <w:rsid w:val="00245F23"/>
    <w:rsid w:val="0024601E"/>
    <w:rsid w:val="002478B6"/>
    <w:rsid w:val="00250447"/>
    <w:rsid w:val="002540EE"/>
    <w:rsid w:val="002547B9"/>
    <w:rsid w:val="002554DD"/>
    <w:rsid w:val="00256ABE"/>
    <w:rsid w:val="00257462"/>
    <w:rsid w:val="00257A1C"/>
    <w:rsid w:val="0026193D"/>
    <w:rsid w:val="00261E6A"/>
    <w:rsid w:val="00263D24"/>
    <w:rsid w:val="0026408B"/>
    <w:rsid w:val="00266EB4"/>
    <w:rsid w:val="00270406"/>
    <w:rsid w:val="00271CD0"/>
    <w:rsid w:val="0027234C"/>
    <w:rsid w:val="00272705"/>
    <w:rsid w:val="00272E3E"/>
    <w:rsid w:val="002730BE"/>
    <w:rsid w:val="00273960"/>
    <w:rsid w:val="00275A37"/>
    <w:rsid w:val="00276327"/>
    <w:rsid w:val="00277C46"/>
    <w:rsid w:val="0028015C"/>
    <w:rsid w:val="0028147C"/>
    <w:rsid w:val="00281795"/>
    <w:rsid w:val="00281DF9"/>
    <w:rsid w:val="00284FEE"/>
    <w:rsid w:val="002850E3"/>
    <w:rsid w:val="00285C00"/>
    <w:rsid w:val="00287522"/>
    <w:rsid w:val="00287DCC"/>
    <w:rsid w:val="00287E2F"/>
    <w:rsid w:val="002932A8"/>
    <w:rsid w:val="0029579B"/>
    <w:rsid w:val="0029584B"/>
    <w:rsid w:val="0029657A"/>
    <w:rsid w:val="00296945"/>
    <w:rsid w:val="002A0163"/>
    <w:rsid w:val="002A1054"/>
    <w:rsid w:val="002A1948"/>
    <w:rsid w:val="002A3EC8"/>
    <w:rsid w:val="002A4A34"/>
    <w:rsid w:val="002A4EE3"/>
    <w:rsid w:val="002A4F60"/>
    <w:rsid w:val="002B3DCB"/>
    <w:rsid w:val="002B6A8B"/>
    <w:rsid w:val="002C0877"/>
    <w:rsid w:val="002C2AE2"/>
    <w:rsid w:val="002C2D6C"/>
    <w:rsid w:val="002C2FAC"/>
    <w:rsid w:val="002C3A50"/>
    <w:rsid w:val="002C3C42"/>
    <w:rsid w:val="002C5D7F"/>
    <w:rsid w:val="002D0DCE"/>
    <w:rsid w:val="002D301E"/>
    <w:rsid w:val="002D4296"/>
    <w:rsid w:val="002D6A53"/>
    <w:rsid w:val="002D6D04"/>
    <w:rsid w:val="002E284A"/>
    <w:rsid w:val="002E2B10"/>
    <w:rsid w:val="002E2EDD"/>
    <w:rsid w:val="002E73B0"/>
    <w:rsid w:val="002E73EE"/>
    <w:rsid w:val="002F0CB5"/>
    <w:rsid w:val="002F1502"/>
    <w:rsid w:val="002F1E5F"/>
    <w:rsid w:val="002F2069"/>
    <w:rsid w:val="002F2A4E"/>
    <w:rsid w:val="002F2CD2"/>
    <w:rsid w:val="002F341E"/>
    <w:rsid w:val="002F5F8B"/>
    <w:rsid w:val="002F71A2"/>
    <w:rsid w:val="00300C19"/>
    <w:rsid w:val="003041AD"/>
    <w:rsid w:val="003044DF"/>
    <w:rsid w:val="00305283"/>
    <w:rsid w:val="003122D6"/>
    <w:rsid w:val="0031279F"/>
    <w:rsid w:val="0031280C"/>
    <w:rsid w:val="003132AB"/>
    <w:rsid w:val="00313750"/>
    <w:rsid w:val="00314A3E"/>
    <w:rsid w:val="00314AC5"/>
    <w:rsid w:val="00315214"/>
    <w:rsid w:val="003162D2"/>
    <w:rsid w:val="00316792"/>
    <w:rsid w:val="00316F00"/>
    <w:rsid w:val="003175B6"/>
    <w:rsid w:val="003179F7"/>
    <w:rsid w:val="00317C9A"/>
    <w:rsid w:val="0032012E"/>
    <w:rsid w:val="003205BB"/>
    <w:rsid w:val="00321B51"/>
    <w:rsid w:val="00323716"/>
    <w:rsid w:val="003252CA"/>
    <w:rsid w:val="0033216F"/>
    <w:rsid w:val="00334FAD"/>
    <w:rsid w:val="00336D96"/>
    <w:rsid w:val="003370F5"/>
    <w:rsid w:val="0033727B"/>
    <w:rsid w:val="00337D43"/>
    <w:rsid w:val="00344F07"/>
    <w:rsid w:val="0034625A"/>
    <w:rsid w:val="003469C8"/>
    <w:rsid w:val="00347393"/>
    <w:rsid w:val="0034795F"/>
    <w:rsid w:val="00347963"/>
    <w:rsid w:val="00350C8C"/>
    <w:rsid w:val="00351706"/>
    <w:rsid w:val="00352504"/>
    <w:rsid w:val="00353DB4"/>
    <w:rsid w:val="003550AF"/>
    <w:rsid w:val="00355231"/>
    <w:rsid w:val="003556EA"/>
    <w:rsid w:val="00355EA4"/>
    <w:rsid w:val="003568FC"/>
    <w:rsid w:val="00360D68"/>
    <w:rsid w:val="003635BE"/>
    <w:rsid w:val="00365045"/>
    <w:rsid w:val="00366B5E"/>
    <w:rsid w:val="0036796A"/>
    <w:rsid w:val="003705DF"/>
    <w:rsid w:val="00370AC8"/>
    <w:rsid w:val="00371C44"/>
    <w:rsid w:val="00372D3B"/>
    <w:rsid w:val="0037334E"/>
    <w:rsid w:val="00373C23"/>
    <w:rsid w:val="00374416"/>
    <w:rsid w:val="00375EBB"/>
    <w:rsid w:val="00376290"/>
    <w:rsid w:val="003775F9"/>
    <w:rsid w:val="0038062F"/>
    <w:rsid w:val="00384D0C"/>
    <w:rsid w:val="00385081"/>
    <w:rsid w:val="00385683"/>
    <w:rsid w:val="00385BB5"/>
    <w:rsid w:val="00385CEA"/>
    <w:rsid w:val="003860A5"/>
    <w:rsid w:val="00386BC2"/>
    <w:rsid w:val="00386DC9"/>
    <w:rsid w:val="0038725C"/>
    <w:rsid w:val="003877A5"/>
    <w:rsid w:val="00390E69"/>
    <w:rsid w:val="0039348B"/>
    <w:rsid w:val="00393DFE"/>
    <w:rsid w:val="0039438A"/>
    <w:rsid w:val="003A01D5"/>
    <w:rsid w:val="003A0444"/>
    <w:rsid w:val="003A2125"/>
    <w:rsid w:val="003A2155"/>
    <w:rsid w:val="003A2555"/>
    <w:rsid w:val="003A2A9B"/>
    <w:rsid w:val="003A6A58"/>
    <w:rsid w:val="003A6F33"/>
    <w:rsid w:val="003B125E"/>
    <w:rsid w:val="003B1BE3"/>
    <w:rsid w:val="003B2200"/>
    <w:rsid w:val="003B2AE6"/>
    <w:rsid w:val="003B3965"/>
    <w:rsid w:val="003B3E89"/>
    <w:rsid w:val="003B4202"/>
    <w:rsid w:val="003B4E9C"/>
    <w:rsid w:val="003B72C8"/>
    <w:rsid w:val="003B7C08"/>
    <w:rsid w:val="003C31C9"/>
    <w:rsid w:val="003C34AC"/>
    <w:rsid w:val="003C3746"/>
    <w:rsid w:val="003C4961"/>
    <w:rsid w:val="003C5224"/>
    <w:rsid w:val="003C6051"/>
    <w:rsid w:val="003C7C5D"/>
    <w:rsid w:val="003D05DB"/>
    <w:rsid w:val="003D0AD2"/>
    <w:rsid w:val="003D2CCD"/>
    <w:rsid w:val="003D3251"/>
    <w:rsid w:val="003D5B0B"/>
    <w:rsid w:val="003D70E2"/>
    <w:rsid w:val="003E053A"/>
    <w:rsid w:val="003E0B53"/>
    <w:rsid w:val="003E0BCC"/>
    <w:rsid w:val="003E0F5E"/>
    <w:rsid w:val="003E1070"/>
    <w:rsid w:val="003E1764"/>
    <w:rsid w:val="003E18D7"/>
    <w:rsid w:val="003E3B78"/>
    <w:rsid w:val="003E447C"/>
    <w:rsid w:val="003E4E08"/>
    <w:rsid w:val="003E5ADB"/>
    <w:rsid w:val="003E70FC"/>
    <w:rsid w:val="003E7121"/>
    <w:rsid w:val="003F0CC1"/>
    <w:rsid w:val="003F14E9"/>
    <w:rsid w:val="003F188F"/>
    <w:rsid w:val="003F1C03"/>
    <w:rsid w:val="003F39D8"/>
    <w:rsid w:val="003F3F7A"/>
    <w:rsid w:val="003F5913"/>
    <w:rsid w:val="003F76D6"/>
    <w:rsid w:val="003F7CB0"/>
    <w:rsid w:val="00400896"/>
    <w:rsid w:val="00400E47"/>
    <w:rsid w:val="0040170A"/>
    <w:rsid w:val="00401A8C"/>
    <w:rsid w:val="00402253"/>
    <w:rsid w:val="004024F8"/>
    <w:rsid w:val="004034DE"/>
    <w:rsid w:val="00404465"/>
    <w:rsid w:val="00404707"/>
    <w:rsid w:val="00405696"/>
    <w:rsid w:val="0041159A"/>
    <w:rsid w:val="00411796"/>
    <w:rsid w:val="00412440"/>
    <w:rsid w:val="004134D1"/>
    <w:rsid w:val="004135D5"/>
    <w:rsid w:val="00413A4A"/>
    <w:rsid w:val="00417937"/>
    <w:rsid w:val="00417E64"/>
    <w:rsid w:val="004209ED"/>
    <w:rsid w:val="00422172"/>
    <w:rsid w:val="004226DA"/>
    <w:rsid w:val="00422895"/>
    <w:rsid w:val="004234D4"/>
    <w:rsid w:val="0042389B"/>
    <w:rsid w:val="00423C9E"/>
    <w:rsid w:val="00424267"/>
    <w:rsid w:val="0042500C"/>
    <w:rsid w:val="00425E3F"/>
    <w:rsid w:val="004305A8"/>
    <w:rsid w:val="0043229B"/>
    <w:rsid w:val="00432731"/>
    <w:rsid w:val="00433085"/>
    <w:rsid w:val="004353D5"/>
    <w:rsid w:val="00436B8A"/>
    <w:rsid w:val="00437474"/>
    <w:rsid w:val="0043767F"/>
    <w:rsid w:val="004401E5"/>
    <w:rsid w:val="0044130D"/>
    <w:rsid w:val="00441CC3"/>
    <w:rsid w:val="004427F6"/>
    <w:rsid w:val="00443CA0"/>
    <w:rsid w:val="00443CEE"/>
    <w:rsid w:val="00450578"/>
    <w:rsid w:val="00450E14"/>
    <w:rsid w:val="0045133A"/>
    <w:rsid w:val="00455802"/>
    <w:rsid w:val="00455EA6"/>
    <w:rsid w:val="0045724A"/>
    <w:rsid w:val="00457C4E"/>
    <w:rsid w:val="004602BC"/>
    <w:rsid w:val="0046137C"/>
    <w:rsid w:val="00462C65"/>
    <w:rsid w:val="00462ED6"/>
    <w:rsid w:val="00465435"/>
    <w:rsid w:val="004655E0"/>
    <w:rsid w:val="0046585B"/>
    <w:rsid w:val="004674E7"/>
    <w:rsid w:val="00467B14"/>
    <w:rsid w:val="00467D07"/>
    <w:rsid w:val="00470B19"/>
    <w:rsid w:val="00471001"/>
    <w:rsid w:val="004711CF"/>
    <w:rsid w:val="00471642"/>
    <w:rsid w:val="00472E64"/>
    <w:rsid w:val="00473C36"/>
    <w:rsid w:val="00474EDA"/>
    <w:rsid w:val="004764B2"/>
    <w:rsid w:val="00476901"/>
    <w:rsid w:val="0047746D"/>
    <w:rsid w:val="00477811"/>
    <w:rsid w:val="0048122B"/>
    <w:rsid w:val="00481566"/>
    <w:rsid w:val="004815FA"/>
    <w:rsid w:val="00481BF9"/>
    <w:rsid w:val="00481D80"/>
    <w:rsid w:val="004824FA"/>
    <w:rsid w:val="00482C20"/>
    <w:rsid w:val="00483174"/>
    <w:rsid w:val="00484011"/>
    <w:rsid w:val="004841F1"/>
    <w:rsid w:val="00487937"/>
    <w:rsid w:val="00493E86"/>
    <w:rsid w:val="004943DE"/>
    <w:rsid w:val="0049512C"/>
    <w:rsid w:val="004951D9"/>
    <w:rsid w:val="00497C5B"/>
    <w:rsid w:val="004A1E3A"/>
    <w:rsid w:val="004A464B"/>
    <w:rsid w:val="004A619F"/>
    <w:rsid w:val="004A6549"/>
    <w:rsid w:val="004B023A"/>
    <w:rsid w:val="004B0944"/>
    <w:rsid w:val="004B302A"/>
    <w:rsid w:val="004B4140"/>
    <w:rsid w:val="004B418E"/>
    <w:rsid w:val="004B46D6"/>
    <w:rsid w:val="004B5230"/>
    <w:rsid w:val="004B523B"/>
    <w:rsid w:val="004B672E"/>
    <w:rsid w:val="004C0BF6"/>
    <w:rsid w:val="004C164C"/>
    <w:rsid w:val="004C247B"/>
    <w:rsid w:val="004C4464"/>
    <w:rsid w:val="004C4481"/>
    <w:rsid w:val="004C4AEA"/>
    <w:rsid w:val="004C66F0"/>
    <w:rsid w:val="004C6F6C"/>
    <w:rsid w:val="004C76DB"/>
    <w:rsid w:val="004C77DB"/>
    <w:rsid w:val="004C7B38"/>
    <w:rsid w:val="004D0430"/>
    <w:rsid w:val="004D150D"/>
    <w:rsid w:val="004D1DAA"/>
    <w:rsid w:val="004D1EAE"/>
    <w:rsid w:val="004D1F4F"/>
    <w:rsid w:val="004D2198"/>
    <w:rsid w:val="004D4BF5"/>
    <w:rsid w:val="004D4EB1"/>
    <w:rsid w:val="004D52F6"/>
    <w:rsid w:val="004D5421"/>
    <w:rsid w:val="004E003C"/>
    <w:rsid w:val="004E16EB"/>
    <w:rsid w:val="004E3341"/>
    <w:rsid w:val="004E4E0D"/>
    <w:rsid w:val="004E6665"/>
    <w:rsid w:val="004E6696"/>
    <w:rsid w:val="004F056A"/>
    <w:rsid w:val="004F4750"/>
    <w:rsid w:val="004F601A"/>
    <w:rsid w:val="004F634E"/>
    <w:rsid w:val="004F67A8"/>
    <w:rsid w:val="004F6AFA"/>
    <w:rsid w:val="005001FB"/>
    <w:rsid w:val="00500828"/>
    <w:rsid w:val="00503AE8"/>
    <w:rsid w:val="005070F6"/>
    <w:rsid w:val="0050783A"/>
    <w:rsid w:val="00510931"/>
    <w:rsid w:val="00510FCF"/>
    <w:rsid w:val="00511526"/>
    <w:rsid w:val="005115FA"/>
    <w:rsid w:val="00511E20"/>
    <w:rsid w:val="00512B83"/>
    <w:rsid w:val="00512E42"/>
    <w:rsid w:val="00514EF0"/>
    <w:rsid w:val="005150E2"/>
    <w:rsid w:val="0051548B"/>
    <w:rsid w:val="0051582C"/>
    <w:rsid w:val="005172FA"/>
    <w:rsid w:val="005206DE"/>
    <w:rsid w:val="005212E5"/>
    <w:rsid w:val="005213F2"/>
    <w:rsid w:val="00522A50"/>
    <w:rsid w:val="005237F7"/>
    <w:rsid w:val="00525E61"/>
    <w:rsid w:val="0052706D"/>
    <w:rsid w:val="00527225"/>
    <w:rsid w:val="00527FD3"/>
    <w:rsid w:val="0053516E"/>
    <w:rsid w:val="0053557D"/>
    <w:rsid w:val="00535C94"/>
    <w:rsid w:val="00540445"/>
    <w:rsid w:val="005405CD"/>
    <w:rsid w:val="005410E3"/>
    <w:rsid w:val="0054168D"/>
    <w:rsid w:val="005424B7"/>
    <w:rsid w:val="005442E1"/>
    <w:rsid w:val="005463DE"/>
    <w:rsid w:val="00546802"/>
    <w:rsid w:val="00546DC2"/>
    <w:rsid w:val="00546EBF"/>
    <w:rsid w:val="00547F63"/>
    <w:rsid w:val="005524A2"/>
    <w:rsid w:val="005542E8"/>
    <w:rsid w:val="0055626B"/>
    <w:rsid w:val="00556630"/>
    <w:rsid w:val="0055686D"/>
    <w:rsid w:val="00560398"/>
    <w:rsid w:val="0056050F"/>
    <w:rsid w:val="0056188B"/>
    <w:rsid w:val="00563BA0"/>
    <w:rsid w:val="00564F3C"/>
    <w:rsid w:val="005657B5"/>
    <w:rsid w:val="00570B9F"/>
    <w:rsid w:val="00571919"/>
    <w:rsid w:val="00575286"/>
    <w:rsid w:val="005759F6"/>
    <w:rsid w:val="005778D4"/>
    <w:rsid w:val="005800EE"/>
    <w:rsid w:val="00581E61"/>
    <w:rsid w:val="0058213E"/>
    <w:rsid w:val="00582C0A"/>
    <w:rsid w:val="005842A9"/>
    <w:rsid w:val="00584B03"/>
    <w:rsid w:val="00585032"/>
    <w:rsid w:val="005869D6"/>
    <w:rsid w:val="00587895"/>
    <w:rsid w:val="00587C72"/>
    <w:rsid w:val="00593177"/>
    <w:rsid w:val="0059331E"/>
    <w:rsid w:val="00594619"/>
    <w:rsid w:val="00595328"/>
    <w:rsid w:val="005A088E"/>
    <w:rsid w:val="005A09AF"/>
    <w:rsid w:val="005A1C45"/>
    <w:rsid w:val="005A211D"/>
    <w:rsid w:val="005A2ADC"/>
    <w:rsid w:val="005A33F6"/>
    <w:rsid w:val="005A36ED"/>
    <w:rsid w:val="005A3933"/>
    <w:rsid w:val="005A3D7C"/>
    <w:rsid w:val="005A59E5"/>
    <w:rsid w:val="005A66D2"/>
    <w:rsid w:val="005A7664"/>
    <w:rsid w:val="005B10E4"/>
    <w:rsid w:val="005B11F3"/>
    <w:rsid w:val="005B27CB"/>
    <w:rsid w:val="005B669F"/>
    <w:rsid w:val="005B7440"/>
    <w:rsid w:val="005C00EF"/>
    <w:rsid w:val="005C08BD"/>
    <w:rsid w:val="005C09B8"/>
    <w:rsid w:val="005C4577"/>
    <w:rsid w:val="005C48B5"/>
    <w:rsid w:val="005D05A4"/>
    <w:rsid w:val="005D22B5"/>
    <w:rsid w:val="005D6F14"/>
    <w:rsid w:val="005E0675"/>
    <w:rsid w:val="005E148A"/>
    <w:rsid w:val="005E2150"/>
    <w:rsid w:val="005E2995"/>
    <w:rsid w:val="005E47D3"/>
    <w:rsid w:val="005E5522"/>
    <w:rsid w:val="005E6E66"/>
    <w:rsid w:val="005E7F3A"/>
    <w:rsid w:val="005F00A3"/>
    <w:rsid w:val="005F0E47"/>
    <w:rsid w:val="005F3FEF"/>
    <w:rsid w:val="005F44D8"/>
    <w:rsid w:val="005F52F2"/>
    <w:rsid w:val="005F5BB6"/>
    <w:rsid w:val="00600C4F"/>
    <w:rsid w:val="0060287B"/>
    <w:rsid w:val="00603FA6"/>
    <w:rsid w:val="00604F6C"/>
    <w:rsid w:val="006053F7"/>
    <w:rsid w:val="00605437"/>
    <w:rsid w:val="00605D50"/>
    <w:rsid w:val="0060628E"/>
    <w:rsid w:val="0060690F"/>
    <w:rsid w:val="00607F7C"/>
    <w:rsid w:val="006102DA"/>
    <w:rsid w:val="0061170C"/>
    <w:rsid w:val="0061301C"/>
    <w:rsid w:val="00613BCF"/>
    <w:rsid w:val="00615A4A"/>
    <w:rsid w:val="00616090"/>
    <w:rsid w:val="00620806"/>
    <w:rsid w:val="00620A34"/>
    <w:rsid w:val="006213A8"/>
    <w:rsid w:val="00622D0D"/>
    <w:rsid w:val="00623D44"/>
    <w:rsid w:val="00624175"/>
    <w:rsid w:val="0062795C"/>
    <w:rsid w:val="006315A3"/>
    <w:rsid w:val="00632E5E"/>
    <w:rsid w:val="0063311F"/>
    <w:rsid w:val="006363E9"/>
    <w:rsid w:val="00637A47"/>
    <w:rsid w:val="006410E1"/>
    <w:rsid w:val="00642A96"/>
    <w:rsid w:val="00651309"/>
    <w:rsid w:val="00651A35"/>
    <w:rsid w:val="00652441"/>
    <w:rsid w:val="00656836"/>
    <w:rsid w:val="006579A2"/>
    <w:rsid w:val="00660163"/>
    <w:rsid w:val="006621C2"/>
    <w:rsid w:val="00663FB5"/>
    <w:rsid w:val="00664400"/>
    <w:rsid w:val="00664B69"/>
    <w:rsid w:val="00666016"/>
    <w:rsid w:val="00667C89"/>
    <w:rsid w:val="0067034B"/>
    <w:rsid w:val="006711EE"/>
    <w:rsid w:val="00672D78"/>
    <w:rsid w:val="00674F2E"/>
    <w:rsid w:val="00675F9A"/>
    <w:rsid w:val="006760DB"/>
    <w:rsid w:val="00676819"/>
    <w:rsid w:val="00676B4C"/>
    <w:rsid w:val="006809BB"/>
    <w:rsid w:val="006809FD"/>
    <w:rsid w:val="00684B02"/>
    <w:rsid w:val="00685DF1"/>
    <w:rsid w:val="00685F8E"/>
    <w:rsid w:val="00686CDE"/>
    <w:rsid w:val="00687620"/>
    <w:rsid w:val="00687FC7"/>
    <w:rsid w:val="006912DE"/>
    <w:rsid w:val="00691D1F"/>
    <w:rsid w:val="00691D23"/>
    <w:rsid w:val="00692A7B"/>
    <w:rsid w:val="00692DEB"/>
    <w:rsid w:val="0069483B"/>
    <w:rsid w:val="00696053"/>
    <w:rsid w:val="0069708C"/>
    <w:rsid w:val="0069797F"/>
    <w:rsid w:val="00697BAE"/>
    <w:rsid w:val="006A06C4"/>
    <w:rsid w:val="006A09E0"/>
    <w:rsid w:val="006A1BFE"/>
    <w:rsid w:val="006A1CE5"/>
    <w:rsid w:val="006A23A9"/>
    <w:rsid w:val="006A64E3"/>
    <w:rsid w:val="006B0053"/>
    <w:rsid w:val="006B1D56"/>
    <w:rsid w:val="006B28E0"/>
    <w:rsid w:val="006B4DDC"/>
    <w:rsid w:val="006B4F6F"/>
    <w:rsid w:val="006B51BD"/>
    <w:rsid w:val="006B5E55"/>
    <w:rsid w:val="006B7BFC"/>
    <w:rsid w:val="006B7E26"/>
    <w:rsid w:val="006C164E"/>
    <w:rsid w:val="006C20E8"/>
    <w:rsid w:val="006C4C4B"/>
    <w:rsid w:val="006C4DA7"/>
    <w:rsid w:val="006C54FB"/>
    <w:rsid w:val="006C588A"/>
    <w:rsid w:val="006C6276"/>
    <w:rsid w:val="006D16EB"/>
    <w:rsid w:val="006D25A1"/>
    <w:rsid w:val="006D276A"/>
    <w:rsid w:val="006D2C05"/>
    <w:rsid w:val="006D4F93"/>
    <w:rsid w:val="006D68DA"/>
    <w:rsid w:val="006E14E9"/>
    <w:rsid w:val="006E19C9"/>
    <w:rsid w:val="006E1CE5"/>
    <w:rsid w:val="006E3D4A"/>
    <w:rsid w:val="006E455D"/>
    <w:rsid w:val="006E4595"/>
    <w:rsid w:val="006E47DB"/>
    <w:rsid w:val="006E4C74"/>
    <w:rsid w:val="006E57E0"/>
    <w:rsid w:val="006E6F02"/>
    <w:rsid w:val="006F0536"/>
    <w:rsid w:val="006F09A2"/>
    <w:rsid w:val="006F0A80"/>
    <w:rsid w:val="006F0E6D"/>
    <w:rsid w:val="006F36C6"/>
    <w:rsid w:val="006F3908"/>
    <w:rsid w:val="006F441D"/>
    <w:rsid w:val="006F6856"/>
    <w:rsid w:val="006F6EB7"/>
    <w:rsid w:val="006F79C6"/>
    <w:rsid w:val="00701532"/>
    <w:rsid w:val="00701764"/>
    <w:rsid w:val="0070323D"/>
    <w:rsid w:val="007039E8"/>
    <w:rsid w:val="0070540F"/>
    <w:rsid w:val="00705C24"/>
    <w:rsid w:val="007102B5"/>
    <w:rsid w:val="007120FA"/>
    <w:rsid w:val="00713412"/>
    <w:rsid w:val="00713EFA"/>
    <w:rsid w:val="0071430D"/>
    <w:rsid w:val="007145D0"/>
    <w:rsid w:val="00714639"/>
    <w:rsid w:val="00716CB4"/>
    <w:rsid w:val="00716F94"/>
    <w:rsid w:val="00721180"/>
    <w:rsid w:val="00721719"/>
    <w:rsid w:val="00722A5F"/>
    <w:rsid w:val="00724632"/>
    <w:rsid w:val="007247E2"/>
    <w:rsid w:val="007248CC"/>
    <w:rsid w:val="00724907"/>
    <w:rsid w:val="00731796"/>
    <w:rsid w:val="007341A7"/>
    <w:rsid w:val="00734D99"/>
    <w:rsid w:val="007376E0"/>
    <w:rsid w:val="00743C6F"/>
    <w:rsid w:val="007464A5"/>
    <w:rsid w:val="00746BFC"/>
    <w:rsid w:val="007474AA"/>
    <w:rsid w:val="0074799C"/>
    <w:rsid w:val="00750C87"/>
    <w:rsid w:val="00750D72"/>
    <w:rsid w:val="0075188E"/>
    <w:rsid w:val="007523C6"/>
    <w:rsid w:val="007528F3"/>
    <w:rsid w:val="00752CA2"/>
    <w:rsid w:val="00753AF7"/>
    <w:rsid w:val="00754696"/>
    <w:rsid w:val="00755179"/>
    <w:rsid w:val="00756878"/>
    <w:rsid w:val="0076001C"/>
    <w:rsid w:val="00760C52"/>
    <w:rsid w:val="00760E12"/>
    <w:rsid w:val="00761AC5"/>
    <w:rsid w:val="00762196"/>
    <w:rsid w:val="00762BC8"/>
    <w:rsid w:val="00762CC0"/>
    <w:rsid w:val="00762D95"/>
    <w:rsid w:val="00762EEA"/>
    <w:rsid w:val="00763CF3"/>
    <w:rsid w:val="00766AD3"/>
    <w:rsid w:val="00770649"/>
    <w:rsid w:val="00772293"/>
    <w:rsid w:val="007724FE"/>
    <w:rsid w:val="00772D68"/>
    <w:rsid w:val="00774689"/>
    <w:rsid w:val="00776981"/>
    <w:rsid w:val="00777F41"/>
    <w:rsid w:val="00781AE3"/>
    <w:rsid w:val="00782FBD"/>
    <w:rsid w:val="00783C75"/>
    <w:rsid w:val="00784619"/>
    <w:rsid w:val="00784735"/>
    <w:rsid w:val="00785281"/>
    <w:rsid w:val="0078627B"/>
    <w:rsid w:val="00786A2C"/>
    <w:rsid w:val="0078765B"/>
    <w:rsid w:val="00790AB6"/>
    <w:rsid w:val="00790FD5"/>
    <w:rsid w:val="00792084"/>
    <w:rsid w:val="007921F1"/>
    <w:rsid w:val="00792255"/>
    <w:rsid w:val="00792ACC"/>
    <w:rsid w:val="0079438B"/>
    <w:rsid w:val="00794E32"/>
    <w:rsid w:val="007952C7"/>
    <w:rsid w:val="0079611F"/>
    <w:rsid w:val="007A0D73"/>
    <w:rsid w:val="007A396D"/>
    <w:rsid w:val="007A3B85"/>
    <w:rsid w:val="007A5AF8"/>
    <w:rsid w:val="007A7286"/>
    <w:rsid w:val="007B0066"/>
    <w:rsid w:val="007B02C4"/>
    <w:rsid w:val="007B0534"/>
    <w:rsid w:val="007B2C7C"/>
    <w:rsid w:val="007B305A"/>
    <w:rsid w:val="007B3B01"/>
    <w:rsid w:val="007B412C"/>
    <w:rsid w:val="007B48E5"/>
    <w:rsid w:val="007B6A12"/>
    <w:rsid w:val="007B6A5C"/>
    <w:rsid w:val="007B7C44"/>
    <w:rsid w:val="007C1CC4"/>
    <w:rsid w:val="007C46D2"/>
    <w:rsid w:val="007C5666"/>
    <w:rsid w:val="007C58E7"/>
    <w:rsid w:val="007C7D3D"/>
    <w:rsid w:val="007D08AC"/>
    <w:rsid w:val="007D105D"/>
    <w:rsid w:val="007D181F"/>
    <w:rsid w:val="007D4C12"/>
    <w:rsid w:val="007D582E"/>
    <w:rsid w:val="007D5CE8"/>
    <w:rsid w:val="007D6163"/>
    <w:rsid w:val="007E10AD"/>
    <w:rsid w:val="007E21F7"/>
    <w:rsid w:val="007E4606"/>
    <w:rsid w:val="007E575D"/>
    <w:rsid w:val="007E57CD"/>
    <w:rsid w:val="007E6AEF"/>
    <w:rsid w:val="007E6EEA"/>
    <w:rsid w:val="007E7106"/>
    <w:rsid w:val="007F24D7"/>
    <w:rsid w:val="007F326B"/>
    <w:rsid w:val="007F3396"/>
    <w:rsid w:val="007F5776"/>
    <w:rsid w:val="007F77D9"/>
    <w:rsid w:val="00800CBE"/>
    <w:rsid w:val="008010B7"/>
    <w:rsid w:val="00801C78"/>
    <w:rsid w:val="008040FC"/>
    <w:rsid w:val="00813958"/>
    <w:rsid w:val="008139F0"/>
    <w:rsid w:val="008146F4"/>
    <w:rsid w:val="00814C8A"/>
    <w:rsid w:val="0081538F"/>
    <w:rsid w:val="00815C7D"/>
    <w:rsid w:val="00817941"/>
    <w:rsid w:val="00821817"/>
    <w:rsid w:val="00821B99"/>
    <w:rsid w:val="008229E4"/>
    <w:rsid w:val="00823547"/>
    <w:rsid w:val="008261AB"/>
    <w:rsid w:val="008269AB"/>
    <w:rsid w:val="00831496"/>
    <w:rsid w:val="008318A2"/>
    <w:rsid w:val="00832969"/>
    <w:rsid w:val="00834A83"/>
    <w:rsid w:val="00834C91"/>
    <w:rsid w:val="00835A4F"/>
    <w:rsid w:val="00835CA7"/>
    <w:rsid w:val="00836E5D"/>
    <w:rsid w:val="008370D4"/>
    <w:rsid w:val="008378E4"/>
    <w:rsid w:val="008414AD"/>
    <w:rsid w:val="00841869"/>
    <w:rsid w:val="00842001"/>
    <w:rsid w:val="008428D9"/>
    <w:rsid w:val="0084784C"/>
    <w:rsid w:val="0085024A"/>
    <w:rsid w:val="00851772"/>
    <w:rsid w:val="008519EF"/>
    <w:rsid w:val="008525FB"/>
    <w:rsid w:val="0085298A"/>
    <w:rsid w:val="00853631"/>
    <w:rsid w:val="0085561B"/>
    <w:rsid w:val="00855F79"/>
    <w:rsid w:val="008573F6"/>
    <w:rsid w:val="008576C8"/>
    <w:rsid w:val="0086086F"/>
    <w:rsid w:val="00860C11"/>
    <w:rsid w:val="00862762"/>
    <w:rsid w:val="00865568"/>
    <w:rsid w:val="0087015A"/>
    <w:rsid w:val="008705AC"/>
    <w:rsid w:val="008709CD"/>
    <w:rsid w:val="008715E7"/>
    <w:rsid w:val="0087215D"/>
    <w:rsid w:val="0087280A"/>
    <w:rsid w:val="00872A7F"/>
    <w:rsid w:val="00873CA0"/>
    <w:rsid w:val="008748B4"/>
    <w:rsid w:val="008758C0"/>
    <w:rsid w:val="008758C5"/>
    <w:rsid w:val="00875F86"/>
    <w:rsid w:val="00876528"/>
    <w:rsid w:val="00877A38"/>
    <w:rsid w:val="00880AB0"/>
    <w:rsid w:val="00882C8F"/>
    <w:rsid w:val="00883E8C"/>
    <w:rsid w:val="0088467A"/>
    <w:rsid w:val="00884DB9"/>
    <w:rsid w:val="00884E40"/>
    <w:rsid w:val="0088574A"/>
    <w:rsid w:val="00885F3C"/>
    <w:rsid w:val="00885FA6"/>
    <w:rsid w:val="0089234C"/>
    <w:rsid w:val="008936D6"/>
    <w:rsid w:val="00895D86"/>
    <w:rsid w:val="0089626E"/>
    <w:rsid w:val="008A2864"/>
    <w:rsid w:val="008A5CFA"/>
    <w:rsid w:val="008B12FA"/>
    <w:rsid w:val="008B17F1"/>
    <w:rsid w:val="008B208C"/>
    <w:rsid w:val="008B21DF"/>
    <w:rsid w:val="008B5CB2"/>
    <w:rsid w:val="008B5E2A"/>
    <w:rsid w:val="008B65FF"/>
    <w:rsid w:val="008B6884"/>
    <w:rsid w:val="008C0CE1"/>
    <w:rsid w:val="008C1C62"/>
    <w:rsid w:val="008C266E"/>
    <w:rsid w:val="008C3803"/>
    <w:rsid w:val="008C408E"/>
    <w:rsid w:val="008C59E7"/>
    <w:rsid w:val="008C67D2"/>
    <w:rsid w:val="008D1407"/>
    <w:rsid w:val="008D1818"/>
    <w:rsid w:val="008D25E4"/>
    <w:rsid w:val="008D389A"/>
    <w:rsid w:val="008D426B"/>
    <w:rsid w:val="008D73E4"/>
    <w:rsid w:val="008D7466"/>
    <w:rsid w:val="008E05A5"/>
    <w:rsid w:val="008E0683"/>
    <w:rsid w:val="008E2849"/>
    <w:rsid w:val="008E3091"/>
    <w:rsid w:val="008E3BDF"/>
    <w:rsid w:val="008E3D8D"/>
    <w:rsid w:val="008E54FB"/>
    <w:rsid w:val="008F1413"/>
    <w:rsid w:val="008F15EA"/>
    <w:rsid w:val="008F1838"/>
    <w:rsid w:val="008F31A7"/>
    <w:rsid w:val="008F3D10"/>
    <w:rsid w:val="008F4A1A"/>
    <w:rsid w:val="008F6269"/>
    <w:rsid w:val="008F6863"/>
    <w:rsid w:val="008F6B43"/>
    <w:rsid w:val="008F7FAD"/>
    <w:rsid w:val="00900691"/>
    <w:rsid w:val="009007FD"/>
    <w:rsid w:val="00901810"/>
    <w:rsid w:val="00902DD9"/>
    <w:rsid w:val="009038B9"/>
    <w:rsid w:val="00904099"/>
    <w:rsid w:val="00904D73"/>
    <w:rsid w:val="00905805"/>
    <w:rsid w:val="00910E9D"/>
    <w:rsid w:val="00911486"/>
    <w:rsid w:val="009129CA"/>
    <w:rsid w:val="009137E5"/>
    <w:rsid w:val="009145B6"/>
    <w:rsid w:val="00915C4D"/>
    <w:rsid w:val="00915F04"/>
    <w:rsid w:val="009206B6"/>
    <w:rsid w:val="0092390E"/>
    <w:rsid w:val="00924334"/>
    <w:rsid w:val="009247EC"/>
    <w:rsid w:val="009252DC"/>
    <w:rsid w:val="009252F5"/>
    <w:rsid w:val="009263C1"/>
    <w:rsid w:val="00930987"/>
    <w:rsid w:val="00930D2D"/>
    <w:rsid w:val="0093665E"/>
    <w:rsid w:val="009406FB"/>
    <w:rsid w:val="00940A01"/>
    <w:rsid w:val="00941B4F"/>
    <w:rsid w:val="009443D2"/>
    <w:rsid w:val="009446B0"/>
    <w:rsid w:val="00945779"/>
    <w:rsid w:val="00945B19"/>
    <w:rsid w:val="00950E5F"/>
    <w:rsid w:val="009518C0"/>
    <w:rsid w:val="00952A5E"/>
    <w:rsid w:val="00953282"/>
    <w:rsid w:val="009532A3"/>
    <w:rsid w:val="009541C8"/>
    <w:rsid w:val="00954637"/>
    <w:rsid w:val="00955B51"/>
    <w:rsid w:val="00961BBE"/>
    <w:rsid w:val="00962B24"/>
    <w:rsid w:val="00962D05"/>
    <w:rsid w:val="00963905"/>
    <w:rsid w:val="00963CE3"/>
    <w:rsid w:val="00964A56"/>
    <w:rsid w:val="00964F18"/>
    <w:rsid w:val="0096684A"/>
    <w:rsid w:val="00970D6F"/>
    <w:rsid w:val="0097105D"/>
    <w:rsid w:val="00972A3E"/>
    <w:rsid w:val="00974203"/>
    <w:rsid w:val="00974424"/>
    <w:rsid w:val="0097486C"/>
    <w:rsid w:val="00975DA8"/>
    <w:rsid w:val="00977682"/>
    <w:rsid w:val="0098152E"/>
    <w:rsid w:val="00981AFA"/>
    <w:rsid w:val="00982D8F"/>
    <w:rsid w:val="009835FE"/>
    <w:rsid w:val="009839D1"/>
    <w:rsid w:val="00983BAD"/>
    <w:rsid w:val="00983DD0"/>
    <w:rsid w:val="0098436F"/>
    <w:rsid w:val="00984DE2"/>
    <w:rsid w:val="00986790"/>
    <w:rsid w:val="00987666"/>
    <w:rsid w:val="00987F76"/>
    <w:rsid w:val="009901CD"/>
    <w:rsid w:val="009902B8"/>
    <w:rsid w:val="009904B3"/>
    <w:rsid w:val="009914FD"/>
    <w:rsid w:val="0099249C"/>
    <w:rsid w:val="00992DAF"/>
    <w:rsid w:val="00993088"/>
    <w:rsid w:val="00993F33"/>
    <w:rsid w:val="00994182"/>
    <w:rsid w:val="00994B94"/>
    <w:rsid w:val="00995AC1"/>
    <w:rsid w:val="0099664F"/>
    <w:rsid w:val="00997A86"/>
    <w:rsid w:val="00997D5D"/>
    <w:rsid w:val="009A0447"/>
    <w:rsid w:val="009A1666"/>
    <w:rsid w:val="009A2CE5"/>
    <w:rsid w:val="009A4B59"/>
    <w:rsid w:val="009A737F"/>
    <w:rsid w:val="009A79E1"/>
    <w:rsid w:val="009A7A15"/>
    <w:rsid w:val="009B010C"/>
    <w:rsid w:val="009B1576"/>
    <w:rsid w:val="009B1998"/>
    <w:rsid w:val="009B1B10"/>
    <w:rsid w:val="009B36EF"/>
    <w:rsid w:val="009B43C0"/>
    <w:rsid w:val="009B4A51"/>
    <w:rsid w:val="009B5449"/>
    <w:rsid w:val="009B6EE0"/>
    <w:rsid w:val="009B72FB"/>
    <w:rsid w:val="009B7E88"/>
    <w:rsid w:val="009C28B1"/>
    <w:rsid w:val="009C3794"/>
    <w:rsid w:val="009C3FD1"/>
    <w:rsid w:val="009C61AD"/>
    <w:rsid w:val="009C6697"/>
    <w:rsid w:val="009C71AD"/>
    <w:rsid w:val="009C7C28"/>
    <w:rsid w:val="009D0499"/>
    <w:rsid w:val="009D1A49"/>
    <w:rsid w:val="009D2236"/>
    <w:rsid w:val="009D373D"/>
    <w:rsid w:val="009D39D9"/>
    <w:rsid w:val="009D436B"/>
    <w:rsid w:val="009D4477"/>
    <w:rsid w:val="009D5927"/>
    <w:rsid w:val="009D7B2C"/>
    <w:rsid w:val="009E0801"/>
    <w:rsid w:val="009E1D05"/>
    <w:rsid w:val="009E7FDB"/>
    <w:rsid w:val="009F339C"/>
    <w:rsid w:val="009F3580"/>
    <w:rsid w:val="009F5457"/>
    <w:rsid w:val="009F5E5C"/>
    <w:rsid w:val="009F6C74"/>
    <w:rsid w:val="009F7DE0"/>
    <w:rsid w:val="00A00C56"/>
    <w:rsid w:val="00A0222E"/>
    <w:rsid w:val="00A03112"/>
    <w:rsid w:val="00A03193"/>
    <w:rsid w:val="00A05539"/>
    <w:rsid w:val="00A05973"/>
    <w:rsid w:val="00A06A97"/>
    <w:rsid w:val="00A06BAA"/>
    <w:rsid w:val="00A06BCB"/>
    <w:rsid w:val="00A074D2"/>
    <w:rsid w:val="00A1003C"/>
    <w:rsid w:val="00A1041B"/>
    <w:rsid w:val="00A1050C"/>
    <w:rsid w:val="00A11B0C"/>
    <w:rsid w:val="00A1233C"/>
    <w:rsid w:val="00A13392"/>
    <w:rsid w:val="00A1453A"/>
    <w:rsid w:val="00A14FBB"/>
    <w:rsid w:val="00A17842"/>
    <w:rsid w:val="00A20BA8"/>
    <w:rsid w:val="00A22381"/>
    <w:rsid w:val="00A2355C"/>
    <w:rsid w:val="00A242DB"/>
    <w:rsid w:val="00A251E4"/>
    <w:rsid w:val="00A304DC"/>
    <w:rsid w:val="00A30918"/>
    <w:rsid w:val="00A33588"/>
    <w:rsid w:val="00A33B35"/>
    <w:rsid w:val="00A33E90"/>
    <w:rsid w:val="00A347A8"/>
    <w:rsid w:val="00A36419"/>
    <w:rsid w:val="00A3798A"/>
    <w:rsid w:val="00A412BF"/>
    <w:rsid w:val="00A44758"/>
    <w:rsid w:val="00A44921"/>
    <w:rsid w:val="00A44AD9"/>
    <w:rsid w:val="00A464EB"/>
    <w:rsid w:val="00A47192"/>
    <w:rsid w:val="00A50AD4"/>
    <w:rsid w:val="00A50BCA"/>
    <w:rsid w:val="00A5384A"/>
    <w:rsid w:val="00A54058"/>
    <w:rsid w:val="00A551B5"/>
    <w:rsid w:val="00A55F8F"/>
    <w:rsid w:val="00A578C2"/>
    <w:rsid w:val="00A60F93"/>
    <w:rsid w:val="00A62C98"/>
    <w:rsid w:val="00A70B3C"/>
    <w:rsid w:val="00A71060"/>
    <w:rsid w:val="00A71E32"/>
    <w:rsid w:val="00A72652"/>
    <w:rsid w:val="00A726C7"/>
    <w:rsid w:val="00A72A4F"/>
    <w:rsid w:val="00A75D1C"/>
    <w:rsid w:val="00A777ED"/>
    <w:rsid w:val="00A809AA"/>
    <w:rsid w:val="00A80D73"/>
    <w:rsid w:val="00A82771"/>
    <w:rsid w:val="00A83BEA"/>
    <w:rsid w:val="00A849B3"/>
    <w:rsid w:val="00A8510D"/>
    <w:rsid w:val="00A86AF3"/>
    <w:rsid w:val="00A900DB"/>
    <w:rsid w:val="00A90AFF"/>
    <w:rsid w:val="00A90BDC"/>
    <w:rsid w:val="00A911DF"/>
    <w:rsid w:val="00A926F4"/>
    <w:rsid w:val="00A93369"/>
    <w:rsid w:val="00A95477"/>
    <w:rsid w:val="00A96584"/>
    <w:rsid w:val="00A96682"/>
    <w:rsid w:val="00A96965"/>
    <w:rsid w:val="00A975A9"/>
    <w:rsid w:val="00AA069C"/>
    <w:rsid w:val="00AA0A44"/>
    <w:rsid w:val="00AA3192"/>
    <w:rsid w:val="00AA54AF"/>
    <w:rsid w:val="00AA56D9"/>
    <w:rsid w:val="00AA67A5"/>
    <w:rsid w:val="00AA6B54"/>
    <w:rsid w:val="00AB027F"/>
    <w:rsid w:val="00AB0486"/>
    <w:rsid w:val="00AB138D"/>
    <w:rsid w:val="00AB251E"/>
    <w:rsid w:val="00AB3608"/>
    <w:rsid w:val="00AB4BF6"/>
    <w:rsid w:val="00AB53BC"/>
    <w:rsid w:val="00AB5B7D"/>
    <w:rsid w:val="00AB76EC"/>
    <w:rsid w:val="00AB7A55"/>
    <w:rsid w:val="00AB7E81"/>
    <w:rsid w:val="00AC1272"/>
    <w:rsid w:val="00AC13CB"/>
    <w:rsid w:val="00AC1C97"/>
    <w:rsid w:val="00AC2E97"/>
    <w:rsid w:val="00AC5C48"/>
    <w:rsid w:val="00AC63E3"/>
    <w:rsid w:val="00AC67D9"/>
    <w:rsid w:val="00AC785A"/>
    <w:rsid w:val="00AC7942"/>
    <w:rsid w:val="00AC7ECF"/>
    <w:rsid w:val="00AD19B1"/>
    <w:rsid w:val="00AD3899"/>
    <w:rsid w:val="00AD3F08"/>
    <w:rsid w:val="00AD64E9"/>
    <w:rsid w:val="00AD6973"/>
    <w:rsid w:val="00AE33AB"/>
    <w:rsid w:val="00AE375F"/>
    <w:rsid w:val="00AE77F8"/>
    <w:rsid w:val="00AF0CF4"/>
    <w:rsid w:val="00AF20A4"/>
    <w:rsid w:val="00AF2252"/>
    <w:rsid w:val="00AF3C8A"/>
    <w:rsid w:val="00AF5DA4"/>
    <w:rsid w:val="00AF706E"/>
    <w:rsid w:val="00AF7A4D"/>
    <w:rsid w:val="00B0098C"/>
    <w:rsid w:val="00B00B12"/>
    <w:rsid w:val="00B021C4"/>
    <w:rsid w:val="00B05B27"/>
    <w:rsid w:val="00B10857"/>
    <w:rsid w:val="00B1129F"/>
    <w:rsid w:val="00B11CE9"/>
    <w:rsid w:val="00B11D61"/>
    <w:rsid w:val="00B12F51"/>
    <w:rsid w:val="00B15E82"/>
    <w:rsid w:val="00B200F7"/>
    <w:rsid w:val="00B2071F"/>
    <w:rsid w:val="00B218A2"/>
    <w:rsid w:val="00B2751E"/>
    <w:rsid w:val="00B30C71"/>
    <w:rsid w:val="00B33D1A"/>
    <w:rsid w:val="00B3650C"/>
    <w:rsid w:val="00B3726F"/>
    <w:rsid w:val="00B37547"/>
    <w:rsid w:val="00B40E26"/>
    <w:rsid w:val="00B415A5"/>
    <w:rsid w:val="00B41E6E"/>
    <w:rsid w:val="00B431CA"/>
    <w:rsid w:val="00B437B3"/>
    <w:rsid w:val="00B43AFE"/>
    <w:rsid w:val="00B445D0"/>
    <w:rsid w:val="00B46C4F"/>
    <w:rsid w:val="00B47055"/>
    <w:rsid w:val="00B50256"/>
    <w:rsid w:val="00B51E02"/>
    <w:rsid w:val="00B53A5C"/>
    <w:rsid w:val="00B5416E"/>
    <w:rsid w:val="00B57B47"/>
    <w:rsid w:val="00B60F2E"/>
    <w:rsid w:val="00B61B96"/>
    <w:rsid w:val="00B63AFF"/>
    <w:rsid w:val="00B63CF3"/>
    <w:rsid w:val="00B64456"/>
    <w:rsid w:val="00B64842"/>
    <w:rsid w:val="00B64BFA"/>
    <w:rsid w:val="00B6556D"/>
    <w:rsid w:val="00B658F6"/>
    <w:rsid w:val="00B66809"/>
    <w:rsid w:val="00B67309"/>
    <w:rsid w:val="00B70D8B"/>
    <w:rsid w:val="00B71E63"/>
    <w:rsid w:val="00B73672"/>
    <w:rsid w:val="00B74399"/>
    <w:rsid w:val="00B77F69"/>
    <w:rsid w:val="00B80E89"/>
    <w:rsid w:val="00B818B9"/>
    <w:rsid w:val="00B83212"/>
    <w:rsid w:val="00B83BF3"/>
    <w:rsid w:val="00B84A1A"/>
    <w:rsid w:val="00B84BD5"/>
    <w:rsid w:val="00B85648"/>
    <w:rsid w:val="00B85DE4"/>
    <w:rsid w:val="00B86DB4"/>
    <w:rsid w:val="00B87AAD"/>
    <w:rsid w:val="00B91A31"/>
    <w:rsid w:val="00B91F09"/>
    <w:rsid w:val="00B95048"/>
    <w:rsid w:val="00B975F7"/>
    <w:rsid w:val="00BA0041"/>
    <w:rsid w:val="00BA00B7"/>
    <w:rsid w:val="00BA08A8"/>
    <w:rsid w:val="00BA1ECC"/>
    <w:rsid w:val="00BA25A7"/>
    <w:rsid w:val="00BA2C49"/>
    <w:rsid w:val="00BA50D9"/>
    <w:rsid w:val="00BA6325"/>
    <w:rsid w:val="00BA6C28"/>
    <w:rsid w:val="00BA6DB4"/>
    <w:rsid w:val="00BB0048"/>
    <w:rsid w:val="00BB05E8"/>
    <w:rsid w:val="00BB0813"/>
    <w:rsid w:val="00BB090C"/>
    <w:rsid w:val="00BB32A4"/>
    <w:rsid w:val="00BB6DFB"/>
    <w:rsid w:val="00BB7519"/>
    <w:rsid w:val="00BB789B"/>
    <w:rsid w:val="00BC009A"/>
    <w:rsid w:val="00BC2361"/>
    <w:rsid w:val="00BC32E5"/>
    <w:rsid w:val="00BC3F3C"/>
    <w:rsid w:val="00BC5076"/>
    <w:rsid w:val="00BC5BB2"/>
    <w:rsid w:val="00BD03A5"/>
    <w:rsid w:val="00BD29CB"/>
    <w:rsid w:val="00BD2C53"/>
    <w:rsid w:val="00BD3D02"/>
    <w:rsid w:val="00BD3F0E"/>
    <w:rsid w:val="00BD4599"/>
    <w:rsid w:val="00BD56AF"/>
    <w:rsid w:val="00BE04E9"/>
    <w:rsid w:val="00BE08BE"/>
    <w:rsid w:val="00BE2D44"/>
    <w:rsid w:val="00BE3E80"/>
    <w:rsid w:val="00BE4A4C"/>
    <w:rsid w:val="00BE54A7"/>
    <w:rsid w:val="00BE5A15"/>
    <w:rsid w:val="00BE738E"/>
    <w:rsid w:val="00BF11A1"/>
    <w:rsid w:val="00BF28C9"/>
    <w:rsid w:val="00BF2B02"/>
    <w:rsid w:val="00BF3C5F"/>
    <w:rsid w:val="00BF3F54"/>
    <w:rsid w:val="00BF4AC1"/>
    <w:rsid w:val="00BF7EC3"/>
    <w:rsid w:val="00C00697"/>
    <w:rsid w:val="00C01FAA"/>
    <w:rsid w:val="00C030BC"/>
    <w:rsid w:val="00C0376C"/>
    <w:rsid w:val="00C03790"/>
    <w:rsid w:val="00C04988"/>
    <w:rsid w:val="00C04D80"/>
    <w:rsid w:val="00C064BF"/>
    <w:rsid w:val="00C06D77"/>
    <w:rsid w:val="00C07B54"/>
    <w:rsid w:val="00C11DC0"/>
    <w:rsid w:val="00C1452B"/>
    <w:rsid w:val="00C14A84"/>
    <w:rsid w:val="00C14BA6"/>
    <w:rsid w:val="00C15F59"/>
    <w:rsid w:val="00C15FE6"/>
    <w:rsid w:val="00C171C5"/>
    <w:rsid w:val="00C22266"/>
    <w:rsid w:val="00C237ED"/>
    <w:rsid w:val="00C23A2C"/>
    <w:rsid w:val="00C24A7D"/>
    <w:rsid w:val="00C30006"/>
    <w:rsid w:val="00C3140D"/>
    <w:rsid w:val="00C3208F"/>
    <w:rsid w:val="00C321F7"/>
    <w:rsid w:val="00C32D2C"/>
    <w:rsid w:val="00C33768"/>
    <w:rsid w:val="00C33E5F"/>
    <w:rsid w:val="00C3485C"/>
    <w:rsid w:val="00C35202"/>
    <w:rsid w:val="00C3570A"/>
    <w:rsid w:val="00C35B2C"/>
    <w:rsid w:val="00C36375"/>
    <w:rsid w:val="00C4099D"/>
    <w:rsid w:val="00C415EC"/>
    <w:rsid w:val="00C4259A"/>
    <w:rsid w:val="00C42691"/>
    <w:rsid w:val="00C43771"/>
    <w:rsid w:val="00C4416B"/>
    <w:rsid w:val="00C44435"/>
    <w:rsid w:val="00C44EB5"/>
    <w:rsid w:val="00C45689"/>
    <w:rsid w:val="00C45D4C"/>
    <w:rsid w:val="00C470C5"/>
    <w:rsid w:val="00C47C26"/>
    <w:rsid w:val="00C51240"/>
    <w:rsid w:val="00C51BC3"/>
    <w:rsid w:val="00C5298A"/>
    <w:rsid w:val="00C536B1"/>
    <w:rsid w:val="00C544A4"/>
    <w:rsid w:val="00C54657"/>
    <w:rsid w:val="00C5492B"/>
    <w:rsid w:val="00C5559E"/>
    <w:rsid w:val="00C55AB1"/>
    <w:rsid w:val="00C564B4"/>
    <w:rsid w:val="00C56F1B"/>
    <w:rsid w:val="00C56F1E"/>
    <w:rsid w:val="00C57092"/>
    <w:rsid w:val="00C57BED"/>
    <w:rsid w:val="00C60706"/>
    <w:rsid w:val="00C62CE2"/>
    <w:rsid w:val="00C65199"/>
    <w:rsid w:val="00C651E9"/>
    <w:rsid w:val="00C67F50"/>
    <w:rsid w:val="00C70D18"/>
    <w:rsid w:val="00C72073"/>
    <w:rsid w:val="00C75DE2"/>
    <w:rsid w:val="00C768E5"/>
    <w:rsid w:val="00C805E4"/>
    <w:rsid w:val="00C830E9"/>
    <w:rsid w:val="00C83BA7"/>
    <w:rsid w:val="00C841D2"/>
    <w:rsid w:val="00C8438A"/>
    <w:rsid w:val="00C84761"/>
    <w:rsid w:val="00C8501F"/>
    <w:rsid w:val="00C85DF4"/>
    <w:rsid w:val="00C86816"/>
    <w:rsid w:val="00C87399"/>
    <w:rsid w:val="00C901D8"/>
    <w:rsid w:val="00C905F5"/>
    <w:rsid w:val="00C909ED"/>
    <w:rsid w:val="00C926E3"/>
    <w:rsid w:val="00C972D6"/>
    <w:rsid w:val="00CA0683"/>
    <w:rsid w:val="00CA1356"/>
    <w:rsid w:val="00CA2004"/>
    <w:rsid w:val="00CA3442"/>
    <w:rsid w:val="00CA5840"/>
    <w:rsid w:val="00CA5B99"/>
    <w:rsid w:val="00CA6886"/>
    <w:rsid w:val="00CB0933"/>
    <w:rsid w:val="00CB0D20"/>
    <w:rsid w:val="00CB334D"/>
    <w:rsid w:val="00CB49C6"/>
    <w:rsid w:val="00CB5456"/>
    <w:rsid w:val="00CB563E"/>
    <w:rsid w:val="00CB56D5"/>
    <w:rsid w:val="00CB5975"/>
    <w:rsid w:val="00CB623F"/>
    <w:rsid w:val="00CC105A"/>
    <w:rsid w:val="00CC1126"/>
    <w:rsid w:val="00CC189C"/>
    <w:rsid w:val="00CC1D6C"/>
    <w:rsid w:val="00CC409E"/>
    <w:rsid w:val="00CC4DAB"/>
    <w:rsid w:val="00CC5259"/>
    <w:rsid w:val="00CC59B6"/>
    <w:rsid w:val="00CC7188"/>
    <w:rsid w:val="00CC76CD"/>
    <w:rsid w:val="00CC7ADD"/>
    <w:rsid w:val="00CD0CF6"/>
    <w:rsid w:val="00CD1EA8"/>
    <w:rsid w:val="00CD2BA3"/>
    <w:rsid w:val="00CD5C88"/>
    <w:rsid w:val="00CD6297"/>
    <w:rsid w:val="00CD6949"/>
    <w:rsid w:val="00CE2931"/>
    <w:rsid w:val="00CE38C0"/>
    <w:rsid w:val="00CE41D8"/>
    <w:rsid w:val="00CE5333"/>
    <w:rsid w:val="00CE67E1"/>
    <w:rsid w:val="00CE6DC1"/>
    <w:rsid w:val="00CE6FD4"/>
    <w:rsid w:val="00CF08A0"/>
    <w:rsid w:val="00CF0D4E"/>
    <w:rsid w:val="00CF394C"/>
    <w:rsid w:val="00CF47B3"/>
    <w:rsid w:val="00CF5ABD"/>
    <w:rsid w:val="00CF6092"/>
    <w:rsid w:val="00CF63CE"/>
    <w:rsid w:val="00CF71C8"/>
    <w:rsid w:val="00D00E2F"/>
    <w:rsid w:val="00D05BFE"/>
    <w:rsid w:val="00D05CBB"/>
    <w:rsid w:val="00D062B2"/>
    <w:rsid w:val="00D065B1"/>
    <w:rsid w:val="00D067C1"/>
    <w:rsid w:val="00D06816"/>
    <w:rsid w:val="00D07161"/>
    <w:rsid w:val="00D0770C"/>
    <w:rsid w:val="00D07DAA"/>
    <w:rsid w:val="00D11F6A"/>
    <w:rsid w:val="00D13265"/>
    <w:rsid w:val="00D1343B"/>
    <w:rsid w:val="00D13B13"/>
    <w:rsid w:val="00D16669"/>
    <w:rsid w:val="00D16E78"/>
    <w:rsid w:val="00D201D3"/>
    <w:rsid w:val="00D214F6"/>
    <w:rsid w:val="00D21D66"/>
    <w:rsid w:val="00D21E26"/>
    <w:rsid w:val="00D23A87"/>
    <w:rsid w:val="00D23E69"/>
    <w:rsid w:val="00D267D5"/>
    <w:rsid w:val="00D26A64"/>
    <w:rsid w:val="00D30C36"/>
    <w:rsid w:val="00D31720"/>
    <w:rsid w:val="00D333FC"/>
    <w:rsid w:val="00D334E9"/>
    <w:rsid w:val="00D3626D"/>
    <w:rsid w:val="00D36A9D"/>
    <w:rsid w:val="00D36F8B"/>
    <w:rsid w:val="00D40546"/>
    <w:rsid w:val="00D42A92"/>
    <w:rsid w:val="00D42D69"/>
    <w:rsid w:val="00D4739C"/>
    <w:rsid w:val="00D52B9A"/>
    <w:rsid w:val="00D5367E"/>
    <w:rsid w:val="00D53B1E"/>
    <w:rsid w:val="00D55176"/>
    <w:rsid w:val="00D55943"/>
    <w:rsid w:val="00D57A66"/>
    <w:rsid w:val="00D60749"/>
    <w:rsid w:val="00D6105F"/>
    <w:rsid w:val="00D61AD2"/>
    <w:rsid w:val="00D61C2D"/>
    <w:rsid w:val="00D61EA5"/>
    <w:rsid w:val="00D67B84"/>
    <w:rsid w:val="00D71805"/>
    <w:rsid w:val="00D71C1C"/>
    <w:rsid w:val="00D75750"/>
    <w:rsid w:val="00D76BF1"/>
    <w:rsid w:val="00D77947"/>
    <w:rsid w:val="00D83E58"/>
    <w:rsid w:val="00D84656"/>
    <w:rsid w:val="00D84EF0"/>
    <w:rsid w:val="00D8524E"/>
    <w:rsid w:val="00D861ED"/>
    <w:rsid w:val="00D86649"/>
    <w:rsid w:val="00D870CD"/>
    <w:rsid w:val="00D873E0"/>
    <w:rsid w:val="00D941E3"/>
    <w:rsid w:val="00D94632"/>
    <w:rsid w:val="00D94BE8"/>
    <w:rsid w:val="00D94F8B"/>
    <w:rsid w:val="00D9588E"/>
    <w:rsid w:val="00D95FBF"/>
    <w:rsid w:val="00DA01A4"/>
    <w:rsid w:val="00DA0692"/>
    <w:rsid w:val="00DA1A2F"/>
    <w:rsid w:val="00DA1B0F"/>
    <w:rsid w:val="00DA2474"/>
    <w:rsid w:val="00DA2E26"/>
    <w:rsid w:val="00DA5627"/>
    <w:rsid w:val="00DA5988"/>
    <w:rsid w:val="00DA762F"/>
    <w:rsid w:val="00DA7C2B"/>
    <w:rsid w:val="00DA7EC8"/>
    <w:rsid w:val="00DB01FF"/>
    <w:rsid w:val="00DB56FC"/>
    <w:rsid w:val="00DB5C09"/>
    <w:rsid w:val="00DB680C"/>
    <w:rsid w:val="00DB6E5C"/>
    <w:rsid w:val="00DB7F78"/>
    <w:rsid w:val="00DC0184"/>
    <w:rsid w:val="00DC0228"/>
    <w:rsid w:val="00DC214E"/>
    <w:rsid w:val="00DC2AD2"/>
    <w:rsid w:val="00DC317C"/>
    <w:rsid w:val="00DC4FF2"/>
    <w:rsid w:val="00DC52EA"/>
    <w:rsid w:val="00DC603F"/>
    <w:rsid w:val="00DC6230"/>
    <w:rsid w:val="00DC79CC"/>
    <w:rsid w:val="00DD21A8"/>
    <w:rsid w:val="00DD240E"/>
    <w:rsid w:val="00DD33D7"/>
    <w:rsid w:val="00DD3CF7"/>
    <w:rsid w:val="00DD4DF6"/>
    <w:rsid w:val="00DD5E65"/>
    <w:rsid w:val="00DD7284"/>
    <w:rsid w:val="00DD7BF0"/>
    <w:rsid w:val="00DE289E"/>
    <w:rsid w:val="00DE3BD5"/>
    <w:rsid w:val="00DE3C8F"/>
    <w:rsid w:val="00DF33F1"/>
    <w:rsid w:val="00DF7345"/>
    <w:rsid w:val="00DF79A4"/>
    <w:rsid w:val="00E02389"/>
    <w:rsid w:val="00E04919"/>
    <w:rsid w:val="00E05BB0"/>
    <w:rsid w:val="00E06D0A"/>
    <w:rsid w:val="00E07AA0"/>
    <w:rsid w:val="00E1007A"/>
    <w:rsid w:val="00E101B7"/>
    <w:rsid w:val="00E10D39"/>
    <w:rsid w:val="00E12B75"/>
    <w:rsid w:val="00E134F4"/>
    <w:rsid w:val="00E147D9"/>
    <w:rsid w:val="00E162E0"/>
    <w:rsid w:val="00E165A2"/>
    <w:rsid w:val="00E172F9"/>
    <w:rsid w:val="00E20294"/>
    <w:rsid w:val="00E20A6F"/>
    <w:rsid w:val="00E20D75"/>
    <w:rsid w:val="00E231FE"/>
    <w:rsid w:val="00E23568"/>
    <w:rsid w:val="00E245B5"/>
    <w:rsid w:val="00E2689B"/>
    <w:rsid w:val="00E26E7A"/>
    <w:rsid w:val="00E30789"/>
    <w:rsid w:val="00E3233A"/>
    <w:rsid w:val="00E334DE"/>
    <w:rsid w:val="00E3353C"/>
    <w:rsid w:val="00E33921"/>
    <w:rsid w:val="00E33E1B"/>
    <w:rsid w:val="00E33E9B"/>
    <w:rsid w:val="00E33EFD"/>
    <w:rsid w:val="00E33F25"/>
    <w:rsid w:val="00E34D3E"/>
    <w:rsid w:val="00E35AB7"/>
    <w:rsid w:val="00E36125"/>
    <w:rsid w:val="00E363C2"/>
    <w:rsid w:val="00E41812"/>
    <w:rsid w:val="00E418D0"/>
    <w:rsid w:val="00E445D9"/>
    <w:rsid w:val="00E46BAF"/>
    <w:rsid w:val="00E47FEE"/>
    <w:rsid w:val="00E5138B"/>
    <w:rsid w:val="00E5146F"/>
    <w:rsid w:val="00E51604"/>
    <w:rsid w:val="00E5311D"/>
    <w:rsid w:val="00E54A49"/>
    <w:rsid w:val="00E5509F"/>
    <w:rsid w:val="00E560F9"/>
    <w:rsid w:val="00E56460"/>
    <w:rsid w:val="00E62BD2"/>
    <w:rsid w:val="00E6406C"/>
    <w:rsid w:val="00E644A6"/>
    <w:rsid w:val="00E647FB"/>
    <w:rsid w:val="00E65D45"/>
    <w:rsid w:val="00E668AD"/>
    <w:rsid w:val="00E67DC9"/>
    <w:rsid w:val="00E710F8"/>
    <w:rsid w:val="00E720E9"/>
    <w:rsid w:val="00E72145"/>
    <w:rsid w:val="00E72DD6"/>
    <w:rsid w:val="00E7450D"/>
    <w:rsid w:val="00E755BC"/>
    <w:rsid w:val="00E764D8"/>
    <w:rsid w:val="00E7655F"/>
    <w:rsid w:val="00E76FE7"/>
    <w:rsid w:val="00E7758E"/>
    <w:rsid w:val="00E77976"/>
    <w:rsid w:val="00E81C5E"/>
    <w:rsid w:val="00E8237D"/>
    <w:rsid w:val="00E83B3C"/>
    <w:rsid w:val="00E83ECC"/>
    <w:rsid w:val="00E86A0F"/>
    <w:rsid w:val="00E86B07"/>
    <w:rsid w:val="00E8736B"/>
    <w:rsid w:val="00E90275"/>
    <w:rsid w:val="00E92027"/>
    <w:rsid w:val="00E925D4"/>
    <w:rsid w:val="00E9465D"/>
    <w:rsid w:val="00E95973"/>
    <w:rsid w:val="00E96602"/>
    <w:rsid w:val="00E97226"/>
    <w:rsid w:val="00EA0F76"/>
    <w:rsid w:val="00EA2B44"/>
    <w:rsid w:val="00EA2CFD"/>
    <w:rsid w:val="00EA33EF"/>
    <w:rsid w:val="00EA3A4A"/>
    <w:rsid w:val="00EA56A5"/>
    <w:rsid w:val="00EA5B89"/>
    <w:rsid w:val="00EA77E9"/>
    <w:rsid w:val="00EB0EDD"/>
    <w:rsid w:val="00EB13C5"/>
    <w:rsid w:val="00EB2898"/>
    <w:rsid w:val="00EB4680"/>
    <w:rsid w:val="00EC028A"/>
    <w:rsid w:val="00EC352B"/>
    <w:rsid w:val="00EC494A"/>
    <w:rsid w:val="00EC4FFD"/>
    <w:rsid w:val="00EC58F5"/>
    <w:rsid w:val="00EC5EFC"/>
    <w:rsid w:val="00EC601B"/>
    <w:rsid w:val="00EC6DE8"/>
    <w:rsid w:val="00EC700C"/>
    <w:rsid w:val="00ED0B72"/>
    <w:rsid w:val="00ED111E"/>
    <w:rsid w:val="00ED1218"/>
    <w:rsid w:val="00ED57D1"/>
    <w:rsid w:val="00ED58D6"/>
    <w:rsid w:val="00ED61A5"/>
    <w:rsid w:val="00ED6DF6"/>
    <w:rsid w:val="00EE2672"/>
    <w:rsid w:val="00EE2A79"/>
    <w:rsid w:val="00EE307C"/>
    <w:rsid w:val="00EE40C6"/>
    <w:rsid w:val="00EE54FA"/>
    <w:rsid w:val="00EE565D"/>
    <w:rsid w:val="00EE60C6"/>
    <w:rsid w:val="00EE6E70"/>
    <w:rsid w:val="00EE7BFB"/>
    <w:rsid w:val="00EF1DE7"/>
    <w:rsid w:val="00EF1E20"/>
    <w:rsid w:val="00EF33CD"/>
    <w:rsid w:val="00EF3BBC"/>
    <w:rsid w:val="00EF7C9B"/>
    <w:rsid w:val="00F0000D"/>
    <w:rsid w:val="00F002F8"/>
    <w:rsid w:val="00F01A44"/>
    <w:rsid w:val="00F02D6D"/>
    <w:rsid w:val="00F05FE9"/>
    <w:rsid w:val="00F11FBC"/>
    <w:rsid w:val="00F12262"/>
    <w:rsid w:val="00F1236D"/>
    <w:rsid w:val="00F12924"/>
    <w:rsid w:val="00F12AF9"/>
    <w:rsid w:val="00F134B7"/>
    <w:rsid w:val="00F14977"/>
    <w:rsid w:val="00F20C9B"/>
    <w:rsid w:val="00F249C9"/>
    <w:rsid w:val="00F258A9"/>
    <w:rsid w:val="00F25B03"/>
    <w:rsid w:val="00F261DB"/>
    <w:rsid w:val="00F26E32"/>
    <w:rsid w:val="00F27E92"/>
    <w:rsid w:val="00F300CB"/>
    <w:rsid w:val="00F31310"/>
    <w:rsid w:val="00F318D7"/>
    <w:rsid w:val="00F323E6"/>
    <w:rsid w:val="00F32742"/>
    <w:rsid w:val="00F33490"/>
    <w:rsid w:val="00F3476A"/>
    <w:rsid w:val="00F3647E"/>
    <w:rsid w:val="00F36E79"/>
    <w:rsid w:val="00F37DC3"/>
    <w:rsid w:val="00F41330"/>
    <w:rsid w:val="00F42C3A"/>
    <w:rsid w:val="00F45451"/>
    <w:rsid w:val="00F50581"/>
    <w:rsid w:val="00F52BCC"/>
    <w:rsid w:val="00F5313F"/>
    <w:rsid w:val="00F537B1"/>
    <w:rsid w:val="00F57A70"/>
    <w:rsid w:val="00F57C0A"/>
    <w:rsid w:val="00F60727"/>
    <w:rsid w:val="00F61A94"/>
    <w:rsid w:val="00F62EF3"/>
    <w:rsid w:val="00F63105"/>
    <w:rsid w:val="00F6310E"/>
    <w:rsid w:val="00F64FE4"/>
    <w:rsid w:val="00F664D2"/>
    <w:rsid w:val="00F71BF7"/>
    <w:rsid w:val="00F72E64"/>
    <w:rsid w:val="00F74534"/>
    <w:rsid w:val="00F748BC"/>
    <w:rsid w:val="00F754DF"/>
    <w:rsid w:val="00F75672"/>
    <w:rsid w:val="00F77EE3"/>
    <w:rsid w:val="00F81135"/>
    <w:rsid w:val="00F81A48"/>
    <w:rsid w:val="00F81B07"/>
    <w:rsid w:val="00F82BC4"/>
    <w:rsid w:val="00F82EC2"/>
    <w:rsid w:val="00F8673D"/>
    <w:rsid w:val="00F87149"/>
    <w:rsid w:val="00F93B9B"/>
    <w:rsid w:val="00F97010"/>
    <w:rsid w:val="00FA18F2"/>
    <w:rsid w:val="00FA633A"/>
    <w:rsid w:val="00FB11B3"/>
    <w:rsid w:val="00FB29EB"/>
    <w:rsid w:val="00FB2BE2"/>
    <w:rsid w:val="00FB32BA"/>
    <w:rsid w:val="00FB3546"/>
    <w:rsid w:val="00FB5D52"/>
    <w:rsid w:val="00FB62BC"/>
    <w:rsid w:val="00FB6674"/>
    <w:rsid w:val="00FC14B0"/>
    <w:rsid w:val="00FC5FA1"/>
    <w:rsid w:val="00FC6B9C"/>
    <w:rsid w:val="00FC6FCB"/>
    <w:rsid w:val="00FD08C4"/>
    <w:rsid w:val="00FD17C9"/>
    <w:rsid w:val="00FD28BD"/>
    <w:rsid w:val="00FD29A8"/>
    <w:rsid w:val="00FD2A5B"/>
    <w:rsid w:val="00FD3225"/>
    <w:rsid w:val="00FD3DF1"/>
    <w:rsid w:val="00FD4C24"/>
    <w:rsid w:val="00FD731A"/>
    <w:rsid w:val="00FD7E47"/>
    <w:rsid w:val="00FE0CE6"/>
    <w:rsid w:val="00FE21FE"/>
    <w:rsid w:val="00FE316A"/>
    <w:rsid w:val="00FE54C6"/>
    <w:rsid w:val="00FE66F2"/>
    <w:rsid w:val="00FE6A5C"/>
    <w:rsid w:val="00FE6EE7"/>
    <w:rsid w:val="00FE6F14"/>
    <w:rsid w:val="00FE7C2D"/>
    <w:rsid w:val="00FE7DCA"/>
    <w:rsid w:val="00FF17B6"/>
    <w:rsid w:val="00FF3244"/>
    <w:rsid w:val="00FF4263"/>
    <w:rsid w:val="00FF5145"/>
    <w:rsid w:val="00FF551E"/>
    <w:rsid w:val="00FF5B25"/>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7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aliases w:val="Bullet List,FooterText,List Paragraph1,Dot pt,F5 List Paragraph,No Spacing1,List Paragraph Char Char Char,Indicator Text,Colorful List - Accent 11,Numbered Para 1,Bullet 1,Bullet Points,List Paragraph2,MAIN CONTENT,Normal numbered,3,列出段落"/>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character" w:styleId="HTMLCite">
    <w:name w:val="HTML Cite"/>
    <w:basedOn w:val="DefaultParagraphFont"/>
    <w:uiPriority w:val="99"/>
    <w:semiHidden/>
    <w:unhideWhenUsed/>
    <w:rsid w:val="002C3A50"/>
    <w:rPr>
      <w:i/>
      <w:iCs/>
    </w:rPr>
  </w:style>
  <w:style w:type="paragraph" w:styleId="NoSpacing">
    <w:name w:val="No Spacing"/>
    <w:uiPriority w:val="1"/>
    <w:qFormat/>
    <w:rsid w:val="00F3647E"/>
    <w:pPr>
      <w:spacing w:after="0" w:line="240" w:lineRule="auto"/>
    </w:pPr>
    <w:rPr>
      <w:rFonts w:eastAsiaTheme="minorHAnsi"/>
    </w:rPr>
  </w:style>
  <w:style w:type="character" w:customStyle="1" w:styleId="ListParagraphChar">
    <w:name w:val="List Paragraph Char"/>
    <w:aliases w:val="Bullet List Char,FooterText Char,List Paragraph1 Char,Dot pt Char,F5 List Paragraph Char,No Spacing1 Char,List Paragraph Char Char Char Char,Indicator Text Char,Colorful List - Accent 11 Char,Numbered Para 1 Char,Bullet 1 Char,3 Char"/>
    <w:basedOn w:val="DefaultParagraphFont"/>
    <w:link w:val="ListParagraph"/>
    <w:uiPriority w:val="34"/>
    <w:locked/>
    <w:rsid w:val="00E12B75"/>
    <w:rPr>
      <w:rFonts w:asciiTheme="majorHAnsi" w:hAnsiTheme="majorHAnsi"/>
    </w:rPr>
  </w:style>
  <w:style w:type="paragraph" w:customStyle="1" w:styleId="Pa6">
    <w:name w:val="Pa6"/>
    <w:basedOn w:val="Default"/>
    <w:next w:val="Default"/>
    <w:uiPriority w:val="99"/>
    <w:rsid w:val="0069483B"/>
    <w:pPr>
      <w:spacing w:line="221" w:lineRule="atLeast"/>
    </w:pPr>
    <w:rPr>
      <w:rFonts w:ascii="Adobe Garamond Pro" w:eastAsiaTheme="minorEastAsia" w:hAnsi="Adobe Garamond Pro" w:cstheme="minorBidi"/>
      <w:color w:val="auto"/>
    </w:rPr>
  </w:style>
  <w:style w:type="character" w:customStyle="1" w:styleId="A13">
    <w:name w:val="A13"/>
    <w:uiPriority w:val="99"/>
    <w:rsid w:val="005B10E4"/>
    <w:rPr>
      <w:rFonts w:cs="Adobe Garamond Pro"/>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aliases w:val="Bullet List,FooterText,List Paragraph1,Dot pt,F5 List Paragraph,No Spacing1,List Paragraph Char Char Char,Indicator Text,Colorful List - Accent 11,Numbered Para 1,Bullet 1,Bullet Points,List Paragraph2,MAIN CONTENT,Normal numbered,3,列出段落"/>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character" w:styleId="HTMLCite">
    <w:name w:val="HTML Cite"/>
    <w:basedOn w:val="DefaultParagraphFont"/>
    <w:uiPriority w:val="99"/>
    <w:semiHidden/>
    <w:unhideWhenUsed/>
    <w:rsid w:val="002C3A50"/>
    <w:rPr>
      <w:i/>
      <w:iCs/>
    </w:rPr>
  </w:style>
  <w:style w:type="paragraph" w:styleId="NoSpacing">
    <w:name w:val="No Spacing"/>
    <w:uiPriority w:val="1"/>
    <w:qFormat/>
    <w:rsid w:val="00F3647E"/>
    <w:pPr>
      <w:spacing w:after="0" w:line="240" w:lineRule="auto"/>
    </w:pPr>
    <w:rPr>
      <w:rFonts w:eastAsiaTheme="minorHAnsi"/>
    </w:rPr>
  </w:style>
  <w:style w:type="character" w:customStyle="1" w:styleId="ListParagraphChar">
    <w:name w:val="List Paragraph Char"/>
    <w:aliases w:val="Bullet List Char,FooterText Char,List Paragraph1 Char,Dot pt Char,F5 List Paragraph Char,No Spacing1 Char,List Paragraph Char Char Char Char,Indicator Text Char,Colorful List - Accent 11 Char,Numbered Para 1 Char,Bullet 1 Char,3 Char"/>
    <w:basedOn w:val="DefaultParagraphFont"/>
    <w:link w:val="ListParagraph"/>
    <w:uiPriority w:val="34"/>
    <w:locked/>
    <w:rsid w:val="00E12B75"/>
    <w:rPr>
      <w:rFonts w:asciiTheme="majorHAnsi" w:hAnsiTheme="majorHAnsi"/>
    </w:rPr>
  </w:style>
  <w:style w:type="paragraph" w:customStyle="1" w:styleId="Pa6">
    <w:name w:val="Pa6"/>
    <w:basedOn w:val="Default"/>
    <w:next w:val="Default"/>
    <w:uiPriority w:val="99"/>
    <w:rsid w:val="0069483B"/>
    <w:pPr>
      <w:spacing w:line="221" w:lineRule="atLeast"/>
    </w:pPr>
    <w:rPr>
      <w:rFonts w:ascii="Adobe Garamond Pro" w:eastAsiaTheme="minorEastAsia" w:hAnsi="Adobe Garamond Pro" w:cstheme="minorBidi"/>
      <w:color w:val="auto"/>
    </w:rPr>
  </w:style>
  <w:style w:type="character" w:customStyle="1" w:styleId="A13">
    <w:name w:val="A13"/>
    <w:uiPriority w:val="99"/>
    <w:rsid w:val="005B10E4"/>
    <w:rPr>
      <w:rFonts w:cs="Adobe Garamond Pro"/>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1726">
      <w:bodyDiv w:val="1"/>
      <w:marLeft w:val="0"/>
      <w:marRight w:val="0"/>
      <w:marTop w:val="0"/>
      <w:marBottom w:val="0"/>
      <w:divBdr>
        <w:top w:val="none" w:sz="0" w:space="0" w:color="auto"/>
        <w:left w:val="none" w:sz="0" w:space="0" w:color="auto"/>
        <w:bottom w:val="none" w:sz="0" w:space="0" w:color="auto"/>
        <w:right w:val="none" w:sz="0" w:space="0" w:color="auto"/>
      </w:divBdr>
    </w:div>
    <w:div w:id="61146160">
      <w:bodyDiv w:val="1"/>
      <w:marLeft w:val="0"/>
      <w:marRight w:val="0"/>
      <w:marTop w:val="0"/>
      <w:marBottom w:val="0"/>
      <w:divBdr>
        <w:top w:val="none" w:sz="0" w:space="0" w:color="auto"/>
        <w:left w:val="none" w:sz="0" w:space="0" w:color="auto"/>
        <w:bottom w:val="none" w:sz="0" w:space="0" w:color="auto"/>
        <w:right w:val="none" w:sz="0" w:space="0" w:color="auto"/>
      </w:divBdr>
    </w:div>
    <w:div w:id="95178914">
      <w:bodyDiv w:val="1"/>
      <w:marLeft w:val="0"/>
      <w:marRight w:val="0"/>
      <w:marTop w:val="0"/>
      <w:marBottom w:val="0"/>
      <w:divBdr>
        <w:top w:val="none" w:sz="0" w:space="0" w:color="auto"/>
        <w:left w:val="none" w:sz="0" w:space="0" w:color="auto"/>
        <w:bottom w:val="none" w:sz="0" w:space="0" w:color="auto"/>
        <w:right w:val="none" w:sz="0" w:space="0" w:color="auto"/>
      </w:divBdr>
    </w:div>
    <w:div w:id="126093966">
      <w:bodyDiv w:val="1"/>
      <w:marLeft w:val="0"/>
      <w:marRight w:val="0"/>
      <w:marTop w:val="0"/>
      <w:marBottom w:val="0"/>
      <w:divBdr>
        <w:top w:val="none" w:sz="0" w:space="0" w:color="auto"/>
        <w:left w:val="none" w:sz="0" w:space="0" w:color="auto"/>
        <w:bottom w:val="none" w:sz="0" w:space="0" w:color="auto"/>
        <w:right w:val="none" w:sz="0" w:space="0" w:color="auto"/>
      </w:divBdr>
    </w:div>
    <w:div w:id="229736274">
      <w:bodyDiv w:val="1"/>
      <w:marLeft w:val="0"/>
      <w:marRight w:val="0"/>
      <w:marTop w:val="0"/>
      <w:marBottom w:val="0"/>
      <w:divBdr>
        <w:top w:val="none" w:sz="0" w:space="0" w:color="auto"/>
        <w:left w:val="none" w:sz="0" w:space="0" w:color="auto"/>
        <w:bottom w:val="none" w:sz="0" w:space="0" w:color="auto"/>
        <w:right w:val="none" w:sz="0" w:space="0" w:color="auto"/>
      </w:divBdr>
    </w:div>
    <w:div w:id="355155292">
      <w:bodyDiv w:val="1"/>
      <w:marLeft w:val="0"/>
      <w:marRight w:val="0"/>
      <w:marTop w:val="0"/>
      <w:marBottom w:val="0"/>
      <w:divBdr>
        <w:top w:val="none" w:sz="0" w:space="0" w:color="auto"/>
        <w:left w:val="none" w:sz="0" w:space="0" w:color="auto"/>
        <w:bottom w:val="none" w:sz="0" w:space="0" w:color="auto"/>
        <w:right w:val="none" w:sz="0" w:space="0" w:color="auto"/>
      </w:divBdr>
    </w:div>
    <w:div w:id="492186532">
      <w:bodyDiv w:val="1"/>
      <w:marLeft w:val="0"/>
      <w:marRight w:val="0"/>
      <w:marTop w:val="0"/>
      <w:marBottom w:val="0"/>
      <w:divBdr>
        <w:top w:val="none" w:sz="0" w:space="0" w:color="auto"/>
        <w:left w:val="none" w:sz="0" w:space="0" w:color="auto"/>
        <w:bottom w:val="none" w:sz="0" w:space="0" w:color="auto"/>
        <w:right w:val="none" w:sz="0" w:space="0" w:color="auto"/>
      </w:divBdr>
    </w:div>
    <w:div w:id="856306941">
      <w:bodyDiv w:val="1"/>
      <w:marLeft w:val="0"/>
      <w:marRight w:val="0"/>
      <w:marTop w:val="0"/>
      <w:marBottom w:val="0"/>
      <w:divBdr>
        <w:top w:val="none" w:sz="0" w:space="0" w:color="auto"/>
        <w:left w:val="none" w:sz="0" w:space="0" w:color="auto"/>
        <w:bottom w:val="none" w:sz="0" w:space="0" w:color="auto"/>
        <w:right w:val="none" w:sz="0" w:space="0" w:color="auto"/>
      </w:divBdr>
    </w:div>
    <w:div w:id="1176656251">
      <w:bodyDiv w:val="1"/>
      <w:marLeft w:val="0"/>
      <w:marRight w:val="0"/>
      <w:marTop w:val="0"/>
      <w:marBottom w:val="0"/>
      <w:divBdr>
        <w:top w:val="none" w:sz="0" w:space="0" w:color="auto"/>
        <w:left w:val="none" w:sz="0" w:space="0" w:color="auto"/>
        <w:bottom w:val="none" w:sz="0" w:space="0" w:color="auto"/>
        <w:right w:val="none" w:sz="0" w:space="0" w:color="auto"/>
      </w:divBdr>
    </w:div>
    <w:div w:id="1276332627">
      <w:bodyDiv w:val="1"/>
      <w:marLeft w:val="0"/>
      <w:marRight w:val="0"/>
      <w:marTop w:val="0"/>
      <w:marBottom w:val="0"/>
      <w:divBdr>
        <w:top w:val="none" w:sz="0" w:space="0" w:color="auto"/>
        <w:left w:val="none" w:sz="0" w:space="0" w:color="auto"/>
        <w:bottom w:val="none" w:sz="0" w:space="0" w:color="auto"/>
        <w:right w:val="none" w:sz="0" w:space="0" w:color="auto"/>
      </w:divBdr>
    </w:div>
    <w:div w:id="1487741213">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58919650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807623981">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73242">
      <w:bodyDiv w:val="1"/>
      <w:marLeft w:val="0"/>
      <w:marRight w:val="0"/>
      <w:marTop w:val="0"/>
      <w:marBottom w:val="0"/>
      <w:divBdr>
        <w:top w:val="none" w:sz="0" w:space="0" w:color="auto"/>
        <w:left w:val="none" w:sz="0" w:space="0" w:color="auto"/>
        <w:bottom w:val="none" w:sz="0" w:space="0" w:color="auto"/>
        <w:right w:val="none" w:sz="0" w:space="0" w:color="auto"/>
      </w:divBdr>
    </w:div>
    <w:div w:id="200200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cdc.gov/mmwr/volumes/66/rr/pdfs/rr6601.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cdc.gov/phpr/readiness/00_docs/DSLR_capabilities_July.pdf" TargetMode="External"/><Relationship Id="rId2" Type="http://schemas.openxmlformats.org/officeDocument/2006/relationships/customXml" Target="../customXml/item2.xml"/><Relationship Id="rId16" Type="http://schemas.openxmlformats.org/officeDocument/2006/relationships/hyperlink" Target="https://www.cdc.gov/stltpublichealth/publichealthservices/essentialhealthservice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bls.gov/oes/current/oes_nat.htm"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thecommunityguide.org/findings/emergency-preparedness-and-response-school-dismissals-reduce-transmission-pandemic-influenza"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NLQ0@cdc.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SC_StateA_Consequences_Collecting_Less_Frequently xmlns="bd99c180-279b-44c3-9486-dd050336677e" xsi:nil="true"/>
    <OSC_StateA_Background xmlns="bd99c180-279b-44c3-9486-dd050336677e" xsi:nil="true"/>
    <OSC_StateA_14_8Average_Hours_Per_Collection xmlns="bd99c180-279b-44c3-9486-dd050336677e">0</OSC_StateA_14_8Average_Hours_Per_Collection>
    <GenICPIBranchOROfficeTitle xmlns="bd99c180-279b-44c3-9486-dd050336677e">=&gt;Enter branch or office title&lt;=</GenICPIBranchOROfficeTitle>
    <OSC_StateA_12_9Number_of_Respondents xmlns="bd99c180-279b-44c3-9486-dd050336677e">0</OSC_StateA_12_9Number_of_Respondents>
    <OSC_StateA_12_2Average_Burden_per_Response_in_Hours xmlns="bd99c180-279b-44c3-9486-dd050336677e">=&gt;20/60&lt;=</OSC_StateA_12_2Average_Burden_per_Response_in_Hours>
    <OSC_StateA_14_6Staff_FTE xmlns="bd99c180-279b-44c3-9486-dd050336677e">=&gt;Enter&lt;=</OSC_StateA_14_6Staff_FTE>
    <OSC_StateA_12_1Hourly_Wage_Rate xmlns="bd99c180-279b-44c3-9486-dd050336677e">0</OSC_StateA_12_1Hourly_Wage_Rate>
    <OSC_StateA_14_1Staff_FTE xmlns="bd99c180-279b-44c3-9486-dd050336677e">=&gt;Enter&lt;=</OSC_StateA_14_1Staff_FTE>
    <OSC_StateA_14_10Average_Hours_Per_Collection xmlns="bd99c180-279b-44c3-9486-dd050336677e">0</OSC_StateA_14_10Average_Hours_Per_Collection>
    <OSC_StateA_12_3Total_Burden_Hours xmlns="bd99c180-279b-44c3-9486-dd050336677e">0</OSC_StateA_12_3Total_Burden_Hours>
    <OSC_StateA_12_3Type_of_Respondent xmlns="bd99c180-279b-44c3-9486-dd050336677e">=&gt;Enter&lt;=</OSC_StateA_12_3Type_of_Respondent>
    <OSC_StateA_12_10Total_Respondent_Costs xmlns="bd99c180-279b-44c3-9486-dd050336677e">0</OSC_StateA_12_10Total_Respondent_Costs>
    <GenICTitle xmlns="15b1c282-9287-45cb-9b41-eae3a76919a0">=&gt;Enter short but descriptive title reflecting the purpose of the data collection. &lt;=</GenICTitle>
    <OSC_StateA_14_1Average_Cost xmlns="bd99c180-279b-44c3-9486-dd050336677e">0</OSC_StateA_14_1Average_Cost>
    <OSC_StateA_12_2Number_of_Respondents xmlns="bd99c180-279b-44c3-9486-dd050336677e">0</OSC_StateA_12_2Number_of_Respondents>
    <OSC_StateA_Websites_Directed_at_Children xmlns="bd99c180-279b-44c3-9486-dd050336677e" xsi:nil="true"/>
    <_dlc_DocId xmlns="b5c0ca00-073d-4463-9985-b654f14791fe">OSTLTSDOC-726-208</_dlc_DocId>
    <OSC_StateA_14_2Average_Hours_Per_Collection xmlns="bd99c180-279b-44c3-9486-dd050336677e">0</OSC_StateA_14_2Average_Hours_Per_Collection>
    <OSC_StateA_14_Estimated_Total_Cost_of_Information_Collection xmlns="bd99c180-279b-44c3-9486-dd050336677e">0</OSC_StateA_14_Estimated_Total_Cost_of_Information_Collection>
    <OSC_StateA_12_9Number_of_Responses_per_Respondent xmlns="bd99c180-279b-44c3-9486-dd050336677e">1</OSC_StateA_12_9Number_of_Responses_per_Respondent>
    <GenICNickname xmlns="15b1c282-9287-45cb-9b41-eae3a76919a0" xsi:nil="true"/>
    <OSC_StateA_12_4Average_Burden_per_Response_in_Hours xmlns="bd99c180-279b-44c3-9486-dd050336677e">=&gt;20/60&lt;=</OSC_StateA_12_4Average_Burden_per_Response_in_Hours>
    <OSC_StateA_12_9Average_Burden_per_Response_in_Hours xmlns="bd99c180-279b-44c3-9486-dd050336677e">=&gt;20/60&lt;=</OSC_StateA_12_9Average_Burden_per_Response_in_Hours>
    <OSC_StateA_12_9Hourly_Wage_Rate xmlns="bd99c180-279b-44c3-9486-dd050336677e">0</OSC_StateA_12_9Hourly_Wage_Rate>
    <OSC_StateA_14_9Staff_FTE xmlns="bd99c180-279b-44c3-9486-dd050336677e">=&gt;Enter&lt;=</OSC_StateA_14_9Staff_FTE>
    <OSC_StateA_12_4Number_of_Respondents xmlns="bd99c180-279b-44c3-9486-dd050336677e">0</OSC_StateA_12_4Number_of_Respondents>
    <OSC_StateA_14_4Staff_FTE xmlns="bd99c180-279b-44c3-9486-dd050336677e">=&gt;Enter&lt;=</OSC_StateA_14_4Staff_FTE>
    <OSC_StateA_12_8Number_of_Responses_per_Respondent xmlns="bd99c180-279b-44c3-9486-dd050336677e">1</OSC_StateA_12_8Number_of_Responses_per_Respondent>
    <OSC_StateA_12_4Type_of_Respondent xmlns="bd99c180-279b-44c3-9486-dd050336677e">=&gt;Enter&lt;=</OSC_StateA_12_4Type_of_Respondent>
    <OSC_StateA_12_4Total_Burden_Hours xmlns="bd99c180-279b-44c3-9486-dd050336677e">0</OSC_StateA_12_4Total_Burden_Hours>
    <GenICPITitle xmlns="bd99c180-279b-44c3-9486-dd050336677e">=&gt;Enter official CDC title&lt;=</GenICPITitle>
    <OSC_StateA_14_9Average_Hours_Per_Collection xmlns="bd99c180-279b-44c3-9486-dd050336677e">0</OSC_StateA_14_9Average_Hours_Per_Collection>
    <OSC_StateA_Response_to_the_Federal_Register_Notice_and_Efforts xmlns="bd99c180-279b-44c3-9486-dd050336677e" xsi:nil="true"/>
    <OSC_StateA_Date_Submitted xmlns="bd99c180-279b-44c3-9486-dd050336677e" xsi:nil="true"/>
    <OSC_StateA_12_7Number_of_Responses_per_Respondent xmlns="bd99c180-279b-44c3-9486-dd050336677e">1</OSC_StateA_12_7Number_of_Responses_per_Respondent>
    <OSC_StateA_14_5Average_Cost xmlns="bd99c180-279b-44c3-9486-dd050336677e">0</OSC_StateA_14_5Average_Cost>
    <OSC_StateA_12_9Total_Respondent_Costs xmlns="bd99c180-279b-44c3-9486-dd050336677e">0</OSC_StateA_12_9Total_Respondent_Costs>
    <OSC_StateA_12_6Number_of_Respondents xmlns="bd99c180-279b-44c3-9486-dd050336677e">0</OSC_StateA_12_6Number_of_Respondents>
    <OSC_StateA_Explanation_for_Program_Changes_or_Adjustments xmlns="bd99c180-279b-44c3-9486-dd050336677e" xsi:nil="true"/>
    <OSC_StateA_14_10Average_Cost xmlns="bd99c180-279b-44c3-9486-dd050336677e">0</OSC_StateA_14_10Average_Cost>
    <OSC_StateA_Overview_Of_Data_Collection_System xmlns="bd99c180-279b-44c3-9486-dd050336677e" xsi:nil="true"/>
    <OSC_StateA_14_6Average_Hours_Per_Collection xmlns="bd99c180-279b-44c3-9486-dd050336677e">0</OSC_StateA_14_6Average_Hours_Per_Collection>
    <OSC_StateA_12_8Hourly_Wage_Rate xmlns="bd99c180-279b-44c3-9486-dd050336677e">0</OSC_StateA_12_8Hourly_Wage_Rate>
    <GenICPIDivisionOROfficeTitle xmlns="bd99c180-279b-44c3-9486-dd050336677e">=&gt;Enter division or office title&lt;=</GenICPIDivisionOROfficeTitle>
    <OSC_StateA_12_6Number_of_Responses_per_Respondent xmlns="bd99c180-279b-44c3-9486-dd050336677e">1</OSC_StateA_12_6Number_of_Responses_per_Respondent>
    <OSC_StateA_12_8Total_Respondent_Costs xmlns="bd99c180-279b-44c3-9486-dd050336677e">0</OSC_StateA_12_8Total_Respondent_Costs>
    <GenICPICenterDivisionBranch xmlns="bd99c180-279b-44c3-9486-dd050336677e" xsi:nil="true"/>
    <OSC_StateA_12_Total_Total_Burden_Hours xmlns="bd99c180-279b-44c3-9486-dd050336677e">0</OSC_StateA_12_Total_Total_Burden_Hours>
    <OSC_StateA_12_6Average_Burden_per_Response_in_Hours xmlns="bd99c180-279b-44c3-9486-dd050336677e">=&gt;20/60&lt;=</OSC_StateA_12_6Average_Burden_per_Response_in_Hours>
    <OSC_StateA_14_2Staff_FTE xmlns="bd99c180-279b-44c3-9486-dd050336677e">=&gt;Enter&lt;=</OSC_StateA_14_2Staff_FTE>
    <OSC_StateA_14_9Average_Cost xmlns="bd99c180-279b-44c3-9486-dd050336677e">0</OSC_StateA_14_9Average_Cost>
    <OSC_StateA_12_5Type_of_Respondent xmlns="bd99c180-279b-44c3-9486-dd050336677e">=&gt;Enter&lt;=</OSC_StateA_12_5Type_of_Respondent>
    <OSC_StateA_12_5Number_of_Responses_per_Respondent xmlns="bd99c180-279b-44c3-9486-dd050336677e">1</OSC_StateA_12_5Number_of_Responses_per_Respondent>
    <OSC_StateA_12_5Total_Burden_Hours xmlns="bd99c180-279b-44c3-9486-dd050336677e">0</OSC_StateA_12_5Total_Burden_Hours>
    <OSC_StateA_14_7Staff_FTE xmlns="bd99c180-279b-44c3-9486-dd050336677e">=&gt;Enter&lt;=</OSC_StateA_14_7Staff_FTE>
    <GenICPIPhone xmlns="bd99c180-279b-44c3-9486-dd050336677e">=&gt;###-###-####&lt;=</GenICPIPhone>
    <OSC_StateA_12_1Average_Burden_per_Response_in_Hours xmlns="bd99c180-279b-44c3-9486-dd050336677e">=&gt;20/60&lt;=</OSC_StateA_12_1Average_Burden_per_Response_in_Hours>
    <OSC_StateA_14_10Average_Hourly_Rate xmlns="bd99c180-279b-44c3-9486-dd050336677e">0</OSC_StateA_14_10Average_Hourly_Rate>
    <OSC_StateA_Estimates_of_Annualized_Burden_Hours_and_Costs xmlns="bd99c180-279b-44c3-9486-dd050336677e" xsi:nil="true"/>
    <OSC_StateA_Explanation_of_Any_Payment_or_Gift_to_Respondents xmlns="bd99c180-279b-44c3-9486-dd050336677e" xsi:nil="true"/>
    <OSC_StateA_12_4Number_of_Responses_per_Respondent xmlns="bd99c180-279b-44c3-9486-dd050336677e">1</OSC_StateA_12_4Number_of_Responses_per_Respondent>
    <OSC_StateA_12_7Hourly_Wage_Rate xmlns="bd99c180-279b-44c3-9486-dd050336677e">0</OSC_StateA_12_7Hourly_Wage_Rate>
    <OSC_StateA_12_8Number_of_Respondents xmlns="bd99c180-279b-44c3-9486-dd050336677e">0</OSC_StateA_12_8Number_of_Respondents>
    <OSC_StateA_Impact_on_Small_Businesses_or_Other_Small_Entities xmlns="bd99c180-279b-44c3-9486-dd050336677e" xsi:nil="true"/>
    <OSC_StateA_14_3Average_Hours_Per_Collection xmlns="bd99c180-279b-44c3-9486-dd050336677e">0</OSC_StateA_14_3Average_Hours_Per_Collection>
    <OSC_StateA_Estimate_Other_Total_Annual_Cost_Burden_to_Respond xmlns="bd99c180-279b-44c3-9486-dd050336677e" xsi:nil="true"/>
    <OSC_StateA_12_7Total_Respondent_Costs xmlns="bd99c180-279b-44c3-9486-dd050336677e">0</OSC_StateA_12_7Total_Respondent_Costs>
    <OSC_StateA_14_4Average_Hourly_Rate xmlns="bd99c180-279b-44c3-9486-dd050336677e">0</OSC_StateA_14_4Average_Hourly_Rate>
    <OSC_StateA_Justification_for_Sensitive_Questions xmlns="bd99c180-279b-44c3-9486-dd050336677e" xsi:nil="true"/>
    <OSC_StateA_12_Total_Total_Respondent_Costs xmlns="bd99c180-279b-44c3-9486-dd050336677e">0</OSC_StateA_12_Total_Total_Respondent_Costs>
    <OSC_StateA_14_1Average_Hourly_Rate xmlns="bd99c180-279b-44c3-9486-dd050336677e">0</OSC_StateA_14_1Average_Hourly_Rate>
    <OSC_StateA_14_4Average_Cost xmlns="bd99c180-279b-44c3-9486-dd050336677e">0</OSC_StateA_14_4Average_Cost>
    <OSC_StateA_12_3Number_of_Responses_per_Respondent xmlns="bd99c180-279b-44c3-9486-dd050336677e">1</OSC_StateA_12_3Number_of_Responses_per_Respondent>
    <OSC_StateA_14_3Average_Hourly_Rate xmlns="bd99c180-279b-44c3-9486-dd050336677e">0</OSC_StateA_14_3Average_Hourly_Rate>
    <OSC_StateA_14_2Average_Hourly_Rate xmlns="bd99c180-279b-44c3-9486-dd050336677e">0</OSC_StateA_14_2Average_Hourly_Rate>
    <OSC_StateA_14_5Average_Hourly_Rate xmlns="bd99c180-279b-44c3-9486-dd050336677e">0</OSC_StateA_14_5Average_Hourly_Rate>
    <OSC_StateA_14_7Average_Hourly_Rate xmlns="bd99c180-279b-44c3-9486-dd050336677e">0</OSC_StateA_14_7Average_Hourly_Rate>
    <OSC_StateA_Tabulation_and_Publication_and_Project_Time_Schedule xmlns="bd99c180-279b-44c3-9486-dd050336677e" xsi:nil="true"/>
    <OSC_StateA_14_6Average_Hourly_Rate xmlns="bd99c180-279b-44c3-9486-dd050336677e">0</OSC_StateA_14_6Average_Hourly_Rate>
    <OSC_StateA_14_9Average_Hourly_Rate xmlns="bd99c180-279b-44c3-9486-dd050336677e">0</OSC_StateA_14_9Average_Hourly_Rate>
    <OSC_StateA_14_8Average_Hourly_Rate xmlns="bd99c180-279b-44c3-9486-dd050336677e">0</OSC_StateA_14_8Average_Hourly_Rate>
    <OSC_StateA_12_6Hourly_Wage_Rate xmlns="bd99c180-279b-44c3-9486-dd050336677e">0</OSC_StateA_12_6Hourly_Wage_Rate>
    <OSC_StateA_12_6Total_Respondent_Costs xmlns="bd99c180-279b-44c3-9486-dd050336677e">0</OSC_StateA_12_6Total_Respondent_Costs>
    <OSC_StateA_Annualized_Cost_to_the_Government xmlns="bd99c180-279b-44c3-9486-dd050336677e" xsi:nil="true"/>
    <OSC_StateA_12_1Number_of_Respondents xmlns="bd99c180-279b-44c3-9486-dd050336677e">0</OSC_StateA_12_1Number_of_Respondents>
    <GenICPIName xmlns="bd99c180-279b-44c3-9486-dd050336677e">=&gt;Enter full name and credentials&lt;=</GenICPIName>
    <OSC_StateA_12_6Type_of_Respondent xmlns="bd99c180-279b-44c3-9486-dd050336677e">=&gt;Enter&lt;=</OSC_StateA_12_6Type_of_Respondent>
    <OSC_StateA_12_6Total_Burden_Hours xmlns="bd99c180-279b-44c3-9486-dd050336677e">0</OSC_StateA_12_6Total_Burden_Hours>
    <OSC_StateA_12_2Number_of_Responses_per_Respondent xmlns="bd99c180-279b-44c3-9486-dd050336677e">1</OSC_StateA_12_2Number_of_Responses_per_Respondent>
    <OSC_StateA_12_10Number_of_Respondents xmlns="bd99c180-279b-44c3-9486-dd050336677e">0</OSC_StateA_12_10Number_of_Respondents>
    <OSC_StateA_Items_to_be_collected xmlns="bd99c180-279b-44c3-9486-dd050336677e" xsi:nil="true"/>
    <OSC_StateA_12_5Total_Respondent_Costs xmlns="bd99c180-279b-44c3-9486-dd050336677e">0</OSC_StateA_12_5Total_Respondent_Costs>
    <OSC_StateA_12_1Number_of_Responses_per_Respondent xmlns="bd99c180-279b-44c3-9486-dd050336677e">1</OSC_StateA_12_1Number_of_Responses_per_Respondent>
    <OSC_StateA_12_3Average_Burden_per_Response_in_Hours xmlns="bd99c180-279b-44c3-9486-dd050336677e">=&gt;20/60&lt;=</OSC_StateA_12_3Average_Burden_per_Response_in_Hours>
    <GenICPIFax xmlns="bd99c180-279b-44c3-9486-dd050336677e">=&gt;###-###-####&lt;=</GenICPIFax>
    <OSC_StateA_14_8Average_Cost xmlns="bd99c180-279b-44c3-9486-dd050336677e">0</OSC_StateA_14_8Average_Cost>
    <OSC_StateA_12_8Average_Burden_per_Response_in_Hours xmlns="bd99c180-279b-44c3-9486-dd050336677e">=&gt;20/60&lt;=</OSC_StateA_12_8Average_Burden_per_Response_in_Hours>
    <OSC_StateA_List_Of_Attachments xmlns="bd99c180-279b-44c3-9486-dd050336677e" xsi:nil="true"/>
    <OSC_StateA_12_5Hourly_Wage_Rate xmlns="bd99c180-279b-44c3-9486-dd050336677e">0</OSC_StateA_12_5Hourly_Wage_Rate>
    <OSC_StateA_14_5Staff_FTE xmlns="bd99c180-279b-44c3-9486-dd050336677e">=&gt;Enter&lt;=</OSC_StateA_14_5Staff_FTE>
    <OSC_StateA_12_3Number_of_Respondents xmlns="bd99c180-279b-44c3-9486-dd050336677e">0</OSC_StateA_12_3Number_of_Respondents>
    <OSC_StateA_14_7Average_Hours_Per_Collection xmlns="bd99c180-279b-44c3-9486-dd050336677e">0</OSC_StateA_14_7Average_Hours_Per_Collection>
    <OSC_StateA_12_4Total_Respondent_Costs xmlns="bd99c180-279b-44c3-9486-dd050336677e">0</OSC_StateA_12_4Total_Respondent_Costs>
    <OSC_StateA_14_3Average_Cost xmlns="bd99c180-279b-44c3-9486-dd050336677e">0</OSC_StateA_14_3Average_Cost>
    <OSC_StateA_12_10Hourly_Wage_Rate xmlns="bd99c180-279b-44c3-9486-dd050336677e">0</OSC_StateA_12_10Hourly_Wage_Rate>
    <GenICPIWorkMailingAddress xmlns="bd99c180-279b-44c3-9486-dd050336677e">=&gt;Enter work mailing address&lt;=</GenICPIWorkMailingAddress>
    <OSC_StateA_Identify_Duplication_Similar_Information xmlns="bd99c180-279b-44c3-9486-dd050336677e" xsi:nil="true"/>
    <OSC_StateA_12_7Type_of_Respondent xmlns="bd99c180-279b-44c3-9486-dd050336677e">=&gt;Enter&lt;=</OSC_StateA_12_7Type_of_Respondent>
    <OSC_StateA_12_3Total_Respondent_Costs xmlns="bd99c180-279b-44c3-9486-dd050336677e">0</OSC_StateA_12_3Total_Respondent_Costs>
    <OSC_StateA_12_4Hourly_Wage_Rate xmlns="bd99c180-279b-44c3-9486-dd050336677e">0</OSC_StateA_12_4Hourly_Wage_Rate>
    <OSC_StateA_12_7Total_Burden_Hours xmlns="bd99c180-279b-44c3-9486-dd050336677e">0</OSC_StateA_12_7Total_Burden_Hours>
    <GenICPIEmail xmlns="bd99c180-279b-44c3-9486-dd050336677e">=&gt;Enter work email&lt;=</GenICPIEmail>
    <OSC_StateA_12_10Number_of_Responses_per_Respondent xmlns="bd99c180-279b-44c3-9486-dd050336677e">1</OSC_StateA_12_10Number_of_Responses_per_Respondent>
    <OSC_StateA_14_4Average_Hours_Per_Collection xmlns="bd99c180-279b-44c3-9486-dd050336677e">0</OSC_StateA_14_4Average_Hours_Per_Collection>
    <OSC_StateA_Reason_Display_OMB_Expiration_Date_is_Inappropriate xmlns="bd99c180-279b-44c3-9486-dd050336677e" xsi:nil="true"/>
    <OSC_StateA_12_Total_Number_of_Responses_per_Respondent xmlns="bd99c180-279b-44c3-9486-dd050336677e">1</OSC_StateA_12_Total_Number_of_Responses_per_Respondent>
    <OSC_StateA_Exceptions_Certification_Paperwork_Reduction_Act xmlns="bd99c180-279b-44c3-9486-dd050336677e" xsi:nil="true"/>
    <OSC_StateA_12_10Average_Burden_per_Response_in_Hours xmlns="bd99c180-279b-44c3-9486-dd050336677e">=&gt;20/60&lt;=</OSC_StateA_12_10Average_Burden_per_Response_in_Hours>
    <GenICPICDCID xmlns="bd99c180-279b-44c3-9486-dd050336677e" xsi:nil="true"/>
    <OSC_StateA_12_1Total_Burden_Hours xmlns="bd99c180-279b-44c3-9486-dd050336677e">0</OSC_StateA_12_1Total_Burden_Hours>
    <GenICPICIO xmlns="bd99c180-279b-44c3-9486-dd050336677e" xsi:nil="true"/>
    <OSC_StateA_12_2Total_Respondent_Costs xmlns="bd99c180-279b-44c3-9486-dd050336677e">0</OSC_StateA_12_2Total_Respondent_Costs>
    <OSC_StateA_12_1Type_of_Respondent xmlns="bd99c180-279b-44c3-9486-dd050336677e">=&gt;Enter&lt;=</OSC_StateA_12_1Type_of_Respondent>
    <OSC_StateA_12_5Number_of_Respondents xmlns="bd99c180-279b-44c3-9486-dd050336677e">0</OSC_StateA_12_5Number_of_Respondents>
    <OSC_StateA_14_3Staff_FTE xmlns="bd99c180-279b-44c3-9486-dd050336677e">=&gt;Enter&lt;=</OSC_StateA_14_3Staff_FTE>
    <OSC_StateA_12_5Average_Burden_per_Response_in_Hours xmlns="bd99c180-279b-44c3-9486-dd050336677e">=&gt;20/60&lt;=</OSC_StateA_12_5Average_Burden_per_Response_in_Hours>
    <OSC_StateA_14_8Staff_FTE xmlns="bd99c180-279b-44c3-9486-dd050336677e">=&gt;Enter&lt;=</OSC_StateA_14_8Staff_FTE>
    <OSC_StateA_12_3Hourly_Wage_Rate xmlns="bd99c180-279b-44c3-9486-dd050336677e">0</OSC_StateA_12_3Hourly_Wage_Rate>
    <OSC_StateA_12_1Total_Respondent_Costs xmlns="bd99c180-279b-44c3-9486-dd050336677e">0</OSC_StateA_12_1Total_Respondent_Costs>
    <OSC_StateA_14_1Average_Hours_Per_Collection xmlns="bd99c180-279b-44c3-9486-dd050336677e">0</OSC_StateA_14_1Average_Hours_Per_Collection>
    <OSC_StateA_Purpose_and_Use xmlns="bd99c180-279b-44c3-9486-dd050336677e" xsi:nil="true"/>
    <OSC_StateA_14_7Average_Cost xmlns="bd99c180-279b-44c3-9486-dd050336677e">0</OSC_StateA_14_7Average_Cost>
    <OSC_StateA_12_8Type_of_Respondent xmlns="bd99c180-279b-44c3-9486-dd050336677e">=&gt;Enter&lt;=</OSC_StateA_12_8Type_of_Respondent>
    <OSC_StateA_14_10Staff_FTE xmlns="bd99c180-279b-44c3-9486-dd050336677e">=&gt;Enter&lt;=</OSC_StateA_14_10Staff_FTE>
    <OSC_StateA_12_7Number_of_Respondents xmlns="bd99c180-279b-44c3-9486-dd050336677e">0</OSC_StateA_12_7Number_of_Respondents>
    <OSC_StateA_12_8Total_Burden_Hours xmlns="bd99c180-279b-44c3-9486-dd050336677e">0</OSC_StateA_12_8Total_Burden_Hours>
    <OSC_StateA_12_Total_Number_of_Respondents xmlns="ce849d94-b00b-4457-8fdf-7e9e81e05b5e">0</OSC_StateA_12_Total_Number_of_Respondents>
    <OSC_StateA_Assurance_of_Confidentiality_Provided_to_Respondents xmlns="bd99c180-279b-44c3-9486-dd050336677e" xsi:nil="true"/>
    <OSC_StateA_14_2Average_Cost xmlns="bd99c180-279b-44c3-9486-dd050336677e">0</OSC_StateA_14_2Average_Cost>
    <OSC_StateA_12_2Hourly_Wage_Rate xmlns="bd99c180-279b-44c3-9486-dd050336677e">0</OSC_StateA_12_2Hourly_Wage_Rate>
    <_dlc_DocIdUrl xmlns="b5c0ca00-073d-4463-9985-b654f14791fe">
      <Url>https://esp.cdc.gov/sites/ostlts/pip/osc/_layouts/15/DocIdRedir.aspx?ID=OSTLTSDOC-726-208</Url>
      <Description>OSTLTSDOC-726-208</Description>
    </_dlc_DocIdUrl>
    <OSC_StateA_12_2Total_Burden_Hours xmlns="bd99c180-279b-44c3-9486-dd050336677e">0</OSC_StateA_12_2Total_Burden_Hours>
    <OSC_StateA_12_2Type_of_Respondent xmlns="bd99c180-279b-44c3-9486-dd050336677e">=&gt;Enter&lt;=</OSC_StateA_12_2Type_of_Respondent>
    <OSC_StateA_Improved_Information_Technology_and_Burden_Reduction xmlns="bd99c180-279b-44c3-9486-dd050336677e" xsi:nil="true"/>
    <OSC_StateA_12_7Average_Burden_per_Response_in_Hours xmlns="bd99c180-279b-44c3-9486-dd050336677e">=&gt;20/60&lt;=</OSC_StateA_12_7Average_Burden_per_Response_in_Hours>
    <OSC_StateA_12_9Type_of_Respondent xmlns="bd99c180-279b-44c3-9486-dd050336677e">=&gt;Enter&lt;=</OSC_StateA_12_9Type_of_Respondent>
    <OSC_StateA_12_10Type_of_Respondent xmlns="bd99c180-279b-44c3-9486-dd050336677e">=&gt;Enter&lt;=</OSC_StateA_12_10Type_of_Respondent>
    <OSC_StateA_14_5Average_Hours_Per_Collection xmlns="bd99c180-279b-44c3-9486-dd050336677e">0</OSC_StateA_14_5Average_Hours_Per_Collection>
    <OSC_StateA_12_10Total_Burden_Hours xmlns="bd99c180-279b-44c3-9486-dd050336677e">0</OSC_StateA_12_10Total_Burden_Hours>
    <OSC_StateA_12_9Total_Burden_Hours xmlns="bd99c180-279b-44c3-9486-dd050336677e">0</OSC_StateA_12_9Total_Burden_Hours>
    <OSC_StateA_14_6Average_Cost xmlns="bd99c180-279b-44c3-9486-dd050336677e">0</OSC_StateA_14_6Average_Cos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4AD02-3A16-41EE-BCFD-726B0F39EE6D}">
  <ds:schemaRefs>
    <ds:schemaRef ds:uri="http://schemas.microsoft.com/sharepoint/v3/contenttype/forms"/>
  </ds:schemaRefs>
</ds:datastoreItem>
</file>

<file path=customXml/itemProps2.xml><?xml version="1.0" encoding="utf-8"?>
<ds:datastoreItem xmlns:ds="http://schemas.openxmlformats.org/officeDocument/2006/customXml" ds:itemID="{6EDE4CAF-838A-4D71-BB36-786C7F419FC3}">
  <ds:schemaRefs>
    <ds:schemaRef ds:uri="http://schemas.microsoft.com/office/2006/metadata/customXsn"/>
  </ds:schemaRefs>
</ds:datastoreItem>
</file>

<file path=customXml/itemProps3.xml><?xml version="1.0" encoding="utf-8"?>
<ds:datastoreItem xmlns:ds="http://schemas.openxmlformats.org/officeDocument/2006/customXml" ds:itemID="{99763591-E2FA-4A84-8FDE-178537E8AFDC}">
  <ds:schemaRefs>
    <ds:schemaRef ds:uri="http://schemas.microsoft.com/sharepoint/events"/>
  </ds:schemaRefs>
</ds:datastoreItem>
</file>

<file path=customXml/itemProps4.xml><?xml version="1.0" encoding="utf-8"?>
<ds:datastoreItem xmlns:ds="http://schemas.openxmlformats.org/officeDocument/2006/customXml" ds:itemID="{B8EC9813-463E-4073-9CC8-5005E8F726C1}">
  <ds:schemaRefs>
    <ds:schemaRef ds:uri="15b1c282-9287-45cb-9b41-eae3a76919a0"/>
    <ds:schemaRef ds:uri="http://schemas.microsoft.com/office/2006/documentManagement/types"/>
    <ds:schemaRef ds:uri="ce849d94-b00b-4457-8fdf-7e9e81e05b5e"/>
    <ds:schemaRef ds:uri="b5c0ca00-073d-4463-9985-b654f14791f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bd99c180-279b-44c3-9486-dd050336677e"/>
    <ds:schemaRef ds:uri="http://www.w3.org/XML/1998/namespace"/>
    <ds:schemaRef ds:uri="http://purl.org/dc/dcmitype/"/>
  </ds:schemaRefs>
</ds:datastoreItem>
</file>

<file path=customXml/itemProps5.xml><?xml version="1.0" encoding="utf-8"?>
<ds:datastoreItem xmlns:ds="http://schemas.openxmlformats.org/officeDocument/2006/customXml" ds:itemID="{833B9794-824A-4844-B256-6E0D815F4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C3EB42-D0DA-4B11-ACCE-01DFA901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4599</Words>
  <Characters>26215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gel2</dc:creator>
  <cp:keywords/>
  <dc:description/>
  <cp:lastModifiedBy>SYSTEM</cp:lastModifiedBy>
  <cp:revision>2</cp:revision>
  <cp:lastPrinted>2017-11-28T14:52:00Z</cp:lastPrinted>
  <dcterms:created xsi:type="dcterms:W3CDTF">2019-06-04T18:34:00Z</dcterms:created>
  <dcterms:modified xsi:type="dcterms:W3CDTF">2019-06-04T18:34:00Z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789e60cb-dffc-43fb-9eba-02c019fa4670</vt:lpwstr>
  </property>
</Properties>
</file>