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C87BB" w14:textId="77777777" w:rsidR="00D45E85" w:rsidRDefault="00D45E85" w:rsidP="00F650A3">
      <w:pPr>
        <w:ind w:left="0"/>
        <w:jc w:val="center"/>
        <w:rPr>
          <w:b/>
          <w:color w:val="0070C0"/>
          <w:sz w:val="40"/>
        </w:rPr>
      </w:pPr>
      <w:bookmarkStart w:id="0" w:name="_GoBack"/>
      <w:bookmarkEnd w:id="0"/>
    </w:p>
    <w:p w14:paraId="64F62900" w14:textId="77777777" w:rsidR="00D45E85" w:rsidRDefault="00D45E85" w:rsidP="00F650A3">
      <w:pPr>
        <w:ind w:left="0"/>
        <w:jc w:val="center"/>
        <w:rPr>
          <w:b/>
          <w:color w:val="0070C0"/>
          <w:sz w:val="40"/>
        </w:rPr>
      </w:pPr>
    </w:p>
    <w:p w14:paraId="6B2AE569" w14:textId="77777777" w:rsidR="00D45E85" w:rsidRDefault="00D45E85" w:rsidP="00F650A3">
      <w:pPr>
        <w:ind w:left="0"/>
        <w:jc w:val="center"/>
        <w:rPr>
          <w:b/>
          <w:color w:val="0070C0"/>
          <w:sz w:val="40"/>
        </w:rPr>
      </w:pPr>
    </w:p>
    <w:p w14:paraId="0E886D7A" w14:textId="77777777" w:rsidR="00D45E85" w:rsidRDefault="00D45E85" w:rsidP="00F650A3">
      <w:pPr>
        <w:ind w:left="0"/>
        <w:jc w:val="center"/>
        <w:rPr>
          <w:b/>
          <w:color w:val="0070C0"/>
          <w:sz w:val="40"/>
        </w:rPr>
      </w:pPr>
    </w:p>
    <w:p w14:paraId="38BA0625" w14:textId="77777777" w:rsidR="00D45E85" w:rsidRDefault="00D45E85" w:rsidP="00F650A3">
      <w:pPr>
        <w:ind w:left="0"/>
        <w:jc w:val="center"/>
        <w:rPr>
          <w:b/>
          <w:color w:val="0070C0"/>
          <w:sz w:val="40"/>
        </w:rPr>
      </w:pPr>
    </w:p>
    <w:p w14:paraId="1767103E" w14:textId="77777777" w:rsidR="00D45E85" w:rsidRDefault="00D45E85" w:rsidP="00F650A3">
      <w:pPr>
        <w:ind w:left="0"/>
        <w:jc w:val="center"/>
        <w:rPr>
          <w:b/>
          <w:color w:val="0070C0"/>
          <w:sz w:val="40"/>
        </w:rPr>
      </w:pPr>
    </w:p>
    <w:p w14:paraId="7197B2B6" w14:textId="2D492D42" w:rsidR="00AA3192" w:rsidRPr="002044BA" w:rsidRDefault="006A0C4F" w:rsidP="00F650A3">
      <w:pPr>
        <w:ind w:left="0"/>
        <w:jc w:val="center"/>
      </w:pPr>
      <w:r w:rsidRPr="002044BA">
        <w:rPr>
          <w:b/>
          <w:sz w:val="40"/>
        </w:rPr>
        <w:t xml:space="preserve">Pre-Hospital </w:t>
      </w:r>
      <w:r w:rsidR="00896F95" w:rsidRPr="002044BA">
        <w:rPr>
          <w:b/>
          <w:sz w:val="40"/>
        </w:rPr>
        <w:t>Stroke Systems of Care</w:t>
      </w:r>
      <w:r w:rsidR="00A476AD" w:rsidRPr="002044BA">
        <w:rPr>
          <w:b/>
          <w:sz w:val="40"/>
        </w:rPr>
        <w:t xml:space="preserve">: </w:t>
      </w:r>
      <w:r w:rsidR="00041F96" w:rsidRPr="002044BA">
        <w:rPr>
          <w:b/>
          <w:sz w:val="40"/>
        </w:rPr>
        <w:t xml:space="preserve"> </w:t>
      </w:r>
      <w:r w:rsidR="00A476AD" w:rsidRPr="002044BA">
        <w:rPr>
          <w:b/>
          <w:sz w:val="40"/>
        </w:rPr>
        <w:t xml:space="preserve">Emergency Medical Service System (EMSS) </w:t>
      </w:r>
      <w:r w:rsidR="00041F96" w:rsidRPr="002044BA">
        <w:rPr>
          <w:b/>
          <w:sz w:val="40"/>
        </w:rPr>
        <w:t>Implementation</w:t>
      </w:r>
      <w:r w:rsidRPr="002044BA">
        <w:rPr>
          <w:b/>
          <w:sz w:val="40"/>
        </w:rPr>
        <w:t xml:space="preserve"> Assessment</w:t>
      </w:r>
      <w:r w:rsidR="00041F96" w:rsidRPr="002044BA">
        <w:rPr>
          <w:b/>
          <w:sz w:val="40"/>
        </w:rPr>
        <w:t xml:space="preserve"> </w:t>
      </w:r>
    </w:p>
    <w:p w14:paraId="63AFE60D"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6E197D53" w14:textId="77777777" w:rsidR="00484011" w:rsidRPr="00AA3192" w:rsidRDefault="00484011" w:rsidP="00CA5840">
      <w:pPr>
        <w:ind w:left="0"/>
        <w:jc w:val="center"/>
      </w:pPr>
      <w:r w:rsidRPr="00AA3192">
        <w:t>OMB No. 0920-0879</w:t>
      </w:r>
    </w:p>
    <w:p w14:paraId="62E9DBFA" w14:textId="77777777" w:rsidR="009B4A51" w:rsidRDefault="009B4A51" w:rsidP="00CA5840">
      <w:pPr>
        <w:ind w:left="0"/>
      </w:pPr>
    </w:p>
    <w:p w14:paraId="40A8E55B" w14:textId="4B9018F4" w:rsidR="00AA3192" w:rsidRDefault="00AA3192" w:rsidP="00CA5840">
      <w:pPr>
        <w:ind w:left="0"/>
      </w:pPr>
    </w:p>
    <w:p w14:paraId="721A1EA8" w14:textId="02CFE59C" w:rsidR="00D45E85" w:rsidRDefault="00D45E85" w:rsidP="00CA5840">
      <w:pPr>
        <w:ind w:left="0"/>
      </w:pPr>
    </w:p>
    <w:p w14:paraId="755C1FAE" w14:textId="5A2D1F3B" w:rsidR="00D45E85" w:rsidRDefault="00D45E85" w:rsidP="00CA5840">
      <w:pPr>
        <w:ind w:left="0"/>
      </w:pPr>
    </w:p>
    <w:p w14:paraId="2A739E3D" w14:textId="77777777" w:rsidR="009B4A51" w:rsidRDefault="009B4A51" w:rsidP="00A1453A">
      <w:pPr>
        <w:pStyle w:val="Heading2"/>
        <w:ind w:left="0"/>
      </w:pPr>
      <w:r w:rsidRPr="007D6163">
        <w:t>Supporting Statement – Section A</w:t>
      </w:r>
    </w:p>
    <w:p w14:paraId="308A5D42" w14:textId="77777777" w:rsidR="00187D5A" w:rsidRDefault="00187D5A" w:rsidP="00CA5840">
      <w:pPr>
        <w:ind w:left="0"/>
      </w:pPr>
    </w:p>
    <w:p w14:paraId="2BECA0AA" w14:textId="22E72C05" w:rsidR="00771DCA" w:rsidRPr="003244AE" w:rsidRDefault="009B4A51" w:rsidP="00CA5840">
      <w:pPr>
        <w:ind w:left="0"/>
        <w:jc w:val="center"/>
      </w:pPr>
      <w:r w:rsidRPr="00AA3192">
        <w:t>Submitted:</w:t>
      </w:r>
      <w:r w:rsidRPr="00713412">
        <w:rPr>
          <w:color w:val="0070C0"/>
        </w:rPr>
        <w:t xml:space="preserve"> </w:t>
      </w:r>
      <w:r w:rsidR="000C5E22">
        <w:t>July 2, 2019</w:t>
      </w:r>
      <w:r w:rsidR="00D45E85" w:rsidRPr="003244AE">
        <w:t xml:space="preserve"> </w:t>
      </w:r>
    </w:p>
    <w:p w14:paraId="758FD6B6" w14:textId="706D84FF" w:rsidR="009B4A51" w:rsidRDefault="009B4A51" w:rsidP="007D6163"/>
    <w:p w14:paraId="34942D8A" w14:textId="47191B6E" w:rsidR="00D45E85" w:rsidRDefault="00D45E85" w:rsidP="007D6163"/>
    <w:p w14:paraId="293E1B49" w14:textId="555BE106" w:rsidR="00D45E85" w:rsidRDefault="00D45E85" w:rsidP="007D6163"/>
    <w:p w14:paraId="40D49466" w14:textId="68EAE971" w:rsidR="00D45E85" w:rsidRDefault="00D45E85" w:rsidP="007D6163"/>
    <w:p w14:paraId="170A7DED" w14:textId="079F221D" w:rsidR="00D45E85" w:rsidRDefault="00D45E85" w:rsidP="007D6163"/>
    <w:p w14:paraId="7EEC7392" w14:textId="38F62B1D" w:rsidR="00D45E85" w:rsidRDefault="00D45E85" w:rsidP="007D6163"/>
    <w:p w14:paraId="260FD971" w14:textId="714253BA" w:rsidR="00D45E85" w:rsidRDefault="00D45E85" w:rsidP="007D6163"/>
    <w:p w14:paraId="2A2CFD5A" w14:textId="77777777" w:rsidR="009B4A51" w:rsidRDefault="009B4A51" w:rsidP="007D6163"/>
    <w:p w14:paraId="1B003BA4"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72FCC32A" w14:textId="77777777" w:rsidR="00867355" w:rsidRPr="00F37D40" w:rsidRDefault="00867355" w:rsidP="00867355">
      <w:pPr>
        <w:ind w:left="0"/>
        <w:rPr>
          <w:color w:val="000000" w:themeColor="text1"/>
        </w:rPr>
      </w:pPr>
      <w:r w:rsidRPr="00F37D40">
        <w:rPr>
          <w:color w:val="000000" w:themeColor="text1"/>
        </w:rPr>
        <w:t>Name: Erika Fulmer</w:t>
      </w:r>
      <w:r w:rsidRPr="00F37D40">
        <w:rPr>
          <w:color w:val="000000" w:themeColor="text1"/>
        </w:rPr>
        <w:tab/>
      </w:r>
    </w:p>
    <w:p w14:paraId="65D81220" w14:textId="77777777" w:rsidR="00867355" w:rsidRPr="00F37D40" w:rsidRDefault="00867355" w:rsidP="00867355">
      <w:pPr>
        <w:ind w:left="0"/>
        <w:rPr>
          <w:color w:val="000000" w:themeColor="text1"/>
        </w:rPr>
      </w:pPr>
      <w:r w:rsidRPr="00F37D40">
        <w:rPr>
          <w:color w:val="000000" w:themeColor="text1"/>
        </w:rPr>
        <w:t>Title: Policy Analyst</w:t>
      </w:r>
    </w:p>
    <w:p w14:paraId="2D3C36CF" w14:textId="77777777" w:rsidR="00867355" w:rsidRPr="00F37D40" w:rsidRDefault="00867355" w:rsidP="00867355">
      <w:pPr>
        <w:ind w:left="0"/>
        <w:rPr>
          <w:color w:val="000000" w:themeColor="text1"/>
        </w:rPr>
      </w:pPr>
      <w:r w:rsidRPr="00F37D40">
        <w:rPr>
          <w:color w:val="000000" w:themeColor="text1"/>
        </w:rPr>
        <w:t>Organization: Division for Heart Disease and Stroke Prevention, Centers for Disease Control and Prevention</w:t>
      </w:r>
    </w:p>
    <w:p w14:paraId="7A0F6D3A" w14:textId="77777777" w:rsidR="00867355" w:rsidRPr="00F37D40" w:rsidRDefault="00867355" w:rsidP="00867355">
      <w:pPr>
        <w:ind w:left="0"/>
        <w:rPr>
          <w:color w:val="000000" w:themeColor="text1"/>
        </w:rPr>
      </w:pPr>
      <w:r w:rsidRPr="00F37D40">
        <w:rPr>
          <w:color w:val="000000" w:themeColor="text1"/>
        </w:rPr>
        <w:t xml:space="preserve">Address: 4770 Buford Highway, NE; Mailstop F-75; Atlanta, GA 30341 </w:t>
      </w:r>
    </w:p>
    <w:p w14:paraId="3CDE3598" w14:textId="77777777" w:rsidR="00867355" w:rsidRPr="00F37D40" w:rsidRDefault="00867355" w:rsidP="00867355">
      <w:pPr>
        <w:ind w:left="0"/>
        <w:rPr>
          <w:color w:val="000000" w:themeColor="text1"/>
        </w:rPr>
      </w:pPr>
      <w:r w:rsidRPr="00F37D40">
        <w:rPr>
          <w:color w:val="000000" w:themeColor="text1"/>
        </w:rPr>
        <w:t xml:space="preserve">Phone: 770-488-5334 </w:t>
      </w:r>
    </w:p>
    <w:p w14:paraId="33BAD4DF" w14:textId="77777777" w:rsidR="00867355" w:rsidRPr="00F37D40" w:rsidRDefault="00867355" w:rsidP="00867355">
      <w:pPr>
        <w:ind w:left="0"/>
        <w:rPr>
          <w:color w:val="000000" w:themeColor="text1"/>
        </w:rPr>
      </w:pPr>
      <w:r w:rsidRPr="00F37D40">
        <w:rPr>
          <w:color w:val="000000" w:themeColor="text1"/>
        </w:rPr>
        <w:t xml:space="preserve">Fax: 770-488-5848 </w:t>
      </w:r>
    </w:p>
    <w:p w14:paraId="1B553A35" w14:textId="089FC9B7" w:rsidR="00F37D40" w:rsidRPr="00AA72F1" w:rsidRDefault="00867355" w:rsidP="00867355">
      <w:pPr>
        <w:ind w:left="0"/>
        <w:rPr>
          <w:color w:val="0070C0"/>
        </w:rPr>
      </w:pPr>
      <w:r w:rsidRPr="00F37D40">
        <w:rPr>
          <w:color w:val="000000" w:themeColor="text1"/>
        </w:rPr>
        <w:t>Email</w:t>
      </w:r>
      <w:r w:rsidRPr="00867355">
        <w:rPr>
          <w:color w:val="0070C0"/>
        </w:rPr>
        <w:t xml:space="preserve">: </w:t>
      </w:r>
      <w:hyperlink r:id="rId14" w:history="1">
        <w:r w:rsidR="00F37D40" w:rsidRPr="00FE0DE1">
          <w:rPr>
            <w:rStyle w:val="Hyperlink"/>
          </w:rPr>
          <w:t>Duj2@cdc.gov</w:t>
        </w:r>
      </w:hyperlink>
    </w:p>
    <w:p w14:paraId="2FA6D501" w14:textId="77777777" w:rsidR="003860A5" w:rsidRDefault="003860A5" w:rsidP="003860A5">
      <w:pPr>
        <w:pStyle w:val="Heading3"/>
        <w:ind w:left="0"/>
      </w:pPr>
      <w:bookmarkStart w:id="1" w:name="_Toc427752811"/>
      <w:r>
        <w:lastRenderedPageBreak/>
        <w:t>Table of Contents</w:t>
      </w:r>
      <w:bookmarkEnd w:id="1"/>
    </w:p>
    <w:p w14:paraId="2E46415C" w14:textId="77777777" w:rsidR="003860A5" w:rsidRPr="003860A5" w:rsidRDefault="003860A5" w:rsidP="003860A5"/>
    <w:p w14:paraId="58463086" w14:textId="459C9BA3"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0C5E22">
          <w:rPr>
            <w:noProof/>
            <w:webHidden/>
          </w:rPr>
          <w:t>2</w:t>
        </w:r>
        <w:r w:rsidR="00CC4DAB">
          <w:rPr>
            <w:noProof/>
            <w:webHidden/>
          </w:rPr>
          <w:fldChar w:fldCharType="end"/>
        </w:r>
      </w:hyperlink>
    </w:p>
    <w:p w14:paraId="17C0772C" w14:textId="2A436433" w:rsidR="00CC4DAB" w:rsidRDefault="0044489D">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0C5E22">
          <w:rPr>
            <w:noProof/>
            <w:webHidden/>
          </w:rPr>
          <w:t>3</w:t>
        </w:r>
        <w:r w:rsidR="00CC4DAB">
          <w:rPr>
            <w:noProof/>
            <w:webHidden/>
          </w:rPr>
          <w:fldChar w:fldCharType="end"/>
        </w:r>
      </w:hyperlink>
    </w:p>
    <w:p w14:paraId="4DA89B71" w14:textId="366CC8A3" w:rsidR="00CC4DAB" w:rsidRDefault="0044489D">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0C5E22">
          <w:rPr>
            <w:noProof/>
            <w:webHidden/>
          </w:rPr>
          <w:t>3</w:t>
        </w:r>
        <w:r w:rsidR="00CC4DAB">
          <w:rPr>
            <w:noProof/>
            <w:webHidden/>
          </w:rPr>
          <w:fldChar w:fldCharType="end"/>
        </w:r>
      </w:hyperlink>
    </w:p>
    <w:p w14:paraId="58600A54" w14:textId="166721AB" w:rsidR="00CC4DAB" w:rsidRDefault="0044489D">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0C5E22">
          <w:rPr>
            <w:noProof/>
            <w:webHidden/>
          </w:rPr>
          <w:t>6</w:t>
        </w:r>
        <w:r w:rsidR="00CC4DAB">
          <w:rPr>
            <w:noProof/>
            <w:webHidden/>
          </w:rPr>
          <w:fldChar w:fldCharType="end"/>
        </w:r>
      </w:hyperlink>
    </w:p>
    <w:p w14:paraId="77790EE8" w14:textId="70156CEF" w:rsidR="00CC4DAB" w:rsidRDefault="0044489D">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0C5E22">
          <w:rPr>
            <w:noProof/>
            <w:webHidden/>
          </w:rPr>
          <w:t>6</w:t>
        </w:r>
        <w:r w:rsidR="00CC4DAB">
          <w:rPr>
            <w:noProof/>
            <w:webHidden/>
          </w:rPr>
          <w:fldChar w:fldCharType="end"/>
        </w:r>
      </w:hyperlink>
    </w:p>
    <w:p w14:paraId="7A3DC4AD" w14:textId="29E47817" w:rsidR="00CC4DAB" w:rsidRDefault="0044489D">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0C5E22">
          <w:rPr>
            <w:noProof/>
            <w:webHidden/>
          </w:rPr>
          <w:t>6</w:t>
        </w:r>
        <w:r w:rsidR="00CC4DAB">
          <w:rPr>
            <w:noProof/>
            <w:webHidden/>
          </w:rPr>
          <w:fldChar w:fldCharType="end"/>
        </w:r>
      </w:hyperlink>
    </w:p>
    <w:p w14:paraId="2EAF1E5B" w14:textId="5D82D5DE" w:rsidR="00CC4DAB" w:rsidRDefault="0044489D">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0C5E22">
          <w:rPr>
            <w:noProof/>
            <w:webHidden/>
          </w:rPr>
          <w:t>7</w:t>
        </w:r>
        <w:r w:rsidR="00CC4DAB">
          <w:rPr>
            <w:noProof/>
            <w:webHidden/>
          </w:rPr>
          <w:fldChar w:fldCharType="end"/>
        </w:r>
      </w:hyperlink>
    </w:p>
    <w:p w14:paraId="0F2C4621" w14:textId="62E250DD" w:rsidR="00CC4DAB" w:rsidRDefault="0044489D">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0C5E22">
          <w:rPr>
            <w:noProof/>
            <w:webHidden/>
          </w:rPr>
          <w:t>7</w:t>
        </w:r>
        <w:r w:rsidR="00CC4DAB">
          <w:rPr>
            <w:noProof/>
            <w:webHidden/>
          </w:rPr>
          <w:fldChar w:fldCharType="end"/>
        </w:r>
      </w:hyperlink>
    </w:p>
    <w:p w14:paraId="308B14E4" w14:textId="2B54B90C" w:rsidR="00CC4DAB" w:rsidRDefault="0044489D">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0C5E22">
          <w:rPr>
            <w:noProof/>
            <w:webHidden/>
          </w:rPr>
          <w:t>7</w:t>
        </w:r>
        <w:r w:rsidR="00CC4DAB">
          <w:rPr>
            <w:noProof/>
            <w:webHidden/>
          </w:rPr>
          <w:fldChar w:fldCharType="end"/>
        </w:r>
      </w:hyperlink>
    </w:p>
    <w:p w14:paraId="62AD2B71" w14:textId="4AC50941" w:rsidR="00CC4DAB" w:rsidRDefault="0044489D">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0C5E22">
          <w:rPr>
            <w:noProof/>
            <w:webHidden/>
          </w:rPr>
          <w:t>7</w:t>
        </w:r>
        <w:r w:rsidR="00CC4DAB">
          <w:rPr>
            <w:noProof/>
            <w:webHidden/>
          </w:rPr>
          <w:fldChar w:fldCharType="end"/>
        </w:r>
      </w:hyperlink>
    </w:p>
    <w:p w14:paraId="28688C3B" w14:textId="22D4BD80" w:rsidR="00CC4DAB" w:rsidRDefault="0044489D">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0C5E22">
          <w:rPr>
            <w:noProof/>
            <w:webHidden/>
          </w:rPr>
          <w:t>7</w:t>
        </w:r>
        <w:r w:rsidR="00CC4DAB">
          <w:rPr>
            <w:noProof/>
            <w:webHidden/>
          </w:rPr>
          <w:fldChar w:fldCharType="end"/>
        </w:r>
      </w:hyperlink>
    </w:p>
    <w:p w14:paraId="4DD888C7" w14:textId="7B5533D9" w:rsidR="00CC4DAB" w:rsidRDefault="0044489D">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0C5E22">
          <w:rPr>
            <w:noProof/>
            <w:webHidden/>
          </w:rPr>
          <w:t>7</w:t>
        </w:r>
        <w:r w:rsidR="00CC4DAB">
          <w:rPr>
            <w:noProof/>
            <w:webHidden/>
          </w:rPr>
          <w:fldChar w:fldCharType="end"/>
        </w:r>
      </w:hyperlink>
    </w:p>
    <w:p w14:paraId="07040FDD" w14:textId="4BE15954" w:rsidR="00CC4DAB" w:rsidRDefault="0044489D">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0C5E22">
          <w:rPr>
            <w:noProof/>
            <w:webHidden/>
          </w:rPr>
          <w:t>7</w:t>
        </w:r>
        <w:r w:rsidR="00CC4DAB">
          <w:rPr>
            <w:noProof/>
            <w:webHidden/>
          </w:rPr>
          <w:fldChar w:fldCharType="end"/>
        </w:r>
      </w:hyperlink>
    </w:p>
    <w:p w14:paraId="41E15565" w14:textId="0F1FE13A" w:rsidR="00CC4DAB" w:rsidRDefault="0044489D">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0C5E22">
          <w:rPr>
            <w:noProof/>
            <w:webHidden/>
          </w:rPr>
          <w:t>8</w:t>
        </w:r>
        <w:r w:rsidR="00CC4DAB">
          <w:rPr>
            <w:noProof/>
            <w:webHidden/>
          </w:rPr>
          <w:fldChar w:fldCharType="end"/>
        </w:r>
      </w:hyperlink>
    </w:p>
    <w:p w14:paraId="7C95E1CC" w14:textId="7A74A74A" w:rsidR="00CC4DAB" w:rsidRDefault="0044489D">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0C5E22">
          <w:rPr>
            <w:noProof/>
            <w:webHidden/>
          </w:rPr>
          <w:t>8</w:t>
        </w:r>
        <w:r w:rsidR="00CC4DAB">
          <w:rPr>
            <w:noProof/>
            <w:webHidden/>
          </w:rPr>
          <w:fldChar w:fldCharType="end"/>
        </w:r>
      </w:hyperlink>
    </w:p>
    <w:p w14:paraId="1D0454B5" w14:textId="368B9E62" w:rsidR="00CC4DAB" w:rsidRDefault="0044489D">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0C5E22">
          <w:rPr>
            <w:noProof/>
            <w:webHidden/>
          </w:rPr>
          <w:t>9</w:t>
        </w:r>
        <w:r w:rsidR="00CC4DAB">
          <w:rPr>
            <w:noProof/>
            <w:webHidden/>
          </w:rPr>
          <w:fldChar w:fldCharType="end"/>
        </w:r>
      </w:hyperlink>
    </w:p>
    <w:p w14:paraId="4A32787F" w14:textId="3B09466F" w:rsidR="00CC4DAB" w:rsidRDefault="0044489D">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0C5E22">
          <w:rPr>
            <w:noProof/>
            <w:webHidden/>
          </w:rPr>
          <w:t>9</w:t>
        </w:r>
        <w:r w:rsidR="00CC4DAB">
          <w:rPr>
            <w:noProof/>
            <w:webHidden/>
          </w:rPr>
          <w:fldChar w:fldCharType="end"/>
        </w:r>
      </w:hyperlink>
    </w:p>
    <w:p w14:paraId="0D458AB0" w14:textId="17155D1B" w:rsidR="00CC4DAB" w:rsidRDefault="0044489D">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0C5E22">
          <w:rPr>
            <w:noProof/>
            <w:webHidden/>
          </w:rPr>
          <w:t>9</w:t>
        </w:r>
        <w:r w:rsidR="00CC4DAB">
          <w:rPr>
            <w:noProof/>
            <w:webHidden/>
          </w:rPr>
          <w:fldChar w:fldCharType="end"/>
        </w:r>
      </w:hyperlink>
    </w:p>
    <w:p w14:paraId="3FE640A7" w14:textId="5B02C5D4" w:rsidR="00CC4DAB" w:rsidRDefault="0044489D">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0C5E22">
          <w:rPr>
            <w:noProof/>
            <w:webHidden/>
          </w:rPr>
          <w:t>10</w:t>
        </w:r>
        <w:r w:rsidR="00CC4DAB">
          <w:rPr>
            <w:noProof/>
            <w:webHidden/>
          </w:rPr>
          <w:fldChar w:fldCharType="end"/>
        </w:r>
      </w:hyperlink>
    </w:p>
    <w:p w14:paraId="7F4B21C7" w14:textId="5B0C16FA" w:rsidR="00CC4DAB" w:rsidRDefault="0044489D">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0C5E22">
          <w:rPr>
            <w:noProof/>
            <w:webHidden/>
          </w:rPr>
          <w:t>10</w:t>
        </w:r>
        <w:r w:rsidR="00CC4DAB">
          <w:rPr>
            <w:noProof/>
            <w:webHidden/>
          </w:rPr>
          <w:fldChar w:fldCharType="end"/>
        </w:r>
      </w:hyperlink>
    </w:p>
    <w:p w14:paraId="005BCAB4" w14:textId="1B552862" w:rsidR="00CC4DAB" w:rsidRDefault="0044489D">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0C5E22">
          <w:rPr>
            <w:noProof/>
            <w:webHidden/>
          </w:rPr>
          <w:t>10</w:t>
        </w:r>
        <w:r w:rsidR="00CC4DAB">
          <w:rPr>
            <w:noProof/>
            <w:webHidden/>
          </w:rPr>
          <w:fldChar w:fldCharType="end"/>
        </w:r>
      </w:hyperlink>
    </w:p>
    <w:p w14:paraId="5C7C1529" w14:textId="1C1AD90B" w:rsidR="00CC4DAB" w:rsidRDefault="0044489D">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0C5E22">
          <w:rPr>
            <w:noProof/>
            <w:webHidden/>
          </w:rPr>
          <w:t>10</w:t>
        </w:r>
        <w:r w:rsidR="00CC4DAB">
          <w:rPr>
            <w:noProof/>
            <w:webHidden/>
          </w:rPr>
          <w:fldChar w:fldCharType="end"/>
        </w:r>
      </w:hyperlink>
    </w:p>
    <w:p w14:paraId="1F44A176" w14:textId="77777777" w:rsidR="003860A5" w:rsidRDefault="003860A5" w:rsidP="00CA5840">
      <w:pPr>
        <w:pStyle w:val="Heading3"/>
        <w:ind w:left="0"/>
      </w:pPr>
      <w:r>
        <w:fldChar w:fldCharType="end"/>
      </w:r>
    </w:p>
    <w:p w14:paraId="26F2EC62" w14:textId="77777777"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mc:AlternateContent>
          <mc:Choice Requires="wps">
            <w:drawing>
              <wp:inline distT="0" distB="0" distL="0" distR="0" wp14:anchorId="638C9B8A" wp14:editId="5FDEB135">
                <wp:extent cx="6162675" cy="39147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914775"/>
                        </a:xfrm>
                        <a:prstGeom prst="rect">
                          <a:avLst/>
                        </a:prstGeom>
                        <a:solidFill>
                          <a:srgbClr val="FFFFFF"/>
                        </a:solidFill>
                        <a:ln w="9525">
                          <a:solidFill>
                            <a:srgbClr val="000000"/>
                          </a:solidFill>
                          <a:miter lim="800000"/>
                          <a:headEnd/>
                          <a:tailEnd/>
                        </a:ln>
                      </wps:spPr>
                      <wps:txbx>
                        <w:txbxContent>
                          <w:p w14:paraId="53398F16" w14:textId="04805C7E" w:rsidR="000F6D46" w:rsidRDefault="000F6D46" w:rsidP="00224E6C">
                            <w:pPr>
                              <w:pStyle w:val="ListParagraph"/>
                              <w:numPr>
                                <w:ilvl w:val="0"/>
                                <w:numId w:val="8"/>
                              </w:numPr>
                              <w:tabs>
                                <w:tab w:val="clear" w:pos="9360"/>
                              </w:tabs>
                              <w:spacing w:after="200"/>
                            </w:pPr>
                            <w:r w:rsidRPr="004C36AE">
                              <w:rPr>
                                <w:b/>
                              </w:rPr>
                              <w:t>Purpose</w:t>
                            </w:r>
                            <w:r w:rsidRPr="00B23299">
                              <w:rPr>
                                <w:b/>
                              </w:rPr>
                              <w:t xml:space="preserve"> of the data collection </w:t>
                            </w:r>
                            <w:r w:rsidRPr="004C36AE">
                              <w:t xml:space="preserve">To </w:t>
                            </w:r>
                            <w:r>
                              <w:t>identify</w:t>
                            </w:r>
                            <w:r w:rsidRPr="00F37D40">
                              <w:t xml:space="preserve"> </w:t>
                            </w:r>
                            <w:r>
                              <w:t xml:space="preserve">effective strategies and potential challenges associated with </w:t>
                            </w:r>
                            <w:r w:rsidRPr="00224E6C">
                              <w:t>the implementation of emergency medical service system (EMSS) based activities</w:t>
                            </w:r>
                            <w:r>
                              <w:t xml:space="preserve"> to enhance </w:t>
                            </w:r>
                            <w:r w:rsidRPr="00224E6C">
                              <w:t>stroke systems of care</w:t>
                            </w:r>
                            <w:r>
                              <w:t xml:space="preserve">. These EMSS based activities are coordinated by state agencies, including state health departments, and involve the </w:t>
                            </w:r>
                            <w:r w:rsidRPr="00F37D40">
                              <w:t xml:space="preserve">pre-notification, triage, transport, and transfer of </w:t>
                            </w:r>
                            <w:r>
                              <w:t xml:space="preserve">stroke </w:t>
                            </w:r>
                            <w:r w:rsidRPr="00F37D40">
                              <w:t xml:space="preserve">patients to the most appropriate stroke facility.  </w:t>
                            </w:r>
                          </w:p>
                          <w:p w14:paraId="2F158A1E" w14:textId="77777777" w:rsidR="000F6D46" w:rsidRDefault="000F6D46" w:rsidP="00A476AD">
                            <w:pPr>
                              <w:pStyle w:val="ListParagraph"/>
                              <w:tabs>
                                <w:tab w:val="clear" w:pos="9360"/>
                              </w:tabs>
                              <w:spacing w:after="200"/>
                              <w:ind w:left="360"/>
                            </w:pPr>
                          </w:p>
                          <w:p w14:paraId="5E5D88C3" w14:textId="0ADCF864" w:rsidR="000F6D46" w:rsidRPr="004C36AE" w:rsidRDefault="000F6D46" w:rsidP="00F7524B">
                            <w:pPr>
                              <w:pStyle w:val="ListParagraph"/>
                              <w:numPr>
                                <w:ilvl w:val="0"/>
                                <w:numId w:val="8"/>
                              </w:numPr>
                              <w:tabs>
                                <w:tab w:val="clear" w:pos="9360"/>
                              </w:tabs>
                              <w:spacing w:after="200"/>
                            </w:pPr>
                            <w:r w:rsidRPr="004C36AE">
                              <w:rPr>
                                <w:b/>
                              </w:rPr>
                              <w:t>Intended use of the resulting data</w:t>
                            </w:r>
                            <w:r w:rsidRPr="007B7C44">
                              <w:rPr>
                                <w:b/>
                              </w:rPr>
                              <w:t xml:space="preserve"> </w:t>
                            </w:r>
                            <w:r w:rsidRPr="001A6250">
                              <w:t>Data will be used to inform CDC about issues related to implementation of EMSS based activities to enhance stroke systems of care and to examine these issues to develop technical assistance material for state health departments and EMSS coordinators.   The information will be disseminated to the intended audiences via conference presentations, webinars, fact sheets and implementation guides</w:t>
                            </w:r>
                            <w:r>
                              <w:t>.</w:t>
                            </w:r>
                          </w:p>
                          <w:p w14:paraId="46F0D4B0" w14:textId="77777777" w:rsidR="000F6D46" w:rsidRPr="004C36AE" w:rsidRDefault="000F6D46" w:rsidP="004C36AE">
                            <w:pPr>
                              <w:pStyle w:val="ListParagraph"/>
                              <w:tabs>
                                <w:tab w:val="clear" w:pos="9360"/>
                              </w:tabs>
                              <w:spacing w:after="200"/>
                              <w:ind w:left="360"/>
                            </w:pPr>
                          </w:p>
                          <w:p w14:paraId="5CB50055" w14:textId="25894562" w:rsidR="000F6D46" w:rsidRPr="004C36AE" w:rsidRDefault="000F6D46" w:rsidP="004C36AE">
                            <w:pPr>
                              <w:pStyle w:val="ListParagraph"/>
                              <w:numPr>
                                <w:ilvl w:val="0"/>
                                <w:numId w:val="8"/>
                              </w:numPr>
                              <w:tabs>
                                <w:tab w:val="clear" w:pos="9360"/>
                              </w:tabs>
                              <w:spacing w:after="200"/>
                            </w:pPr>
                            <w:r w:rsidRPr="00E64A52">
                              <w:rPr>
                                <w:b/>
                              </w:rPr>
                              <w:t>Methods to be used to collect data</w:t>
                            </w:r>
                            <w:r w:rsidRPr="004C36AE">
                              <w:t xml:space="preserve"> </w:t>
                            </w:r>
                            <w:r w:rsidRPr="00E64A52">
                              <w:t>Information will be collected via informant interviews conducted by telephone.</w:t>
                            </w:r>
                          </w:p>
                          <w:p w14:paraId="50010FBC" w14:textId="77777777" w:rsidR="000F6D46" w:rsidRPr="00E64A52" w:rsidRDefault="000F6D46" w:rsidP="004C36AE">
                            <w:pPr>
                              <w:pStyle w:val="ListParagraph"/>
                              <w:tabs>
                                <w:tab w:val="clear" w:pos="9360"/>
                              </w:tabs>
                              <w:spacing w:after="200"/>
                              <w:ind w:left="360"/>
                            </w:pPr>
                          </w:p>
                          <w:p w14:paraId="1659D3B9" w14:textId="538F3CFA" w:rsidR="000F6D46" w:rsidRPr="00E64A52" w:rsidRDefault="000F6D46" w:rsidP="004C36AE">
                            <w:pPr>
                              <w:pStyle w:val="ListParagraph"/>
                              <w:numPr>
                                <w:ilvl w:val="0"/>
                                <w:numId w:val="8"/>
                              </w:numPr>
                              <w:tabs>
                                <w:tab w:val="clear" w:pos="9360"/>
                              </w:tabs>
                              <w:spacing w:after="200"/>
                            </w:pPr>
                            <w:r w:rsidRPr="00E64A52">
                              <w:rPr>
                                <w:b/>
                              </w:rPr>
                              <w:t>Respondent Universe</w:t>
                            </w:r>
                            <w:r w:rsidRPr="004C36AE">
                              <w:t xml:space="preserve"> </w:t>
                            </w:r>
                            <w:r>
                              <w:t>48</w:t>
                            </w:r>
                            <w:r w:rsidRPr="00E64A52">
                              <w:t xml:space="preserve"> state government staff </w:t>
                            </w:r>
                            <w:r w:rsidRPr="001A6250">
                              <w:t>and their delegates</w:t>
                            </w:r>
                            <w:r w:rsidRPr="00E64A52">
                              <w:t xml:space="preserve"> involved in stroke systems of care in 6 selected states (Georgia, Louisiana, Missouri, Rhode Island, </w:t>
                            </w:r>
                            <w:r>
                              <w:t xml:space="preserve">South Carolina </w:t>
                            </w:r>
                            <w:r w:rsidRPr="00E64A52">
                              <w:t xml:space="preserve">and Wyoming). </w:t>
                            </w:r>
                          </w:p>
                          <w:p w14:paraId="32771E0E" w14:textId="77777777" w:rsidR="000F6D46" w:rsidRDefault="000F6D46" w:rsidP="004C36AE">
                            <w:pPr>
                              <w:pStyle w:val="ListParagraph"/>
                              <w:tabs>
                                <w:tab w:val="clear" w:pos="9360"/>
                              </w:tabs>
                              <w:spacing w:after="200"/>
                              <w:ind w:left="360"/>
                            </w:pPr>
                          </w:p>
                          <w:p w14:paraId="0F1C1D94" w14:textId="25CC8781" w:rsidR="000F6D46" w:rsidRPr="004C36AE" w:rsidRDefault="000F6D46" w:rsidP="004C36AE">
                            <w:pPr>
                              <w:pStyle w:val="ListParagraph"/>
                              <w:numPr>
                                <w:ilvl w:val="0"/>
                                <w:numId w:val="8"/>
                              </w:numPr>
                              <w:tabs>
                                <w:tab w:val="clear" w:pos="9360"/>
                              </w:tabs>
                              <w:spacing w:after="200"/>
                            </w:pPr>
                            <w:r w:rsidRPr="00E64A52">
                              <w:rPr>
                                <w:b/>
                              </w:rPr>
                              <w:t>How data will be analyzed</w:t>
                            </w:r>
                            <w:r w:rsidRPr="004C36AE">
                              <w:t xml:space="preserve"> </w:t>
                            </w:r>
                            <w:r w:rsidRPr="00E64A52">
                              <w:t>Qualitative thematic analysis will be conducted.</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0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">
                <v:textbox>
                  <w:txbxContent>
                    <w:p w14:paraId="53398F16" w14:textId="04805C7E" w:rsidR="000F6D46" w:rsidRDefault="000F6D46" w:rsidP="00224E6C">
                      <w:pPr>
                        <w:pStyle w:val="ListParagraph"/>
                        <w:numPr>
                          <w:ilvl w:val="0"/>
                          <w:numId w:val="8"/>
                        </w:numPr>
                        <w:tabs>
                          <w:tab w:val="clear" w:pos="9360"/>
                        </w:tabs>
                        <w:spacing w:after="200"/>
                      </w:pPr>
                      <w:r w:rsidRPr="004C36AE">
                        <w:rPr>
                          <w:b/>
                        </w:rPr>
                        <w:t>Purpose</w:t>
                      </w:r>
                      <w:r w:rsidRPr="00B23299">
                        <w:rPr>
                          <w:b/>
                        </w:rPr>
                        <w:t xml:space="preserve"> of the data collection </w:t>
                      </w:r>
                      <w:r w:rsidRPr="004C36AE">
                        <w:t xml:space="preserve">To </w:t>
                      </w:r>
                      <w:r>
                        <w:t>identify</w:t>
                      </w:r>
                      <w:r w:rsidRPr="00F37D40">
                        <w:t xml:space="preserve"> </w:t>
                      </w:r>
                      <w:r>
                        <w:t xml:space="preserve">effective strategies and potential challenges associated with </w:t>
                      </w:r>
                      <w:r w:rsidRPr="00224E6C">
                        <w:t>the implementation of emergency medical service system (EMSS) based activities</w:t>
                      </w:r>
                      <w:r>
                        <w:t xml:space="preserve"> to enhance </w:t>
                      </w:r>
                      <w:r w:rsidRPr="00224E6C">
                        <w:t>stroke systems of care</w:t>
                      </w:r>
                      <w:r>
                        <w:t xml:space="preserve">. These EMSS based activities are coordinated by state agencies, including state health departments, and involve the </w:t>
                      </w:r>
                      <w:r w:rsidRPr="00F37D40">
                        <w:t xml:space="preserve">pre-notification, triage, transport, and transfer of </w:t>
                      </w:r>
                      <w:r>
                        <w:t xml:space="preserve">stroke </w:t>
                      </w:r>
                      <w:r w:rsidRPr="00F37D40">
                        <w:t xml:space="preserve">patients to the most appropriate stroke facility.  </w:t>
                      </w:r>
                    </w:p>
                    <w:p w14:paraId="2F158A1E" w14:textId="77777777" w:rsidR="000F6D46" w:rsidRDefault="000F6D46" w:rsidP="00A476AD">
                      <w:pPr>
                        <w:pStyle w:val="ListParagraph"/>
                        <w:tabs>
                          <w:tab w:val="clear" w:pos="9360"/>
                        </w:tabs>
                        <w:spacing w:after="200"/>
                        <w:ind w:left="360"/>
                      </w:pPr>
                    </w:p>
                    <w:p w14:paraId="5E5D88C3" w14:textId="0ADCF864" w:rsidR="000F6D46" w:rsidRPr="004C36AE" w:rsidRDefault="000F6D46" w:rsidP="00F7524B">
                      <w:pPr>
                        <w:pStyle w:val="ListParagraph"/>
                        <w:numPr>
                          <w:ilvl w:val="0"/>
                          <w:numId w:val="8"/>
                        </w:numPr>
                        <w:tabs>
                          <w:tab w:val="clear" w:pos="9360"/>
                        </w:tabs>
                        <w:spacing w:after="200"/>
                      </w:pPr>
                      <w:r w:rsidRPr="004C36AE">
                        <w:rPr>
                          <w:b/>
                        </w:rPr>
                        <w:t>Intended use of the resulting data</w:t>
                      </w:r>
                      <w:r w:rsidRPr="007B7C44">
                        <w:rPr>
                          <w:b/>
                        </w:rPr>
                        <w:t xml:space="preserve"> </w:t>
                      </w:r>
                      <w:r w:rsidRPr="001A6250">
                        <w:t>Data will be used to inform CDC about issues related to implementation of EMSS based activities to enhance stroke systems of care and to examine these issues to develop technical assistance material for state health departments and EMSS coordinators.   The information will be disseminated to the intended audiences via conference presentations, webinars, fact sheets and implementation guides</w:t>
                      </w:r>
                      <w:r>
                        <w:t>.</w:t>
                      </w:r>
                    </w:p>
                    <w:p w14:paraId="46F0D4B0" w14:textId="77777777" w:rsidR="000F6D46" w:rsidRPr="004C36AE" w:rsidRDefault="000F6D46" w:rsidP="004C36AE">
                      <w:pPr>
                        <w:pStyle w:val="ListParagraph"/>
                        <w:tabs>
                          <w:tab w:val="clear" w:pos="9360"/>
                        </w:tabs>
                        <w:spacing w:after="200"/>
                        <w:ind w:left="360"/>
                      </w:pPr>
                    </w:p>
                    <w:p w14:paraId="5CB50055" w14:textId="25894562" w:rsidR="000F6D46" w:rsidRPr="004C36AE" w:rsidRDefault="000F6D46" w:rsidP="004C36AE">
                      <w:pPr>
                        <w:pStyle w:val="ListParagraph"/>
                        <w:numPr>
                          <w:ilvl w:val="0"/>
                          <w:numId w:val="8"/>
                        </w:numPr>
                        <w:tabs>
                          <w:tab w:val="clear" w:pos="9360"/>
                        </w:tabs>
                        <w:spacing w:after="200"/>
                      </w:pPr>
                      <w:r w:rsidRPr="00E64A52">
                        <w:rPr>
                          <w:b/>
                        </w:rPr>
                        <w:t>Methods to be used to collect data</w:t>
                      </w:r>
                      <w:r w:rsidRPr="004C36AE">
                        <w:t xml:space="preserve"> </w:t>
                      </w:r>
                      <w:r w:rsidRPr="00E64A52">
                        <w:t>Information will be collected via informant interviews conducted by telephone.</w:t>
                      </w:r>
                    </w:p>
                    <w:p w14:paraId="50010FBC" w14:textId="77777777" w:rsidR="000F6D46" w:rsidRPr="00E64A52" w:rsidRDefault="000F6D46" w:rsidP="004C36AE">
                      <w:pPr>
                        <w:pStyle w:val="ListParagraph"/>
                        <w:tabs>
                          <w:tab w:val="clear" w:pos="9360"/>
                        </w:tabs>
                        <w:spacing w:after="200"/>
                        <w:ind w:left="360"/>
                      </w:pPr>
                    </w:p>
                    <w:p w14:paraId="1659D3B9" w14:textId="538F3CFA" w:rsidR="000F6D46" w:rsidRPr="00E64A52" w:rsidRDefault="000F6D46" w:rsidP="004C36AE">
                      <w:pPr>
                        <w:pStyle w:val="ListParagraph"/>
                        <w:numPr>
                          <w:ilvl w:val="0"/>
                          <w:numId w:val="8"/>
                        </w:numPr>
                        <w:tabs>
                          <w:tab w:val="clear" w:pos="9360"/>
                        </w:tabs>
                        <w:spacing w:after="200"/>
                      </w:pPr>
                      <w:r w:rsidRPr="00E64A52">
                        <w:rPr>
                          <w:b/>
                        </w:rPr>
                        <w:t>Respondent Universe</w:t>
                      </w:r>
                      <w:r w:rsidRPr="004C36AE">
                        <w:t xml:space="preserve"> </w:t>
                      </w:r>
                      <w:r>
                        <w:t>48</w:t>
                      </w:r>
                      <w:r w:rsidRPr="00E64A52">
                        <w:t xml:space="preserve"> state government staff </w:t>
                      </w:r>
                      <w:r w:rsidRPr="001A6250">
                        <w:t>and their delegates</w:t>
                      </w:r>
                      <w:r w:rsidRPr="00E64A52">
                        <w:t xml:space="preserve"> involved in stroke systems of care in 6 selected states (Georgia, Louisiana, Missouri, Rhode Island, </w:t>
                      </w:r>
                      <w:r>
                        <w:t xml:space="preserve">South Carolina </w:t>
                      </w:r>
                      <w:r w:rsidRPr="00E64A52">
                        <w:t xml:space="preserve">and Wyoming). </w:t>
                      </w:r>
                    </w:p>
                    <w:p w14:paraId="32771E0E" w14:textId="77777777" w:rsidR="000F6D46" w:rsidRDefault="000F6D46" w:rsidP="004C36AE">
                      <w:pPr>
                        <w:pStyle w:val="ListParagraph"/>
                        <w:tabs>
                          <w:tab w:val="clear" w:pos="9360"/>
                        </w:tabs>
                        <w:spacing w:after="200"/>
                        <w:ind w:left="360"/>
                      </w:pPr>
                    </w:p>
                    <w:p w14:paraId="0F1C1D94" w14:textId="25CC8781" w:rsidR="000F6D46" w:rsidRPr="004C36AE" w:rsidRDefault="000F6D46" w:rsidP="004C36AE">
                      <w:pPr>
                        <w:pStyle w:val="ListParagraph"/>
                        <w:numPr>
                          <w:ilvl w:val="0"/>
                          <w:numId w:val="8"/>
                        </w:numPr>
                        <w:tabs>
                          <w:tab w:val="clear" w:pos="9360"/>
                        </w:tabs>
                        <w:spacing w:after="200"/>
                      </w:pPr>
                      <w:r w:rsidRPr="00E64A52">
                        <w:rPr>
                          <w:b/>
                        </w:rPr>
                        <w:t>How data will be analyzed</w:t>
                      </w:r>
                      <w:r w:rsidRPr="004C36AE">
                        <w:t xml:space="preserve"> </w:t>
                      </w:r>
                      <w:r w:rsidRPr="00E64A52">
                        <w:t>Qualitative thematic analysis will be conducted.</w:t>
                      </w:r>
                    </w:p>
                  </w:txbxContent>
                </v:textbox>
                <w10:anchorlock/>
              </v:shape>
            </w:pict>
          </mc:Fallback>
        </mc:AlternateContent>
      </w:r>
      <w:bookmarkEnd w:id="2"/>
      <w:bookmarkEnd w:id="3"/>
    </w:p>
    <w:p w14:paraId="50632E23" w14:textId="77777777" w:rsidR="00487937" w:rsidRDefault="00487937" w:rsidP="00CA5840">
      <w:pPr>
        <w:pStyle w:val="Heading3"/>
        <w:ind w:left="0"/>
      </w:pPr>
    </w:p>
    <w:p w14:paraId="07EDD9F2"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4ACEDB9A" w14:textId="77777777" w:rsidR="00B12F51" w:rsidRDefault="00B12F51" w:rsidP="007D6163"/>
    <w:p w14:paraId="7CCB6FBE"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238AD332" w14:textId="77777777" w:rsidR="00E33E1B" w:rsidRPr="007D6163" w:rsidRDefault="00E33E1B" w:rsidP="007B7C44">
      <w:pPr>
        <w:pStyle w:val="Heading5"/>
        <w:spacing w:after="120"/>
        <w:ind w:left="360"/>
      </w:pPr>
      <w:r w:rsidRPr="008B12FA">
        <w:t>Background</w:t>
      </w:r>
    </w:p>
    <w:p w14:paraId="4770303F" w14:textId="48B33BF9" w:rsidR="009252DC" w:rsidRDefault="004F67A8" w:rsidP="00AA72F1">
      <w:pPr>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5845F8" w:rsidRPr="005845F8">
        <w:t>The respondent universe for this information collection consists of a total of 48 state government staff and their delegates in 6 selected states (Georgia, Louisiana, Missouri, Rhode Island, South Carolina and Wyoming). Respondents acting in their official capacities include 6 State Health Department staff (one from each selected state), 6 state EMS Task Force Directors</w:t>
      </w:r>
      <w:r w:rsidR="005845F8">
        <w:t>,</w:t>
      </w:r>
      <w:r w:rsidR="005845F8" w:rsidRPr="005845F8">
        <w:t xml:space="preserve"> 6 state EMS data managers, 12 state EMS/Stroke Task Force Members, and 18 delegates.</w:t>
      </w:r>
      <w:r w:rsidR="006020E9" w:rsidRPr="006020E9">
        <w:t xml:space="preserve"> </w:t>
      </w:r>
      <w:r w:rsidR="006020E9">
        <w:t xml:space="preserve">The delegates included in this information collection consist of </w:t>
      </w:r>
      <w:r w:rsidR="00C222C9">
        <w:t>EMS</w:t>
      </w:r>
      <w:r w:rsidR="005B3C23">
        <w:t>/Stroke</w:t>
      </w:r>
      <w:r w:rsidR="00C222C9">
        <w:t xml:space="preserve"> Task Force members </w:t>
      </w:r>
      <w:r w:rsidR="006020E9">
        <w:t xml:space="preserve"> directed by the state health or safety departments (through state law and/or formal endorsement) to act on behalf of the STLT government agency staff involved in the provision of essential public health services to most effectively implement stroke systems of care in that jurisdiction.</w:t>
      </w:r>
      <w:r w:rsidR="001B18FC" w:rsidRPr="005402AF">
        <w:rPr>
          <w:vertAlign w:val="superscript"/>
        </w:rPr>
        <w:t>1</w:t>
      </w:r>
      <w:r w:rsidR="006020E9">
        <w:t xml:space="preserve"> Specific delegates vary depending on the state, but may include </w:t>
      </w:r>
      <w:r w:rsidR="00C222C9">
        <w:t>EMS</w:t>
      </w:r>
      <w:r w:rsidR="004B4580">
        <w:t>-</w:t>
      </w:r>
      <w:r w:rsidR="00C222C9">
        <w:t xml:space="preserve"> Related Task Force Members, </w:t>
      </w:r>
      <w:r w:rsidR="006020E9">
        <w:t xml:space="preserve">Rural Health </w:t>
      </w:r>
      <w:r w:rsidR="00C222C9">
        <w:t>Task Force Members, and Health</w:t>
      </w:r>
      <w:r w:rsidR="005B3C23">
        <w:t>c</w:t>
      </w:r>
      <w:r w:rsidR="00C222C9">
        <w:t>are Task Force Members</w:t>
      </w:r>
      <w:r w:rsidR="00924262">
        <w:t xml:space="preserve"> </w:t>
      </w:r>
      <w:r w:rsidR="00924262" w:rsidRPr="004C36AE">
        <w:rPr>
          <w:b/>
        </w:rPr>
        <w:t>(Please see Attachment A: Respondent Breakdown)</w:t>
      </w:r>
      <w:r w:rsidR="006020E9" w:rsidRPr="004C36AE">
        <w:rPr>
          <w:b/>
        </w:rPr>
        <w:t>.</w:t>
      </w:r>
    </w:p>
    <w:p w14:paraId="35F7AB97" w14:textId="77777777" w:rsidR="001E7537" w:rsidRPr="00774689" w:rsidRDefault="00350C8C" w:rsidP="005D4DBE">
      <w:pPr>
        <w:ind w:left="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797E9D5D" w14:textId="77777777" w:rsidR="00350C8C" w:rsidRPr="00774689" w:rsidRDefault="00350C8C" w:rsidP="007B7C44">
      <w:pPr>
        <w:ind w:left="360"/>
      </w:pPr>
    </w:p>
    <w:p w14:paraId="0967ED01"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44489D">
        <w:rPr>
          <w:rFonts w:ascii="Shruti" w:eastAsia="Times New Roman" w:hAnsi="Shruti" w:cs="Shruti"/>
          <w:sz w:val="16"/>
          <w:szCs w:val="14"/>
        </w:rPr>
      </w:r>
      <w:r w:rsidR="0044489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72FBE859"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4489D">
        <w:rPr>
          <w:rFonts w:ascii="Shruti" w:eastAsia="Times New Roman" w:hAnsi="Shruti" w:cs="Shruti"/>
          <w:sz w:val="16"/>
          <w:szCs w:val="14"/>
        </w:rPr>
      </w:r>
      <w:r w:rsidR="0044489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450D85E2"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4489D">
        <w:rPr>
          <w:rFonts w:ascii="Shruti" w:eastAsia="Times New Roman" w:hAnsi="Shruti" w:cs="Shruti"/>
          <w:sz w:val="16"/>
          <w:szCs w:val="14"/>
        </w:rPr>
      </w:r>
      <w:r w:rsidR="0044489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32D60A24" w14:textId="77777777" w:rsidR="00587C72" w:rsidRPr="00774689" w:rsidRDefault="00702DDF" w:rsidP="007B7C44">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44489D">
        <w:rPr>
          <w:rFonts w:ascii="Shruti" w:eastAsia="Times New Roman" w:hAnsi="Shruti" w:cs="Shruti"/>
          <w:sz w:val="16"/>
          <w:szCs w:val="14"/>
        </w:rPr>
      </w:r>
      <w:r w:rsidR="0044489D">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584FD527" w14:textId="77777777" w:rsidR="00587C72" w:rsidRPr="00774689" w:rsidRDefault="00E44BD2"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44489D">
        <w:rPr>
          <w:rFonts w:ascii="Shruti" w:eastAsia="Times New Roman" w:hAnsi="Shruti" w:cs="Shruti"/>
          <w:sz w:val="16"/>
          <w:szCs w:val="14"/>
        </w:rPr>
      </w:r>
      <w:r w:rsidR="0044489D">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09B11D5A"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4489D">
        <w:rPr>
          <w:rFonts w:ascii="Shruti" w:eastAsia="Times New Roman" w:hAnsi="Shruti" w:cs="Shruti"/>
          <w:sz w:val="16"/>
          <w:szCs w:val="14"/>
        </w:rPr>
      </w:r>
      <w:r w:rsidR="0044489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6ABFB38D"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4489D">
        <w:rPr>
          <w:rFonts w:ascii="Shruti" w:eastAsia="Times New Roman" w:hAnsi="Shruti" w:cs="Shruti"/>
          <w:sz w:val="16"/>
          <w:szCs w:val="14"/>
        </w:rPr>
      </w:r>
      <w:r w:rsidR="0044489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5758085B" w14:textId="77777777" w:rsidR="00587C72" w:rsidRPr="00774689" w:rsidRDefault="00481D80" w:rsidP="00EA3A4A">
      <w:pPr>
        <w:ind w:left="360"/>
      </w:pPr>
      <w:r w:rsidRPr="00774689">
        <w:t xml:space="preserve">            </w:t>
      </w:r>
      <w:r w:rsidR="00587C72" w:rsidRPr="00774689">
        <w:t>when otherwise unavailable</w:t>
      </w:r>
    </w:p>
    <w:p w14:paraId="6745669E" w14:textId="77777777" w:rsidR="00587C72" w:rsidRPr="00774689" w:rsidRDefault="00702DDF"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44489D">
        <w:rPr>
          <w:rFonts w:ascii="Shruti" w:eastAsia="Times New Roman" w:hAnsi="Shruti" w:cs="Shruti"/>
          <w:sz w:val="16"/>
          <w:szCs w:val="14"/>
        </w:rPr>
      </w:r>
      <w:r w:rsidR="0044489D">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6C7EBA40" w14:textId="77777777" w:rsidR="00EA3A4A" w:rsidRDefault="00B63CF3" w:rsidP="00EA3A4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4489D">
        <w:rPr>
          <w:rFonts w:ascii="Shruti" w:eastAsia="Times New Roman" w:hAnsi="Shruti" w:cs="Shruti"/>
          <w:sz w:val="16"/>
          <w:szCs w:val="14"/>
        </w:rPr>
      </w:r>
      <w:r w:rsidR="0044489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54BC16F2" w14:textId="77777777" w:rsidR="00587C72" w:rsidRPr="00774689" w:rsidRDefault="00EA3A4A" w:rsidP="00EA3A4A">
      <w:r>
        <w:t xml:space="preserve">     </w:t>
      </w:r>
      <w:r w:rsidRPr="00774689">
        <w:t>health services</w:t>
      </w:r>
    </w:p>
    <w:p w14:paraId="4EC918C1" w14:textId="7B1D6669"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4489D">
        <w:rPr>
          <w:rFonts w:ascii="Shruti" w:eastAsia="Times New Roman" w:hAnsi="Shruti" w:cs="Shruti"/>
          <w:sz w:val="16"/>
          <w:szCs w:val="14"/>
        </w:rPr>
      </w:r>
      <w:r w:rsidR="0044489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w:t>
      </w:r>
      <w:r w:rsidR="00884AE4">
        <w:rPr>
          <w:iCs/>
          <w:vertAlign w:val="superscript"/>
        </w:rPr>
        <w:t>2</w:t>
      </w:r>
    </w:p>
    <w:p w14:paraId="13C791F6" w14:textId="77777777" w:rsidR="00A62C98" w:rsidRDefault="00A62C98" w:rsidP="00EA3A4A">
      <w:pPr>
        <w:ind w:left="0"/>
        <w:rPr>
          <w:iCs/>
          <w:vertAlign w:val="superscript"/>
        </w:rPr>
      </w:pPr>
    </w:p>
    <w:p w14:paraId="65F00642" w14:textId="7D32CB73" w:rsidR="002F50EF" w:rsidRPr="00DD6C33" w:rsidRDefault="002F50EF" w:rsidP="00DD6C33">
      <w:pPr>
        <w:ind w:left="0"/>
      </w:pPr>
      <w:r w:rsidRPr="009E456D">
        <w:t>Every year, a</w:t>
      </w:r>
      <w:r w:rsidR="004E03E6">
        <w:t>pproximately</w:t>
      </w:r>
      <w:r w:rsidRPr="009E456D">
        <w:t xml:space="preserve"> 795,000 people have a stroke</w:t>
      </w:r>
      <w:r>
        <w:t xml:space="preserve">. </w:t>
      </w:r>
      <w:r w:rsidRPr="002F50EF">
        <w:t>About 610,000 of these are first or new strokes; 185,000 are recurrent strokes.</w:t>
      </w:r>
      <w:r w:rsidR="00884AE4">
        <w:rPr>
          <w:vertAlign w:val="superscript"/>
        </w:rPr>
        <w:t>3</w:t>
      </w:r>
      <w:r w:rsidR="00884AE4" w:rsidRPr="0071587C">
        <w:rPr>
          <w:rStyle w:val="EndnoteReference"/>
        </w:rPr>
        <w:t xml:space="preserve"> </w:t>
      </w:r>
      <w:r w:rsidRPr="009E456D">
        <w:t>Stroke is the fifth leading cause of death in the United States</w:t>
      </w:r>
      <w:r w:rsidR="006D48AB">
        <w:t xml:space="preserve"> and</w:t>
      </w:r>
      <w:r>
        <w:t xml:space="preserve"> an important cause of disability</w:t>
      </w:r>
      <w:r w:rsidRPr="009E456D">
        <w:t>.</w:t>
      </w:r>
      <w:r w:rsidR="00884AE4">
        <w:rPr>
          <w:vertAlign w:val="superscript"/>
        </w:rPr>
        <w:t>4</w:t>
      </w:r>
      <w:r w:rsidR="00884AE4" w:rsidRPr="009E456D">
        <w:t xml:space="preserve"> </w:t>
      </w:r>
      <w:r w:rsidR="00884AE4">
        <w:t xml:space="preserve"> </w:t>
      </w:r>
      <w:r>
        <w:t xml:space="preserve">There are life-saving treatments for stroke, but patients must receive them quickly, often within hours of </w:t>
      </w:r>
      <w:r w:rsidR="006D48AB">
        <w:t xml:space="preserve">stroke </w:t>
      </w:r>
      <w:r>
        <w:t xml:space="preserve">onset. </w:t>
      </w:r>
      <w:r w:rsidR="002B7768">
        <w:t xml:space="preserve"> State</w:t>
      </w:r>
      <w:r w:rsidR="000E656F">
        <w:t>-</w:t>
      </w:r>
      <w:r w:rsidR="002B7768">
        <w:t>level i</w:t>
      </w:r>
      <w:r w:rsidR="006D48AB">
        <w:t xml:space="preserve">nterventions to enhance </w:t>
      </w:r>
      <w:r w:rsidR="006D48AB" w:rsidRPr="006D48AB">
        <w:t xml:space="preserve">pre-notification, triage, transport, and transfer of patients to the most appropriate stroke facility </w:t>
      </w:r>
      <w:r w:rsidR="00DD6C33" w:rsidRPr="00DD6C33">
        <w:t>could help increase the reach, consistency, coordination, and quality of pre-hospital/</w:t>
      </w:r>
      <w:r w:rsidR="00567E00" w:rsidRPr="00567E00">
        <w:t xml:space="preserve"> </w:t>
      </w:r>
      <w:r w:rsidR="00567E00">
        <w:t>emergency medical service systems (</w:t>
      </w:r>
      <w:r w:rsidR="00DD6C33" w:rsidRPr="00DD6C33">
        <w:t>EMSS</w:t>
      </w:r>
      <w:r w:rsidR="00567E00">
        <w:t>)</w:t>
      </w:r>
      <w:r w:rsidR="00DD6C33" w:rsidRPr="00DD6C33">
        <w:t xml:space="preserve"> stroke care.</w:t>
      </w:r>
    </w:p>
    <w:p w14:paraId="442CF781" w14:textId="77777777" w:rsidR="002F50EF" w:rsidRDefault="002F50EF" w:rsidP="002F50EF">
      <w:pPr>
        <w:ind w:left="0"/>
      </w:pPr>
    </w:p>
    <w:p w14:paraId="0C1FEE6D" w14:textId="30CA0A99" w:rsidR="006D46A1" w:rsidRDefault="00245A7B" w:rsidP="006D46A1">
      <w:pPr>
        <w:ind w:left="0"/>
      </w:pPr>
      <w:r>
        <w:t>Stroke systems of care at state and local levels work to coordinate the full range of activities and services associated with stroke prevention, treatment, and rehabilitation to promote timely, effective care.</w:t>
      </w:r>
      <w:r w:rsidR="00884AE4">
        <w:rPr>
          <w:vertAlign w:val="superscript"/>
        </w:rPr>
        <w:t>5</w:t>
      </w:r>
      <w:r w:rsidR="00884AE4">
        <w:t xml:space="preserve"> </w:t>
      </w:r>
      <w:r w:rsidR="002F50EF">
        <w:t>In stroke systems of care, EMSS and EMS providers are essential in the recognition of suspected strokes and providing timely transport and pre-hospital care for patients. State</w:t>
      </w:r>
      <w:r w:rsidR="000E656F">
        <w:t>-level</w:t>
      </w:r>
      <w:r w:rsidR="004B4580">
        <w:t xml:space="preserve"> </w:t>
      </w:r>
      <w:r w:rsidR="00D05E58">
        <w:t xml:space="preserve">interventions </w:t>
      </w:r>
      <w:r w:rsidR="002F50EF">
        <w:t xml:space="preserve">to </w:t>
      </w:r>
      <w:r w:rsidR="006D46A1" w:rsidRPr="006D46A1">
        <w:t>require or otherwise encourage evidence-supported pre-hospital/EMSS activities related to stroke pre-notification, triage, transport, and transfer of patients to the most appropriate stroke facility</w:t>
      </w:r>
      <w:r w:rsidR="006D46A1">
        <w:t xml:space="preserve"> can reduce time to treatment and subsequently improve health outcomes.</w:t>
      </w:r>
    </w:p>
    <w:p w14:paraId="400A87EA" w14:textId="136C3BD6" w:rsidR="006D46A1" w:rsidRDefault="006D46A1" w:rsidP="006D46A1">
      <w:pPr>
        <w:ind w:left="0"/>
      </w:pPr>
    </w:p>
    <w:p w14:paraId="5512B6B5" w14:textId="52055A0F" w:rsidR="0058661B" w:rsidRDefault="0058661B" w:rsidP="000145C1">
      <w:pPr>
        <w:ind w:left="0"/>
      </w:pPr>
      <w:r>
        <w:t>Recent</w:t>
      </w:r>
      <w:r w:rsidR="005A29F2">
        <w:t xml:space="preserve"> CDC assessment</w:t>
      </w:r>
      <w:r w:rsidR="000145C1">
        <w:t>s</w:t>
      </w:r>
      <w:r w:rsidR="005A29F2">
        <w:t xml:space="preserve"> </w:t>
      </w:r>
      <w:r w:rsidR="000145C1">
        <w:t xml:space="preserve">completed by the Division for Heart Disease and Stroke Prevention (DHDSP) </w:t>
      </w:r>
      <w:r w:rsidR="00C6184E">
        <w:t xml:space="preserve">in 2018 </w:t>
      </w:r>
      <w:r w:rsidR="005A29F2">
        <w:t xml:space="preserve">identified </w:t>
      </w:r>
      <w:r w:rsidR="00B11683">
        <w:t xml:space="preserve">early evidence related to state-level </w:t>
      </w:r>
      <w:r w:rsidR="006E46B1">
        <w:t xml:space="preserve">pre-hospital </w:t>
      </w:r>
      <w:r w:rsidR="006C761E">
        <w:t xml:space="preserve">stroke systems of care </w:t>
      </w:r>
      <w:r w:rsidR="006E46B1">
        <w:t xml:space="preserve">interventions </w:t>
      </w:r>
      <w:r w:rsidR="007B2752">
        <w:t>in the published and gray literature</w:t>
      </w:r>
      <w:r w:rsidR="00FE02CC">
        <w:t>s</w:t>
      </w:r>
      <w:r w:rsidR="00884AE4" w:rsidRPr="005402AF">
        <w:rPr>
          <w:vertAlign w:val="superscript"/>
        </w:rPr>
        <w:t>1</w:t>
      </w:r>
      <w:r w:rsidR="007B2752">
        <w:t xml:space="preserve"> </w:t>
      </w:r>
      <w:r w:rsidR="006E46B1">
        <w:t xml:space="preserve">and examined existing </w:t>
      </w:r>
      <w:r w:rsidR="000145C1">
        <w:t xml:space="preserve">enacted state laws (statutes, legislation, and regulations) </w:t>
      </w:r>
      <w:r w:rsidR="00A84917">
        <w:t xml:space="preserve">in the 50 states and DC intended </w:t>
      </w:r>
      <w:r w:rsidR="000145C1">
        <w:t>to enhance stroke systems of care</w:t>
      </w:r>
      <w:r w:rsidR="00D646F0">
        <w:t>.</w:t>
      </w:r>
      <w:r w:rsidR="00884AE4">
        <w:rPr>
          <w:vertAlign w:val="superscript"/>
        </w:rPr>
        <w:t>6</w:t>
      </w:r>
      <w:r w:rsidR="00D646F0">
        <w:t xml:space="preserve"> </w:t>
      </w:r>
      <w:r w:rsidR="000145C1">
        <w:t xml:space="preserve"> </w:t>
      </w:r>
      <w:r w:rsidR="007B2752">
        <w:t xml:space="preserve">The findings identified </w:t>
      </w:r>
      <w:r w:rsidR="00FE02CC">
        <w:t>large variability across states</w:t>
      </w:r>
      <w:r w:rsidR="006A6DEC">
        <w:t xml:space="preserve">, </w:t>
      </w:r>
      <w:r w:rsidR="00FE02CC">
        <w:t xml:space="preserve">with few having a comprehensive approach that aligned with </w:t>
      </w:r>
      <w:r w:rsidR="00B11683">
        <w:t xml:space="preserve">early </w:t>
      </w:r>
      <w:r w:rsidR="006A6DEC">
        <w:t xml:space="preserve">evidence.  This information along with </w:t>
      </w:r>
      <w:r>
        <w:t xml:space="preserve">the identified </w:t>
      </w:r>
      <w:r w:rsidR="006A6DEC">
        <w:t>technical assistance needs of CDC grantees</w:t>
      </w:r>
      <w:r>
        <w:t xml:space="preserve"> demonstrated a </w:t>
      </w:r>
      <w:r w:rsidR="0045466D">
        <w:t xml:space="preserve">gap in </w:t>
      </w:r>
      <w:r>
        <w:t xml:space="preserve">information about </w:t>
      </w:r>
      <w:r w:rsidR="006A6DEC" w:rsidRPr="006A6DEC">
        <w:t xml:space="preserve">effective </w:t>
      </w:r>
      <w:r w:rsidR="005336DB">
        <w:t xml:space="preserve">implementation </w:t>
      </w:r>
      <w:r w:rsidR="006A6DEC" w:rsidRPr="006A6DEC">
        <w:t xml:space="preserve">strategies and challenges associated with </w:t>
      </w:r>
      <w:r w:rsidR="00B44072">
        <w:t xml:space="preserve">state-level actions to improve </w:t>
      </w:r>
      <w:r>
        <w:t>pre-hospital stroke systems of care.</w:t>
      </w:r>
    </w:p>
    <w:p w14:paraId="2ECEB1CB" w14:textId="77777777" w:rsidR="00AA72F1" w:rsidRDefault="00D646F0" w:rsidP="006D46A1">
      <w:pPr>
        <w:ind w:left="0"/>
      </w:pPr>
      <w:r>
        <w:t xml:space="preserve"> </w:t>
      </w:r>
      <w:r w:rsidR="006E46B1">
        <w:t xml:space="preserve">  </w:t>
      </w:r>
    </w:p>
    <w:p w14:paraId="01593861" w14:textId="5BED0466" w:rsidR="00E91AF4" w:rsidRDefault="00DB4F75" w:rsidP="006D46A1">
      <w:pPr>
        <w:ind w:left="0"/>
      </w:pPr>
      <w:r>
        <w:t xml:space="preserve">The purpose of this </w:t>
      </w:r>
      <w:r w:rsidR="005336DB">
        <w:t xml:space="preserve">information collection is </w:t>
      </w:r>
      <w:r w:rsidR="005E7F53">
        <w:t xml:space="preserve">to </w:t>
      </w:r>
      <w:r w:rsidR="00B44072">
        <w:t xml:space="preserve">fill this gap by </w:t>
      </w:r>
      <w:r w:rsidR="0045466D">
        <w:t>assessing</w:t>
      </w:r>
      <w:r w:rsidRPr="00DB4F75">
        <w:t xml:space="preserve"> effective </w:t>
      </w:r>
      <w:r w:rsidR="00AD62B3">
        <w:t xml:space="preserve">development and implementation </w:t>
      </w:r>
      <w:r w:rsidRPr="00DB4F75">
        <w:t xml:space="preserve">strategies </w:t>
      </w:r>
      <w:r w:rsidR="00BF2410">
        <w:t xml:space="preserve">for EMSS based activities to enhance stroke systems of care including </w:t>
      </w:r>
      <w:r w:rsidR="00AD62B3">
        <w:t xml:space="preserve">stroke </w:t>
      </w:r>
      <w:r w:rsidRPr="00DB4F75">
        <w:t xml:space="preserve">pre-notification, triage, transport, and transfer of patients to the most appropriate stroke facility.  </w:t>
      </w:r>
    </w:p>
    <w:p w14:paraId="7A1646C9" w14:textId="23A10CF4" w:rsidR="00DA1D17" w:rsidRDefault="00172797" w:rsidP="006D46A1">
      <w:pPr>
        <w:ind w:left="0"/>
      </w:pPr>
      <w:r>
        <w:t xml:space="preserve">To do this, </w:t>
      </w:r>
      <w:r w:rsidRPr="00172797">
        <w:t xml:space="preserve">CDC is </w:t>
      </w:r>
      <w:r w:rsidR="00BF2410">
        <w:t>p</w:t>
      </w:r>
      <w:r w:rsidRPr="00172797">
        <w:t>artnering with the Association of State and Territorial Health Officials (ASTHO)</w:t>
      </w:r>
      <w:r w:rsidR="00BF2410">
        <w:t>.  ASTHO</w:t>
      </w:r>
      <w:r w:rsidRPr="00172797">
        <w:t xml:space="preserve">, a national nonprofit organization representing public health agencies in the United States, the U.S. Territories, and the District of Columbia, </w:t>
      </w:r>
      <w:r w:rsidR="005E7F53">
        <w:t xml:space="preserve">will conduct this information collection </w:t>
      </w:r>
      <w:r>
        <w:t>through a cooperative agreement</w:t>
      </w:r>
      <w:r w:rsidRPr="00172797">
        <w:t xml:space="preserve"> </w:t>
      </w:r>
      <w:r w:rsidR="00BF2410">
        <w:t xml:space="preserve">that </w:t>
      </w:r>
      <w:r>
        <w:t xml:space="preserve">seeks to capture information on processes, </w:t>
      </w:r>
      <w:r w:rsidRPr="006E5F1B">
        <w:t>roles, facilitators and barriers</w:t>
      </w:r>
      <w:r>
        <w:t xml:space="preserve"> to </w:t>
      </w:r>
      <w:r w:rsidRPr="006E5F1B">
        <w:t>state</w:t>
      </w:r>
      <w:r>
        <w:t>-level</w:t>
      </w:r>
      <w:r w:rsidRPr="006E5F1B">
        <w:t xml:space="preserve"> </w:t>
      </w:r>
      <w:r w:rsidR="00BF2410">
        <w:t>EMSS based activities to</w:t>
      </w:r>
      <w:r w:rsidRPr="006E5F1B">
        <w:t xml:space="preserve"> enhance pre-hospital stroke system of care</w:t>
      </w:r>
      <w:r w:rsidR="00BF2410">
        <w:t>.</w:t>
      </w:r>
      <w:r w:rsidRPr="00172797">
        <w:t xml:space="preserve"> </w:t>
      </w:r>
      <w:r w:rsidR="00BF2410">
        <w:t xml:space="preserve"> </w:t>
      </w:r>
      <w:r w:rsidRPr="00172797">
        <w:t>ASTHO is responsible for developing the information collection instrument, leading data collection, analyzing qualitative data and preparing a</w:t>
      </w:r>
      <w:r w:rsidR="00E91AF4">
        <w:t xml:space="preserve">n </w:t>
      </w:r>
      <w:r w:rsidR="00E91AF4" w:rsidRPr="00E91AF4">
        <w:t>aggregate</w:t>
      </w:r>
      <w:r w:rsidR="00E91AF4">
        <w:t>d</w:t>
      </w:r>
      <w:r w:rsidR="00E91AF4" w:rsidRPr="00E91AF4">
        <w:t xml:space="preserve"> </w:t>
      </w:r>
      <w:r w:rsidRPr="00172797">
        <w:t xml:space="preserve">data summary for CDC.  </w:t>
      </w:r>
    </w:p>
    <w:p w14:paraId="78080CE2" w14:textId="77777777" w:rsidR="00DA1D17" w:rsidRDefault="00DA1D17" w:rsidP="006D46A1">
      <w:pPr>
        <w:ind w:left="0"/>
      </w:pPr>
    </w:p>
    <w:p w14:paraId="3352EE8E" w14:textId="588383E3" w:rsidR="00DA1D17" w:rsidRDefault="00DA1D17" w:rsidP="006D46A1">
      <w:pPr>
        <w:ind w:left="0"/>
      </w:pPr>
      <w:r w:rsidRPr="00DA1D17">
        <w:t>Data will be used to inform CDC about issues related to implementation of stroke systems of care and to examine these issues to develop technical assistance material for state health department</w:t>
      </w:r>
      <w:r w:rsidR="00B11683">
        <w:t>s</w:t>
      </w:r>
      <w:r w:rsidRPr="00DA1D17">
        <w:t xml:space="preserve"> and EMSS coordinators.   The information will be disseminated to the intended audiences via conference presentations, webinars, fact sheets and implementation guides.</w:t>
      </w:r>
    </w:p>
    <w:p w14:paraId="608528E3" w14:textId="77777777" w:rsidR="009E5E95" w:rsidRDefault="009E5E95" w:rsidP="006D46A1">
      <w:pPr>
        <w:ind w:left="0"/>
      </w:pPr>
    </w:p>
    <w:p w14:paraId="640CD79F" w14:textId="77777777" w:rsidR="00376290" w:rsidRDefault="006102DA" w:rsidP="00271B82">
      <w:pPr>
        <w:pStyle w:val="Heading5"/>
        <w:spacing w:after="120"/>
        <w:ind w:left="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105E6DAF" w14:textId="78DD5D39" w:rsidR="005E7F53" w:rsidRDefault="00692DEB" w:rsidP="005E7F53">
      <w:pPr>
        <w:ind w:left="0"/>
      </w:pPr>
      <w:r w:rsidRPr="00711BFA">
        <w:t>Data will be collected</w:t>
      </w:r>
      <w:r w:rsidR="00376290">
        <w:t xml:space="preserve"> from </w:t>
      </w:r>
      <w:r w:rsidR="009E5E95">
        <w:t xml:space="preserve">a total of </w:t>
      </w:r>
      <w:r w:rsidR="005E7F53">
        <w:t xml:space="preserve">48 </w:t>
      </w:r>
      <w:r w:rsidR="00126EF8">
        <w:t xml:space="preserve">respondents </w:t>
      </w:r>
      <w:r w:rsidR="00E51457">
        <w:t>via</w:t>
      </w:r>
      <w:r w:rsidR="00E07B85">
        <w:t xml:space="preserve"> telephone informant interviews </w:t>
      </w:r>
      <w:r w:rsidRPr="00711BFA">
        <w:t>(</w:t>
      </w:r>
      <w:r w:rsidR="00E647FB" w:rsidRPr="00376290">
        <w:rPr>
          <w:b/>
        </w:rPr>
        <w:t>see</w:t>
      </w:r>
      <w:r w:rsidR="00E647FB" w:rsidRPr="006C20E8">
        <w:t xml:space="preserve"> </w:t>
      </w:r>
      <w:r w:rsidR="00E647FB">
        <w:rPr>
          <w:b/>
        </w:rPr>
        <w:t>Attachment</w:t>
      </w:r>
      <w:r w:rsidR="00E51457">
        <w:rPr>
          <w:b/>
        </w:rPr>
        <w:t xml:space="preserve"> </w:t>
      </w:r>
      <w:r w:rsidR="005E495C">
        <w:rPr>
          <w:b/>
        </w:rPr>
        <w:t>B:</w:t>
      </w:r>
      <w:r w:rsidR="00E51457">
        <w:rPr>
          <w:b/>
        </w:rPr>
        <w:t xml:space="preserve"> Telephone Interview Guide</w:t>
      </w:r>
      <w:r w:rsidRPr="0096435D">
        <w:t>)</w:t>
      </w:r>
      <w:r w:rsidR="00E07B85">
        <w:t xml:space="preserve">. </w:t>
      </w:r>
      <w:r w:rsidR="00E07B85" w:rsidRPr="00E07B85">
        <w:t xml:space="preserve">The instrument will be used to gather information from </w:t>
      </w:r>
      <w:r w:rsidR="00126EF8">
        <w:t>s</w:t>
      </w:r>
      <w:r w:rsidR="00E07B85">
        <w:t xml:space="preserve">tate </w:t>
      </w:r>
      <w:r w:rsidR="00126EF8">
        <w:t>h</w:t>
      </w:r>
      <w:r w:rsidR="00E07B85">
        <w:t xml:space="preserve">ealth </w:t>
      </w:r>
      <w:r w:rsidR="00126EF8">
        <w:t>d</w:t>
      </w:r>
      <w:r w:rsidR="00E07B85">
        <w:t xml:space="preserve">epartment staff and their delegates </w:t>
      </w:r>
      <w:r w:rsidR="00E07B85" w:rsidRPr="00E07B85">
        <w:t xml:space="preserve">regarding </w:t>
      </w:r>
      <w:r w:rsidR="005E7F53" w:rsidRPr="005E7F53">
        <w:t>effective strategies and potential challenges associated with the implementation of</w:t>
      </w:r>
      <w:r w:rsidR="005E7F53">
        <w:t xml:space="preserve"> EMSS based activities to </w:t>
      </w:r>
      <w:r w:rsidR="00110257">
        <w:t xml:space="preserve">enhance </w:t>
      </w:r>
      <w:r w:rsidR="005E7F53">
        <w:t>stroke systems of care.</w:t>
      </w:r>
    </w:p>
    <w:p w14:paraId="0D5FAC18" w14:textId="5F4E4A51" w:rsidR="00DC2AD2" w:rsidRDefault="00DC2AD2" w:rsidP="004C36AE">
      <w:pPr>
        <w:ind w:left="0"/>
      </w:pPr>
    </w:p>
    <w:p w14:paraId="2A59CBA5" w14:textId="14A31993" w:rsidR="00272E3E" w:rsidRDefault="00692DEB" w:rsidP="00E07B85">
      <w:pPr>
        <w:ind w:left="0"/>
      </w:pPr>
      <w:r>
        <w:t xml:space="preserve">The </w:t>
      </w:r>
      <w:r w:rsidRPr="00711BFA">
        <w:t xml:space="preserve">information collection instrument was pilot tested by </w:t>
      </w:r>
      <w:r w:rsidR="0046694C" w:rsidRPr="0046694C">
        <w:rPr>
          <w:color w:val="000000" w:themeColor="text1"/>
        </w:rPr>
        <w:t>three</w:t>
      </w:r>
      <w:r w:rsidRPr="00774689">
        <w:rPr>
          <w:color w:val="0070C0"/>
        </w:rPr>
        <w:t xml:space="preserve"> </w:t>
      </w:r>
      <w:r>
        <w:t>p</w:t>
      </w:r>
      <w:r w:rsidRPr="00711BFA">
        <w:t xml:space="preserve">ublic health professionals. Feedback from </w:t>
      </w:r>
      <w:r w:rsidR="00FC5408">
        <w:t xml:space="preserve">these individuals </w:t>
      </w:r>
      <w:r w:rsidRPr="00711BFA">
        <w:t>was use</w:t>
      </w:r>
      <w:r w:rsidR="00FC5408">
        <w:t>d to refine questions as needed</w:t>
      </w:r>
      <w:r w:rsidRPr="00711BFA">
        <w:t xml:space="preserve"> and establish the estimated time required to complete the information collection instrument.</w:t>
      </w:r>
      <w:r w:rsidR="00FC5408">
        <w:t xml:space="preserve"> </w:t>
      </w:r>
    </w:p>
    <w:p w14:paraId="1573C163" w14:textId="77777777" w:rsidR="00E07B85" w:rsidRDefault="00E07B85" w:rsidP="004C36AE">
      <w:pPr>
        <w:ind w:left="0"/>
      </w:pPr>
    </w:p>
    <w:p w14:paraId="0714AD1B" w14:textId="6E9AACC0" w:rsidR="00692DEB" w:rsidRPr="007B7C44" w:rsidRDefault="00692DEB" w:rsidP="00E07B85">
      <w:pPr>
        <w:pStyle w:val="Heading5"/>
        <w:spacing w:after="120"/>
        <w:ind w:left="0"/>
      </w:pPr>
      <w:r w:rsidRPr="0046694C">
        <w:t>Items of Information to be Collected</w:t>
      </w:r>
    </w:p>
    <w:p w14:paraId="3F419DE8" w14:textId="04B3438D" w:rsidR="00692DEB" w:rsidRPr="00E91AF4" w:rsidRDefault="00692DEB" w:rsidP="00E91AF4">
      <w:pPr>
        <w:tabs>
          <w:tab w:val="clear" w:pos="9360"/>
        </w:tabs>
        <w:spacing w:after="200"/>
        <w:ind w:left="0"/>
        <w:rPr>
          <w:i/>
        </w:rPr>
      </w:pPr>
      <w:r w:rsidRPr="04524006">
        <w:t xml:space="preserve">The data collection instrument consists of </w:t>
      </w:r>
      <w:r w:rsidR="005E2F37">
        <w:t xml:space="preserve">a total of </w:t>
      </w:r>
      <w:r w:rsidR="00341C5E">
        <w:t>29</w:t>
      </w:r>
      <w:r w:rsidR="0046694C">
        <w:rPr>
          <w:color w:val="0070C0"/>
        </w:rPr>
        <w:t xml:space="preserve"> </w:t>
      </w:r>
      <w:r w:rsidR="005E2F37">
        <w:t xml:space="preserve">open-ended questions.  </w:t>
      </w:r>
      <w:r w:rsidR="00C12249">
        <w:t xml:space="preserve"> T</w:t>
      </w:r>
      <w:r w:rsidR="005B6C86">
        <w:t xml:space="preserve">he </w:t>
      </w:r>
      <w:r w:rsidR="005E2F37">
        <w:t xml:space="preserve">instrument will </w:t>
      </w:r>
      <w:r w:rsidR="005E2F37" w:rsidRPr="006E5F1B">
        <w:t xml:space="preserve">capture information on the following: </w:t>
      </w:r>
    </w:p>
    <w:p w14:paraId="5353907E" w14:textId="68E24859" w:rsidR="00376632" w:rsidRPr="006E5F1B" w:rsidRDefault="00376632" w:rsidP="00376632">
      <w:pPr>
        <w:pStyle w:val="ListParagraph"/>
        <w:numPr>
          <w:ilvl w:val="0"/>
          <w:numId w:val="17"/>
        </w:numPr>
        <w:tabs>
          <w:tab w:val="clear" w:pos="9360"/>
        </w:tabs>
        <w:spacing w:line="240" w:lineRule="auto"/>
      </w:pPr>
      <w:r w:rsidRPr="006E5F1B">
        <w:t>Development roles, processes, facilitators and barriers for state</w:t>
      </w:r>
      <w:r w:rsidR="000E656F">
        <w:t>-level</w:t>
      </w:r>
      <w:r w:rsidRPr="006E5F1B">
        <w:t xml:space="preserve"> </w:t>
      </w:r>
      <w:r w:rsidR="00F7524B">
        <w:t xml:space="preserve">EMSS based </w:t>
      </w:r>
      <w:r w:rsidR="00D05E58">
        <w:t>interventions</w:t>
      </w:r>
      <w:r w:rsidR="00D05E58" w:rsidRPr="006E5F1B">
        <w:t xml:space="preserve"> </w:t>
      </w:r>
      <w:r w:rsidRPr="006E5F1B">
        <w:t xml:space="preserve">to enhance pre-hospital stroke system of care </w:t>
      </w:r>
      <w:r w:rsidR="00F274CF">
        <w:t>(</w:t>
      </w:r>
      <w:r w:rsidR="00F81E3C">
        <w:t>9</w:t>
      </w:r>
      <w:r w:rsidR="00F274CF">
        <w:t xml:space="preserve"> questions)</w:t>
      </w:r>
    </w:p>
    <w:p w14:paraId="47DB08FD" w14:textId="7561C827" w:rsidR="00376632" w:rsidRDefault="00376632" w:rsidP="00376632">
      <w:pPr>
        <w:pStyle w:val="ListParagraph"/>
        <w:numPr>
          <w:ilvl w:val="0"/>
          <w:numId w:val="17"/>
        </w:numPr>
        <w:tabs>
          <w:tab w:val="clear" w:pos="9360"/>
        </w:tabs>
        <w:spacing w:line="240" w:lineRule="auto"/>
      </w:pPr>
      <w:r w:rsidRPr="006E5F1B">
        <w:t>Implementation</w:t>
      </w:r>
      <w:r w:rsidR="00DA6E14">
        <w:t xml:space="preserve"> stakeholders, challenges, and potential solutions </w:t>
      </w:r>
      <w:r w:rsidR="004456B3">
        <w:t>for state</w:t>
      </w:r>
      <w:r w:rsidR="000E656F">
        <w:t>-level</w:t>
      </w:r>
      <w:r w:rsidR="004456B3">
        <w:t xml:space="preserve"> </w:t>
      </w:r>
      <w:r w:rsidR="00F7524B">
        <w:t xml:space="preserve">EMSS based </w:t>
      </w:r>
      <w:r w:rsidR="00D05E58">
        <w:t xml:space="preserve">interventions </w:t>
      </w:r>
      <w:r w:rsidR="004456B3">
        <w:t xml:space="preserve">to </w:t>
      </w:r>
      <w:r w:rsidRPr="006E5F1B">
        <w:t>enhance pre-hospital stroke system of care</w:t>
      </w:r>
      <w:r w:rsidR="00F274CF">
        <w:t xml:space="preserve"> (</w:t>
      </w:r>
      <w:r w:rsidR="00DA6E14">
        <w:rPr>
          <w:color w:val="000000" w:themeColor="text1"/>
        </w:rPr>
        <w:t>4</w:t>
      </w:r>
      <w:r w:rsidR="00341C5E">
        <w:rPr>
          <w:color w:val="548DD4" w:themeColor="text2" w:themeTint="99"/>
        </w:rPr>
        <w:t xml:space="preserve"> </w:t>
      </w:r>
      <w:r w:rsidR="00F274CF">
        <w:t>questions)</w:t>
      </w:r>
    </w:p>
    <w:p w14:paraId="38F4BC3C" w14:textId="124DF303" w:rsidR="00341C5E" w:rsidRDefault="00DA6E14" w:rsidP="00341C5E">
      <w:pPr>
        <w:pStyle w:val="ListParagraph"/>
        <w:numPr>
          <w:ilvl w:val="0"/>
          <w:numId w:val="17"/>
        </w:numPr>
        <w:tabs>
          <w:tab w:val="clear" w:pos="9360"/>
        </w:tabs>
        <w:spacing w:line="240" w:lineRule="auto"/>
      </w:pPr>
      <w:r>
        <w:t>EMS system structure, protocols</w:t>
      </w:r>
      <w:r w:rsidR="004456B3">
        <w:t xml:space="preserve">, communication and supervision related to </w:t>
      </w:r>
      <w:r w:rsidR="00341C5E" w:rsidRPr="006E5F1B">
        <w:t>pre-hospital stroke system of care</w:t>
      </w:r>
      <w:r w:rsidR="00341C5E">
        <w:t xml:space="preserve"> (</w:t>
      </w:r>
      <w:r w:rsidR="004456B3">
        <w:t>4</w:t>
      </w:r>
      <w:r w:rsidR="00341C5E">
        <w:t xml:space="preserve"> questions)</w:t>
      </w:r>
    </w:p>
    <w:p w14:paraId="1FE619F9" w14:textId="121CA62B" w:rsidR="006E5F1B" w:rsidRDefault="006511A0" w:rsidP="00FD2A40">
      <w:pPr>
        <w:pStyle w:val="ListParagraph"/>
        <w:numPr>
          <w:ilvl w:val="0"/>
          <w:numId w:val="17"/>
        </w:numPr>
        <w:tabs>
          <w:tab w:val="clear" w:pos="9360"/>
        </w:tabs>
        <w:spacing w:line="240" w:lineRule="auto"/>
      </w:pPr>
      <w:r>
        <w:t>Program improvement, outcomes</w:t>
      </w:r>
      <w:r w:rsidR="00FD2A40" w:rsidRPr="00FD2A40">
        <w:t>, and sustainability</w:t>
      </w:r>
      <w:r w:rsidR="00376632" w:rsidRPr="006E5F1B">
        <w:t xml:space="preserve"> of state</w:t>
      </w:r>
      <w:r w:rsidR="000E656F">
        <w:t>-level</w:t>
      </w:r>
      <w:r w:rsidR="00376632" w:rsidRPr="006E5F1B">
        <w:t xml:space="preserve"> </w:t>
      </w:r>
      <w:r w:rsidR="00F7524B">
        <w:t xml:space="preserve">EMSS based </w:t>
      </w:r>
      <w:r w:rsidR="00D05E58">
        <w:t>interventions</w:t>
      </w:r>
      <w:r w:rsidR="00D05E58" w:rsidRPr="006E5F1B">
        <w:t xml:space="preserve"> </w:t>
      </w:r>
      <w:r w:rsidR="00376632" w:rsidRPr="006E5F1B">
        <w:t>to enhance pre-hospital stroke system of care</w:t>
      </w:r>
      <w:r w:rsidR="00F274CF">
        <w:t xml:space="preserve"> (</w:t>
      </w:r>
      <w:r w:rsidR="00341C5E" w:rsidRPr="00341C5E">
        <w:t>1</w:t>
      </w:r>
      <w:r w:rsidR="004456B3">
        <w:t>2</w:t>
      </w:r>
      <w:r w:rsidR="00341C5E" w:rsidRPr="00341C5E">
        <w:t xml:space="preserve"> </w:t>
      </w:r>
      <w:r w:rsidR="00F274CF">
        <w:t>questions)</w:t>
      </w:r>
      <w:r w:rsidR="00341C5E">
        <w:t>.</w:t>
      </w:r>
    </w:p>
    <w:p w14:paraId="494CB48A" w14:textId="748FE0ED" w:rsidR="00AA72F1" w:rsidRDefault="00AA72F1" w:rsidP="005D4DBE">
      <w:pPr>
        <w:tabs>
          <w:tab w:val="clear" w:pos="9360"/>
        </w:tabs>
        <w:spacing w:line="240" w:lineRule="auto"/>
        <w:ind w:left="0"/>
      </w:pPr>
    </w:p>
    <w:p w14:paraId="4EB4E0D1" w14:textId="3E2DE424" w:rsidR="005D4DBE" w:rsidRDefault="005D4DBE" w:rsidP="005D4DBE">
      <w:pPr>
        <w:tabs>
          <w:tab w:val="clear" w:pos="9360"/>
        </w:tabs>
        <w:spacing w:line="240" w:lineRule="auto"/>
        <w:ind w:left="0"/>
      </w:pPr>
    </w:p>
    <w:p w14:paraId="0195FF71" w14:textId="250714E6" w:rsidR="005D4DBE" w:rsidRDefault="005D4DBE" w:rsidP="005D4DBE">
      <w:pPr>
        <w:tabs>
          <w:tab w:val="clear" w:pos="9360"/>
        </w:tabs>
        <w:spacing w:line="240" w:lineRule="auto"/>
        <w:ind w:left="0"/>
      </w:pPr>
    </w:p>
    <w:p w14:paraId="1BB9800B" w14:textId="77777777" w:rsidR="005D4DBE" w:rsidRPr="006E5F1B" w:rsidRDefault="005D4DBE" w:rsidP="005D4DBE">
      <w:pPr>
        <w:tabs>
          <w:tab w:val="clear" w:pos="9360"/>
        </w:tabs>
        <w:spacing w:line="240" w:lineRule="auto"/>
        <w:ind w:left="0"/>
      </w:pPr>
    </w:p>
    <w:p w14:paraId="07DBCFDA" w14:textId="77777777" w:rsidR="00B12F51" w:rsidRPr="00014361" w:rsidRDefault="00B12F51" w:rsidP="00692DEB">
      <w:pPr>
        <w:pStyle w:val="Heading4"/>
      </w:pPr>
      <w:bookmarkStart w:id="7" w:name="_Toc427752815"/>
      <w:r w:rsidRPr="00014361">
        <w:t>Purpose and Use of the Information Collection</w:t>
      </w:r>
      <w:bookmarkEnd w:id="7"/>
    </w:p>
    <w:p w14:paraId="264D6F9E" w14:textId="5604C9FC" w:rsidR="000D5673" w:rsidRPr="005F55D2" w:rsidRDefault="004F70C0" w:rsidP="004C36AE">
      <w:pPr>
        <w:ind w:left="0"/>
      </w:pPr>
      <w:r w:rsidRPr="005F55D2">
        <w:t>The purpose of this information collection is to</w:t>
      </w:r>
      <w:r w:rsidR="000D5673" w:rsidRPr="005F55D2">
        <w:t xml:space="preserve"> identify effective strategies and potential challenges associated with developing and implementing </w:t>
      </w:r>
      <w:r w:rsidR="00BF535C">
        <w:t xml:space="preserve">EMSS based activities to </w:t>
      </w:r>
      <w:r w:rsidR="00110257">
        <w:t>enhance</w:t>
      </w:r>
      <w:r w:rsidR="00BF535C">
        <w:t xml:space="preserve"> </w:t>
      </w:r>
      <w:r w:rsidR="000D5673" w:rsidRPr="005F55D2">
        <w:t xml:space="preserve">pre-hospital stroke systems of care including pre-notification, triage, transport, and transfer of patients to the most appropriate stroke facility. </w:t>
      </w:r>
    </w:p>
    <w:p w14:paraId="099A36F3" w14:textId="56FA6B90" w:rsidR="00F7524B" w:rsidRDefault="00F7524B" w:rsidP="004C36AE">
      <w:pPr>
        <w:ind w:left="0"/>
      </w:pPr>
    </w:p>
    <w:p w14:paraId="42E77186" w14:textId="18770FC5" w:rsidR="00F7524B" w:rsidRDefault="00F7524B" w:rsidP="004C36AE">
      <w:pPr>
        <w:ind w:left="0"/>
      </w:pPr>
      <w:r>
        <w:t xml:space="preserve">Data will be used to inform CDC about </w:t>
      </w:r>
      <w:r w:rsidRPr="00B23299">
        <w:t xml:space="preserve">issues related to implementation of </w:t>
      </w:r>
      <w:r>
        <w:t>EMSS based activities to enhance stroke systems of care</w:t>
      </w:r>
      <w:r w:rsidRPr="00B23299">
        <w:t xml:space="preserve"> and to </w:t>
      </w:r>
      <w:r>
        <w:t xml:space="preserve">examine these issues </w:t>
      </w:r>
      <w:r w:rsidRPr="00110257">
        <w:t>to develop technical assistance material for state health departments and EMSS coordinators</w:t>
      </w:r>
      <w:r w:rsidRPr="003535ED">
        <w:t>.</w:t>
      </w:r>
      <w:r>
        <w:t xml:space="preserve"> </w:t>
      </w:r>
      <w:r w:rsidRPr="00B23299">
        <w:t xml:space="preserve"> </w:t>
      </w:r>
      <w:r>
        <w:t xml:space="preserve"> The information</w:t>
      </w:r>
      <w:r w:rsidRPr="00B23299">
        <w:t xml:space="preserve"> will be disseminated </w:t>
      </w:r>
      <w:r>
        <w:t xml:space="preserve">to the intended audiences </w:t>
      </w:r>
      <w:r w:rsidRPr="00B23299">
        <w:t xml:space="preserve">via </w:t>
      </w:r>
      <w:r w:rsidRPr="00E64A52">
        <w:t>conference presentations, webinars, fact sheets and implementation guides.</w:t>
      </w:r>
    </w:p>
    <w:p w14:paraId="4CD190DB" w14:textId="77777777" w:rsidR="000D5673" w:rsidRPr="003F5E9A" w:rsidRDefault="000D5673" w:rsidP="003F5E9A">
      <w:pPr>
        <w:ind w:left="360"/>
      </w:pPr>
    </w:p>
    <w:p w14:paraId="5B1A36CA" w14:textId="77777777" w:rsidR="00B47055" w:rsidRPr="00FF5BF1" w:rsidRDefault="00B47055" w:rsidP="00692DEB">
      <w:pPr>
        <w:pStyle w:val="Heading4"/>
      </w:pPr>
      <w:bookmarkStart w:id="8" w:name="_Toc427752816"/>
      <w:r w:rsidRPr="00FF5BF1">
        <w:t>Use of Improved Information Technology and Burden Reduction</w:t>
      </w:r>
      <w:bookmarkEnd w:id="8"/>
    </w:p>
    <w:p w14:paraId="17B4DBB8" w14:textId="77777777" w:rsidR="00692DEB" w:rsidRPr="00711BFA" w:rsidRDefault="00EA3A4A" w:rsidP="004C36AE">
      <w:pPr>
        <w:ind w:left="0"/>
      </w:pPr>
      <w:r>
        <w:t>Data will be collected via</w:t>
      </w:r>
      <w:r w:rsidR="00692DEB" w:rsidRPr="00711BFA">
        <w:t xml:space="preserve"> </w:t>
      </w:r>
      <w:r w:rsidR="00CE71C1">
        <w:t xml:space="preserve">telephone informant interviews. </w:t>
      </w:r>
      <w:r w:rsidR="00692DEB" w:rsidRPr="00711BFA">
        <w:t>This method was chosen to reduce the overall burden on respondents</w:t>
      </w:r>
      <w:r w:rsidR="00FF5BF1">
        <w:t xml:space="preserve"> by </w:t>
      </w:r>
      <w:r w:rsidR="004A3D14">
        <w:t>focusing the discussion on the most pertinent issues specific to each respondent</w:t>
      </w:r>
      <w:r w:rsidR="00692DEB" w:rsidRPr="00711BFA">
        <w:t xml:space="preserve">. </w:t>
      </w:r>
      <w:r w:rsidR="004A3D14">
        <w:t>Telephone interviews will also help to minimize the burden on respondents and project staff by reducing the time required for follow-up—teams can verify responses</w:t>
      </w:r>
      <w:r w:rsidR="00230E0F">
        <w:t xml:space="preserve"> and request clarification as needed during the information collection process.</w:t>
      </w:r>
      <w:r w:rsidR="004A3D14">
        <w:t xml:space="preserve"> </w:t>
      </w:r>
      <w:r w:rsidR="00692DEB" w:rsidRPr="006F0460">
        <w:t xml:space="preserve">The </w:t>
      </w:r>
      <w:r w:rsidR="002E2EDD">
        <w:t>data</w:t>
      </w:r>
      <w:r w:rsidR="00692DEB" w:rsidRPr="006F0460">
        <w:t xml:space="preserve"> collection instrument </w:t>
      </w:r>
      <w:r w:rsidR="00692DEB" w:rsidRPr="00711BFA">
        <w:t xml:space="preserve">was designed to </w:t>
      </w:r>
      <w:r w:rsidR="00230E0F">
        <w:t>allow for skipping based on responses to</w:t>
      </w:r>
      <w:r w:rsidR="00832A77">
        <w:t xml:space="preserve"> role and</w:t>
      </w:r>
      <w:r w:rsidR="00230E0F">
        <w:t xml:space="preserve"> previous questions and to </w:t>
      </w:r>
      <w:r w:rsidR="00692DEB" w:rsidRPr="00711BFA">
        <w:t xml:space="preserve">collect the minimum information necessary for the purposes of this project (i.e., limited to </w:t>
      </w:r>
      <w:r w:rsidR="00832A77" w:rsidRPr="00832A77">
        <w:rPr>
          <w:color w:val="000000" w:themeColor="text1"/>
        </w:rPr>
        <w:t>29</w:t>
      </w:r>
      <w:r w:rsidR="00692DEB" w:rsidRPr="00832A77">
        <w:rPr>
          <w:color w:val="000000" w:themeColor="text1"/>
        </w:rPr>
        <w:t xml:space="preserve"> </w:t>
      </w:r>
      <w:r w:rsidR="00692DEB" w:rsidRPr="00711BFA">
        <w:t>questions).</w:t>
      </w:r>
    </w:p>
    <w:p w14:paraId="105DF0BF" w14:textId="77777777" w:rsidR="00675F9A" w:rsidRDefault="00675F9A" w:rsidP="006A09E0">
      <w:pPr>
        <w:ind w:left="0"/>
      </w:pPr>
    </w:p>
    <w:p w14:paraId="60D7F83D" w14:textId="77777777" w:rsidR="00B47055" w:rsidRPr="00D42A92" w:rsidRDefault="00B47055" w:rsidP="00692DEB">
      <w:pPr>
        <w:pStyle w:val="Heading4"/>
      </w:pPr>
      <w:bookmarkStart w:id="9" w:name="_Toc427752817"/>
      <w:r w:rsidRPr="00D42A92">
        <w:t>Efforts to Identify Duplication and Use of Similar Information</w:t>
      </w:r>
      <w:bookmarkEnd w:id="9"/>
    </w:p>
    <w:p w14:paraId="3531AF2F" w14:textId="0DD778E3" w:rsidR="000145C1" w:rsidRDefault="000145C1" w:rsidP="003535ED">
      <w:pPr>
        <w:ind w:left="0"/>
      </w:pPr>
      <w:r>
        <w:t xml:space="preserve">Although recent CDC assessments completed </w:t>
      </w:r>
      <w:r w:rsidR="00C6184E">
        <w:t xml:space="preserve">in 2018 </w:t>
      </w:r>
      <w:r>
        <w:t xml:space="preserve">by DHDSP examined </w:t>
      </w:r>
      <w:r w:rsidR="00B11683">
        <w:t>early evidence related to</w:t>
      </w:r>
      <w:r w:rsidR="00013F45">
        <w:t xml:space="preserve"> </w:t>
      </w:r>
      <w:r>
        <w:t>pre-hospital stroke systems of care interventions in the published and gray literatures</w:t>
      </w:r>
      <w:r w:rsidRPr="00CE41DB">
        <w:rPr>
          <w:vertAlign w:val="superscript"/>
        </w:rPr>
        <w:t>1</w:t>
      </w:r>
      <w:r>
        <w:t xml:space="preserve"> and </w:t>
      </w:r>
      <w:r w:rsidR="00A84917">
        <w:t>examined enacted state laws using the legal search engine, Westlaw (Thomson Reuters, Eagan, Minnesota)</w:t>
      </w:r>
      <w:r w:rsidR="00A84917">
        <w:rPr>
          <w:vertAlign w:val="superscript"/>
        </w:rPr>
        <w:t xml:space="preserve">6 </w:t>
      </w:r>
      <w:r w:rsidR="00A84917">
        <w:t>, neither assessment directly examined the steps needed to develop and implement state</w:t>
      </w:r>
      <w:r w:rsidR="00B11683">
        <w:t>-l</w:t>
      </w:r>
      <w:r w:rsidR="00A84917">
        <w:t xml:space="preserve">evel EMSS based activities to improve stroke systems of care. The previous assessments identified </w:t>
      </w:r>
      <w:r w:rsidR="00C6184E">
        <w:t xml:space="preserve">gaps </w:t>
      </w:r>
      <w:r w:rsidR="004A2E24">
        <w:t xml:space="preserve">in comprehensive approaches to </w:t>
      </w:r>
      <w:r w:rsidR="00B11683">
        <w:t xml:space="preserve">state-level </w:t>
      </w:r>
      <w:r w:rsidR="004A2E24">
        <w:t>pre-hospital stroke systems of care but did not provide tangible steps state health departments and EMSS coordinators could take to address the gap.  T</w:t>
      </w:r>
      <w:r w:rsidR="00A84917">
        <w:t xml:space="preserve">his study will provide information about the </w:t>
      </w:r>
      <w:r w:rsidR="004A2E24" w:rsidRPr="004A2E24">
        <w:t>effective strategies and potential challenges associated with developing and implementing EMSS based activities to improve pre-hospital stroke systems of care</w:t>
      </w:r>
      <w:r>
        <w:t>.</w:t>
      </w:r>
    </w:p>
    <w:p w14:paraId="7C5B40D7" w14:textId="77777777" w:rsidR="000145C1" w:rsidRDefault="000145C1" w:rsidP="004C36AE">
      <w:pPr>
        <w:ind w:left="0"/>
      </w:pPr>
    </w:p>
    <w:p w14:paraId="585B207D" w14:textId="37E7501C" w:rsidR="00BD4599" w:rsidRDefault="0005548E" w:rsidP="004C36AE">
      <w:pPr>
        <w:ind w:left="0"/>
      </w:pPr>
      <w:r>
        <w:t xml:space="preserve">The information that will be collected through this project is not available from other data sources or through other means. During </w:t>
      </w:r>
      <w:r w:rsidR="00C96ED9">
        <w:t xml:space="preserve">the </w:t>
      </w:r>
      <w:r>
        <w:t>concept development and planning phase</w:t>
      </w:r>
      <w:r w:rsidR="00C96ED9">
        <w:t>s</w:t>
      </w:r>
      <w:r>
        <w:t xml:space="preserve">, the project team </w:t>
      </w:r>
      <w:r w:rsidR="009F326B">
        <w:t>met with subject matter experts from CDC</w:t>
      </w:r>
      <w:r w:rsidR="00C96ED9">
        <w:t xml:space="preserve">’s </w:t>
      </w:r>
      <w:r w:rsidR="00C96ED9" w:rsidRPr="00C96ED9">
        <w:t>Paul Coverdell National Acute Stroke Program</w:t>
      </w:r>
      <w:r w:rsidR="00C96ED9">
        <w:t xml:space="preserve"> and several national partners engaged in stroke systems of care to ensure that there are no similar information sources available to meet the needs of the proposed information collection.  Additionally, </w:t>
      </w:r>
      <w:r w:rsidR="00C6184E">
        <w:t xml:space="preserve">the 2018 </w:t>
      </w:r>
      <w:r w:rsidR="00C96ED9">
        <w:t xml:space="preserve">detailed </w:t>
      </w:r>
      <w:r w:rsidR="00B11683">
        <w:t xml:space="preserve">early </w:t>
      </w:r>
      <w:r w:rsidR="00C96ED9">
        <w:t>evidence review of stroke</w:t>
      </w:r>
      <w:r w:rsidR="006044D4">
        <w:t xml:space="preserve"> systems of care literature</w:t>
      </w:r>
      <w:r w:rsidR="00C6184E">
        <w:t xml:space="preserve"> demonstrated </w:t>
      </w:r>
      <w:r w:rsidR="006044D4">
        <w:t>that no one has collected this information in the past.</w:t>
      </w:r>
    </w:p>
    <w:p w14:paraId="3FF915A4" w14:textId="7F34B280" w:rsidR="001A1E1F" w:rsidRDefault="001A1E1F" w:rsidP="004C36AE">
      <w:pPr>
        <w:ind w:left="0"/>
      </w:pPr>
    </w:p>
    <w:p w14:paraId="3AFA3D91" w14:textId="78991171" w:rsidR="00675F9A" w:rsidRDefault="00675F9A" w:rsidP="00AA72F1">
      <w:pPr>
        <w:ind w:left="0"/>
      </w:pPr>
    </w:p>
    <w:p w14:paraId="2D18BB91" w14:textId="77777777" w:rsidR="00B12F51" w:rsidRPr="00B47055" w:rsidRDefault="00B47055" w:rsidP="00692DEB">
      <w:pPr>
        <w:pStyle w:val="Heading4"/>
      </w:pPr>
      <w:bookmarkStart w:id="10" w:name="_Toc427752818"/>
      <w:r w:rsidRPr="00B47055">
        <w:t>Impact on Small Businesses or Other Small Entities</w:t>
      </w:r>
      <w:bookmarkEnd w:id="10"/>
    </w:p>
    <w:p w14:paraId="28E085FD" w14:textId="77777777" w:rsidR="00BD4599" w:rsidRDefault="00D26A64" w:rsidP="004C36AE">
      <w:pPr>
        <w:ind w:left="0"/>
      </w:pPr>
      <w:r>
        <w:t>N</w:t>
      </w:r>
      <w:r w:rsidR="00AF2252">
        <w:t xml:space="preserve">o small businesses will be involved in this </w:t>
      </w:r>
      <w:r w:rsidR="00157413">
        <w:t>information collection</w:t>
      </w:r>
      <w:r>
        <w:t>.</w:t>
      </w:r>
    </w:p>
    <w:p w14:paraId="19C3E9E9" w14:textId="0B616029" w:rsidR="00675F9A" w:rsidRPr="00D95FBF" w:rsidRDefault="00675F9A" w:rsidP="00383542">
      <w:pPr>
        <w:ind w:left="0"/>
      </w:pPr>
    </w:p>
    <w:p w14:paraId="0BF143E0"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41C58CA4" w14:textId="07824234" w:rsidR="000058E0" w:rsidRDefault="000058E0" w:rsidP="004C36AE">
      <w:pPr>
        <w:ind w:left="0"/>
      </w:pPr>
      <w:r w:rsidRPr="00711BFA">
        <w:t xml:space="preserve">This request is for a </w:t>
      </w:r>
      <w:r w:rsidR="00765438" w:rsidRPr="00711BFA">
        <w:t>one-time</w:t>
      </w:r>
      <w:r w:rsidRPr="00711BFA">
        <w:t xml:space="preserv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14:paraId="52B1461F" w14:textId="1CCBE4C5" w:rsidR="006044D4" w:rsidRDefault="006044D4" w:rsidP="00782FBD">
      <w:pPr>
        <w:pStyle w:val="ListParagraph"/>
        <w:numPr>
          <w:ilvl w:val="0"/>
          <w:numId w:val="6"/>
        </w:numPr>
        <w:tabs>
          <w:tab w:val="clear" w:pos="9360"/>
        </w:tabs>
        <w:spacing w:line="240" w:lineRule="auto"/>
      </w:pPr>
      <w:r w:rsidRPr="006044D4">
        <w:t>Capture in-depth information about best practices in</w:t>
      </w:r>
      <w:r>
        <w:t xml:space="preserve"> </w:t>
      </w:r>
      <w:r w:rsidR="005F55D2">
        <w:t xml:space="preserve">developing and </w:t>
      </w:r>
      <w:r>
        <w:t>implementing state</w:t>
      </w:r>
      <w:r w:rsidR="000E656F">
        <w:t xml:space="preserve">-level </w:t>
      </w:r>
      <w:r w:rsidR="00D05E58">
        <w:t xml:space="preserve">interventions </w:t>
      </w:r>
      <w:r>
        <w:t>to enhance pre-hospital stroke systems of care</w:t>
      </w:r>
    </w:p>
    <w:p w14:paraId="75DBE53B" w14:textId="55141642" w:rsidR="00D568B0" w:rsidRDefault="00D568B0" w:rsidP="005F55D2">
      <w:pPr>
        <w:pStyle w:val="ListParagraph"/>
        <w:numPr>
          <w:ilvl w:val="0"/>
          <w:numId w:val="6"/>
        </w:numPr>
        <w:tabs>
          <w:tab w:val="clear" w:pos="9360"/>
        </w:tabs>
        <w:spacing w:line="240" w:lineRule="auto"/>
      </w:pPr>
      <w:r>
        <w:t xml:space="preserve">Provide information to </w:t>
      </w:r>
      <w:r w:rsidR="005F55D2" w:rsidRPr="005F55D2">
        <w:t>state health department grantees and EMSS coordinators</w:t>
      </w:r>
      <w:r w:rsidR="005F55D2" w:rsidRPr="005F55D2" w:rsidDel="005F55D2">
        <w:t xml:space="preserve"> </w:t>
      </w:r>
      <w:r>
        <w:t>about the</w:t>
      </w:r>
      <w:r w:rsidR="006044D4" w:rsidRPr="006044D4">
        <w:t xml:space="preserve"> </w:t>
      </w:r>
      <w:r w:rsidRPr="00D568B0">
        <w:t>common facilitators and barriers to this work</w:t>
      </w:r>
      <w:r w:rsidR="002B4505">
        <w:t xml:space="preserve"> </w:t>
      </w:r>
      <w:r>
        <w:t>that may impede uptake</w:t>
      </w:r>
      <w:r w:rsidR="009A28F6">
        <w:t xml:space="preserve"> of evidence-based practice</w:t>
      </w:r>
    </w:p>
    <w:p w14:paraId="0FF5FDB3" w14:textId="037D9DC2" w:rsidR="008C59E7" w:rsidRDefault="002B4505" w:rsidP="005F55D2">
      <w:pPr>
        <w:pStyle w:val="ListParagraph"/>
        <w:numPr>
          <w:ilvl w:val="0"/>
          <w:numId w:val="6"/>
        </w:numPr>
        <w:tabs>
          <w:tab w:val="clear" w:pos="9360"/>
        </w:tabs>
        <w:spacing w:line="240" w:lineRule="auto"/>
      </w:pPr>
      <w:r>
        <w:t>Understand the</w:t>
      </w:r>
      <w:r w:rsidRPr="002B4505">
        <w:t xml:space="preserve"> </w:t>
      </w:r>
      <w:r w:rsidR="005F55D2" w:rsidRPr="005F55D2">
        <w:t>program improvement processes, outcomes, and sustainability</w:t>
      </w:r>
      <w:r>
        <w:t xml:space="preserve"> of s</w:t>
      </w:r>
      <w:r w:rsidRPr="002B4505">
        <w:t>tate</w:t>
      </w:r>
      <w:r w:rsidR="005F55D2">
        <w:t xml:space="preserve">-level </w:t>
      </w:r>
      <w:r w:rsidR="00F43EDE">
        <w:t>interventions</w:t>
      </w:r>
      <w:r w:rsidRPr="002B4505">
        <w:t xml:space="preserve"> </w:t>
      </w:r>
      <w:r w:rsidR="00F43EDE">
        <w:t>to enhance pre-hospital stroke systems of care</w:t>
      </w:r>
      <w:r w:rsidRPr="002B4505">
        <w:t xml:space="preserve"> </w:t>
      </w:r>
    </w:p>
    <w:p w14:paraId="3ED927B0" w14:textId="77777777" w:rsidR="00BD4599" w:rsidRDefault="00BD4599" w:rsidP="00675F9A">
      <w:pPr>
        <w:pStyle w:val="ListParagraph"/>
        <w:ind w:left="360"/>
        <w:rPr>
          <w:lang w:eastAsia="zh-CN"/>
        </w:rPr>
      </w:pPr>
    </w:p>
    <w:p w14:paraId="2BD46B12"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0F1C6D1B" w14:textId="77777777" w:rsidR="00F52BCC" w:rsidRDefault="00A809AA" w:rsidP="004C36AE">
      <w:pPr>
        <w:ind w:left="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509256EF" w14:textId="77777777" w:rsidR="00F52BCC" w:rsidRDefault="00F52BCC" w:rsidP="00675F9A">
      <w:pPr>
        <w:ind w:left="360"/>
      </w:pPr>
    </w:p>
    <w:p w14:paraId="2E6D5129"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32CF5961" w14:textId="77777777" w:rsidR="00A809AA" w:rsidRPr="00B8783F" w:rsidRDefault="00C768E5" w:rsidP="004C36AE">
      <w:pPr>
        <w:ind w:left="0"/>
        <w:rPr>
          <w:color w:val="FF0000"/>
        </w:rPr>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D21203" w:rsidRPr="00D21203">
        <w:t>A 60-day Federal Register Notice was published in the Federal Register on April 27, 2017, Vol. 82, No. 80, pp 19371-19373.  One non-substantive comment was received.  CDC sent forward the standard CDC response.</w:t>
      </w:r>
    </w:p>
    <w:p w14:paraId="57A49CA7" w14:textId="77777777" w:rsidR="00A809AA" w:rsidRPr="00A809AA" w:rsidRDefault="00A809AA" w:rsidP="00692DEB">
      <w:pPr>
        <w:ind w:left="0"/>
      </w:pPr>
    </w:p>
    <w:p w14:paraId="611A9845" w14:textId="77777777" w:rsidR="00A809AA" w:rsidRDefault="00A809AA" w:rsidP="004C36AE">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2D95C9C8" w14:textId="54A94432" w:rsidR="00F52BCC" w:rsidRPr="00A809AA" w:rsidRDefault="00F52BCC" w:rsidP="00AA72F1">
      <w:pPr>
        <w:ind w:left="0"/>
      </w:pPr>
    </w:p>
    <w:p w14:paraId="666AB9F9" w14:textId="77777777" w:rsidR="00B12F51" w:rsidRPr="0088467A" w:rsidRDefault="0088467A" w:rsidP="00692DEB">
      <w:pPr>
        <w:pStyle w:val="Heading4"/>
      </w:pPr>
      <w:bookmarkStart w:id="14" w:name="_Toc427752822"/>
      <w:r w:rsidRPr="0088467A">
        <w:t>Explanation of Any Payment or Gift to Respondents</w:t>
      </w:r>
      <w:bookmarkEnd w:id="14"/>
    </w:p>
    <w:p w14:paraId="276D67C4" w14:textId="77777777" w:rsidR="00675F9A" w:rsidRDefault="00A809AA" w:rsidP="004C36AE">
      <w:pPr>
        <w:ind w:left="0"/>
      </w:pPr>
      <w:r>
        <w:t>CDC will not provide p</w:t>
      </w:r>
      <w:r w:rsidR="00D26A64">
        <w:t>ayments or gifts to respondents.</w:t>
      </w:r>
    </w:p>
    <w:p w14:paraId="4CD83931" w14:textId="27B10325" w:rsidR="00C4416B" w:rsidRDefault="00C4416B" w:rsidP="00AA72F1">
      <w:pPr>
        <w:ind w:left="0"/>
      </w:pPr>
    </w:p>
    <w:p w14:paraId="1E16DF00"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06EFAC45" w14:textId="3A3BFCE5" w:rsidR="00383542" w:rsidRDefault="003C31C9" w:rsidP="00383542">
      <w:pPr>
        <w:ind w:left="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and delegates </w:t>
      </w:r>
      <w:r w:rsidRPr="00040611">
        <w:t>will be speaking from their official roles</w:t>
      </w:r>
      <w:r w:rsidR="00D06816">
        <w:t xml:space="preserve">.  </w:t>
      </w:r>
      <w:r w:rsidRPr="00040611">
        <w:t xml:space="preserve"> </w:t>
      </w:r>
    </w:p>
    <w:p w14:paraId="2A61B4DC" w14:textId="77777777" w:rsidR="00AA72F1" w:rsidRDefault="00AA72F1" w:rsidP="00383542">
      <w:pPr>
        <w:ind w:left="0"/>
      </w:pPr>
    </w:p>
    <w:p w14:paraId="33B08EB6"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11CB9A6B" w14:textId="7562675B" w:rsidR="00E20294" w:rsidRPr="0088467A" w:rsidRDefault="003C31C9" w:rsidP="00AA72F1">
      <w:pPr>
        <w:ind w:left="0"/>
      </w:pPr>
      <w:r>
        <w:t>No information will be collected</w:t>
      </w:r>
      <w:r w:rsidR="00A271D1">
        <w:t xml:space="preserve"> that are of</w:t>
      </w:r>
      <w:r w:rsidR="00616090">
        <w:t xml:space="preserve"> sensitive nature</w:t>
      </w:r>
      <w:r w:rsidR="00D26A64">
        <w:t>.</w:t>
      </w:r>
      <w:r w:rsidR="003D06F6" w:rsidRPr="003D06F6">
        <w:t xml:space="preserve"> </w:t>
      </w:r>
      <w:r w:rsidR="003D06F6" w:rsidRPr="003C31C9">
        <w:t xml:space="preserve">This </w:t>
      </w:r>
      <w:r w:rsidR="003D06F6">
        <w:t>data collection</w:t>
      </w:r>
      <w:r w:rsidR="003D06F6" w:rsidRPr="003C31C9">
        <w:t xml:space="preserve"> is not research involving human subjects.</w:t>
      </w:r>
    </w:p>
    <w:p w14:paraId="4AEFC666" w14:textId="77777777" w:rsidR="00B64BFA" w:rsidRPr="0088467A" w:rsidRDefault="0088467A" w:rsidP="00692DEB">
      <w:pPr>
        <w:pStyle w:val="Heading4"/>
      </w:pPr>
      <w:bookmarkStart w:id="17" w:name="_Toc427752825"/>
      <w:r w:rsidRPr="0088467A">
        <w:t>Estimates of Annualized Burden Hours and Costs</w:t>
      </w:r>
      <w:bookmarkEnd w:id="17"/>
    </w:p>
    <w:p w14:paraId="6B9B147D" w14:textId="37E69806" w:rsidR="000058E0" w:rsidRPr="00832A77" w:rsidRDefault="000058E0" w:rsidP="004C36AE">
      <w:pPr>
        <w:ind w:left="0"/>
        <w:rPr>
          <w:color w:val="000000"/>
        </w:rPr>
      </w:pPr>
      <w:r w:rsidRPr="00832A77">
        <w:rPr>
          <w:color w:val="000000"/>
        </w:rPr>
        <w:t xml:space="preserve">The estimate for burden hours is based on a pilot test of </w:t>
      </w:r>
      <w:r w:rsidRPr="00832A77">
        <w:t xml:space="preserve">the </w:t>
      </w:r>
      <w:r w:rsidR="002E2EDD" w:rsidRPr="00832A77">
        <w:t>data</w:t>
      </w:r>
      <w:r w:rsidRPr="00832A77">
        <w:t xml:space="preserve"> collection instrument </w:t>
      </w:r>
      <w:r w:rsidRPr="00832A77">
        <w:rPr>
          <w:color w:val="000000"/>
        </w:rPr>
        <w:t xml:space="preserve">by </w:t>
      </w:r>
      <w:r w:rsidR="00832A77" w:rsidRPr="00832A77">
        <w:t>three</w:t>
      </w:r>
      <w:r w:rsidRPr="00832A77">
        <w:t xml:space="preserve"> </w:t>
      </w:r>
      <w:r w:rsidRPr="00975B67">
        <w:rPr>
          <w:color w:val="000000"/>
        </w:rPr>
        <w:t xml:space="preserve">public health professionals. In the pilot test, the average time to complete the instrument including time for reviewing instructions, gathering needed information and completing the instrument, was approximately </w:t>
      </w:r>
      <w:r w:rsidR="00975B67" w:rsidRPr="00975B67">
        <w:rPr>
          <w:color w:val="000000"/>
        </w:rPr>
        <w:t>70</w:t>
      </w:r>
      <w:r w:rsidRPr="00975B67">
        <w:rPr>
          <w:color w:val="000000"/>
        </w:rPr>
        <w:t xml:space="preserve"> minutes</w:t>
      </w:r>
      <w:r w:rsidR="00A242DB" w:rsidRPr="00975B67">
        <w:rPr>
          <w:color w:val="000000"/>
        </w:rPr>
        <w:t xml:space="preserve"> (range: </w:t>
      </w:r>
      <w:r w:rsidR="00975B67" w:rsidRPr="00975B67">
        <w:rPr>
          <w:color w:val="000000"/>
        </w:rPr>
        <w:t>60</w:t>
      </w:r>
      <w:r w:rsidR="00721719" w:rsidRPr="00975B67">
        <w:rPr>
          <w:color w:val="000000"/>
        </w:rPr>
        <w:t xml:space="preserve"> –</w:t>
      </w:r>
      <w:r w:rsidR="00975B67" w:rsidRPr="00975B67">
        <w:rPr>
          <w:color w:val="000000"/>
        </w:rPr>
        <w:t>90</w:t>
      </w:r>
      <w:r w:rsidR="00721719" w:rsidRPr="00975B67">
        <w:rPr>
          <w:color w:val="000000"/>
        </w:rPr>
        <w:t>)</w:t>
      </w:r>
      <w:r w:rsidRPr="00975B67">
        <w:rPr>
          <w:color w:val="000000"/>
        </w:rPr>
        <w:t xml:space="preserve">. For the purposes of estimating burden hours, the upper limit of this range (i.e., </w:t>
      </w:r>
      <w:r w:rsidR="00975B67" w:rsidRPr="00975B67">
        <w:rPr>
          <w:color w:val="000000"/>
        </w:rPr>
        <w:t xml:space="preserve">90 </w:t>
      </w:r>
      <w:r w:rsidRPr="00975B67">
        <w:rPr>
          <w:color w:val="000000"/>
        </w:rPr>
        <w:t>minutes) is used.</w:t>
      </w:r>
    </w:p>
    <w:p w14:paraId="376DECA8" w14:textId="77777777" w:rsidR="000058E0" w:rsidRPr="00832A77" w:rsidRDefault="000058E0" w:rsidP="000058E0">
      <w:pPr>
        <w:ind w:left="0"/>
      </w:pPr>
    </w:p>
    <w:p w14:paraId="0F1CBC94" w14:textId="1692D747" w:rsidR="00BB090C" w:rsidRDefault="008C408E" w:rsidP="004C36AE">
      <w:pPr>
        <w:ind w:left="0"/>
      </w:pPr>
      <w:r w:rsidRPr="00832A77">
        <w:t>Estimates for the average hourly wage for respondents are based on the Department of Labor (DOL) Bureau of Labor Statisti</w:t>
      </w:r>
      <w:r w:rsidR="008F3D10" w:rsidRPr="00832A77">
        <w:t xml:space="preserve">cs for occupational employment </w:t>
      </w:r>
      <w:r w:rsidRPr="00832A77">
        <w:t>for</w:t>
      </w:r>
      <w:r w:rsidRPr="00832A77">
        <w:rPr>
          <w:color w:val="0070C0"/>
        </w:rPr>
        <w:t xml:space="preserve"> </w:t>
      </w:r>
      <w:r w:rsidR="007F142A" w:rsidRPr="00630D27">
        <w:rPr>
          <w:color w:val="000000" w:themeColor="text1"/>
        </w:rPr>
        <w:t xml:space="preserve">Top Executives  </w:t>
      </w:r>
      <w:hyperlink r:id="rId15" w:history="1">
        <w:r w:rsidRPr="00832A77">
          <w:rPr>
            <w:rStyle w:val="Hyperlink"/>
          </w:rPr>
          <w:t>http://www.bls.gov/oes/current/oes_nat.htm</w:t>
        </w:r>
      </w:hyperlink>
      <w:r w:rsidRPr="00832A77">
        <w:t xml:space="preserve">.  </w:t>
      </w:r>
      <w:r w:rsidR="000058E0" w:rsidRPr="00832A77">
        <w:t xml:space="preserve">Based on DOL data, an average hourly wage of </w:t>
      </w:r>
      <w:r w:rsidR="008C59E7" w:rsidRPr="008A629E">
        <w:t>$</w:t>
      </w:r>
      <w:r w:rsidR="008A629E" w:rsidRPr="008A629E">
        <w:t xml:space="preserve">61.55 </w:t>
      </w:r>
      <w:r w:rsidR="000058E0" w:rsidRPr="008A629E">
        <w:t xml:space="preserve">is estimated for all </w:t>
      </w:r>
      <w:r w:rsidR="00830A32" w:rsidRPr="008A629E">
        <w:t>4</w:t>
      </w:r>
      <w:r w:rsidR="00830A32">
        <w:t>8</w:t>
      </w:r>
      <w:r w:rsidR="00830A32" w:rsidRPr="008A629E">
        <w:t xml:space="preserve"> </w:t>
      </w:r>
      <w:r w:rsidR="000058E0" w:rsidRPr="008A629E">
        <w:t>respondents</w:t>
      </w:r>
      <w:r w:rsidR="000058E0" w:rsidRPr="00832A77">
        <w:t>. Table A-12 shows estimated burden and cost information.</w:t>
      </w:r>
      <w:r w:rsidR="002B32AB">
        <w:t xml:space="preserve"> </w:t>
      </w:r>
    </w:p>
    <w:p w14:paraId="5C7B418C" w14:textId="77777777" w:rsidR="00383542" w:rsidRDefault="00383542" w:rsidP="008B65FF">
      <w:pPr>
        <w:ind w:left="360"/>
      </w:pPr>
    </w:p>
    <w:p w14:paraId="7F8E7225" w14:textId="2F53DAD6" w:rsidR="00383542" w:rsidRPr="00564872" w:rsidRDefault="00383542" w:rsidP="004C36AE">
      <w:pPr>
        <w:ind w:left="0"/>
      </w:pPr>
      <w:r w:rsidRPr="004A30CE">
        <w:rPr>
          <w:rFonts w:ascii="Cambria" w:hAnsi="Cambria"/>
        </w:rPr>
        <w:t>There will be a total o</w:t>
      </w:r>
      <w:r w:rsidRPr="009A28F6">
        <w:rPr>
          <w:rFonts w:ascii="Cambria" w:hAnsi="Cambria"/>
          <w:color w:val="000000" w:themeColor="text1"/>
        </w:rPr>
        <w:t xml:space="preserve">f </w:t>
      </w:r>
      <w:r w:rsidR="00830A32" w:rsidRPr="009A28F6">
        <w:rPr>
          <w:rFonts w:ascii="Cambria" w:hAnsi="Cambria"/>
          <w:color w:val="000000" w:themeColor="text1"/>
        </w:rPr>
        <w:t>4</w:t>
      </w:r>
      <w:r w:rsidR="00830A32">
        <w:rPr>
          <w:rFonts w:ascii="Cambria" w:hAnsi="Cambria"/>
          <w:color w:val="000000" w:themeColor="text1"/>
        </w:rPr>
        <w:t>8</w:t>
      </w:r>
      <w:r w:rsidR="00830A32" w:rsidRPr="009A28F6">
        <w:rPr>
          <w:rFonts w:ascii="Cambria" w:hAnsi="Cambria"/>
          <w:color w:val="000000" w:themeColor="text1"/>
        </w:rPr>
        <w:t xml:space="preserve"> </w:t>
      </w:r>
      <w:r w:rsidRPr="009A28F6">
        <w:rPr>
          <w:rFonts w:ascii="Cambria" w:hAnsi="Cambria"/>
          <w:color w:val="000000" w:themeColor="text1"/>
        </w:rPr>
        <w:t xml:space="preserve">respondents and </w:t>
      </w:r>
      <w:r w:rsidR="00830A32" w:rsidRPr="009A28F6">
        <w:rPr>
          <w:rFonts w:ascii="Cambria" w:hAnsi="Cambria"/>
          <w:color w:val="000000" w:themeColor="text1"/>
        </w:rPr>
        <w:t>4</w:t>
      </w:r>
      <w:r w:rsidR="00830A32">
        <w:rPr>
          <w:rFonts w:ascii="Cambria" w:hAnsi="Cambria"/>
          <w:color w:val="000000" w:themeColor="text1"/>
        </w:rPr>
        <w:t>8</w:t>
      </w:r>
      <w:r w:rsidR="00830A32" w:rsidRPr="009A28F6">
        <w:rPr>
          <w:rFonts w:ascii="Cambria" w:hAnsi="Cambria"/>
          <w:color w:val="000000" w:themeColor="text1"/>
        </w:rPr>
        <w:t xml:space="preserve"> </w:t>
      </w:r>
      <w:r w:rsidRPr="004A30CE">
        <w:rPr>
          <w:rFonts w:ascii="Cambria" w:hAnsi="Cambria"/>
        </w:rPr>
        <w:t>responses.</w:t>
      </w:r>
    </w:p>
    <w:p w14:paraId="16BDF0ED" w14:textId="77777777" w:rsidR="005A59E5" w:rsidRDefault="005A59E5" w:rsidP="00692DEB">
      <w:pPr>
        <w:ind w:left="0"/>
      </w:pPr>
    </w:p>
    <w:p w14:paraId="0FD074C4" w14:textId="77777777" w:rsidR="00E41812" w:rsidRDefault="005A59E5" w:rsidP="004C36AE">
      <w:pPr>
        <w:pStyle w:val="CommentText"/>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4B1C2D50" w14:textId="77777777" w:rsidR="005A59E5" w:rsidRDefault="005A59E5" w:rsidP="008B65FF">
      <w:pPr>
        <w:pStyle w:val="ListParagraph"/>
        <w:ind w:left="360"/>
      </w:pPr>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1440"/>
        <w:gridCol w:w="1260"/>
        <w:gridCol w:w="1260"/>
        <w:gridCol w:w="900"/>
        <w:gridCol w:w="900"/>
        <w:gridCol w:w="1440"/>
      </w:tblGrid>
      <w:tr w:rsidR="0043229B" w:rsidRPr="006F6856" w14:paraId="020A9A7D" w14:textId="77777777" w:rsidTr="002D3B2D">
        <w:trPr>
          <w:trHeight w:val="1493"/>
        </w:trPr>
        <w:tc>
          <w:tcPr>
            <w:tcW w:w="1170" w:type="dxa"/>
            <w:shd w:val="clear" w:color="auto" w:fill="D9D9D9" w:themeFill="background1" w:themeFillShade="D9"/>
          </w:tcPr>
          <w:p w14:paraId="1303330D" w14:textId="77777777" w:rsidR="003B2200" w:rsidRPr="002D3B2D" w:rsidRDefault="002E2EDD" w:rsidP="000058E0">
            <w:pPr>
              <w:ind w:left="-18"/>
              <w:rPr>
                <w:b/>
                <w:sz w:val="18"/>
                <w:szCs w:val="18"/>
              </w:rPr>
            </w:pPr>
            <w:r w:rsidRPr="002D3B2D">
              <w:rPr>
                <w:b/>
                <w:sz w:val="18"/>
                <w:szCs w:val="18"/>
              </w:rPr>
              <w:t>Data</w:t>
            </w:r>
            <w:r w:rsidR="00157413" w:rsidRPr="002D3B2D">
              <w:rPr>
                <w:b/>
                <w:sz w:val="18"/>
                <w:szCs w:val="18"/>
              </w:rPr>
              <w:t xml:space="preserve"> collection</w:t>
            </w:r>
            <w:r w:rsidR="003B2200" w:rsidRPr="002D3B2D">
              <w:rPr>
                <w:b/>
                <w:sz w:val="18"/>
                <w:szCs w:val="18"/>
              </w:rPr>
              <w:t xml:space="preserve"> Instrument: Form Name</w:t>
            </w:r>
          </w:p>
        </w:tc>
        <w:tc>
          <w:tcPr>
            <w:tcW w:w="1440" w:type="dxa"/>
            <w:shd w:val="clear" w:color="auto" w:fill="D9D9D9" w:themeFill="background1" w:themeFillShade="D9"/>
            <w:vAlign w:val="center"/>
          </w:tcPr>
          <w:p w14:paraId="7CCA3D28" w14:textId="77777777" w:rsidR="003B2200" w:rsidRPr="002D3B2D" w:rsidRDefault="003B2200" w:rsidP="000058E0">
            <w:pPr>
              <w:ind w:left="-18"/>
              <w:rPr>
                <w:b/>
                <w:sz w:val="18"/>
                <w:szCs w:val="18"/>
              </w:rPr>
            </w:pPr>
            <w:r w:rsidRPr="002D3B2D">
              <w:rPr>
                <w:b/>
                <w:sz w:val="18"/>
                <w:szCs w:val="18"/>
              </w:rPr>
              <w:t>Type of Respondent</w:t>
            </w:r>
          </w:p>
        </w:tc>
        <w:tc>
          <w:tcPr>
            <w:tcW w:w="1440" w:type="dxa"/>
            <w:shd w:val="clear" w:color="auto" w:fill="D9D9D9" w:themeFill="background1" w:themeFillShade="D9"/>
            <w:vAlign w:val="center"/>
          </w:tcPr>
          <w:p w14:paraId="759913A6" w14:textId="77777777" w:rsidR="003B2200" w:rsidRPr="002D3B2D" w:rsidRDefault="003B2200" w:rsidP="000058E0">
            <w:pPr>
              <w:ind w:left="-18"/>
              <w:rPr>
                <w:b/>
                <w:sz w:val="18"/>
                <w:szCs w:val="18"/>
              </w:rPr>
            </w:pPr>
            <w:r w:rsidRPr="002D3B2D">
              <w:rPr>
                <w:b/>
                <w:sz w:val="18"/>
                <w:szCs w:val="18"/>
              </w:rPr>
              <w:t>No. of Respondents</w:t>
            </w:r>
          </w:p>
        </w:tc>
        <w:tc>
          <w:tcPr>
            <w:tcW w:w="1260" w:type="dxa"/>
            <w:shd w:val="clear" w:color="auto" w:fill="D9D9D9" w:themeFill="background1" w:themeFillShade="D9"/>
            <w:vAlign w:val="center"/>
          </w:tcPr>
          <w:p w14:paraId="0C93CBB5" w14:textId="77777777" w:rsidR="003B2200" w:rsidRPr="002D3B2D" w:rsidRDefault="003B2200" w:rsidP="000058E0">
            <w:pPr>
              <w:ind w:left="-18"/>
              <w:rPr>
                <w:b/>
                <w:sz w:val="18"/>
                <w:szCs w:val="18"/>
              </w:rPr>
            </w:pPr>
            <w:r w:rsidRPr="002D3B2D">
              <w:rPr>
                <w:b/>
                <w:sz w:val="18"/>
                <w:szCs w:val="18"/>
              </w:rPr>
              <w:t>No. of Responses per Respondent</w:t>
            </w:r>
          </w:p>
        </w:tc>
        <w:tc>
          <w:tcPr>
            <w:tcW w:w="1260" w:type="dxa"/>
            <w:shd w:val="clear" w:color="auto" w:fill="D9D9D9" w:themeFill="background1" w:themeFillShade="D9"/>
            <w:vAlign w:val="center"/>
          </w:tcPr>
          <w:p w14:paraId="1CFA90BC" w14:textId="77777777" w:rsidR="003B2200" w:rsidRPr="002D3B2D" w:rsidRDefault="003B2200" w:rsidP="000058E0">
            <w:pPr>
              <w:ind w:left="-18"/>
              <w:rPr>
                <w:b/>
                <w:sz w:val="18"/>
                <w:szCs w:val="18"/>
              </w:rPr>
            </w:pPr>
            <w:r w:rsidRPr="002D3B2D">
              <w:rPr>
                <w:b/>
                <w:sz w:val="18"/>
                <w:szCs w:val="18"/>
              </w:rPr>
              <w:t>Average Burden per Response (in hours)</w:t>
            </w:r>
          </w:p>
        </w:tc>
        <w:tc>
          <w:tcPr>
            <w:tcW w:w="900" w:type="dxa"/>
            <w:shd w:val="clear" w:color="auto" w:fill="D9D9D9" w:themeFill="background1" w:themeFillShade="D9"/>
            <w:vAlign w:val="center"/>
          </w:tcPr>
          <w:p w14:paraId="538F35B1" w14:textId="77777777" w:rsidR="003B2200" w:rsidRPr="002D3B2D" w:rsidRDefault="003B2200" w:rsidP="000058E0">
            <w:pPr>
              <w:ind w:left="-18"/>
              <w:rPr>
                <w:b/>
                <w:sz w:val="18"/>
                <w:szCs w:val="18"/>
              </w:rPr>
            </w:pPr>
            <w:r w:rsidRPr="002D3B2D">
              <w:rPr>
                <w:b/>
                <w:sz w:val="18"/>
                <w:szCs w:val="18"/>
              </w:rPr>
              <w:t>Total Burden Hours</w:t>
            </w:r>
          </w:p>
        </w:tc>
        <w:tc>
          <w:tcPr>
            <w:tcW w:w="900" w:type="dxa"/>
            <w:shd w:val="clear" w:color="auto" w:fill="D9D9D9" w:themeFill="background1" w:themeFillShade="D9"/>
            <w:vAlign w:val="center"/>
          </w:tcPr>
          <w:p w14:paraId="380BA663" w14:textId="77777777" w:rsidR="003B2200" w:rsidRPr="002D3B2D" w:rsidRDefault="003B2200" w:rsidP="000058E0">
            <w:pPr>
              <w:ind w:left="-18"/>
              <w:rPr>
                <w:b/>
                <w:sz w:val="18"/>
                <w:szCs w:val="18"/>
              </w:rPr>
            </w:pPr>
            <w:r w:rsidRPr="002D3B2D">
              <w:rPr>
                <w:b/>
                <w:sz w:val="18"/>
                <w:szCs w:val="18"/>
              </w:rPr>
              <w:t>Hourly Wage Rate</w:t>
            </w:r>
          </w:p>
        </w:tc>
        <w:tc>
          <w:tcPr>
            <w:tcW w:w="1440" w:type="dxa"/>
            <w:shd w:val="clear" w:color="auto" w:fill="D9D9D9" w:themeFill="background1" w:themeFillShade="D9"/>
            <w:vAlign w:val="center"/>
          </w:tcPr>
          <w:p w14:paraId="31FAEAB3" w14:textId="77777777" w:rsidR="003B2200" w:rsidRPr="002D3B2D" w:rsidRDefault="003B2200" w:rsidP="000058E0">
            <w:pPr>
              <w:ind w:left="-18"/>
              <w:rPr>
                <w:b/>
                <w:sz w:val="18"/>
                <w:szCs w:val="18"/>
              </w:rPr>
            </w:pPr>
            <w:r w:rsidRPr="002D3B2D">
              <w:rPr>
                <w:b/>
                <w:sz w:val="18"/>
                <w:szCs w:val="18"/>
              </w:rPr>
              <w:t>Total Respondent Costs</w:t>
            </w:r>
          </w:p>
        </w:tc>
      </w:tr>
      <w:tr w:rsidR="00222C6C" w:rsidRPr="006F6856" w14:paraId="352462C6" w14:textId="77777777" w:rsidTr="002D3B2D">
        <w:tc>
          <w:tcPr>
            <w:tcW w:w="1170" w:type="dxa"/>
            <w:vMerge w:val="restart"/>
          </w:tcPr>
          <w:p w14:paraId="6BD56F7F" w14:textId="77777777" w:rsidR="00222C6C" w:rsidRPr="00830A32" w:rsidRDefault="00222C6C" w:rsidP="00222C6C">
            <w:pPr>
              <w:ind w:left="0"/>
              <w:rPr>
                <w:sz w:val="20"/>
                <w:szCs w:val="20"/>
              </w:rPr>
            </w:pPr>
            <w:r w:rsidRPr="00830A32">
              <w:rPr>
                <w:color w:val="000000" w:themeColor="text1"/>
                <w:sz w:val="20"/>
                <w:szCs w:val="20"/>
              </w:rPr>
              <w:t>Telephone Interview Guide</w:t>
            </w:r>
          </w:p>
          <w:p w14:paraId="76233CEB" w14:textId="77777777" w:rsidR="00222C6C" w:rsidRPr="00830A32" w:rsidRDefault="00222C6C" w:rsidP="00222C6C">
            <w:pPr>
              <w:ind w:left="0"/>
              <w:rPr>
                <w:sz w:val="20"/>
                <w:szCs w:val="20"/>
              </w:rPr>
            </w:pPr>
          </w:p>
        </w:tc>
        <w:tc>
          <w:tcPr>
            <w:tcW w:w="1440" w:type="dxa"/>
          </w:tcPr>
          <w:p w14:paraId="40E4F5C9" w14:textId="77777777" w:rsidR="00222C6C" w:rsidRPr="00830A32" w:rsidRDefault="00222C6C" w:rsidP="00596EC4">
            <w:pPr>
              <w:ind w:left="0"/>
              <w:rPr>
                <w:sz w:val="20"/>
                <w:szCs w:val="20"/>
              </w:rPr>
            </w:pPr>
            <w:r w:rsidRPr="00830A32">
              <w:rPr>
                <w:sz w:val="20"/>
                <w:szCs w:val="20"/>
              </w:rPr>
              <w:t xml:space="preserve">Senior state health department </w:t>
            </w:r>
            <w:r w:rsidR="00596EC4" w:rsidRPr="00830A32">
              <w:rPr>
                <w:sz w:val="20"/>
                <w:szCs w:val="20"/>
              </w:rPr>
              <w:t xml:space="preserve">and EMS executive </w:t>
            </w:r>
            <w:r w:rsidRPr="00830A32">
              <w:rPr>
                <w:sz w:val="20"/>
                <w:szCs w:val="20"/>
              </w:rPr>
              <w:t xml:space="preserve">staff </w:t>
            </w:r>
          </w:p>
        </w:tc>
        <w:tc>
          <w:tcPr>
            <w:tcW w:w="1440" w:type="dxa"/>
          </w:tcPr>
          <w:p w14:paraId="2AB607F2" w14:textId="27E7323F" w:rsidR="00222C6C" w:rsidRPr="00830A32" w:rsidRDefault="00830A32" w:rsidP="00222C6C">
            <w:pPr>
              <w:ind w:left="0"/>
              <w:rPr>
                <w:sz w:val="20"/>
                <w:szCs w:val="20"/>
              </w:rPr>
            </w:pPr>
            <w:r>
              <w:rPr>
                <w:sz w:val="20"/>
                <w:szCs w:val="20"/>
              </w:rPr>
              <w:t>30</w:t>
            </w:r>
          </w:p>
        </w:tc>
        <w:tc>
          <w:tcPr>
            <w:tcW w:w="1260" w:type="dxa"/>
          </w:tcPr>
          <w:p w14:paraId="245BA648" w14:textId="77777777" w:rsidR="00222C6C" w:rsidRPr="00830A32" w:rsidRDefault="00222C6C" w:rsidP="00222C6C">
            <w:pPr>
              <w:ind w:left="0"/>
              <w:rPr>
                <w:sz w:val="20"/>
                <w:szCs w:val="20"/>
              </w:rPr>
            </w:pPr>
            <w:r w:rsidRPr="00830A32">
              <w:rPr>
                <w:sz w:val="20"/>
                <w:szCs w:val="20"/>
              </w:rPr>
              <w:t>1</w:t>
            </w:r>
          </w:p>
        </w:tc>
        <w:tc>
          <w:tcPr>
            <w:tcW w:w="1260" w:type="dxa"/>
          </w:tcPr>
          <w:p w14:paraId="6B06EA0D" w14:textId="77777777" w:rsidR="00222C6C" w:rsidRPr="001A1E1F" w:rsidRDefault="00BA79DB" w:rsidP="00222C6C">
            <w:pPr>
              <w:ind w:left="0"/>
              <w:rPr>
                <w:sz w:val="20"/>
                <w:szCs w:val="20"/>
              </w:rPr>
            </w:pPr>
            <w:r w:rsidRPr="00830A32">
              <w:rPr>
                <w:sz w:val="20"/>
                <w:szCs w:val="20"/>
              </w:rPr>
              <w:t>90</w:t>
            </w:r>
            <w:r w:rsidR="00222C6C" w:rsidRPr="00830A32">
              <w:rPr>
                <w:sz w:val="20"/>
                <w:szCs w:val="20"/>
              </w:rPr>
              <w:t xml:space="preserve"> / 60 </w:t>
            </w:r>
          </w:p>
        </w:tc>
        <w:tc>
          <w:tcPr>
            <w:tcW w:w="900" w:type="dxa"/>
          </w:tcPr>
          <w:p w14:paraId="034DE305" w14:textId="685E90B9" w:rsidR="00222C6C" w:rsidRPr="00830A32" w:rsidRDefault="00F52CD4">
            <w:pPr>
              <w:ind w:left="0"/>
              <w:rPr>
                <w:sz w:val="20"/>
                <w:szCs w:val="20"/>
              </w:rPr>
            </w:pPr>
            <w:r w:rsidRPr="00830A32">
              <w:rPr>
                <w:sz w:val="20"/>
                <w:szCs w:val="20"/>
              </w:rPr>
              <w:t>4</w:t>
            </w:r>
            <w:r>
              <w:rPr>
                <w:sz w:val="20"/>
                <w:szCs w:val="20"/>
              </w:rPr>
              <w:t>5</w:t>
            </w:r>
          </w:p>
        </w:tc>
        <w:tc>
          <w:tcPr>
            <w:tcW w:w="900" w:type="dxa"/>
          </w:tcPr>
          <w:p w14:paraId="5E0AF8AD" w14:textId="77777777" w:rsidR="00222C6C" w:rsidRPr="00830A32" w:rsidRDefault="00222C6C" w:rsidP="00222C6C">
            <w:pPr>
              <w:ind w:left="0"/>
              <w:rPr>
                <w:sz w:val="20"/>
                <w:szCs w:val="20"/>
              </w:rPr>
            </w:pPr>
            <w:r w:rsidRPr="00830A32">
              <w:rPr>
                <w:sz w:val="20"/>
                <w:szCs w:val="20"/>
              </w:rPr>
              <w:t>$61.55</w:t>
            </w:r>
          </w:p>
        </w:tc>
        <w:tc>
          <w:tcPr>
            <w:tcW w:w="1440" w:type="dxa"/>
          </w:tcPr>
          <w:p w14:paraId="65F2F816" w14:textId="0EE2EB84" w:rsidR="00222C6C" w:rsidRPr="00830A32" w:rsidRDefault="007D5B23">
            <w:pPr>
              <w:ind w:left="0"/>
              <w:rPr>
                <w:sz w:val="20"/>
                <w:szCs w:val="20"/>
              </w:rPr>
            </w:pPr>
            <w:r w:rsidRPr="00830A32">
              <w:rPr>
                <w:sz w:val="20"/>
                <w:szCs w:val="20"/>
              </w:rPr>
              <w:t>$2</w:t>
            </w:r>
            <w:r w:rsidR="002D3B2D" w:rsidRPr="00830A32">
              <w:rPr>
                <w:sz w:val="20"/>
                <w:szCs w:val="20"/>
              </w:rPr>
              <w:t>,</w:t>
            </w:r>
            <w:r w:rsidR="00830A32">
              <w:rPr>
                <w:sz w:val="20"/>
                <w:szCs w:val="20"/>
              </w:rPr>
              <w:t>770</w:t>
            </w:r>
          </w:p>
        </w:tc>
      </w:tr>
      <w:tr w:rsidR="00222C6C" w:rsidRPr="006F6856" w14:paraId="7B0A2E9B" w14:textId="77777777" w:rsidTr="002D3B2D">
        <w:tc>
          <w:tcPr>
            <w:tcW w:w="1170" w:type="dxa"/>
            <w:vMerge/>
          </w:tcPr>
          <w:p w14:paraId="4FEE064B" w14:textId="77777777" w:rsidR="00222C6C" w:rsidRPr="00830A32" w:rsidRDefault="00222C6C" w:rsidP="00222C6C">
            <w:pPr>
              <w:ind w:left="0"/>
              <w:rPr>
                <w:color w:val="0070C0"/>
                <w:sz w:val="20"/>
                <w:szCs w:val="20"/>
              </w:rPr>
            </w:pPr>
          </w:p>
        </w:tc>
        <w:tc>
          <w:tcPr>
            <w:tcW w:w="1440" w:type="dxa"/>
          </w:tcPr>
          <w:p w14:paraId="79744635" w14:textId="77777777" w:rsidR="00222C6C" w:rsidRPr="00830A32" w:rsidRDefault="00222C6C" w:rsidP="00596EC4">
            <w:pPr>
              <w:ind w:left="0"/>
              <w:rPr>
                <w:sz w:val="20"/>
                <w:szCs w:val="20"/>
              </w:rPr>
            </w:pPr>
            <w:r w:rsidRPr="00830A32">
              <w:rPr>
                <w:sz w:val="20"/>
                <w:szCs w:val="20"/>
              </w:rPr>
              <w:t xml:space="preserve">State delegates implementing </w:t>
            </w:r>
            <w:r w:rsidR="00596EC4" w:rsidRPr="00830A32">
              <w:rPr>
                <w:sz w:val="20"/>
                <w:szCs w:val="20"/>
              </w:rPr>
              <w:t>stroke systems of care</w:t>
            </w:r>
          </w:p>
        </w:tc>
        <w:tc>
          <w:tcPr>
            <w:tcW w:w="1440" w:type="dxa"/>
          </w:tcPr>
          <w:p w14:paraId="662887AE" w14:textId="39F0DF5F" w:rsidR="00222C6C" w:rsidRPr="001A1E1F" w:rsidRDefault="00994FF5" w:rsidP="00222C6C">
            <w:pPr>
              <w:ind w:left="0"/>
              <w:rPr>
                <w:sz w:val="20"/>
                <w:szCs w:val="20"/>
              </w:rPr>
            </w:pPr>
            <w:r w:rsidRPr="001A1E1F">
              <w:rPr>
                <w:sz w:val="20"/>
                <w:szCs w:val="20"/>
              </w:rPr>
              <w:t>18</w:t>
            </w:r>
          </w:p>
          <w:p w14:paraId="7CB64CB9" w14:textId="1DEE9DCD" w:rsidR="00994FF5" w:rsidRPr="00830A32" w:rsidRDefault="00994FF5" w:rsidP="00222C6C">
            <w:pPr>
              <w:ind w:left="0"/>
              <w:rPr>
                <w:sz w:val="20"/>
                <w:szCs w:val="20"/>
              </w:rPr>
            </w:pPr>
          </w:p>
        </w:tc>
        <w:tc>
          <w:tcPr>
            <w:tcW w:w="1260" w:type="dxa"/>
          </w:tcPr>
          <w:p w14:paraId="78AA3D94" w14:textId="77777777" w:rsidR="00222C6C" w:rsidRPr="00830A32" w:rsidRDefault="00222C6C" w:rsidP="00222C6C">
            <w:pPr>
              <w:ind w:left="0"/>
              <w:rPr>
                <w:sz w:val="20"/>
                <w:szCs w:val="20"/>
              </w:rPr>
            </w:pPr>
            <w:r w:rsidRPr="00830A32">
              <w:rPr>
                <w:sz w:val="20"/>
                <w:szCs w:val="20"/>
              </w:rPr>
              <w:t>1</w:t>
            </w:r>
          </w:p>
        </w:tc>
        <w:tc>
          <w:tcPr>
            <w:tcW w:w="1260" w:type="dxa"/>
          </w:tcPr>
          <w:p w14:paraId="36095805" w14:textId="77777777" w:rsidR="00222C6C" w:rsidRPr="001A1E1F" w:rsidRDefault="00BA79DB" w:rsidP="00222C6C">
            <w:pPr>
              <w:ind w:left="0"/>
              <w:rPr>
                <w:sz w:val="20"/>
                <w:szCs w:val="20"/>
              </w:rPr>
            </w:pPr>
            <w:r w:rsidRPr="00830A32">
              <w:rPr>
                <w:sz w:val="20"/>
                <w:szCs w:val="20"/>
              </w:rPr>
              <w:t>90</w:t>
            </w:r>
            <w:r w:rsidR="00222C6C" w:rsidRPr="00830A32">
              <w:rPr>
                <w:sz w:val="20"/>
                <w:szCs w:val="20"/>
              </w:rPr>
              <w:t xml:space="preserve"> / 60 </w:t>
            </w:r>
          </w:p>
        </w:tc>
        <w:tc>
          <w:tcPr>
            <w:tcW w:w="900" w:type="dxa"/>
          </w:tcPr>
          <w:p w14:paraId="1F827808" w14:textId="2A88D5B4" w:rsidR="00222C6C" w:rsidRPr="00830A32" w:rsidRDefault="00F52CD4" w:rsidP="002D3B2D">
            <w:pPr>
              <w:ind w:left="0"/>
              <w:rPr>
                <w:sz w:val="20"/>
                <w:szCs w:val="20"/>
              </w:rPr>
            </w:pPr>
            <w:r>
              <w:rPr>
                <w:sz w:val="20"/>
                <w:szCs w:val="20"/>
              </w:rPr>
              <w:t>27</w:t>
            </w:r>
          </w:p>
        </w:tc>
        <w:tc>
          <w:tcPr>
            <w:tcW w:w="900" w:type="dxa"/>
          </w:tcPr>
          <w:p w14:paraId="6B4397EE" w14:textId="77777777" w:rsidR="00222C6C" w:rsidRPr="00830A32" w:rsidRDefault="00222C6C" w:rsidP="00222C6C">
            <w:pPr>
              <w:ind w:left="0"/>
              <w:rPr>
                <w:sz w:val="20"/>
                <w:szCs w:val="20"/>
              </w:rPr>
            </w:pPr>
            <w:r w:rsidRPr="00830A32">
              <w:rPr>
                <w:sz w:val="20"/>
                <w:szCs w:val="20"/>
              </w:rPr>
              <w:t>$61.55</w:t>
            </w:r>
          </w:p>
        </w:tc>
        <w:tc>
          <w:tcPr>
            <w:tcW w:w="1440" w:type="dxa"/>
          </w:tcPr>
          <w:p w14:paraId="1B287B2D" w14:textId="06011875" w:rsidR="00222C6C" w:rsidRPr="00830A32" w:rsidRDefault="00222C6C">
            <w:pPr>
              <w:ind w:left="0"/>
              <w:rPr>
                <w:sz w:val="20"/>
                <w:szCs w:val="20"/>
              </w:rPr>
            </w:pPr>
            <w:r w:rsidRPr="00830A32">
              <w:rPr>
                <w:sz w:val="20"/>
                <w:szCs w:val="20"/>
              </w:rPr>
              <w:t>$</w:t>
            </w:r>
            <w:r w:rsidR="00AD7972" w:rsidRPr="00830A32">
              <w:rPr>
                <w:sz w:val="20"/>
                <w:szCs w:val="20"/>
              </w:rPr>
              <w:t>1,</w:t>
            </w:r>
            <w:r w:rsidR="00D479DB">
              <w:rPr>
                <w:sz w:val="20"/>
                <w:szCs w:val="20"/>
              </w:rPr>
              <w:t>662</w:t>
            </w:r>
          </w:p>
        </w:tc>
      </w:tr>
      <w:tr w:rsidR="006378CA" w:rsidRPr="006F6856" w14:paraId="2A99CC65" w14:textId="77777777" w:rsidTr="002D3B2D">
        <w:trPr>
          <w:trHeight w:hRule="exact" w:val="1072"/>
        </w:trPr>
        <w:tc>
          <w:tcPr>
            <w:tcW w:w="1170" w:type="dxa"/>
          </w:tcPr>
          <w:p w14:paraId="50AAF887" w14:textId="77777777" w:rsidR="006378CA" w:rsidRPr="00E647FB" w:rsidRDefault="006378CA" w:rsidP="006378CA">
            <w:pPr>
              <w:ind w:left="0"/>
              <w:rPr>
                <w:b/>
                <w:sz w:val="20"/>
                <w:szCs w:val="20"/>
              </w:rPr>
            </w:pPr>
          </w:p>
        </w:tc>
        <w:tc>
          <w:tcPr>
            <w:tcW w:w="1440" w:type="dxa"/>
            <w:vAlign w:val="center"/>
          </w:tcPr>
          <w:p w14:paraId="4A0D3593" w14:textId="77777777" w:rsidR="006378CA" w:rsidRPr="00BA79DB" w:rsidRDefault="006378CA" w:rsidP="006378CA">
            <w:pPr>
              <w:ind w:left="0"/>
              <w:rPr>
                <w:b/>
                <w:sz w:val="20"/>
                <w:szCs w:val="20"/>
              </w:rPr>
            </w:pPr>
            <w:r w:rsidRPr="00BA79DB">
              <w:rPr>
                <w:b/>
                <w:sz w:val="20"/>
                <w:szCs w:val="20"/>
              </w:rPr>
              <w:t>TOTALS</w:t>
            </w:r>
          </w:p>
        </w:tc>
        <w:tc>
          <w:tcPr>
            <w:tcW w:w="1440" w:type="dxa"/>
            <w:vAlign w:val="center"/>
          </w:tcPr>
          <w:p w14:paraId="77CD1CC5" w14:textId="5E758203" w:rsidR="006378CA" w:rsidRPr="00BA79DB" w:rsidRDefault="000241E2">
            <w:pPr>
              <w:ind w:left="0"/>
              <w:rPr>
                <w:b/>
                <w:sz w:val="20"/>
                <w:szCs w:val="20"/>
              </w:rPr>
            </w:pPr>
            <w:r w:rsidRPr="000241E2">
              <w:rPr>
                <w:b/>
                <w:sz w:val="20"/>
                <w:szCs w:val="20"/>
              </w:rPr>
              <w:t>4</w:t>
            </w:r>
            <w:r>
              <w:rPr>
                <w:b/>
                <w:sz w:val="20"/>
                <w:szCs w:val="20"/>
              </w:rPr>
              <w:t>8</w:t>
            </w:r>
          </w:p>
        </w:tc>
        <w:tc>
          <w:tcPr>
            <w:tcW w:w="1260" w:type="dxa"/>
            <w:shd w:val="clear" w:color="auto" w:fill="auto"/>
            <w:vAlign w:val="center"/>
          </w:tcPr>
          <w:p w14:paraId="12D59FA4" w14:textId="77777777" w:rsidR="006378CA" w:rsidRPr="00BA79DB" w:rsidRDefault="006378CA" w:rsidP="006378CA">
            <w:pPr>
              <w:ind w:left="0"/>
              <w:rPr>
                <w:b/>
                <w:sz w:val="20"/>
                <w:szCs w:val="20"/>
              </w:rPr>
            </w:pPr>
            <w:r w:rsidRPr="00BA79DB">
              <w:rPr>
                <w:b/>
                <w:sz w:val="20"/>
                <w:szCs w:val="20"/>
              </w:rPr>
              <w:t>1</w:t>
            </w:r>
          </w:p>
        </w:tc>
        <w:tc>
          <w:tcPr>
            <w:tcW w:w="1260" w:type="dxa"/>
            <w:shd w:val="clear" w:color="auto" w:fill="D9D9D9" w:themeFill="background1" w:themeFillShade="D9"/>
            <w:vAlign w:val="center"/>
          </w:tcPr>
          <w:p w14:paraId="285A039D" w14:textId="77777777" w:rsidR="006378CA" w:rsidRPr="00BA79DB" w:rsidRDefault="006378CA" w:rsidP="006378CA">
            <w:pPr>
              <w:ind w:left="0"/>
              <w:rPr>
                <w:b/>
                <w:sz w:val="20"/>
                <w:szCs w:val="20"/>
              </w:rPr>
            </w:pPr>
          </w:p>
        </w:tc>
        <w:tc>
          <w:tcPr>
            <w:tcW w:w="900" w:type="dxa"/>
            <w:vAlign w:val="center"/>
          </w:tcPr>
          <w:p w14:paraId="204957E2" w14:textId="5208A471" w:rsidR="006378CA" w:rsidRPr="00BA79DB" w:rsidRDefault="002D3B2D">
            <w:pPr>
              <w:ind w:left="0"/>
              <w:rPr>
                <w:b/>
                <w:sz w:val="20"/>
                <w:szCs w:val="20"/>
              </w:rPr>
            </w:pPr>
            <w:r>
              <w:rPr>
                <w:b/>
                <w:sz w:val="20"/>
                <w:szCs w:val="20"/>
              </w:rPr>
              <w:t>7</w:t>
            </w:r>
            <w:r w:rsidR="00F52CD4">
              <w:rPr>
                <w:b/>
                <w:sz w:val="20"/>
                <w:szCs w:val="20"/>
              </w:rPr>
              <w:t>2</w:t>
            </w:r>
            <w:r w:rsidR="009F0CE5">
              <w:rPr>
                <w:b/>
                <w:sz w:val="20"/>
                <w:szCs w:val="20"/>
              </w:rPr>
              <w:t xml:space="preserve"> </w:t>
            </w:r>
          </w:p>
        </w:tc>
        <w:tc>
          <w:tcPr>
            <w:tcW w:w="900" w:type="dxa"/>
            <w:shd w:val="clear" w:color="auto" w:fill="D9D9D9" w:themeFill="background1" w:themeFillShade="D9"/>
            <w:vAlign w:val="center"/>
          </w:tcPr>
          <w:p w14:paraId="38BD3545" w14:textId="77777777" w:rsidR="006378CA" w:rsidRPr="00BA79DB" w:rsidRDefault="006378CA" w:rsidP="006378CA">
            <w:pPr>
              <w:ind w:left="0"/>
              <w:rPr>
                <w:b/>
                <w:sz w:val="20"/>
                <w:szCs w:val="20"/>
              </w:rPr>
            </w:pPr>
          </w:p>
        </w:tc>
        <w:tc>
          <w:tcPr>
            <w:tcW w:w="1440" w:type="dxa"/>
            <w:vAlign w:val="center"/>
          </w:tcPr>
          <w:p w14:paraId="4DB16C6F" w14:textId="139C273A" w:rsidR="006378CA" w:rsidRPr="00BA79DB" w:rsidRDefault="006378CA">
            <w:pPr>
              <w:ind w:left="0"/>
              <w:rPr>
                <w:b/>
                <w:sz w:val="20"/>
                <w:szCs w:val="20"/>
              </w:rPr>
            </w:pPr>
            <w:r w:rsidRPr="00BA79DB">
              <w:rPr>
                <w:b/>
                <w:sz w:val="20"/>
                <w:szCs w:val="20"/>
              </w:rPr>
              <w:t>$</w:t>
            </w:r>
            <w:r w:rsidR="00AD7972">
              <w:rPr>
                <w:b/>
                <w:sz w:val="20"/>
                <w:szCs w:val="20"/>
              </w:rPr>
              <w:t>4,</w:t>
            </w:r>
            <w:r w:rsidR="00D479DB">
              <w:rPr>
                <w:b/>
                <w:sz w:val="20"/>
                <w:szCs w:val="20"/>
              </w:rPr>
              <w:t>432</w:t>
            </w:r>
          </w:p>
        </w:tc>
      </w:tr>
    </w:tbl>
    <w:p w14:paraId="69431202" w14:textId="77777777" w:rsidR="00130D45" w:rsidRPr="004F6AFA" w:rsidRDefault="00130D45" w:rsidP="00383542">
      <w:pPr>
        <w:ind w:left="0"/>
      </w:pPr>
      <w:bookmarkStart w:id="18" w:name="_Toc427752826"/>
    </w:p>
    <w:p w14:paraId="4D16D654" w14:textId="77777777" w:rsidR="00B12F51" w:rsidRPr="0088467A" w:rsidRDefault="0088467A" w:rsidP="00692DEB">
      <w:pPr>
        <w:pStyle w:val="Heading4"/>
      </w:pPr>
      <w:r w:rsidRPr="0088467A">
        <w:t>Estimates of Other Total Annual Cost Burden to Respondents or Record Keepers</w:t>
      </w:r>
      <w:bookmarkEnd w:id="18"/>
    </w:p>
    <w:p w14:paraId="00293B2C" w14:textId="77777777" w:rsidR="003C31C9" w:rsidRPr="00040611" w:rsidRDefault="003C31C9" w:rsidP="004C36AE">
      <w:pPr>
        <w:ind w:left="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6350DCA0" w14:textId="734D4447" w:rsidR="00383542" w:rsidRDefault="00383542" w:rsidP="00692DEB">
      <w:pPr>
        <w:ind w:left="0"/>
      </w:pPr>
    </w:p>
    <w:p w14:paraId="76415AB1" w14:textId="77777777" w:rsidR="00AA72F1" w:rsidRDefault="00AA72F1" w:rsidP="00692DEB">
      <w:pPr>
        <w:ind w:left="0"/>
      </w:pPr>
    </w:p>
    <w:p w14:paraId="302CDC70"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44118742" w14:textId="27A132D7" w:rsidR="008B65FF" w:rsidRDefault="000058E0" w:rsidP="004C36AE">
      <w:pPr>
        <w:ind w:left="0"/>
      </w:pPr>
      <w:r w:rsidRPr="000E58F5">
        <w:rPr>
          <w:rFonts w:cs="Arial"/>
        </w:rPr>
        <w:t xml:space="preserve">There are no equipment or overhead costs. </w:t>
      </w:r>
      <w:r w:rsidRPr="00CF6092">
        <w:rPr>
          <w:rFonts w:cs="Arial"/>
          <w:color w:val="0070C0"/>
        </w:rPr>
        <w:t xml:space="preserve"> </w:t>
      </w:r>
      <w:r w:rsidRPr="000E58F5">
        <w:rPr>
          <w:rFonts w:cs="Arial"/>
        </w:rPr>
        <w:t>The only cost to the federal government would be the salary of CDC staff</w:t>
      </w:r>
      <w:r w:rsidR="006378CA">
        <w:rPr>
          <w:rFonts w:cs="Arial"/>
        </w:rPr>
        <w:t xml:space="preserve"> and cooperative agreement partner, ASTHO,</w:t>
      </w:r>
      <w:r w:rsidR="00CF6092">
        <w:rPr>
          <w:rFonts w:cs="Arial"/>
          <w:color w:val="0070C0"/>
        </w:rPr>
        <w:t xml:space="preserve"> </w:t>
      </w:r>
      <w:r w:rsidR="00CF6092" w:rsidRPr="000E58F5">
        <w:rPr>
          <w:rFonts w:cs="Arial"/>
        </w:rPr>
        <w:t xml:space="preserve">to </w:t>
      </w:r>
      <w:r w:rsidR="00CF6092">
        <w:rPr>
          <w:rFonts w:cs="Arial"/>
        </w:rPr>
        <w:t>develop</w:t>
      </w:r>
      <w:r w:rsidR="00CF6092" w:rsidRPr="000E58F5">
        <w:rPr>
          <w:rFonts w:cs="Arial"/>
        </w:rPr>
        <w:t xml:space="preserve"> the </w:t>
      </w:r>
      <w:r w:rsidR="00CF6092">
        <w:rPr>
          <w:rFonts w:cs="Arial"/>
        </w:rPr>
        <w:t>data collection instrument</w:t>
      </w:r>
      <w:r w:rsidR="00CF6092" w:rsidRPr="000E58F5">
        <w:rPr>
          <w:rFonts w:cs="Arial"/>
        </w:rPr>
        <w:t xml:space="preserve">, </w:t>
      </w:r>
      <w:r w:rsidR="00CF6092">
        <w:rPr>
          <w:rFonts w:cs="Arial"/>
        </w:rPr>
        <w:t>collect data</w:t>
      </w:r>
      <w:r w:rsidR="00CF6092" w:rsidRPr="000E58F5">
        <w:rPr>
          <w:rFonts w:cs="Arial"/>
        </w:rPr>
        <w:t xml:space="preserve">, and </w:t>
      </w:r>
      <w:r w:rsidR="00CF6092">
        <w:rPr>
          <w:rFonts w:cs="Arial"/>
        </w:rPr>
        <w:t xml:space="preserve">perform </w:t>
      </w:r>
      <w:r w:rsidR="00CF6092" w:rsidRPr="000E58F5">
        <w:rPr>
          <w:rFonts w:cs="Arial"/>
        </w:rPr>
        <w:t>data analysis</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008C59E7" w:rsidRPr="0044130D">
        <w:rPr>
          <w:rFonts w:cs="Arial"/>
        </w:rPr>
        <w:t>$</w:t>
      </w:r>
      <w:r w:rsidR="002879D8" w:rsidRPr="002879D8">
        <w:rPr>
          <w:rFonts w:cs="Arial"/>
        </w:rPr>
        <w:t>19,813.12.</w:t>
      </w:r>
      <w:r w:rsidR="002879D8">
        <w:rPr>
          <w:rFonts w:cs="Arial"/>
          <w:color w:val="0070C0"/>
        </w:rPr>
        <w:t xml:space="preserve"> </w:t>
      </w:r>
      <w:r w:rsidRPr="000E58F5">
        <w:rPr>
          <w:rFonts w:cs="Arial"/>
        </w:rPr>
        <w:t>Table A-14 describes how this cost estimate was calculated.</w:t>
      </w:r>
    </w:p>
    <w:p w14:paraId="6F7ECF42" w14:textId="77777777" w:rsidR="008B65FF" w:rsidRDefault="008B65FF" w:rsidP="008B65FF">
      <w:pPr>
        <w:ind w:left="360"/>
      </w:pPr>
    </w:p>
    <w:p w14:paraId="6EE20079"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4841F1" w14:paraId="3D819BFB" w14:textId="77777777" w:rsidTr="00CF6092">
        <w:trPr>
          <w:trHeight w:val="593"/>
        </w:trPr>
        <w:tc>
          <w:tcPr>
            <w:tcW w:w="4158" w:type="dxa"/>
            <w:tcBorders>
              <w:bottom w:val="single" w:sz="12" w:space="0" w:color="auto"/>
            </w:tcBorders>
            <w:shd w:val="clear" w:color="auto" w:fill="D9D9D9" w:themeFill="background1" w:themeFillShade="D9"/>
            <w:vAlign w:val="center"/>
          </w:tcPr>
          <w:p w14:paraId="6F391891"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7C706131"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7E4D9201"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00E71E4A"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4841F1" w:rsidRPr="004841F1" w14:paraId="2CA88EAD" w14:textId="77777777" w:rsidTr="00CF6092">
        <w:tc>
          <w:tcPr>
            <w:tcW w:w="4158" w:type="dxa"/>
            <w:tcBorders>
              <w:top w:val="single" w:sz="12" w:space="0" w:color="auto"/>
            </w:tcBorders>
          </w:tcPr>
          <w:p w14:paraId="3049AE46" w14:textId="77777777" w:rsidR="00EE54FA" w:rsidRPr="006E4AAE" w:rsidRDefault="008B7639" w:rsidP="00EE54FA">
            <w:pPr>
              <w:ind w:left="0"/>
              <w:rPr>
                <w:color w:val="000000" w:themeColor="text1"/>
              </w:rPr>
            </w:pPr>
            <w:r>
              <w:rPr>
                <w:color w:val="000000" w:themeColor="text1"/>
                <w:sz w:val="20"/>
                <w:szCs w:val="20"/>
              </w:rPr>
              <w:t>Health Scientist, GS 13-Tool d</w:t>
            </w:r>
            <w:r w:rsidR="006378CA" w:rsidRPr="006E4AAE">
              <w:rPr>
                <w:color w:val="000000" w:themeColor="text1"/>
                <w:sz w:val="20"/>
                <w:szCs w:val="20"/>
              </w:rPr>
              <w:t>evelopment</w:t>
            </w:r>
            <w:r>
              <w:rPr>
                <w:color w:val="000000" w:themeColor="text1"/>
                <w:sz w:val="20"/>
                <w:szCs w:val="20"/>
              </w:rPr>
              <w:t xml:space="preserve"> and OMB package preparation</w:t>
            </w:r>
          </w:p>
        </w:tc>
        <w:tc>
          <w:tcPr>
            <w:tcW w:w="1782" w:type="dxa"/>
            <w:tcBorders>
              <w:top w:val="single" w:sz="12" w:space="0" w:color="auto"/>
            </w:tcBorders>
          </w:tcPr>
          <w:p w14:paraId="15AF7A51" w14:textId="77777777" w:rsidR="004841F1" w:rsidRDefault="008B7639" w:rsidP="005C4614">
            <w:pPr>
              <w:ind w:left="0"/>
              <w:jc w:val="center"/>
              <w:rPr>
                <w:color w:val="000000" w:themeColor="text1"/>
                <w:sz w:val="20"/>
                <w:szCs w:val="20"/>
              </w:rPr>
            </w:pPr>
            <w:r>
              <w:rPr>
                <w:color w:val="000000" w:themeColor="text1"/>
                <w:sz w:val="20"/>
                <w:szCs w:val="20"/>
              </w:rPr>
              <w:t>37</w:t>
            </w:r>
          </w:p>
          <w:p w14:paraId="07F42276" w14:textId="77777777" w:rsidR="008B7639" w:rsidRPr="006E4AAE" w:rsidRDefault="008B7639" w:rsidP="005C4614">
            <w:pPr>
              <w:ind w:left="0"/>
              <w:jc w:val="center"/>
              <w:rPr>
                <w:color w:val="000000" w:themeColor="text1"/>
                <w:sz w:val="20"/>
                <w:szCs w:val="20"/>
              </w:rPr>
            </w:pPr>
          </w:p>
        </w:tc>
        <w:tc>
          <w:tcPr>
            <w:tcW w:w="1822" w:type="dxa"/>
            <w:gridSpan w:val="3"/>
            <w:tcBorders>
              <w:top w:val="single" w:sz="12" w:space="0" w:color="auto"/>
            </w:tcBorders>
          </w:tcPr>
          <w:p w14:paraId="3BDAC2B6" w14:textId="77777777" w:rsidR="004841F1" w:rsidRPr="006E4AAE" w:rsidRDefault="003A2555" w:rsidP="00D94628">
            <w:pPr>
              <w:ind w:left="0"/>
              <w:rPr>
                <w:color w:val="000000" w:themeColor="text1"/>
                <w:sz w:val="20"/>
                <w:szCs w:val="20"/>
              </w:rPr>
            </w:pPr>
            <w:r w:rsidRPr="006E4AAE">
              <w:rPr>
                <w:color w:val="000000" w:themeColor="text1"/>
                <w:sz w:val="20"/>
                <w:szCs w:val="20"/>
              </w:rPr>
              <w:t>$</w:t>
            </w:r>
            <w:r w:rsidR="006E4AAE" w:rsidRPr="006E4AAE">
              <w:rPr>
                <w:color w:val="000000" w:themeColor="text1"/>
                <w:sz w:val="20"/>
                <w:szCs w:val="20"/>
              </w:rPr>
              <w:t>4</w:t>
            </w:r>
            <w:r w:rsidR="00D94628">
              <w:rPr>
                <w:color w:val="000000" w:themeColor="text1"/>
                <w:sz w:val="20"/>
                <w:szCs w:val="20"/>
              </w:rPr>
              <w:t>9.76</w:t>
            </w:r>
            <w:r w:rsidR="005A3933" w:rsidRPr="006E4AAE">
              <w:rPr>
                <w:color w:val="000000" w:themeColor="text1"/>
                <w:sz w:val="20"/>
                <w:szCs w:val="20"/>
              </w:rPr>
              <w:t>/hour</w:t>
            </w:r>
          </w:p>
        </w:tc>
        <w:tc>
          <w:tcPr>
            <w:tcW w:w="1672" w:type="dxa"/>
            <w:tcBorders>
              <w:top w:val="single" w:sz="12" w:space="0" w:color="auto"/>
            </w:tcBorders>
          </w:tcPr>
          <w:p w14:paraId="526CA2A6" w14:textId="77777777" w:rsidR="004841F1" w:rsidRPr="006E4AAE" w:rsidRDefault="003A2555" w:rsidP="008B7639">
            <w:pPr>
              <w:ind w:left="0"/>
              <w:rPr>
                <w:color w:val="000000" w:themeColor="text1"/>
                <w:sz w:val="20"/>
                <w:szCs w:val="20"/>
              </w:rPr>
            </w:pPr>
            <w:r w:rsidRPr="006E4AAE">
              <w:rPr>
                <w:color w:val="000000" w:themeColor="text1"/>
                <w:sz w:val="20"/>
                <w:szCs w:val="20"/>
              </w:rPr>
              <w:t>$</w:t>
            </w:r>
            <w:r w:rsidR="008B7639">
              <w:rPr>
                <w:color w:val="000000" w:themeColor="text1"/>
                <w:sz w:val="20"/>
                <w:szCs w:val="20"/>
              </w:rPr>
              <w:t>1841.12</w:t>
            </w:r>
          </w:p>
        </w:tc>
      </w:tr>
      <w:tr w:rsidR="00917689" w:rsidRPr="004841F1" w14:paraId="73353316" w14:textId="77777777" w:rsidTr="00CF6092">
        <w:tc>
          <w:tcPr>
            <w:tcW w:w="4158" w:type="dxa"/>
          </w:tcPr>
          <w:p w14:paraId="59764A8E" w14:textId="77777777" w:rsidR="00917689" w:rsidRPr="006E4AAE" w:rsidRDefault="006E4AAE" w:rsidP="008B7639">
            <w:pPr>
              <w:ind w:left="0"/>
              <w:jc w:val="both"/>
              <w:rPr>
                <w:color w:val="000000" w:themeColor="text1"/>
                <w:sz w:val="20"/>
                <w:szCs w:val="20"/>
              </w:rPr>
            </w:pPr>
            <w:r w:rsidRPr="006E4AAE">
              <w:rPr>
                <w:color w:val="000000" w:themeColor="text1"/>
                <w:sz w:val="20"/>
                <w:szCs w:val="20"/>
              </w:rPr>
              <w:t>Health Scientist, GS 13-</w:t>
            </w:r>
            <w:r w:rsidR="00470CCA">
              <w:rPr>
                <w:color w:val="000000" w:themeColor="text1"/>
                <w:sz w:val="20"/>
                <w:szCs w:val="20"/>
              </w:rPr>
              <w:t xml:space="preserve">Data </w:t>
            </w:r>
            <w:r w:rsidR="008B7639">
              <w:rPr>
                <w:color w:val="000000" w:themeColor="text1"/>
                <w:sz w:val="20"/>
                <w:szCs w:val="20"/>
              </w:rPr>
              <w:t>analysis</w:t>
            </w:r>
            <w:r w:rsidR="0079164D">
              <w:rPr>
                <w:color w:val="000000" w:themeColor="text1"/>
                <w:sz w:val="20"/>
                <w:szCs w:val="20"/>
              </w:rPr>
              <w:t>, report development and dissemination</w:t>
            </w:r>
          </w:p>
        </w:tc>
        <w:tc>
          <w:tcPr>
            <w:tcW w:w="1782" w:type="dxa"/>
          </w:tcPr>
          <w:p w14:paraId="2A16FCE8" w14:textId="77777777" w:rsidR="00917689" w:rsidRPr="006E4AAE" w:rsidRDefault="0079164D" w:rsidP="005A3933">
            <w:pPr>
              <w:ind w:left="0"/>
              <w:jc w:val="center"/>
              <w:rPr>
                <w:color w:val="000000" w:themeColor="text1"/>
                <w:sz w:val="20"/>
                <w:szCs w:val="20"/>
              </w:rPr>
            </w:pPr>
            <w:r>
              <w:rPr>
                <w:color w:val="000000" w:themeColor="text1"/>
                <w:sz w:val="20"/>
                <w:szCs w:val="20"/>
              </w:rPr>
              <w:t>55</w:t>
            </w:r>
          </w:p>
        </w:tc>
        <w:tc>
          <w:tcPr>
            <w:tcW w:w="1822" w:type="dxa"/>
            <w:gridSpan w:val="3"/>
          </w:tcPr>
          <w:p w14:paraId="4EF12985" w14:textId="77777777" w:rsidR="00917689" w:rsidRPr="006E4AAE" w:rsidRDefault="00D94628" w:rsidP="008B7639">
            <w:pPr>
              <w:ind w:left="0"/>
              <w:rPr>
                <w:color w:val="000000" w:themeColor="text1"/>
                <w:sz w:val="20"/>
                <w:szCs w:val="20"/>
              </w:rPr>
            </w:pPr>
            <w:r>
              <w:rPr>
                <w:color w:val="000000" w:themeColor="text1"/>
                <w:sz w:val="20"/>
                <w:szCs w:val="20"/>
              </w:rPr>
              <w:t>$4</w:t>
            </w:r>
            <w:r w:rsidR="008B7639">
              <w:rPr>
                <w:color w:val="000000" w:themeColor="text1"/>
                <w:sz w:val="20"/>
                <w:szCs w:val="20"/>
              </w:rPr>
              <w:t>6.83</w:t>
            </w:r>
            <w:r w:rsidR="00470CCA" w:rsidRPr="006E4AAE">
              <w:rPr>
                <w:color w:val="000000" w:themeColor="text1"/>
                <w:sz w:val="20"/>
                <w:szCs w:val="20"/>
              </w:rPr>
              <w:t>/hour</w:t>
            </w:r>
          </w:p>
        </w:tc>
        <w:tc>
          <w:tcPr>
            <w:tcW w:w="1672" w:type="dxa"/>
          </w:tcPr>
          <w:p w14:paraId="14D2B9F9" w14:textId="77777777" w:rsidR="00917689" w:rsidRPr="006E4AAE" w:rsidRDefault="004B1C84" w:rsidP="0079164D">
            <w:pPr>
              <w:ind w:left="0"/>
              <w:rPr>
                <w:color w:val="000000" w:themeColor="text1"/>
                <w:sz w:val="20"/>
                <w:szCs w:val="20"/>
              </w:rPr>
            </w:pPr>
            <w:r>
              <w:rPr>
                <w:color w:val="000000" w:themeColor="text1"/>
                <w:sz w:val="20"/>
                <w:szCs w:val="20"/>
              </w:rPr>
              <w:t>$</w:t>
            </w:r>
            <w:r w:rsidR="0079164D">
              <w:rPr>
                <w:color w:val="000000" w:themeColor="text1"/>
                <w:sz w:val="20"/>
                <w:szCs w:val="20"/>
              </w:rPr>
              <w:t>2575.65</w:t>
            </w:r>
          </w:p>
        </w:tc>
      </w:tr>
      <w:tr w:rsidR="005D5C43" w:rsidRPr="004841F1" w14:paraId="6B304C83" w14:textId="77777777" w:rsidTr="00CF6092">
        <w:tc>
          <w:tcPr>
            <w:tcW w:w="4158" w:type="dxa"/>
          </w:tcPr>
          <w:p w14:paraId="383FD426" w14:textId="21C0A384" w:rsidR="005D5C43" w:rsidRPr="002879D8" w:rsidRDefault="005D5C43" w:rsidP="00C14C81">
            <w:pPr>
              <w:ind w:left="0"/>
              <w:rPr>
                <w:sz w:val="20"/>
                <w:szCs w:val="20"/>
              </w:rPr>
            </w:pPr>
            <w:r w:rsidRPr="002879D8">
              <w:rPr>
                <w:sz w:val="20"/>
                <w:szCs w:val="20"/>
              </w:rPr>
              <w:t xml:space="preserve">Senior Analyst/ASTHO-Development of interview guide, </w:t>
            </w:r>
            <w:r w:rsidR="00C14C81" w:rsidRPr="002879D8">
              <w:rPr>
                <w:sz w:val="20"/>
                <w:szCs w:val="20"/>
              </w:rPr>
              <w:t xml:space="preserve">informant interviews, </w:t>
            </w:r>
            <w:r w:rsidRPr="002879D8">
              <w:rPr>
                <w:sz w:val="20"/>
                <w:szCs w:val="20"/>
              </w:rPr>
              <w:t>data analysis, informant interviews, report development and dissemination</w:t>
            </w:r>
            <w:r w:rsidR="00C14C81" w:rsidRPr="002879D8">
              <w:rPr>
                <w:sz w:val="20"/>
                <w:szCs w:val="20"/>
              </w:rPr>
              <w:t>.</w:t>
            </w:r>
          </w:p>
        </w:tc>
        <w:tc>
          <w:tcPr>
            <w:tcW w:w="1782" w:type="dxa"/>
          </w:tcPr>
          <w:p w14:paraId="03BA81DC" w14:textId="467B11AE" w:rsidR="005D5C43" w:rsidRPr="002879D8" w:rsidRDefault="005D5C43" w:rsidP="00A0215F">
            <w:pPr>
              <w:ind w:left="0"/>
              <w:jc w:val="center"/>
              <w:rPr>
                <w:sz w:val="20"/>
                <w:szCs w:val="20"/>
              </w:rPr>
            </w:pPr>
            <w:r w:rsidRPr="002879D8">
              <w:rPr>
                <w:sz w:val="20"/>
                <w:szCs w:val="20"/>
              </w:rPr>
              <w:t>150</w:t>
            </w:r>
          </w:p>
        </w:tc>
        <w:tc>
          <w:tcPr>
            <w:tcW w:w="1822" w:type="dxa"/>
            <w:gridSpan w:val="3"/>
          </w:tcPr>
          <w:p w14:paraId="25149669" w14:textId="77777777" w:rsidR="005D5C43" w:rsidRPr="002879D8" w:rsidRDefault="005D5C43" w:rsidP="00A0215F">
            <w:pPr>
              <w:ind w:left="0"/>
              <w:rPr>
                <w:color w:val="000000" w:themeColor="text1"/>
                <w:sz w:val="20"/>
                <w:szCs w:val="20"/>
              </w:rPr>
            </w:pPr>
          </w:p>
        </w:tc>
        <w:tc>
          <w:tcPr>
            <w:tcW w:w="1672" w:type="dxa"/>
          </w:tcPr>
          <w:p w14:paraId="21DB0A8B" w14:textId="7862F4F5" w:rsidR="005D5C43" w:rsidRPr="002879D8" w:rsidRDefault="009C2FBE" w:rsidP="00A0215F">
            <w:pPr>
              <w:ind w:left="0"/>
              <w:rPr>
                <w:sz w:val="20"/>
                <w:szCs w:val="20"/>
              </w:rPr>
            </w:pPr>
            <w:r w:rsidRPr="002879D8">
              <w:rPr>
                <w:sz w:val="20"/>
                <w:szCs w:val="20"/>
              </w:rPr>
              <w:t>$6,505.50</w:t>
            </w:r>
          </w:p>
        </w:tc>
      </w:tr>
      <w:tr w:rsidR="00C44789" w:rsidRPr="004841F1" w14:paraId="1A82AD72" w14:textId="77777777" w:rsidTr="00CF6092">
        <w:tc>
          <w:tcPr>
            <w:tcW w:w="4158" w:type="dxa"/>
          </w:tcPr>
          <w:p w14:paraId="5BD8C3E5" w14:textId="301BBC7F" w:rsidR="00C44789" w:rsidRPr="002879D8" w:rsidRDefault="00C44789" w:rsidP="00C44789">
            <w:pPr>
              <w:ind w:left="0"/>
              <w:rPr>
                <w:sz w:val="20"/>
                <w:szCs w:val="20"/>
              </w:rPr>
            </w:pPr>
            <w:r w:rsidRPr="002879D8">
              <w:rPr>
                <w:sz w:val="20"/>
                <w:szCs w:val="20"/>
              </w:rPr>
              <w:t>Research Analyst/ASTHO- Informant interviews, data analysis, report development and dissemination</w:t>
            </w:r>
          </w:p>
        </w:tc>
        <w:tc>
          <w:tcPr>
            <w:tcW w:w="1782" w:type="dxa"/>
          </w:tcPr>
          <w:p w14:paraId="25DFFEF6" w14:textId="29E6BB74" w:rsidR="00C44789" w:rsidRPr="002879D8" w:rsidRDefault="00C14C81" w:rsidP="00C14C81">
            <w:pPr>
              <w:ind w:left="0"/>
              <w:jc w:val="center"/>
              <w:rPr>
                <w:sz w:val="20"/>
                <w:szCs w:val="20"/>
              </w:rPr>
            </w:pPr>
            <w:r w:rsidRPr="002879D8">
              <w:rPr>
                <w:sz w:val="20"/>
                <w:szCs w:val="20"/>
              </w:rPr>
              <w:t>110</w:t>
            </w:r>
          </w:p>
        </w:tc>
        <w:tc>
          <w:tcPr>
            <w:tcW w:w="1822" w:type="dxa"/>
            <w:gridSpan w:val="3"/>
          </w:tcPr>
          <w:p w14:paraId="1D44E3E2" w14:textId="77777777" w:rsidR="00C44789" w:rsidRPr="002879D8" w:rsidRDefault="00C44789" w:rsidP="00A0215F">
            <w:pPr>
              <w:ind w:left="0"/>
              <w:rPr>
                <w:color w:val="000000" w:themeColor="text1"/>
                <w:sz w:val="20"/>
                <w:szCs w:val="20"/>
              </w:rPr>
            </w:pPr>
          </w:p>
        </w:tc>
        <w:tc>
          <w:tcPr>
            <w:tcW w:w="1672" w:type="dxa"/>
          </w:tcPr>
          <w:p w14:paraId="76E717A3" w14:textId="4D72A60B" w:rsidR="00C44789" w:rsidRPr="002879D8" w:rsidRDefault="00C14C81" w:rsidP="009C2FBE">
            <w:pPr>
              <w:ind w:left="0"/>
              <w:rPr>
                <w:sz w:val="20"/>
                <w:szCs w:val="20"/>
              </w:rPr>
            </w:pPr>
            <w:r w:rsidRPr="002879D8">
              <w:rPr>
                <w:sz w:val="20"/>
                <w:szCs w:val="20"/>
              </w:rPr>
              <w:t>$3,549.70</w:t>
            </w:r>
          </w:p>
        </w:tc>
      </w:tr>
      <w:tr w:rsidR="00A0215F" w:rsidRPr="004841F1" w14:paraId="36B5A1BD" w14:textId="77777777" w:rsidTr="00CF6092">
        <w:tc>
          <w:tcPr>
            <w:tcW w:w="4158" w:type="dxa"/>
          </w:tcPr>
          <w:p w14:paraId="2B6D40F6" w14:textId="7397C380" w:rsidR="00A0215F" w:rsidRPr="002879D8" w:rsidRDefault="00BA1AC5" w:rsidP="00BA1AC5">
            <w:pPr>
              <w:ind w:left="0"/>
              <w:rPr>
                <w:color w:val="000000" w:themeColor="text1"/>
                <w:sz w:val="20"/>
                <w:szCs w:val="20"/>
              </w:rPr>
            </w:pPr>
            <w:r>
              <w:rPr>
                <w:sz w:val="20"/>
                <w:szCs w:val="20"/>
              </w:rPr>
              <w:t xml:space="preserve">Research </w:t>
            </w:r>
            <w:r w:rsidR="00A0215F" w:rsidRPr="002879D8">
              <w:rPr>
                <w:sz w:val="20"/>
                <w:szCs w:val="20"/>
              </w:rPr>
              <w:t>Analys</w:t>
            </w:r>
            <w:r w:rsidR="005D5C43" w:rsidRPr="002879D8">
              <w:rPr>
                <w:sz w:val="20"/>
                <w:szCs w:val="20"/>
              </w:rPr>
              <w:t>t/ASTHO</w:t>
            </w:r>
            <w:r w:rsidR="009C2FBE" w:rsidRPr="002879D8">
              <w:rPr>
                <w:sz w:val="20"/>
                <w:szCs w:val="20"/>
              </w:rPr>
              <w:t>-D</w:t>
            </w:r>
            <w:r w:rsidR="00C44789" w:rsidRPr="002879D8">
              <w:rPr>
                <w:sz w:val="20"/>
                <w:szCs w:val="20"/>
              </w:rPr>
              <w:t xml:space="preserve">ata </w:t>
            </w:r>
            <w:r w:rsidR="00A0215F" w:rsidRPr="002879D8">
              <w:rPr>
                <w:sz w:val="20"/>
                <w:szCs w:val="20"/>
              </w:rPr>
              <w:t xml:space="preserve">analysis, informant interviews, report development </w:t>
            </w:r>
          </w:p>
        </w:tc>
        <w:tc>
          <w:tcPr>
            <w:tcW w:w="1782" w:type="dxa"/>
          </w:tcPr>
          <w:p w14:paraId="1961EF1E" w14:textId="70A52FE4" w:rsidR="00A0215F" w:rsidRPr="002879D8" w:rsidRDefault="00A0215F" w:rsidP="00A0215F">
            <w:pPr>
              <w:ind w:left="0"/>
              <w:jc w:val="center"/>
              <w:rPr>
                <w:color w:val="000000" w:themeColor="text1"/>
                <w:sz w:val="20"/>
                <w:szCs w:val="20"/>
              </w:rPr>
            </w:pPr>
            <w:r w:rsidRPr="002879D8">
              <w:rPr>
                <w:sz w:val="20"/>
                <w:szCs w:val="20"/>
              </w:rPr>
              <w:t>75</w:t>
            </w:r>
          </w:p>
        </w:tc>
        <w:tc>
          <w:tcPr>
            <w:tcW w:w="1822" w:type="dxa"/>
            <w:gridSpan w:val="3"/>
          </w:tcPr>
          <w:p w14:paraId="5D1F0BE4" w14:textId="3002BE5F" w:rsidR="00A0215F" w:rsidRPr="002879D8" w:rsidRDefault="00A0215F" w:rsidP="00A0215F">
            <w:pPr>
              <w:ind w:left="0"/>
              <w:rPr>
                <w:color w:val="000000" w:themeColor="text1"/>
                <w:sz w:val="20"/>
                <w:szCs w:val="20"/>
              </w:rPr>
            </w:pPr>
          </w:p>
        </w:tc>
        <w:tc>
          <w:tcPr>
            <w:tcW w:w="1672" w:type="dxa"/>
          </w:tcPr>
          <w:p w14:paraId="0B181A4D" w14:textId="569CEC6C" w:rsidR="00A0215F" w:rsidRPr="002879D8" w:rsidRDefault="00A0215F" w:rsidP="009C2FBE">
            <w:pPr>
              <w:ind w:left="0"/>
              <w:rPr>
                <w:color w:val="000000" w:themeColor="text1"/>
                <w:sz w:val="20"/>
                <w:szCs w:val="20"/>
              </w:rPr>
            </w:pPr>
            <w:r w:rsidRPr="002879D8">
              <w:rPr>
                <w:sz w:val="20"/>
                <w:szCs w:val="20"/>
              </w:rPr>
              <w:t>$</w:t>
            </w:r>
            <w:r w:rsidR="009C2FBE" w:rsidRPr="002879D8">
              <w:rPr>
                <w:sz w:val="20"/>
                <w:szCs w:val="20"/>
              </w:rPr>
              <w:t>2662.50</w:t>
            </w:r>
          </w:p>
        </w:tc>
      </w:tr>
      <w:tr w:rsidR="00A0215F" w:rsidRPr="004841F1" w14:paraId="060261D8" w14:textId="77777777" w:rsidTr="00CF6092">
        <w:tc>
          <w:tcPr>
            <w:tcW w:w="4158" w:type="dxa"/>
          </w:tcPr>
          <w:p w14:paraId="7C32F74E" w14:textId="27453267" w:rsidR="00A0215F" w:rsidRPr="002879D8" w:rsidRDefault="008757CD" w:rsidP="008757CD">
            <w:pPr>
              <w:ind w:left="0"/>
              <w:rPr>
                <w:color w:val="000000" w:themeColor="text1"/>
                <w:sz w:val="20"/>
                <w:szCs w:val="20"/>
              </w:rPr>
            </w:pPr>
            <w:r w:rsidRPr="002879D8">
              <w:rPr>
                <w:sz w:val="20"/>
                <w:szCs w:val="20"/>
              </w:rPr>
              <w:t xml:space="preserve">Research </w:t>
            </w:r>
            <w:r w:rsidR="00A0215F" w:rsidRPr="002879D8">
              <w:rPr>
                <w:sz w:val="20"/>
                <w:szCs w:val="20"/>
              </w:rPr>
              <w:t>Director</w:t>
            </w:r>
            <w:r w:rsidRPr="002879D8">
              <w:rPr>
                <w:sz w:val="20"/>
                <w:szCs w:val="20"/>
              </w:rPr>
              <w:t>/ASTHO-</w:t>
            </w:r>
            <w:r w:rsidR="00A0215F" w:rsidRPr="002879D8">
              <w:rPr>
                <w:sz w:val="20"/>
                <w:szCs w:val="20"/>
              </w:rPr>
              <w:t xml:space="preserve"> </w:t>
            </w:r>
            <w:r w:rsidRPr="002879D8">
              <w:rPr>
                <w:sz w:val="20"/>
                <w:szCs w:val="20"/>
              </w:rPr>
              <w:t xml:space="preserve">informant interviews, </w:t>
            </w:r>
            <w:r w:rsidR="00A0215F" w:rsidRPr="002879D8">
              <w:rPr>
                <w:sz w:val="20"/>
                <w:szCs w:val="20"/>
              </w:rPr>
              <w:t>data analysis, report development and dissemination</w:t>
            </w:r>
          </w:p>
        </w:tc>
        <w:tc>
          <w:tcPr>
            <w:tcW w:w="1782" w:type="dxa"/>
          </w:tcPr>
          <w:p w14:paraId="4A46726E" w14:textId="4FAE1242" w:rsidR="00A0215F" w:rsidRPr="002879D8" w:rsidRDefault="00E668CA" w:rsidP="00A0215F">
            <w:pPr>
              <w:ind w:left="0"/>
              <w:jc w:val="center"/>
              <w:rPr>
                <w:color w:val="000000" w:themeColor="text1"/>
                <w:sz w:val="20"/>
                <w:szCs w:val="20"/>
              </w:rPr>
            </w:pPr>
            <w:r>
              <w:rPr>
                <w:sz w:val="20"/>
                <w:szCs w:val="20"/>
              </w:rPr>
              <w:t>30</w:t>
            </w:r>
          </w:p>
        </w:tc>
        <w:tc>
          <w:tcPr>
            <w:tcW w:w="1822" w:type="dxa"/>
            <w:gridSpan w:val="3"/>
          </w:tcPr>
          <w:p w14:paraId="0BA0D2FC" w14:textId="1A2FBD78" w:rsidR="00A0215F" w:rsidRPr="002879D8" w:rsidRDefault="00A0215F" w:rsidP="00A0215F">
            <w:pPr>
              <w:ind w:left="0"/>
              <w:rPr>
                <w:color w:val="000000" w:themeColor="text1"/>
                <w:sz w:val="20"/>
                <w:szCs w:val="20"/>
              </w:rPr>
            </w:pPr>
          </w:p>
        </w:tc>
        <w:tc>
          <w:tcPr>
            <w:tcW w:w="1672" w:type="dxa"/>
          </w:tcPr>
          <w:p w14:paraId="33CACC0A" w14:textId="63FF60FD" w:rsidR="00A0215F" w:rsidRPr="002879D8" w:rsidRDefault="00A0215F" w:rsidP="00E668CA">
            <w:pPr>
              <w:ind w:left="0"/>
              <w:rPr>
                <w:color w:val="000000" w:themeColor="text1"/>
                <w:sz w:val="20"/>
                <w:szCs w:val="20"/>
              </w:rPr>
            </w:pPr>
            <w:r w:rsidRPr="002879D8">
              <w:rPr>
                <w:sz w:val="20"/>
                <w:szCs w:val="20"/>
              </w:rPr>
              <w:t>$</w:t>
            </w:r>
            <w:r w:rsidR="00E668CA">
              <w:rPr>
                <w:sz w:val="20"/>
                <w:szCs w:val="20"/>
              </w:rPr>
              <w:t>1607.19</w:t>
            </w:r>
          </w:p>
        </w:tc>
      </w:tr>
      <w:tr w:rsidR="00E668CA" w:rsidRPr="004841F1" w14:paraId="203162D7" w14:textId="77777777" w:rsidTr="00CF6092">
        <w:tc>
          <w:tcPr>
            <w:tcW w:w="4158" w:type="dxa"/>
          </w:tcPr>
          <w:p w14:paraId="1E07D8EE" w14:textId="7661D199" w:rsidR="00E668CA" w:rsidRPr="002879D8" w:rsidRDefault="00E668CA" w:rsidP="008757CD">
            <w:pPr>
              <w:ind w:left="0"/>
              <w:rPr>
                <w:sz w:val="20"/>
                <w:szCs w:val="20"/>
              </w:rPr>
            </w:pPr>
            <w:r>
              <w:rPr>
                <w:sz w:val="20"/>
                <w:szCs w:val="20"/>
              </w:rPr>
              <w:t>Chronic Disease Director/ASTHO-informant interviews and dissemination</w:t>
            </w:r>
          </w:p>
        </w:tc>
        <w:tc>
          <w:tcPr>
            <w:tcW w:w="1782" w:type="dxa"/>
          </w:tcPr>
          <w:p w14:paraId="2E19DF61" w14:textId="191AB303" w:rsidR="00E668CA" w:rsidRPr="002879D8" w:rsidRDefault="00E668CA" w:rsidP="00A0215F">
            <w:pPr>
              <w:ind w:left="0"/>
              <w:jc w:val="center"/>
              <w:rPr>
                <w:sz w:val="20"/>
                <w:szCs w:val="20"/>
              </w:rPr>
            </w:pPr>
            <w:r>
              <w:rPr>
                <w:sz w:val="20"/>
                <w:szCs w:val="20"/>
              </w:rPr>
              <w:t>20</w:t>
            </w:r>
          </w:p>
        </w:tc>
        <w:tc>
          <w:tcPr>
            <w:tcW w:w="1822" w:type="dxa"/>
            <w:gridSpan w:val="3"/>
          </w:tcPr>
          <w:p w14:paraId="319B5991" w14:textId="77777777" w:rsidR="00E668CA" w:rsidRPr="002879D8" w:rsidRDefault="00E668CA" w:rsidP="00A0215F">
            <w:pPr>
              <w:ind w:left="0"/>
              <w:rPr>
                <w:color w:val="000000" w:themeColor="text1"/>
                <w:sz w:val="20"/>
                <w:szCs w:val="20"/>
              </w:rPr>
            </w:pPr>
          </w:p>
        </w:tc>
        <w:tc>
          <w:tcPr>
            <w:tcW w:w="1672" w:type="dxa"/>
          </w:tcPr>
          <w:p w14:paraId="29745311" w14:textId="77777777" w:rsidR="00E668CA" w:rsidRDefault="00E668CA" w:rsidP="002879D8">
            <w:pPr>
              <w:ind w:left="0"/>
              <w:rPr>
                <w:sz w:val="20"/>
                <w:szCs w:val="20"/>
              </w:rPr>
            </w:pPr>
            <w:r>
              <w:rPr>
                <w:sz w:val="20"/>
                <w:szCs w:val="20"/>
              </w:rPr>
              <w:t>$1071.46</w:t>
            </w:r>
          </w:p>
          <w:p w14:paraId="2FC7D489" w14:textId="6D2B193E" w:rsidR="00E668CA" w:rsidRPr="002879D8" w:rsidRDefault="00E668CA" w:rsidP="002879D8">
            <w:pPr>
              <w:ind w:left="0"/>
              <w:rPr>
                <w:sz w:val="20"/>
                <w:szCs w:val="20"/>
              </w:rPr>
            </w:pPr>
          </w:p>
        </w:tc>
      </w:tr>
      <w:tr w:rsidR="005D6F14" w:rsidRPr="004841F1" w14:paraId="1FF9E614" w14:textId="77777777" w:rsidTr="00CF6092">
        <w:trPr>
          <w:trHeight w:val="332"/>
        </w:trPr>
        <w:tc>
          <w:tcPr>
            <w:tcW w:w="7290" w:type="dxa"/>
            <w:gridSpan w:val="3"/>
            <w:tcBorders>
              <w:right w:val="nil"/>
            </w:tcBorders>
            <w:vAlign w:val="center"/>
          </w:tcPr>
          <w:p w14:paraId="4CDC6229" w14:textId="77777777" w:rsidR="005D6F14" w:rsidRPr="002879D8" w:rsidRDefault="005D6F14" w:rsidP="005D6F14">
            <w:pPr>
              <w:ind w:left="0"/>
              <w:jc w:val="right"/>
              <w:rPr>
                <w:b/>
                <w:sz w:val="20"/>
                <w:szCs w:val="20"/>
              </w:rPr>
            </w:pPr>
            <w:r w:rsidRPr="002879D8">
              <w:rPr>
                <w:b/>
                <w:sz w:val="20"/>
                <w:szCs w:val="20"/>
              </w:rPr>
              <w:t>Estimated Total Cost of Information Collection</w:t>
            </w:r>
          </w:p>
        </w:tc>
        <w:tc>
          <w:tcPr>
            <w:tcW w:w="236" w:type="dxa"/>
            <w:tcBorders>
              <w:left w:val="nil"/>
              <w:right w:val="nil"/>
            </w:tcBorders>
            <w:vAlign w:val="center"/>
          </w:tcPr>
          <w:p w14:paraId="3DAEAFE3" w14:textId="77777777" w:rsidR="005D6F14" w:rsidRPr="002879D8" w:rsidRDefault="005D6F14" w:rsidP="00CA5840">
            <w:pPr>
              <w:ind w:left="0"/>
              <w:rPr>
                <w:b/>
                <w:sz w:val="20"/>
                <w:szCs w:val="20"/>
              </w:rPr>
            </w:pPr>
          </w:p>
        </w:tc>
        <w:tc>
          <w:tcPr>
            <w:tcW w:w="236" w:type="dxa"/>
            <w:tcBorders>
              <w:left w:val="nil"/>
            </w:tcBorders>
            <w:vAlign w:val="center"/>
          </w:tcPr>
          <w:p w14:paraId="719E6E01" w14:textId="77777777" w:rsidR="005D6F14" w:rsidRPr="002879D8" w:rsidRDefault="005D6F14" w:rsidP="00CA5840">
            <w:pPr>
              <w:ind w:left="0"/>
              <w:rPr>
                <w:b/>
                <w:sz w:val="20"/>
                <w:szCs w:val="20"/>
              </w:rPr>
            </w:pPr>
          </w:p>
        </w:tc>
        <w:tc>
          <w:tcPr>
            <w:tcW w:w="1672" w:type="dxa"/>
            <w:vAlign w:val="center"/>
          </w:tcPr>
          <w:p w14:paraId="65EF14B2" w14:textId="1090F8AD" w:rsidR="005D6F14" w:rsidRPr="002879D8" w:rsidRDefault="003A2555" w:rsidP="002879D8">
            <w:pPr>
              <w:ind w:left="0"/>
              <w:jc w:val="center"/>
              <w:rPr>
                <w:b/>
                <w:sz w:val="20"/>
                <w:szCs w:val="20"/>
              </w:rPr>
            </w:pPr>
            <w:r w:rsidRPr="002879D8">
              <w:rPr>
                <w:b/>
                <w:color w:val="000000" w:themeColor="text1"/>
                <w:sz w:val="20"/>
                <w:szCs w:val="20"/>
              </w:rPr>
              <w:t>$</w:t>
            </w:r>
            <w:r w:rsidR="002879D8" w:rsidRPr="002879D8">
              <w:rPr>
                <w:b/>
                <w:color w:val="000000" w:themeColor="text1"/>
                <w:sz w:val="20"/>
                <w:szCs w:val="20"/>
              </w:rPr>
              <w:t>19,813.12</w:t>
            </w:r>
          </w:p>
        </w:tc>
      </w:tr>
    </w:tbl>
    <w:p w14:paraId="7BED00EB" w14:textId="3D7FB301" w:rsidR="00734D99" w:rsidRDefault="00734D99" w:rsidP="005D4DBE">
      <w:pPr>
        <w:ind w:left="0"/>
      </w:pPr>
    </w:p>
    <w:p w14:paraId="4E4942BD" w14:textId="77777777" w:rsidR="00B12F51" w:rsidRPr="00D75750" w:rsidRDefault="00D75750" w:rsidP="00692DEB">
      <w:pPr>
        <w:pStyle w:val="Heading4"/>
      </w:pPr>
      <w:bookmarkStart w:id="20" w:name="_Toc427752828"/>
      <w:r w:rsidRPr="00D75750">
        <w:t>Explanation for Program Changes or Adjustments</w:t>
      </w:r>
      <w:bookmarkEnd w:id="20"/>
    </w:p>
    <w:p w14:paraId="6B9220CD" w14:textId="77777777" w:rsidR="00F52BCC" w:rsidRDefault="003C7C5D" w:rsidP="004C36AE">
      <w:pPr>
        <w:ind w:left="0"/>
      </w:pPr>
      <w:r>
        <w:t xml:space="preserve">This is a new </w:t>
      </w:r>
      <w:r w:rsidR="002E2EDD">
        <w:t>data</w:t>
      </w:r>
      <w:r w:rsidR="00157413">
        <w:t xml:space="preserve"> collection</w:t>
      </w:r>
      <w:r>
        <w:t>.</w:t>
      </w:r>
    </w:p>
    <w:p w14:paraId="602EEC2A" w14:textId="61D69592" w:rsidR="001A1E1F" w:rsidRDefault="001A1E1F" w:rsidP="00AA72F1">
      <w:pPr>
        <w:ind w:left="0"/>
      </w:pPr>
    </w:p>
    <w:p w14:paraId="5EF9EC6E" w14:textId="77777777" w:rsidR="00B12F51" w:rsidRPr="007B6A12" w:rsidRDefault="00616090" w:rsidP="00692DEB">
      <w:pPr>
        <w:pStyle w:val="Heading4"/>
      </w:pPr>
      <w:bookmarkStart w:id="21" w:name="_Toc427752829"/>
      <w:r w:rsidRPr="007B6A12">
        <w:t>Plan</w:t>
      </w:r>
      <w:r w:rsidR="00D75750" w:rsidRPr="007B6A12">
        <w:t>s for Tabulation and Publication and Project Time Schedule</w:t>
      </w:r>
      <w:bookmarkEnd w:id="21"/>
    </w:p>
    <w:p w14:paraId="112EAE90" w14:textId="1FE9E985" w:rsidR="000058E0" w:rsidRDefault="00DB24FD" w:rsidP="004C36AE">
      <w:pPr>
        <w:ind w:left="0"/>
        <w:rPr>
          <w:rFonts w:cs="Arial"/>
          <w:b/>
        </w:rPr>
      </w:pPr>
      <w:r w:rsidRPr="00DB24FD">
        <w:t xml:space="preserve">All information will be kept on secure, password protected servers accessible only to ASTHO project team members.  Data collected during the assessment will be shared only in aggregate form. </w:t>
      </w:r>
      <w:r w:rsidR="00031336">
        <w:t>U</w:t>
      </w:r>
      <w:r w:rsidR="00B510DB">
        <w:t>sing the thematic analysis</w:t>
      </w:r>
      <w:r w:rsidR="00EB359E">
        <w:t xml:space="preserve"> </w:t>
      </w:r>
      <w:r w:rsidR="00445DC3">
        <w:t>and having access only to the fully coded, aggregate information provided by ASTHO</w:t>
      </w:r>
      <w:r w:rsidR="00B510DB">
        <w:t xml:space="preserve">, CDC </w:t>
      </w:r>
      <w:r w:rsidR="00445DC3">
        <w:t>will contribute to interpretation of findings and the creation of a</w:t>
      </w:r>
      <w:r w:rsidR="00031336">
        <w:t xml:space="preserve"> summary report. The report will conclude with an overview of lessons learned regarding </w:t>
      </w:r>
      <w:r w:rsidR="00B510DB">
        <w:t>facilitators and barriers to implementing state</w:t>
      </w:r>
      <w:r w:rsidR="007F6D13">
        <w:t>-level</w:t>
      </w:r>
      <w:r w:rsidR="00B510DB">
        <w:t xml:space="preserve"> </w:t>
      </w:r>
      <w:r w:rsidR="00445DC3">
        <w:t xml:space="preserve">EMSS based activities </w:t>
      </w:r>
      <w:r w:rsidR="00B510DB">
        <w:t xml:space="preserve">to enhance stroke systems of care. </w:t>
      </w:r>
      <w:r w:rsidR="00CB0869">
        <w:t xml:space="preserve">Using summary findings, </w:t>
      </w:r>
      <w:r w:rsidR="00031336">
        <w:t xml:space="preserve">CDC will also </w:t>
      </w:r>
      <w:r w:rsidR="00445DC3">
        <w:t xml:space="preserve">contribute to </w:t>
      </w:r>
      <w:r w:rsidR="00031336">
        <w:t>the development of compl</w:t>
      </w:r>
      <w:r w:rsidR="00CB0869">
        <w:t>e</w:t>
      </w:r>
      <w:r w:rsidR="00031336">
        <w:t>mentary, technical assista</w:t>
      </w:r>
      <w:r w:rsidR="008253DA">
        <w:t xml:space="preserve">nce material for </w:t>
      </w:r>
      <w:r w:rsidR="006547F9">
        <w:t>state health departments</w:t>
      </w:r>
      <w:r w:rsidR="00031336">
        <w:t xml:space="preserve"> and</w:t>
      </w:r>
      <w:r w:rsidR="00445DC3">
        <w:t xml:space="preserve"> </w:t>
      </w:r>
      <w:r w:rsidR="00EB359E">
        <w:t xml:space="preserve">EMSS coordinators </w:t>
      </w:r>
      <w:r w:rsidR="00031336">
        <w:t xml:space="preserve">that will be disseminated via </w:t>
      </w:r>
      <w:r w:rsidR="008253DA" w:rsidRPr="008253DA">
        <w:t>conference presentations, webinars, fact sheets, implementation guides, and peer reviewed manuscripts.</w:t>
      </w:r>
    </w:p>
    <w:p w14:paraId="5716D415" w14:textId="28D2744D" w:rsidR="00E20294" w:rsidRDefault="00E20294" w:rsidP="0042500C">
      <w:pPr>
        <w:ind w:left="0"/>
        <w:rPr>
          <w:rFonts w:cs="Arial"/>
          <w:b/>
        </w:rPr>
      </w:pPr>
    </w:p>
    <w:p w14:paraId="2CC47681" w14:textId="77777777" w:rsidR="005D4DBE" w:rsidRDefault="005D4DBE" w:rsidP="0042500C">
      <w:pPr>
        <w:ind w:left="0"/>
        <w:rPr>
          <w:rFonts w:cs="Arial"/>
          <w:b/>
        </w:rPr>
      </w:pPr>
    </w:p>
    <w:p w14:paraId="21D3154E" w14:textId="77777777" w:rsidR="008C59E7" w:rsidRPr="00BB090C" w:rsidRDefault="008C59E7" w:rsidP="008B65FF">
      <w:pPr>
        <w:ind w:left="360"/>
        <w:rPr>
          <w:rFonts w:cs="Arial"/>
          <w:color w:val="0070C0"/>
        </w:rPr>
      </w:pPr>
      <w:r w:rsidRPr="00BB090C">
        <w:rPr>
          <w:rFonts w:cs="Arial"/>
          <w:u w:val="single"/>
        </w:rPr>
        <w:t>Project Time Schedule</w:t>
      </w:r>
    </w:p>
    <w:p w14:paraId="39E5057D"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22105013"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66DC9D33"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3887A57D"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46E47ED5"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46E283BA" w14:textId="77777777" w:rsidR="008C59E7" w:rsidRPr="00E5274A" w:rsidRDefault="008C59E7" w:rsidP="00782FBD">
      <w:pPr>
        <w:pStyle w:val="ListParagraph"/>
        <w:numPr>
          <w:ilvl w:val="0"/>
          <w:numId w:val="2"/>
        </w:numPr>
        <w:tabs>
          <w:tab w:val="right" w:leader="dot" w:pos="9360"/>
        </w:tabs>
        <w:ind w:left="1080"/>
      </w:pPr>
      <w:r w:rsidRPr="00E5274A">
        <w:rPr>
          <w:rFonts w:eastAsiaTheme="majorEastAsia" w:cstheme="majorBidi"/>
        </w:rPr>
        <w:t xml:space="preserve">OMB approval </w:t>
      </w:r>
      <w:r w:rsidRPr="00E5274A">
        <w:tab/>
      </w:r>
      <w:r w:rsidRPr="00E5274A">
        <w:rPr>
          <w:rFonts w:eastAsiaTheme="majorEastAsia" w:cstheme="majorBidi"/>
        </w:rPr>
        <w:t>(TBD)</w:t>
      </w:r>
    </w:p>
    <w:p w14:paraId="7AE441F2" w14:textId="77777777" w:rsidR="008C59E7" w:rsidRPr="00E5274A" w:rsidRDefault="008C59E7" w:rsidP="00782FBD">
      <w:pPr>
        <w:pStyle w:val="ListParagraph"/>
        <w:numPr>
          <w:ilvl w:val="0"/>
          <w:numId w:val="2"/>
        </w:numPr>
        <w:tabs>
          <w:tab w:val="right" w:leader="dot" w:pos="9360"/>
        </w:tabs>
        <w:ind w:left="1080"/>
      </w:pPr>
      <w:r w:rsidRPr="00E5274A">
        <w:rPr>
          <w:rFonts w:eastAsiaTheme="majorEastAsia" w:cstheme="majorBidi"/>
        </w:rPr>
        <w:t xml:space="preserve">Conduct </w:t>
      </w:r>
      <w:r w:rsidR="00F0000D" w:rsidRPr="00E5274A">
        <w:rPr>
          <w:rFonts w:eastAsiaTheme="majorEastAsia" w:cstheme="majorBidi"/>
        </w:rPr>
        <w:t>data collection</w:t>
      </w:r>
      <w:r w:rsidRPr="00E5274A">
        <w:rPr>
          <w:rFonts w:eastAsiaTheme="majorEastAsia" w:cstheme="majorBidi"/>
        </w:rPr>
        <w:t xml:space="preserve"> </w:t>
      </w:r>
      <w:r w:rsidRPr="00E5274A">
        <w:tab/>
      </w:r>
      <w:r w:rsidRPr="00E5274A">
        <w:rPr>
          <w:rFonts w:eastAsiaTheme="majorEastAsia" w:cstheme="majorBidi"/>
        </w:rPr>
        <w:t>(</w:t>
      </w:r>
      <w:r w:rsidR="00F0000D" w:rsidRPr="00E5274A">
        <w:rPr>
          <w:rFonts w:eastAsiaTheme="majorEastAsia" w:cstheme="majorBidi"/>
        </w:rPr>
        <w:t>O</w:t>
      </w:r>
      <w:r w:rsidRPr="00E5274A">
        <w:rPr>
          <w:rFonts w:eastAsiaTheme="majorEastAsia" w:cstheme="majorBidi"/>
        </w:rPr>
        <w:t xml:space="preserve">pen </w:t>
      </w:r>
      <w:r w:rsidR="008253DA" w:rsidRPr="00E5274A">
        <w:rPr>
          <w:rFonts w:eastAsiaTheme="majorEastAsia" w:cstheme="majorBidi"/>
        </w:rPr>
        <w:t>8</w:t>
      </w:r>
      <w:r w:rsidRPr="00E5274A">
        <w:rPr>
          <w:rFonts w:eastAsiaTheme="majorEastAsia" w:cstheme="majorBidi"/>
        </w:rPr>
        <w:t xml:space="preserve"> weeks)</w:t>
      </w:r>
    </w:p>
    <w:p w14:paraId="21C2D6C7" w14:textId="77777777" w:rsidR="008C59E7" w:rsidRPr="00E5274A" w:rsidRDefault="008C59E7" w:rsidP="00782FBD">
      <w:pPr>
        <w:pStyle w:val="ListParagraph"/>
        <w:numPr>
          <w:ilvl w:val="0"/>
          <w:numId w:val="2"/>
        </w:numPr>
        <w:tabs>
          <w:tab w:val="right" w:leader="dot" w:pos="9360"/>
        </w:tabs>
        <w:ind w:left="1080"/>
      </w:pPr>
      <w:r w:rsidRPr="00E5274A">
        <w:rPr>
          <w:rFonts w:eastAsiaTheme="majorEastAsia" w:cstheme="majorBidi"/>
        </w:rPr>
        <w:t>Code</w:t>
      </w:r>
      <w:r w:rsidR="001C7607" w:rsidRPr="00E5274A">
        <w:rPr>
          <w:rFonts w:eastAsiaTheme="majorEastAsia" w:cstheme="majorBidi"/>
        </w:rPr>
        <w:t xml:space="preserve"> data</w:t>
      </w:r>
      <w:r w:rsidRPr="00E5274A">
        <w:rPr>
          <w:rFonts w:eastAsiaTheme="majorEastAsia" w:cstheme="majorBidi"/>
        </w:rPr>
        <w:t xml:space="preserve">, </w:t>
      </w:r>
      <w:r w:rsidR="001C7607" w:rsidRPr="00E5274A">
        <w:rPr>
          <w:rFonts w:eastAsiaTheme="majorEastAsia" w:cstheme="majorBidi"/>
        </w:rPr>
        <w:t xml:space="preserve">conduct </w:t>
      </w:r>
      <w:r w:rsidRPr="00E5274A">
        <w:rPr>
          <w:rFonts w:eastAsiaTheme="majorEastAsia" w:cstheme="majorBidi"/>
        </w:rPr>
        <w:t>quality control, and analyze data</w:t>
      </w:r>
      <w:r w:rsidRPr="00E5274A">
        <w:rPr>
          <w:rFonts w:cs="Arial"/>
        </w:rPr>
        <w:tab/>
      </w:r>
      <w:r w:rsidR="00F0000D" w:rsidRPr="00E5274A">
        <w:rPr>
          <w:rFonts w:eastAsiaTheme="majorEastAsia" w:cstheme="majorBidi"/>
        </w:rPr>
        <w:t>(</w:t>
      </w:r>
      <w:r w:rsidR="008253DA" w:rsidRPr="00E5274A">
        <w:rPr>
          <w:rFonts w:eastAsiaTheme="majorEastAsia" w:cstheme="majorBidi"/>
        </w:rPr>
        <w:t>8</w:t>
      </w:r>
      <w:r w:rsidRPr="00E5274A">
        <w:rPr>
          <w:rFonts w:eastAsiaTheme="majorEastAsia" w:cstheme="majorBidi"/>
        </w:rPr>
        <w:t xml:space="preserve"> weeks)</w:t>
      </w:r>
    </w:p>
    <w:p w14:paraId="4AB65F7E" w14:textId="77777777" w:rsidR="008C59E7" w:rsidRPr="00E5274A" w:rsidRDefault="007B6A12" w:rsidP="00782FBD">
      <w:pPr>
        <w:pStyle w:val="ListParagraph"/>
        <w:numPr>
          <w:ilvl w:val="0"/>
          <w:numId w:val="2"/>
        </w:numPr>
        <w:tabs>
          <w:tab w:val="right" w:leader="dot" w:pos="9360"/>
        </w:tabs>
        <w:ind w:left="1080"/>
      </w:pPr>
      <w:r w:rsidRPr="00E5274A">
        <w:rPr>
          <w:rFonts w:eastAsiaTheme="majorEastAsia" w:cstheme="majorBidi"/>
        </w:rPr>
        <w:t xml:space="preserve">Prepare </w:t>
      </w:r>
      <w:r w:rsidR="001C7607" w:rsidRPr="00E5274A">
        <w:rPr>
          <w:rFonts w:eastAsiaTheme="majorEastAsia" w:cstheme="majorBidi"/>
        </w:rPr>
        <w:t xml:space="preserve">summary </w:t>
      </w:r>
      <w:r w:rsidRPr="00E5274A">
        <w:rPr>
          <w:rFonts w:eastAsiaTheme="majorEastAsia" w:cstheme="majorBidi"/>
        </w:rPr>
        <w:t>report(s)</w:t>
      </w:r>
      <w:r w:rsidR="008C59E7" w:rsidRPr="00E5274A">
        <w:rPr>
          <w:rFonts w:eastAsiaTheme="majorEastAsia" w:cstheme="majorBidi"/>
        </w:rPr>
        <w:t xml:space="preserve"> </w:t>
      </w:r>
      <w:r w:rsidR="008C59E7" w:rsidRPr="00E5274A">
        <w:tab/>
      </w:r>
      <w:r w:rsidR="008C59E7" w:rsidRPr="00E5274A">
        <w:rPr>
          <w:rFonts w:eastAsiaTheme="majorEastAsia" w:cstheme="majorBidi"/>
        </w:rPr>
        <w:t>(</w:t>
      </w:r>
      <w:r w:rsidR="008253DA" w:rsidRPr="00E5274A">
        <w:rPr>
          <w:rFonts w:eastAsiaTheme="majorEastAsia" w:cstheme="majorBidi"/>
        </w:rPr>
        <w:t>4</w:t>
      </w:r>
      <w:r w:rsidR="008C59E7" w:rsidRPr="00E5274A">
        <w:rPr>
          <w:rFonts w:eastAsiaTheme="majorEastAsia" w:cstheme="majorBidi"/>
        </w:rPr>
        <w:t xml:space="preserve"> weeks)</w:t>
      </w:r>
    </w:p>
    <w:p w14:paraId="517A3E63" w14:textId="77777777" w:rsidR="008C59E7" w:rsidRPr="00E5274A" w:rsidRDefault="008C59E7" w:rsidP="00782FBD">
      <w:pPr>
        <w:pStyle w:val="ListParagraph"/>
        <w:numPr>
          <w:ilvl w:val="0"/>
          <w:numId w:val="2"/>
        </w:numPr>
        <w:tabs>
          <w:tab w:val="right" w:leader="dot" w:pos="9360"/>
        </w:tabs>
        <w:ind w:left="1080"/>
      </w:pPr>
      <w:r w:rsidRPr="00E5274A">
        <w:rPr>
          <w:rFonts w:eastAsiaTheme="majorEastAsia" w:cstheme="majorBidi"/>
        </w:rPr>
        <w:t xml:space="preserve">Disseminate results/reports </w:t>
      </w:r>
      <w:r w:rsidRPr="00E5274A">
        <w:tab/>
      </w:r>
      <w:r w:rsidRPr="00E5274A">
        <w:rPr>
          <w:rFonts w:eastAsiaTheme="majorEastAsia" w:cstheme="majorBidi"/>
        </w:rPr>
        <w:t>(</w:t>
      </w:r>
      <w:r w:rsidR="008253DA" w:rsidRPr="00E5274A">
        <w:rPr>
          <w:rFonts w:eastAsiaTheme="majorEastAsia" w:cstheme="majorBidi"/>
        </w:rPr>
        <w:t>4</w:t>
      </w:r>
      <w:r w:rsidRPr="00E5274A">
        <w:rPr>
          <w:rFonts w:eastAsiaTheme="majorEastAsia" w:cstheme="majorBidi"/>
        </w:rPr>
        <w:t xml:space="preserve"> weeks)</w:t>
      </w:r>
    </w:p>
    <w:p w14:paraId="0C59617A" w14:textId="068CE9A3" w:rsidR="00F0000D" w:rsidRDefault="00F0000D" w:rsidP="005D4DBE">
      <w:pPr>
        <w:ind w:left="0"/>
      </w:pPr>
    </w:p>
    <w:p w14:paraId="5BFD2C0F"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1A9011C5" w14:textId="77777777" w:rsidR="00F52BCC" w:rsidRDefault="00180D45" w:rsidP="008B65FF">
      <w:pPr>
        <w:ind w:left="360"/>
      </w:pPr>
      <w:r>
        <w:t>We are requesting no exemption.</w:t>
      </w:r>
    </w:p>
    <w:p w14:paraId="25F5751E" w14:textId="07C414A8" w:rsidR="003705DF" w:rsidRDefault="003705DF" w:rsidP="00AA72F1">
      <w:pPr>
        <w:ind w:left="0"/>
      </w:pPr>
    </w:p>
    <w:p w14:paraId="549ABC84"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4F3EEBC5" w14:textId="77777777" w:rsidR="00D1343B" w:rsidRDefault="0031279F" w:rsidP="00DD5E65">
      <w:pPr>
        <w:ind w:left="360"/>
      </w:pPr>
      <w:r>
        <w:t>There are no exceptions to the certification.</w:t>
      </w:r>
      <w:r w:rsidR="00180D45">
        <w:t xml:space="preserve">  These activities comply with the requirements in 5 CFR 1320.9.</w:t>
      </w:r>
    </w:p>
    <w:p w14:paraId="3BE7B9E9" w14:textId="77777777" w:rsidR="008B12FA" w:rsidRDefault="008B12FA" w:rsidP="00DD5E65">
      <w:pPr>
        <w:ind w:left="360"/>
      </w:pPr>
    </w:p>
    <w:p w14:paraId="43D3F536" w14:textId="77777777" w:rsidR="00A36419" w:rsidRDefault="00A36419" w:rsidP="008C59E7">
      <w:pPr>
        <w:pStyle w:val="Heading3"/>
        <w:ind w:left="0"/>
      </w:pPr>
      <w:bookmarkStart w:id="24" w:name="_Toc427752832"/>
      <w:r>
        <w:t>LIST OF ATTACHMENTS</w:t>
      </w:r>
      <w:r w:rsidR="00A33E90">
        <w:t xml:space="preserve"> – Section A</w:t>
      </w:r>
      <w:bookmarkEnd w:id="24"/>
    </w:p>
    <w:p w14:paraId="09CE65D9" w14:textId="39F17388" w:rsidR="001739BB" w:rsidRPr="00373BEA" w:rsidRDefault="001739BB" w:rsidP="00373BEA">
      <w:pPr>
        <w:tabs>
          <w:tab w:val="clear" w:pos="9360"/>
        </w:tabs>
        <w:spacing w:line="240" w:lineRule="auto"/>
        <w:ind w:left="360"/>
      </w:pPr>
      <w:r w:rsidRPr="00373BEA">
        <w:t>Attachment A: Respondent Breakdown</w:t>
      </w:r>
    </w:p>
    <w:p w14:paraId="5D73ECE6" w14:textId="72F9A1B8" w:rsidR="003705DF" w:rsidRDefault="00A1453A" w:rsidP="005D4DBE">
      <w:pPr>
        <w:tabs>
          <w:tab w:val="clear" w:pos="9360"/>
        </w:tabs>
        <w:spacing w:line="240" w:lineRule="auto"/>
        <w:ind w:left="360"/>
      </w:pPr>
      <w:r w:rsidRPr="00373BEA">
        <w:t>Attachment</w:t>
      </w:r>
      <w:r w:rsidR="001739BB" w:rsidRPr="00373BEA">
        <w:t xml:space="preserve"> B: </w:t>
      </w:r>
      <w:r w:rsidR="008253DA" w:rsidRPr="00373BEA">
        <w:t>Telephone Interview Guide</w:t>
      </w:r>
    </w:p>
    <w:p w14:paraId="6DBE0926" w14:textId="77777777" w:rsidR="005D4DBE" w:rsidRDefault="005D4DBE" w:rsidP="005D4DBE">
      <w:pPr>
        <w:tabs>
          <w:tab w:val="clear" w:pos="9360"/>
        </w:tabs>
        <w:spacing w:line="240" w:lineRule="auto"/>
        <w:ind w:left="360"/>
      </w:pPr>
    </w:p>
    <w:p w14:paraId="43541749" w14:textId="77777777" w:rsidR="00CC7188" w:rsidRDefault="00CC7188" w:rsidP="003860A5">
      <w:pPr>
        <w:pStyle w:val="Heading3"/>
        <w:ind w:left="0"/>
      </w:pPr>
      <w:bookmarkStart w:id="25" w:name="_Toc427752833"/>
      <w:r w:rsidRPr="00CC7188">
        <w:t xml:space="preserve">REFERENCE LIST </w:t>
      </w:r>
      <w:bookmarkEnd w:id="25"/>
    </w:p>
    <w:p w14:paraId="45BFD65E" w14:textId="0B746F49" w:rsidR="001B18FC" w:rsidRDefault="001B18FC" w:rsidP="00856C5E">
      <w:pPr>
        <w:pStyle w:val="ListParagraph"/>
        <w:numPr>
          <w:ilvl w:val="2"/>
          <w:numId w:val="1"/>
        </w:numPr>
        <w:tabs>
          <w:tab w:val="clear" w:pos="9360"/>
        </w:tabs>
        <w:spacing w:line="240" w:lineRule="auto"/>
        <w:ind w:hanging="360"/>
      </w:pPr>
      <w:r>
        <w:t>Centers for Disease Control and Prevention (CDC). Division for Heart Disease and Stroke Prevention.  What is the Evidence for Existing State Laws to Enhance Pre-hospital Stroke Care?  Atlanta, GA: Centers for Disease Control and Prevention; 2017.</w:t>
      </w:r>
    </w:p>
    <w:p w14:paraId="0C0E1C4C" w14:textId="0AF074DC" w:rsidR="00856C5E" w:rsidRDefault="000058E0" w:rsidP="00856C5E">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6" w:history="1">
        <w:r w:rsidR="008253DA" w:rsidRPr="00DD3260">
          <w:rPr>
            <w:rStyle w:val="Hyperlink"/>
          </w:rPr>
          <w:t>http://www.cdc.gov/nphpsp/essentialservices.html. Accessed on 8/14/14</w:t>
        </w:r>
      </w:hyperlink>
      <w:r w:rsidRPr="008C59E7">
        <w:t>.</w:t>
      </w:r>
    </w:p>
    <w:p w14:paraId="14603BBF" w14:textId="77777777" w:rsidR="00856C5E" w:rsidRDefault="008253DA" w:rsidP="00856C5E">
      <w:pPr>
        <w:pStyle w:val="ListParagraph"/>
        <w:numPr>
          <w:ilvl w:val="2"/>
          <w:numId w:val="1"/>
        </w:numPr>
        <w:tabs>
          <w:tab w:val="clear" w:pos="9360"/>
        </w:tabs>
        <w:spacing w:line="240" w:lineRule="auto"/>
        <w:ind w:hanging="360"/>
      </w:pPr>
      <w:r>
        <w:t>Benjamin EJ, Blaha MJ, Chiuve SE, et al. on behalf of the American Heart Association Statistics Committee and Stroke Statistics Subcommittee. Heart disease and stroke statistics—2017 update: a report from the American Heart Association. Circulation. 2017;135:e229-e445.</w:t>
      </w:r>
    </w:p>
    <w:p w14:paraId="4AE0C156" w14:textId="77777777" w:rsidR="00856C5E" w:rsidRDefault="008253DA" w:rsidP="00856C5E">
      <w:pPr>
        <w:pStyle w:val="ListParagraph"/>
        <w:numPr>
          <w:ilvl w:val="2"/>
          <w:numId w:val="1"/>
        </w:numPr>
        <w:tabs>
          <w:tab w:val="clear" w:pos="9360"/>
        </w:tabs>
        <w:spacing w:line="240" w:lineRule="auto"/>
        <w:ind w:hanging="360"/>
      </w:pPr>
      <w:r>
        <w:t>Vital Signs: Recent trends in stroke death rates – United States, 2000-2015. MMWR 2017;66.</w:t>
      </w:r>
    </w:p>
    <w:p w14:paraId="581D0785" w14:textId="77777777" w:rsidR="005B4333" w:rsidRDefault="008253DA" w:rsidP="001A1E1F">
      <w:pPr>
        <w:pStyle w:val="ListParagraph"/>
        <w:numPr>
          <w:ilvl w:val="2"/>
          <w:numId w:val="1"/>
        </w:numPr>
        <w:tabs>
          <w:tab w:val="clear" w:pos="9360"/>
        </w:tabs>
        <w:spacing w:line="240" w:lineRule="auto"/>
        <w:ind w:hanging="360"/>
        <w:rPr>
          <w:rFonts w:ascii="Times New Roman" w:hAnsi="Times New Roman" w:cs="Times New Roman"/>
        </w:rPr>
      </w:pPr>
      <w:r>
        <w:t xml:space="preserve">Schwamm LH, Pancioli A, Acker JE, et al. Recommendations for the establishment of stroke systems of care. Recommendations from the American Stroke Association’s Task Force on </w:t>
      </w:r>
      <w:r w:rsidRPr="001A1E1F">
        <w:rPr>
          <w:rFonts w:ascii="Times New Roman" w:hAnsi="Times New Roman" w:cs="Times New Roman"/>
        </w:rPr>
        <w:t>the Development of Stroke Systems. Stroke. 2005;36(3):690-703.</w:t>
      </w:r>
      <w:bookmarkStart w:id="26" w:name="_top"/>
      <w:bookmarkEnd w:id="26"/>
    </w:p>
    <w:p w14:paraId="5D5A3DB2" w14:textId="4536B5E6" w:rsidR="00994FF5" w:rsidRPr="001A1E1F" w:rsidRDefault="005B4333" w:rsidP="001A1E1F">
      <w:pPr>
        <w:pStyle w:val="ListParagraph"/>
        <w:numPr>
          <w:ilvl w:val="2"/>
          <w:numId w:val="1"/>
        </w:numPr>
        <w:tabs>
          <w:tab w:val="clear" w:pos="9360"/>
        </w:tabs>
        <w:spacing w:line="240" w:lineRule="auto"/>
        <w:ind w:hanging="360"/>
        <w:rPr>
          <w:rFonts w:ascii="Times New Roman" w:hAnsi="Times New Roman" w:cs="Times New Roman"/>
        </w:rPr>
      </w:pPr>
      <w:r w:rsidRPr="001A1E1F">
        <w:rPr>
          <w:rFonts w:ascii="Times New Roman" w:hAnsi="Times New Roman" w:cs="Times New Roman"/>
        </w:rPr>
        <w:t>Centers for Disease Control and Prevention (CDC). Division for Heart Disease and Stroke Prevention.</w:t>
      </w:r>
      <w:r>
        <w:rPr>
          <w:rFonts w:ascii="Times New Roman" w:hAnsi="Times New Roman" w:cs="Times New Roman"/>
        </w:rPr>
        <w:t xml:space="preserve"> </w:t>
      </w:r>
      <w:r w:rsidRPr="001A1E1F">
        <w:rPr>
          <w:rFonts w:ascii="Times New Roman" w:hAnsi="Times New Roman" w:cs="Times New Roman"/>
        </w:rPr>
        <w:t>Stroke Systems of Care State Law Overview</w:t>
      </w:r>
      <w:r>
        <w:rPr>
          <w:rFonts w:ascii="Times New Roman" w:hAnsi="Times New Roman" w:cs="Times New Roman"/>
        </w:rPr>
        <w:t>. Unpublished report; 2018.</w:t>
      </w:r>
      <w:r w:rsidRPr="005B4333">
        <w:rPr>
          <w:b/>
        </w:rPr>
        <w:t xml:space="preserve"> </w:t>
      </w:r>
    </w:p>
    <w:p w14:paraId="00671BD7" w14:textId="52C12BB0" w:rsidR="00994FF5" w:rsidRDefault="00966277" w:rsidP="001A1E1F">
      <w:pPr>
        <w:pStyle w:val="ListParagraph"/>
        <w:numPr>
          <w:ilvl w:val="2"/>
          <w:numId w:val="1"/>
        </w:numPr>
        <w:tabs>
          <w:tab w:val="clear" w:pos="9360"/>
        </w:tabs>
        <w:spacing w:line="240" w:lineRule="auto"/>
        <w:ind w:hanging="360"/>
        <w:rPr>
          <w:rFonts w:ascii="Times New Roman" w:hAnsi="Times New Roman" w:cs="Times New Roman"/>
        </w:rPr>
      </w:pPr>
      <w:r w:rsidRPr="001A1E1F">
        <w:rPr>
          <w:rFonts w:ascii="Times New Roman" w:hAnsi="Times New Roman" w:cs="Times New Roman"/>
        </w:rPr>
        <w:t xml:space="preserve">General Assembly Report from the State Legislated Stroke Task Force.  Available at: </w:t>
      </w:r>
      <w:hyperlink r:id="rId17" w:history="1">
        <w:r w:rsidRPr="001A1E1F">
          <w:rPr>
            <w:rStyle w:val="Hyperlink"/>
            <w:rFonts w:ascii="Times New Roman" w:hAnsi="Times New Roman" w:cs="Times New Roman"/>
          </w:rPr>
          <w:t>http://www.health.ri.gov/publications/generalassemblyreports/2008StateLegislatedStrokeTaskForce.pdf</w:t>
        </w:r>
      </w:hyperlink>
      <w:r w:rsidRPr="001A1E1F">
        <w:rPr>
          <w:rFonts w:ascii="Times New Roman" w:hAnsi="Times New Roman" w:cs="Times New Roman"/>
        </w:rPr>
        <w:t xml:space="preserve"> .  Accessed May 3, 2019</w:t>
      </w:r>
      <w:r w:rsidR="00994FF5">
        <w:rPr>
          <w:rFonts w:ascii="Times New Roman" w:hAnsi="Times New Roman" w:cs="Times New Roman"/>
        </w:rPr>
        <w:t>.</w:t>
      </w:r>
    </w:p>
    <w:p w14:paraId="528D2576" w14:textId="6A0296FB" w:rsidR="001B6825" w:rsidRPr="001A1E1F" w:rsidRDefault="001B6825" w:rsidP="001A1E1F">
      <w:pPr>
        <w:pStyle w:val="ListParagraph"/>
        <w:numPr>
          <w:ilvl w:val="2"/>
          <w:numId w:val="1"/>
        </w:numPr>
        <w:tabs>
          <w:tab w:val="clear" w:pos="9360"/>
        </w:tabs>
        <w:spacing w:line="240" w:lineRule="auto"/>
        <w:ind w:hanging="360"/>
        <w:rPr>
          <w:rFonts w:ascii="Times New Roman" w:hAnsi="Times New Roman" w:cs="Times New Roman"/>
        </w:rPr>
      </w:pPr>
      <w:r w:rsidRPr="001A1E1F">
        <w:rPr>
          <w:rFonts w:ascii="Times New Roman" w:hAnsi="Times New Roman" w:cs="Times New Roman"/>
        </w:rPr>
        <w:t xml:space="preserve">Louisiana Emergency Response Task Force.  Available at: </w:t>
      </w:r>
      <w:hyperlink r:id="rId18" w:history="1">
        <w:r w:rsidRPr="001A1E1F">
          <w:rPr>
            <w:rStyle w:val="Hyperlink"/>
            <w:rFonts w:ascii="Times New Roman" w:hAnsi="Times New Roman" w:cs="Times New Roman"/>
          </w:rPr>
          <w:t>http://lern.la.gov/</w:t>
        </w:r>
      </w:hyperlink>
      <w:r w:rsidRPr="001A1E1F">
        <w:rPr>
          <w:rFonts w:ascii="Times New Roman" w:hAnsi="Times New Roman" w:cs="Times New Roman"/>
        </w:rPr>
        <w:t xml:space="preserve"> .  Accessed May 3, 2019.</w:t>
      </w:r>
    </w:p>
    <w:sectPr w:rsidR="001B6825" w:rsidRPr="001A1E1F" w:rsidSect="00385BB5">
      <w:headerReference w:type="default" r:id="rId1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C3014" w14:textId="77777777" w:rsidR="000F6D46" w:rsidRDefault="000F6D46" w:rsidP="007D6163">
      <w:r>
        <w:separator/>
      </w:r>
    </w:p>
    <w:p w14:paraId="78DD2968" w14:textId="77777777" w:rsidR="000F6D46" w:rsidRDefault="000F6D46" w:rsidP="007D6163"/>
  </w:endnote>
  <w:endnote w:type="continuationSeparator" w:id="0">
    <w:p w14:paraId="7657EA65" w14:textId="77777777" w:rsidR="000F6D46" w:rsidRDefault="000F6D46" w:rsidP="007D6163">
      <w:r>
        <w:continuationSeparator/>
      </w:r>
    </w:p>
    <w:p w14:paraId="25C81B3B" w14:textId="77777777" w:rsidR="000F6D46" w:rsidRDefault="000F6D46"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1D1E40D1" w14:textId="0B4A966B" w:rsidR="000F6D46" w:rsidRDefault="000F6D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207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207D">
              <w:rPr>
                <w:b/>
                <w:bCs/>
                <w:noProof/>
              </w:rPr>
              <w:t>11</w:t>
            </w:r>
            <w:r>
              <w:rPr>
                <w:b/>
                <w:bCs/>
                <w:sz w:val="24"/>
                <w:szCs w:val="24"/>
              </w:rPr>
              <w:fldChar w:fldCharType="end"/>
            </w:r>
          </w:p>
        </w:sdtContent>
      </w:sdt>
    </w:sdtContent>
  </w:sdt>
  <w:p w14:paraId="2CA96480" w14:textId="77777777" w:rsidR="000F6D46" w:rsidRDefault="000F6D46"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DC4B8" w14:textId="77777777" w:rsidR="000F6D46" w:rsidRDefault="000F6D46" w:rsidP="007D6163">
      <w:r>
        <w:separator/>
      </w:r>
    </w:p>
    <w:p w14:paraId="18108569" w14:textId="77777777" w:rsidR="000F6D46" w:rsidRDefault="000F6D46" w:rsidP="007D6163"/>
  </w:footnote>
  <w:footnote w:type="continuationSeparator" w:id="0">
    <w:p w14:paraId="02F65914" w14:textId="77777777" w:rsidR="000F6D46" w:rsidRDefault="000F6D46" w:rsidP="007D6163">
      <w:r>
        <w:continuationSeparator/>
      </w:r>
    </w:p>
    <w:p w14:paraId="3FC40D36" w14:textId="77777777" w:rsidR="000F6D46" w:rsidRDefault="000F6D46"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F986" w14:textId="77777777" w:rsidR="000F6D46" w:rsidRPr="00716F94" w:rsidRDefault="000F6D46" w:rsidP="007D6163">
    <w:pPr>
      <w:pStyle w:val="Header"/>
      <w:rPr>
        <w:color w:val="0033CC"/>
      </w:rPr>
    </w:pPr>
    <w:r>
      <w:tab/>
    </w:r>
  </w:p>
  <w:p w14:paraId="47C045B2" w14:textId="77777777" w:rsidR="000F6D46" w:rsidRDefault="000F6D46"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3D6F"/>
    <w:multiLevelType w:val="hybridMultilevel"/>
    <w:tmpl w:val="4BEAE1AC"/>
    <w:lvl w:ilvl="0" w:tplc="281C28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22082"/>
    <w:multiLevelType w:val="hybridMultilevel"/>
    <w:tmpl w:val="375C2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FDE1EBD"/>
    <w:multiLevelType w:val="hybridMultilevel"/>
    <w:tmpl w:val="D0FC0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5"/>
  </w:num>
  <w:num w:numId="4">
    <w:abstractNumId w:val="4"/>
  </w:num>
  <w:num w:numId="5">
    <w:abstractNumId w:val="11"/>
  </w:num>
  <w:num w:numId="6">
    <w:abstractNumId w:val="1"/>
  </w:num>
  <w:num w:numId="7">
    <w:abstractNumId w:val="7"/>
  </w:num>
  <w:num w:numId="8">
    <w:abstractNumId w:val="3"/>
  </w:num>
  <w:num w:numId="9">
    <w:abstractNumId w:val="10"/>
  </w:num>
  <w:num w:numId="10">
    <w:abstractNumId w:val="2"/>
  </w:num>
  <w:num w:numId="11">
    <w:abstractNumId w:val="6"/>
  </w:num>
  <w:num w:numId="12">
    <w:abstractNumId w:val="17"/>
  </w:num>
  <w:num w:numId="13">
    <w:abstractNumId w:val="16"/>
  </w:num>
  <w:num w:numId="14">
    <w:abstractNumId w:val="9"/>
  </w:num>
  <w:num w:numId="15">
    <w:abstractNumId w:val="8"/>
  </w:num>
  <w:num w:numId="16">
    <w:abstractNumId w:val="14"/>
  </w:num>
  <w:num w:numId="17">
    <w:abstractNumId w:val="12"/>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9B"/>
    <w:rsid w:val="00001C4A"/>
    <w:rsid w:val="000058E0"/>
    <w:rsid w:val="00011A98"/>
    <w:rsid w:val="00011F8D"/>
    <w:rsid w:val="000130B4"/>
    <w:rsid w:val="00013928"/>
    <w:rsid w:val="00013CBD"/>
    <w:rsid w:val="00013F45"/>
    <w:rsid w:val="00014361"/>
    <w:rsid w:val="00014579"/>
    <w:rsid w:val="000145C1"/>
    <w:rsid w:val="00014944"/>
    <w:rsid w:val="000241E2"/>
    <w:rsid w:val="00031336"/>
    <w:rsid w:val="00037C6F"/>
    <w:rsid w:val="00040611"/>
    <w:rsid w:val="00041F96"/>
    <w:rsid w:val="0004305C"/>
    <w:rsid w:val="000435A2"/>
    <w:rsid w:val="0004634F"/>
    <w:rsid w:val="00046CCD"/>
    <w:rsid w:val="000474FB"/>
    <w:rsid w:val="00050240"/>
    <w:rsid w:val="00053A92"/>
    <w:rsid w:val="00054839"/>
    <w:rsid w:val="0005548E"/>
    <w:rsid w:val="00055DAE"/>
    <w:rsid w:val="00057F36"/>
    <w:rsid w:val="00063235"/>
    <w:rsid w:val="000833AC"/>
    <w:rsid w:val="0009047F"/>
    <w:rsid w:val="000A0165"/>
    <w:rsid w:val="000A104C"/>
    <w:rsid w:val="000A1F30"/>
    <w:rsid w:val="000A2D0C"/>
    <w:rsid w:val="000A71DF"/>
    <w:rsid w:val="000B0962"/>
    <w:rsid w:val="000B2CBC"/>
    <w:rsid w:val="000B2D1D"/>
    <w:rsid w:val="000C5E22"/>
    <w:rsid w:val="000D5673"/>
    <w:rsid w:val="000E6300"/>
    <w:rsid w:val="000E656F"/>
    <w:rsid w:val="000E6577"/>
    <w:rsid w:val="000E7A19"/>
    <w:rsid w:val="000F38D0"/>
    <w:rsid w:val="000F6AD0"/>
    <w:rsid w:val="000F6D46"/>
    <w:rsid w:val="00102DAD"/>
    <w:rsid w:val="00104A1B"/>
    <w:rsid w:val="00110257"/>
    <w:rsid w:val="001177DD"/>
    <w:rsid w:val="00123FBC"/>
    <w:rsid w:val="00125465"/>
    <w:rsid w:val="00126EF8"/>
    <w:rsid w:val="00130D45"/>
    <w:rsid w:val="00135334"/>
    <w:rsid w:val="001412D4"/>
    <w:rsid w:val="00144F64"/>
    <w:rsid w:val="00145D62"/>
    <w:rsid w:val="00151567"/>
    <w:rsid w:val="0015715D"/>
    <w:rsid w:val="00157413"/>
    <w:rsid w:val="00160900"/>
    <w:rsid w:val="00163E17"/>
    <w:rsid w:val="00166F9E"/>
    <w:rsid w:val="00167880"/>
    <w:rsid w:val="00172797"/>
    <w:rsid w:val="001739BB"/>
    <w:rsid w:val="00180D45"/>
    <w:rsid w:val="00187870"/>
    <w:rsid w:val="00187D5A"/>
    <w:rsid w:val="0019164D"/>
    <w:rsid w:val="00196622"/>
    <w:rsid w:val="001972D7"/>
    <w:rsid w:val="001A1E1F"/>
    <w:rsid w:val="001A2101"/>
    <w:rsid w:val="001A28F6"/>
    <w:rsid w:val="001A6250"/>
    <w:rsid w:val="001B18FC"/>
    <w:rsid w:val="001B2831"/>
    <w:rsid w:val="001B4065"/>
    <w:rsid w:val="001B5910"/>
    <w:rsid w:val="001B6825"/>
    <w:rsid w:val="001B70B4"/>
    <w:rsid w:val="001C0493"/>
    <w:rsid w:val="001C28AD"/>
    <w:rsid w:val="001C370F"/>
    <w:rsid w:val="001C73B5"/>
    <w:rsid w:val="001C7607"/>
    <w:rsid w:val="001D5697"/>
    <w:rsid w:val="001D7FCB"/>
    <w:rsid w:val="001E2075"/>
    <w:rsid w:val="001E2B99"/>
    <w:rsid w:val="001E3FAB"/>
    <w:rsid w:val="001E69B6"/>
    <w:rsid w:val="001E7537"/>
    <w:rsid w:val="001F4DBB"/>
    <w:rsid w:val="001F75A5"/>
    <w:rsid w:val="00202D07"/>
    <w:rsid w:val="0020312D"/>
    <w:rsid w:val="002044BA"/>
    <w:rsid w:val="00206E33"/>
    <w:rsid w:val="00210519"/>
    <w:rsid w:val="00212B10"/>
    <w:rsid w:val="00222C6C"/>
    <w:rsid w:val="00224E6C"/>
    <w:rsid w:val="00227259"/>
    <w:rsid w:val="00230E0F"/>
    <w:rsid w:val="00241B17"/>
    <w:rsid w:val="00241C81"/>
    <w:rsid w:val="00244557"/>
    <w:rsid w:val="00245477"/>
    <w:rsid w:val="00245A7B"/>
    <w:rsid w:val="002540EE"/>
    <w:rsid w:val="00257A1C"/>
    <w:rsid w:val="00263AF6"/>
    <w:rsid w:val="00271B82"/>
    <w:rsid w:val="0027234C"/>
    <w:rsid w:val="00272E3E"/>
    <w:rsid w:val="00275A37"/>
    <w:rsid w:val="00276327"/>
    <w:rsid w:val="00281795"/>
    <w:rsid w:val="002850E3"/>
    <w:rsid w:val="002879D8"/>
    <w:rsid w:val="00287E2F"/>
    <w:rsid w:val="002A1948"/>
    <w:rsid w:val="002A566D"/>
    <w:rsid w:val="002B1A89"/>
    <w:rsid w:val="002B32AB"/>
    <w:rsid w:val="002B4505"/>
    <w:rsid w:val="002B7768"/>
    <w:rsid w:val="002C0877"/>
    <w:rsid w:val="002C2AE2"/>
    <w:rsid w:val="002D0DCE"/>
    <w:rsid w:val="002D3B2D"/>
    <w:rsid w:val="002E2B10"/>
    <w:rsid w:val="002E2EDD"/>
    <w:rsid w:val="002E63B8"/>
    <w:rsid w:val="002E73B0"/>
    <w:rsid w:val="002F1502"/>
    <w:rsid w:val="002F2069"/>
    <w:rsid w:val="002F3D9C"/>
    <w:rsid w:val="002F50EF"/>
    <w:rsid w:val="002F71A2"/>
    <w:rsid w:val="003041AD"/>
    <w:rsid w:val="0031279F"/>
    <w:rsid w:val="00316F00"/>
    <w:rsid w:val="003179F7"/>
    <w:rsid w:val="00321B51"/>
    <w:rsid w:val="003244AE"/>
    <w:rsid w:val="0032458D"/>
    <w:rsid w:val="003318C1"/>
    <w:rsid w:val="00336D96"/>
    <w:rsid w:val="00341C5E"/>
    <w:rsid w:val="00344F07"/>
    <w:rsid w:val="003469C8"/>
    <w:rsid w:val="00350C8C"/>
    <w:rsid w:val="003535ED"/>
    <w:rsid w:val="00355EA4"/>
    <w:rsid w:val="003635BE"/>
    <w:rsid w:val="00365045"/>
    <w:rsid w:val="00366B5E"/>
    <w:rsid w:val="003705DF"/>
    <w:rsid w:val="00373BEA"/>
    <w:rsid w:val="00376290"/>
    <w:rsid w:val="00376632"/>
    <w:rsid w:val="00383542"/>
    <w:rsid w:val="00384EFF"/>
    <w:rsid w:val="00385BB5"/>
    <w:rsid w:val="003860A5"/>
    <w:rsid w:val="00386BC2"/>
    <w:rsid w:val="00387CA6"/>
    <w:rsid w:val="003958B1"/>
    <w:rsid w:val="003A2555"/>
    <w:rsid w:val="003B125E"/>
    <w:rsid w:val="003B1BE3"/>
    <w:rsid w:val="003B2200"/>
    <w:rsid w:val="003B2AE6"/>
    <w:rsid w:val="003B525B"/>
    <w:rsid w:val="003C31C9"/>
    <w:rsid w:val="003C3AD0"/>
    <w:rsid w:val="003C4961"/>
    <w:rsid w:val="003C581F"/>
    <w:rsid w:val="003C7387"/>
    <w:rsid w:val="003C7C5D"/>
    <w:rsid w:val="003C7EDB"/>
    <w:rsid w:val="003D06F6"/>
    <w:rsid w:val="003D0AD2"/>
    <w:rsid w:val="003E0F5E"/>
    <w:rsid w:val="003E785F"/>
    <w:rsid w:val="003F0CC1"/>
    <w:rsid w:val="003F5913"/>
    <w:rsid w:val="003F5E9A"/>
    <w:rsid w:val="004024F8"/>
    <w:rsid w:val="00405696"/>
    <w:rsid w:val="0041159A"/>
    <w:rsid w:val="004135D5"/>
    <w:rsid w:val="00417629"/>
    <w:rsid w:val="004226DA"/>
    <w:rsid w:val="0042500C"/>
    <w:rsid w:val="004305A8"/>
    <w:rsid w:val="0043229B"/>
    <w:rsid w:val="004353D5"/>
    <w:rsid w:val="00436B8A"/>
    <w:rsid w:val="0044130D"/>
    <w:rsid w:val="00441CC3"/>
    <w:rsid w:val="00443CA0"/>
    <w:rsid w:val="0044489D"/>
    <w:rsid w:val="004456B3"/>
    <w:rsid w:val="00445DC3"/>
    <w:rsid w:val="004468BC"/>
    <w:rsid w:val="00446E6B"/>
    <w:rsid w:val="0044734B"/>
    <w:rsid w:val="00450E14"/>
    <w:rsid w:val="0045466D"/>
    <w:rsid w:val="00462C65"/>
    <w:rsid w:val="0046694C"/>
    <w:rsid w:val="004674E7"/>
    <w:rsid w:val="00467B14"/>
    <w:rsid w:val="00467D07"/>
    <w:rsid w:val="00470CCA"/>
    <w:rsid w:val="00471642"/>
    <w:rsid w:val="00474EDA"/>
    <w:rsid w:val="00481D80"/>
    <w:rsid w:val="004823BA"/>
    <w:rsid w:val="004824FA"/>
    <w:rsid w:val="00484011"/>
    <w:rsid w:val="004841F1"/>
    <w:rsid w:val="00487937"/>
    <w:rsid w:val="004A1E3A"/>
    <w:rsid w:val="004A2E24"/>
    <w:rsid w:val="004A30CE"/>
    <w:rsid w:val="004A3D14"/>
    <w:rsid w:val="004B1C84"/>
    <w:rsid w:val="004B4580"/>
    <w:rsid w:val="004B46D6"/>
    <w:rsid w:val="004B4F1F"/>
    <w:rsid w:val="004B5266"/>
    <w:rsid w:val="004C0BF6"/>
    <w:rsid w:val="004C25F3"/>
    <w:rsid w:val="004C36AE"/>
    <w:rsid w:val="004C4464"/>
    <w:rsid w:val="004C4AEA"/>
    <w:rsid w:val="004C5F29"/>
    <w:rsid w:val="004C6130"/>
    <w:rsid w:val="004D0430"/>
    <w:rsid w:val="004D181C"/>
    <w:rsid w:val="004D1DAA"/>
    <w:rsid w:val="004D4EB1"/>
    <w:rsid w:val="004E003C"/>
    <w:rsid w:val="004E03E6"/>
    <w:rsid w:val="004E16EB"/>
    <w:rsid w:val="004E519B"/>
    <w:rsid w:val="004E6665"/>
    <w:rsid w:val="004F601A"/>
    <w:rsid w:val="004F634E"/>
    <w:rsid w:val="004F67A8"/>
    <w:rsid w:val="004F6AFA"/>
    <w:rsid w:val="004F70C0"/>
    <w:rsid w:val="005004DE"/>
    <w:rsid w:val="00502D81"/>
    <w:rsid w:val="005070F6"/>
    <w:rsid w:val="005115FA"/>
    <w:rsid w:val="0051582C"/>
    <w:rsid w:val="005212E5"/>
    <w:rsid w:val="005221F8"/>
    <w:rsid w:val="00522A50"/>
    <w:rsid w:val="00525E61"/>
    <w:rsid w:val="00527225"/>
    <w:rsid w:val="005336DB"/>
    <w:rsid w:val="0053557D"/>
    <w:rsid w:val="005402AF"/>
    <w:rsid w:val="005410E3"/>
    <w:rsid w:val="0054207D"/>
    <w:rsid w:val="005463DE"/>
    <w:rsid w:val="00546DC2"/>
    <w:rsid w:val="005506EB"/>
    <w:rsid w:val="005542E8"/>
    <w:rsid w:val="00556630"/>
    <w:rsid w:val="0055686D"/>
    <w:rsid w:val="00567E00"/>
    <w:rsid w:val="005800EE"/>
    <w:rsid w:val="005845F8"/>
    <w:rsid w:val="0058661B"/>
    <w:rsid w:val="005869D6"/>
    <w:rsid w:val="00587C72"/>
    <w:rsid w:val="0059331E"/>
    <w:rsid w:val="00594619"/>
    <w:rsid w:val="00596EC4"/>
    <w:rsid w:val="005A14D4"/>
    <w:rsid w:val="005A29F2"/>
    <w:rsid w:val="005A33F6"/>
    <w:rsid w:val="005A3933"/>
    <w:rsid w:val="005A59E5"/>
    <w:rsid w:val="005B11FD"/>
    <w:rsid w:val="005B3C23"/>
    <w:rsid w:val="005B4333"/>
    <w:rsid w:val="005B6C86"/>
    <w:rsid w:val="005B7440"/>
    <w:rsid w:val="005C4614"/>
    <w:rsid w:val="005D1670"/>
    <w:rsid w:val="005D4DBE"/>
    <w:rsid w:val="005D5C43"/>
    <w:rsid w:val="005D6F14"/>
    <w:rsid w:val="005D740E"/>
    <w:rsid w:val="005E2150"/>
    <w:rsid w:val="005E2236"/>
    <w:rsid w:val="005E2995"/>
    <w:rsid w:val="005E2F37"/>
    <w:rsid w:val="005E495C"/>
    <w:rsid w:val="005E7F53"/>
    <w:rsid w:val="005F3FEF"/>
    <w:rsid w:val="005F55D2"/>
    <w:rsid w:val="00600C4F"/>
    <w:rsid w:val="006020E9"/>
    <w:rsid w:val="0060287B"/>
    <w:rsid w:val="006044D4"/>
    <w:rsid w:val="00605D50"/>
    <w:rsid w:val="00607F7C"/>
    <w:rsid w:val="006102DA"/>
    <w:rsid w:val="00613BCF"/>
    <w:rsid w:val="00616090"/>
    <w:rsid w:val="0062302D"/>
    <w:rsid w:val="00630449"/>
    <w:rsid w:val="0063047F"/>
    <w:rsid w:val="006315A3"/>
    <w:rsid w:val="00635620"/>
    <w:rsid w:val="006378CA"/>
    <w:rsid w:val="006511A0"/>
    <w:rsid w:val="00651309"/>
    <w:rsid w:val="006547F9"/>
    <w:rsid w:val="006579A2"/>
    <w:rsid w:val="006619E6"/>
    <w:rsid w:val="00667187"/>
    <w:rsid w:val="00667C89"/>
    <w:rsid w:val="00670B85"/>
    <w:rsid w:val="006711EE"/>
    <w:rsid w:val="00675F9A"/>
    <w:rsid w:val="006809BB"/>
    <w:rsid w:val="006809FD"/>
    <w:rsid w:val="00684DAF"/>
    <w:rsid w:val="00686AE8"/>
    <w:rsid w:val="00691D1F"/>
    <w:rsid w:val="00692DEB"/>
    <w:rsid w:val="00696CE4"/>
    <w:rsid w:val="00697496"/>
    <w:rsid w:val="00697BAE"/>
    <w:rsid w:val="006A09E0"/>
    <w:rsid w:val="006A0C4F"/>
    <w:rsid w:val="006A6DEC"/>
    <w:rsid w:val="006B4DDC"/>
    <w:rsid w:val="006B51BD"/>
    <w:rsid w:val="006B5E55"/>
    <w:rsid w:val="006C20E8"/>
    <w:rsid w:val="006C4DA7"/>
    <w:rsid w:val="006C761E"/>
    <w:rsid w:val="006D25A1"/>
    <w:rsid w:val="006D46A1"/>
    <w:rsid w:val="006D48AB"/>
    <w:rsid w:val="006D64DE"/>
    <w:rsid w:val="006E14E9"/>
    <w:rsid w:val="006E46B1"/>
    <w:rsid w:val="006E4AAE"/>
    <w:rsid w:val="006E5F1B"/>
    <w:rsid w:val="006F09A2"/>
    <w:rsid w:val="006F0E6D"/>
    <w:rsid w:val="006F36C6"/>
    <w:rsid w:val="006F6856"/>
    <w:rsid w:val="006F752C"/>
    <w:rsid w:val="00702DDF"/>
    <w:rsid w:val="00710026"/>
    <w:rsid w:val="00713412"/>
    <w:rsid w:val="0071430D"/>
    <w:rsid w:val="007145D0"/>
    <w:rsid w:val="0071587C"/>
    <w:rsid w:val="00716CB4"/>
    <w:rsid w:val="00716F94"/>
    <w:rsid w:val="00721180"/>
    <w:rsid w:val="00721719"/>
    <w:rsid w:val="00734D99"/>
    <w:rsid w:val="0075188E"/>
    <w:rsid w:val="007543C2"/>
    <w:rsid w:val="00755DA2"/>
    <w:rsid w:val="0076001C"/>
    <w:rsid w:val="00760E12"/>
    <w:rsid w:val="00763CF3"/>
    <w:rsid w:val="0076427D"/>
    <w:rsid w:val="00765438"/>
    <w:rsid w:val="00766AD3"/>
    <w:rsid w:val="00771DCA"/>
    <w:rsid w:val="00772293"/>
    <w:rsid w:val="00774689"/>
    <w:rsid w:val="00776981"/>
    <w:rsid w:val="00781AE3"/>
    <w:rsid w:val="00782FBD"/>
    <w:rsid w:val="00783C75"/>
    <w:rsid w:val="00784619"/>
    <w:rsid w:val="00784735"/>
    <w:rsid w:val="0078627B"/>
    <w:rsid w:val="0078765B"/>
    <w:rsid w:val="0078767B"/>
    <w:rsid w:val="0079164D"/>
    <w:rsid w:val="007921F1"/>
    <w:rsid w:val="00794E32"/>
    <w:rsid w:val="00796CCF"/>
    <w:rsid w:val="007A0D73"/>
    <w:rsid w:val="007B2752"/>
    <w:rsid w:val="007B305A"/>
    <w:rsid w:val="007B6A12"/>
    <w:rsid w:val="007B7C44"/>
    <w:rsid w:val="007C5666"/>
    <w:rsid w:val="007C5799"/>
    <w:rsid w:val="007C58E7"/>
    <w:rsid w:val="007D2ED6"/>
    <w:rsid w:val="007D5B23"/>
    <w:rsid w:val="007D6163"/>
    <w:rsid w:val="007E575D"/>
    <w:rsid w:val="007E57CD"/>
    <w:rsid w:val="007E6AEF"/>
    <w:rsid w:val="007F142A"/>
    <w:rsid w:val="007F5776"/>
    <w:rsid w:val="007F6D13"/>
    <w:rsid w:val="00815C7D"/>
    <w:rsid w:val="00817941"/>
    <w:rsid w:val="008229E4"/>
    <w:rsid w:val="00823547"/>
    <w:rsid w:val="008253DA"/>
    <w:rsid w:val="008261AB"/>
    <w:rsid w:val="008269AB"/>
    <w:rsid w:val="00830A32"/>
    <w:rsid w:val="00832A77"/>
    <w:rsid w:val="00834C91"/>
    <w:rsid w:val="00835CA7"/>
    <w:rsid w:val="008370D4"/>
    <w:rsid w:val="008414AD"/>
    <w:rsid w:val="008428D9"/>
    <w:rsid w:val="00844624"/>
    <w:rsid w:val="00846A86"/>
    <w:rsid w:val="00855F79"/>
    <w:rsid w:val="00856C5E"/>
    <w:rsid w:val="00857BB1"/>
    <w:rsid w:val="00867355"/>
    <w:rsid w:val="00867E39"/>
    <w:rsid w:val="008705AC"/>
    <w:rsid w:val="008715E7"/>
    <w:rsid w:val="008748B4"/>
    <w:rsid w:val="008757CD"/>
    <w:rsid w:val="0088467A"/>
    <w:rsid w:val="00884AE4"/>
    <w:rsid w:val="00884DB9"/>
    <w:rsid w:val="008946A1"/>
    <w:rsid w:val="00896F95"/>
    <w:rsid w:val="008A4D01"/>
    <w:rsid w:val="008A5506"/>
    <w:rsid w:val="008A629E"/>
    <w:rsid w:val="008B12FA"/>
    <w:rsid w:val="008B65FF"/>
    <w:rsid w:val="008B7639"/>
    <w:rsid w:val="008C3281"/>
    <w:rsid w:val="008C408E"/>
    <w:rsid w:val="008C4C79"/>
    <w:rsid w:val="008C59E7"/>
    <w:rsid w:val="008C67D2"/>
    <w:rsid w:val="008C7668"/>
    <w:rsid w:val="008E0683"/>
    <w:rsid w:val="008E3D8D"/>
    <w:rsid w:val="008F3D10"/>
    <w:rsid w:val="00902DD9"/>
    <w:rsid w:val="00911486"/>
    <w:rsid w:val="009129CA"/>
    <w:rsid w:val="00915C4D"/>
    <w:rsid w:val="00917689"/>
    <w:rsid w:val="009206B6"/>
    <w:rsid w:val="00924262"/>
    <w:rsid w:val="009252DC"/>
    <w:rsid w:val="009252F5"/>
    <w:rsid w:val="009263C1"/>
    <w:rsid w:val="00940BC5"/>
    <w:rsid w:val="00941B4F"/>
    <w:rsid w:val="00945B19"/>
    <w:rsid w:val="009518C0"/>
    <w:rsid w:val="00954637"/>
    <w:rsid w:val="00963CE3"/>
    <w:rsid w:val="00964F18"/>
    <w:rsid w:val="00966277"/>
    <w:rsid w:val="00974424"/>
    <w:rsid w:val="00974D26"/>
    <w:rsid w:val="00975B67"/>
    <w:rsid w:val="00987F76"/>
    <w:rsid w:val="00993088"/>
    <w:rsid w:val="00994FF5"/>
    <w:rsid w:val="0099664F"/>
    <w:rsid w:val="00997D5D"/>
    <w:rsid w:val="009A0447"/>
    <w:rsid w:val="009A28F6"/>
    <w:rsid w:val="009A2CE5"/>
    <w:rsid w:val="009A4B59"/>
    <w:rsid w:val="009A6FFE"/>
    <w:rsid w:val="009A737F"/>
    <w:rsid w:val="009B4A51"/>
    <w:rsid w:val="009C28B1"/>
    <w:rsid w:val="009C2FBE"/>
    <w:rsid w:val="009C61AD"/>
    <w:rsid w:val="009C6697"/>
    <w:rsid w:val="009C78F1"/>
    <w:rsid w:val="009D373D"/>
    <w:rsid w:val="009D436B"/>
    <w:rsid w:val="009D4451"/>
    <w:rsid w:val="009D5927"/>
    <w:rsid w:val="009D7B2C"/>
    <w:rsid w:val="009E0801"/>
    <w:rsid w:val="009E1D05"/>
    <w:rsid w:val="009E1F0D"/>
    <w:rsid w:val="009E5E95"/>
    <w:rsid w:val="009F0CE5"/>
    <w:rsid w:val="009F326B"/>
    <w:rsid w:val="009F51DE"/>
    <w:rsid w:val="009F7DE0"/>
    <w:rsid w:val="00A0215F"/>
    <w:rsid w:val="00A0222E"/>
    <w:rsid w:val="00A05973"/>
    <w:rsid w:val="00A06BCB"/>
    <w:rsid w:val="00A1050C"/>
    <w:rsid w:val="00A11B0C"/>
    <w:rsid w:val="00A132AD"/>
    <w:rsid w:val="00A13B95"/>
    <w:rsid w:val="00A1453A"/>
    <w:rsid w:val="00A20BA8"/>
    <w:rsid w:val="00A242DB"/>
    <w:rsid w:val="00A25459"/>
    <w:rsid w:val="00A271D1"/>
    <w:rsid w:val="00A31E8A"/>
    <w:rsid w:val="00A33B35"/>
    <w:rsid w:val="00A33E90"/>
    <w:rsid w:val="00A36419"/>
    <w:rsid w:val="00A44921"/>
    <w:rsid w:val="00A44AD9"/>
    <w:rsid w:val="00A476AD"/>
    <w:rsid w:val="00A578C2"/>
    <w:rsid w:val="00A62C98"/>
    <w:rsid w:val="00A631F4"/>
    <w:rsid w:val="00A70B3C"/>
    <w:rsid w:val="00A72652"/>
    <w:rsid w:val="00A75D1C"/>
    <w:rsid w:val="00A770C8"/>
    <w:rsid w:val="00A809AA"/>
    <w:rsid w:val="00A84917"/>
    <w:rsid w:val="00A849B3"/>
    <w:rsid w:val="00A8510D"/>
    <w:rsid w:val="00A86AF3"/>
    <w:rsid w:val="00A90AFF"/>
    <w:rsid w:val="00A90BDC"/>
    <w:rsid w:val="00A912E6"/>
    <w:rsid w:val="00A95477"/>
    <w:rsid w:val="00A95D25"/>
    <w:rsid w:val="00A975A9"/>
    <w:rsid w:val="00AA3192"/>
    <w:rsid w:val="00AA56D9"/>
    <w:rsid w:val="00AA72F1"/>
    <w:rsid w:val="00AB0486"/>
    <w:rsid w:val="00AB251E"/>
    <w:rsid w:val="00AB3608"/>
    <w:rsid w:val="00AC1272"/>
    <w:rsid w:val="00AC5C48"/>
    <w:rsid w:val="00AC63E3"/>
    <w:rsid w:val="00AC7ECF"/>
    <w:rsid w:val="00AD3F08"/>
    <w:rsid w:val="00AD62B3"/>
    <w:rsid w:val="00AD6CEC"/>
    <w:rsid w:val="00AD7972"/>
    <w:rsid w:val="00AE4CE4"/>
    <w:rsid w:val="00AE6ACE"/>
    <w:rsid w:val="00AF0CF4"/>
    <w:rsid w:val="00AF2252"/>
    <w:rsid w:val="00B0098C"/>
    <w:rsid w:val="00B00B12"/>
    <w:rsid w:val="00B0110D"/>
    <w:rsid w:val="00B111D3"/>
    <w:rsid w:val="00B1129F"/>
    <w:rsid w:val="00B11683"/>
    <w:rsid w:val="00B11D61"/>
    <w:rsid w:val="00B11F7B"/>
    <w:rsid w:val="00B12F51"/>
    <w:rsid w:val="00B1478D"/>
    <w:rsid w:val="00B20EA8"/>
    <w:rsid w:val="00B23299"/>
    <w:rsid w:val="00B27231"/>
    <w:rsid w:val="00B2751E"/>
    <w:rsid w:val="00B27BC6"/>
    <w:rsid w:val="00B3650C"/>
    <w:rsid w:val="00B40C5B"/>
    <w:rsid w:val="00B42812"/>
    <w:rsid w:val="00B43AFE"/>
    <w:rsid w:val="00B44072"/>
    <w:rsid w:val="00B45BF8"/>
    <w:rsid w:val="00B47055"/>
    <w:rsid w:val="00B510DB"/>
    <w:rsid w:val="00B5544D"/>
    <w:rsid w:val="00B61E1B"/>
    <w:rsid w:val="00B63CF3"/>
    <w:rsid w:val="00B64BFA"/>
    <w:rsid w:val="00B71E63"/>
    <w:rsid w:val="00B726CB"/>
    <w:rsid w:val="00B73672"/>
    <w:rsid w:val="00B83212"/>
    <w:rsid w:val="00B85DE4"/>
    <w:rsid w:val="00B8783F"/>
    <w:rsid w:val="00B87AAD"/>
    <w:rsid w:val="00B91A31"/>
    <w:rsid w:val="00B9250E"/>
    <w:rsid w:val="00B9300C"/>
    <w:rsid w:val="00BA1AC5"/>
    <w:rsid w:val="00BA3560"/>
    <w:rsid w:val="00BA50D9"/>
    <w:rsid w:val="00BA6325"/>
    <w:rsid w:val="00BA6C28"/>
    <w:rsid w:val="00BA6DB4"/>
    <w:rsid w:val="00BA7744"/>
    <w:rsid w:val="00BA79DB"/>
    <w:rsid w:val="00BB0813"/>
    <w:rsid w:val="00BB090C"/>
    <w:rsid w:val="00BC3F3C"/>
    <w:rsid w:val="00BC5BB2"/>
    <w:rsid w:val="00BD4599"/>
    <w:rsid w:val="00BD56AF"/>
    <w:rsid w:val="00BE5A15"/>
    <w:rsid w:val="00BE738E"/>
    <w:rsid w:val="00BF11A1"/>
    <w:rsid w:val="00BF2410"/>
    <w:rsid w:val="00BF3F54"/>
    <w:rsid w:val="00BF43CF"/>
    <w:rsid w:val="00BF535C"/>
    <w:rsid w:val="00C00697"/>
    <w:rsid w:val="00C0376C"/>
    <w:rsid w:val="00C047D2"/>
    <w:rsid w:val="00C06D77"/>
    <w:rsid w:val="00C12249"/>
    <w:rsid w:val="00C14BA6"/>
    <w:rsid w:val="00C14C81"/>
    <w:rsid w:val="00C222C9"/>
    <w:rsid w:val="00C331BA"/>
    <w:rsid w:val="00C3485C"/>
    <w:rsid w:val="00C3776F"/>
    <w:rsid w:val="00C4416B"/>
    <w:rsid w:val="00C44789"/>
    <w:rsid w:val="00C544A4"/>
    <w:rsid w:val="00C6184E"/>
    <w:rsid w:val="00C67951"/>
    <w:rsid w:val="00C73E89"/>
    <w:rsid w:val="00C768E5"/>
    <w:rsid w:val="00C77115"/>
    <w:rsid w:val="00C77140"/>
    <w:rsid w:val="00C840A8"/>
    <w:rsid w:val="00C96ED9"/>
    <w:rsid w:val="00CA16AE"/>
    <w:rsid w:val="00CA2004"/>
    <w:rsid w:val="00CA5840"/>
    <w:rsid w:val="00CA5B99"/>
    <w:rsid w:val="00CA71C9"/>
    <w:rsid w:val="00CB0869"/>
    <w:rsid w:val="00CB0933"/>
    <w:rsid w:val="00CB334D"/>
    <w:rsid w:val="00CB56D5"/>
    <w:rsid w:val="00CC4237"/>
    <w:rsid w:val="00CC4DAB"/>
    <w:rsid w:val="00CC7188"/>
    <w:rsid w:val="00CC76CD"/>
    <w:rsid w:val="00CD14BD"/>
    <w:rsid w:val="00CD1EA8"/>
    <w:rsid w:val="00CE71C1"/>
    <w:rsid w:val="00CF5ABD"/>
    <w:rsid w:val="00CF6092"/>
    <w:rsid w:val="00CF63CE"/>
    <w:rsid w:val="00D04C5A"/>
    <w:rsid w:val="00D05E58"/>
    <w:rsid w:val="00D065B1"/>
    <w:rsid w:val="00D067C1"/>
    <w:rsid w:val="00D06816"/>
    <w:rsid w:val="00D1343B"/>
    <w:rsid w:val="00D13B13"/>
    <w:rsid w:val="00D16E78"/>
    <w:rsid w:val="00D201D3"/>
    <w:rsid w:val="00D21203"/>
    <w:rsid w:val="00D267D5"/>
    <w:rsid w:val="00D26A64"/>
    <w:rsid w:val="00D31720"/>
    <w:rsid w:val="00D42A92"/>
    <w:rsid w:val="00D45E85"/>
    <w:rsid w:val="00D4740C"/>
    <w:rsid w:val="00D479DB"/>
    <w:rsid w:val="00D52B9A"/>
    <w:rsid w:val="00D5367E"/>
    <w:rsid w:val="00D53B1E"/>
    <w:rsid w:val="00D55685"/>
    <w:rsid w:val="00D568B0"/>
    <w:rsid w:val="00D6105F"/>
    <w:rsid w:val="00D61AD2"/>
    <w:rsid w:val="00D61EA5"/>
    <w:rsid w:val="00D646F0"/>
    <w:rsid w:val="00D71C1C"/>
    <w:rsid w:val="00D75750"/>
    <w:rsid w:val="00D764DD"/>
    <w:rsid w:val="00D84EF0"/>
    <w:rsid w:val="00D861ED"/>
    <w:rsid w:val="00D873E0"/>
    <w:rsid w:val="00D93E5F"/>
    <w:rsid w:val="00D941E3"/>
    <w:rsid w:val="00D94628"/>
    <w:rsid w:val="00D94F8B"/>
    <w:rsid w:val="00D95FBF"/>
    <w:rsid w:val="00DA1D17"/>
    <w:rsid w:val="00DA5988"/>
    <w:rsid w:val="00DA66D7"/>
    <w:rsid w:val="00DA6E14"/>
    <w:rsid w:val="00DA762F"/>
    <w:rsid w:val="00DB24FD"/>
    <w:rsid w:val="00DB4F75"/>
    <w:rsid w:val="00DB7F78"/>
    <w:rsid w:val="00DC0184"/>
    <w:rsid w:val="00DC2AD2"/>
    <w:rsid w:val="00DC317C"/>
    <w:rsid w:val="00DC36E4"/>
    <w:rsid w:val="00DC4FF2"/>
    <w:rsid w:val="00DC79CC"/>
    <w:rsid w:val="00DD5E65"/>
    <w:rsid w:val="00DD6C33"/>
    <w:rsid w:val="00DD7BF0"/>
    <w:rsid w:val="00E07B85"/>
    <w:rsid w:val="00E1007A"/>
    <w:rsid w:val="00E10D39"/>
    <w:rsid w:val="00E134F4"/>
    <w:rsid w:val="00E147D9"/>
    <w:rsid w:val="00E14CD7"/>
    <w:rsid w:val="00E162E0"/>
    <w:rsid w:val="00E20294"/>
    <w:rsid w:val="00E20D75"/>
    <w:rsid w:val="00E220B2"/>
    <w:rsid w:val="00E23568"/>
    <w:rsid w:val="00E245B5"/>
    <w:rsid w:val="00E33E1B"/>
    <w:rsid w:val="00E344D1"/>
    <w:rsid w:val="00E34D3E"/>
    <w:rsid w:val="00E35AB7"/>
    <w:rsid w:val="00E41812"/>
    <w:rsid w:val="00E44BD2"/>
    <w:rsid w:val="00E45E94"/>
    <w:rsid w:val="00E46BAF"/>
    <w:rsid w:val="00E51457"/>
    <w:rsid w:val="00E5146F"/>
    <w:rsid w:val="00E5274A"/>
    <w:rsid w:val="00E6100F"/>
    <w:rsid w:val="00E62BD2"/>
    <w:rsid w:val="00E6459E"/>
    <w:rsid w:val="00E647FB"/>
    <w:rsid w:val="00E64A52"/>
    <w:rsid w:val="00E64CA6"/>
    <w:rsid w:val="00E668CA"/>
    <w:rsid w:val="00E720E9"/>
    <w:rsid w:val="00E7310C"/>
    <w:rsid w:val="00E7451C"/>
    <w:rsid w:val="00E7655F"/>
    <w:rsid w:val="00E81C5E"/>
    <w:rsid w:val="00E83B3C"/>
    <w:rsid w:val="00E8736B"/>
    <w:rsid w:val="00E90275"/>
    <w:rsid w:val="00E91AF4"/>
    <w:rsid w:val="00E925D4"/>
    <w:rsid w:val="00E9465D"/>
    <w:rsid w:val="00E96F13"/>
    <w:rsid w:val="00E97226"/>
    <w:rsid w:val="00EA2B44"/>
    <w:rsid w:val="00EA33EF"/>
    <w:rsid w:val="00EA3A4A"/>
    <w:rsid w:val="00EA4E7A"/>
    <w:rsid w:val="00EB359E"/>
    <w:rsid w:val="00EC4FFD"/>
    <w:rsid w:val="00EC58F5"/>
    <w:rsid w:val="00EC5EC4"/>
    <w:rsid w:val="00EC5EFC"/>
    <w:rsid w:val="00ED089C"/>
    <w:rsid w:val="00ED57D1"/>
    <w:rsid w:val="00ED6DF6"/>
    <w:rsid w:val="00EE40C6"/>
    <w:rsid w:val="00EE54FA"/>
    <w:rsid w:val="00EE7BFB"/>
    <w:rsid w:val="00EF33CD"/>
    <w:rsid w:val="00EF68EA"/>
    <w:rsid w:val="00F0000D"/>
    <w:rsid w:val="00F0089E"/>
    <w:rsid w:val="00F02A57"/>
    <w:rsid w:val="00F03E95"/>
    <w:rsid w:val="00F12924"/>
    <w:rsid w:val="00F168EA"/>
    <w:rsid w:val="00F20C9B"/>
    <w:rsid w:val="00F22319"/>
    <w:rsid w:val="00F22AE8"/>
    <w:rsid w:val="00F23117"/>
    <w:rsid w:val="00F25FFB"/>
    <w:rsid w:val="00F274CF"/>
    <w:rsid w:val="00F300CB"/>
    <w:rsid w:val="00F31310"/>
    <w:rsid w:val="00F35FD0"/>
    <w:rsid w:val="00F37424"/>
    <w:rsid w:val="00F3798E"/>
    <w:rsid w:val="00F37D40"/>
    <w:rsid w:val="00F42C3A"/>
    <w:rsid w:val="00F43EDE"/>
    <w:rsid w:val="00F45451"/>
    <w:rsid w:val="00F52BCC"/>
    <w:rsid w:val="00F52CD4"/>
    <w:rsid w:val="00F5313F"/>
    <w:rsid w:val="00F608F8"/>
    <w:rsid w:val="00F650A3"/>
    <w:rsid w:val="00F7524B"/>
    <w:rsid w:val="00F81135"/>
    <w:rsid w:val="00F81A48"/>
    <w:rsid w:val="00F81E3C"/>
    <w:rsid w:val="00FB62BC"/>
    <w:rsid w:val="00FC5408"/>
    <w:rsid w:val="00FD17C9"/>
    <w:rsid w:val="00FD2A40"/>
    <w:rsid w:val="00FD2A5B"/>
    <w:rsid w:val="00FD731A"/>
    <w:rsid w:val="00FE02CC"/>
    <w:rsid w:val="00FE6A5C"/>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EndnoteText">
    <w:name w:val="endnote text"/>
    <w:basedOn w:val="Normal"/>
    <w:link w:val="EndnoteTextChar"/>
    <w:uiPriority w:val="99"/>
    <w:semiHidden/>
    <w:unhideWhenUsed/>
    <w:rsid w:val="00245A7B"/>
    <w:pPr>
      <w:tabs>
        <w:tab w:val="clear" w:pos="9360"/>
      </w:tabs>
      <w:spacing w:line="240" w:lineRule="auto"/>
      <w:ind w:left="0"/>
    </w:pPr>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semiHidden/>
    <w:rsid w:val="00245A7B"/>
    <w:rPr>
      <w:rFonts w:eastAsiaTheme="minorHAnsi"/>
      <w:sz w:val="20"/>
      <w:szCs w:val="20"/>
    </w:rPr>
  </w:style>
  <w:style w:type="character" w:styleId="EndnoteReference">
    <w:name w:val="endnote reference"/>
    <w:basedOn w:val="DefaultParagraphFont"/>
    <w:uiPriority w:val="99"/>
    <w:semiHidden/>
    <w:unhideWhenUsed/>
    <w:rsid w:val="00245A7B"/>
    <w:rPr>
      <w:vertAlign w:val="superscript"/>
    </w:rPr>
  </w:style>
  <w:style w:type="character" w:styleId="FootnoteReference">
    <w:name w:val="footnote reference"/>
    <w:basedOn w:val="DefaultParagraphFont"/>
    <w:uiPriority w:val="99"/>
    <w:semiHidden/>
    <w:unhideWhenUsed/>
    <w:rsid w:val="006020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EndnoteText">
    <w:name w:val="endnote text"/>
    <w:basedOn w:val="Normal"/>
    <w:link w:val="EndnoteTextChar"/>
    <w:uiPriority w:val="99"/>
    <w:semiHidden/>
    <w:unhideWhenUsed/>
    <w:rsid w:val="00245A7B"/>
    <w:pPr>
      <w:tabs>
        <w:tab w:val="clear" w:pos="9360"/>
      </w:tabs>
      <w:spacing w:line="240" w:lineRule="auto"/>
      <w:ind w:left="0"/>
    </w:pPr>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semiHidden/>
    <w:rsid w:val="00245A7B"/>
    <w:rPr>
      <w:rFonts w:eastAsiaTheme="minorHAnsi"/>
      <w:sz w:val="20"/>
      <w:szCs w:val="20"/>
    </w:rPr>
  </w:style>
  <w:style w:type="character" w:styleId="EndnoteReference">
    <w:name w:val="endnote reference"/>
    <w:basedOn w:val="DefaultParagraphFont"/>
    <w:uiPriority w:val="99"/>
    <w:semiHidden/>
    <w:unhideWhenUsed/>
    <w:rsid w:val="00245A7B"/>
    <w:rPr>
      <w:vertAlign w:val="superscript"/>
    </w:rPr>
  </w:style>
  <w:style w:type="character" w:styleId="FootnoteReference">
    <w:name w:val="footnote reference"/>
    <w:basedOn w:val="DefaultParagraphFont"/>
    <w:uiPriority w:val="99"/>
    <w:semiHidden/>
    <w:unhideWhenUsed/>
    <w:rsid w:val="00602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lern.l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health.ri.gov/publications/generalassemblyreports/2008StateLegislatedStrokeTaskForce.pdf" TargetMode="External"/><Relationship Id="rId2" Type="http://schemas.openxmlformats.org/officeDocument/2006/relationships/customXml" Target="../customXml/item2.xml"/><Relationship Id="rId16" Type="http://schemas.openxmlformats.org/officeDocument/2006/relationships/hyperlink" Target="http://www.cdc.gov/nphpsp/essentialservices.html.%20Accessed%20on%208/14/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uj2@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 xsi:nil="true"/>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https://esp.cdc.gov/sites/ostlts/pip/osc/_layouts/15/DocIdRedir.aspx?ID=OSTLTSDOC-726-246</Url>
      <Description>OSTLTSDOC-726-246</Description>
    </_dlc_DocIdUrl>
    <_dlc_DocId xmlns="b5c0ca00-073d-4463-9985-b654f14791fe">OSTLTSDOC-726-246</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0A3A1-3294-46B1-B3E4-BB1BF643FB1D}">
  <ds:schemaRefs>
    <ds:schemaRef ds:uri="http://schemas.microsoft.com/office/2006/metadata/customXsn"/>
  </ds:schemaRefs>
</ds:datastoreItem>
</file>

<file path=customXml/itemProps2.xml><?xml version="1.0" encoding="utf-8"?>
<ds:datastoreItem xmlns:ds="http://schemas.openxmlformats.org/officeDocument/2006/customXml" ds:itemID="{97CD2FE9-5ABF-4BCA-9D16-26923059D5F1}">
  <ds:schemaRefs>
    <ds:schemaRef ds:uri="http://schemas.microsoft.com/sharepoint/events"/>
  </ds:schemaRefs>
</ds:datastoreItem>
</file>

<file path=customXml/itemProps3.xml><?xml version="1.0" encoding="utf-8"?>
<ds:datastoreItem xmlns:ds="http://schemas.openxmlformats.org/officeDocument/2006/customXml" ds:itemID="{FE97B571-3FB6-4B5F-A6F2-5739F37B7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55FFE-3D13-43DE-85F0-C566F6683EC4}">
  <ds:schemaRefs>
    <ds:schemaRef ds:uri="http://purl.org/dc/terms/"/>
    <ds:schemaRef ds:uri="15b1c282-9287-45cb-9b41-eae3a76919a0"/>
    <ds:schemaRef ds:uri="http://schemas.microsoft.com/office/2006/documentManagement/types"/>
    <ds:schemaRef ds:uri="ce849d94-b00b-4457-8fdf-7e9e81e05b5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d99c180-279b-44c3-9486-dd050336677e"/>
    <ds:schemaRef ds:uri="b5c0ca00-073d-4463-9985-b654f14791fe"/>
    <ds:schemaRef ds:uri="http://www.w3.org/XML/1998/namespace"/>
    <ds:schemaRef ds:uri="http://purl.org/dc/dcmitype/"/>
  </ds:schemaRefs>
</ds:datastoreItem>
</file>

<file path=customXml/itemProps5.xml><?xml version="1.0" encoding="utf-8"?>
<ds:datastoreItem xmlns:ds="http://schemas.openxmlformats.org/officeDocument/2006/customXml" ds:itemID="{488FB993-9022-457B-A979-CD8AF3EC980D}">
  <ds:schemaRefs>
    <ds:schemaRef ds:uri="http://schemas.microsoft.com/sharepoint/v3/contenttype/forms"/>
  </ds:schemaRefs>
</ds:datastoreItem>
</file>

<file path=customXml/itemProps6.xml><?xml version="1.0" encoding="utf-8"?>
<ds:datastoreItem xmlns:ds="http://schemas.openxmlformats.org/officeDocument/2006/customXml" ds:itemID="{097BB7DE-A06C-48E8-B9BD-1E3D3FAE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2019-07-05T12:07:00Z</dcterms:created>
  <dcterms:modified xsi:type="dcterms:W3CDTF">2019-07-05T12:07:00Z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6846c16c-30da-4a14-b847-05ebf9f8938e</vt:lpwstr>
  </property>
</Properties>
</file>