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285F" w14:textId="77777777" w:rsidR="008A181F" w:rsidRDefault="008A181F" w:rsidP="00F2628F">
      <w:pPr>
        <w:jc w:val="center"/>
        <w:rPr>
          <w:b/>
          <w:color w:val="0070C0"/>
          <w:sz w:val="40"/>
        </w:rPr>
      </w:pPr>
      <w:bookmarkStart w:id="0" w:name="_GoBack"/>
      <w:bookmarkEnd w:id="0"/>
    </w:p>
    <w:p w14:paraId="523E9710" w14:textId="77777777" w:rsidR="008A181F" w:rsidRDefault="008A181F" w:rsidP="00F2628F">
      <w:pPr>
        <w:jc w:val="center"/>
        <w:rPr>
          <w:b/>
          <w:color w:val="0070C0"/>
          <w:sz w:val="40"/>
        </w:rPr>
      </w:pPr>
    </w:p>
    <w:p w14:paraId="1CB3CDF4" w14:textId="77777777" w:rsidR="008A181F" w:rsidRDefault="008A181F" w:rsidP="00F2628F">
      <w:pPr>
        <w:jc w:val="center"/>
        <w:rPr>
          <w:b/>
          <w:color w:val="0070C0"/>
          <w:sz w:val="40"/>
        </w:rPr>
      </w:pPr>
    </w:p>
    <w:p w14:paraId="16A12E9E" w14:textId="77777777" w:rsidR="008A181F" w:rsidRDefault="008A181F" w:rsidP="00F2628F">
      <w:pPr>
        <w:jc w:val="center"/>
        <w:rPr>
          <w:b/>
          <w:color w:val="0070C0"/>
          <w:sz w:val="40"/>
        </w:rPr>
      </w:pPr>
    </w:p>
    <w:p w14:paraId="64767B4E" w14:textId="77777777" w:rsidR="008A181F" w:rsidRDefault="008A181F" w:rsidP="00F2628F">
      <w:pPr>
        <w:jc w:val="center"/>
        <w:rPr>
          <w:b/>
          <w:color w:val="0070C0"/>
          <w:sz w:val="40"/>
        </w:rPr>
      </w:pPr>
    </w:p>
    <w:p w14:paraId="744E7A55" w14:textId="77777777" w:rsidR="008A181F" w:rsidRDefault="008A181F" w:rsidP="00F2628F">
      <w:pPr>
        <w:jc w:val="center"/>
        <w:rPr>
          <w:b/>
          <w:color w:val="0070C0"/>
          <w:sz w:val="40"/>
        </w:rPr>
      </w:pPr>
    </w:p>
    <w:p w14:paraId="2B9EEFD2" w14:textId="77777777" w:rsidR="002A4543" w:rsidRPr="00A507CC" w:rsidRDefault="002A4543" w:rsidP="002A4543">
      <w:pPr>
        <w:tabs>
          <w:tab w:val="right" w:pos="9360"/>
        </w:tabs>
        <w:ind w:left="0"/>
        <w:jc w:val="center"/>
      </w:pPr>
      <w:r w:rsidRPr="00A507CC">
        <w:rPr>
          <w:b/>
          <w:sz w:val="40"/>
        </w:rPr>
        <w:t xml:space="preserve">Pre-Hospital Stroke Systems of Care:  Emergency Medical Service System (EMSS) Implementation Assessment </w:t>
      </w:r>
    </w:p>
    <w:p w14:paraId="5A0823BA" w14:textId="77777777" w:rsidR="00716F94" w:rsidRPr="00AA3192" w:rsidRDefault="00484011" w:rsidP="00BC6896">
      <w:pPr>
        <w:ind w:left="0"/>
        <w:jc w:val="center"/>
      </w:pPr>
      <w:r w:rsidRPr="00AA3192">
        <w:t xml:space="preserve">OSTLTS Generic </w:t>
      </w:r>
      <w:r w:rsidR="00487E55">
        <w:t>Data collection</w:t>
      </w:r>
      <w:r w:rsidRPr="00AA3192">
        <w:t xml:space="preserve"> Request</w:t>
      </w:r>
    </w:p>
    <w:p w14:paraId="054F82FF" w14:textId="77777777" w:rsidR="00484011" w:rsidRPr="00AA3192" w:rsidRDefault="00484011" w:rsidP="00BC6896">
      <w:pPr>
        <w:pStyle w:val="Header"/>
        <w:ind w:left="0"/>
        <w:jc w:val="center"/>
      </w:pPr>
      <w:r w:rsidRPr="00AA3192">
        <w:t>OMB No. 0920-0879</w:t>
      </w:r>
    </w:p>
    <w:p w14:paraId="56611DBE" w14:textId="77777777" w:rsidR="009B4A51" w:rsidRDefault="009B4A51" w:rsidP="00BC6896"/>
    <w:p w14:paraId="66BEE933" w14:textId="77777777" w:rsidR="00AA3192" w:rsidRDefault="00AA3192" w:rsidP="00BC6896"/>
    <w:p w14:paraId="450527F0" w14:textId="77777777" w:rsidR="009B4A51" w:rsidRPr="00BC6896" w:rsidRDefault="009B4A51" w:rsidP="00BC6896">
      <w:pPr>
        <w:pStyle w:val="Heading2"/>
      </w:pPr>
      <w:r w:rsidRPr="00BC6896">
        <w:t xml:space="preserve">Supporting Statement – Section </w:t>
      </w:r>
      <w:r w:rsidR="00601392" w:rsidRPr="00BC6896">
        <w:t>B</w:t>
      </w:r>
    </w:p>
    <w:p w14:paraId="71D9F6EE" w14:textId="77777777" w:rsidR="009B4A51" w:rsidRDefault="009B4A51" w:rsidP="00BC6896"/>
    <w:p w14:paraId="51E2F302" w14:textId="7905A5F5" w:rsidR="009B4A51" w:rsidRDefault="009B4A51" w:rsidP="00BC6896">
      <w:pPr>
        <w:ind w:left="0"/>
        <w:jc w:val="center"/>
      </w:pPr>
      <w:r w:rsidRPr="00AA3192">
        <w:t xml:space="preserve">Submitted: </w:t>
      </w:r>
      <w:r w:rsidR="008E45A7">
        <w:t>July 2, 2019</w:t>
      </w:r>
    </w:p>
    <w:p w14:paraId="26E309A2" w14:textId="77777777" w:rsidR="002A4543" w:rsidRPr="00BC6896" w:rsidRDefault="002A4543" w:rsidP="00BC6896">
      <w:pPr>
        <w:ind w:left="0"/>
        <w:jc w:val="center"/>
      </w:pPr>
    </w:p>
    <w:p w14:paraId="0A9178F5" w14:textId="1FEB2F79" w:rsidR="009B4A51" w:rsidRDefault="009B4A51" w:rsidP="00BC6896"/>
    <w:p w14:paraId="1C8906A2" w14:textId="1C5F07CD" w:rsidR="008A181F" w:rsidRDefault="008A181F" w:rsidP="00BC6896"/>
    <w:p w14:paraId="04BB1200" w14:textId="4A782844" w:rsidR="008A181F" w:rsidRDefault="008A181F" w:rsidP="00BC6896"/>
    <w:p w14:paraId="6F983987" w14:textId="58CD0FA4" w:rsidR="008A181F" w:rsidRDefault="008A181F" w:rsidP="00483287">
      <w:pPr>
        <w:ind w:left="0"/>
      </w:pPr>
    </w:p>
    <w:p w14:paraId="09DA11B2" w14:textId="77777777" w:rsidR="009B4A51" w:rsidRDefault="009B4A51" w:rsidP="00BC6896"/>
    <w:p w14:paraId="0DE5801B" w14:textId="77777777" w:rsidR="00A81BF7" w:rsidRPr="00BC6896" w:rsidRDefault="00A81BF7" w:rsidP="00A81BF7">
      <w:pPr>
        <w:ind w:left="0"/>
        <w:rPr>
          <w:b/>
          <w:u w:val="single"/>
        </w:rPr>
      </w:pPr>
      <w:r w:rsidRPr="00BC6896">
        <w:rPr>
          <w:b/>
          <w:u w:val="single"/>
        </w:rPr>
        <w:t>Program Official/Project Officer</w:t>
      </w:r>
    </w:p>
    <w:p w14:paraId="38704641" w14:textId="77777777" w:rsidR="00151A6A" w:rsidRPr="007E20AA" w:rsidRDefault="00151A6A" w:rsidP="00151A6A">
      <w:pPr>
        <w:ind w:left="0"/>
        <w:rPr>
          <w:color w:val="000000" w:themeColor="text1"/>
        </w:rPr>
      </w:pPr>
      <w:r w:rsidRPr="007E20AA">
        <w:rPr>
          <w:color w:val="000000" w:themeColor="text1"/>
        </w:rPr>
        <w:t>Name: Erika Fulmer</w:t>
      </w:r>
      <w:r w:rsidRPr="007E20AA">
        <w:rPr>
          <w:color w:val="000000" w:themeColor="text1"/>
        </w:rPr>
        <w:tab/>
      </w:r>
    </w:p>
    <w:p w14:paraId="4643F92A" w14:textId="77777777" w:rsidR="00151A6A" w:rsidRPr="007E20AA" w:rsidRDefault="00151A6A" w:rsidP="00151A6A">
      <w:pPr>
        <w:ind w:left="0"/>
        <w:rPr>
          <w:color w:val="000000" w:themeColor="text1"/>
        </w:rPr>
      </w:pPr>
      <w:r w:rsidRPr="007E20AA">
        <w:rPr>
          <w:color w:val="000000" w:themeColor="text1"/>
        </w:rPr>
        <w:t>Title: Policy Analyst</w:t>
      </w:r>
    </w:p>
    <w:p w14:paraId="38BA9A06" w14:textId="77777777" w:rsidR="00151A6A" w:rsidRPr="007E20AA" w:rsidRDefault="00151A6A" w:rsidP="00151A6A">
      <w:pPr>
        <w:ind w:left="0"/>
        <w:rPr>
          <w:color w:val="000000" w:themeColor="text1"/>
        </w:rPr>
      </w:pPr>
      <w:r w:rsidRPr="007E20AA">
        <w:rPr>
          <w:color w:val="000000" w:themeColor="text1"/>
        </w:rPr>
        <w:t>Organization: Division for Heart Disease and Stroke Prevention, Centers for Disease Control and Prevention</w:t>
      </w:r>
    </w:p>
    <w:p w14:paraId="69B3A2E2" w14:textId="77777777" w:rsidR="00151A6A" w:rsidRPr="007E20AA" w:rsidRDefault="00151A6A" w:rsidP="00151A6A">
      <w:pPr>
        <w:ind w:left="0"/>
        <w:rPr>
          <w:color w:val="000000" w:themeColor="text1"/>
        </w:rPr>
      </w:pPr>
      <w:r w:rsidRPr="007E20AA">
        <w:rPr>
          <w:color w:val="000000" w:themeColor="text1"/>
        </w:rPr>
        <w:t xml:space="preserve">Address: 4770 Buford Highway, NE; Mailstop F-75; Atlanta, GA 30341 </w:t>
      </w:r>
    </w:p>
    <w:p w14:paraId="2B7C959D" w14:textId="77777777" w:rsidR="00151A6A" w:rsidRPr="007E20AA" w:rsidRDefault="00151A6A" w:rsidP="00151A6A">
      <w:pPr>
        <w:ind w:left="0"/>
        <w:rPr>
          <w:color w:val="000000" w:themeColor="text1"/>
        </w:rPr>
      </w:pPr>
      <w:r w:rsidRPr="007E20AA">
        <w:rPr>
          <w:color w:val="000000" w:themeColor="text1"/>
        </w:rPr>
        <w:t xml:space="preserve">Phone: 770-488-5334 </w:t>
      </w:r>
    </w:p>
    <w:p w14:paraId="658475E2" w14:textId="77777777" w:rsidR="00151A6A" w:rsidRPr="007E20AA" w:rsidRDefault="00151A6A" w:rsidP="00151A6A">
      <w:pPr>
        <w:ind w:left="0"/>
        <w:rPr>
          <w:color w:val="000000" w:themeColor="text1"/>
        </w:rPr>
      </w:pPr>
      <w:r w:rsidRPr="007E20AA">
        <w:rPr>
          <w:color w:val="000000" w:themeColor="text1"/>
        </w:rPr>
        <w:t xml:space="preserve">Fax: 770-488-5848 </w:t>
      </w:r>
    </w:p>
    <w:p w14:paraId="25AB54BE" w14:textId="77777777" w:rsidR="00691031" w:rsidRDefault="00151A6A" w:rsidP="00151A6A">
      <w:pPr>
        <w:ind w:left="0"/>
        <w:rPr>
          <w:color w:val="0070C0"/>
        </w:rPr>
      </w:pPr>
      <w:r w:rsidRPr="007E20AA">
        <w:rPr>
          <w:color w:val="000000" w:themeColor="text1"/>
        </w:rPr>
        <w:t xml:space="preserve">Email: </w:t>
      </w:r>
      <w:hyperlink r:id="rId14" w:history="1">
        <w:r w:rsidR="007E20AA" w:rsidRPr="00FE0DE1">
          <w:rPr>
            <w:rStyle w:val="Hyperlink"/>
          </w:rPr>
          <w:t>Duj2@cdc.gov</w:t>
        </w:r>
      </w:hyperlink>
      <w:r w:rsidR="007E20AA">
        <w:rPr>
          <w:color w:val="0070C0"/>
        </w:rPr>
        <w:t xml:space="preserve"> </w:t>
      </w:r>
    </w:p>
    <w:p w14:paraId="4BB19E68" w14:textId="42E06405" w:rsidR="00EC45F0" w:rsidRPr="0042604A" w:rsidRDefault="00EC45F0" w:rsidP="00BC6896">
      <w:pPr>
        <w:ind w:left="0"/>
        <w:rPr>
          <w:color w:val="0070C0"/>
        </w:rPr>
      </w:pPr>
    </w:p>
    <w:p w14:paraId="0D837EC3" w14:textId="77777777" w:rsidR="00B31007" w:rsidRDefault="00B31007">
      <w:pPr>
        <w:spacing w:after="200"/>
        <w:ind w:left="0"/>
        <w:rPr>
          <w:b/>
          <w:sz w:val="28"/>
        </w:rPr>
      </w:pPr>
      <w:bookmarkStart w:id="1" w:name="_Toc413847909"/>
      <w:r>
        <w:br w:type="page"/>
      </w:r>
    </w:p>
    <w:p w14:paraId="7816E115" w14:textId="5AA52B85" w:rsidR="00245F1F" w:rsidRPr="000A538D" w:rsidRDefault="00245F1F" w:rsidP="00BC6896">
      <w:pPr>
        <w:pStyle w:val="Heading3"/>
      </w:pPr>
      <w:r>
        <w:lastRenderedPageBreak/>
        <w:t>Table of Contents</w:t>
      </w:r>
      <w:bookmarkEnd w:id="1"/>
    </w:p>
    <w:p w14:paraId="20C5D2A6" w14:textId="77777777" w:rsidR="00245F1F" w:rsidRPr="000A538D" w:rsidRDefault="00245F1F" w:rsidP="006F23AF">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14:paraId="602EF30F" w14:textId="2FD439CF" w:rsidR="00245F1F" w:rsidRPr="000A538D" w:rsidRDefault="001C3344">
      <w:pPr>
        <w:pStyle w:val="TOC1"/>
        <w:tabs>
          <w:tab w:val="right" w:leader="dot" w:pos="9350"/>
        </w:tabs>
        <w:rPr>
          <w:rFonts w:asciiTheme="minorHAnsi" w:hAnsiTheme="minorHAnsi"/>
          <w:noProof/>
        </w:rPr>
      </w:pPr>
      <w:hyperlink w:anchor="_Toc413847910" w:history="1">
        <w:r w:rsidR="00245F1F" w:rsidRPr="000A538D">
          <w:rPr>
            <w:rStyle w:val="Hyperlink"/>
            <w:noProof/>
            <w:color w:val="auto"/>
          </w:rPr>
          <w:t xml:space="preserve">Section B – </w:t>
        </w:r>
        <w:r w:rsidR="00487E55" w:rsidRPr="000A538D">
          <w:rPr>
            <w:rStyle w:val="Hyperlink"/>
            <w:noProof/>
            <w:color w:val="auto"/>
          </w:rPr>
          <w:t>Data collection</w:t>
        </w:r>
        <w:r w:rsidR="00245F1F" w:rsidRPr="000A538D">
          <w:rPr>
            <w:rStyle w:val="Hyperlink"/>
            <w:noProof/>
            <w:color w:val="auto"/>
          </w:rPr>
          <w:t xml:space="preserve"> Procedures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_Toc413847910 \h </w:instrText>
        </w:r>
        <w:r w:rsidR="00245F1F" w:rsidRPr="000A538D">
          <w:rPr>
            <w:noProof/>
            <w:webHidden/>
          </w:rPr>
        </w:r>
        <w:r w:rsidR="00245F1F" w:rsidRPr="000A538D">
          <w:rPr>
            <w:noProof/>
            <w:webHidden/>
          </w:rPr>
          <w:fldChar w:fldCharType="separate"/>
        </w:r>
        <w:r w:rsidR="00824589">
          <w:rPr>
            <w:noProof/>
            <w:webHidden/>
          </w:rPr>
          <w:t>3</w:t>
        </w:r>
        <w:r w:rsidR="00245F1F" w:rsidRPr="000A538D">
          <w:rPr>
            <w:noProof/>
            <w:webHidden/>
          </w:rPr>
          <w:fldChar w:fldCharType="end"/>
        </w:r>
      </w:hyperlink>
    </w:p>
    <w:p w14:paraId="042F6E9B" w14:textId="30F96C10" w:rsidR="00245F1F" w:rsidRPr="000A538D" w:rsidRDefault="001C3344" w:rsidP="00245F1F">
      <w:pPr>
        <w:pStyle w:val="TOC2"/>
        <w:rPr>
          <w:noProof/>
        </w:rPr>
      </w:pPr>
      <w:hyperlink w:anchor="_Toc413847911" w:history="1">
        <w:r w:rsidR="00245F1F" w:rsidRPr="000A538D">
          <w:rPr>
            <w:rStyle w:val="Hyperlink"/>
            <w:noProof/>
            <w:color w:val="auto"/>
          </w:rPr>
          <w:t>1.</w:t>
        </w:r>
        <w:r w:rsidR="00245F1F" w:rsidRPr="000A538D">
          <w:rPr>
            <w:noProof/>
          </w:rPr>
          <w:tab/>
        </w:r>
        <w:r w:rsidR="00245F1F" w:rsidRPr="000A538D">
          <w:rPr>
            <w:rStyle w:val="Hyperlink"/>
            <w:noProof/>
            <w:color w:val="auto"/>
          </w:rPr>
          <w:t>Respondent Universe and Sampling Methods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_Toc413847911 \h </w:instrText>
        </w:r>
        <w:r w:rsidR="00245F1F" w:rsidRPr="000A538D">
          <w:rPr>
            <w:noProof/>
            <w:webHidden/>
          </w:rPr>
        </w:r>
        <w:r w:rsidR="00245F1F" w:rsidRPr="000A538D">
          <w:rPr>
            <w:noProof/>
            <w:webHidden/>
          </w:rPr>
          <w:fldChar w:fldCharType="separate"/>
        </w:r>
        <w:r w:rsidR="00824589">
          <w:rPr>
            <w:noProof/>
            <w:webHidden/>
          </w:rPr>
          <w:t>3</w:t>
        </w:r>
        <w:r w:rsidR="00245F1F" w:rsidRPr="000A538D">
          <w:rPr>
            <w:noProof/>
            <w:webHidden/>
          </w:rPr>
          <w:fldChar w:fldCharType="end"/>
        </w:r>
      </w:hyperlink>
    </w:p>
    <w:p w14:paraId="2AB2CFDB" w14:textId="5BA5069A" w:rsidR="00245F1F" w:rsidRPr="000A538D" w:rsidRDefault="001C3344" w:rsidP="00245F1F">
      <w:pPr>
        <w:pStyle w:val="TOC2"/>
        <w:rPr>
          <w:noProof/>
        </w:rPr>
      </w:pPr>
      <w:hyperlink w:anchor="_Toc413847912" w:history="1">
        <w:r w:rsidR="00245F1F" w:rsidRPr="000A538D">
          <w:rPr>
            <w:rStyle w:val="Hyperlink"/>
            <w:noProof/>
            <w:color w:val="auto"/>
          </w:rPr>
          <w:t>2.</w:t>
        </w:r>
        <w:r w:rsidR="00245F1F" w:rsidRPr="000A538D">
          <w:rPr>
            <w:noProof/>
          </w:rPr>
          <w:tab/>
        </w:r>
        <w:r w:rsidR="00245F1F" w:rsidRPr="000A538D">
          <w:rPr>
            <w:rStyle w:val="Hyperlink"/>
            <w:noProof/>
            <w:color w:val="auto"/>
          </w:rPr>
          <w:t>Procedures for the Collection of Information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_Toc413847912 \h </w:instrText>
        </w:r>
        <w:r w:rsidR="00245F1F" w:rsidRPr="000A538D">
          <w:rPr>
            <w:noProof/>
            <w:webHidden/>
          </w:rPr>
        </w:r>
        <w:r w:rsidR="00245F1F" w:rsidRPr="000A538D">
          <w:rPr>
            <w:noProof/>
            <w:webHidden/>
          </w:rPr>
          <w:fldChar w:fldCharType="separate"/>
        </w:r>
        <w:r w:rsidR="00824589">
          <w:rPr>
            <w:noProof/>
            <w:webHidden/>
          </w:rPr>
          <w:t>3</w:t>
        </w:r>
        <w:r w:rsidR="00245F1F" w:rsidRPr="000A538D">
          <w:rPr>
            <w:noProof/>
            <w:webHidden/>
          </w:rPr>
          <w:fldChar w:fldCharType="end"/>
        </w:r>
      </w:hyperlink>
    </w:p>
    <w:p w14:paraId="28DCCA18" w14:textId="53BEB835" w:rsidR="00245F1F" w:rsidRPr="000A538D" w:rsidRDefault="001C3344" w:rsidP="00245F1F">
      <w:pPr>
        <w:pStyle w:val="TOC2"/>
        <w:rPr>
          <w:noProof/>
        </w:rPr>
      </w:pPr>
      <w:hyperlink w:anchor="_Toc413847913" w:history="1">
        <w:r w:rsidR="00245F1F" w:rsidRPr="000A538D">
          <w:rPr>
            <w:rStyle w:val="Hyperlink"/>
            <w:noProof/>
            <w:color w:val="auto"/>
          </w:rPr>
          <w:t>3.</w:t>
        </w:r>
        <w:r w:rsidR="00245F1F" w:rsidRPr="000A538D">
          <w:rPr>
            <w:noProof/>
          </w:rPr>
          <w:tab/>
        </w:r>
        <w:r w:rsidR="00245F1F" w:rsidRPr="000A538D">
          <w:rPr>
            <w:rStyle w:val="Hyperlink"/>
            <w:noProof/>
            <w:color w:val="auto"/>
          </w:rPr>
          <w:t>Methods to Maximize Response Rates  Deal with Nonresponse</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_Toc413847913 \h </w:instrText>
        </w:r>
        <w:r w:rsidR="00245F1F" w:rsidRPr="000A538D">
          <w:rPr>
            <w:noProof/>
            <w:webHidden/>
          </w:rPr>
        </w:r>
        <w:r w:rsidR="00245F1F" w:rsidRPr="000A538D">
          <w:rPr>
            <w:noProof/>
            <w:webHidden/>
          </w:rPr>
          <w:fldChar w:fldCharType="separate"/>
        </w:r>
        <w:r w:rsidR="00824589">
          <w:rPr>
            <w:noProof/>
            <w:webHidden/>
          </w:rPr>
          <w:t>5</w:t>
        </w:r>
        <w:r w:rsidR="00245F1F" w:rsidRPr="000A538D">
          <w:rPr>
            <w:noProof/>
            <w:webHidden/>
          </w:rPr>
          <w:fldChar w:fldCharType="end"/>
        </w:r>
      </w:hyperlink>
    </w:p>
    <w:p w14:paraId="3941C3C6" w14:textId="463B0140" w:rsidR="00245F1F" w:rsidRPr="000A538D" w:rsidRDefault="001C3344" w:rsidP="00245F1F">
      <w:pPr>
        <w:pStyle w:val="TOC2"/>
        <w:rPr>
          <w:noProof/>
        </w:rPr>
      </w:pPr>
      <w:hyperlink w:anchor="_Toc413847914" w:history="1">
        <w:r w:rsidR="00245F1F" w:rsidRPr="000A538D">
          <w:rPr>
            <w:rStyle w:val="Hyperlink"/>
            <w:noProof/>
            <w:color w:val="auto"/>
          </w:rPr>
          <w:t>4.</w:t>
        </w:r>
        <w:r w:rsidR="00245F1F" w:rsidRPr="000A538D">
          <w:rPr>
            <w:noProof/>
          </w:rPr>
          <w:tab/>
        </w:r>
        <w:r w:rsidR="00245F1F" w:rsidRPr="000A538D">
          <w:rPr>
            <w:rStyle w:val="Hyperlink"/>
            <w:noProof/>
            <w:color w:val="auto"/>
          </w:rPr>
          <w:t>Test of Procedures or Methods to be Undertaken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_Toc413847914 \h </w:instrText>
        </w:r>
        <w:r w:rsidR="00245F1F" w:rsidRPr="000A538D">
          <w:rPr>
            <w:noProof/>
            <w:webHidden/>
          </w:rPr>
        </w:r>
        <w:r w:rsidR="00245F1F" w:rsidRPr="000A538D">
          <w:rPr>
            <w:noProof/>
            <w:webHidden/>
          </w:rPr>
          <w:fldChar w:fldCharType="separate"/>
        </w:r>
        <w:r w:rsidR="00824589">
          <w:rPr>
            <w:noProof/>
            <w:webHidden/>
          </w:rPr>
          <w:t>5</w:t>
        </w:r>
        <w:r w:rsidR="00245F1F" w:rsidRPr="000A538D">
          <w:rPr>
            <w:noProof/>
            <w:webHidden/>
          </w:rPr>
          <w:fldChar w:fldCharType="end"/>
        </w:r>
      </w:hyperlink>
    </w:p>
    <w:p w14:paraId="2B006097" w14:textId="362AA38C" w:rsidR="00245F1F" w:rsidRPr="000A538D" w:rsidRDefault="001C3344" w:rsidP="00245F1F">
      <w:pPr>
        <w:pStyle w:val="TOC2"/>
        <w:rPr>
          <w:noProof/>
        </w:rPr>
      </w:pPr>
      <w:hyperlink w:anchor="_Toc413847915" w:history="1">
        <w:r w:rsidR="00245F1F" w:rsidRPr="000A538D">
          <w:rPr>
            <w:rStyle w:val="Hyperlink"/>
            <w:noProof/>
            <w:color w:val="auto"/>
          </w:rPr>
          <w:t>5.</w:t>
        </w:r>
        <w:r w:rsidR="00245F1F" w:rsidRPr="000A538D">
          <w:rPr>
            <w:noProof/>
          </w:rPr>
          <w:tab/>
        </w:r>
        <w:r w:rsidR="00245F1F" w:rsidRPr="000A538D">
          <w:rPr>
            <w:rStyle w:val="Hyperlink"/>
            <w:noProof/>
            <w:color w:val="auto"/>
          </w:rPr>
          <w:t>Individuals Consulted on Statistical Aspects and Individuals Collecting and/or Analyzing Data</w:t>
        </w:r>
        <w:r w:rsidR="00245F1F" w:rsidRPr="000A538D">
          <w:rPr>
            <w:rStyle w:val="Hyperlink"/>
            <w:noProof/>
            <w:color w:val="auto"/>
          </w:rPr>
          <w:tab/>
        </w:r>
        <w:r w:rsidR="00245F1F" w:rsidRPr="000A538D">
          <w:rPr>
            <w:noProof/>
            <w:webHidden/>
          </w:rPr>
          <w:fldChar w:fldCharType="begin"/>
        </w:r>
        <w:r w:rsidR="00245F1F" w:rsidRPr="000A538D">
          <w:rPr>
            <w:noProof/>
            <w:webHidden/>
          </w:rPr>
          <w:instrText xml:space="preserve"> PAGEREF _Toc413847915 \h </w:instrText>
        </w:r>
        <w:r w:rsidR="00245F1F" w:rsidRPr="000A538D">
          <w:rPr>
            <w:noProof/>
            <w:webHidden/>
          </w:rPr>
        </w:r>
        <w:r w:rsidR="00245F1F" w:rsidRPr="000A538D">
          <w:rPr>
            <w:noProof/>
            <w:webHidden/>
          </w:rPr>
          <w:fldChar w:fldCharType="separate"/>
        </w:r>
        <w:r w:rsidR="00824589">
          <w:rPr>
            <w:noProof/>
            <w:webHidden/>
          </w:rPr>
          <w:t>5</w:t>
        </w:r>
        <w:r w:rsidR="00245F1F" w:rsidRPr="000A538D">
          <w:rPr>
            <w:noProof/>
            <w:webHidden/>
          </w:rPr>
          <w:fldChar w:fldCharType="end"/>
        </w:r>
      </w:hyperlink>
    </w:p>
    <w:p w14:paraId="48865CA4" w14:textId="50577869" w:rsidR="00245F1F" w:rsidRPr="000A538D" w:rsidRDefault="001C3344">
      <w:pPr>
        <w:pStyle w:val="TOC1"/>
        <w:tabs>
          <w:tab w:val="right" w:leader="dot" w:pos="9350"/>
        </w:tabs>
        <w:rPr>
          <w:rFonts w:asciiTheme="minorHAnsi" w:hAnsiTheme="minorHAnsi"/>
          <w:noProof/>
        </w:rPr>
      </w:pPr>
      <w:hyperlink w:anchor="_Toc413847916" w:history="1">
        <w:r w:rsidR="00245F1F" w:rsidRPr="000A538D">
          <w:rPr>
            <w:rStyle w:val="Hyperlink"/>
            <w:noProof/>
            <w:color w:val="auto"/>
          </w:rPr>
          <w:t>LIST OF ATTACHMENTS – Section B</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_Toc413847916 \h </w:instrText>
        </w:r>
        <w:r w:rsidR="00245F1F" w:rsidRPr="000A538D">
          <w:rPr>
            <w:noProof/>
            <w:webHidden/>
          </w:rPr>
        </w:r>
        <w:r w:rsidR="00245F1F" w:rsidRPr="000A538D">
          <w:rPr>
            <w:noProof/>
            <w:webHidden/>
          </w:rPr>
          <w:fldChar w:fldCharType="separate"/>
        </w:r>
        <w:r w:rsidR="00824589">
          <w:rPr>
            <w:noProof/>
            <w:webHidden/>
          </w:rPr>
          <w:t>6</w:t>
        </w:r>
        <w:r w:rsidR="00245F1F" w:rsidRPr="000A538D">
          <w:rPr>
            <w:noProof/>
            <w:webHidden/>
          </w:rPr>
          <w:fldChar w:fldCharType="end"/>
        </w:r>
      </w:hyperlink>
    </w:p>
    <w:p w14:paraId="659CECF9" w14:textId="77777777" w:rsidR="00245F1F" w:rsidRDefault="00245F1F" w:rsidP="00BC6896">
      <w:pPr>
        <w:pStyle w:val="Heading3"/>
      </w:pPr>
      <w:r w:rsidRPr="000A538D">
        <w:fldChar w:fldCharType="end"/>
      </w:r>
    </w:p>
    <w:p w14:paraId="503BEDCA" w14:textId="77777777" w:rsidR="00245F1F" w:rsidRDefault="00245F1F">
      <w:pPr>
        <w:spacing w:after="200"/>
        <w:ind w:left="0"/>
        <w:rPr>
          <w:b/>
          <w:sz w:val="28"/>
        </w:rPr>
      </w:pPr>
      <w:bookmarkStart w:id="2" w:name="_Toc413847910"/>
      <w:r>
        <w:br w:type="page"/>
      </w:r>
    </w:p>
    <w:p w14:paraId="261E365A" w14:textId="77777777" w:rsidR="00B12F51" w:rsidRPr="00BC6896" w:rsidRDefault="00B12F51" w:rsidP="00BC6896">
      <w:pPr>
        <w:pStyle w:val="Heading3"/>
      </w:pPr>
      <w:r w:rsidRPr="00BC6896">
        <w:lastRenderedPageBreak/>
        <w:t xml:space="preserve">Section B – </w:t>
      </w:r>
      <w:r w:rsidR="00487E55">
        <w:t>Data collection</w:t>
      </w:r>
      <w:r w:rsidR="00287E2F" w:rsidRPr="00BC6896">
        <w:t xml:space="preserve"> Procedures</w:t>
      </w:r>
      <w:bookmarkEnd w:id="2"/>
    </w:p>
    <w:p w14:paraId="7017D79C" w14:textId="77777777" w:rsidR="00287E2F" w:rsidRDefault="00287E2F" w:rsidP="002955E6">
      <w:pPr>
        <w:spacing w:line="240" w:lineRule="auto"/>
      </w:pPr>
    </w:p>
    <w:p w14:paraId="5DB76F5C" w14:textId="77777777" w:rsidR="00A75D1C" w:rsidRPr="00BC6896" w:rsidRDefault="009759F3" w:rsidP="002955E6">
      <w:pPr>
        <w:pStyle w:val="Heading4"/>
        <w:spacing w:after="0" w:line="240" w:lineRule="auto"/>
      </w:pPr>
      <w:bookmarkStart w:id="3" w:name="_Toc413847911"/>
      <w:r w:rsidRPr="00BC6896">
        <w:t xml:space="preserve">Respondent </w:t>
      </w:r>
      <w:r w:rsidR="00DE2D45">
        <w:t>Uni</w:t>
      </w:r>
      <w:r w:rsidR="001960AE" w:rsidRPr="00BC6896">
        <w:t xml:space="preserve">verse and </w:t>
      </w:r>
      <w:r w:rsidR="001960AE" w:rsidRPr="00991BF9">
        <w:t>Sampling</w:t>
      </w:r>
      <w:r w:rsidR="001960AE" w:rsidRPr="00BC6896">
        <w:t xml:space="preserve"> Methods </w:t>
      </w:r>
      <w:bookmarkEnd w:id="3"/>
    </w:p>
    <w:p w14:paraId="613807A4" w14:textId="77777777" w:rsidR="002955E6" w:rsidRDefault="002955E6" w:rsidP="002955E6">
      <w:pPr>
        <w:spacing w:line="240" w:lineRule="auto"/>
        <w:ind w:left="360"/>
        <w:rPr>
          <w:b/>
          <w:color w:val="0070C0"/>
        </w:rPr>
      </w:pPr>
    </w:p>
    <w:p w14:paraId="783AC753" w14:textId="1BAA2548" w:rsidR="004D70EE" w:rsidRDefault="00377E7B" w:rsidP="002955E6">
      <w:pPr>
        <w:spacing w:line="240" w:lineRule="auto"/>
        <w:ind w:left="360"/>
        <w:rPr>
          <w:b/>
          <w:color w:val="0070C0"/>
        </w:rPr>
      </w:pPr>
      <w:r w:rsidRPr="00A507CC">
        <w:t xml:space="preserve">The respondent universe for this information collection consists of a total of </w:t>
      </w:r>
      <w:r w:rsidR="002F133A" w:rsidRPr="00A507CC">
        <w:t xml:space="preserve">48 </w:t>
      </w:r>
      <w:r w:rsidRPr="00A507CC">
        <w:t>state government staff and their delegates in 6 selected states (</w:t>
      </w:r>
      <w:r w:rsidR="000C4CA5" w:rsidRPr="00A507CC">
        <w:t xml:space="preserve">Georgia, </w:t>
      </w:r>
      <w:r w:rsidRPr="00A507CC">
        <w:t xml:space="preserve">Louisiana, Missouri, Rhode Island, </w:t>
      </w:r>
      <w:r w:rsidR="00393FCE" w:rsidRPr="00A507CC">
        <w:t xml:space="preserve">South Carolina </w:t>
      </w:r>
      <w:r w:rsidRPr="00A507CC">
        <w:t xml:space="preserve">and Wyoming). </w:t>
      </w:r>
      <w:r w:rsidR="00AF41B4" w:rsidRPr="00A507CC">
        <w:t>Respondents acting in their official capacities include 6 State Health Department staff (one from each selected state), 6 state EMS Task Force Directors</w:t>
      </w:r>
      <w:r w:rsidR="00547385">
        <w:t>,</w:t>
      </w:r>
      <w:r w:rsidR="00AF41B4" w:rsidRPr="00A507CC">
        <w:t xml:space="preserve"> 6 state EMS data managers, </w:t>
      </w:r>
      <w:r w:rsidR="008028F1" w:rsidRPr="00A507CC">
        <w:t xml:space="preserve">12 </w:t>
      </w:r>
      <w:r w:rsidR="00AF41B4" w:rsidRPr="00A507CC">
        <w:t xml:space="preserve">state EMS/Stroke Task Force Members, and </w:t>
      </w:r>
      <w:r w:rsidR="00F03DA9" w:rsidRPr="00A507CC">
        <w:t>1</w:t>
      </w:r>
      <w:r w:rsidR="002F133A" w:rsidRPr="00A507CC">
        <w:t>8</w:t>
      </w:r>
      <w:r w:rsidR="00F03DA9" w:rsidRPr="00A507CC">
        <w:t xml:space="preserve"> </w:t>
      </w:r>
      <w:r w:rsidR="00AF41B4" w:rsidRPr="00A507CC">
        <w:t>delegates</w:t>
      </w:r>
      <w:r w:rsidR="00242E9E" w:rsidRPr="00A507CC">
        <w:t xml:space="preserve"> </w:t>
      </w:r>
      <w:r w:rsidR="006E2B5F" w:rsidRPr="004C36AE">
        <w:rPr>
          <w:b/>
        </w:rPr>
        <w:t>(</w:t>
      </w:r>
      <w:r w:rsidR="006E2B5F" w:rsidRPr="00A507CC">
        <w:t>Please see</w:t>
      </w:r>
      <w:r w:rsidR="006E2B5F" w:rsidRPr="004C36AE">
        <w:rPr>
          <w:b/>
        </w:rPr>
        <w:t xml:space="preserve"> Attachment A: Respondent Breakdown)</w:t>
      </w:r>
      <w:r w:rsidR="00AF41B4" w:rsidRPr="002F133A">
        <w:t>.</w:t>
      </w:r>
      <w:r w:rsidR="00AF41B4" w:rsidRPr="00AF41B4">
        <w:t xml:space="preserve"> The delegates included in this information collection </w:t>
      </w:r>
      <w:r w:rsidR="00547385">
        <w:t xml:space="preserve">are acting on behalf of the state health agency by performing stroke systems of care </w:t>
      </w:r>
      <w:r w:rsidR="00F367DD">
        <w:t xml:space="preserve">surveillance, planning, and program development; </w:t>
      </w:r>
      <w:r w:rsidR="00003526">
        <w:t>setting and implementing</w:t>
      </w:r>
      <w:r w:rsidR="00F367DD">
        <w:t xml:space="preserve"> stroke systems of care standards; and ensuring the provision of high quality stroke care. </w:t>
      </w:r>
      <w:r w:rsidR="003740EC">
        <w:t xml:space="preserve"> States rely on these delegates (empaneled through state law and/or formal endorsement) </w:t>
      </w:r>
      <w:r w:rsidR="00F367DD">
        <w:t xml:space="preserve">to perform these essential public health services </w:t>
      </w:r>
      <w:r w:rsidR="009F03D8">
        <w:t xml:space="preserve">rather than fulfill the duties themselves </w:t>
      </w:r>
      <w:r w:rsidR="00F367DD">
        <w:t>because the</w:t>
      </w:r>
      <w:r w:rsidR="00003526">
        <w:t xml:space="preserve"> delegates</w:t>
      </w:r>
      <w:r w:rsidR="00F367DD">
        <w:t xml:space="preserve"> are uniquely positioned </w:t>
      </w:r>
      <w:r w:rsidR="00003526">
        <w:t xml:space="preserve">to assess and oversee </w:t>
      </w:r>
      <w:r w:rsidR="003740EC">
        <w:t>stroke systems of care within a jurisdiction and provide direct interaction with healthcare provider groups, treatment associations, EMS providers and stroke patients</w:t>
      </w:r>
      <w:r w:rsidR="001B5831">
        <w:t>.</w:t>
      </w:r>
      <w:r w:rsidR="001B5831" w:rsidRPr="00CE41DB">
        <w:rPr>
          <w:vertAlign w:val="superscript"/>
        </w:rPr>
        <w:t>1</w:t>
      </w:r>
      <w:r w:rsidR="0030549D">
        <w:rPr>
          <w:vertAlign w:val="superscript"/>
        </w:rPr>
        <w:t>,7,8</w:t>
      </w:r>
      <w:r w:rsidR="001B5831">
        <w:rPr>
          <w:vertAlign w:val="superscript"/>
        </w:rPr>
        <w:t xml:space="preserve"> </w:t>
      </w:r>
      <w:r w:rsidR="00DB1EC2">
        <w:rPr>
          <w:vertAlign w:val="superscript"/>
        </w:rPr>
        <w:t xml:space="preserve"> </w:t>
      </w:r>
      <w:r w:rsidR="00AF41B4" w:rsidRPr="00AF41B4">
        <w:t xml:space="preserve">Specific delegates </w:t>
      </w:r>
      <w:r w:rsidR="0030549D">
        <w:t xml:space="preserve">included in this information collection </w:t>
      </w:r>
      <w:r w:rsidR="00AF41B4" w:rsidRPr="00AF41B4">
        <w:t xml:space="preserve">vary depending on </w:t>
      </w:r>
      <w:r w:rsidR="00AF41B4">
        <w:t>the state, but may include EMS-</w:t>
      </w:r>
      <w:r w:rsidR="00AF41B4" w:rsidRPr="00AF41B4">
        <w:t>Related Task Force Members, Rural Health Task Force Members, and Healthcare Task Force Members</w:t>
      </w:r>
      <w:r w:rsidR="00AF41B4">
        <w:t>.</w:t>
      </w:r>
      <w:r>
        <w:t xml:space="preserve"> </w:t>
      </w:r>
    </w:p>
    <w:p w14:paraId="5B140E10" w14:textId="77777777" w:rsidR="00DB1EC2" w:rsidRDefault="00DB1EC2" w:rsidP="00351D04">
      <w:pPr>
        <w:spacing w:line="240" w:lineRule="auto"/>
        <w:ind w:left="360"/>
      </w:pPr>
    </w:p>
    <w:p w14:paraId="01FDA8A0" w14:textId="15A7C9B7" w:rsidR="004D70EE" w:rsidRPr="00351D04" w:rsidRDefault="00D016E5" w:rsidP="00351D04">
      <w:pPr>
        <w:spacing w:line="240" w:lineRule="auto"/>
        <w:ind w:left="360"/>
      </w:pPr>
      <w:r w:rsidRPr="00D016E5">
        <w:t xml:space="preserve">The </w:t>
      </w:r>
      <w:r w:rsidR="00DF28AA">
        <w:t>six</w:t>
      </w:r>
      <w:r>
        <w:t xml:space="preserve"> states </w:t>
      </w:r>
      <w:r w:rsidR="009F03D8">
        <w:t>included in</w:t>
      </w:r>
      <w:r w:rsidR="00270641">
        <w:t xml:space="preserve"> this information collection </w:t>
      </w:r>
      <w:r w:rsidR="00DB1EC2">
        <w:t xml:space="preserve">were </w:t>
      </w:r>
      <w:r w:rsidR="009F03D8">
        <w:t>chosen</w:t>
      </w:r>
      <w:r w:rsidR="00DB1EC2">
        <w:t xml:space="preserve"> to ensure </w:t>
      </w:r>
      <w:r>
        <w:t xml:space="preserve">a diversity of state-level actions relevant to pre-hospital stroke systems of care. </w:t>
      </w:r>
      <w:r w:rsidR="009F03D8">
        <w:t xml:space="preserve">States varied in terms of their </w:t>
      </w:r>
      <w:r>
        <w:t xml:space="preserve"> </w:t>
      </w:r>
      <w:r w:rsidR="007F7359">
        <w:t xml:space="preserve">current status of state-level actions relevant to </w:t>
      </w:r>
      <w:r w:rsidR="007F7359" w:rsidRPr="007F7359">
        <w:t>EMS protocols for stroke patient assessment and triage</w:t>
      </w:r>
      <w:r w:rsidR="00351D04">
        <w:t xml:space="preserve">, </w:t>
      </w:r>
      <w:r w:rsidR="00351D04" w:rsidRPr="00351D04">
        <w:t>EMS transport protocols for transporting the stroke patient to the most appropriate stroke facility using ground transport</w:t>
      </w:r>
      <w:r w:rsidR="00351D04">
        <w:t xml:space="preserve">, </w:t>
      </w:r>
      <w:r w:rsidR="00234001">
        <w:t xml:space="preserve">and </w:t>
      </w:r>
      <w:r w:rsidR="00351D04" w:rsidRPr="00351D04">
        <w:t>statewide/regional stroke system(s) of care with at least 3 levels of stroke centers</w:t>
      </w:r>
      <w:r w:rsidR="00234001">
        <w:t>.</w:t>
      </w:r>
    </w:p>
    <w:p w14:paraId="7B3AC422" w14:textId="77777777" w:rsidR="00691031" w:rsidRDefault="00691031" w:rsidP="002955E6">
      <w:pPr>
        <w:spacing w:line="240" w:lineRule="auto"/>
        <w:ind w:left="360"/>
        <w:rPr>
          <w:b/>
          <w:color w:val="0070C0"/>
        </w:rPr>
      </w:pPr>
    </w:p>
    <w:p w14:paraId="5B960582" w14:textId="2296BFEE" w:rsidR="001B5831" w:rsidRDefault="00234001" w:rsidP="002955E6">
      <w:pPr>
        <w:spacing w:line="240" w:lineRule="auto"/>
        <w:ind w:left="360"/>
      </w:pPr>
      <w:r w:rsidRPr="00234001">
        <w:t>To identify respondents with</w:t>
      </w:r>
      <w:r>
        <w:t xml:space="preserve">in the selected states, </w:t>
      </w:r>
      <w:r w:rsidR="00D67E48">
        <w:t>ASTHO</w:t>
      </w:r>
      <w:r w:rsidR="00095ED7">
        <w:t xml:space="preserve"> </w:t>
      </w:r>
      <w:r w:rsidR="001B5831">
        <w:t>will</w:t>
      </w:r>
      <w:r w:rsidR="00095ED7">
        <w:t xml:space="preserve"> contact the stroke task force and/or EMS Director within each selected State Department of Health to </w:t>
      </w:r>
      <w:r w:rsidR="0035793B">
        <w:t>verify</w:t>
      </w:r>
      <w:r w:rsidR="00095ED7">
        <w:t xml:space="preserve"> appropriate contacts based on stroke system of care role </w:t>
      </w:r>
      <w:r w:rsidR="00954213">
        <w:t xml:space="preserve">and knowledge of the decision process and implementation process within the state.  </w:t>
      </w:r>
      <w:r w:rsidR="001B5831" w:rsidRPr="001B5831">
        <w:t xml:space="preserve"> ASTHO will </w:t>
      </w:r>
      <w:r w:rsidR="001B5831">
        <w:t>develop and maintain</w:t>
      </w:r>
      <w:r w:rsidR="001B5831" w:rsidRPr="001B5831">
        <w:t xml:space="preserve"> the distribution list for the respondents and will be </w:t>
      </w:r>
      <w:r w:rsidR="001B5831">
        <w:t xml:space="preserve">solely </w:t>
      </w:r>
      <w:r w:rsidR="001B5831" w:rsidRPr="001B5831">
        <w:t>responsible for making contact with each of the respondents.</w:t>
      </w:r>
      <w:r w:rsidR="001B5831">
        <w:t xml:space="preserve"> No one outside of </w:t>
      </w:r>
      <w:r w:rsidR="00B53884">
        <w:t xml:space="preserve">the </w:t>
      </w:r>
      <w:r w:rsidR="001B5831">
        <w:t xml:space="preserve">ASTHO team members will have access to this information. </w:t>
      </w:r>
    </w:p>
    <w:p w14:paraId="08433065" w14:textId="77777777" w:rsidR="001B5831" w:rsidRDefault="001B5831" w:rsidP="002955E6">
      <w:pPr>
        <w:spacing w:line="240" w:lineRule="auto"/>
        <w:ind w:left="360"/>
      </w:pPr>
    </w:p>
    <w:p w14:paraId="18834D88" w14:textId="1D0FF553" w:rsidR="00DF28AA" w:rsidRDefault="00954213" w:rsidP="002955E6">
      <w:pPr>
        <w:spacing w:line="240" w:lineRule="auto"/>
        <w:ind w:left="360"/>
      </w:pPr>
      <w:r>
        <w:t>Respondent</w:t>
      </w:r>
      <w:r w:rsidR="00995D8F">
        <w:t>s</w:t>
      </w:r>
      <w:r>
        <w:t xml:space="preserve"> will include </w:t>
      </w:r>
      <w:r w:rsidRPr="00954213">
        <w:t>State Health Department staff</w:t>
      </w:r>
      <w:r>
        <w:t xml:space="preserve"> leading efforts on stroke systems of care, State EMS Task Force Leaders, State EMS Medical Directors, S</w:t>
      </w:r>
      <w:r w:rsidRPr="00954213">
        <w:t>tate EMS data managers and</w:t>
      </w:r>
      <w:r w:rsidR="00DF28AA">
        <w:t xml:space="preserve"> </w:t>
      </w:r>
      <w:r w:rsidR="00DF28AA" w:rsidRPr="00DF28AA">
        <w:t>stroke, EMS and trauma advisory council and task force members directed by the state health or safety departments</w:t>
      </w:r>
      <w:r w:rsidR="00DF28AA">
        <w:t xml:space="preserve"> which may include </w:t>
      </w:r>
      <w:r w:rsidR="00DF28AA" w:rsidRPr="00DF28AA">
        <w:t>Rural Health Officers, EMS Program Managers, Community Health System Administrators, Emergency Preparedness Directors, and Public Health Epidemiologists</w:t>
      </w:r>
      <w:r w:rsidR="00DF28AA">
        <w:t>.</w:t>
      </w:r>
    </w:p>
    <w:p w14:paraId="00422AA9" w14:textId="77777777" w:rsidR="00DF28AA" w:rsidRDefault="00DF28AA" w:rsidP="002955E6">
      <w:pPr>
        <w:spacing w:line="240" w:lineRule="auto"/>
        <w:ind w:left="360"/>
      </w:pPr>
    </w:p>
    <w:p w14:paraId="6E0E6D3F" w14:textId="77777777" w:rsidR="00F52BCC" w:rsidRDefault="00F52BCC" w:rsidP="002955E6">
      <w:pPr>
        <w:spacing w:line="240" w:lineRule="auto"/>
        <w:ind w:left="360"/>
      </w:pPr>
    </w:p>
    <w:p w14:paraId="3A81FD34" w14:textId="77777777" w:rsidR="00287E2F" w:rsidRPr="002D1A61" w:rsidRDefault="00287E2F" w:rsidP="002955E6">
      <w:pPr>
        <w:pStyle w:val="Heading4"/>
        <w:spacing w:after="0" w:line="240" w:lineRule="auto"/>
      </w:pPr>
      <w:bookmarkStart w:id="4" w:name="_Toc413847912"/>
      <w:r w:rsidRPr="002D1A61">
        <w:t xml:space="preserve">Procedures for </w:t>
      </w:r>
      <w:r w:rsidR="009759F3" w:rsidRPr="002D1A61">
        <w:t xml:space="preserve">the </w:t>
      </w:r>
      <w:r w:rsidRPr="002D1A61">
        <w:t>Collecti</w:t>
      </w:r>
      <w:r w:rsidR="009759F3" w:rsidRPr="002D1A61">
        <w:t>on</w:t>
      </w:r>
      <w:r w:rsidRPr="002D1A61">
        <w:t xml:space="preserve"> of Information</w:t>
      </w:r>
      <w:bookmarkEnd w:id="4"/>
      <w:r w:rsidR="00F725B5" w:rsidRPr="002D1A61">
        <w:t xml:space="preserve"> </w:t>
      </w:r>
      <w:r w:rsidR="009759F3" w:rsidRPr="002D1A61">
        <w:t xml:space="preserve">  </w:t>
      </w:r>
    </w:p>
    <w:p w14:paraId="5D8E8296" w14:textId="05E27644" w:rsidR="00CB3EB2" w:rsidRDefault="00CB3EB2" w:rsidP="006A5D00">
      <w:pPr>
        <w:ind w:left="0"/>
      </w:pPr>
    </w:p>
    <w:p w14:paraId="2A3E2E9C" w14:textId="511A261A" w:rsidR="00E33BBA" w:rsidRPr="009011A8" w:rsidRDefault="00E33BBA" w:rsidP="00E33BBA">
      <w:pPr>
        <w:ind w:left="360"/>
      </w:pPr>
      <w:r>
        <w:t>D</w:t>
      </w:r>
      <w:r w:rsidRPr="003163A2">
        <w:t xml:space="preserve">ata will be collected </w:t>
      </w:r>
      <w:r>
        <w:t xml:space="preserve">via </w:t>
      </w:r>
      <w:r w:rsidR="00E1623E" w:rsidRPr="006B1467">
        <w:t xml:space="preserve">telephone </w:t>
      </w:r>
      <w:r w:rsidR="00E81524">
        <w:t>respondent</w:t>
      </w:r>
      <w:r w:rsidR="00E81524" w:rsidRPr="006B1467">
        <w:t xml:space="preserve"> </w:t>
      </w:r>
      <w:r w:rsidR="00E1623E" w:rsidRPr="006B1467">
        <w:t>interviews</w:t>
      </w:r>
      <w:r w:rsidRPr="003163A2">
        <w:t xml:space="preserve"> and</w:t>
      </w:r>
      <w:r>
        <w:t xml:space="preserve"> respondents</w:t>
      </w:r>
      <w:r w:rsidRPr="003163A2">
        <w:t xml:space="preserve"> will be recruited through a</w:t>
      </w:r>
      <w:r>
        <w:t xml:space="preserve"> notification</w:t>
      </w:r>
      <w:r w:rsidRPr="003163A2">
        <w:t xml:space="preserve"> </w:t>
      </w:r>
      <w:r w:rsidRPr="009011A8">
        <w:t xml:space="preserve">(see </w:t>
      </w:r>
      <w:r w:rsidRPr="009011A8">
        <w:rPr>
          <w:b/>
        </w:rPr>
        <w:t xml:space="preserve">Attachment </w:t>
      </w:r>
      <w:r w:rsidR="0035793B">
        <w:rPr>
          <w:b/>
        </w:rPr>
        <w:t>C</w:t>
      </w:r>
      <w:r w:rsidR="006630F4">
        <w:rPr>
          <w:rStyle w:val="CommentReference"/>
        </w:rPr>
        <w:t>:</w:t>
      </w:r>
      <w:r w:rsidR="00AF41B4">
        <w:rPr>
          <w:rStyle w:val="CommentReference"/>
        </w:rPr>
        <w:t xml:space="preserve"> </w:t>
      </w:r>
      <w:r w:rsidR="006B1467" w:rsidRPr="006B1467">
        <w:rPr>
          <w:b/>
        </w:rPr>
        <w:t>Recruitment Email</w:t>
      </w:r>
      <w:r w:rsidRPr="006B1467">
        <w:rPr>
          <w:b/>
        </w:rPr>
        <w:t>)</w:t>
      </w:r>
      <w:r w:rsidRPr="0069580C">
        <w:t xml:space="preserve"> </w:t>
      </w:r>
      <w:r>
        <w:t xml:space="preserve">to the respondent </w:t>
      </w:r>
      <w:r w:rsidR="004E2D38">
        <w:t>list</w:t>
      </w:r>
      <w:r w:rsidRPr="009011A8">
        <w:t xml:space="preserve">.  The notification email will explain: </w:t>
      </w:r>
    </w:p>
    <w:p w14:paraId="2E8EED11" w14:textId="77777777" w:rsidR="00E33BBA" w:rsidRDefault="00E33BBA" w:rsidP="00E33BBA">
      <w:pPr>
        <w:pStyle w:val="ListParagraph"/>
        <w:numPr>
          <w:ilvl w:val="0"/>
          <w:numId w:val="24"/>
        </w:numPr>
        <w:ind w:left="1080"/>
      </w:pPr>
      <w:r w:rsidRPr="009011A8">
        <w:t xml:space="preserve">The purpose of the </w:t>
      </w:r>
      <w:r w:rsidR="006C1771">
        <w:t>data collection</w:t>
      </w:r>
      <w:r w:rsidRPr="009011A8">
        <w:t xml:space="preserve">, and why their participation is important </w:t>
      </w:r>
    </w:p>
    <w:p w14:paraId="3C296936" w14:textId="77777777" w:rsidR="00E33BBA" w:rsidRPr="009011A8" w:rsidRDefault="00E33BBA" w:rsidP="00E33BBA">
      <w:pPr>
        <w:pStyle w:val="ListParagraph"/>
        <w:numPr>
          <w:ilvl w:val="0"/>
          <w:numId w:val="24"/>
        </w:numPr>
        <w:ind w:left="1080"/>
      </w:pPr>
      <w:r>
        <w:t>Instructions for participating</w:t>
      </w:r>
    </w:p>
    <w:p w14:paraId="1BB613C3" w14:textId="77777777" w:rsidR="00E33BBA" w:rsidRPr="009011A8" w:rsidRDefault="00E33BBA" w:rsidP="00E33BBA">
      <w:pPr>
        <w:pStyle w:val="ListParagraph"/>
        <w:numPr>
          <w:ilvl w:val="0"/>
          <w:numId w:val="24"/>
        </w:numPr>
        <w:ind w:left="1080"/>
      </w:pPr>
      <w:r w:rsidRPr="009011A8">
        <w:t xml:space="preserve">Method to safeguard their responses </w:t>
      </w:r>
    </w:p>
    <w:p w14:paraId="3320DCD5" w14:textId="77777777" w:rsidR="00E33BBA" w:rsidRPr="009011A8" w:rsidRDefault="00E33BBA" w:rsidP="00E33BBA">
      <w:pPr>
        <w:pStyle w:val="ListParagraph"/>
        <w:numPr>
          <w:ilvl w:val="0"/>
          <w:numId w:val="24"/>
        </w:numPr>
        <w:ind w:left="1080"/>
      </w:pPr>
      <w:r w:rsidRPr="009011A8">
        <w:t>That participation is voluntary</w:t>
      </w:r>
    </w:p>
    <w:p w14:paraId="0EC4ABAD" w14:textId="77777777" w:rsidR="000279A9" w:rsidRDefault="00E33BBA" w:rsidP="000279A9">
      <w:pPr>
        <w:pStyle w:val="ListParagraph"/>
        <w:numPr>
          <w:ilvl w:val="0"/>
          <w:numId w:val="24"/>
        </w:numPr>
        <w:ind w:left="1080"/>
      </w:pPr>
      <w:r w:rsidRPr="009011A8">
        <w:t xml:space="preserve">The expected time to complete the </w:t>
      </w:r>
      <w:r w:rsidR="00351C0F">
        <w:t>interview</w:t>
      </w:r>
    </w:p>
    <w:p w14:paraId="29FACC96" w14:textId="77777777" w:rsidR="00691031" w:rsidRDefault="00E33BBA" w:rsidP="000279A9">
      <w:pPr>
        <w:pStyle w:val="ListParagraph"/>
        <w:numPr>
          <w:ilvl w:val="0"/>
          <w:numId w:val="24"/>
        </w:numPr>
        <w:ind w:left="1080"/>
      </w:pPr>
      <w:r w:rsidRPr="009011A8">
        <w:t xml:space="preserve">Contact information for the </w:t>
      </w:r>
      <w:r w:rsidR="006C1771">
        <w:t>project</w:t>
      </w:r>
      <w:r w:rsidRPr="009011A8">
        <w:t xml:space="preserve"> team</w:t>
      </w:r>
    </w:p>
    <w:p w14:paraId="15876DF0" w14:textId="77777777" w:rsidR="00691031" w:rsidRDefault="00691031" w:rsidP="002955E6">
      <w:pPr>
        <w:spacing w:line="240" w:lineRule="auto"/>
        <w:ind w:left="360"/>
      </w:pPr>
    </w:p>
    <w:p w14:paraId="3C742D8D" w14:textId="66574415" w:rsidR="0075102D" w:rsidRPr="00E1623E" w:rsidRDefault="006B1467" w:rsidP="000A326B">
      <w:pPr>
        <w:spacing w:line="240" w:lineRule="auto"/>
        <w:ind w:left="360"/>
      </w:pPr>
      <w:r>
        <w:t xml:space="preserve">Following the recruitment email, those who do not respond within 10 business days will receive a reminder email (see </w:t>
      </w:r>
      <w:r w:rsidRPr="006B1467">
        <w:rPr>
          <w:b/>
        </w:rPr>
        <w:t xml:space="preserve">Attachment </w:t>
      </w:r>
      <w:r w:rsidR="0035793B">
        <w:rPr>
          <w:b/>
        </w:rPr>
        <w:t>D</w:t>
      </w:r>
      <w:r w:rsidR="006630F4">
        <w:rPr>
          <w:b/>
        </w:rPr>
        <w:t>:</w:t>
      </w:r>
      <w:r w:rsidR="006630F4" w:rsidRPr="006B1467">
        <w:rPr>
          <w:b/>
        </w:rPr>
        <w:t xml:space="preserve"> </w:t>
      </w:r>
      <w:r w:rsidRPr="006B1467">
        <w:rPr>
          <w:b/>
        </w:rPr>
        <w:t>Email Reminder</w:t>
      </w:r>
      <w:r>
        <w:t xml:space="preserve">) asking those who have not scheduled an interview date/time to do so. </w:t>
      </w:r>
      <w:r w:rsidR="0075102D" w:rsidRPr="00E1623E">
        <w:t>If any of the</w:t>
      </w:r>
      <w:r w:rsidR="00142A02" w:rsidRPr="00E1623E">
        <w:t xml:space="preserve"> invited</w:t>
      </w:r>
      <w:r w:rsidR="0075102D" w:rsidRPr="00E1623E">
        <w:t xml:space="preserve"> respondents are unable or unwilling to participate, they will be allowed to designate a substitute </w:t>
      </w:r>
      <w:r w:rsidR="003713EC">
        <w:t>from their same agency</w:t>
      </w:r>
      <w:r w:rsidR="00142A02">
        <w:t xml:space="preserve"> and location</w:t>
      </w:r>
      <w:r w:rsidR="003713EC">
        <w:t xml:space="preserve">, serving in a similar role </w:t>
      </w:r>
      <w:r w:rsidR="0075102D" w:rsidRPr="00E1623E">
        <w:t xml:space="preserve">to respond in their stead. </w:t>
      </w:r>
      <w:r w:rsidR="0075102D">
        <w:t xml:space="preserve"> If a designee is provided, ASTHO will </w:t>
      </w:r>
      <w:r w:rsidR="004E2D38">
        <w:t xml:space="preserve">follow the original protocol and </w:t>
      </w:r>
      <w:r w:rsidR="00EE2F12">
        <w:t xml:space="preserve">send a recruitment email (see </w:t>
      </w:r>
      <w:r w:rsidR="00EE2F12" w:rsidRPr="006A5D00">
        <w:rPr>
          <w:b/>
        </w:rPr>
        <w:t>Attachment C: Recruitment Email</w:t>
      </w:r>
      <w:r w:rsidR="00EE2F12">
        <w:t>)</w:t>
      </w:r>
      <w:r w:rsidR="0075102D">
        <w:t xml:space="preserve"> </w:t>
      </w:r>
      <w:r w:rsidR="00142A02">
        <w:t xml:space="preserve">directly </w:t>
      </w:r>
      <w:r w:rsidR="0075102D">
        <w:t xml:space="preserve">to </w:t>
      </w:r>
      <w:r w:rsidR="004E2D38">
        <w:t>the designee and</w:t>
      </w:r>
      <w:r w:rsidR="00142A02">
        <w:t xml:space="preserve">, if needed, an email reminder (see </w:t>
      </w:r>
      <w:r w:rsidR="00142A02" w:rsidRPr="006B1467">
        <w:rPr>
          <w:b/>
        </w:rPr>
        <w:t xml:space="preserve">Attachment </w:t>
      </w:r>
      <w:r w:rsidR="00142A02">
        <w:rPr>
          <w:b/>
        </w:rPr>
        <w:t>D:</w:t>
      </w:r>
      <w:r w:rsidR="00142A02" w:rsidRPr="006B1467">
        <w:rPr>
          <w:b/>
        </w:rPr>
        <w:t xml:space="preserve"> Email Reminder</w:t>
      </w:r>
      <w:r w:rsidR="00142A02">
        <w:t xml:space="preserve">) asking those who have not scheduled an interview date/time to do so. </w:t>
      </w:r>
      <w:r w:rsidR="004E2D38">
        <w:t xml:space="preserve"> </w:t>
      </w:r>
      <w:r w:rsidR="000A326B">
        <w:t>Respondents declining to participate will receive no further communication.</w:t>
      </w:r>
    </w:p>
    <w:p w14:paraId="5C409D85" w14:textId="63E9667B" w:rsidR="0075102D" w:rsidRDefault="0075102D" w:rsidP="0075102D">
      <w:pPr>
        <w:spacing w:line="240" w:lineRule="auto"/>
        <w:ind w:left="0"/>
      </w:pPr>
    </w:p>
    <w:p w14:paraId="0558A04E" w14:textId="2EFD9B91" w:rsidR="0035793B" w:rsidRDefault="006B1467" w:rsidP="0035793B">
      <w:pPr>
        <w:spacing w:line="240" w:lineRule="auto"/>
        <w:ind w:left="360"/>
      </w:pPr>
      <w:r>
        <w:t xml:space="preserve">Respondents who agree to participate will be sent a confirmation email (see </w:t>
      </w:r>
      <w:r w:rsidRPr="006B1467">
        <w:rPr>
          <w:b/>
        </w:rPr>
        <w:t xml:space="preserve">Attachment </w:t>
      </w:r>
      <w:r w:rsidR="0035793B">
        <w:rPr>
          <w:b/>
        </w:rPr>
        <w:t>E</w:t>
      </w:r>
      <w:r w:rsidR="006630F4">
        <w:rPr>
          <w:b/>
        </w:rPr>
        <w:t xml:space="preserve">: </w:t>
      </w:r>
      <w:r w:rsidRPr="006B1467">
        <w:rPr>
          <w:b/>
        </w:rPr>
        <w:t>Confirmation Email</w:t>
      </w:r>
      <w:r>
        <w:t xml:space="preserve">) with additional information about the content of the telephone interview and scheduling request.  </w:t>
      </w:r>
      <w:r w:rsidR="0035793B">
        <w:t xml:space="preserve"> </w:t>
      </w:r>
    </w:p>
    <w:p w14:paraId="402E7DF2" w14:textId="77777777" w:rsidR="00B12F9D" w:rsidRDefault="00B12F9D" w:rsidP="006B1467">
      <w:pPr>
        <w:spacing w:line="240" w:lineRule="auto"/>
        <w:ind w:left="360"/>
      </w:pPr>
    </w:p>
    <w:p w14:paraId="42BD13B5" w14:textId="7D7A9A62" w:rsidR="00CB3EB2" w:rsidRDefault="006B1467" w:rsidP="00CB3EB2">
      <w:pPr>
        <w:spacing w:line="240" w:lineRule="auto"/>
        <w:ind w:left="360"/>
      </w:pPr>
      <w:r>
        <w:t xml:space="preserve">Interviews will be conducted over the span of approximately 8 weeks. The telephone interviews will be conducted with each respondent individually by a two-member team: one interviewer and one note taker. Data collection teams will consist of </w:t>
      </w:r>
      <w:r w:rsidR="008C5843">
        <w:t xml:space="preserve">ASTHO </w:t>
      </w:r>
      <w:r>
        <w:t xml:space="preserve">project team members. The interviewer will read the </w:t>
      </w:r>
      <w:r w:rsidR="00CB3EB2">
        <w:t>telephone interview guide instructions</w:t>
      </w:r>
      <w:r>
        <w:t xml:space="preserve"> (see </w:t>
      </w:r>
      <w:r w:rsidRPr="006B1467">
        <w:rPr>
          <w:b/>
        </w:rPr>
        <w:t xml:space="preserve">Attachment </w:t>
      </w:r>
      <w:r w:rsidR="0035793B">
        <w:rPr>
          <w:b/>
        </w:rPr>
        <w:t>B</w:t>
      </w:r>
      <w:r w:rsidR="006630F4">
        <w:rPr>
          <w:b/>
        </w:rPr>
        <w:t>:</w:t>
      </w:r>
      <w:r w:rsidR="006630F4" w:rsidRPr="006B1467">
        <w:rPr>
          <w:b/>
        </w:rPr>
        <w:t xml:space="preserve"> </w:t>
      </w:r>
      <w:r w:rsidRPr="006B1467">
        <w:rPr>
          <w:b/>
        </w:rPr>
        <w:t>Telephone Interview Guide</w:t>
      </w:r>
      <w:r>
        <w:t xml:space="preserve">) to the respondent prior to beginning of the interview.  </w:t>
      </w:r>
      <w:r w:rsidR="00CB3EB2" w:rsidRPr="00CB3EB2">
        <w:t>Interviews will be recorded in order to capture the conversation accurately and subsequently transcribed. Verbal permission to be recorded will be obtained from the participant prior to the beginning of the interview.</w:t>
      </w:r>
      <w:r w:rsidR="00CB3EB2">
        <w:t xml:space="preserve"> </w:t>
      </w:r>
      <w:r>
        <w:t xml:space="preserve">The note taker will initiate recording using a commercial conference calling service and take written notes as back up. </w:t>
      </w:r>
    </w:p>
    <w:p w14:paraId="099E3348" w14:textId="77777777" w:rsidR="000A326B" w:rsidRDefault="000A326B" w:rsidP="006B1467">
      <w:pPr>
        <w:spacing w:line="240" w:lineRule="auto"/>
        <w:ind w:left="360"/>
      </w:pPr>
    </w:p>
    <w:p w14:paraId="3A19CEC6" w14:textId="56779CDA" w:rsidR="006B1467" w:rsidRDefault="006B1467" w:rsidP="006B1467">
      <w:pPr>
        <w:spacing w:line="240" w:lineRule="auto"/>
        <w:ind w:left="360"/>
      </w:pPr>
      <w:r>
        <w:t xml:space="preserve">When the telephone interviews are completed, a follow up email (see </w:t>
      </w:r>
      <w:r w:rsidRPr="008C5843">
        <w:rPr>
          <w:b/>
        </w:rPr>
        <w:t xml:space="preserve">Attachment </w:t>
      </w:r>
      <w:r w:rsidR="0035793B">
        <w:rPr>
          <w:b/>
        </w:rPr>
        <w:t>F</w:t>
      </w:r>
      <w:r w:rsidR="006630F4">
        <w:rPr>
          <w:rStyle w:val="CommentReference"/>
        </w:rPr>
        <w:t xml:space="preserve">: </w:t>
      </w:r>
      <w:r w:rsidRPr="008C5843">
        <w:rPr>
          <w:b/>
        </w:rPr>
        <w:t xml:space="preserve"> Follow-up email</w:t>
      </w:r>
      <w:r>
        <w:t xml:space="preserve">) will be sent </w:t>
      </w:r>
      <w:r w:rsidR="00B53884">
        <w:t xml:space="preserve">from an ASTHO team member </w:t>
      </w:r>
      <w:r>
        <w:t xml:space="preserve">to each respondent thanking them for their participation and letting them know whom to contact with further questions.  </w:t>
      </w:r>
    </w:p>
    <w:p w14:paraId="0B1E4B4A" w14:textId="77777777" w:rsidR="006B1467" w:rsidRDefault="006B1467" w:rsidP="006B1467">
      <w:pPr>
        <w:spacing w:line="240" w:lineRule="auto"/>
        <w:ind w:left="360"/>
      </w:pPr>
    </w:p>
    <w:p w14:paraId="7694E8AC" w14:textId="244C321E" w:rsidR="00CB3EB2" w:rsidRDefault="006B1467" w:rsidP="006B1467">
      <w:pPr>
        <w:spacing w:line="240" w:lineRule="auto"/>
        <w:ind w:left="360"/>
      </w:pPr>
      <w:r>
        <w:t>Once the information collection period has closed, interview audio files and supporting documents shared by respondents will be assigned an ID number</w:t>
      </w:r>
      <w:r w:rsidR="00B53884">
        <w:t xml:space="preserve"> by ASTHO</w:t>
      </w:r>
      <w:r>
        <w:t xml:space="preserve">.  </w:t>
      </w:r>
      <w:r w:rsidR="00EC3E60" w:rsidRPr="00EC3E60">
        <w:t xml:space="preserve">All information will be kept on secure, password protected servers accessible only to ASTHO project team members.  Data collected during the assessment will be shared only in aggregate form.  </w:t>
      </w:r>
    </w:p>
    <w:p w14:paraId="58ACD4F8" w14:textId="77777777" w:rsidR="00CB3EB2" w:rsidRDefault="00CB3EB2" w:rsidP="006B1467">
      <w:pPr>
        <w:spacing w:line="240" w:lineRule="auto"/>
        <w:ind w:left="360"/>
      </w:pPr>
    </w:p>
    <w:p w14:paraId="05DADA8C" w14:textId="139FF5BC" w:rsidR="00CB3EB2" w:rsidRDefault="006B1467" w:rsidP="00CB3EB2">
      <w:pPr>
        <w:ind w:left="360"/>
      </w:pPr>
      <w:r>
        <w:t xml:space="preserve">Interview files will be transcribed, cleaned and analyzed </w:t>
      </w:r>
      <w:r w:rsidR="00B53884">
        <w:t xml:space="preserve">by ASTHO </w:t>
      </w:r>
      <w:r>
        <w:t xml:space="preserve">using Dedoose software. A qualitative analysis approach will be used to conduct a thematic analysis of responses to open-ended questions.  </w:t>
      </w:r>
      <w:r w:rsidR="00CB3EB2">
        <w:t xml:space="preserve">The process will include independently coding each interview based on the list of variables and constructs to be analyzed.  At several predefined points in the coding process, codes will be refined, collapsed, and/or eliminated, as appropriate based on data collected. </w:t>
      </w:r>
    </w:p>
    <w:p w14:paraId="37FEDBC4" w14:textId="77777777" w:rsidR="00CB3EB2" w:rsidRDefault="00CB3EB2" w:rsidP="00CB3EB2">
      <w:pPr>
        <w:ind w:left="360"/>
      </w:pPr>
      <w:r>
        <w:t xml:space="preserve"> </w:t>
      </w:r>
    </w:p>
    <w:p w14:paraId="4741BCCE" w14:textId="1FACAA5B" w:rsidR="00CB3EB2" w:rsidRDefault="00CB3EB2" w:rsidP="00CB3EB2">
      <w:pPr>
        <w:ind w:left="360"/>
      </w:pPr>
      <w:r>
        <w:t xml:space="preserve">Once coding is completed, information will be grouped into larger themes and examined in relationship to other themes, interviewees, and states. </w:t>
      </w:r>
      <w:r w:rsidRPr="004B5266">
        <w:t>The constructs to be explored through qualitative analysis of interview transcripts will address process variables related to development, and implementation of state</w:t>
      </w:r>
      <w:r>
        <w:t>-level</w:t>
      </w:r>
      <w:r w:rsidRPr="004B5266">
        <w:t xml:space="preserve"> actions to enhance pre-hospital stroke systems of care</w:t>
      </w:r>
      <w:r>
        <w:t xml:space="preserve"> as well as </w:t>
      </w:r>
      <w:r w:rsidR="0035793B" w:rsidRPr="0035793B">
        <w:t>program improvement processes, outcomes, and sustainability</w:t>
      </w:r>
      <w:r w:rsidRPr="0035793B">
        <w:t>.</w:t>
      </w:r>
      <w:r w:rsidRPr="00AD6CEC">
        <w:t xml:space="preserve"> </w:t>
      </w:r>
    </w:p>
    <w:p w14:paraId="243B02B1" w14:textId="31B71BA8" w:rsidR="00691031" w:rsidRDefault="00691031" w:rsidP="006B1467">
      <w:pPr>
        <w:spacing w:line="240" w:lineRule="auto"/>
        <w:ind w:left="360"/>
      </w:pPr>
    </w:p>
    <w:p w14:paraId="5C3837CC" w14:textId="77777777" w:rsidR="009759F3" w:rsidRPr="009759F3" w:rsidRDefault="00287E2F" w:rsidP="002955E6">
      <w:pPr>
        <w:pStyle w:val="Heading4"/>
        <w:spacing w:after="0" w:line="240" w:lineRule="auto"/>
      </w:pPr>
      <w:bookmarkStart w:id="5" w:name="_Toc413847913"/>
      <w:r w:rsidRPr="00D26A64">
        <w:t>Methods to Maximize Response Rates</w:t>
      </w:r>
      <w:r w:rsidR="00F725B5">
        <w:t xml:space="preserve"> </w:t>
      </w:r>
      <w:r w:rsidR="009759F3" w:rsidRPr="009759F3">
        <w:t>Deal with Nonresponse</w:t>
      </w:r>
      <w:bookmarkEnd w:id="5"/>
    </w:p>
    <w:p w14:paraId="73C16346" w14:textId="77777777" w:rsidR="001D461D" w:rsidRDefault="001D461D" w:rsidP="002955E6">
      <w:pPr>
        <w:spacing w:line="240" w:lineRule="auto"/>
        <w:ind w:left="360"/>
        <w:rPr>
          <w:b/>
          <w:color w:val="0070C0"/>
        </w:rPr>
      </w:pPr>
    </w:p>
    <w:p w14:paraId="5D0A7049" w14:textId="77777777" w:rsidR="00991BF9" w:rsidRPr="001D2951" w:rsidRDefault="00991BF9" w:rsidP="001D461D">
      <w:pPr>
        <w:pStyle w:val="ListParagraph"/>
        <w:spacing w:line="240" w:lineRule="auto"/>
        <w:ind w:left="360"/>
        <w:rPr>
          <w:rFonts w:cs="Times New Roman"/>
        </w:rPr>
      </w:pPr>
      <w:r w:rsidRPr="001D2951">
        <w:rPr>
          <w:rFonts w:cs="Times New Roman"/>
        </w:rPr>
        <w:t xml:space="preserve">Although participation in the </w:t>
      </w:r>
      <w:r w:rsidR="00687C5F" w:rsidRPr="001D2951">
        <w:rPr>
          <w:rFonts w:cs="Times New Roman"/>
        </w:rPr>
        <w:t xml:space="preserve">data collection </w:t>
      </w:r>
      <w:r w:rsidRPr="001D2951">
        <w:rPr>
          <w:rFonts w:cs="Times New Roman"/>
        </w:rPr>
        <w:t xml:space="preserve">is voluntary, the </w:t>
      </w:r>
      <w:r w:rsidR="00687C5F" w:rsidRPr="001D2951">
        <w:rPr>
          <w:rFonts w:cs="Times New Roman"/>
        </w:rPr>
        <w:t xml:space="preserve">project team </w:t>
      </w:r>
      <w:r w:rsidR="006C1771">
        <w:rPr>
          <w:rFonts w:cs="Times New Roman"/>
        </w:rPr>
        <w:t xml:space="preserve">will make every </w:t>
      </w:r>
      <w:r w:rsidRPr="001D2951">
        <w:rPr>
          <w:rFonts w:cs="Times New Roman"/>
        </w:rPr>
        <w:t xml:space="preserve">effort to maximize the rate of response. The </w:t>
      </w:r>
      <w:r w:rsidR="00687C5F" w:rsidRPr="001D2951">
        <w:rPr>
          <w:rFonts w:cs="Times New Roman"/>
        </w:rPr>
        <w:t>data collection instrument</w:t>
      </w:r>
      <w:r w:rsidRPr="001D2951">
        <w:rPr>
          <w:rFonts w:cs="Times New Roman"/>
        </w:rPr>
        <w:t xml:space="preserve"> was designed with particular focus on streamlining questions to allow for skipping questions based on responses to previous questions, thereby minimizing response burden. </w:t>
      </w:r>
    </w:p>
    <w:p w14:paraId="74828419" w14:textId="77777777" w:rsidR="00687C5F" w:rsidRPr="001D2951" w:rsidRDefault="00687C5F" w:rsidP="001D461D">
      <w:pPr>
        <w:pStyle w:val="ListParagraph"/>
        <w:spacing w:line="240" w:lineRule="auto"/>
        <w:ind w:left="360"/>
        <w:rPr>
          <w:rFonts w:cs="Times New Roman"/>
        </w:rPr>
      </w:pPr>
    </w:p>
    <w:p w14:paraId="4E129C48" w14:textId="65B47CB0" w:rsidR="00F2628F" w:rsidRPr="00176E14" w:rsidRDefault="00EC6D3D" w:rsidP="001D461D">
      <w:pPr>
        <w:spacing w:line="240" w:lineRule="auto"/>
        <w:ind w:left="360"/>
        <w:rPr>
          <w:rFonts w:cs="Arial"/>
        </w:rPr>
      </w:pPr>
      <w:r w:rsidRPr="00EC6D3D">
        <w:rPr>
          <w:rFonts w:cs="Arial"/>
        </w:rPr>
        <w:t xml:space="preserve">The interview guide (see </w:t>
      </w:r>
      <w:r w:rsidRPr="00EC6D3D">
        <w:rPr>
          <w:rFonts w:cs="Arial"/>
          <w:b/>
        </w:rPr>
        <w:t xml:space="preserve">Attachment </w:t>
      </w:r>
      <w:r w:rsidR="0035793B">
        <w:rPr>
          <w:rFonts w:cs="Arial"/>
          <w:b/>
        </w:rPr>
        <w:t>B</w:t>
      </w:r>
      <w:r w:rsidR="006630F4">
        <w:rPr>
          <w:rFonts w:cs="Arial"/>
          <w:b/>
        </w:rPr>
        <w:t>:</w:t>
      </w:r>
      <w:r w:rsidR="00AF41B4">
        <w:rPr>
          <w:rFonts w:cs="Arial"/>
          <w:b/>
        </w:rPr>
        <w:t xml:space="preserve"> </w:t>
      </w:r>
      <w:r w:rsidRPr="00EC6D3D">
        <w:rPr>
          <w:rFonts w:cs="Arial"/>
          <w:b/>
        </w:rPr>
        <w:t>Telephone Interview Guide</w:t>
      </w:r>
      <w:r w:rsidRPr="00EC6D3D">
        <w:rPr>
          <w:rFonts w:cs="Arial"/>
        </w:rPr>
        <w:t xml:space="preserve">) was designed to collect the minimum information necessary for the purposes of this project (i.e., limited to </w:t>
      </w:r>
      <w:r w:rsidR="00E52B27">
        <w:rPr>
          <w:rFonts w:cs="Arial"/>
        </w:rPr>
        <w:t xml:space="preserve">29 </w:t>
      </w:r>
      <w:r w:rsidRPr="00EC6D3D">
        <w:rPr>
          <w:rFonts w:cs="Arial"/>
        </w:rPr>
        <w:t xml:space="preserve">questions). A reminder email (see </w:t>
      </w:r>
      <w:r w:rsidRPr="00EC6D3D">
        <w:rPr>
          <w:rFonts w:cs="Arial"/>
          <w:b/>
        </w:rPr>
        <w:t xml:space="preserve">Attachment </w:t>
      </w:r>
      <w:r w:rsidR="0035793B">
        <w:rPr>
          <w:rFonts w:cs="Arial"/>
          <w:b/>
        </w:rPr>
        <w:t>D</w:t>
      </w:r>
      <w:r w:rsidR="006630F4">
        <w:rPr>
          <w:rFonts w:cs="Arial"/>
          <w:b/>
        </w:rPr>
        <w:t>:</w:t>
      </w:r>
      <w:r w:rsidRPr="00EC6D3D">
        <w:rPr>
          <w:rFonts w:cs="Arial"/>
          <w:b/>
        </w:rPr>
        <w:t xml:space="preserve"> Email Reminder</w:t>
      </w:r>
      <w:r w:rsidRPr="00EC6D3D">
        <w:rPr>
          <w:rFonts w:cs="Arial"/>
        </w:rPr>
        <w:t xml:space="preserve">) will be sent to those who have not responded to initial invitation within 10 business days.  </w:t>
      </w:r>
      <w:r w:rsidRPr="003161B9">
        <w:rPr>
          <w:rFonts w:cs="Arial"/>
        </w:rPr>
        <w:t xml:space="preserve">Those who do not respond </w:t>
      </w:r>
      <w:r w:rsidRPr="00E52B27">
        <w:rPr>
          <w:rFonts w:cs="Arial"/>
        </w:rPr>
        <w:t xml:space="preserve">within 20 business </w:t>
      </w:r>
      <w:r w:rsidRPr="001D2951">
        <w:rPr>
          <w:rFonts w:cs="Arial"/>
        </w:rPr>
        <w:t>days from the reminder email will be considered non-responders.</w:t>
      </w:r>
      <w:r>
        <w:rPr>
          <w:rFonts w:cs="Arial"/>
        </w:rPr>
        <w:t xml:space="preserve"> </w:t>
      </w:r>
    </w:p>
    <w:p w14:paraId="3B0250E5" w14:textId="77777777" w:rsidR="00691031" w:rsidRPr="00176E14" w:rsidRDefault="00691031" w:rsidP="001D461D">
      <w:pPr>
        <w:spacing w:line="240" w:lineRule="auto"/>
        <w:ind w:left="360"/>
        <w:rPr>
          <w:rFonts w:cs="Arial"/>
        </w:rPr>
      </w:pPr>
    </w:p>
    <w:p w14:paraId="62E639C1" w14:textId="77777777" w:rsidR="00F52BCC" w:rsidRPr="009759F3" w:rsidRDefault="00287E2F" w:rsidP="002955E6">
      <w:pPr>
        <w:pStyle w:val="Heading4"/>
        <w:spacing w:after="0" w:line="240" w:lineRule="auto"/>
      </w:pPr>
      <w:bookmarkStart w:id="6" w:name="_Toc413847914"/>
      <w:r w:rsidRPr="005F3FEF">
        <w:t xml:space="preserve">Test of Procedures </w:t>
      </w:r>
      <w:r w:rsidR="009759F3" w:rsidRPr="009759F3">
        <w:t>or Methods to be Undertaken</w:t>
      </w:r>
      <w:bookmarkEnd w:id="6"/>
    </w:p>
    <w:p w14:paraId="354295C7" w14:textId="77777777" w:rsidR="00865573" w:rsidRDefault="00865573" w:rsidP="002955E6">
      <w:pPr>
        <w:spacing w:line="240" w:lineRule="auto"/>
        <w:ind w:left="360"/>
        <w:rPr>
          <w:color w:val="000000"/>
          <w:lang w:eastAsia="zh-CN"/>
        </w:rPr>
      </w:pPr>
    </w:p>
    <w:p w14:paraId="5678C603" w14:textId="1709A63F" w:rsidR="004D70EE" w:rsidRPr="008C25FD" w:rsidRDefault="00991BF9" w:rsidP="002955E6">
      <w:pPr>
        <w:spacing w:line="240" w:lineRule="auto"/>
        <w:ind w:left="360"/>
        <w:rPr>
          <w:color w:val="000000"/>
          <w:lang w:eastAsia="zh-CN"/>
        </w:rPr>
      </w:pPr>
      <w:r w:rsidRPr="001D2951">
        <w:rPr>
          <w:color w:val="000000"/>
          <w:lang w:eastAsia="zh-CN"/>
        </w:rPr>
        <w:t xml:space="preserve">The estimate for burden hours is based on a pilot test of the </w:t>
      </w:r>
      <w:r w:rsidR="00487E55">
        <w:rPr>
          <w:color w:val="000000"/>
          <w:lang w:eastAsia="zh-CN"/>
        </w:rPr>
        <w:t>data collection</w:t>
      </w:r>
      <w:r w:rsidRPr="001D2951">
        <w:rPr>
          <w:color w:val="000000"/>
          <w:lang w:eastAsia="zh-CN"/>
        </w:rPr>
        <w:t xml:space="preserve"> instrument by </w:t>
      </w:r>
      <w:r w:rsidR="00547385">
        <w:rPr>
          <w:lang w:eastAsia="zh-CN"/>
        </w:rPr>
        <w:t xml:space="preserve">three </w:t>
      </w:r>
      <w:r w:rsidRPr="003161B9">
        <w:rPr>
          <w:color w:val="000000"/>
          <w:lang w:eastAsia="zh-CN"/>
        </w:rPr>
        <w:t xml:space="preserve">public health professionals. In the pilot test, the average time to complete the instrument including time for reviewing instructions, gathering needed information and completing the instrument, </w:t>
      </w:r>
      <w:r w:rsidRPr="008C25FD">
        <w:rPr>
          <w:color w:val="000000"/>
          <w:lang w:eastAsia="zh-CN"/>
        </w:rPr>
        <w:t xml:space="preserve">was approximately </w:t>
      </w:r>
      <w:r w:rsidR="006665D4">
        <w:rPr>
          <w:color w:val="000000"/>
          <w:lang w:eastAsia="zh-CN"/>
        </w:rPr>
        <w:t>70</w:t>
      </w:r>
      <w:r w:rsidRPr="008C25FD">
        <w:rPr>
          <w:color w:val="000000"/>
          <w:lang w:eastAsia="zh-CN"/>
        </w:rPr>
        <w:t xml:space="preserve"> minutes</w:t>
      </w:r>
      <w:r w:rsidR="0069580C" w:rsidRPr="008C25FD">
        <w:rPr>
          <w:color w:val="000000"/>
          <w:lang w:eastAsia="zh-CN"/>
        </w:rPr>
        <w:t xml:space="preserve"> (range: </w:t>
      </w:r>
      <w:r w:rsidR="00C27C29" w:rsidRPr="008C25FD">
        <w:rPr>
          <w:color w:val="000000"/>
          <w:lang w:eastAsia="zh-CN"/>
        </w:rPr>
        <w:t>60</w:t>
      </w:r>
      <w:r w:rsidR="0069580C" w:rsidRPr="008C25FD">
        <w:rPr>
          <w:color w:val="000000"/>
          <w:lang w:eastAsia="zh-CN"/>
        </w:rPr>
        <w:t xml:space="preserve"> to </w:t>
      </w:r>
      <w:r w:rsidR="00C27C29" w:rsidRPr="008C25FD">
        <w:rPr>
          <w:color w:val="000000"/>
          <w:lang w:eastAsia="zh-CN"/>
        </w:rPr>
        <w:t>90</w:t>
      </w:r>
      <w:r w:rsidR="0069580C" w:rsidRPr="008C25FD">
        <w:rPr>
          <w:color w:val="000000"/>
          <w:lang w:eastAsia="zh-CN"/>
        </w:rPr>
        <w:t xml:space="preserve"> minutes)</w:t>
      </w:r>
      <w:r w:rsidRPr="008C25FD">
        <w:rPr>
          <w:color w:val="000000"/>
          <w:lang w:eastAsia="zh-CN"/>
        </w:rPr>
        <w:t xml:space="preserve">. For the purposes of estimating burden hours, the upper limit of this range (i.e., </w:t>
      </w:r>
      <w:r w:rsidR="00C27C29" w:rsidRPr="008C25FD">
        <w:rPr>
          <w:color w:val="000000"/>
          <w:lang w:eastAsia="zh-CN"/>
        </w:rPr>
        <w:t>90</w:t>
      </w:r>
      <w:r w:rsidRPr="008C25FD">
        <w:rPr>
          <w:color w:val="000000"/>
          <w:lang w:eastAsia="zh-CN"/>
        </w:rPr>
        <w:t xml:space="preserve"> minutes) is used</w:t>
      </w:r>
      <w:r w:rsidRPr="001D2951">
        <w:rPr>
          <w:color w:val="000000"/>
          <w:lang w:eastAsia="zh-CN"/>
        </w:rPr>
        <w:t>.</w:t>
      </w:r>
    </w:p>
    <w:p w14:paraId="6BCDD66C" w14:textId="376811F4" w:rsidR="006A5D00" w:rsidRDefault="006A5D00" w:rsidP="00C01A48">
      <w:pPr>
        <w:spacing w:line="240" w:lineRule="auto"/>
        <w:ind w:left="360"/>
      </w:pPr>
    </w:p>
    <w:p w14:paraId="58800A26" w14:textId="77777777" w:rsidR="009759F3" w:rsidRDefault="009759F3" w:rsidP="002955E6">
      <w:pPr>
        <w:pStyle w:val="Heading4"/>
        <w:spacing w:after="0" w:line="240" w:lineRule="auto"/>
      </w:pPr>
      <w:bookmarkStart w:id="7" w:name="_Toc413847915"/>
      <w:r w:rsidRPr="009759F3">
        <w:t>Individuals Consulted on Statistical Aspects and Individuals Collecting and/or Analyzing Data</w:t>
      </w:r>
      <w:bookmarkEnd w:id="7"/>
    </w:p>
    <w:p w14:paraId="43124924" w14:textId="77777777" w:rsidR="00F27049" w:rsidRDefault="00F27049" w:rsidP="002955E6">
      <w:pPr>
        <w:spacing w:line="240" w:lineRule="auto"/>
        <w:ind w:left="360"/>
        <w:rPr>
          <w:b/>
          <w:color w:val="0070C0"/>
        </w:rPr>
      </w:pPr>
    </w:p>
    <w:p w14:paraId="2F8CD527" w14:textId="77777777" w:rsidR="002C5C1F" w:rsidRDefault="002C5C1F" w:rsidP="002C5C1F">
      <w:pPr>
        <w:ind w:left="0"/>
      </w:pPr>
      <w:r>
        <w:t xml:space="preserve">Colleen Barbero, </w:t>
      </w:r>
      <w:r w:rsidRPr="00957705">
        <w:t>MPPA, PhD</w:t>
      </w:r>
    </w:p>
    <w:p w14:paraId="48DA024C" w14:textId="77777777" w:rsidR="002C5C1F" w:rsidRDefault="002C5C1F" w:rsidP="002C5C1F">
      <w:pPr>
        <w:ind w:left="0"/>
      </w:pPr>
      <w:r w:rsidRPr="00957705">
        <w:t>Health Scientist</w:t>
      </w:r>
    </w:p>
    <w:p w14:paraId="6E97023C" w14:textId="77777777" w:rsidR="002C5C1F" w:rsidRDefault="002C5C1F" w:rsidP="002C5C1F">
      <w:pPr>
        <w:ind w:left="0"/>
      </w:pPr>
      <w:r>
        <w:t>Division for Heart Disease and Stroke Prevention, NCCDPHP, CDC</w:t>
      </w:r>
    </w:p>
    <w:p w14:paraId="323DB5D4" w14:textId="77777777" w:rsidR="002C5C1F" w:rsidRDefault="002C5C1F" w:rsidP="002C5C1F">
      <w:pPr>
        <w:ind w:left="0"/>
      </w:pPr>
      <w:r>
        <w:t>Phone: 770-488-7311</w:t>
      </w:r>
    </w:p>
    <w:p w14:paraId="04754D93" w14:textId="77777777" w:rsidR="002C5C1F" w:rsidRDefault="002C5C1F" w:rsidP="002C5C1F">
      <w:pPr>
        <w:ind w:left="0"/>
      </w:pPr>
      <w:r>
        <w:t xml:space="preserve">Email: </w:t>
      </w:r>
      <w:hyperlink r:id="rId15" w:history="1">
        <w:r w:rsidRPr="0054109E">
          <w:rPr>
            <w:rStyle w:val="Hyperlink"/>
          </w:rPr>
          <w:t>vrm5@cdc.gov</w:t>
        </w:r>
      </w:hyperlink>
    </w:p>
    <w:p w14:paraId="232DC5CA" w14:textId="77777777" w:rsidR="002C5C1F" w:rsidRDefault="002C5C1F" w:rsidP="002C5C1F">
      <w:pPr>
        <w:ind w:left="0"/>
      </w:pPr>
    </w:p>
    <w:p w14:paraId="2E099181" w14:textId="77777777" w:rsidR="002C5C1F" w:rsidRDefault="002C5C1F" w:rsidP="002C5C1F">
      <w:pPr>
        <w:ind w:left="0"/>
      </w:pPr>
      <w:r>
        <w:t>Erika Fulmer, MHA</w:t>
      </w:r>
    </w:p>
    <w:p w14:paraId="401FC167" w14:textId="77777777" w:rsidR="002C5C1F" w:rsidRDefault="002C5C1F" w:rsidP="002C5C1F">
      <w:pPr>
        <w:ind w:left="0"/>
      </w:pPr>
      <w:r>
        <w:t>Policy Analyst</w:t>
      </w:r>
    </w:p>
    <w:p w14:paraId="1D4B6775" w14:textId="77777777" w:rsidR="002C5C1F" w:rsidRDefault="002C5C1F" w:rsidP="002C5C1F">
      <w:pPr>
        <w:ind w:left="0"/>
      </w:pPr>
      <w:r>
        <w:t>Division for Heart Disease and Stroke Prevention, NCCDPHP, CDC</w:t>
      </w:r>
    </w:p>
    <w:p w14:paraId="70CCC194" w14:textId="77777777" w:rsidR="002C5C1F" w:rsidRDefault="002C5C1F" w:rsidP="002C5C1F">
      <w:pPr>
        <w:ind w:left="0"/>
      </w:pPr>
      <w:r>
        <w:t>Phone: 770-488-5334</w:t>
      </w:r>
    </w:p>
    <w:p w14:paraId="7A2B2EF1" w14:textId="77777777" w:rsidR="002C5C1F" w:rsidRDefault="002C5C1F" w:rsidP="002C5C1F">
      <w:pPr>
        <w:ind w:left="0"/>
        <w:rPr>
          <w:rStyle w:val="Hyperlink"/>
        </w:rPr>
      </w:pPr>
      <w:r>
        <w:t xml:space="preserve">Email: </w:t>
      </w:r>
      <w:hyperlink r:id="rId16" w:history="1">
        <w:r w:rsidRPr="0054109E">
          <w:rPr>
            <w:rStyle w:val="Hyperlink"/>
          </w:rPr>
          <w:t>duj2@cdc.gov</w:t>
        </w:r>
      </w:hyperlink>
    </w:p>
    <w:p w14:paraId="65B4CE35" w14:textId="77777777" w:rsidR="002C5C1F" w:rsidRDefault="002C5C1F" w:rsidP="002C5C1F">
      <w:pPr>
        <w:spacing w:line="240" w:lineRule="auto"/>
        <w:ind w:left="0"/>
        <w:rPr>
          <w:color w:val="0070C0"/>
        </w:rPr>
      </w:pPr>
    </w:p>
    <w:p w14:paraId="6457AE6E" w14:textId="77777777" w:rsidR="002C5C1F" w:rsidRPr="00E3373F" w:rsidRDefault="002C5C1F" w:rsidP="002C5C1F">
      <w:pPr>
        <w:spacing w:line="240" w:lineRule="auto"/>
        <w:ind w:left="0"/>
      </w:pPr>
      <w:r w:rsidRPr="00E3373F">
        <w:t>Alicia D. Smith, MPH</w:t>
      </w:r>
    </w:p>
    <w:p w14:paraId="12CB9060" w14:textId="77777777" w:rsidR="002C5C1F" w:rsidRPr="00E3373F" w:rsidRDefault="002C5C1F" w:rsidP="002C5C1F">
      <w:pPr>
        <w:spacing w:line="240" w:lineRule="auto"/>
        <w:ind w:left="0"/>
      </w:pPr>
      <w:r w:rsidRPr="00E3373F">
        <w:t>Director, Chronic Disease Prevention</w:t>
      </w:r>
    </w:p>
    <w:p w14:paraId="266E6142" w14:textId="77777777" w:rsidR="002C5C1F" w:rsidRPr="00E3373F" w:rsidRDefault="002C5C1F" w:rsidP="002C5C1F">
      <w:pPr>
        <w:spacing w:line="240" w:lineRule="auto"/>
        <w:ind w:left="0"/>
      </w:pPr>
      <w:r w:rsidRPr="00E3373F">
        <w:t>Association of State and Territorial Health Officials</w:t>
      </w:r>
    </w:p>
    <w:p w14:paraId="7395E529" w14:textId="77777777" w:rsidR="002C5C1F" w:rsidRPr="00E3373F" w:rsidRDefault="002C5C1F" w:rsidP="002C5C1F">
      <w:pPr>
        <w:spacing w:line="240" w:lineRule="auto"/>
        <w:ind w:left="0"/>
      </w:pPr>
      <w:r w:rsidRPr="00E3373F">
        <w:t>Phone: (571) 318-5464</w:t>
      </w:r>
    </w:p>
    <w:p w14:paraId="58853AF9" w14:textId="77777777" w:rsidR="002C5C1F" w:rsidRDefault="002C5C1F" w:rsidP="002C5C1F">
      <w:pPr>
        <w:spacing w:line="240" w:lineRule="auto"/>
        <w:ind w:left="0"/>
        <w:rPr>
          <w:color w:val="0070C0"/>
        </w:rPr>
      </w:pPr>
      <w:r w:rsidRPr="00E3373F">
        <w:t xml:space="preserve">Email: </w:t>
      </w:r>
      <w:hyperlink r:id="rId17" w:history="1">
        <w:r w:rsidR="00E3373F" w:rsidRPr="00D475F9">
          <w:rPr>
            <w:rStyle w:val="Hyperlink"/>
          </w:rPr>
          <w:t>asmith@astho.org</w:t>
        </w:r>
      </w:hyperlink>
    </w:p>
    <w:p w14:paraId="0A343DA6" w14:textId="77777777" w:rsidR="00C27C29" w:rsidRDefault="00C27C29" w:rsidP="00E3373F">
      <w:pPr>
        <w:spacing w:line="240" w:lineRule="auto"/>
        <w:ind w:left="0"/>
        <w:rPr>
          <w:highlight w:val="yellow"/>
        </w:rPr>
      </w:pPr>
    </w:p>
    <w:p w14:paraId="4E3A05F2" w14:textId="77777777" w:rsidR="00B53884" w:rsidRDefault="00B53884" w:rsidP="00B53884">
      <w:pPr>
        <w:spacing w:line="240" w:lineRule="auto"/>
        <w:ind w:left="0"/>
      </w:pPr>
      <w:r>
        <w:t>Eboneka Coleman</w:t>
      </w:r>
    </w:p>
    <w:p w14:paraId="230302D6" w14:textId="77777777" w:rsidR="00B53884" w:rsidRDefault="00B53884" w:rsidP="00B53884">
      <w:pPr>
        <w:spacing w:line="240" w:lineRule="auto"/>
        <w:ind w:left="0"/>
      </w:pPr>
      <w:r>
        <w:t>Analyst, Chronic Disease Prevention</w:t>
      </w:r>
    </w:p>
    <w:p w14:paraId="45909120" w14:textId="77777777" w:rsidR="00B53884" w:rsidRDefault="00B53884" w:rsidP="00B53884">
      <w:pPr>
        <w:spacing w:line="240" w:lineRule="auto"/>
        <w:ind w:left="0"/>
      </w:pPr>
      <w:r>
        <w:t>Association of State and Territorial Health Officials</w:t>
      </w:r>
    </w:p>
    <w:p w14:paraId="42497B66" w14:textId="2857BA01" w:rsidR="00B53884" w:rsidRDefault="00B53884" w:rsidP="00B53884">
      <w:pPr>
        <w:spacing w:line="240" w:lineRule="auto"/>
        <w:ind w:left="0"/>
      </w:pPr>
      <w:r>
        <w:t>Phone:</w:t>
      </w:r>
      <w:r w:rsidRPr="00B53884">
        <w:t xml:space="preserve"> </w:t>
      </w:r>
      <w:r>
        <w:t xml:space="preserve">(571) </w:t>
      </w:r>
      <w:r w:rsidRPr="00B53884">
        <w:t>527-3160</w:t>
      </w:r>
    </w:p>
    <w:p w14:paraId="5B5B9C2F" w14:textId="712D40ED" w:rsidR="00B53884" w:rsidRDefault="00B53884" w:rsidP="00B53884">
      <w:pPr>
        <w:spacing w:line="240" w:lineRule="auto"/>
        <w:ind w:left="0"/>
      </w:pPr>
      <w:r>
        <w:t xml:space="preserve">Email: </w:t>
      </w:r>
      <w:hyperlink r:id="rId18" w:history="1">
        <w:r w:rsidRPr="009104A4">
          <w:rPr>
            <w:rStyle w:val="Hyperlink"/>
          </w:rPr>
          <w:t>ecoleman@astho.org</w:t>
        </w:r>
      </w:hyperlink>
      <w:r>
        <w:t xml:space="preserve"> </w:t>
      </w:r>
    </w:p>
    <w:p w14:paraId="6A459D87" w14:textId="77777777" w:rsidR="00B53884" w:rsidRDefault="00B53884" w:rsidP="00E3373F">
      <w:pPr>
        <w:spacing w:line="240" w:lineRule="auto"/>
        <w:ind w:left="0"/>
      </w:pPr>
    </w:p>
    <w:p w14:paraId="112DBEF5" w14:textId="47CEF97A" w:rsidR="00497BC1" w:rsidRPr="008C25FD" w:rsidRDefault="00E3373F" w:rsidP="00E3373F">
      <w:pPr>
        <w:spacing w:line="240" w:lineRule="auto"/>
        <w:ind w:left="0"/>
      </w:pPr>
      <w:r w:rsidRPr="008C25FD">
        <w:t>Paris Harper-Hardy</w:t>
      </w:r>
    </w:p>
    <w:p w14:paraId="23037294" w14:textId="77777777" w:rsidR="00C27C29" w:rsidRPr="00E3373F" w:rsidRDefault="00C27C29" w:rsidP="00C27C29">
      <w:pPr>
        <w:spacing w:line="240" w:lineRule="auto"/>
        <w:ind w:left="0"/>
      </w:pPr>
      <w:r>
        <w:t xml:space="preserve">Senior Analyst, </w:t>
      </w:r>
      <w:r w:rsidR="00C45ADA">
        <w:t xml:space="preserve">Research and </w:t>
      </w:r>
      <w:r>
        <w:t>Evaluation</w:t>
      </w:r>
    </w:p>
    <w:p w14:paraId="564F6CBC" w14:textId="77777777" w:rsidR="00C27C29" w:rsidRPr="00E3373F" w:rsidRDefault="00C27C29" w:rsidP="00C27C29">
      <w:pPr>
        <w:spacing w:line="240" w:lineRule="auto"/>
        <w:ind w:left="0"/>
      </w:pPr>
      <w:r w:rsidRPr="00E3373F">
        <w:t>Association of State and Territorial Health Officials</w:t>
      </w:r>
    </w:p>
    <w:p w14:paraId="400B4163" w14:textId="77777777" w:rsidR="00C27C29" w:rsidRPr="00E3373F" w:rsidRDefault="00C27C29" w:rsidP="00C27C29">
      <w:pPr>
        <w:spacing w:line="240" w:lineRule="auto"/>
        <w:ind w:left="0"/>
      </w:pPr>
      <w:r w:rsidRPr="00E3373F">
        <w:t xml:space="preserve">Phone: (571) </w:t>
      </w:r>
      <w:r>
        <w:t>527</w:t>
      </w:r>
      <w:r w:rsidRPr="00E3373F">
        <w:t>-</w:t>
      </w:r>
      <w:r>
        <w:t>3162</w:t>
      </w:r>
    </w:p>
    <w:p w14:paraId="0AD84BAF" w14:textId="77777777" w:rsidR="00C27C29" w:rsidRDefault="00C27C29" w:rsidP="00C27C29">
      <w:pPr>
        <w:spacing w:line="240" w:lineRule="auto"/>
        <w:ind w:left="0"/>
        <w:rPr>
          <w:color w:val="0070C0"/>
        </w:rPr>
      </w:pPr>
      <w:r w:rsidRPr="00E3373F">
        <w:t xml:space="preserve">Email: </w:t>
      </w:r>
      <w:hyperlink r:id="rId19" w:history="1">
        <w:r w:rsidRPr="0071225A">
          <w:rPr>
            <w:rStyle w:val="Hyperlink"/>
          </w:rPr>
          <w:t>pharper-hardy@astho.org</w:t>
        </w:r>
      </w:hyperlink>
      <w:r>
        <w:rPr>
          <w:rStyle w:val="Hyperlink"/>
        </w:rPr>
        <w:t xml:space="preserve"> </w:t>
      </w:r>
    </w:p>
    <w:p w14:paraId="26DC2E73" w14:textId="77777777" w:rsidR="00865573" w:rsidRPr="004D70EE" w:rsidRDefault="00865573" w:rsidP="002955E6">
      <w:pPr>
        <w:spacing w:line="240" w:lineRule="auto"/>
        <w:ind w:left="360"/>
        <w:rPr>
          <w:rStyle w:val="Hyperlink"/>
          <w:color w:val="0070C0"/>
        </w:rPr>
      </w:pPr>
    </w:p>
    <w:p w14:paraId="67EEBC41" w14:textId="77777777" w:rsidR="00B4484F" w:rsidRPr="00B4484F" w:rsidRDefault="00B4484F" w:rsidP="00B4484F">
      <w:pPr>
        <w:spacing w:line="240" w:lineRule="auto"/>
        <w:ind w:left="0"/>
        <w:rPr>
          <w:highlight w:val="yellow"/>
        </w:rPr>
      </w:pPr>
      <w:r w:rsidRPr="008C25FD">
        <w:t>Emily Peterman</w:t>
      </w:r>
    </w:p>
    <w:p w14:paraId="4CB8F895" w14:textId="77777777" w:rsidR="00C27C29" w:rsidRPr="00E3373F" w:rsidRDefault="00C27C29" w:rsidP="00C27C29">
      <w:pPr>
        <w:spacing w:line="240" w:lineRule="auto"/>
        <w:ind w:left="0"/>
      </w:pPr>
      <w:r w:rsidRPr="00E3373F">
        <w:t xml:space="preserve">Director, </w:t>
      </w:r>
      <w:r>
        <w:t>Research &amp; Evaluation</w:t>
      </w:r>
    </w:p>
    <w:p w14:paraId="6F254657" w14:textId="77777777" w:rsidR="00C27C29" w:rsidRPr="00E3373F" w:rsidRDefault="00C27C29" w:rsidP="00C27C29">
      <w:pPr>
        <w:spacing w:line="240" w:lineRule="auto"/>
        <w:ind w:left="0"/>
      </w:pPr>
      <w:r w:rsidRPr="00E3373F">
        <w:t>Association of State and Territorial Health Officials</w:t>
      </w:r>
    </w:p>
    <w:p w14:paraId="04086C1F" w14:textId="77777777" w:rsidR="00C27C29" w:rsidRPr="00E3373F" w:rsidRDefault="00C27C29" w:rsidP="00C27C29">
      <w:pPr>
        <w:spacing w:line="240" w:lineRule="auto"/>
        <w:ind w:left="0"/>
      </w:pPr>
      <w:r w:rsidRPr="00E3373F">
        <w:t>Phone: (571) 318-54</w:t>
      </w:r>
      <w:r>
        <w:t>35</w:t>
      </w:r>
    </w:p>
    <w:p w14:paraId="5228A61F" w14:textId="77777777" w:rsidR="00C27C29" w:rsidRDefault="00C27C29" w:rsidP="00C27C29">
      <w:pPr>
        <w:spacing w:line="240" w:lineRule="auto"/>
        <w:ind w:left="0"/>
        <w:rPr>
          <w:rStyle w:val="Hyperlink"/>
        </w:rPr>
      </w:pPr>
      <w:r w:rsidRPr="00E3373F">
        <w:t xml:space="preserve">Email: </w:t>
      </w:r>
      <w:hyperlink r:id="rId20" w:history="1">
        <w:r w:rsidRPr="0071225A">
          <w:rPr>
            <w:rStyle w:val="Hyperlink"/>
          </w:rPr>
          <w:t>epeterman@astho.org</w:t>
        </w:r>
      </w:hyperlink>
    </w:p>
    <w:p w14:paraId="7C79CA53" w14:textId="77777777" w:rsidR="00C27C29" w:rsidRDefault="00C27C29" w:rsidP="00C27C29">
      <w:pPr>
        <w:spacing w:line="240" w:lineRule="auto"/>
        <w:ind w:left="0"/>
        <w:rPr>
          <w:color w:val="0070C0"/>
        </w:rPr>
      </w:pPr>
    </w:p>
    <w:p w14:paraId="6753D4E6" w14:textId="77777777" w:rsidR="00C27C29" w:rsidRPr="008C25FD" w:rsidRDefault="00C27C29" w:rsidP="00C27C29">
      <w:pPr>
        <w:spacing w:line="240" w:lineRule="auto"/>
        <w:ind w:left="0"/>
      </w:pPr>
      <w:r w:rsidRPr="008C25FD">
        <w:t>Allen Rakotoniaina</w:t>
      </w:r>
    </w:p>
    <w:p w14:paraId="161B7A69" w14:textId="77777777" w:rsidR="00C27C29" w:rsidRPr="00E3373F" w:rsidRDefault="00C27C29" w:rsidP="00C27C29">
      <w:pPr>
        <w:spacing w:line="240" w:lineRule="auto"/>
        <w:ind w:left="0"/>
      </w:pPr>
      <w:r>
        <w:t>Analyst</w:t>
      </w:r>
      <w:r w:rsidRPr="00E3373F">
        <w:t xml:space="preserve">, </w:t>
      </w:r>
      <w:r>
        <w:t>Research &amp; Evaluation</w:t>
      </w:r>
    </w:p>
    <w:p w14:paraId="3733D57A" w14:textId="77777777" w:rsidR="00C27C29" w:rsidRPr="00E3373F" w:rsidRDefault="00C27C29" w:rsidP="00C27C29">
      <w:pPr>
        <w:spacing w:line="240" w:lineRule="auto"/>
        <w:ind w:left="0"/>
      </w:pPr>
      <w:r w:rsidRPr="00E3373F">
        <w:t>Association of State and Territorial Health Officials</w:t>
      </w:r>
    </w:p>
    <w:p w14:paraId="5A918029" w14:textId="77777777" w:rsidR="00C27C29" w:rsidRPr="00E3373F" w:rsidRDefault="00C27C29" w:rsidP="00C27C29">
      <w:pPr>
        <w:spacing w:line="240" w:lineRule="auto"/>
        <w:ind w:left="0"/>
      </w:pPr>
      <w:r w:rsidRPr="00E3373F">
        <w:t>Phone: (571) 318-54</w:t>
      </w:r>
      <w:r>
        <w:t>35</w:t>
      </w:r>
    </w:p>
    <w:p w14:paraId="1AEE92BE" w14:textId="77777777" w:rsidR="00865573" w:rsidRDefault="00C27C29" w:rsidP="00C27C29">
      <w:pPr>
        <w:spacing w:line="240" w:lineRule="auto"/>
        <w:ind w:left="0"/>
        <w:rPr>
          <w:rStyle w:val="Hyperlink"/>
          <w:b/>
          <w:color w:val="0070C0"/>
        </w:rPr>
      </w:pPr>
      <w:r w:rsidRPr="00E3373F">
        <w:t>Email:</w:t>
      </w:r>
      <w:r>
        <w:t xml:space="preserve"> </w:t>
      </w:r>
      <w:hyperlink r:id="rId21" w:history="1">
        <w:r w:rsidRPr="0071225A">
          <w:rPr>
            <w:rStyle w:val="Hyperlink"/>
          </w:rPr>
          <w:t>arakotoniaina@astho.org</w:t>
        </w:r>
      </w:hyperlink>
      <w:r>
        <w:t xml:space="preserve"> </w:t>
      </w:r>
    </w:p>
    <w:p w14:paraId="4D804170" w14:textId="40DF98E3" w:rsidR="00B4484F" w:rsidRDefault="00B4484F" w:rsidP="00B4484F">
      <w:pPr>
        <w:spacing w:line="240" w:lineRule="auto"/>
        <w:ind w:left="0"/>
        <w:rPr>
          <w:rStyle w:val="Hyperlink"/>
          <w:b/>
          <w:color w:val="0070C0"/>
        </w:rPr>
      </w:pPr>
    </w:p>
    <w:p w14:paraId="4C5B4B4A" w14:textId="4D6F2491" w:rsidR="00B4484F" w:rsidRPr="00865573" w:rsidRDefault="00B4484F" w:rsidP="00B4484F">
      <w:pPr>
        <w:spacing w:line="240" w:lineRule="auto"/>
        <w:ind w:left="0"/>
        <w:rPr>
          <w:rStyle w:val="Hyperlink"/>
          <w:b/>
          <w:color w:val="0070C0"/>
        </w:rPr>
      </w:pPr>
    </w:p>
    <w:p w14:paraId="65643B69" w14:textId="77777777" w:rsidR="00A36419" w:rsidRPr="00BC6896" w:rsidRDefault="00A36419" w:rsidP="002955E6">
      <w:pPr>
        <w:pStyle w:val="Heading3"/>
        <w:spacing w:line="240" w:lineRule="auto"/>
      </w:pPr>
      <w:bookmarkStart w:id="8" w:name="_Toc413847916"/>
      <w:r w:rsidRPr="00BC6896">
        <w:t>LIST OF ATTACHMENTS</w:t>
      </w:r>
      <w:r w:rsidR="00E24C20" w:rsidRPr="00BC6896">
        <w:t xml:space="preserve"> – Section B</w:t>
      </w:r>
      <w:bookmarkEnd w:id="8"/>
    </w:p>
    <w:p w14:paraId="577CA186" w14:textId="3637C60C" w:rsidR="00553A2C" w:rsidRPr="00144712" w:rsidRDefault="004A5727" w:rsidP="00144712">
      <w:pPr>
        <w:pStyle w:val="NoSpacing"/>
        <w:ind w:left="0"/>
      </w:pPr>
      <w:r>
        <w:t xml:space="preserve">Attachment A: </w:t>
      </w:r>
      <w:r w:rsidRPr="004A5727">
        <w:t>Respondent Breakdown</w:t>
      </w:r>
    </w:p>
    <w:p w14:paraId="1A6691D9" w14:textId="4CF371A7" w:rsidR="00797C62" w:rsidRDefault="0035793B" w:rsidP="00144712">
      <w:pPr>
        <w:pStyle w:val="NoSpacing"/>
        <w:ind w:left="0"/>
        <w:rPr>
          <w:rFonts w:ascii="Cambria" w:hAnsi="Cambria"/>
        </w:rPr>
      </w:pPr>
      <w:r>
        <w:rPr>
          <w:rFonts w:ascii="Cambria" w:hAnsi="Cambria"/>
        </w:rPr>
        <w:t>Attachment B</w:t>
      </w:r>
      <w:r w:rsidR="006630F4">
        <w:rPr>
          <w:rFonts w:ascii="Cambria" w:hAnsi="Cambria"/>
        </w:rPr>
        <w:t>:</w:t>
      </w:r>
      <w:r>
        <w:rPr>
          <w:rFonts w:ascii="Cambria" w:hAnsi="Cambria"/>
        </w:rPr>
        <w:t xml:space="preserve"> Interview Guide</w:t>
      </w:r>
    </w:p>
    <w:p w14:paraId="6BF5F14B" w14:textId="4A15A107" w:rsidR="00797C62" w:rsidRPr="00144712" w:rsidRDefault="0035793B" w:rsidP="00144712">
      <w:pPr>
        <w:pStyle w:val="NoSpacing"/>
        <w:ind w:left="0"/>
        <w:rPr>
          <w:rFonts w:ascii="Cambria" w:hAnsi="Cambria"/>
        </w:rPr>
      </w:pPr>
      <w:r>
        <w:t>Attachment C</w:t>
      </w:r>
      <w:r w:rsidR="006630F4">
        <w:t>:</w:t>
      </w:r>
      <w:r w:rsidRPr="00323C42">
        <w:t xml:space="preserve"> Recruitment email</w:t>
      </w:r>
    </w:p>
    <w:p w14:paraId="1305E0DA" w14:textId="6D5BA446" w:rsidR="00AF41B4" w:rsidRPr="00323C42" w:rsidRDefault="0035793B" w:rsidP="00144712">
      <w:pPr>
        <w:pStyle w:val="NoSpacing"/>
        <w:ind w:left="0"/>
      </w:pPr>
      <w:r w:rsidRPr="00323C42">
        <w:rPr>
          <w:rFonts w:ascii="Cambria" w:hAnsi="Cambria"/>
        </w:rPr>
        <w:t xml:space="preserve">Attachment </w:t>
      </w:r>
      <w:r>
        <w:rPr>
          <w:rFonts w:ascii="Cambria" w:hAnsi="Cambria"/>
        </w:rPr>
        <w:t>D</w:t>
      </w:r>
      <w:r w:rsidR="006630F4">
        <w:rPr>
          <w:rFonts w:ascii="Cambria" w:hAnsi="Cambria"/>
        </w:rPr>
        <w:t>:</w:t>
      </w:r>
      <w:r w:rsidRPr="00323C42">
        <w:rPr>
          <w:rFonts w:ascii="Cambria" w:hAnsi="Cambria"/>
        </w:rPr>
        <w:t xml:space="preserve"> </w:t>
      </w:r>
      <w:r>
        <w:t>Email Reminder</w:t>
      </w:r>
      <w:r w:rsidR="00AF41B4">
        <w:t xml:space="preserve"> </w:t>
      </w:r>
    </w:p>
    <w:p w14:paraId="68E7E762" w14:textId="7633C272" w:rsidR="00AF41B4" w:rsidRDefault="0035793B" w:rsidP="00144712">
      <w:pPr>
        <w:pStyle w:val="NoSpacing"/>
        <w:ind w:left="0"/>
      </w:pPr>
      <w:r>
        <w:t>Attachment E</w:t>
      </w:r>
      <w:r w:rsidR="006630F4">
        <w:t>:</w:t>
      </w:r>
      <w:r>
        <w:t xml:space="preserve"> Confirmation email</w:t>
      </w:r>
    </w:p>
    <w:p w14:paraId="00B1715B" w14:textId="675FCEC3" w:rsidR="0035793B" w:rsidRPr="00323C42" w:rsidRDefault="0035793B" w:rsidP="006A5D00">
      <w:pPr>
        <w:pStyle w:val="NoSpacing"/>
        <w:ind w:left="0"/>
      </w:pPr>
      <w:r w:rsidRPr="00323C42">
        <w:t xml:space="preserve">Attachment </w:t>
      </w:r>
      <w:r>
        <w:t>F</w:t>
      </w:r>
      <w:r w:rsidR="006630F4">
        <w:t>:</w:t>
      </w:r>
      <w:r w:rsidRPr="00323C42">
        <w:t xml:space="preserve"> Follow-up email</w:t>
      </w:r>
    </w:p>
    <w:p w14:paraId="50F54E54" w14:textId="77777777" w:rsidR="00400C2C" w:rsidRPr="00400C2C" w:rsidRDefault="00400C2C" w:rsidP="00400C2C">
      <w:pPr>
        <w:pStyle w:val="ListParagraph"/>
        <w:spacing w:line="240" w:lineRule="auto"/>
        <w:rPr>
          <w:rFonts w:ascii="Cambria" w:hAnsi="Cambria"/>
          <w:b/>
          <w:color w:val="0070C0"/>
        </w:rPr>
      </w:pPr>
    </w:p>
    <w:p w14:paraId="6DCABC03" w14:textId="77777777" w:rsidR="00865573" w:rsidRDefault="00865573" w:rsidP="002955E6">
      <w:pPr>
        <w:spacing w:line="240" w:lineRule="auto"/>
        <w:ind w:left="0" w:firstLine="360"/>
        <w:rPr>
          <w:rFonts w:ascii="Cambria" w:hAnsi="Cambria"/>
          <w:color w:val="0070C0"/>
        </w:rPr>
      </w:pPr>
    </w:p>
    <w:sectPr w:rsidR="00865573" w:rsidSect="003E5D57">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8FEF0" w14:textId="77777777" w:rsidR="002F133A" w:rsidRDefault="002F133A" w:rsidP="00BC6896">
      <w:r>
        <w:separator/>
      </w:r>
    </w:p>
    <w:p w14:paraId="4398FB3A" w14:textId="77777777" w:rsidR="002F133A" w:rsidRDefault="002F133A" w:rsidP="00BC6896"/>
  </w:endnote>
  <w:endnote w:type="continuationSeparator" w:id="0">
    <w:p w14:paraId="703556EE" w14:textId="77777777" w:rsidR="002F133A" w:rsidRDefault="002F133A" w:rsidP="00BC6896">
      <w:r>
        <w:continuationSeparator/>
      </w:r>
    </w:p>
    <w:p w14:paraId="4954EB83" w14:textId="77777777" w:rsidR="002F133A" w:rsidRDefault="002F133A"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2F2EF834" w14:textId="1C373EC0" w:rsidR="002F133A" w:rsidRDefault="002F13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334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3344">
              <w:rPr>
                <w:b/>
                <w:bCs/>
                <w:noProof/>
              </w:rPr>
              <w:t>2</w:t>
            </w:r>
            <w:r>
              <w:rPr>
                <w:b/>
                <w:bCs/>
                <w:sz w:val="24"/>
                <w:szCs w:val="24"/>
              </w:rPr>
              <w:fldChar w:fldCharType="end"/>
            </w:r>
          </w:p>
        </w:sdtContent>
      </w:sdt>
    </w:sdtContent>
  </w:sdt>
  <w:p w14:paraId="37F4A9A0" w14:textId="77777777" w:rsidR="002F133A" w:rsidRDefault="002F133A"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239B8" w14:textId="77777777" w:rsidR="002F133A" w:rsidRDefault="002F133A" w:rsidP="00BC6896">
      <w:r>
        <w:separator/>
      </w:r>
    </w:p>
    <w:p w14:paraId="769D2DD1" w14:textId="77777777" w:rsidR="002F133A" w:rsidRDefault="002F133A" w:rsidP="00BC6896"/>
  </w:footnote>
  <w:footnote w:type="continuationSeparator" w:id="0">
    <w:p w14:paraId="4E323490" w14:textId="77777777" w:rsidR="002F133A" w:rsidRDefault="002F133A" w:rsidP="00BC6896">
      <w:r>
        <w:continuationSeparator/>
      </w:r>
    </w:p>
    <w:p w14:paraId="77175CDD" w14:textId="77777777" w:rsidR="002F133A" w:rsidRDefault="002F133A"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15411" w14:textId="77777777" w:rsidR="002F133A" w:rsidRPr="00716F94" w:rsidRDefault="002F133A" w:rsidP="00BC6896">
    <w:pPr>
      <w:pStyle w:val="Header"/>
      <w:rPr>
        <w:color w:val="0033CC"/>
      </w:rPr>
    </w:pPr>
    <w:r>
      <w:tab/>
    </w:r>
  </w:p>
  <w:p w14:paraId="4252E884" w14:textId="77777777" w:rsidR="002F133A" w:rsidRDefault="002F133A"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06C2F"/>
    <w:multiLevelType w:val="hybridMultilevel"/>
    <w:tmpl w:val="577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CD47F8"/>
    <w:multiLevelType w:val="hybridMultilevel"/>
    <w:tmpl w:val="6BDAE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9">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38"/>
  </w:num>
  <w:num w:numId="4">
    <w:abstractNumId w:val="12"/>
  </w:num>
  <w:num w:numId="5">
    <w:abstractNumId w:val="28"/>
  </w:num>
  <w:num w:numId="6">
    <w:abstractNumId w:val="7"/>
  </w:num>
  <w:num w:numId="7">
    <w:abstractNumId w:val="0"/>
  </w:num>
  <w:num w:numId="8">
    <w:abstractNumId w:val="5"/>
  </w:num>
  <w:num w:numId="9">
    <w:abstractNumId w:val="10"/>
  </w:num>
  <w:num w:numId="10">
    <w:abstractNumId w:val="31"/>
  </w:num>
  <w:num w:numId="11">
    <w:abstractNumId w:val="2"/>
  </w:num>
  <w:num w:numId="12">
    <w:abstractNumId w:val="36"/>
  </w:num>
  <w:num w:numId="13">
    <w:abstractNumId w:val="6"/>
  </w:num>
  <w:num w:numId="14">
    <w:abstractNumId w:val="3"/>
  </w:num>
  <w:num w:numId="15">
    <w:abstractNumId w:val="34"/>
  </w:num>
  <w:num w:numId="16">
    <w:abstractNumId w:val="40"/>
  </w:num>
  <w:num w:numId="17">
    <w:abstractNumId w:val="9"/>
  </w:num>
  <w:num w:numId="18">
    <w:abstractNumId w:val="14"/>
  </w:num>
  <w:num w:numId="19">
    <w:abstractNumId w:val="4"/>
  </w:num>
  <w:num w:numId="20">
    <w:abstractNumId w:val="15"/>
  </w:num>
  <w:num w:numId="21">
    <w:abstractNumId w:val="39"/>
  </w:num>
  <w:num w:numId="22">
    <w:abstractNumId w:val="32"/>
  </w:num>
  <w:num w:numId="23">
    <w:abstractNumId w:val="13"/>
  </w:num>
  <w:num w:numId="24">
    <w:abstractNumId w:val="33"/>
  </w:num>
  <w:num w:numId="25">
    <w:abstractNumId w:val="35"/>
  </w:num>
  <w:num w:numId="26">
    <w:abstractNumId w:val="22"/>
  </w:num>
  <w:num w:numId="27">
    <w:abstractNumId w:val="26"/>
  </w:num>
  <w:num w:numId="28">
    <w:abstractNumId w:val="23"/>
  </w:num>
  <w:num w:numId="29">
    <w:abstractNumId w:val="29"/>
  </w:num>
  <w:num w:numId="30">
    <w:abstractNumId w:val="25"/>
  </w:num>
  <w:num w:numId="31">
    <w:abstractNumId w:val="11"/>
  </w:num>
  <w:num w:numId="32">
    <w:abstractNumId w:val="27"/>
  </w:num>
  <w:num w:numId="33">
    <w:abstractNumId w:val="19"/>
  </w:num>
  <w:num w:numId="34">
    <w:abstractNumId w:val="17"/>
  </w:num>
  <w:num w:numId="35">
    <w:abstractNumId w:val="30"/>
  </w:num>
  <w:num w:numId="36">
    <w:abstractNumId w:val="24"/>
  </w:num>
  <w:num w:numId="37">
    <w:abstractNumId w:val="8"/>
  </w:num>
  <w:num w:numId="38">
    <w:abstractNumId w:val="37"/>
  </w:num>
  <w:num w:numId="39">
    <w:abstractNumId w:val="16"/>
  </w:num>
  <w:num w:numId="40">
    <w:abstractNumId w:val="2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81"/>
    <w:rsid w:val="00003278"/>
    <w:rsid w:val="00003526"/>
    <w:rsid w:val="0000767E"/>
    <w:rsid w:val="00010420"/>
    <w:rsid w:val="00011A98"/>
    <w:rsid w:val="00011F8D"/>
    <w:rsid w:val="000130B4"/>
    <w:rsid w:val="00014361"/>
    <w:rsid w:val="000279A9"/>
    <w:rsid w:val="0004024E"/>
    <w:rsid w:val="000474FB"/>
    <w:rsid w:val="00052A34"/>
    <w:rsid w:val="00053A92"/>
    <w:rsid w:val="000557D0"/>
    <w:rsid w:val="0005605E"/>
    <w:rsid w:val="00057F36"/>
    <w:rsid w:val="00093533"/>
    <w:rsid w:val="00095ED7"/>
    <w:rsid w:val="000A1F30"/>
    <w:rsid w:val="000A326B"/>
    <w:rsid w:val="000A538D"/>
    <w:rsid w:val="000A7B71"/>
    <w:rsid w:val="000C4CA5"/>
    <w:rsid w:val="000E4A08"/>
    <w:rsid w:val="000E6577"/>
    <w:rsid w:val="000E7A19"/>
    <w:rsid w:val="000F36A3"/>
    <w:rsid w:val="001020CE"/>
    <w:rsid w:val="001030FC"/>
    <w:rsid w:val="00104A1B"/>
    <w:rsid w:val="001052E9"/>
    <w:rsid w:val="001177DD"/>
    <w:rsid w:val="00130421"/>
    <w:rsid w:val="001308EB"/>
    <w:rsid w:val="001378D0"/>
    <w:rsid w:val="001412D4"/>
    <w:rsid w:val="00142A02"/>
    <w:rsid w:val="00144712"/>
    <w:rsid w:val="00144F64"/>
    <w:rsid w:val="00151567"/>
    <w:rsid w:val="00151A6A"/>
    <w:rsid w:val="00163E17"/>
    <w:rsid w:val="00166F9E"/>
    <w:rsid w:val="001722B4"/>
    <w:rsid w:val="00175844"/>
    <w:rsid w:val="00176E14"/>
    <w:rsid w:val="00187D5A"/>
    <w:rsid w:val="001960AE"/>
    <w:rsid w:val="001972D7"/>
    <w:rsid w:val="001A28F6"/>
    <w:rsid w:val="001A7D0E"/>
    <w:rsid w:val="001B2831"/>
    <w:rsid w:val="001B5831"/>
    <w:rsid w:val="001C0493"/>
    <w:rsid w:val="001C28AD"/>
    <w:rsid w:val="001C3344"/>
    <w:rsid w:val="001D2951"/>
    <w:rsid w:val="001D461D"/>
    <w:rsid w:val="001D7FCB"/>
    <w:rsid w:val="001E2645"/>
    <w:rsid w:val="001E2B99"/>
    <w:rsid w:val="001E69B6"/>
    <w:rsid w:val="001F4DBB"/>
    <w:rsid w:val="001F501E"/>
    <w:rsid w:val="001F7C89"/>
    <w:rsid w:val="0020312D"/>
    <w:rsid w:val="0020495F"/>
    <w:rsid w:val="00206E33"/>
    <w:rsid w:val="00210519"/>
    <w:rsid w:val="0023049A"/>
    <w:rsid w:val="00230CEF"/>
    <w:rsid w:val="00234001"/>
    <w:rsid w:val="00237CA1"/>
    <w:rsid w:val="00241B17"/>
    <w:rsid w:val="00241C81"/>
    <w:rsid w:val="00242E9E"/>
    <w:rsid w:val="00245F1F"/>
    <w:rsid w:val="00252BF8"/>
    <w:rsid w:val="00256392"/>
    <w:rsid w:val="00257A1C"/>
    <w:rsid w:val="00270641"/>
    <w:rsid w:val="002721C7"/>
    <w:rsid w:val="0027234C"/>
    <w:rsid w:val="00272E03"/>
    <w:rsid w:val="00281795"/>
    <w:rsid w:val="002850E3"/>
    <w:rsid w:val="00287E2F"/>
    <w:rsid w:val="002955E6"/>
    <w:rsid w:val="002A1948"/>
    <w:rsid w:val="002A4543"/>
    <w:rsid w:val="002B3D35"/>
    <w:rsid w:val="002C0877"/>
    <w:rsid w:val="002C2AE2"/>
    <w:rsid w:val="002C5C1F"/>
    <w:rsid w:val="002D0DCE"/>
    <w:rsid w:val="002D1A61"/>
    <w:rsid w:val="002E2077"/>
    <w:rsid w:val="002E2B10"/>
    <w:rsid w:val="002E2CF3"/>
    <w:rsid w:val="002F133A"/>
    <w:rsid w:val="002F1502"/>
    <w:rsid w:val="002F169D"/>
    <w:rsid w:val="002F2069"/>
    <w:rsid w:val="002F3D87"/>
    <w:rsid w:val="002F6F92"/>
    <w:rsid w:val="003041AD"/>
    <w:rsid w:val="0030549D"/>
    <w:rsid w:val="0031279F"/>
    <w:rsid w:val="00312D63"/>
    <w:rsid w:val="003161B9"/>
    <w:rsid w:val="00323CB8"/>
    <w:rsid w:val="00327D05"/>
    <w:rsid w:val="00335EBD"/>
    <w:rsid w:val="00336D96"/>
    <w:rsid w:val="00341184"/>
    <w:rsid w:val="003429C3"/>
    <w:rsid w:val="00344F07"/>
    <w:rsid w:val="003469C8"/>
    <w:rsid w:val="00351C0F"/>
    <w:rsid w:val="00351D04"/>
    <w:rsid w:val="00355EA4"/>
    <w:rsid w:val="0035793B"/>
    <w:rsid w:val="00360AB0"/>
    <w:rsid w:val="003635BE"/>
    <w:rsid w:val="00366B5E"/>
    <w:rsid w:val="003713EC"/>
    <w:rsid w:val="00372844"/>
    <w:rsid w:val="003740EC"/>
    <w:rsid w:val="00377E7B"/>
    <w:rsid w:val="0038560A"/>
    <w:rsid w:val="00393FCE"/>
    <w:rsid w:val="003B078A"/>
    <w:rsid w:val="003B2D9A"/>
    <w:rsid w:val="003C31C9"/>
    <w:rsid w:val="003C3D1C"/>
    <w:rsid w:val="003C3E20"/>
    <w:rsid w:val="003C4961"/>
    <w:rsid w:val="003C7C5D"/>
    <w:rsid w:val="003D0AD2"/>
    <w:rsid w:val="003E0347"/>
    <w:rsid w:val="003E4383"/>
    <w:rsid w:val="003E4E7D"/>
    <w:rsid w:val="003E5D57"/>
    <w:rsid w:val="003F5913"/>
    <w:rsid w:val="00400C2C"/>
    <w:rsid w:val="004024F8"/>
    <w:rsid w:val="0041159A"/>
    <w:rsid w:val="00414772"/>
    <w:rsid w:val="0042604A"/>
    <w:rsid w:val="004305A8"/>
    <w:rsid w:val="0043150B"/>
    <w:rsid w:val="0043417A"/>
    <w:rsid w:val="004355CE"/>
    <w:rsid w:val="00443CA0"/>
    <w:rsid w:val="00450E14"/>
    <w:rsid w:val="00462C65"/>
    <w:rsid w:val="00467B14"/>
    <w:rsid w:val="00471FDE"/>
    <w:rsid w:val="00474EDA"/>
    <w:rsid w:val="0047536D"/>
    <w:rsid w:val="004824FA"/>
    <w:rsid w:val="00483287"/>
    <w:rsid w:val="00484011"/>
    <w:rsid w:val="004841F1"/>
    <w:rsid w:val="00487E55"/>
    <w:rsid w:val="00497BC1"/>
    <w:rsid w:val="004A1E3A"/>
    <w:rsid w:val="004A5727"/>
    <w:rsid w:val="004B1D39"/>
    <w:rsid w:val="004B4EB5"/>
    <w:rsid w:val="004C4AEA"/>
    <w:rsid w:val="004C6C37"/>
    <w:rsid w:val="004D70EE"/>
    <w:rsid w:val="004E003C"/>
    <w:rsid w:val="004E16EB"/>
    <w:rsid w:val="004E2D38"/>
    <w:rsid w:val="004E6665"/>
    <w:rsid w:val="004E73F4"/>
    <w:rsid w:val="004F2CB0"/>
    <w:rsid w:val="004F634E"/>
    <w:rsid w:val="004F67A8"/>
    <w:rsid w:val="00504B9D"/>
    <w:rsid w:val="00522A50"/>
    <w:rsid w:val="00527225"/>
    <w:rsid w:val="0053557D"/>
    <w:rsid w:val="005372A1"/>
    <w:rsid w:val="005463DE"/>
    <w:rsid w:val="00546DC2"/>
    <w:rsid w:val="00547385"/>
    <w:rsid w:val="00552508"/>
    <w:rsid w:val="00553A2C"/>
    <w:rsid w:val="005542E8"/>
    <w:rsid w:val="00556630"/>
    <w:rsid w:val="0055686D"/>
    <w:rsid w:val="0057648E"/>
    <w:rsid w:val="005800EE"/>
    <w:rsid w:val="005869D6"/>
    <w:rsid w:val="00587B2C"/>
    <w:rsid w:val="00593E85"/>
    <w:rsid w:val="005A33F6"/>
    <w:rsid w:val="005A59E5"/>
    <w:rsid w:val="005B0A3A"/>
    <w:rsid w:val="005B7440"/>
    <w:rsid w:val="005C6E9D"/>
    <w:rsid w:val="005E2150"/>
    <w:rsid w:val="005E2995"/>
    <w:rsid w:val="005E6DE7"/>
    <w:rsid w:val="005F3ADE"/>
    <w:rsid w:val="005F3FEF"/>
    <w:rsid w:val="00601392"/>
    <w:rsid w:val="0060390A"/>
    <w:rsid w:val="006075F6"/>
    <w:rsid w:val="00607F7C"/>
    <w:rsid w:val="006102DA"/>
    <w:rsid w:val="006161CF"/>
    <w:rsid w:val="00621F93"/>
    <w:rsid w:val="006315A3"/>
    <w:rsid w:val="006379E9"/>
    <w:rsid w:val="00637CC1"/>
    <w:rsid w:val="0064297D"/>
    <w:rsid w:val="006466BA"/>
    <w:rsid w:val="0064729E"/>
    <w:rsid w:val="006579A2"/>
    <w:rsid w:val="006630F4"/>
    <w:rsid w:val="0066349E"/>
    <w:rsid w:val="006665D4"/>
    <w:rsid w:val="00667C89"/>
    <w:rsid w:val="006711EE"/>
    <w:rsid w:val="006809BB"/>
    <w:rsid w:val="006809FD"/>
    <w:rsid w:val="00683C7C"/>
    <w:rsid w:val="00687C5F"/>
    <w:rsid w:val="00691031"/>
    <w:rsid w:val="00691D1F"/>
    <w:rsid w:val="0069580C"/>
    <w:rsid w:val="00697BAE"/>
    <w:rsid w:val="006A5D00"/>
    <w:rsid w:val="006A63FD"/>
    <w:rsid w:val="006B1467"/>
    <w:rsid w:val="006B4DDC"/>
    <w:rsid w:val="006B5E55"/>
    <w:rsid w:val="006C1771"/>
    <w:rsid w:val="006D25A1"/>
    <w:rsid w:val="006D6932"/>
    <w:rsid w:val="006E13E9"/>
    <w:rsid w:val="006E2B5F"/>
    <w:rsid w:val="006E4BB7"/>
    <w:rsid w:val="006F23AF"/>
    <w:rsid w:val="006F6856"/>
    <w:rsid w:val="00707A30"/>
    <w:rsid w:val="0071190E"/>
    <w:rsid w:val="007145D0"/>
    <w:rsid w:val="0071576D"/>
    <w:rsid w:val="00716F94"/>
    <w:rsid w:val="00741FBB"/>
    <w:rsid w:val="007456B1"/>
    <w:rsid w:val="0075102D"/>
    <w:rsid w:val="00760E12"/>
    <w:rsid w:val="00763CF3"/>
    <w:rsid w:val="00766488"/>
    <w:rsid w:val="00772293"/>
    <w:rsid w:val="00783A3C"/>
    <w:rsid w:val="00783C75"/>
    <w:rsid w:val="00784619"/>
    <w:rsid w:val="0078627B"/>
    <w:rsid w:val="00794E32"/>
    <w:rsid w:val="00797C62"/>
    <w:rsid w:val="007B305A"/>
    <w:rsid w:val="007C1CB7"/>
    <w:rsid w:val="007C5A1D"/>
    <w:rsid w:val="007D54E3"/>
    <w:rsid w:val="007E20AA"/>
    <w:rsid w:val="007E3F71"/>
    <w:rsid w:val="007F7359"/>
    <w:rsid w:val="00800993"/>
    <w:rsid w:val="008028F1"/>
    <w:rsid w:val="00810FBF"/>
    <w:rsid w:val="00815C7D"/>
    <w:rsid w:val="00817941"/>
    <w:rsid w:val="00821903"/>
    <w:rsid w:val="008234E6"/>
    <w:rsid w:val="00824589"/>
    <w:rsid w:val="008261AB"/>
    <w:rsid w:val="008263E7"/>
    <w:rsid w:val="00835CA7"/>
    <w:rsid w:val="008370D4"/>
    <w:rsid w:val="008414AD"/>
    <w:rsid w:val="008428D9"/>
    <w:rsid w:val="00860C46"/>
    <w:rsid w:val="00865573"/>
    <w:rsid w:val="008759F6"/>
    <w:rsid w:val="00876B98"/>
    <w:rsid w:val="00884DB9"/>
    <w:rsid w:val="0089676F"/>
    <w:rsid w:val="008A021A"/>
    <w:rsid w:val="008A181F"/>
    <w:rsid w:val="008A61B0"/>
    <w:rsid w:val="008C25FD"/>
    <w:rsid w:val="008C5843"/>
    <w:rsid w:val="008C67D2"/>
    <w:rsid w:val="008E0683"/>
    <w:rsid w:val="008E45A7"/>
    <w:rsid w:val="008E46C7"/>
    <w:rsid w:val="00902DD9"/>
    <w:rsid w:val="00911466"/>
    <w:rsid w:val="00911486"/>
    <w:rsid w:val="00912481"/>
    <w:rsid w:val="009129CA"/>
    <w:rsid w:val="009206B6"/>
    <w:rsid w:val="009263C1"/>
    <w:rsid w:val="00931C02"/>
    <w:rsid w:val="00935FFD"/>
    <w:rsid w:val="00936C47"/>
    <w:rsid w:val="00941B4F"/>
    <w:rsid w:val="009435F4"/>
    <w:rsid w:val="00954213"/>
    <w:rsid w:val="00963CE3"/>
    <w:rsid w:val="00963ED0"/>
    <w:rsid w:val="00964F18"/>
    <w:rsid w:val="009676B1"/>
    <w:rsid w:val="0097039F"/>
    <w:rsid w:val="00974424"/>
    <w:rsid w:val="009759F3"/>
    <w:rsid w:val="00987F76"/>
    <w:rsid w:val="00991BF9"/>
    <w:rsid w:val="00993088"/>
    <w:rsid w:val="00995D8F"/>
    <w:rsid w:val="0099664F"/>
    <w:rsid w:val="00997D5D"/>
    <w:rsid w:val="009A0447"/>
    <w:rsid w:val="009B034F"/>
    <w:rsid w:val="009B4A51"/>
    <w:rsid w:val="009C28B1"/>
    <w:rsid w:val="009C61AD"/>
    <w:rsid w:val="009D373D"/>
    <w:rsid w:val="009D77CD"/>
    <w:rsid w:val="009E1D05"/>
    <w:rsid w:val="009F03D8"/>
    <w:rsid w:val="009F7283"/>
    <w:rsid w:val="009F75D0"/>
    <w:rsid w:val="00A00C86"/>
    <w:rsid w:val="00A11B0C"/>
    <w:rsid w:val="00A305CE"/>
    <w:rsid w:val="00A33B35"/>
    <w:rsid w:val="00A36419"/>
    <w:rsid w:val="00A37AE0"/>
    <w:rsid w:val="00A507CC"/>
    <w:rsid w:val="00A578C2"/>
    <w:rsid w:val="00A70EBC"/>
    <w:rsid w:val="00A72652"/>
    <w:rsid w:val="00A75D1C"/>
    <w:rsid w:val="00A809AA"/>
    <w:rsid w:val="00A81BF7"/>
    <w:rsid w:val="00A849B3"/>
    <w:rsid w:val="00A8510D"/>
    <w:rsid w:val="00A86AF3"/>
    <w:rsid w:val="00A90BDC"/>
    <w:rsid w:val="00A94EC1"/>
    <w:rsid w:val="00A95477"/>
    <w:rsid w:val="00A975A9"/>
    <w:rsid w:val="00AA3192"/>
    <w:rsid w:val="00AB3608"/>
    <w:rsid w:val="00AC5C48"/>
    <w:rsid w:val="00AE0D42"/>
    <w:rsid w:val="00AE13E3"/>
    <w:rsid w:val="00AE29B5"/>
    <w:rsid w:val="00AF0CF4"/>
    <w:rsid w:val="00AF2252"/>
    <w:rsid w:val="00AF41B4"/>
    <w:rsid w:val="00B1129F"/>
    <w:rsid w:val="00B11D61"/>
    <w:rsid w:val="00B12F51"/>
    <w:rsid w:val="00B12F9D"/>
    <w:rsid w:val="00B2751E"/>
    <w:rsid w:val="00B31007"/>
    <w:rsid w:val="00B3650C"/>
    <w:rsid w:val="00B4484F"/>
    <w:rsid w:val="00B460B8"/>
    <w:rsid w:val="00B50A2B"/>
    <w:rsid w:val="00B53884"/>
    <w:rsid w:val="00B64BFA"/>
    <w:rsid w:val="00B65C38"/>
    <w:rsid w:val="00B8216F"/>
    <w:rsid w:val="00B853F1"/>
    <w:rsid w:val="00B85DE4"/>
    <w:rsid w:val="00B8656C"/>
    <w:rsid w:val="00B91A31"/>
    <w:rsid w:val="00B96B03"/>
    <w:rsid w:val="00BA3916"/>
    <w:rsid w:val="00BA6DB4"/>
    <w:rsid w:val="00BC016A"/>
    <w:rsid w:val="00BC3F3C"/>
    <w:rsid w:val="00BC4A91"/>
    <w:rsid w:val="00BC5BB2"/>
    <w:rsid w:val="00BC6084"/>
    <w:rsid w:val="00BC6896"/>
    <w:rsid w:val="00BD7EDD"/>
    <w:rsid w:val="00BF3F54"/>
    <w:rsid w:val="00C00697"/>
    <w:rsid w:val="00C01A48"/>
    <w:rsid w:val="00C0376C"/>
    <w:rsid w:val="00C056B6"/>
    <w:rsid w:val="00C06D77"/>
    <w:rsid w:val="00C06E7F"/>
    <w:rsid w:val="00C14BA6"/>
    <w:rsid w:val="00C27C29"/>
    <w:rsid w:val="00C347E7"/>
    <w:rsid w:val="00C3485C"/>
    <w:rsid w:val="00C420D4"/>
    <w:rsid w:val="00C45ADA"/>
    <w:rsid w:val="00C61E16"/>
    <w:rsid w:val="00C71C6A"/>
    <w:rsid w:val="00C8094F"/>
    <w:rsid w:val="00C84DC3"/>
    <w:rsid w:val="00CA2004"/>
    <w:rsid w:val="00CA634F"/>
    <w:rsid w:val="00CB334D"/>
    <w:rsid w:val="00CB3EB2"/>
    <w:rsid w:val="00CB56D5"/>
    <w:rsid w:val="00CD0771"/>
    <w:rsid w:val="00CD1EA8"/>
    <w:rsid w:val="00CF0CE8"/>
    <w:rsid w:val="00CF5ABD"/>
    <w:rsid w:val="00CF63CE"/>
    <w:rsid w:val="00D016E5"/>
    <w:rsid w:val="00D067C1"/>
    <w:rsid w:val="00D13B13"/>
    <w:rsid w:val="00D16E78"/>
    <w:rsid w:val="00D201D3"/>
    <w:rsid w:val="00D24BCF"/>
    <w:rsid w:val="00D26A64"/>
    <w:rsid w:val="00D328FA"/>
    <w:rsid w:val="00D33BF9"/>
    <w:rsid w:val="00D4221A"/>
    <w:rsid w:val="00D458D2"/>
    <w:rsid w:val="00D52B9A"/>
    <w:rsid w:val="00D5367E"/>
    <w:rsid w:val="00D53FD3"/>
    <w:rsid w:val="00D57C7E"/>
    <w:rsid w:val="00D67E48"/>
    <w:rsid w:val="00D724CC"/>
    <w:rsid w:val="00D7285C"/>
    <w:rsid w:val="00D77D27"/>
    <w:rsid w:val="00D861ED"/>
    <w:rsid w:val="00D873E0"/>
    <w:rsid w:val="00D94F8B"/>
    <w:rsid w:val="00DA147A"/>
    <w:rsid w:val="00DA1C6C"/>
    <w:rsid w:val="00DA42EE"/>
    <w:rsid w:val="00DA4EA9"/>
    <w:rsid w:val="00DA5988"/>
    <w:rsid w:val="00DB1EC2"/>
    <w:rsid w:val="00DC2485"/>
    <w:rsid w:val="00DC317C"/>
    <w:rsid w:val="00DC4FF2"/>
    <w:rsid w:val="00DC79CC"/>
    <w:rsid w:val="00DE2D45"/>
    <w:rsid w:val="00DF28AA"/>
    <w:rsid w:val="00DF5046"/>
    <w:rsid w:val="00E134F4"/>
    <w:rsid w:val="00E1623E"/>
    <w:rsid w:val="00E23568"/>
    <w:rsid w:val="00E241BC"/>
    <w:rsid w:val="00E245B5"/>
    <w:rsid w:val="00E24C20"/>
    <w:rsid w:val="00E3373F"/>
    <w:rsid w:val="00E33BBA"/>
    <w:rsid w:val="00E33E1B"/>
    <w:rsid w:val="00E34D3E"/>
    <w:rsid w:val="00E42F3A"/>
    <w:rsid w:val="00E510E6"/>
    <w:rsid w:val="00E52B27"/>
    <w:rsid w:val="00E81524"/>
    <w:rsid w:val="00E81C5E"/>
    <w:rsid w:val="00E83B3C"/>
    <w:rsid w:val="00E8736B"/>
    <w:rsid w:val="00E90275"/>
    <w:rsid w:val="00E925D4"/>
    <w:rsid w:val="00E97226"/>
    <w:rsid w:val="00EA1CCB"/>
    <w:rsid w:val="00EB63B3"/>
    <w:rsid w:val="00EC3E60"/>
    <w:rsid w:val="00EC45F0"/>
    <w:rsid w:val="00EC6D3D"/>
    <w:rsid w:val="00ED54F0"/>
    <w:rsid w:val="00ED6878"/>
    <w:rsid w:val="00EE2F12"/>
    <w:rsid w:val="00EF0EC8"/>
    <w:rsid w:val="00EF33CD"/>
    <w:rsid w:val="00F03DA9"/>
    <w:rsid w:val="00F2267A"/>
    <w:rsid w:val="00F2628F"/>
    <w:rsid w:val="00F27049"/>
    <w:rsid w:val="00F300CB"/>
    <w:rsid w:val="00F367DD"/>
    <w:rsid w:val="00F42C3A"/>
    <w:rsid w:val="00F52BCC"/>
    <w:rsid w:val="00F5313F"/>
    <w:rsid w:val="00F57581"/>
    <w:rsid w:val="00F725B5"/>
    <w:rsid w:val="00F81A48"/>
    <w:rsid w:val="00FA5EC0"/>
    <w:rsid w:val="00FB0734"/>
    <w:rsid w:val="00FB1DB3"/>
    <w:rsid w:val="00FB7BE5"/>
    <w:rsid w:val="00FC5B1F"/>
    <w:rsid w:val="00FD17C9"/>
    <w:rsid w:val="00FD1EF0"/>
    <w:rsid w:val="00FD2A5B"/>
    <w:rsid w:val="00FD632C"/>
    <w:rsid w:val="00FE0E1C"/>
    <w:rsid w:val="00FE6A5C"/>
    <w:rsid w:val="00FF15C8"/>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styleId="FootnoteReference">
    <w:name w:val="footnote reference"/>
    <w:basedOn w:val="DefaultParagraphFont"/>
    <w:uiPriority w:val="99"/>
    <w:semiHidden/>
    <w:unhideWhenUsed/>
    <w:rsid w:val="00377E7B"/>
    <w:rPr>
      <w:vertAlign w:val="superscript"/>
    </w:rPr>
  </w:style>
  <w:style w:type="character" w:customStyle="1" w:styleId="UnresolvedMention">
    <w:name w:val="Unresolved Mention"/>
    <w:basedOn w:val="DefaultParagraphFont"/>
    <w:uiPriority w:val="99"/>
    <w:semiHidden/>
    <w:unhideWhenUsed/>
    <w:rsid w:val="00C27C29"/>
    <w:rPr>
      <w:color w:val="605E5C"/>
      <w:shd w:val="clear" w:color="auto" w:fill="E1DFDD"/>
    </w:rPr>
  </w:style>
  <w:style w:type="paragraph" w:styleId="NoSpacing">
    <w:name w:val="No Spacing"/>
    <w:uiPriority w:val="1"/>
    <w:qFormat/>
    <w:rsid w:val="00144712"/>
    <w:pPr>
      <w:spacing w:after="0" w:line="240" w:lineRule="auto"/>
      <w:ind w:left="720"/>
    </w:pPr>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styleId="FootnoteReference">
    <w:name w:val="footnote reference"/>
    <w:basedOn w:val="DefaultParagraphFont"/>
    <w:uiPriority w:val="99"/>
    <w:semiHidden/>
    <w:unhideWhenUsed/>
    <w:rsid w:val="00377E7B"/>
    <w:rPr>
      <w:vertAlign w:val="superscript"/>
    </w:rPr>
  </w:style>
  <w:style w:type="character" w:customStyle="1" w:styleId="UnresolvedMention">
    <w:name w:val="Unresolved Mention"/>
    <w:basedOn w:val="DefaultParagraphFont"/>
    <w:uiPriority w:val="99"/>
    <w:semiHidden/>
    <w:unhideWhenUsed/>
    <w:rsid w:val="00C27C29"/>
    <w:rPr>
      <w:color w:val="605E5C"/>
      <w:shd w:val="clear" w:color="auto" w:fill="E1DFDD"/>
    </w:rPr>
  </w:style>
  <w:style w:type="paragraph" w:styleId="NoSpacing">
    <w:name w:val="No Spacing"/>
    <w:uiPriority w:val="1"/>
    <w:qFormat/>
    <w:rsid w:val="00144712"/>
    <w:pPr>
      <w:spacing w:after="0" w:line="240" w:lineRule="auto"/>
      <w:ind w:left="72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41296">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9814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ecoleman@astho.org" TargetMode="External"/><Relationship Id="rId3" Type="http://schemas.openxmlformats.org/officeDocument/2006/relationships/customXml" Target="../customXml/item3.xml"/><Relationship Id="rId21" Type="http://schemas.openxmlformats.org/officeDocument/2006/relationships/hyperlink" Target="mailto:arakotoniaina@astho.org"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smith@asth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uj2@cdc.gov" TargetMode="External"/><Relationship Id="rId20" Type="http://schemas.openxmlformats.org/officeDocument/2006/relationships/hyperlink" Target="mailto:epeterman@astho.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vrm5@cdc.gov"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pharper-hardy@astho.or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Duj2@cdc.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OSTLTSDOC-727-198</_dlc_DocId>
    <_dlc_DocIdUrl xmlns="b5c0ca00-073d-4463-9985-b654f14791fe">
      <Url>https://esp.cdc.gov/sites/ostlts/pip/osc/_layouts/15/DocIdRedir.aspx?ID=OSTLTSDOC-727-198</Url>
      <Description>OSTLTSDOC-727-198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1BE5B-4AC1-41B7-B2EE-DAED64A10431}">
  <ds:schemaRefs>
    <ds:schemaRef ds:uri="http://purl.org/dc/elements/1.1/"/>
    <ds:schemaRef ds:uri="http://schemas.microsoft.com/office/2006/documentManagement/types"/>
    <ds:schemaRef ds:uri="15b1c282-9287-45cb-9b41-eae3a76919a0"/>
    <ds:schemaRef ds:uri="http://purl.org/dc/terms/"/>
    <ds:schemaRef ds:uri="http://schemas.openxmlformats.org/package/2006/metadata/core-properties"/>
    <ds:schemaRef ds:uri="http://schemas.microsoft.com/office/infopath/2007/PartnerControls"/>
    <ds:schemaRef ds:uri="http://purl.org/dc/dcmitype/"/>
    <ds:schemaRef ds:uri="b5c0ca00-073d-4463-9985-b654f14791fe"/>
    <ds:schemaRef ds:uri="bd99c180-279b-44c3-9486-dd050336677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956730-4CAE-460B-BB82-3677A79E19D5}">
  <ds:schemaRefs>
    <ds:schemaRef ds:uri="http://schemas.microsoft.com/sharepoint/v3/contenttype/forms"/>
  </ds:schemaRefs>
</ds:datastoreItem>
</file>

<file path=customXml/itemProps3.xml><?xml version="1.0" encoding="utf-8"?>
<ds:datastoreItem xmlns:ds="http://schemas.openxmlformats.org/officeDocument/2006/customXml" ds:itemID="{3081D4AA-9E8D-451C-AE21-485ED1AC0F46}">
  <ds:schemaRefs>
    <ds:schemaRef ds:uri="http://schemas.microsoft.com/office/2006/metadata/customXsn"/>
  </ds:schemaRefs>
</ds:datastoreItem>
</file>

<file path=customXml/itemProps4.xml><?xml version="1.0" encoding="utf-8"?>
<ds:datastoreItem xmlns:ds="http://schemas.openxmlformats.org/officeDocument/2006/customXml" ds:itemID="{27B851CE-081F-4336-8F8A-6FC7A8C5E146}">
  <ds:schemaRefs>
    <ds:schemaRef ds:uri="http://schemas.microsoft.com/sharepoint/events"/>
  </ds:schemaRefs>
</ds:datastoreItem>
</file>

<file path=customXml/itemProps5.xml><?xml version="1.0" encoding="utf-8"?>
<ds:datastoreItem xmlns:ds="http://schemas.openxmlformats.org/officeDocument/2006/customXml" ds:itemID="{2BD27ED7-5016-4585-82D7-844818C7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261D02-1C93-4509-A53A-14D8758F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(CDC/OSTLTS/DPHPI)</dc:creator>
  <cp:lastModifiedBy>SYSTEM</cp:lastModifiedBy>
  <cp:revision>2</cp:revision>
  <cp:lastPrinted>2011-06-07T15:53:00Z</cp:lastPrinted>
  <dcterms:created xsi:type="dcterms:W3CDTF">2019-07-05T12:08:00Z</dcterms:created>
  <dcterms:modified xsi:type="dcterms:W3CDTF">2019-07-05T12:08:00Z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f20e3d5b-f5cc-4c2f-bc0b-114119d564b9</vt:lpwstr>
  </property>
</Properties>
</file>