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80FA79" w14:textId="7EF01F4F" w:rsidR="009B4A51" w:rsidRDefault="009B4A51" w:rsidP="00A1453A">
      <w:pPr>
        <w:ind w:left="0"/>
      </w:pPr>
      <w:bookmarkStart w:id="0" w:name="_GoBack"/>
      <w:bookmarkEnd w:id="0"/>
    </w:p>
    <w:p w14:paraId="5CEE1F85" w14:textId="7949A362" w:rsidR="00E907FA" w:rsidRDefault="00E907FA" w:rsidP="00A1453A">
      <w:pPr>
        <w:ind w:left="0"/>
      </w:pPr>
    </w:p>
    <w:p w14:paraId="190DD5B9" w14:textId="1373F473" w:rsidR="00E907FA" w:rsidRDefault="00E907FA" w:rsidP="00A1453A">
      <w:pPr>
        <w:ind w:left="0"/>
      </w:pPr>
    </w:p>
    <w:p w14:paraId="6275A6CF" w14:textId="43C951C4" w:rsidR="00E907FA" w:rsidRDefault="00E907FA" w:rsidP="00A1453A">
      <w:pPr>
        <w:ind w:left="0"/>
      </w:pPr>
    </w:p>
    <w:p w14:paraId="1D529A35" w14:textId="0E20BCEF" w:rsidR="00E907FA" w:rsidRDefault="00E907FA" w:rsidP="00A1453A">
      <w:pPr>
        <w:ind w:left="0"/>
      </w:pPr>
    </w:p>
    <w:p w14:paraId="18FCE761" w14:textId="73BEC4B2" w:rsidR="00E907FA" w:rsidRDefault="00E907FA" w:rsidP="00A1453A">
      <w:pPr>
        <w:ind w:left="0"/>
      </w:pPr>
    </w:p>
    <w:p w14:paraId="01E1422C" w14:textId="3351E435" w:rsidR="00E907FA" w:rsidRPr="007C10BD" w:rsidRDefault="00E907FA" w:rsidP="00A1453A">
      <w:pPr>
        <w:ind w:left="0"/>
      </w:pPr>
    </w:p>
    <w:p w14:paraId="0515B96B" w14:textId="77777777" w:rsidR="00667C89" w:rsidRPr="007C10BD" w:rsidRDefault="00667C89" w:rsidP="00A1453A">
      <w:pPr>
        <w:ind w:left="0"/>
      </w:pPr>
    </w:p>
    <w:p w14:paraId="2D76FFF6" w14:textId="77777777" w:rsidR="009B4A51" w:rsidRPr="001A4334" w:rsidRDefault="009B4A51" w:rsidP="004135D5">
      <w:pPr>
        <w:pStyle w:val="Heading6"/>
        <w:rPr>
          <w:sz w:val="40"/>
        </w:rPr>
      </w:pPr>
    </w:p>
    <w:p w14:paraId="65B7678D" w14:textId="77777777" w:rsidR="00A53C13" w:rsidRDefault="00233714" w:rsidP="001A4334">
      <w:pPr>
        <w:ind w:left="0"/>
        <w:jc w:val="center"/>
        <w:rPr>
          <w:b/>
          <w:sz w:val="40"/>
        </w:rPr>
      </w:pPr>
      <w:r>
        <w:rPr>
          <w:b/>
          <w:sz w:val="40"/>
        </w:rPr>
        <w:t xml:space="preserve">Public Health Emergency Response: </w:t>
      </w:r>
    </w:p>
    <w:p w14:paraId="49463BC9" w14:textId="75AC153B" w:rsidR="00A1453A" w:rsidRPr="001A4334" w:rsidRDefault="0010688D" w:rsidP="001A4334">
      <w:pPr>
        <w:ind w:left="0"/>
        <w:jc w:val="center"/>
        <w:rPr>
          <w:b/>
          <w:sz w:val="40"/>
        </w:rPr>
      </w:pPr>
      <w:r>
        <w:rPr>
          <w:b/>
          <w:sz w:val="40"/>
        </w:rPr>
        <w:t xml:space="preserve">Needs </w:t>
      </w:r>
      <w:r w:rsidR="00233714">
        <w:rPr>
          <w:b/>
          <w:sz w:val="40"/>
        </w:rPr>
        <w:t xml:space="preserve">Assessment of Leadership Training and Exercises in Incident Management </w:t>
      </w:r>
    </w:p>
    <w:p w14:paraId="2670696F" w14:textId="77777777" w:rsidR="009B4A51" w:rsidRPr="007C10BD" w:rsidRDefault="009B4A51" w:rsidP="00CA5840">
      <w:pPr>
        <w:ind w:left="0"/>
      </w:pPr>
    </w:p>
    <w:p w14:paraId="55AE3450" w14:textId="77777777" w:rsidR="00AA3192" w:rsidRPr="007C10BD" w:rsidRDefault="00AA3192" w:rsidP="00CA5840">
      <w:pPr>
        <w:ind w:left="0"/>
      </w:pPr>
    </w:p>
    <w:p w14:paraId="1719B728" w14:textId="3991765D" w:rsidR="00716F94" w:rsidRPr="007C10BD" w:rsidRDefault="00484011" w:rsidP="00CA5840">
      <w:pPr>
        <w:ind w:left="0"/>
        <w:jc w:val="center"/>
      </w:pPr>
      <w:r w:rsidRPr="007C10BD">
        <w:t>OSTL</w:t>
      </w:r>
      <w:r w:rsidR="00316F00" w:rsidRPr="007C10BD">
        <w:t>TS Generic Information Collection</w:t>
      </w:r>
      <w:r w:rsidRPr="007C10BD">
        <w:t xml:space="preserve"> Request</w:t>
      </w:r>
    </w:p>
    <w:p w14:paraId="5094480E" w14:textId="77777777" w:rsidR="00484011" w:rsidRPr="007C10BD" w:rsidRDefault="00484011" w:rsidP="00CA5840">
      <w:pPr>
        <w:ind w:left="0"/>
        <w:jc w:val="center"/>
      </w:pPr>
      <w:r w:rsidRPr="007C10BD">
        <w:t>OMB No. 0920-0879</w:t>
      </w:r>
    </w:p>
    <w:p w14:paraId="639D28B6" w14:textId="77777777" w:rsidR="009B4A51" w:rsidRPr="007C10BD" w:rsidRDefault="009B4A51" w:rsidP="00CA5840">
      <w:pPr>
        <w:ind w:left="0"/>
      </w:pPr>
    </w:p>
    <w:p w14:paraId="1F2FAFFA" w14:textId="77777777" w:rsidR="00AA3192" w:rsidRPr="007C10BD" w:rsidRDefault="00AA3192" w:rsidP="00CA5840">
      <w:pPr>
        <w:ind w:left="0"/>
      </w:pPr>
    </w:p>
    <w:p w14:paraId="037EC5D8" w14:textId="77777777" w:rsidR="009B4A51" w:rsidRPr="007C10BD" w:rsidRDefault="009B4A51" w:rsidP="00A1453A">
      <w:pPr>
        <w:pStyle w:val="Heading2"/>
        <w:ind w:left="0"/>
      </w:pPr>
      <w:r w:rsidRPr="007C10BD">
        <w:t>Supporting Statement – Section A</w:t>
      </w:r>
    </w:p>
    <w:p w14:paraId="31788F8A" w14:textId="77777777" w:rsidR="00187D5A" w:rsidRPr="007C10BD" w:rsidRDefault="00187D5A" w:rsidP="00CA5840">
      <w:pPr>
        <w:ind w:left="0"/>
      </w:pPr>
    </w:p>
    <w:p w14:paraId="3DB15E31" w14:textId="3F7EF157" w:rsidR="00456DDE" w:rsidRPr="007A4D1B" w:rsidRDefault="009B4A51" w:rsidP="00CA5840">
      <w:pPr>
        <w:ind w:left="0"/>
        <w:jc w:val="center"/>
        <w:rPr>
          <w:b/>
        </w:rPr>
      </w:pPr>
      <w:r w:rsidRPr="007C10BD">
        <w:t>Submitted:</w:t>
      </w:r>
      <w:r w:rsidR="00E907FA">
        <w:t xml:space="preserve"> </w:t>
      </w:r>
      <w:r w:rsidR="005D0EB0">
        <w:t>February 7</w:t>
      </w:r>
      <w:r w:rsidR="00DE43D4">
        <w:t>, 2019</w:t>
      </w:r>
    </w:p>
    <w:p w14:paraId="79277114" w14:textId="49915A3D" w:rsidR="009B4A51" w:rsidRPr="007C10BD" w:rsidRDefault="009B4A51" w:rsidP="00CA5840">
      <w:pPr>
        <w:ind w:left="0"/>
        <w:jc w:val="center"/>
      </w:pPr>
    </w:p>
    <w:p w14:paraId="40B48FEB" w14:textId="361B209A" w:rsidR="00E907FA" w:rsidRDefault="00E907FA" w:rsidP="00A1453A">
      <w:pPr>
        <w:ind w:left="0"/>
      </w:pPr>
    </w:p>
    <w:p w14:paraId="49BE8385" w14:textId="77777777" w:rsidR="00E907FA" w:rsidRPr="007C10BD" w:rsidRDefault="00E907FA" w:rsidP="00A1453A">
      <w:pPr>
        <w:ind w:left="0"/>
      </w:pPr>
    </w:p>
    <w:p w14:paraId="114A89EE" w14:textId="77777777" w:rsidR="009B4A51" w:rsidRPr="007C10BD" w:rsidRDefault="009B4A51" w:rsidP="00657D1A">
      <w:pPr>
        <w:ind w:left="0"/>
      </w:pPr>
    </w:p>
    <w:p w14:paraId="6782D59B" w14:textId="77777777" w:rsidR="00F008D5" w:rsidRDefault="00F008D5" w:rsidP="00CA5840">
      <w:pPr>
        <w:ind w:left="0"/>
        <w:rPr>
          <w:b/>
          <w:u w:val="single"/>
        </w:rPr>
      </w:pPr>
    </w:p>
    <w:p w14:paraId="66C8D5D4" w14:textId="77777777" w:rsidR="00F008D5" w:rsidRDefault="00F008D5" w:rsidP="00CA5840">
      <w:pPr>
        <w:ind w:left="0"/>
        <w:rPr>
          <w:b/>
          <w:u w:val="single"/>
        </w:rPr>
      </w:pPr>
    </w:p>
    <w:p w14:paraId="1DE39260" w14:textId="77777777" w:rsidR="00F008D5" w:rsidRDefault="00F008D5" w:rsidP="00CA5840">
      <w:pPr>
        <w:ind w:left="0"/>
        <w:rPr>
          <w:b/>
          <w:u w:val="single"/>
        </w:rPr>
      </w:pPr>
    </w:p>
    <w:p w14:paraId="1F934E45" w14:textId="77777777" w:rsidR="00F008D5" w:rsidRDefault="00F008D5" w:rsidP="00CA5840">
      <w:pPr>
        <w:ind w:left="0"/>
        <w:rPr>
          <w:b/>
          <w:u w:val="single"/>
        </w:rPr>
      </w:pPr>
    </w:p>
    <w:p w14:paraId="0128B79B" w14:textId="77777777" w:rsidR="00F008D5" w:rsidRDefault="00F008D5" w:rsidP="00CA5840">
      <w:pPr>
        <w:ind w:left="0"/>
        <w:rPr>
          <w:b/>
          <w:u w:val="single"/>
        </w:rPr>
      </w:pPr>
    </w:p>
    <w:p w14:paraId="3AB8B3B9" w14:textId="77777777" w:rsidR="00C755F0" w:rsidRPr="00C755F0" w:rsidRDefault="00C755F0" w:rsidP="00C755F0">
      <w:pPr>
        <w:ind w:left="0"/>
        <w:rPr>
          <w:b/>
          <w:u w:val="single"/>
        </w:rPr>
      </w:pPr>
      <w:r w:rsidRPr="00C755F0">
        <w:rPr>
          <w:b/>
          <w:u w:val="single"/>
        </w:rPr>
        <w:t>Program Official/Project Officer</w:t>
      </w:r>
    </w:p>
    <w:p w14:paraId="5AD38D9B" w14:textId="77777777" w:rsidR="00C755F0" w:rsidRPr="00C755F0" w:rsidRDefault="00C755F0" w:rsidP="00C755F0">
      <w:pPr>
        <w:ind w:left="0"/>
      </w:pPr>
      <w:r w:rsidRPr="00C755F0">
        <w:t>Xiaohong M. Davis, Ph.D.</w:t>
      </w:r>
    </w:p>
    <w:p w14:paraId="00EC6581" w14:textId="77777777" w:rsidR="00C755F0" w:rsidRPr="00C755F0" w:rsidRDefault="00C755F0" w:rsidP="00C755F0">
      <w:pPr>
        <w:ind w:left="0"/>
      </w:pPr>
      <w:r w:rsidRPr="00C755F0">
        <w:t>Division of Emergency Operations (DEO)</w:t>
      </w:r>
    </w:p>
    <w:p w14:paraId="07FEB273" w14:textId="77777777" w:rsidR="00C755F0" w:rsidRPr="00C755F0" w:rsidRDefault="00C755F0" w:rsidP="00C755F0">
      <w:pPr>
        <w:ind w:left="0"/>
      </w:pPr>
      <w:r w:rsidRPr="00C755F0">
        <w:t xml:space="preserve">Center for Preparedness and Response </w:t>
      </w:r>
    </w:p>
    <w:p w14:paraId="51109C2D" w14:textId="77777777" w:rsidR="00C755F0" w:rsidRPr="00C755F0" w:rsidRDefault="00C755F0" w:rsidP="00C755F0">
      <w:pPr>
        <w:ind w:left="0"/>
      </w:pPr>
      <w:r w:rsidRPr="00C755F0">
        <w:t>1600 Clifton Road</w:t>
      </w:r>
    </w:p>
    <w:p w14:paraId="05444ABF" w14:textId="77777777" w:rsidR="00C755F0" w:rsidRPr="00C755F0" w:rsidRDefault="00C755F0" w:rsidP="00C755F0">
      <w:pPr>
        <w:ind w:left="0"/>
      </w:pPr>
      <w:r w:rsidRPr="00C755F0">
        <w:t>Atlanta, GA 30329</w:t>
      </w:r>
    </w:p>
    <w:p w14:paraId="27F43BD5" w14:textId="77777777" w:rsidR="00C755F0" w:rsidRPr="00C755F0" w:rsidRDefault="00C755F0" w:rsidP="00C755F0">
      <w:pPr>
        <w:ind w:left="0"/>
      </w:pPr>
      <w:r w:rsidRPr="00C755F0">
        <w:t>Email: ido8@cdc.gov</w:t>
      </w:r>
    </w:p>
    <w:p w14:paraId="5FA827EE" w14:textId="77777777" w:rsidR="00C755F0" w:rsidRPr="00C755F0" w:rsidRDefault="00C755F0" w:rsidP="00C755F0">
      <w:pPr>
        <w:ind w:left="0"/>
      </w:pPr>
      <w:r w:rsidRPr="00C755F0">
        <w:t>Phone: 404.639.2015</w:t>
      </w:r>
    </w:p>
    <w:p w14:paraId="5110AF39" w14:textId="77777777" w:rsidR="00C755F0" w:rsidRPr="00C755F0" w:rsidRDefault="00C755F0" w:rsidP="00C755F0">
      <w:pPr>
        <w:ind w:left="0"/>
      </w:pPr>
      <w:r w:rsidRPr="00C755F0">
        <w:t>Fax: 404.553.7852</w:t>
      </w:r>
    </w:p>
    <w:p w14:paraId="691F22D1" w14:textId="77777777" w:rsidR="00C96105" w:rsidRDefault="00C96105" w:rsidP="0050584D">
      <w:pPr>
        <w:pStyle w:val="Heading4"/>
        <w:numPr>
          <w:ilvl w:val="0"/>
          <w:numId w:val="0"/>
        </w:numPr>
        <w:ind w:left="360" w:hanging="360"/>
      </w:pPr>
    </w:p>
    <w:p w14:paraId="757824CE" w14:textId="07CC4364" w:rsidR="003860A5" w:rsidRPr="007C10BD" w:rsidRDefault="003860A5" w:rsidP="0050584D">
      <w:pPr>
        <w:pStyle w:val="Heading4"/>
        <w:numPr>
          <w:ilvl w:val="0"/>
          <w:numId w:val="0"/>
        </w:numPr>
        <w:ind w:left="360" w:hanging="360"/>
      </w:pPr>
      <w:bookmarkStart w:id="1" w:name="_Toc530558443"/>
      <w:r w:rsidRPr="007C10BD">
        <w:lastRenderedPageBreak/>
        <w:t>Table of Contents</w:t>
      </w:r>
      <w:bookmarkEnd w:id="1"/>
    </w:p>
    <w:p w14:paraId="1D28EA93" w14:textId="77777777" w:rsidR="003860A5" w:rsidRPr="007C10BD" w:rsidRDefault="003860A5" w:rsidP="003860A5"/>
    <w:p w14:paraId="67EFACD3" w14:textId="189A8D15" w:rsidR="0033654F" w:rsidRDefault="003860A5">
      <w:pPr>
        <w:pStyle w:val="TOC2"/>
        <w:rPr>
          <w:rFonts w:asciiTheme="minorHAnsi" w:hAnsiTheme="minorHAnsi"/>
          <w:noProof/>
        </w:rPr>
      </w:pPr>
      <w:r w:rsidRPr="007C10BD">
        <w:fldChar w:fldCharType="begin"/>
      </w:r>
      <w:r w:rsidRPr="007C10BD">
        <w:instrText xml:space="preserve"> TOC \h \z \u \t "Heading 3,1,Heading 4,2" </w:instrText>
      </w:r>
      <w:r w:rsidRPr="007C10BD">
        <w:fldChar w:fldCharType="separate"/>
      </w:r>
      <w:hyperlink w:anchor="_Toc530558443" w:history="1">
        <w:r w:rsidR="0033654F" w:rsidRPr="00AD377C">
          <w:rPr>
            <w:rStyle w:val="Hyperlink"/>
            <w:noProof/>
          </w:rPr>
          <w:t>Table of Contents</w:t>
        </w:r>
        <w:r w:rsidR="0033654F">
          <w:rPr>
            <w:noProof/>
            <w:webHidden/>
          </w:rPr>
          <w:tab/>
        </w:r>
        <w:r w:rsidR="0033654F">
          <w:rPr>
            <w:noProof/>
            <w:webHidden/>
          </w:rPr>
          <w:fldChar w:fldCharType="begin"/>
        </w:r>
        <w:r w:rsidR="0033654F">
          <w:rPr>
            <w:noProof/>
            <w:webHidden/>
          </w:rPr>
          <w:instrText xml:space="preserve"> PAGEREF _Toc530558443 \h </w:instrText>
        </w:r>
        <w:r w:rsidR="0033654F">
          <w:rPr>
            <w:noProof/>
            <w:webHidden/>
          </w:rPr>
        </w:r>
        <w:r w:rsidR="0033654F">
          <w:rPr>
            <w:noProof/>
            <w:webHidden/>
          </w:rPr>
          <w:fldChar w:fldCharType="separate"/>
        </w:r>
        <w:r w:rsidR="00856023">
          <w:rPr>
            <w:noProof/>
            <w:webHidden/>
          </w:rPr>
          <w:t>2</w:t>
        </w:r>
        <w:r w:rsidR="0033654F">
          <w:rPr>
            <w:noProof/>
            <w:webHidden/>
          </w:rPr>
          <w:fldChar w:fldCharType="end"/>
        </w:r>
      </w:hyperlink>
    </w:p>
    <w:p w14:paraId="7B31F307" w14:textId="111D4935" w:rsidR="0033654F" w:rsidRDefault="00810E2D">
      <w:pPr>
        <w:pStyle w:val="TOC2"/>
        <w:rPr>
          <w:rFonts w:asciiTheme="minorHAnsi" w:hAnsiTheme="minorHAnsi"/>
          <w:noProof/>
        </w:rPr>
      </w:pPr>
      <w:hyperlink w:anchor="_Toc530558445" w:history="1">
        <w:r w:rsidR="0033654F" w:rsidRPr="00AD377C">
          <w:rPr>
            <w:rStyle w:val="Hyperlink"/>
            <w:noProof/>
          </w:rPr>
          <w:t>Section A – Justification</w:t>
        </w:r>
        <w:r w:rsidR="0033654F">
          <w:rPr>
            <w:noProof/>
            <w:webHidden/>
          </w:rPr>
          <w:tab/>
        </w:r>
        <w:r w:rsidR="0033654F">
          <w:rPr>
            <w:noProof/>
            <w:webHidden/>
          </w:rPr>
          <w:fldChar w:fldCharType="begin"/>
        </w:r>
        <w:r w:rsidR="0033654F">
          <w:rPr>
            <w:noProof/>
            <w:webHidden/>
          </w:rPr>
          <w:instrText xml:space="preserve"> PAGEREF _Toc530558445 \h </w:instrText>
        </w:r>
        <w:r w:rsidR="0033654F">
          <w:rPr>
            <w:noProof/>
            <w:webHidden/>
          </w:rPr>
        </w:r>
        <w:r w:rsidR="0033654F">
          <w:rPr>
            <w:noProof/>
            <w:webHidden/>
          </w:rPr>
          <w:fldChar w:fldCharType="separate"/>
        </w:r>
        <w:r w:rsidR="00856023">
          <w:rPr>
            <w:noProof/>
            <w:webHidden/>
          </w:rPr>
          <w:t>3</w:t>
        </w:r>
        <w:r w:rsidR="0033654F">
          <w:rPr>
            <w:noProof/>
            <w:webHidden/>
          </w:rPr>
          <w:fldChar w:fldCharType="end"/>
        </w:r>
      </w:hyperlink>
    </w:p>
    <w:p w14:paraId="46455A0A" w14:textId="1587829C" w:rsidR="0033654F" w:rsidRDefault="00810E2D">
      <w:pPr>
        <w:pStyle w:val="TOC2"/>
        <w:rPr>
          <w:rFonts w:asciiTheme="minorHAnsi" w:hAnsiTheme="minorHAnsi"/>
          <w:noProof/>
        </w:rPr>
      </w:pPr>
      <w:hyperlink w:anchor="_Toc530558446" w:history="1">
        <w:r w:rsidR="0033654F" w:rsidRPr="00AD377C">
          <w:rPr>
            <w:rStyle w:val="Hyperlink"/>
            <w:noProof/>
          </w:rPr>
          <w:t>1.</w:t>
        </w:r>
        <w:r w:rsidR="0033654F">
          <w:rPr>
            <w:rFonts w:asciiTheme="minorHAnsi" w:hAnsiTheme="minorHAnsi"/>
            <w:noProof/>
          </w:rPr>
          <w:tab/>
        </w:r>
        <w:r w:rsidR="0033654F" w:rsidRPr="00AD377C">
          <w:rPr>
            <w:rStyle w:val="Hyperlink"/>
            <w:noProof/>
          </w:rPr>
          <w:t>Circumstances Making the Collection of Information Necessary</w:t>
        </w:r>
        <w:r w:rsidR="0033654F">
          <w:rPr>
            <w:noProof/>
            <w:webHidden/>
          </w:rPr>
          <w:tab/>
        </w:r>
        <w:r w:rsidR="0033654F">
          <w:rPr>
            <w:noProof/>
            <w:webHidden/>
          </w:rPr>
          <w:fldChar w:fldCharType="begin"/>
        </w:r>
        <w:r w:rsidR="0033654F">
          <w:rPr>
            <w:noProof/>
            <w:webHidden/>
          </w:rPr>
          <w:instrText xml:space="preserve"> PAGEREF _Toc530558446 \h </w:instrText>
        </w:r>
        <w:r w:rsidR="0033654F">
          <w:rPr>
            <w:noProof/>
            <w:webHidden/>
          </w:rPr>
        </w:r>
        <w:r w:rsidR="0033654F">
          <w:rPr>
            <w:noProof/>
            <w:webHidden/>
          </w:rPr>
          <w:fldChar w:fldCharType="separate"/>
        </w:r>
        <w:r w:rsidR="00856023">
          <w:rPr>
            <w:noProof/>
            <w:webHidden/>
          </w:rPr>
          <w:t>3</w:t>
        </w:r>
        <w:r w:rsidR="0033654F">
          <w:rPr>
            <w:noProof/>
            <w:webHidden/>
          </w:rPr>
          <w:fldChar w:fldCharType="end"/>
        </w:r>
      </w:hyperlink>
    </w:p>
    <w:p w14:paraId="6D9C0D45" w14:textId="42B68831" w:rsidR="0033654F" w:rsidRDefault="00810E2D">
      <w:pPr>
        <w:pStyle w:val="TOC2"/>
        <w:rPr>
          <w:rFonts w:asciiTheme="minorHAnsi" w:hAnsiTheme="minorHAnsi"/>
          <w:noProof/>
        </w:rPr>
      </w:pPr>
      <w:hyperlink w:anchor="_Toc530558447" w:history="1">
        <w:r w:rsidR="0033654F" w:rsidRPr="00AD377C">
          <w:rPr>
            <w:rStyle w:val="Hyperlink"/>
            <w:noProof/>
          </w:rPr>
          <w:t>2.</w:t>
        </w:r>
        <w:r w:rsidR="0033654F">
          <w:rPr>
            <w:rFonts w:asciiTheme="minorHAnsi" w:hAnsiTheme="minorHAnsi"/>
            <w:noProof/>
          </w:rPr>
          <w:tab/>
        </w:r>
        <w:r w:rsidR="0033654F" w:rsidRPr="00AD377C">
          <w:rPr>
            <w:rStyle w:val="Hyperlink"/>
            <w:noProof/>
          </w:rPr>
          <w:t>Purpose and Use of the Information Collection</w:t>
        </w:r>
        <w:r w:rsidR="0033654F">
          <w:rPr>
            <w:noProof/>
            <w:webHidden/>
          </w:rPr>
          <w:tab/>
        </w:r>
        <w:r w:rsidR="0033654F">
          <w:rPr>
            <w:noProof/>
            <w:webHidden/>
          </w:rPr>
          <w:fldChar w:fldCharType="begin"/>
        </w:r>
        <w:r w:rsidR="0033654F">
          <w:rPr>
            <w:noProof/>
            <w:webHidden/>
          </w:rPr>
          <w:instrText xml:space="preserve"> PAGEREF _Toc530558447 \h </w:instrText>
        </w:r>
        <w:r w:rsidR="0033654F">
          <w:rPr>
            <w:noProof/>
            <w:webHidden/>
          </w:rPr>
        </w:r>
        <w:r w:rsidR="0033654F">
          <w:rPr>
            <w:noProof/>
            <w:webHidden/>
          </w:rPr>
          <w:fldChar w:fldCharType="separate"/>
        </w:r>
        <w:r w:rsidR="00856023">
          <w:rPr>
            <w:noProof/>
            <w:webHidden/>
          </w:rPr>
          <w:t>6</w:t>
        </w:r>
        <w:r w:rsidR="0033654F">
          <w:rPr>
            <w:noProof/>
            <w:webHidden/>
          </w:rPr>
          <w:fldChar w:fldCharType="end"/>
        </w:r>
      </w:hyperlink>
    </w:p>
    <w:p w14:paraId="16B5EF87" w14:textId="604CC528" w:rsidR="0033654F" w:rsidRDefault="00810E2D">
      <w:pPr>
        <w:pStyle w:val="TOC2"/>
        <w:rPr>
          <w:rFonts w:asciiTheme="minorHAnsi" w:hAnsiTheme="minorHAnsi"/>
          <w:noProof/>
        </w:rPr>
      </w:pPr>
      <w:hyperlink w:anchor="_Toc530558448" w:history="1">
        <w:r w:rsidR="0033654F" w:rsidRPr="00AD377C">
          <w:rPr>
            <w:rStyle w:val="Hyperlink"/>
            <w:noProof/>
          </w:rPr>
          <w:t>3.</w:t>
        </w:r>
        <w:r w:rsidR="0033654F">
          <w:rPr>
            <w:rFonts w:asciiTheme="minorHAnsi" w:hAnsiTheme="minorHAnsi"/>
            <w:noProof/>
          </w:rPr>
          <w:tab/>
        </w:r>
        <w:r w:rsidR="0033654F" w:rsidRPr="00AD377C">
          <w:rPr>
            <w:rStyle w:val="Hyperlink"/>
            <w:noProof/>
          </w:rPr>
          <w:t>Use of Improved Information Technology and Burden Reduction</w:t>
        </w:r>
        <w:r w:rsidR="0033654F">
          <w:rPr>
            <w:noProof/>
            <w:webHidden/>
          </w:rPr>
          <w:tab/>
        </w:r>
        <w:r w:rsidR="0033654F">
          <w:rPr>
            <w:noProof/>
            <w:webHidden/>
          </w:rPr>
          <w:fldChar w:fldCharType="begin"/>
        </w:r>
        <w:r w:rsidR="0033654F">
          <w:rPr>
            <w:noProof/>
            <w:webHidden/>
          </w:rPr>
          <w:instrText xml:space="preserve"> PAGEREF _Toc530558448 \h </w:instrText>
        </w:r>
        <w:r w:rsidR="0033654F">
          <w:rPr>
            <w:noProof/>
            <w:webHidden/>
          </w:rPr>
        </w:r>
        <w:r w:rsidR="0033654F">
          <w:rPr>
            <w:noProof/>
            <w:webHidden/>
          </w:rPr>
          <w:fldChar w:fldCharType="separate"/>
        </w:r>
        <w:r w:rsidR="00856023">
          <w:rPr>
            <w:noProof/>
            <w:webHidden/>
          </w:rPr>
          <w:t>7</w:t>
        </w:r>
        <w:r w:rsidR="0033654F">
          <w:rPr>
            <w:noProof/>
            <w:webHidden/>
          </w:rPr>
          <w:fldChar w:fldCharType="end"/>
        </w:r>
      </w:hyperlink>
    </w:p>
    <w:p w14:paraId="5CB2D167" w14:textId="22CA5A09" w:rsidR="0033654F" w:rsidRDefault="00810E2D">
      <w:pPr>
        <w:pStyle w:val="TOC2"/>
        <w:rPr>
          <w:rFonts w:asciiTheme="minorHAnsi" w:hAnsiTheme="minorHAnsi"/>
          <w:noProof/>
        </w:rPr>
      </w:pPr>
      <w:hyperlink w:anchor="_Toc530558449" w:history="1">
        <w:r w:rsidR="0033654F" w:rsidRPr="00AD377C">
          <w:rPr>
            <w:rStyle w:val="Hyperlink"/>
            <w:noProof/>
          </w:rPr>
          <w:t>4.</w:t>
        </w:r>
        <w:r w:rsidR="0033654F">
          <w:rPr>
            <w:rFonts w:asciiTheme="minorHAnsi" w:hAnsiTheme="minorHAnsi"/>
            <w:noProof/>
          </w:rPr>
          <w:tab/>
        </w:r>
        <w:r w:rsidR="0033654F" w:rsidRPr="00AD377C">
          <w:rPr>
            <w:rStyle w:val="Hyperlink"/>
            <w:noProof/>
          </w:rPr>
          <w:t>Efforts to Identify Duplication and Use of Similar Information</w:t>
        </w:r>
        <w:r w:rsidR="0033654F">
          <w:rPr>
            <w:noProof/>
            <w:webHidden/>
          </w:rPr>
          <w:tab/>
        </w:r>
        <w:r w:rsidR="0033654F">
          <w:rPr>
            <w:noProof/>
            <w:webHidden/>
          </w:rPr>
          <w:fldChar w:fldCharType="begin"/>
        </w:r>
        <w:r w:rsidR="0033654F">
          <w:rPr>
            <w:noProof/>
            <w:webHidden/>
          </w:rPr>
          <w:instrText xml:space="preserve"> PAGEREF _Toc530558449 \h </w:instrText>
        </w:r>
        <w:r w:rsidR="0033654F">
          <w:rPr>
            <w:noProof/>
            <w:webHidden/>
          </w:rPr>
        </w:r>
        <w:r w:rsidR="0033654F">
          <w:rPr>
            <w:noProof/>
            <w:webHidden/>
          </w:rPr>
          <w:fldChar w:fldCharType="separate"/>
        </w:r>
        <w:r w:rsidR="00856023">
          <w:rPr>
            <w:noProof/>
            <w:webHidden/>
          </w:rPr>
          <w:t>7</w:t>
        </w:r>
        <w:r w:rsidR="0033654F">
          <w:rPr>
            <w:noProof/>
            <w:webHidden/>
          </w:rPr>
          <w:fldChar w:fldCharType="end"/>
        </w:r>
      </w:hyperlink>
    </w:p>
    <w:p w14:paraId="53184192" w14:textId="6603C70A" w:rsidR="0033654F" w:rsidRDefault="00810E2D">
      <w:pPr>
        <w:pStyle w:val="TOC2"/>
        <w:rPr>
          <w:rFonts w:asciiTheme="minorHAnsi" w:hAnsiTheme="minorHAnsi"/>
          <w:noProof/>
        </w:rPr>
      </w:pPr>
      <w:hyperlink w:anchor="_Toc530558450" w:history="1">
        <w:r w:rsidR="0033654F" w:rsidRPr="00AD377C">
          <w:rPr>
            <w:rStyle w:val="Hyperlink"/>
            <w:noProof/>
          </w:rPr>
          <w:t>5.</w:t>
        </w:r>
        <w:r w:rsidR="0033654F">
          <w:rPr>
            <w:rFonts w:asciiTheme="minorHAnsi" w:hAnsiTheme="minorHAnsi"/>
            <w:noProof/>
          </w:rPr>
          <w:tab/>
        </w:r>
        <w:r w:rsidR="0033654F" w:rsidRPr="00AD377C">
          <w:rPr>
            <w:rStyle w:val="Hyperlink"/>
            <w:noProof/>
          </w:rPr>
          <w:t>Impact on Small Businesses or Other Small Entities</w:t>
        </w:r>
        <w:r w:rsidR="0033654F">
          <w:rPr>
            <w:noProof/>
            <w:webHidden/>
          </w:rPr>
          <w:tab/>
        </w:r>
        <w:r w:rsidR="0033654F">
          <w:rPr>
            <w:noProof/>
            <w:webHidden/>
          </w:rPr>
          <w:fldChar w:fldCharType="begin"/>
        </w:r>
        <w:r w:rsidR="0033654F">
          <w:rPr>
            <w:noProof/>
            <w:webHidden/>
          </w:rPr>
          <w:instrText xml:space="preserve"> PAGEREF _Toc530558450 \h </w:instrText>
        </w:r>
        <w:r w:rsidR="0033654F">
          <w:rPr>
            <w:noProof/>
            <w:webHidden/>
          </w:rPr>
        </w:r>
        <w:r w:rsidR="0033654F">
          <w:rPr>
            <w:noProof/>
            <w:webHidden/>
          </w:rPr>
          <w:fldChar w:fldCharType="separate"/>
        </w:r>
        <w:r w:rsidR="00856023">
          <w:rPr>
            <w:noProof/>
            <w:webHidden/>
          </w:rPr>
          <w:t>7</w:t>
        </w:r>
        <w:r w:rsidR="0033654F">
          <w:rPr>
            <w:noProof/>
            <w:webHidden/>
          </w:rPr>
          <w:fldChar w:fldCharType="end"/>
        </w:r>
      </w:hyperlink>
    </w:p>
    <w:p w14:paraId="6498601E" w14:textId="5809EFDB" w:rsidR="0033654F" w:rsidRDefault="00810E2D">
      <w:pPr>
        <w:pStyle w:val="TOC2"/>
        <w:rPr>
          <w:rFonts w:asciiTheme="minorHAnsi" w:hAnsiTheme="minorHAnsi"/>
          <w:noProof/>
        </w:rPr>
      </w:pPr>
      <w:hyperlink w:anchor="_Toc530558451" w:history="1">
        <w:r w:rsidR="0033654F" w:rsidRPr="00AD377C">
          <w:rPr>
            <w:rStyle w:val="Hyperlink"/>
            <w:noProof/>
          </w:rPr>
          <w:t>6.</w:t>
        </w:r>
        <w:r w:rsidR="0033654F">
          <w:rPr>
            <w:rFonts w:asciiTheme="minorHAnsi" w:hAnsiTheme="minorHAnsi"/>
            <w:noProof/>
          </w:rPr>
          <w:tab/>
        </w:r>
        <w:r w:rsidR="0033654F" w:rsidRPr="00AD377C">
          <w:rPr>
            <w:rStyle w:val="Hyperlink"/>
            <w:noProof/>
          </w:rPr>
          <w:t>Consequences of Collecting the Information Less Frequently</w:t>
        </w:r>
        <w:r w:rsidR="0033654F">
          <w:rPr>
            <w:noProof/>
            <w:webHidden/>
          </w:rPr>
          <w:tab/>
        </w:r>
        <w:r w:rsidR="0033654F">
          <w:rPr>
            <w:noProof/>
            <w:webHidden/>
          </w:rPr>
          <w:fldChar w:fldCharType="begin"/>
        </w:r>
        <w:r w:rsidR="0033654F">
          <w:rPr>
            <w:noProof/>
            <w:webHidden/>
          </w:rPr>
          <w:instrText xml:space="preserve"> PAGEREF _Toc530558451 \h </w:instrText>
        </w:r>
        <w:r w:rsidR="0033654F">
          <w:rPr>
            <w:noProof/>
            <w:webHidden/>
          </w:rPr>
        </w:r>
        <w:r w:rsidR="0033654F">
          <w:rPr>
            <w:noProof/>
            <w:webHidden/>
          </w:rPr>
          <w:fldChar w:fldCharType="separate"/>
        </w:r>
        <w:r w:rsidR="00856023">
          <w:rPr>
            <w:noProof/>
            <w:webHidden/>
          </w:rPr>
          <w:t>8</w:t>
        </w:r>
        <w:r w:rsidR="0033654F">
          <w:rPr>
            <w:noProof/>
            <w:webHidden/>
          </w:rPr>
          <w:fldChar w:fldCharType="end"/>
        </w:r>
      </w:hyperlink>
    </w:p>
    <w:p w14:paraId="44AC562F" w14:textId="3E8F6CA9" w:rsidR="0033654F" w:rsidRDefault="00810E2D">
      <w:pPr>
        <w:pStyle w:val="TOC2"/>
        <w:rPr>
          <w:rFonts w:asciiTheme="minorHAnsi" w:hAnsiTheme="minorHAnsi"/>
          <w:noProof/>
        </w:rPr>
      </w:pPr>
      <w:hyperlink w:anchor="_Toc530558452" w:history="1">
        <w:r w:rsidR="0033654F" w:rsidRPr="00AD377C">
          <w:rPr>
            <w:rStyle w:val="Hyperlink"/>
            <w:noProof/>
          </w:rPr>
          <w:t>7.</w:t>
        </w:r>
        <w:r w:rsidR="0033654F">
          <w:rPr>
            <w:rFonts w:asciiTheme="minorHAnsi" w:hAnsiTheme="minorHAnsi"/>
            <w:noProof/>
          </w:rPr>
          <w:tab/>
        </w:r>
        <w:r w:rsidR="0033654F" w:rsidRPr="00AD377C">
          <w:rPr>
            <w:rStyle w:val="Hyperlink"/>
            <w:noProof/>
          </w:rPr>
          <w:t>Special Circumstances Relating to the Guidelines of 5 CFR 1320.5</w:t>
        </w:r>
        <w:r w:rsidR="0033654F">
          <w:rPr>
            <w:noProof/>
            <w:webHidden/>
          </w:rPr>
          <w:tab/>
        </w:r>
        <w:r w:rsidR="0033654F">
          <w:rPr>
            <w:noProof/>
            <w:webHidden/>
          </w:rPr>
          <w:fldChar w:fldCharType="begin"/>
        </w:r>
        <w:r w:rsidR="0033654F">
          <w:rPr>
            <w:noProof/>
            <w:webHidden/>
          </w:rPr>
          <w:instrText xml:space="preserve"> PAGEREF _Toc530558452 \h </w:instrText>
        </w:r>
        <w:r w:rsidR="0033654F">
          <w:rPr>
            <w:noProof/>
            <w:webHidden/>
          </w:rPr>
        </w:r>
        <w:r w:rsidR="0033654F">
          <w:rPr>
            <w:noProof/>
            <w:webHidden/>
          </w:rPr>
          <w:fldChar w:fldCharType="separate"/>
        </w:r>
        <w:r w:rsidR="00856023">
          <w:rPr>
            <w:noProof/>
            <w:webHidden/>
          </w:rPr>
          <w:t>8</w:t>
        </w:r>
        <w:r w:rsidR="0033654F">
          <w:rPr>
            <w:noProof/>
            <w:webHidden/>
          </w:rPr>
          <w:fldChar w:fldCharType="end"/>
        </w:r>
      </w:hyperlink>
    </w:p>
    <w:p w14:paraId="22732982" w14:textId="309DA660" w:rsidR="0033654F" w:rsidRDefault="00810E2D">
      <w:pPr>
        <w:pStyle w:val="TOC2"/>
        <w:rPr>
          <w:rFonts w:asciiTheme="minorHAnsi" w:hAnsiTheme="minorHAnsi"/>
          <w:noProof/>
        </w:rPr>
      </w:pPr>
      <w:hyperlink w:anchor="_Toc530558453" w:history="1">
        <w:r w:rsidR="0033654F" w:rsidRPr="00AD377C">
          <w:rPr>
            <w:rStyle w:val="Hyperlink"/>
            <w:noProof/>
          </w:rPr>
          <w:t>8.</w:t>
        </w:r>
        <w:r w:rsidR="0033654F">
          <w:rPr>
            <w:rFonts w:asciiTheme="minorHAnsi" w:hAnsiTheme="minorHAnsi"/>
            <w:noProof/>
          </w:rPr>
          <w:tab/>
        </w:r>
        <w:r w:rsidR="0033654F" w:rsidRPr="00AD377C">
          <w:rPr>
            <w:rStyle w:val="Hyperlink"/>
            <w:noProof/>
          </w:rPr>
          <w:t>Comments in Response to the Federal Register Notice and Efforts to Consult Outside the Agency</w:t>
        </w:r>
        <w:r w:rsidR="0033654F">
          <w:rPr>
            <w:noProof/>
            <w:webHidden/>
          </w:rPr>
          <w:tab/>
        </w:r>
        <w:r w:rsidR="0033654F">
          <w:rPr>
            <w:noProof/>
            <w:webHidden/>
          </w:rPr>
          <w:fldChar w:fldCharType="begin"/>
        </w:r>
        <w:r w:rsidR="0033654F">
          <w:rPr>
            <w:noProof/>
            <w:webHidden/>
          </w:rPr>
          <w:instrText xml:space="preserve"> PAGEREF _Toc530558453 \h </w:instrText>
        </w:r>
        <w:r w:rsidR="0033654F">
          <w:rPr>
            <w:noProof/>
            <w:webHidden/>
          </w:rPr>
        </w:r>
        <w:r w:rsidR="0033654F">
          <w:rPr>
            <w:noProof/>
            <w:webHidden/>
          </w:rPr>
          <w:fldChar w:fldCharType="separate"/>
        </w:r>
        <w:r w:rsidR="00856023">
          <w:rPr>
            <w:noProof/>
            <w:webHidden/>
          </w:rPr>
          <w:t>8</w:t>
        </w:r>
        <w:r w:rsidR="0033654F">
          <w:rPr>
            <w:noProof/>
            <w:webHidden/>
          </w:rPr>
          <w:fldChar w:fldCharType="end"/>
        </w:r>
      </w:hyperlink>
    </w:p>
    <w:p w14:paraId="370C314D" w14:textId="7F135773" w:rsidR="0033654F" w:rsidRDefault="00810E2D">
      <w:pPr>
        <w:pStyle w:val="TOC2"/>
        <w:rPr>
          <w:rFonts w:asciiTheme="minorHAnsi" w:hAnsiTheme="minorHAnsi"/>
          <w:noProof/>
        </w:rPr>
      </w:pPr>
      <w:hyperlink w:anchor="_Toc530558454" w:history="1">
        <w:r w:rsidR="0033654F" w:rsidRPr="00AD377C">
          <w:rPr>
            <w:rStyle w:val="Hyperlink"/>
            <w:noProof/>
          </w:rPr>
          <w:t>9.</w:t>
        </w:r>
        <w:r w:rsidR="0033654F">
          <w:rPr>
            <w:rFonts w:asciiTheme="minorHAnsi" w:hAnsiTheme="minorHAnsi"/>
            <w:noProof/>
          </w:rPr>
          <w:tab/>
        </w:r>
        <w:r w:rsidR="0033654F" w:rsidRPr="00AD377C">
          <w:rPr>
            <w:rStyle w:val="Hyperlink"/>
            <w:noProof/>
          </w:rPr>
          <w:t>Explanation of Any Payment or Gift to Respondents</w:t>
        </w:r>
        <w:r w:rsidR="0033654F">
          <w:rPr>
            <w:noProof/>
            <w:webHidden/>
          </w:rPr>
          <w:tab/>
        </w:r>
        <w:r w:rsidR="0033654F">
          <w:rPr>
            <w:noProof/>
            <w:webHidden/>
          </w:rPr>
          <w:fldChar w:fldCharType="begin"/>
        </w:r>
        <w:r w:rsidR="0033654F">
          <w:rPr>
            <w:noProof/>
            <w:webHidden/>
          </w:rPr>
          <w:instrText xml:space="preserve"> PAGEREF _Toc530558454 \h </w:instrText>
        </w:r>
        <w:r w:rsidR="0033654F">
          <w:rPr>
            <w:noProof/>
            <w:webHidden/>
          </w:rPr>
        </w:r>
        <w:r w:rsidR="0033654F">
          <w:rPr>
            <w:noProof/>
            <w:webHidden/>
          </w:rPr>
          <w:fldChar w:fldCharType="separate"/>
        </w:r>
        <w:r w:rsidR="00856023">
          <w:rPr>
            <w:noProof/>
            <w:webHidden/>
          </w:rPr>
          <w:t>8</w:t>
        </w:r>
        <w:r w:rsidR="0033654F">
          <w:rPr>
            <w:noProof/>
            <w:webHidden/>
          </w:rPr>
          <w:fldChar w:fldCharType="end"/>
        </w:r>
      </w:hyperlink>
    </w:p>
    <w:p w14:paraId="69CC1EFA" w14:textId="1A017F2C" w:rsidR="0033654F" w:rsidRDefault="00810E2D">
      <w:pPr>
        <w:pStyle w:val="TOC2"/>
        <w:rPr>
          <w:rFonts w:asciiTheme="minorHAnsi" w:hAnsiTheme="minorHAnsi"/>
          <w:noProof/>
        </w:rPr>
      </w:pPr>
      <w:hyperlink w:anchor="_Toc530558455" w:history="1">
        <w:r w:rsidR="0033654F" w:rsidRPr="00AD377C">
          <w:rPr>
            <w:rStyle w:val="Hyperlink"/>
            <w:noProof/>
          </w:rPr>
          <w:t>10.</w:t>
        </w:r>
        <w:r w:rsidR="0033654F">
          <w:rPr>
            <w:rFonts w:asciiTheme="minorHAnsi" w:hAnsiTheme="minorHAnsi"/>
            <w:noProof/>
          </w:rPr>
          <w:tab/>
        </w:r>
        <w:r w:rsidR="0033654F" w:rsidRPr="00AD377C">
          <w:rPr>
            <w:rStyle w:val="Hyperlink"/>
            <w:noProof/>
          </w:rPr>
          <w:t>Protection of the Privacy and Confidentiality of Information Provided by Respondents</w:t>
        </w:r>
        <w:r w:rsidR="0033654F">
          <w:rPr>
            <w:noProof/>
            <w:webHidden/>
          </w:rPr>
          <w:tab/>
        </w:r>
        <w:r w:rsidR="0033654F">
          <w:rPr>
            <w:noProof/>
            <w:webHidden/>
          </w:rPr>
          <w:fldChar w:fldCharType="begin"/>
        </w:r>
        <w:r w:rsidR="0033654F">
          <w:rPr>
            <w:noProof/>
            <w:webHidden/>
          </w:rPr>
          <w:instrText xml:space="preserve"> PAGEREF _Toc530558455 \h </w:instrText>
        </w:r>
        <w:r w:rsidR="0033654F">
          <w:rPr>
            <w:noProof/>
            <w:webHidden/>
          </w:rPr>
        </w:r>
        <w:r w:rsidR="0033654F">
          <w:rPr>
            <w:noProof/>
            <w:webHidden/>
          </w:rPr>
          <w:fldChar w:fldCharType="separate"/>
        </w:r>
        <w:r w:rsidR="00856023">
          <w:rPr>
            <w:noProof/>
            <w:webHidden/>
          </w:rPr>
          <w:t>8</w:t>
        </w:r>
        <w:r w:rsidR="0033654F">
          <w:rPr>
            <w:noProof/>
            <w:webHidden/>
          </w:rPr>
          <w:fldChar w:fldCharType="end"/>
        </w:r>
      </w:hyperlink>
    </w:p>
    <w:p w14:paraId="56CD4C03" w14:textId="4052D2ED" w:rsidR="0033654F" w:rsidRDefault="00810E2D">
      <w:pPr>
        <w:pStyle w:val="TOC2"/>
        <w:rPr>
          <w:rFonts w:asciiTheme="minorHAnsi" w:hAnsiTheme="minorHAnsi"/>
          <w:noProof/>
        </w:rPr>
      </w:pPr>
      <w:hyperlink w:anchor="_Toc530558456" w:history="1">
        <w:r w:rsidR="0033654F" w:rsidRPr="00AD377C">
          <w:rPr>
            <w:rStyle w:val="Hyperlink"/>
            <w:noProof/>
          </w:rPr>
          <w:t>11.</w:t>
        </w:r>
        <w:r w:rsidR="0033654F">
          <w:rPr>
            <w:rFonts w:asciiTheme="minorHAnsi" w:hAnsiTheme="minorHAnsi"/>
            <w:noProof/>
          </w:rPr>
          <w:tab/>
        </w:r>
        <w:r w:rsidR="0033654F" w:rsidRPr="00AD377C">
          <w:rPr>
            <w:rStyle w:val="Hyperlink"/>
            <w:noProof/>
          </w:rPr>
          <w:t>Institutional Review Board (IRB) and Justification for Sensitive Questions</w:t>
        </w:r>
        <w:r w:rsidR="0033654F">
          <w:rPr>
            <w:noProof/>
            <w:webHidden/>
          </w:rPr>
          <w:tab/>
        </w:r>
        <w:r w:rsidR="0033654F">
          <w:rPr>
            <w:noProof/>
            <w:webHidden/>
          </w:rPr>
          <w:fldChar w:fldCharType="begin"/>
        </w:r>
        <w:r w:rsidR="0033654F">
          <w:rPr>
            <w:noProof/>
            <w:webHidden/>
          </w:rPr>
          <w:instrText xml:space="preserve"> PAGEREF _Toc530558456 \h </w:instrText>
        </w:r>
        <w:r w:rsidR="0033654F">
          <w:rPr>
            <w:noProof/>
            <w:webHidden/>
          </w:rPr>
        </w:r>
        <w:r w:rsidR="0033654F">
          <w:rPr>
            <w:noProof/>
            <w:webHidden/>
          </w:rPr>
          <w:fldChar w:fldCharType="separate"/>
        </w:r>
        <w:r w:rsidR="00856023">
          <w:rPr>
            <w:noProof/>
            <w:webHidden/>
          </w:rPr>
          <w:t>9</w:t>
        </w:r>
        <w:r w:rsidR="0033654F">
          <w:rPr>
            <w:noProof/>
            <w:webHidden/>
          </w:rPr>
          <w:fldChar w:fldCharType="end"/>
        </w:r>
      </w:hyperlink>
    </w:p>
    <w:p w14:paraId="1CE9FE36" w14:textId="43D2664B" w:rsidR="0033654F" w:rsidRDefault="00810E2D">
      <w:pPr>
        <w:pStyle w:val="TOC2"/>
        <w:rPr>
          <w:rFonts w:asciiTheme="minorHAnsi" w:hAnsiTheme="minorHAnsi"/>
          <w:noProof/>
        </w:rPr>
      </w:pPr>
      <w:hyperlink w:anchor="_Toc530558457" w:history="1">
        <w:r w:rsidR="0033654F" w:rsidRPr="00AD377C">
          <w:rPr>
            <w:rStyle w:val="Hyperlink"/>
            <w:noProof/>
          </w:rPr>
          <w:t>12.</w:t>
        </w:r>
        <w:r w:rsidR="0033654F">
          <w:rPr>
            <w:rFonts w:asciiTheme="minorHAnsi" w:hAnsiTheme="minorHAnsi"/>
            <w:noProof/>
          </w:rPr>
          <w:tab/>
        </w:r>
        <w:r w:rsidR="0033654F" w:rsidRPr="00AD377C">
          <w:rPr>
            <w:rStyle w:val="Hyperlink"/>
            <w:noProof/>
          </w:rPr>
          <w:t>Estimates of Annualized Burden Hours and Costs</w:t>
        </w:r>
        <w:r w:rsidR="0033654F">
          <w:rPr>
            <w:noProof/>
            <w:webHidden/>
          </w:rPr>
          <w:tab/>
        </w:r>
        <w:r w:rsidR="0033654F">
          <w:rPr>
            <w:noProof/>
            <w:webHidden/>
          </w:rPr>
          <w:fldChar w:fldCharType="begin"/>
        </w:r>
        <w:r w:rsidR="0033654F">
          <w:rPr>
            <w:noProof/>
            <w:webHidden/>
          </w:rPr>
          <w:instrText xml:space="preserve"> PAGEREF _Toc530558457 \h </w:instrText>
        </w:r>
        <w:r w:rsidR="0033654F">
          <w:rPr>
            <w:noProof/>
            <w:webHidden/>
          </w:rPr>
        </w:r>
        <w:r w:rsidR="0033654F">
          <w:rPr>
            <w:noProof/>
            <w:webHidden/>
          </w:rPr>
          <w:fldChar w:fldCharType="separate"/>
        </w:r>
        <w:r w:rsidR="00856023">
          <w:rPr>
            <w:noProof/>
            <w:webHidden/>
          </w:rPr>
          <w:t>9</w:t>
        </w:r>
        <w:r w:rsidR="0033654F">
          <w:rPr>
            <w:noProof/>
            <w:webHidden/>
          </w:rPr>
          <w:fldChar w:fldCharType="end"/>
        </w:r>
      </w:hyperlink>
    </w:p>
    <w:p w14:paraId="57CA1F67" w14:textId="5ECC9A2C" w:rsidR="0033654F" w:rsidRDefault="00810E2D">
      <w:pPr>
        <w:pStyle w:val="TOC2"/>
        <w:rPr>
          <w:rFonts w:asciiTheme="minorHAnsi" w:hAnsiTheme="minorHAnsi"/>
          <w:noProof/>
        </w:rPr>
      </w:pPr>
      <w:hyperlink w:anchor="_Toc530558458" w:history="1">
        <w:r w:rsidR="0033654F" w:rsidRPr="00AD377C">
          <w:rPr>
            <w:rStyle w:val="Hyperlink"/>
            <w:noProof/>
          </w:rPr>
          <w:t>13.</w:t>
        </w:r>
        <w:r w:rsidR="0033654F">
          <w:rPr>
            <w:rFonts w:asciiTheme="minorHAnsi" w:hAnsiTheme="minorHAnsi"/>
            <w:noProof/>
          </w:rPr>
          <w:tab/>
        </w:r>
        <w:r w:rsidR="0033654F" w:rsidRPr="00AD377C">
          <w:rPr>
            <w:rStyle w:val="Hyperlink"/>
            <w:noProof/>
          </w:rPr>
          <w:t>Estimates of Other Total Annual Cost Burden to Respondents or Record Keepers</w:t>
        </w:r>
        <w:r w:rsidR="0033654F">
          <w:rPr>
            <w:noProof/>
            <w:webHidden/>
          </w:rPr>
          <w:tab/>
        </w:r>
        <w:r w:rsidR="0033654F">
          <w:rPr>
            <w:noProof/>
            <w:webHidden/>
          </w:rPr>
          <w:fldChar w:fldCharType="begin"/>
        </w:r>
        <w:r w:rsidR="0033654F">
          <w:rPr>
            <w:noProof/>
            <w:webHidden/>
          </w:rPr>
          <w:instrText xml:space="preserve"> PAGEREF _Toc530558458 \h </w:instrText>
        </w:r>
        <w:r w:rsidR="0033654F">
          <w:rPr>
            <w:noProof/>
            <w:webHidden/>
          </w:rPr>
        </w:r>
        <w:r w:rsidR="0033654F">
          <w:rPr>
            <w:noProof/>
            <w:webHidden/>
          </w:rPr>
          <w:fldChar w:fldCharType="separate"/>
        </w:r>
        <w:r w:rsidR="00856023">
          <w:rPr>
            <w:noProof/>
            <w:webHidden/>
          </w:rPr>
          <w:t>10</w:t>
        </w:r>
        <w:r w:rsidR="0033654F">
          <w:rPr>
            <w:noProof/>
            <w:webHidden/>
          </w:rPr>
          <w:fldChar w:fldCharType="end"/>
        </w:r>
      </w:hyperlink>
    </w:p>
    <w:p w14:paraId="00239EB2" w14:textId="3E63FB87" w:rsidR="0033654F" w:rsidRDefault="00810E2D">
      <w:pPr>
        <w:pStyle w:val="TOC2"/>
        <w:rPr>
          <w:rFonts w:asciiTheme="minorHAnsi" w:hAnsiTheme="minorHAnsi"/>
          <w:noProof/>
        </w:rPr>
      </w:pPr>
      <w:hyperlink w:anchor="_Toc530558459" w:history="1">
        <w:r w:rsidR="0033654F" w:rsidRPr="00AD377C">
          <w:rPr>
            <w:rStyle w:val="Hyperlink"/>
            <w:noProof/>
          </w:rPr>
          <w:t>14.</w:t>
        </w:r>
        <w:r w:rsidR="0033654F">
          <w:rPr>
            <w:rFonts w:asciiTheme="minorHAnsi" w:hAnsiTheme="minorHAnsi"/>
            <w:noProof/>
          </w:rPr>
          <w:tab/>
        </w:r>
        <w:r w:rsidR="0033654F" w:rsidRPr="00AD377C">
          <w:rPr>
            <w:rStyle w:val="Hyperlink"/>
            <w:noProof/>
          </w:rPr>
          <w:t>Annualized Cost to the Government</w:t>
        </w:r>
        <w:r w:rsidR="0033654F">
          <w:rPr>
            <w:noProof/>
            <w:webHidden/>
          </w:rPr>
          <w:tab/>
        </w:r>
        <w:r w:rsidR="0033654F">
          <w:rPr>
            <w:noProof/>
            <w:webHidden/>
          </w:rPr>
          <w:fldChar w:fldCharType="begin"/>
        </w:r>
        <w:r w:rsidR="0033654F">
          <w:rPr>
            <w:noProof/>
            <w:webHidden/>
          </w:rPr>
          <w:instrText xml:space="preserve"> PAGEREF _Toc530558459 \h </w:instrText>
        </w:r>
        <w:r w:rsidR="0033654F">
          <w:rPr>
            <w:noProof/>
            <w:webHidden/>
          </w:rPr>
        </w:r>
        <w:r w:rsidR="0033654F">
          <w:rPr>
            <w:noProof/>
            <w:webHidden/>
          </w:rPr>
          <w:fldChar w:fldCharType="separate"/>
        </w:r>
        <w:r w:rsidR="00856023">
          <w:rPr>
            <w:noProof/>
            <w:webHidden/>
          </w:rPr>
          <w:t>10</w:t>
        </w:r>
        <w:r w:rsidR="0033654F">
          <w:rPr>
            <w:noProof/>
            <w:webHidden/>
          </w:rPr>
          <w:fldChar w:fldCharType="end"/>
        </w:r>
      </w:hyperlink>
    </w:p>
    <w:p w14:paraId="718BB1D5" w14:textId="1BDFF930" w:rsidR="0033654F" w:rsidRDefault="00810E2D">
      <w:pPr>
        <w:pStyle w:val="TOC2"/>
        <w:rPr>
          <w:rFonts w:asciiTheme="minorHAnsi" w:hAnsiTheme="minorHAnsi"/>
          <w:noProof/>
        </w:rPr>
      </w:pPr>
      <w:hyperlink w:anchor="_Toc530558460" w:history="1">
        <w:r w:rsidR="0033654F" w:rsidRPr="00AD377C">
          <w:rPr>
            <w:rStyle w:val="Hyperlink"/>
            <w:noProof/>
          </w:rPr>
          <w:t>15.</w:t>
        </w:r>
        <w:r w:rsidR="0033654F">
          <w:rPr>
            <w:rFonts w:asciiTheme="minorHAnsi" w:hAnsiTheme="minorHAnsi"/>
            <w:noProof/>
          </w:rPr>
          <w:tab/>
        </w:r>
        <w:r w:rsidR="0033654F" w:rsidRPr="00AD377C">
          <w:rPr>
            <w:rStyle w:val="Hyperlink"/>
            <w:noProof/>
          </w:rPr>
          <w:t>Explanation for Program Changes or Adjustments</w:t>
        </w:r>
        <w:r w:rsidR="0033654F">
          <w:rPr>
            <w:noProof/>
            <w:webHidden/>
          </w:rPr>
          <w:tab/>
        </w:r>
        <w:r w:rsidR="0033654F">
          <w:rPr>
            <w:noProof/>
            <w:webHidden/>
          </w:rPr>
          <w:fldChar w:fldCharType="begin"/>
        </w:r>
        <w:r w:rsidR="0033654F">
          <w:rPr>
            <w:noProof/>
            <w:webHidden/>
          </w:rPr>
          <w:instrText xml:space="preserve"> PAGEREF _Toc530558460 \h </w:instrText>
        </w:r>
        <w:r w:rsidR="0033654F">
          <w:rPr>
            <w:noProof/>
            <w:webHidden/>
          </w:rPr>
        </w:r>
        <w:r w:rsidR="0033654F">
          <w:rPr>
            <w:noProof/>
            <w:webHidden/>
          </w:rPr>
          <w:fldChar w:fldCharType="separate"/>
        </w:r>
        <w:r w:rsidR="00856023">
          <w:rPr>
            <w:noProof/>
            <w:webHidden/>
          </w:rPr>
          <w:t>11</w:t>
        </w:r>
        <w:r w:rsidR="0033654F">
          <w:rPr>
            <w:noProof/>
            <w:webHidden/>
          </w:rPr>
          <w:fldChar w:fldCharType="end"/>
        </w:r>
      </w:hyperlink>
    </w:p>
    <w:p w14:paraId="173227CD" w14:textId="7303E9D5" w:rsidR="0033654F" w:rsidRDefault="00810E2D">
      <w:pPr>
        <w:pStyle w:val="TOC2"/>
        <w:rPr>
          <w:rFonts w:asciiTheme="minorHAnsi" w:hAnsiTheme="minorHAnsi"/>
          <w:noProof/>
        </w:rPr>
      </w:pPr>
      <w:hyperlink w:anchor="_Toc530558461" w:history="1">
        <w:r w:rsidR="0033654F" w:rsidRPr="00AD377C">
          <w:rPr>
            <w:rStyle w:val="Hyperlink"/>
            <w:noProof/>
          </w:rPr>
          <w:t>16.</w:t>
        </w:r>
        <w:r w:rsidR="0033654F">
          <w:rPr>
            <w:rFonts w:asciiTheme="minorHAnsi" w:hAnsiTheme="minorHAnsi"/>
            <w:noProof/>
          </w:rPr>
          <w:tab/>
        </w:r>
        <w:r w:rsidR="0033654F" w:rsidRPr="00AD377C">
          <w:rPr>
            <w:rStyle w:val="Hyperlink"/>
            <w:noProof/>
          </w:rPr>
          <w:t>Plans for Tabulation and Publication and Project Time Schedule</w:t>
        </w:r>
        <w:r w:rsidR="0033654F">
          <w:rPr>
            <w:noProof/>
            <w:webHidden/>
          </w:rPr>
          <w:tab/>
        </w:r>
        <w:r w:rsidR="0033654F">
          <w:rPr>
            <w:noProof/>
            <w:webHidden/>
          </w:rPr>
          <w:fldChar w:fldCharType="begin"/>
        </w:r>
        <w:r w:rsidR="0033654F">
          <w:rPr>
            <w:noProof/>
            <w:webHidden/>
          </w:rPr>
          <w:instrText xml:space="preserve"> PAGEREF _Toc530558461 \h </w:instrText>
        </w:r>
        <w:r w:rsidR="0033654F">
          <w:rPr>
            <w:noProof/>
            <w:webHidden/>
          </w:rPr>
        </w:r>
        <w:r w:rsidR="0033654F">
          <w:rPr>
            <w:noProof/>
            <w:webHidden/>
          </w:rPr>
          <w:fldChar w:fldCharType="separate"/>
        </w:r>
        <w:r w:rsidR="00856023">
          <w:rPr>
            <w:noProof/>
            <w:webHidden/>
          </w:rPr>
          <w:t>11</w:t>
        </w:r>
        <w:r w:rsidR="0033654F">
          <w:rPr>
            <w:noProof/>
            <w:webHidden/>
          </w:rPr>
          <w:fldChar w:fldCharType="end"/>
        </w:r>
      </w:hyperlink>
    </w:p>
    <w:p w14:paraId="7A2DA93A" w14:textId="12FF2ABD" w:rsidR="0033654F" w:rsidRDefault="00810E2D">
      <w:pPr>
        <w:pStyle w:val="TOC2"/>
        <w:rPr>
          <w:rFonts w:asciiTheme="minorHAnsi" w:hAnsiTheme="minorHAnsi"/>
          <w:noProof/>
        </w:rPr>
      </w:pPr>
      <w:hyperlink w:anchor="_Toc530558462" w:history="1">
        <w:r w:rsidR="0033654F" w:rsidRPr="00AD377C">
          <w:rPr>
            <w:rStyle w:val="Hyperlink"/>
            <w:noProof/>
          </w:rPr>
          <w:t>17.</w:t>
        </w:r>
        <w:r w:rsidR="0033654F">
          <w:rPr>
            <w:rFonts w:asciiTheme="minorHAnsi" w:hAnsiTheme="minorHAnsi"/>
            <w:noProof/>
          </w:rPr>
          <w:tab/>
        </w:r>
        <w:r w:rsidR="0033654F" w:rsidRPr="00AD377C">
          <w:rPr>
            <w:rStyle w:val="Hyperlink"/>
            <w:noProof/>
          </w:rPr>
          <w:t>Reason(s) Display of OMB Expiration Date is Inappropriate</w:t>
        </w:r>
        <w:r w:rsidR="0033654F">
          <w:rPr>
            <w:noProof/>
            <w:webHidden/>
          </w:rPr>
          <w:tab/>
        </w:r>
        <w:r w:rsidR="0033654F">
          <w:rPr>
            <w:noProof/>
            <w:webHidden/>
          </w:rPr>
          <w:fldChar w:fldCharType="begin"/>
        </w:r>
        <w:r w:rsidR="0033654F">
          <w:rPr>
            <w:noProof/>
            <w:webHidden/>
          </w:rPr>
          <w:instrText xml:space="preserve"> PAGEREF _Toc530558462 \h </w:instrText>
        </w:r>
        <w:r w:rsidR="0033654F">
          <w:rPr>
            <w:noProof/>
            <w:webHidden/>
          </w:rPr>
        </w:r>
        <w:r w:rsidR="0033654F">
          <w:rPr>
            <w:noProof/>
            <w:webHidden/>
          </w:rPr>
          <w:fldChar w:fldCharType="separate"/>
        </w:r>
        <w:r w:rsidR="00856023">
          <w:rPr>
            <w:noProof/>
            <w:webHidden/>
          </w:rPr>
          <w:t>12</w:t>
        </w:r>
        <w:r w:rsidR="0033654F">
          <w:rPr>
            <w:noProof/>
            <w:webHidden/>
          </w:rPr>
          <w:fldChar w:fldCharType="end"/>
        </w:r>
      </w:hyperlink>
    </w:p>
    <w:p w14:paraId="44C21A65" w14:textId="623411D6" w:rsidR="0033654F" w:rsidRDefault="00810E2D">
      <w:pPr>
        <w:pStyle w:val="TOC2"/>
        <w:rPr>
          <w:rFonts w:asciiTheme="minorHAnsi" w:hAnsiTheme="minorHAnsi"/>
          <w:noProof/>
        </w:rPr>
      </w:pPr>
      <w:hyperlink w:anchor="_Toc530558463" w:history="1">
        <w:r w:rsidR="0033654F" w:rsidRPr="00AD377C">
          <w:rPr>
            <w:rStyle w:val="Hyperlink"/>
            <w:noProof/>
          </w:rPr>
          <w:t>18.</w:t>
        </w:r>
        <w:r w:rsidR="0033654F">
          <w:rPr>
            <w:rFonts w:asciiTheme="minorHAnsi" w:hAnsiTheme="minorHAnsi"/>
            <w:noProof/>
          </w:rPr>
          <w:tab/>
        </w:r>
        <w:r w:rsidR="0033654F" w:rsidRPr="00AD377C">
          <w:rPr>
            <w:rStyle w:val="Hyperlink"/>
            <w:noProof/>
          </w:rPr>
          <w:t>Exceptions to Certification for Paperwork Reduction Act Submissions</w:t>
        </w:r>
        <w:r w:rsidR="0033654F">
          <w:rPr>
            <w:noProof/>
            <w:webHidden/>
          </w:rPr>
          <w:tab/>
        </w:r>
        <w:r w:rsidR="0033654F">
          <w:rPr>
            <w:noProof/>
            <w:webHidden/>
          </w:rPr>
          <w:fldChar w:fldCharType="begin"/>
        </w:r>
        <w:r w:rsidR="0033654F">
          <w:rPr>
            <w:noProof/>
            <w:webHidden/>
          </w:rPr>
          <w:instrText xml:space="preserve"> PAGEREF _Toc530558463 \h </w:instrText>
        </w:r>
        <w:r w:rsidR="0033654F">
          <w:rPr>
            <w:noProof/>
            <w:webHidden/>
          </w:rPr>
        </w:r>
        <w:r w:rsidR="0033654F">
          <w:rPr>
            <w:noProof/>
            <w:webHidden/>
          </w:rPr>
          <w:fldChar w:fldCharType="separate"/>
        </w:r>
        <w:r w:rsidR="00856023">
          <w:rPr>
            <w:noProof/>
            <w:webHidden/>
          </w:rPr>
          <w:t>12</w:t>
        </w:r>
        <w:r w:rsidR="0033654F">
          <w:rPr>
            <w:noProof/>
            <w:webHidden/>
          </w:rPr>
          <w:fldChar w:fldCharType="end"/>
        </w:r>
      </w:hyperlink>
    </w:p>
    <w:p w14:paraId="657B6623" w14:textId="184CBA3F" w:rsidR="0033654F" w:rsidRDefault="00810E2D">
      <w:pPr>
        <w:pStyle w:val="TOC1"/>
        <w:tabs>
          <w:tab w:val="right" w:leader="dot" w:pos="9350"/>
        </w:tabs>
        <w:rPr>
          <w:rFonts w:asciiTheme="minorHAnsi" w:hAnsiTheme="minorHAnsi"/>
          <w:noProof/>
        </w:rPr>
      </w:pPr>
      <w:hyperlink w:anchor="_Toc530558464" w:history="1">
        <w:r w:rsidR="0033654F" w:rsidRPr="00AD377C">
          <w:rPr>
            <w:rStyle w:val="Hyperlink"/>
            <w:noProof/>
          </w:rPr>
          <w:t>LIST OF ATTACHMENTS – Section A</w:t>
        </w:r>
        <w:r w:rsidR="0033654F">
          <w:rPr>
            <w:noProof/>
            <w:webHidden/>
          </w:rPr>
          <w:tab/>
        </w:r>
        <w:r w:rsidR="0033654F">
          <w:rPr>
            <w:noProof/>
            <w:webHidden/>
          </w:rPr>
          <w:fldChar w:fldCharType="begin"/>
        </w:r>
        <w:r w:rsidR="0033654F">
          <w:rPr>
            <w:noProof/>
            <w:webHidden/>
          </w:rPr>
          <w:instrText xml:space="preserve"> PAGEREF _Toc530558464 \h </w:instrText>
        </w:r>
        <w:r w:rsidR="0033654F">
          <w:rPr>
            <w:noProof/>
            <w:webHidden/>
          </w:rPr>
        </w:r>
        <w:r w:rsidR="0033654F">
          <w:rPr>
            <w:noProof/>
            <w:webHidden/>
          </w:rPr>
          <w:fldChar w:fldCharType="separate"/>
        </w:r>
        <w:r w:rsidR="00856023">
          <w:rPr>
            <w:noProof/>
            <w:webHidden/>
          </w:rPr>
          <w:t>13</w:t>
        </w:r>
        <w:r w:rsidR="0033654F">
          <w:rPr>
            <w:noProof/>
            <w:webHidden/>
          </w:rPr>
          <w:fldChar w:fldCharType="end"/>
        </w:r>
      </w:hyperlink>
    </w:p>
    <w:p w14:paraId="4A0A3790" w14:textId="6C47D928" w:rsidR="0033654F" w:rsidRDefault="00810E2D">
      <w:pPr>
        <w:pStyle w:val="TOC1"/>
        <w:tabs>
          <w:tab w:val="right" w:leader="dot" w:pos="9350"/>
        </w:tabs>
        <w:rPr>
          <w:rFonts w:asciiTheme="minorHAnsi" w:hAnsiTheme="minorHAnsi"/>
          <w:noProof/>
        </w:rPr>
      </w:pPr>
      <w:hyperlink w:anchor="_Toc530558465" w:history="1">
        <w:r w:rsidR="0033654F" w:rsidRPr="00AD377C">
          <w:rPr>
            <w:rStyle w:val="Hyperlink"/>
            <w:noProof/>
          </w:rPr>
          <w:t>REFERENCE LIST</w:t>
        </w:r>
        <w:r w:rsidR="0033654F">
          <w:rPr>
            <w:noProof/>
            <w:webHidden/>
          </w:rPr>
          <w:tab/>
        </w:r>
        <w:r w:rsidR="0033654F">
          <w:rPr>
            <w:noProof/>
            <w:webHidden/>
          </w:rPr>
          <w:fldChar w:fldCharType="begin"/>
        </w:r>
        <w:r w:rsidR="0033654F">
          <w:rPr>
            <w:noProof/>
            <w:webHidden/>
          </w:rPr>
          <w:instrText xml:space="preserve"> PAGEREF _Toc530558465 \h </w:instrText>
        </w:r>
        <w:r w:rsidR="0033654F">
          <w:rPr>
            <w:noProof/>
            <w:webHidden/>
          </w:rPr>
        </w:r>
        <w:r w:rsidR="0033654F">
          <w:rPr>
            <w:noProof/>
            <w:webHidden/>
          </w:rPr>
          <w:fldChar w:fldCharType="separate"/>
        </w:r>
        <w:r w:rsidR="00856023">
          <w:rPr>
            <w:noProof/>
            <w:webHidden/>
          </w:rPr>
          <w:t>13</w:t>
        </w:r>
        <w:r w:rsidR="0033654F">
          <w:rPr>
            <w:noProof/>
            <w:webHidden/>
          </w:rPr>
          <w:fldChar w:fldCharType="end"/>
        </w:r>
      </w:hyperlink>
    </w:p>
    <w:p w14:paraId="5E33AC4A" w14:textId="652373ED" w:rsidR="00235C38" w:rsidRPr="007C10BD" w:rsidRDefault="00D753CD" w:rsidP="007843A5">
      <w:pPr>
        <w:tabs>
          <w:tab w:val="clear" w:pos="9360"/>
        </w:tabs>
        <w:spacing w:after="200"/>
        <w:ind w:left="0"/>
      </w:pPr>
      <w:bookmarkStart w:id="2" w:name="_Toc413847747"/>
      <w:bookmarkStart w:id="3" w:name="_Toc427752812"/>
      <w:bookmarkStart w:id="4" w:name="_Toc523399488"/>
      <w:bookmarkStart w:id="5" w:name="_Toc523399588"/>
      <w:bookmarkStart w:id="6" w:name="_Toc523399640"/>
      <w:bookmarkStart w:id="7" w:name="_Toc523399713"/>
      <w:bookmarkStart w:id="8" w:name="_Toc523399794"/>
      <w:bookmarkStart w:id="9" w:name="_Toc523399921"/>
      <w:bookmarkStart w:id="10" w:name="_Toc523400101"/>
      <w:bookmarkStart w:id="11" w:name="_Toc523400199"/>
      <w:bookmarkStart w:id="12" w:name="_Toc523400542"/>
      <w:bookmarkStart w:id="13" w:name="_Toc523400803"/>
      <w:bookmarkStart w:id="14" w:name="_Toc523401385"/>
      <w:bookmarkStart w:id="15" w:name="_Toc523401955"/>
      <w:bookmarkStart w:id="16" w:name="_Toc526773546"/>
      <w:bookmarkStart w:id="17" w:name="_Toc530558444"/>
      <w:r w:rsidRPr="007C10BD">
        <w:rPr>
          <w:rFonts w:eastAsia="Calibri" w:cs="Times New Roman"/>
          <w:b/>
          <w:noProof/>
        </w:rPr>
        <w:lastRenderedPageBreak/>
        <mc:AlternateContent>
          <mc:Choice Requires="wps">
            <w:drawing>
              <wp:anchor distT="0" distB="0" distL="114300" distR="114300" simplePos="0" relativeHeight="251658240" behindDoc="1" locked="0" layoutInCell="1" allowOverlap="1" wp14:anchorId="309F6453" wp14:editId="61972015">
                <wp:simplePos x="0" y="0"/>
                <wp:positionH relativeFrom="margin">
                  <wp:posOffset>15240</wp:posOffset>
                </wp:positionH>
                <wp:positionV relativeFrom="margin">
                  <wp:posOffset>-144780</wp:posOffset>
                </wp:positionV>
                <wp:extent cx="5958840" cy="4023360"/>
                <wp:effectExtent l="0" t="0" r="22860" b="15240"/>
                <wp:wrapTight wrapText="bothSides">
                  <wp:wrapPolygon edited="0">
                    <wp:start x="0" y="0"/>
                    <wp:lineTo x="0" y="21580"/>
                    <wp:lineTo x="21614" y="21580"/>
                    <wp:lineTo x="21614" y="0"/>
                    <wp:lineTo x="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4023360"/>
                        </a:xfrm>
                        <a:prstGeom prst="rect">
                          <a:avLst/>
                        </a:prstGeom>
                        <a:solidFill>
                          <a:srgbClr val="FFFFFF"/>
                        </a:solidFill>
                        <a:ln w="9525">
                          <a:solidFill>
                            <a:srgbClr val="000000"/>
                          </a:solidFill>
                          <a:miter lim="800000"/>
                          <a:headEnd/>
                          <a:tailEnd/>
                        </a:ln>
                      </wps:spPr>
                      <wps:txbx>
                        <w:txbxContent>
                          <w:p w14:paraId="400256C3" w14:textId="4F46C511" w:rsidR="00E236C2" w:rsidRPr="000333EC" w:rsidRDefault="00E236C2" w:rsidP="006947D6">
                            <w:pPr>
                              <w:pStyle w:val="ListParagraph"/>
                              <w:numPr>
                                <w:ilvl w:val="0"/>
                                <w:numId w:val="7"/>
                              </w:numPr>
                              <w:tabs>
                                <w:tab w:val="clear" w:pos="9360"/>
                              </w:tabs>
                              <w:contextualSpacing w:val="0"/>
                              <w:jc w:val="both"/>
                            </w:pPr>
                            <w:r w:rsidRPr="000333EC">
                              <w:rPr>
                                <w:b/>
                              </w:rPr>
                              <w:t xml:space="preserve">Purpose of the data collection </w:t>
                            </w:r>
                            <w:r w:rsidRPr="000333EC">
                              <w:t>The purpose of this information collection is to:</w:t>
                            </w:r>
                          </w:p>
                          <w:p w14:paraId="48D8883E" w14:textId="40D2B554" w:rsidR="00E236C2" w:rsidRPr="000333EC" w:rsidRDefault="00E236C2" w:rsidP="006947D6">
                            <w:pPr>
                              <w:pStyle w:val="ListParagraph"/>
                              <w:numPr>
                                <w:ilvl w:val="1"/>
                                <w:numId w:val="7"/>
                              </w:numPr>
                              <w:tabs>
                                <w:tab w:val="clear" w:pos="9360"/>
                              </w:tabs>
                              <w:ind w:left="630" w:hanging="270"/>
                              <w:contextualSpacing w:val="0"/>
                              <w:jc w:val="both"/>
                            </w:pPr>
                            <w:r w:rsidRPr="000333EC">
                              <w:t xml:space="preserve">Identify state, territorial, and local health department needs related to training and exercises for public health personnel who will serve in a leadership role during a public health emergency response; </w:t>
                            </w:r>
                          </w:p>
                          <w:p w14:paraId="04D71CA2" w14:textId="7613D78B" w:rsidR="00E236C2" w:rsidRPr="000333EC" w:rsidRDefault="00E236C2" w:rsidP="006947D6">
                            <w:pPr>
                              <w:pStyle w:val="ListParagraph"/>
                              <w:numPr>
                                <w:ilvl w:val="1"/>
                                <w:numId w:val="7"/>
                              </w:numPr>
                              <w:tabs>
                                <w:tab w:val="clear" w:pos="9360"/>
                              </w:tabs>
                              <w:ind w:left="630" w:hanging="270"/>
                              <w:contextualSpacing w:val="0"/>
                              <w:jc w:val="both"/>
                            </w:pPr>
                            <w:r w:rsidRPr="000333EC">
                              <w:t>Highlight barriers and facilitators to developing, delivering, supporting, or accessing training and exercises by health department staff and;</w:t>
                            </w:r>
                          </w:p>
                          <w:p w14:paraId="3F067ACE" w14:textId="7C091E2A" w:rsidR="00E236C2" w:rsidRPr="000333EC" w:rsidRDefault="00E236C2" w:rsidP="006947D6">
                            <w:pPr>
                              <w:pStyle w:val="ListParagraph"/>
                              <w:numPr>
                                <w:ilvl w:val="1"/>
                                <w:numId w:val="7"/>
                              </w:numPr>
                              <w:tabs>
                                <w:tab w:val="clear" w:pos="9360"/>
                              </w:tabs>
                              <w:spacing w:after="120"/>
                              <w:ind w:left="630" w:hanging="270"/>
                              <w:contextualSpacing w:val="0"/>
                              <w:jc w:val="both"/>
                            </w:pPr>
                            <w:r w:rsidRPr="000333EC">
                              <w:t>Identify current and emerging trends, knowledge, and professional opinions about training for public health emergency response leadership.</w:t>
                            </w:r>
                            <w:r w:rsidRPr="000333EC">
                              <w:rPr>
                                <w:rFonts w:cs="Times New Roman"/>
                              </w:rPr>
                              <w:t xml:space="preserve"> </w:t>
                            </w:r>
                          </w:p>
                          <w:p w14:paraId="76A20D12" w14:textId="392C1715" w:rsidR="00E236C2" w:rsidRPr="000333EC" w:rsidRDefault="00E236C2" w:rsidP="006947D6">
                            <w:pPr>
                              <w:pStyle w:val="ListParagraph"/>
                              <w:numPr>
                                <w:ilvl w:val="0"/>
                                <w:numId w:val="7"/>
                              </w:numPr>
                              <w:tabs>
                                <w:tab w:val="clear" w:pos="9360"/>
                              </w:tabs>
                              <w:spacing w:after="120"/>
                              <w:contextualSpacing w:val="0"/>
                              <w:jc w:val="both"/>
                              <w:rPr>
                                <w:rFonts w:cs="Times New Roman"/>
                              </w:rPr>
                            </w:pPr>
                            <w:r w:rsidRPr="000333EC">
                              <w:rPr>
                                <w:b/>
                              </w:rPr>
                              <w:t xml:space="preserve">Intended use of the resulting data </w:t>
                            </w:r>
                            <w:r w:rsidRPr="000333EC">
                              <w:t xml:space="preserve">Information collected will be used by CDC </w:t>
                            </w:r>
                            <w:r w:rsidRPr="00965C60">
                              <w:t>to develop strategic priorities and practical recommendations to improve</w:t>
                            </w:r>
                            <w:r w:rsidRPr="000333EC">
                              <w:t xml:space="preserve"> leadership training for public health emergency responders at the state, territorial, and local levels</w:t>
                            </w:r>
                            <w:r w:rsidRPr="000333EC">
                              <w:rPr>
                                <w:rFonts w:cs="Times New Roman"/>
                              </w:rPr>
                              <w:t>.</w:t>
                            </w:r>
                          </w:p>
                          <w:p w14:paraId="14586FC9" w14:textId="12C77AAA" w:rsidR="00E236C2" w:rsidRPr="000333EC" w:rsidRDefault="00E236C2" w:rsidP="006947D6">
                            <w:pPr>
                              <w:pStyle w:val="ListParagraph"/>
                              <w:numPr>
                                <w:ilvl w:val="0"/>
                                <w:numId w:val="7"/>
                              </w:numPr>
                              <w:tabs>
                                <w:tab w:val="clear" w:pos="9360"/>
                              </w:tabs>
                              <w:spacing w:after="120"/>
                              <w:contextualSpacing w:val="0"/>
                              <w:jc w:val="both"/>
                              <w:rPr>
                                <w:rFonts w:cs="Times New Roman"/>
                              </w:rPr>
                            </w:pPr>
                            <w:r w:rsidRPr="000333EC">
                              <w:rPr>
                                <w:b/>
                              </w:rPr>
                              <w:t xml:space="preserve">Methods to be used to collect data </w:t>
                            </w:r>
                            <w:r w:rsidRPr="000333EC">
                              <w:t xml:space="preserve">Information will be collected via two methods: 1) a web-based assessment and 2) focus groups. </w:t>
                            </w:r>
                          </w:p>
                          <w:p w14:paraId="3DD0E45B" w14:textId="05D8422F" w:rsidR="00E236C2" w:rsidRPr="000333EC" w:rsidRDefault="00E236C2" w:rsidP="006947D6">
                            <w:pPr>
                              <w:pStyle w:val="ListParagraph"/>
                              <w:numPr>
                                <w:ilvl w:val="0"/>
                                <w:numId w:val="7"/>
                              </w:numPr>
                              <w:tabs>
                                <w:tab w:val="clear" w:pos="9360"/>
                              </w:tabs>
                              <w:spacing w:after="120"/>
                              <w:contextualSpacing w:val="0"/>
                              <w:jc w:val="both"/>
                            </w:pPr>
                            <w:r w:rsidRPr="000333EC">
                              <w:rPr>
                                <w:b/>
                              </w:rPr>
                              <w:t xml:space="preserve">Respondent Universe </w:t>
                            </w:r>
                            <w:r w:rsidRPr="000333EC">
                              <w:t xml:space="preserve">The combined respondent universe for both information collection methods is </w:t>
                            </w:r>
                            <w:r w:rsidR="003B7262">
                              <w:t xml:space="preserve">762 </w:t>
                            </w:r>
                            <w:r w:rsidR="00B7733A">
                              <w:t>state</w:t>
                            </w:r>
                            <w:r w:rsidR="00E96A29">
                              <w:t xml:space="preserve">, </w:t>
                            </w:r>
                            <w:r w:rsidR="00B7733A">
                              <w:t>local</w:t>
                            </w:r>
                            <w:r w:rsidR="00E96A29">
                              <w:t>, and territorial</w:t>
                            </w:r>
                            <w:r w:rsidR="00B7733A">
                              <w:t xml:space="preserve"> preparedness directors or coordinators. </w:t>
                            </w:r>
                          </w:p>
                          <w:p w14:paraId="11D55F36" w14:textId="262B4F61" w:rsidR="00E236C2" w:rsidRPr="000333EC" w:rsidRDefault="00E236C2" w:rsidP="00060053">
                            <w:pPr>
                              <w:pStyle w:val="ListParagraph"/>
                              <w:numPr>
                                <w:ilvl w:val="0"/>
                                <w:numId w:val="7"/>
                              </w:numPr>
                              <w:tabs>
                                <w:tab w:val="clear" w:pos="9360"/>
                              </w:tabs>
                              <w:spacing w:after="120"/>
                              <w:contextualSpacing w:val="0"/>
                              <w:jc w:val="both"/>
                            </w:pPr>
                            <w:r w:rsidRPr="00B7733A">
                              <w:rPr>
                                <w:b/>
                              </w:rPr>
                              <w:t>How data will be analyzed</w:t>
                            </w:r>
                            <w:r w:rsidR="00B7733A" w:rsidRPr="00B7733A">
                              <w:rPr>
                                <w:b/>
                              </w:rPr>
                              <w:t xml:space="preserve">. </w:t>
                            </w:r>
                            <w:r w:rsidR="00B7733A">
                              <w:t xml:space="preserve">Quantitative data will be analyzed to compare differences/similarities in training needs among health department size/type, populations-served, and geographic regions. Qualitative data will be analyzed to identify common themes among health department type.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2pt;margin-top:-11.4pt;width:469.2pt;height:316.8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">
                <v:textbox>
                  <w:txbxContent>
                    <w:p w14:paraId="400256C3" w14:textId="4F46C511" w:rsidR="00E236C2" w:rsidRPr="000333EC" w:rsidRDefault="00E236C2" w:rsidP="006947D6">
                      <w:pPr>
                        <w:pStyle w:val="ListParagraph"/>
                        <w:numPr>
                          <w:ilvl w:val="0"/>
                          <w:numId w:val="7"/>
                        </w:numPr>
                        <w:tabs>
                          <w:tab w:val="clear" w:pos="9360"/>
                        </w:tabs>
                        <w:contextualSpacing w:val="0"/>
                        <w:jc w:val="both"/>
                      </w:pPr>
                      <w:r w:rsidRPr="000333EC">
                        <w:rPr>
                          <w:b/>
                        </w:rPr>
                        <w:t xml:space="preserve">Purpose of the data collection </w:t>
                      </w:r>
                      <w:r w:rsidRPr="000333EC">
                        <w:t>The purpose of this information collection is to:</w:t>
                      </w:r>
                    </w:p>
                    <w:p w14:paraId="48D8883E" w14:textId="40D2B554" w:rsidR="00E236C2" w:rsidRPr="000333EC" w:rsidRDefault="00E236C2" w:rsidP="006947D6">
                      <w:pPr>
                        <w:pStyle w:val="ListParagraph"/>
                        <w:numPr>
                          <w:ilvl w:val="1"/>
                          <w:numId w:val="7"/>
                        </w:numPr>
                        <w:tabs>
                          <w:tab w:val="clear" w:pos="9360"/>
                        </w:tabs>
                        <w:ind w:left="630" w:hanging="270"/>
                        <w:contextualSpacing w:val="0"/>
                        <w:jc w:val="both"/>
                      </w:pPr>
                      <w:r w:rsidRPr="000333EC">
                        <w:t xml:space="preserve">Identify state, territorial, and local health department needs related to training and exercises for public health personnel who will serve in a leadership role during a public health emergency response; </w:t>
                      </w:r>
                    </w:p>
                    <w:p w14:paraId="04D71CA2" w14:textId="7613D78B" w:rsidR="00E236C2" w:rsidRPr="000333EC" w:rsidRDefault="00E236C2" w:rsidP="006947D6">
                      <w:pPr>
                        <w:pStyle w:val="ListParagraph"/>
                        <w:numPr>
                          <w:ilvl w:val="1"/>
                          <w:numId w:val="7"/>
                        </w:numPr>
                        <w:tabs>
                          <w:tab w:val="clear" w:pos="9360"/>
                        </w:tabs>
                        <w:ind w:left="630" w:hanging="270"/>
                        <w:contextualSpacing w:val="0"/>
                        <w:jc w:val="both"/>
                      </w:pPr>
                      <w:r w:rsidRPr="000333EC">
                        <w:t>Highlight barriers and facilitators to developing, delivering, supporting, or accessing training and exercises by health department staff and;</w:t>
                      </w:r>
                    </w:p>
                    <w:p w14:paraId="3F067ACE" w14:textId="7C091E2A" w:rsidR="00E236C2" w:rsidRPr="000333EC" w:rsidRDefault="00E236C2" w:rsidP="006947D6">
                      <w:pPr>
                        <w:pStyle w:val="ListParagraph"/>
                        <w:numPr>
                          <w:ilvl w:val="1"/>
                          <w:numId w:val="7"/>
                        </w:numPr>
                        <w:tabs>
                          <w:tab w:val="clear" w:pos="9360"/>
                        </w:tabs>
                        <w:spacing w:after="120"/>
                        <w:ind w:left="630" w:hanging="270"/>
                        <w:contextualSpacing w:val="0"/>
                        <w:jc w:val="both"/>
                      </w:pPr>
                      <w:r w:rsidRPr="000333EC">
                        <w:t>Identify current and emerging trends, knowledge, and professional opinions about training for public health emergency response leadership.</w:t>
                      </w:r>
                      <w:r w:rsidRPr="000333EC">
                        <w:rPr>
                          <w:rFonts w:cs="Times New Roman"/>
                        </w:rPr>
                        <w:t xml:space="preserve"> </w:t>
                      </w:r>
                    </w:p>
                    <w:p w14:paraId="76A20D12" w14:textId="392C1715" w:rsidR="00E236C2" w:rsidRPr="000333EC" w:rsidRDefault="00E236C2" w:rsidP="006947D6">
                      <w:pPr>
                        <w:pStyle w:val="ListParagraph"/>
                        <w:numPr>
                          <w:ilvl w:val="0"/>
                          <w:numId w:val="7"/>
                        </w:numPr>
                        <w:tabs>
                          <w:tab w:val="clear" w:pos="9360"/>
                        </w:tabs>
                        <w:spacing w:after="120"/>
                        <w:contextualSpacing w:val="0"/>
                        <w:jc w:val="both"/>
                        <w:rPr>
                          <w:rFonts w:cs="Times New Roman"/>
                        </w:rPr>
                      </w:pPr>
                      <w:r w:rsidRPr="000333EC">
                        <w:rPr>
                          <w:b/>
                        </w:rPr>
                        <w:t xml:space="preserve">Intended use of the resulting data </w:t>
                      </w:r>
                      <w:r w:rsidRPr="000333EC">
                        <w:t xml:space="preserve">Information collected will be used by CDC </w:t>
                      </w:r>
                      <w:r w:rsidRPr="00965C60">
                        <w:t>to develop strategic priorities and practical recommendations to improve</w:t>
                      </w:r>
                      <w:r w:rsidRPr="000333EC">
                        <w:t xml:space="preserve"> leadership training for public health emergency responders at the state, territorial, and local levels</w:t>
                      </w:r>
                      <w:r w:rsidRPr="000333EC">
                        <w:rPr>
                          <w:rFonts w:cs="Times New Roman"/>
                        </w:rPr>
                        <w:t>.</w:t>
                      </w:r>
                    </w:p>
                    <w:p w14:paraId="14586FC9" w14:textId="12C77AAA" w:rsidR="00E236C2" w:rsidRPr="000333EC" w:rsidRDefault="00E236C2" w:rsidP="006947D6">
                      <w:pPr>
                        <w:pStyle w:val="ListParagraph"/>
                        <w:numPr>
                          <w:ilvl w:val="0"/>
                          <w:numId w:val="7"/>
                        </w:numPr>
                        <w:tabs>
                          <w:tab w:val="clear" w:pos="9360"/>
                        </w:tabs>
                        <w:spacing w:after="120"/>
                        <w:contextualSpacing w:val="0"/>
                        <w:jc w:val="both"/>
                        <w:rPr>
                          <w:rFonts w:cs="Times New Roman"/>
                        </w:rPr>
                      </w:pPr>
                      <w:r w:rsidRPr="000333EC">
                        <w:rPr>
                          <w:b/>
                        </w:rPr>
                        <w:t xml:space="preserve">Methods to be used to collect data </w:t>
                      </w:r>
                      <w:r w:rsidRPr="000333EC">
                        <w:t xml:space="preserve">Information will be collected via two methods: 1) a web-based assessment and 2) focus groups. </w:t>
                      </w:r>
                    </w:p>
                    <w:p w14:paraId="3DD0E45B" w14:textId="05D8422F" w:rsidR="00E236C2" w:rsidRPr="000333EC" w:rsidRDefault="00E236C2" w:rsidP="006947D6">
                      <w:pPr>
                        <w:pStyle w:val="ListParagraph"/>
                        <w:numPr>
                          <w:ilvl w:val="0"/>
                          <w:numId w:val="7"/>
                        </w:numPr>
                        <w:tabs>
                          <w:tab w:val="clear" w:pos="9360"/>
                        </w:tabs>
                        <w:spacing w:after="120"/>
                        <w:contextualSpacing w:val="0"/>
                        <w:jc w:val="both"/>
                      </w:pPr>
                      <w:r w:rsidRPr="000333EC">
                        <w:rPr>
                          <w:b/>
                        </w:rPr>
                        <w:t xml:space="preserve">Respondent Universe </w:t>
                      </w:r>
                      <w:r w:rsidRPr="000333EC">
                        <w:t xml:space="preserve">The combined respondent universe for both information collection methods is </w:t>
                      </w:r>
                      <w:r w:rsidR="003B7262">
                        <w:t xml:space="preserve">762 </w:t>
                      </w:r>
                      <w:r w:rsidR="00B7733A">
                        <w:t>state</w:t>
                      </w:r>
                      <w:r w:rsidR="00E96A29">
                        <w:t xml:space="preserve">, </w:t>
                      </w:r>
                      <w:r w:rsidR="00B7733A">
                        <w:t>local</w:t>
                      </w:r>
                      <w:r w:rsidR="00E96A29">
                        <w:t>, and territorial</w:t>
                      </w:r>
                      <w:r w:rsidR="00B7733A">
                        <w:t xml:space="preserve"> preparedness directors or coordinators. </w:t>
                      </w:r>
                    </w:p>
                    <w:p w14:paraId="11D55F36" w14:textId="262B4F61" w:rsidR="00E236C2" w:rsidRPr="000333EC" w:rsidRDefault="00E236C2" w:rsidP="00060053">
                      <w:pPr>
                        <w:pStyle w:val="ListParagraph"/>
                        <w:numPr>
                          <w:ilvl w:val="0"/>
                          <w:numId w:val="7"/>
                        </w:numPr>
                        <w:tabs>
                          <w:tab w:val="clear" w:pos="9360"/>
                        </w:tabs>
                        <w:spacing w:after="120"/>
                        <w:contextualSpacing w:val="0"/>
                        <w:jc w:val="both"/>
                      </w:pPr>
                      <w:r w:rsidRPr="00B7733A">
                        <w:rPr>
                          <w:b/>
                        </w:rPr>
                        <w:t>How data will be analyzed</w:t>
                      </w:r>
                      <w:r w:rsidR="00B7733A" w:rsidRPr="00B7733A">
                        <w:rPr>
                          <w:b/>
                        </w:rPr>
                        <w:t xml:space="preserve">. </w:t>
                      </w:r>
                      <w:r w:rsidR="00B7733A">
                        <w:t xml:space="preserve">Quantitative data will be analyzed to compare differences/similarities in training needs among health department size/type, populations-served, and geographic regions. Qualitative data will be analyzed to identify common themes among health department type. </w:t>
                      </w:r>
                    </w:p>
                  </w:txbxContent>
                </v:textbox>
                <w10:wrap type="tight" anchorx="margin" anchory="margin"/>
              </v:shape>
            </w:pict>
          </mc:Fallback>
        </mc:AlternateConten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r w:rsidR="003860A5" w:rsidRPr="007C10BD">
        <w:fldChar w:fldCharType="end"/>
      </w:r>
      <w:bookmarkStart w:id="18" w:name="_Toc530558445"/>
      <w:r w:rsidR="00235C38" w:rsidRPr="007C10BD">
        <w:rPr>
          <w:rStyle w:val="Heading1Char"/>
          <w:sz w:val="28"/>
          <w:szCs w:val="28"/>
        </w:rPr>
        <w:t>Section A – Justification</w:t>
      </w:r>
      <w:bookmarkEnd w:id="18"/>
    </w:p>
    <w:p w14:paraId="1DC047DA" w14:textId="77777777" w:rsidR="00CD1EA8" w:rsidRPr="007C10BD" w:rsidRDefault="00B12F51" w:rsidP="00692DEB">
      <w:pPr>
        <w:pStyle w:val="Heading4"/>
      </w:pPr>
      <w:bookmarkStart w:id="19" w:name="_Toc530558446"/>
      <w:r w:rsidRPr="007C10BD">
        <w:t>Circumstances Making the Collection of Information Necessary</w:t>
      </w:r>
      <w:bookmarkEnd w:id="19"/>
    </w:p>
    <w:p w14:paraId="7491410C" w14:textId="77777777" w:rsidR="00E33E1B" w:rsidRPr="007C10BD" w:rsidRDefault="00E33E1B" w:rsidP="00C44CBF">
      <w:pPr>
        <w:pStyle w:val="Heading5"/>
        <w:spacing w:after="120"/>
        <w:ind w:left="0"/>
      </w:pPr>
      <w:r w:rsidRPr="007C10BD">
        <w:t>Background</w:t>
      </w:r>
    </w:p>
    <w:p w14:paraId="541C91C9" w14:textId="3421D0E3" w:rsidR="00C27E3C" w:rsidRDefault="004F67A8" w:rsidP="0093672D">
      <w:pPr>
        <w:spacing w:after="120"/>
        <w:ind w:left="0"/>
      </w:pPr>
      <w:r w:rsidRPr="007C10BD">
        <w:t xml:space="preserve">This </w:t>
      </w:r>
      <w:r w:rsidR="00157413" w:rsidRPr="007C10BD">
        <w:t>information collection</w:t>
      </w:r>
      <w:r w:rsidR="00484011" w:rsidRPr="007C10BD">
        <w:t xml:space="preserve"> is being conducted </w:t>
      </w:r>
      <w:r w:rsidR="009252DC" w:rsidRPr="007C10BD">
        <w:t>using</w:t>
      </w:r>
      <w:r w:rsidR="00484011" w:rsidRPr="007C10BD">
        <w:t xml:space="preserve"> the Generic Information Collection mechanism </w:t>
      </w:r>
      <w:r w:rsidR="00157413" w:rsidRPr="007C10BD">
        <w:t>of the OSTLTS OMB Clearance Center</w:t>
      </w:r>
      <w:r w:rsidR="009252DC" w:rsidRPr="007C10BD">
        <w:t xml:space="preserve"> (O</w:t>
      </w:r>
      <w:r w:rsidR="00157413" w:rsidRPr="007C10BD">
        <w:t>2</w:t>
      </w:r>
      <w:r w:rsidR="009252DC" w:rsidRPr="007C10BD">
        <w:t>C</w:t>
      </w:r>
      <w:r w:rsidR="00157413" w:rsidRPr="007C10BD">
        <w:t>2</w:t>
      </w:r>
      <w:r w:rsidR="009252DC" w:rsidRPr="007C10BD">
        <w:t xml:space="preserve">) </w:t>
      </w:r>
      <w:r w:rsidR="00484011" w:rsidRPr="007C10BD">
        <w:t>– OMB No. 0920-0879</w:t>
      </w:r>
      <w:r w:rsidRPr="007C10BD">
        <w:t>.</w:t>
      </w:r>
      <w:r w:rsidR="009252DC" w:rsidRPr="007C10BD">
        <w:t xml:space="preserve"> The respondent universe for this </w:t>
      </w:r>
      <w:r w:rsidR="00157413" w:rsidRPr="007C10BD">
        <w:t>information collection aligns with that of the O2C2.</w:t>
      </w:r>
      <w:r w:rsidR="007B636D">
        <w:t xml:space="preserve"> </w:t>
      </w:r>
      <w:r w:rsidR="00456951">
        <w:t xml:space="preserve">Data will be collected from </w:t>
      </w:r>
      <w:r w:rsidR="003B7262">
        <w:t xml:space="preserve">762 </w:t>
      </w:r>
      <w:r w:rsidR="00456951">
        <w:t>respondents</w:t>
      </w:r>
      <w:r w:rsidR="002456CB">
        <w:t>.</w:t>
      </w:r>
      <w:r w:rsidR="00E71DAF">
        <w:t xml:space="preserve"> </w:t>
      </w:r>
      <w:r w:rsidR="00456951">
        <w:t>Specifically,</w:t>
      </w:r>
      <w:r w:rsidR="00456951" w:rsidRPr="00456951">
        <w:t xml:space="preserve"> </w:t>
      </w:r>
      <w:r w:rsidR="00555E08">
        <w:t xml:space="preserve">the respondent universe includes </w:t>
      </w:r>
      <w:r w:rsidR="00456951" w:rsidRPr="00456951">
        <w:t>730 preparedness leads of state, territorial, and local health departments, including Program Directors of the 62 Public Health Emergency Preparedness (PHEP) cooperative agreement jurisdictions and 668 preparedness coordinators representing distinct local health departments (one preparedness coordinator per local health department)</w:t>
      </w:r>
      <w:r w:rsidR="009A5491">
        <w:t xml:space="preserve">. The respondent universe includes </w:t>
      </w:r>
      <w:r w:rsidR="003B7262">
        <w:t xml:space="preserve">32 </w:t>
      </w:r>
      <w:r w:rsidR="00456951">
        <w:t xml:space="preserve">additional participants </w:t>
      </w:r>
      <w:r w:rsidR="00456951" w:rsidRPr="00456951">
        <w:t>drawn from registered attendees at the 2019 NACCHO Preparedness Summit representing state/territorial and local health department officials who have served or will serve in public health emergency response leadership roles</w:t>
      </w:r>
      <w:r w:rsidR="0093672D">
        <w:rPr>
          <w:rFonts w:cs="Times New Roman"/>
          <w:lang w:val="en"/>
        </w:rPr>
        <w:t xml:space="preserve"> (see </w:t>
      </w:r>
      <w:r w:rsidR="0093672D" w:rsidRPr="0010784E">
        <w:rPr>
          <w:rFonts w:cs="Times New Roman"/>
          <w:b/>
          <w:lang w:val="en"/>
        </w:rPr>
        <w:t xml:space="preserve">Attachments </w:t>
      </w:r>
      <w:r w:rsidR="0093672D">
        <w:rPr>
          <w:rFonts w:cs="Times New Roman"/>
          <w:b/>
          <w:lang w:val="en"/>
        </w:rPr>
        <w:t>A</w:t>
      </w:r>
      <w:r w:rsidR="0093672D">
        <w:rPr>
          <w:rFonts w:cs="Times New Roman"/>
          <w:lang w:val="en"/>
        </w:rPr>
        <w:t xml:space="preserve"> </w:t>
      </w:r>
      <w:r w:rsidR="0093672D" w:rsidRPr="00AE4A62">
        <w:rPr>
          <w:rFonts w:cs="Times New Roman"/>
          <w:b/>
          <w:lang w:val="en"/>
        </w:rPr>
        <w:t>– Respondent Universe</w:t>
      </w:r>
      <w:r w:rsidR="0093672D">
        <w:rPr>
          <w:rFonts w:cs="Times New Roman"/>
          <w:lang w:val="en"/>
        </w:rPr>
        <w:t xml:space="preserve"> and </w:t>
      </w:r>
      <w:r w:rsidR="0093672D">
        <w:rPr>
          <w:rFonts w:cs="Times New Roman"/>
          <w:b/>
          <w:lang w:val="en"/>
        </w:rPr>
        <w:t>Attachment B – Sample of Respondents</w:t>
      </w:r>
      <w:r w:rsidR="0093672D" w:rsidRPr="009F0E68">
        <w:rPr>
          <w:rFonts w:cs="Times New Roman"/>
          <w:lang w:val="en"/>
        </w:rPr>
        <w:t>)</w:t>
      </w:r>
      <w:r w:rsidR="0088041C">
        <w:rPr>
          <w:rFonts w:cs="Times New Roman"/>
          <w:lang w:val="en"/>
        </w:rPr>
        <w:t>.</w:t>
      </w:r>
    </w:p>
    <w:p w14:paraId="735CEAF6" w14:textId="77777777" w:rsidR="001E7537" w:rsidRPr="007C10BD" w:rsidRDefault="00350C8C" w:rsidP="00C44CBF">
      <w:pPr>
        <w:spacing w:after="120"/>
        <w:ind w:left="0"/>
        <w:rPr>
          <w:i/>
          <w:iCs/>
        </w:rPr>
      </w:pPr>
      <w:r w:rsidRPr="007C10BD">
        <w:t xml:space="preserve">This </w:t>
      </w:r>
      <w:r w:rsidR="00157413" w:rsidRPr="007C10BD">
        <w:t>information collection</w:t>
      </w:r>
      <w:r w:rsidRPr="007C10BD">
        <w:t xml:space="preserve"> is authorized by Section 301 of the Public Health Service Act (42 U.S.C. 241).</w:t>
      </w:r>
      <w:r w:rsidR="001E7537" w:rsidRPr="007C10BD">
        <w:t xml:space="preserve"> </w:t>
      </w:r>
      <w:r w:rsidR="001E7537" w:rsidRPr="007C10BD">
        <w:rPr>
          <w:iCs/>
        </w:rPr>
        <w:t xml:space="preserve">This information collection falls under the essential public health service(s) of </w:t>
      </w:r>
    </w:p>
    <w:p w14:paraId="247C0488" w14:textId="77777777" w:rsidR="00587C72" w:rsidRPr="007C10BD" w:rsidRDefault="00B63CF3" w:rsidP="00C249A2">
      <w:pPr>
        <w:ind w:left="0"/>
      </w:pPr>
      <w:r w:rsidRPr="007C10BD">
        <w:rPr>
          <w:rFonts w:eastAsia="Times New Roman" w:cs="Shruti"/>
          <w:sz w:val="16"/>
          <w:szCs w:val="14"/>
        </w:rPr>
        <w:fldChar w:fldCharType="begin">
          <w:ffData>
            <w:name w:val="Check25"/>
            <w:enabled/>
            <w:calcOnExit w:val="0"/>
            <w:checkBox>
              <w:sizeAuto/>
              <w:default w:val="0"/>
            </w:checkBox>
          </w:ffData>
        </w:fldChar>
      </w:r>
      <w:bookmarkStart w:id="20" w:name="Check25"/>
      <w:r w:rsidRPr="007C10BD">
        <w:rPr>
          <w:rFonts w:eastAsia="Times New Roman" w:cs="Shruti"/>
          <w:sz w:val="16"/>
          <w:szCs w:val="14"/>
        </w:rPr>
        <w:instrText xml:space="preserve"> FORMCHECKBOX </w:instrText>
      </w:r>
      <w:r w:rsidR="00810E2D">
        <w:rPr>
          <w:rFonts w:eastAsia="Times New Roman" w:cs="Shruti"/>
          <w:sz w:val="16"/>
          <w:szCs w:val="14"/>
        </w:rPr>
      </w:r>
      <w:r w:rsidR="00810E2D">
        <w:rPr>
          <w:rFonts w:eastAsia="Times New Roman" w:cs="Shruti"/>
          <w:sz w:val="16"/>
          <w:szCs w:val="14"/>
        </w:rPr>
        <w:fldChar w:fldCharType="separate"/>
      </w:r>
      <w:r w:rsidRPr="007C10BD">
        <w:rPr>
          <w:rFonts w:eastAsia="Times New Roman" w:cs="Shruti"/>
          <w:sz w:val="16"/>
          <w:szCs w:val="14"/>
        </w:rPr>
        <w:fldChar w:fldCharType="end"/>
      </w:r>
      <w:bookmarkEnd w:id="20"/>
      <w:r w:rsidRPr="007C10BD">
        <w:rPr>
          <w:rFonts w:eastAsia="Times New Roman" w:cs="Shruti"/>
          <w:sz w:val="16"/>
          <w:szCs w:val="14"/>
        </w:rPr>
        <w:t xml:space="preserve"> </w:t>
      </w:r>
      <w:r w:rsidR="00F45451" w:rsidRPr="007C10BD">
        <w:t>1. M</w:t>
      </w:r>
      <w:r w:rsidR="00587C72" w:rsidRPr="007C10BD">
        <w:t>onitoring health status to identify community health problems</w:t>
      </w:r>
    </w:p>
    <w:p w14:paraId="44C698D7" w14:textId="317ECF72" w:rsidR="00587C72" w:rsidRPr="007C10BD" w:rsidRDefault="00B63CF3" w:rsidP="00C249A2">
      <w:pPr>
        <w:ind w:left="0"/>
      </w:pPr>
      <w:r w:rsidRPr="007C10BD">
        <w:rPr>
          <w:rFonts w:eastAsia="Times New Roman" w:cs="Shruti"/>
          <w:sz w:val="16"/>
          <w:szCs w:val="14"/>
        </w:rPr>
        <w:fldChar w:fldCharType="begin">
          <w:ffData>
            <w:name w:val=""/>
            <w:enabled/>
            <w:calcOnExit w:val="0"/>
            <w:checkBox>
              <w:sizeAuto/>
              <w:default w:val="0"/>
            </w:checkBox>
          </w:ffData>
        </w:fldChar>
      </w:r>
      <w:r w:rsidRPr="007C10BD">
        <w:rPr>
          <w:rFonts w:eastAsia="Times New Roman" w:cs="Shruti"/>
          <w:sz w:val="16"/>
          <w:szCs w:val="14"/>
        </w:rPr>
        <w:instrText xml:space="preserve"> FORMCHECKBOX </w:instrText>
      </w:r>
      <w:r w:rsidR="00810E2D">
        <w:rPr>
          <w:rFonts w:eastAsia="Times New Roman" w:cs="Shruti"/>
          <w:sz w:val="16"/>
          <w:szCs w:val="14"/>
        </w:rPr>
      </w:r>
      <w:r w:rsidR="00810E2D">
        <w:rPr>
          <w:rFonts w:eastAsia="Times New Roman" w:cs="Shruti"/>
          <w:sz w:val="16"/>
          <w:szCs w:val="14"/>
        </w:rPr>
        <w:fldChar w:fldCharType="separate"/>
      </w:r>
      <w:r w:rsidRPr="007C10BD">
        <w:rPr>
          <w:rFonts w:eastAsia="Times New Roman" w:cs="Shruti"/>
          <w:sz w:val="16"/>
          <w:szCs w:val="14"/>
        </w:rPr>
        <w:fldChar w:fldCharType="end"/>
      </w:r>
      <w:r w:rsidRPr="007C10BD">
        <w:rPr>
          <w:rFonts w:eastAsia="Times New Roman" w:cs="Shruti"/>
          <w:sz w:val="16"/>
          <w:szCs w:val="14"/>
        </w:rPr>
        <w:t xml:space="preserve"> </w:t>
      </w:r>
      <w:r w:rsidR="00F45451" w:rsidRPr="007C10BD">
        <w:t>2. D</w:t>
      </w:r>
      <w:r w:rsidR="00587C72" w:rsidRPr="007C10BD">
        <w:t>iagnosing and investigating health problems and health hazards in the community</w:t>
      </w:r>
    </w:p>
    <w:p w14:paraId="11E25C3B" w14:textId="1F42808A" w:rsidR="00587C72" w:rsidRPr="007C10BD" w:rsidRDefault="005763B6" w:rsidP="00C249A2">
      <w:pPr>
        <w:ind w:left="0"/>
      </w:pPr>
      <w:r>
        <w:rPr>
          <w:rFonts w:eastAsia="Times New Roman" w:cs="Shruti"/>
          <w:sz w:val="16"/>
          <w:szCs w:val="14"/>
        </w:rPr>
        <w:fldChar w:fldCharType="begin">
          <w:ffData>
            <w:name w:val=""/>
            <w:enabled/>
            <w:calcOnExit w:val="0"/>
            <w:checkBox>
              <w:sizeAuto/>
              <w:default w:val="1"/>
            </w:checkBox>
          </w:ffData>
        </w:fldChar>
      </w:r>
      <w:r>
        <w:rPr>
          <w:rFonts w:eastAsia="Times New Roman" w:cs="Shruti"/>
          <w:sz w:val="16"/>
          <w:szCs w:val="14"/>
        </w:rPr>
        <w:instrText xml:space="preserve"> FORMCHECKBOX </w:instrText>
      </w:r>
      <w:r w:rsidR="00810E2D">
        <w:rPr>
          <w:rFonts w:eastAsia="Times New Roman" w:cs="Shruti"/>
          <w:sz w:val="16"/>
          <w:szCs w:val="14"/>
        </w:rPr>
      </w:r>
      <w:r w:rsidR="00810E2D">
        <w:rPr>
          <w:rFonts w:eastAsia="Times New Roman" w:cs="Shruti"/>
          <w:sz w:val="16"/>
          <w:szCs w:val="14"/>
        </w:rPr>
        <w:fldChar w:fldCharType="separate"/>
      </w:r>
      <w:r>
        <w:rPr>
          <w:rFonts w:eastAsia="Times New Roman" w:cs="Shruti"/>
          <w:sz w:val="16"/>
          <w:szCs w:val="14"/>
        </w:rPr>
        <w:fldChar w:fldCharType="end"/>
      </w:r>
      <w:r w:rsidR="00235C38" w:rsidRPr="007C10BD">
        <w:rPr>
          <w:rFonts w:eastAsia="Times New Roman" w:cs="Shruti"/>
          <w:sz w:val="16"/>
          <w:szCs w:val="14"/>
        </w:rPr>
        <w:t xml:space="preserve"> </w:t>
      </w:r>
      <w:r w:rsidR="00F45451" w:rsidRPr="007C10BD">
        <w:t>3. I</w:t>
      </w:r>
      <w:r w:rsidR="00587C72" w:rsidRPr="007C10BD">
        <w:t>nforming, educating, and empowering people about health issues</w:t>
      </w:r>
    </w:p>
    <w:p w14:paraId="33F8FB08" w14:textId="77777777" w:rsidR="00587C72" w:rsidRPr="007C10BD" w:rsidRDefault="00B63CF3" w:rsidP="00C249A2">
      <w:pPr>
        <w:ind w:left="0"/>
      </w:pPr>
      <w:r w:rsidRPr="007C10BD">
        <w:rPr>
          <w:rFonts w:eastAsia="Times New Roman" w:cs="Shruti"/>
          <w:sz w:val="16"/>
          <w:szCs w:val="14"/>
        </w:rPr>
        <w:fldChar w:fldCharType="begin">
          <w:ffData>
            <w:name w:val="Check25"/>
            <w:enabled/>
            <w:calcOnExit w:val="0"/>
            <w:checkBox>
              <w:sizeAuto/>
              <w:default w:val="0"/>
            </w:checkBox>
          </w:ffData>
        </w:fldChar>
      </w:r>
      <w:r w:rsidRPr="007C10BD">
        <w:rPr>
          <w:rFonts w:eastAsia="Times New Roman" w:cs="Shruti"/>
          <w:sz w:val="16"/>
          <w:szCs w:val="14"/>
        </w:rPr>
        <w:instrText xml:space="preserve"> FORMCHECKBOX </w:instrText>
      </w:r>
      <w:r w:rsidR="00810E2D">
        <w:rPr>
          <w:rFonts w:eastAsia="Times New Roman" w:cs="Shruti"/>
          <w:sz w:val="16"/>
          <w:szCs w:val="14"/>
        </w:rPr>
      </w:r>
      <w:r w:rsidR="00810E2D">
        <w:rPr>
          <w:rFonts w:eastAsia="Times New Roman" w:cs="Shruti"/>
          <w:sz w:val="16"/>
          <w:szCs w:val="14"/>
        </w:rPr>
        <w:fldChar w:fldCharType="separate"/>
      </w:r>
      <w:r w:rsidRPr="007C10BD">
        <w:rPr>
          <w:rFonts w:eastAsia="Times New Roman" w:cs="Shruti"/>
          <w:sz w:val="16"/>
          <w:szCs w:val="14"/>
        </w:rPr>
        <w:fldChar w:fldCharType="end"/>
      </w:r>
      <w:r w:rsidRPr="007C10BD">
        <w:rPr>
          <w:rFonts w:eastAsia="Times New Roman" w:cs="Shruti"/>
          <w:sz w:val="16"/>
          <w:szCs w:val="14"/>
        </w:rPr>
        <w:t xml:space="preserve"> </w:t>
      </w:r>
      <w:r w:rsidR="00481D80" w:rsidRPr="007C10BD">
        <w:t>4. M</w:t>
      </w:r>
      <w:r w:rsidR="00587C72" w:rsidRPr="007C10BD">
        <w:t>obilizing community partnerships to identify and solve health problems</w:t>
      </w:r>
    </w:p>
    <w:p w14:paraId="71C33333" w14:textId="40FDB72B" w:rsidR="00587C72" w:rsidRPr="007C10BD" w:rsidRDefault="005763B6" w:rsidP="00C249A2">
      <w:pPr>
        <w:ind w:left="0"/>
      </w:pPr>
      <w:r w:rsidRPr="007C10BD">
        <w:rPr>
          <w:rFonts w:eastAsia="Times New Roman" w:cs="Shruti"/>
          <w:sz w:val="16"/>
          <w:szCs w:val="14"/>
        </w:rPr>
        <w:fldChar w:fldCharType="begin">
          <w:ffData>
            <w:name w:val=""/>
            <w:enabled/>
            <w:calcOnExit w:val="0"/>
            <w:checkBox>
              <w:sizeAuto/>
              <w:default w:val="0"/>
            </w:checkBox>
          </w:ffData>
        </w:fldChar>
      </w:r>
      <w:r w:rsidRPr="007C10BD">
        <w:rPr>
          <w:rFonts w:eastAsia="Times New Roman" w:cs="Shruti"/>
          <w:sz w:val="16"/>
          <w:szCs w:val="14"/>
        </w:rPr>
        <w:instrText xml:space="preserve"> FORMCHECKBOX </w:instrText>
      </w:r>
      <w:r w:rsidR="00810E2D">
        <w:rPr>
          <w:rFonts w:eastAsia="Times New Roman" w:cs="Shruti"/>
          <w:sz w:val="16"/>
          <w:szCs w:val="14"/>
        </w:rPr>
      </w:r>
      <w:r w:rsidR="00810E2D">
        <w:rPr>
          <w:rFonts w:eastAsia="Times New Roman" w:cs="Shruti"/>
          <w:sz w:val="16"/>
          <w:szCs w:val="14"/>
        </w:rPr>
        <w:fldChar w:fldCharType="separate"/>
      </w:r>
      <w:r w:rsidRPr="007C10BD">
        <w:rPr>
          <w:rFonts w:eastAsia="Times New Roman" w:cs="Shruti"/>
          <w:sz w:val="16"/>
          <w:szCs w:val="14"/>
        </w:rPr>
        <w:fldChar w:fldCharType="end"/>
      </w:r>
      <w:r w:rsidRPr="007C10BD">
        <w:rPr>
          <w:rFonts w:eastAsia="Times New Roman" w:cs="Shruti"/>
          <w:sz w:val="16"/>
          <w:szCs w:val="14"/>
        </w:rPr>
        <w:t xml:space="preserve"> </w:t>
      </w:r>
      <w:r w:rsidR="00481D80" w:rsidRPr="007C10BD">
        <w:t>5. D</w:t>
      </w:r>
      <w:r w:rsidR="00587C72" w:rsidRPr="007C10BD">
        <w:t>evelopment of policies and plans that support individual and community health efforts</w:t>
      </w:r>
    </w:p>
    <w:p w14:paraId="68902ECD" w14:textId="77777777" w:rsidR="00587C72" w:rsidRPr="007C10BD" w:rsidRDefault="00B63CF3" w:rsidP="00C249A2">
      <w:pPr>
        <w:ind w:left="0"/>
      </w:pPr>
      <w:r w:rsidRPr="007C10BD">
        <w:rPr>
          <w:rFonts w:eastAsia="Times New Roman" w:cs="Shruti"/>
          <w:sz w:val="16"/>
          <w:szCs w:val="14"/>
        </w:rPr>
        <w:fldChar w:fldCharType="begin">
          <w:ffData>
            <w:name w:val="Check25"/>
            <w:enabled/>
            <w:calcOnExit w:val="0"/>
            <w:checkBox>
              <w:sizeAuto/>
              <w:default w:val="0"/>
            </w:checkBox>
          </w:ffData>
        </w:fldChar>
      </w:r>
      <w:r w:rsidRPr="007C10BD">
        <w:rPr>
          <w:rFonts w:eastAsia="Times New Roman" w:cs="Shruti"/>
          <w:sz w:val="16"/>
          <w:szCs w:val="14"/>
        </w:rPr>
        <w:instrText xml:space="preserve"> FORMCHECKBOX </w:instrText>
      </w:r>
      <w:r w:rsidR="00810E2D">
        <w:rPr>
          <w:rFonts w:eastAsia="Times New Roman" w:cs="Shruti"/>
          <w:sz w:val="16"/>
          <w:szCs w:val="14"/>
        </w:rPr>
      </w:r>
      <w:r w:rsidR="00810E2D">
        <w:rPr>
          <w:rFonts w:eastAsia="Times New Roman" w:cs="Shruti"/>
          <w:sz w:val="16"/>
          <w:szCs w:val="14"/>
        </w:rPr>
        <w:fldChar w:fldCharType="separate"/>
      </w:r>
      <w:r w:rsidRPr="007C10BD">
        <w:rPr>
          <w:rFonts w:eastAsia="Times New Roman" w:cs="Shruti"/>
          <w:sz w:val="16"/>
          <w:szCs w:val="14"/>
        </w:rPr>
        <w:fldChar w:fldCharType="end"/>
      </w:r>
      <w:r w:rsidRPr="007C10BD">
        <w:rPr>
          <w:rFonts w:eastAsia="Times New Roman" w:cs="Shruti"/>
          <w:sz w:val="16"/>
          <w:szCs w:val="14"/>
        </w:rPr>
        <w:t xml:space="preserve"> </w:t>
      </w:r>
      <w:r w:rsidR="00481D80" w:rsidRPr="007C10BD">
        <w:t>6. E</w:t>
      </w:r>
      <w:r w:rsidR="00587C72" w:rsidRPr="007C10BD">
        <w:t>nforcement of laws and regulations that pr</w:t>
      </w:r>
      <w:r w:rsidR="008E3D8D" w:rsidRPr="007C10BD">
        <w:t>otect health and ensure safety</w:t>
      </w:r>
    </w:p>
    <w:p w14:paraId="7E60514D" w14:textId="77777777" w:rsidR="00481D80" w:rsidRPr="007C10BD" w:rsidRDefault="00B63CF3" w:rsidP="00C249A2">
      <w:pPr>
        <w:ind w:left="0"/>
      </w:pPr>
      <w:r w:rsidRPr="007C10BD">
        <w:rPr>
          <w:rFonts w:eastAsia="Times New Roman" w:cs="Shruti"/>
          <w:sz w:val="16"/>
          <w:szCs w:val="14"/>
        </w:rPr>
        <w:fldChar w:fldCharType="begin">
          <w:ffData>
            <w:name w:val="Check25"/>
            <w:enabled/>
            <w:calcOnExit w:val="0"/>
            <w:checkBox>
              <w:sizeAuto/>
              <w:default w:val="0"/>
            </w:checkBox>
          </w:ffData>
        </w:fldChar>
      </w:r>
      <w:r w:rsidRPr="007C10BD">
        <w:rPr>
          <w:rFonts w:eastAsia="Times New Roman" w:cs="Shruti"/>
          <w:sz w:val="16"/>
          <w:szCs w:val="14"/>
        </w:rPr>
        <w:instrText xml:space="preserve"> FORMCHECKBOX </w:instrText>
      </w:r>
      <w:r w:rsidR="00810E2D">
        <w:rPr>
          <w:rFonts w:eastAsia="Times New Roman" w:cs="Shruti"/>
          <w:sz w:val="16"/>
          <w:szCs w:val="14"/>
        </w:rPr>
      </w:r>
      <w:r w:rsidR="00810E2D">
        <w:rPr>
          <w:rFonts w:eastAsia="Times New Roman" w:cs="Shruti"/>
          <w:sz w:val="16"/>
          <w:szCs w:val="14"/>
        </w:rPr>
        <w:fldChar w:fldCharType="separate"/>
      </w:r>
      <w:r w:rsidRPr="007C10BD">
        <w:rPr>
          <w:rFonts w:eastAsia="Times New Roman" w:cs="Shruti"/>
          <w:sz w:val="16"/>
          <w:szCs w:val="14"/>
        </w:rPr>
        <w:fldChar w:fldCharType="end"/>
      </w:r>
      <w:r w:rsidRPr="007C10BD">
        <w:rPr>
          <w:rFonts w:eastAsia="Times New Roman" w:cs="Shruti"/>
          <w:sz w:val="16"/>
          <w:szCs w:val="14"/>
        </w:rPr>
        <w:t xml:space="preserve"> </w:t>
      </w:r>
      <w:r w:rsidR="00481D80" w:rsidRPr="007C10BD">
        <w:t>7. L</w:t>
      </w:r>
      <w:r w:rsidR="00587C72" w:rsidRPr="007C10BD">
        <w:t xml:space="preserve">inking people to needed personal health services and assure the provision of health care </w:t>
      </w:r>
    </w:p>
    <w:p w14:paraId="501BE737" w14:textId="31027465" w:rsidR="00587C72" w:rsidRPr="007C10BD" w:rsidRDefault="00B20B0E" w:rsidP="00C249A2">
      <w:pPr>
        <w:ind w:left="0"/>
      </w:pPr>
      <w:r>
        <w:t xml:space="preserve">         </w:t>
      </w:r>
      <w:r w:rsidR="00587C72" w:rsidRPr="007C10BD">
        <w:t>when otherwise unavailable</w:t>
      </w:r>
    </w:p>
    <w:p w14:paraId="598206B7" w14:textId="607BE279" w:rsidR="00587C72" w:rsidRPr="007C10BD" w:rsidRDefault="00235C38" w:rsidP="00C249A2">
      <w:pPr>
        <w:ind w:left="0"/>
      </w:pPr>
      <w:r w:rsidRPr="007C10BD">
        <w:rPr>
          <w:rFonts w:eastAsia="Times New Roman" w:cs="Shruti"/>
          <w:sz w:val="16"/>
          <w:szCs w:val="14"/>
        </w:rPr>
        <w:fldChar w:fldCharType="begin">
          <w:ffData>
            <w:name w:val=""/>
            <w:enabled/>
            <w:calcOnExit w:val="0"/>
            <w:checkBox>
              <w:sizeAuto/>
              <w:default w:val="1"/>
            </w:checkBox>
          </w:ffData>
        </w:fldChar>
      </w:r>
      <w:r w:rsidRPr="007C10BD">
        <w:rPr>
          <w:rFonts w:eastAsia="Times New Roman" w:cs="Shruti"/>
          <w:sz w:val="16"/>
          <w:szCs w:val="14"/>
        </w:rPr>
        <w:instrText xml:space="preserve"> FORMCHECKBOX </w:instrText>
      </w:r>
      <w:r w:rsidR="00810E2D">
        <w:rPr>
          <w:rFonts w:eastAsia="Times New Roman" w:cs="Shruti"/>
          <w:sz w:val="16"/>
          <w:szCs w:val="14"/>
        </w:rPr>
      </w:r>
      <w:r w:rsidR="00810E2D">
        <w:rPr>
          <w:rFonts w:eastAsia="Times New Roman" w:cs="Shruti"/>
          <w:sz w:val="16"/>
          <w:szCs w:val="14"/>
        </w:rPr>
        <w:fldChar w:fldCharType="separate"/>
      </w:r>
      <w:r w:rsidRPr="007C10BD">
        <w:rPr>
          <w:rFonts w:eastAsia="Times New Roman" w:cs="Shruti"/>
          <w:sz w:val="16"/>
          <w:szCs w:val="14"/>
        </w:rPr>
        <w:fldChar w:fldCharType="end"/>
      </w:r>
      <w:r w:rsidRPr="007C10BD">
        <w:rPr>
          <w:rFonts w:eastAsia="Times New Roman" w:cs="Shruti"/>
          <w:sz w:val="16"/>
          <w:szCs w:val="14"/>
        </w:rPr>
        <w:t xml:space="preserve"> </w:t>
      </w:r>
      <w:r w:rsidR="00481D80" w:rsidRPr="007C10BD">
        <w:t>8. A</w:t>
      </w:r>
      <w:r w:rsidR="00587C72" w:rsidRPr="007C10BD">
        <w:t>ssuring a competent public health and personal health care workforce</w:t>
      </w:r>
    </w:p>
    <w:p w14:paraId="6C487D3C" w14:textId="77777777" w:rsidR="00EA3A4A" w:rsidRPr="007C10BD" w:rsidRDefault="00B63CF3" w:rsidP="00C249A2">
      <w:pPr>
        <w:ind w:left="0"/>
      </w:pPr>
      <w:r w:rsidRPr="007C10BD">
        <w:rPr>
          <w:rFonts w:eastAsia="Times New Roman" w:cs="Shruti"/>
          <w:sz w:val="16"/>
          <w:szCs w:val="14"/>
        </w:rPr>
        <w:fldChar w:fldCharType="begin">
          <w:ffData>
            <w:name w:val="Check25"/>
            <w:enabled/>
            <w:calcOnExit w:val="0"/>
            <w:checkBox>
              <w:sizeAuto/>
              <w:default w:val="0"/>
            </w:checkBox>
          </w:ffData>
        </w:fldChar>
      </w:r>
      <w:r w:rsidRPr="007C10BD">
        <w:rPr>
          <w:rFonts w:eastAsia="Times New Roman" w:cs="Shruti"/>
          <w:sz w:val="16"/>
          <w:szCs w:val="14"/>
        </w:rPr>
        <w:instrText xml:space="preserve"> FORMCHECKBOX </w:instrText>
      </w:r>
      <w:r w:rsidR="00810E2D">
        <w:rPr>
          <w:rFonts w:eastAsia="Times New Roman" w:cs="Shruti"/>
          <w:sz w:val="16"/>
          <w:szCs w:val="14"/>
        </w:rPr>
      </w:r>
      <w:r w:rsidR="00810E2D">
        <w:rPr>
          <w:rFonts w:eastAsia="Times New Roman" w:cs="Shruti"/>
          <w:sz w:val="16"/>
          <w:szCs w:val="14"/>
        </w:rPr>
        <w:fldChar w:fldCharType="separate"/>
      </w:r>
      <w:r w:rsidRPr="007C10BD">
        <w:rPr>
          <w:rFonts w:eastAsia="Times New Roman" w:cs="Shruti"/>
          <w:sz w:val="16"/>
          <w:szCs w:val="14"/>
        </w:rPr>
        <w:fldChar w:fldCharType="end"/>
      </w:r>
      <w:r w:rsidRPr="007C10BD">
        <w:rPr>
          <w:rFonts w:eastAsia="Times New Roman" w:cs="Shruti"/>
          <w:sz w:val="16"/>
          <w:szCs w:val="14"/>
        </w:rPr>
        <w:t xml:space="preserve"> </w:t>
      </w:r>
      <w:r w:rsidR="00481D80" w:rsidRPr="007C10BD">
        <w:t>9. E</w:t>
      </w:r>
      <w:r w:rsidR="00587C72" w:rsidRPr="007C10BD">
        <w:t>valuating effectiveness, accessibility, and quality o</w:t>
      </w:r>
      <w:r w:rsidR="00EA3A4A" w:rsidRPr="007C10BD">
        <w:t xml:space="preserve">f personal and population-based  </w:t>
      </w:r>
    </w:p>
    <w:p w14:paraId="33F95012" w14:textId="68543868" w:rsidR="00587C72" w:rsidRPr="007C10BD" w:rsidRDefault="00B20B0E" w:rsidP="00C249A2">
      <w:pPr>
        <w:ind w:left="360"/>
      </w:pPr>
      <w:r>
        <w:t xml:space="preserve">  </w:t>
      </w:r>
      <w:r w:rsidR="00EA3A4A" w:rsidRPr="007C10BD">
        <w:t>health services</w:t>
      </w:r>
    </w:p>
    <w:p w14:paraId="7E81A451" w14:textId="77777777" w:rsidR="00481D80" w:rsidRPr="007C10BD" w:rsidRDefault="00B63CF3" w:rsidP="0033654F">
      <w:pPr>
        <w:spacing w:after="240"/>
        <w:ind w:left="0"/>
        <w:rPr>
          <w:iCs/>
          <w:vertAlign w:val="superscript"/>
        </w:rPr>
      </w:pPr>
      <w:r w:rsidRPr="007C10BD">
        <w:rPr>
          <w:rFonts w:eastAsia="Times New Roman" w:cs="Shruti"/>
          <w:sz w:val="16"/>
          <w:szCs w:val="14"/>
        </w:rPr>
        <w:fldChar w:fldCharType="begin">
          <w:ffData>
            <w:name w:val="Check25"/>
            <w:enabled/>
            <w:calcOnExit w:val="0"/>
            <w:checkBox>
              <w:sizeAuto/>
              <w:default w:val="0"/>
            </w:checkBox>
          </w:ffData>
        </w:fldChar>
      </w:r>
      <w:r w:rsidRPr="007C10BD">
        <w:rPr>
          <w:rFonts w:eastAsia="Times New Roman" w:cs="Shruti"/>
          <w:sz w:val="16"/>
          <w:szCs w:val="14"/>
        </w:rPr>
        <w:instrText xml:space="preserve"> FORMCHECKBOX </w:instrText>
      </w:r>
      <w:r w:rsidR="00810E2D">
        <w:rPr>
          <w:rFonts w:eastAsia="Times New Roman" w:cs="Shruti"/>
          <w:sz w:val="16"/>
          <w:szCs w:val="14"/>
        </w:rPr>
      </w:r>
      <w:r w:rsidR="00810E2D">
        <w:rPr>
          <w:rFonts w:eastAsia="Times New Roman" w:cs="Shruti"/>
          <w:sz w:val="16"/>
          <w:szCs w:val="14"/>
        </w:rPr>
        <w:fldChar w:fldCharType="separate"/>
      </w:r>
      <w:r w:rsidRPr="007C10BD">
        <w:rPr>
          <w:rFonts w:eastAsia="Times New Roman" w:cs="Shruti"/>
          <w:sz w:val="16"/>
          <w:szCs w:val="14"/>
        </w:rPr>
        <w:fldChar w:fldCharType="end"/>
      </w:r>
      <w:r w:rsidRPr="007C10BD">
        <w:rPr>
          <w:rFonts w:eastAsia="Times New Roman" w:cs="Shruti"/>
          <w:sz w:val="16"/>
          <w:szCs w:val="14"/>
        </w:rPr>
        <w:t xml:space="preserve"> </w:t>
      </w:r>
      <w:r w:rsidR="00481D80" w:rsidRPr="007C10BD">
        <w:t>10. R</w:t>
      </w:r>
      <w:r w:rsidR="00587C72" w:rsidRPr="007C10BD">
        <w:t>esearch for new insights and innovative solutions to health problems</w:t>
      </w:r>
      <w:r w:rsidR="00587C72" w:rsidRPr="007C10BD">
        <w:rPr>
          <w:iCs/>
          <w:vertAlign w:val="superscript"/>
        </w:rPr>
        <w:t xml:space="preserve"> 1</w:t>
      </w:r>
    </w:p>
    <w:p w14:paraId="45FDE6F6" w14:textId="1B1EC886" w:rsidR="0061096A" w:rsidRDefault="0061096A" w:rsidP="0033654F">
      <w:pPr>
        <w:autoSpaceDE w:val="0"/>
        <w:autoSpaceDN w:val="0"/>
        <w:adjustRightInd w:val="0"/>
        <w:spacing w:after="120"/>
        <w:ind w:left="0"/>
        <w:rPr>
          <w:rFonts w:eastAsia="TimesNewRomanPSMT" w:cs="Times New Roman"/>
        </w:rPr>
      </w:pPr>
      <w:r>
        <w:t>Among the highest priorities at the Centers for Disease Control and Prevention (CDC)</w:t>
      </w:r>
      <w:r w:rsidR="00CF51DB">
        <w:t xml:space="preserve"> are</w:t>
      </w:r>
      <w:r w:rsidR="00C0320B">
        <w:t xml:space="preserve"> the</w:t>
      </w:r>
      <w:r>
        <w:t xml:space="preserve"> core missions to inform, educate</w:t>
      </w:r>
      <w:r w:rsidR="00D87FB0">
        <w:t>,</w:t>
      </w:r>
      <w:r>
        <w:t xml:space="preserve"> and empower audiences regarding health issues and to ensure a competent public health and personal health care workforce. In accordance with these aims, </w:t>
      </w:r>
      <w:r w:rsidRPr="000C2C9D">
        <w:t xml:space="preserve">the </w:t>
      </w:r>
      <w:r>
        <w:t xml:space="preserve">CDC </w:t>
      </w:r>
      <w:r w:rsidRPr="000C2C9D">
        <w:t>has</w:t>
      </w:r>
      <w:r>
        <w:t>,</w:t>
      </w:r>
      <w:r w:rsidRPr="000C2C9D">
        <w:t xml:space="preserve"> </w:t>
      </w:r>
      <w:r>
        <w:t xml:space="preserve">for over fifteen years, </w:t>
      </w:r>
      <w:r w:rsidRPr="000C2C9D">
        <w:t>supported efforts to enhance the ability of stat</w:t>
      </w:r>
      <w:r>
        <w:t>e, territorial, and local health departments</w:t>
      </w:r>
      <w:r w:rsidRPr="000C2C9D">
        <w:t xml:space="preserve"> to respond effectively to public health emergencies. </w:t>
      </w:r>
      <w:r>
        <w:t>A major</w:t>
      </w:r>
      <w:r w:rsidRPr="000C2C9D">
        <w:t xml:space="preserve"> component of these efforts has focused on training public health staff to carry out specialized job duties and serve in key roles </w:t>
      </w:r>
      <w:r w:rsidR="00A1291C">
        <w:t>during</w:t>
      </w:r>
      <w:r w:rsidR="00A1291C" w:rsidRPr="000C2C9D">
        <w:t xml:space="preserve"> </w:t>
      </w:r>
      <w:r w:rsidRPr="000C2C9D">
        <w:t xml:space="preserve">emergencies. </w:t>
      </w:r>
      <w:r>
        <w:t>In this context, t</w:t>
      </w:r>
      <w:r w:rsidRPr="000C2C9D">
        <w:rPr>
          <w:rFonts w:eastAsia="TimesNewRomanPSMT" w:cs="Times New Roman"/>
        </w:rPr>
        <w:t>r</w:t>
      </w:r>
      <w:r>
        <w:rPr>
          <w:rFonts w:eastAsia="TimesNewRomanPSMT" w:cs="Times New Roman"/>
        </w:rPr>
        <w:t xml:space="preserve">aining and exercise programs </w:t>
      </w:r>
      <w:r w:rsidR="00EB478F">
        <w:rPr>
          <w:rFonts w:eastAsia="TimesNewRomanPSMT" w:cs="Times New Roman"/>
        </w:rPr>
        <w:t xml:space="preserve">have </w:t>
      </w:r>
      <w:r>
        <w:rPr>
          <w:rFonts w:eastAsia="TimesNewRomanPSMT" w:cs="Times New Roman"/>
        </w:rPr>
        <w:t>also serve</w:t>
      </w:r>
      <w:r w:rsidR="00EB478F">
        <w:rPr>
          <w:rFonts w:eastAsia="TimesNewRomanPSMT" w:cs="Times New Roman"/>
        </w:rPr>
        <w:t>d</w:t>
      </w:r>
      <w:r>
        <w:rPr>
          <w:rFonts w:eastAsia="TimesNewRomanPSMT" w:cs="Times New Roman"/>
        </w:rPr>
        <w:t xml:space="preserve"> as</w:t>
      </w:r>
      <w:r w:rsidRPr="000C2C9D">
        <w:rPr>
          <w:rFonts w:eastAsia="TimesNewRomanPSMT" w:cs="Times New Roman"/>
        </w:rPr>
        <w:t xml:space="preserve"> key educational methods for conveying and cultivating the appropriate emergency management knowledge, skills, abilities, and attitudes (KSAA) among public health emergency responders</w:t>
      </w:r>
      <w:r>
        <w:rPr>
          <w:rFonts w:eastAsia="TimesNewRomanPSMT" w:cs="Times New Roman"/>
        </w:rPr>
        <w:t xml:space="preserve">. </w:t>
      </w:r>
    </w:p>
    <w:p w14:paraId="38924548" w14:textId="3A672E2C" w:rsidR="0061096A" w:rsidRDefault="00EB478F" w:rsidP="0033654F">
      <w:pPr>
        <w:spacing w:after="120"/>
        <w:ind w:left="0"/>
        <w:rPr>
          <w:rFonts w:eastAsia="TimesNewRomanPSMT" w:cs="Times New Roman"/>
        </w:rPr>
      </w:pPr>
      <w:r>
        <w:rPr>
          <w:rFonts w:eastAsia="TimesNewRomanPSMT" w:cs="Times New Roman"/>
        </w:rPr>
        <w:t>Although there is a solid evidence base for leadership training in public health</w:t>
      </w:r>
      <w:r w:rsidR="0061096A">
        <w:rPr>
          <w:rFonts w:eastAsia="TimesNewRomanPSMT" w:cs="Times New Roman"/>
        </w:rPr>
        <w:t xml:space="preserve">, </w:t>
      </w:r>
      <w:r>
        <w:rPr>
          <w:rFonts w:eastAsia="TimesNewRomanPSMT" w:cs="Times New Roman"/>
        </w:rPr>
        <w:t>there is s</w:t>
      </w:r>
      <w:r w:rsidR="0061096A">
        <w:rPr>
          <w:rFonts w:eastAsia="TimesNewRomanPSMT" w:cs="Times New Roman"/>
        </w:rPr>
        <w:t xml:space="preserve">cant information </w:t>
      </w:r>
      <w:r>
        <w:rPr>
          <w:rFonts w:eastAsia="TimesNewRomanPSMT" w:cs="Times New Roman"/>
        </w:rPr>
        <w:t xml:space="preserve">to </w:t>
      </w:r>
      <w:r w:rsidR="0061096A">
        <w:rPr>
          <w:rFonts w:eastAsia="TimesNewRomanPSMT" w:cs="Times New Roman"/>
        </w:rPr>
        <w:t xml:space="preserve">describe training </w:t>
      </w:r>
      <w:r>
        <w:rPr>
          <w:rFonts w:eastAsia="TimesNewRomanPSMT" w:cs="Times New Roman"/>
        </w:rPr>
        <w:t xml:space="preserve">needs </w:t>
      </w:r>
      <w:r w:rsidR="0061096A">
        <w:rPr>
          <w:rFonts w:eastAsia="TimesNewRomanPSMT" w:cs="Times New Roman"/>
        </w:rPr>
        <w:t xml:space="preserve">for </w:t>
      </w:r>
      <w:r w:rsidR="003B4674">
        <w:rPr>
          <w:rFonts w:eastAsia="TimesNewRomanPSMT" w:cs="Times New Roman"/>
        </w:rPr>
        <w:t xml:space="preserve">cohorts of current or future </w:t>
      </w:r>
      <w:r w:rsidR="0061096A">
        <w:rPr>
          <w:rFonts w:eastAsia="TimesNewRomanPSMT" w:cs="Times New Roman"/>
        </w:rPr>
        <w:t>public health emergency response leaders. The limited evidentiary basis</w:t>
      </w:r>
      <w:r w:rsidR="0061096A" w:rsidRPr="000C2C9D">
        <w:rPr>
          <w:rFonts w:eastAsia="TimesNewRomanPSMT" w:cs="Times New Roman"/>
        </w:rPr>
        <w:t xml:space="preserve"> for developing public health emergency response</w:t>
      </w:r>
      <w:r w:rsidR="0061096A">
        <w:rPr>
          <w:rFonts w:eastAsia="TimesNewRomanPSMT" w:cs="Times New Roman"/>
        </w:rPr>
        <w:t xml:space="preserve"> leaders </w:t>
      </w:r>
      <w:r>
        <w:rPr>
          <w:rFonts w:eastAsia="TimesNewRomanPSMT" w:cs="Times New Roman"/>
        </w:rPr>
        <w:t>emphasizes</w:t>
      </w:r>
      <w:r w:rsidR="0061096A" w:rsidRPr="000C2C9D">
        <w:rPr>
          <w:rFonts w:eastAsia="TimesNewRomanPSMT" w:cs="Times New Roman"/>
        </w:rPr>
        <w:t xml:space="preserve"> technical skills and competencies</w:t>
      </w:r>
      <w:r w:rsidR="0061096A">
        <w:rPr>
          <w:rFonts w:eastAsia="TimesNewRomanPSMT" w:cs="Times New Roman"/>
        </w:rPr>
        <w:t>, but also points to</w:t>
      </w:r>
      <w:r w:rsidR="0061096A" w:rsidRPr="000C2C9D">
        <w:rPr>
          <w:rFonts w:eastAsia="TimesNewRomanPSMT" w:cs="Times New Roman"/>
        </w:rPr>
        <w:t xml:space="preserve"> growing recognition for character and </w:t>
      </w:r>
      <w:r>
        <w:rPr>
          <w:rFonts w:eastAsia="TimesNewRomanPSMT" w:cs="Times New Roman"/>
        </w:rPr>
        <w:t>“</w:t>
      </w:r>
      <w:r w:rsidR="0061096A" w:rsidRPr="000C2C9D">
        <w:rPr>
          <w:rFonts w:eastAsia="TimesNewRomanPSMT" w:cs="Times New Roman"/>
        </w:rPr>
        <w:t>soft skills</w:t>
      </w:r>
      <w:r>
        <w:rPr>
          <w:rFonts w:eastAsia="TimesNewRomanPSMT" w:cs="Times New Roman"/>
        </w:rPr>
        <w:t>”</w:t>
      </w:r>
      <w:r w:rsidR="0061096A" w:rsidRPr="000C2C9D">
        <w:rPr>
          <w:rFonts w:eastAsia="TimesNewRomanPSMT" w:cs="Times New Roman"/>
        </w:rPr>
        <w:t xml:space="preserve"> </w:t>
      </w:r>
      <w:r w:rsidR="0061096A">
        <w:rPr>
          <w:rFonts w:eastAsia="TimesNewRomanPSMT" w:cs="Times New Roman"/>
        </w:rPr>
        <w:t xml:space="preserve">(e.g., resilience, decision-making under stress) </w:t>
      </w:r>
      <w:r w:rsidR="0061096A" w:rsidRPr="000C2C9D">
        <w:rPr>
          <w:rFonts w:eastAsia="TimesNewRomanPSMT" w:cs="Times New Roman"/>
        </w:rPr>
        <w:t>in developing dynamic and adaptable leaders.</w:t>
      </w:r>
      <w:r w:rsidR="0061096A">
        <w:rPr>
          <w:rFonts w:eastAsia="TimesNewRomanPSMT" w:cs="Times New Roman"/>
          <w:vertAlign w:val="superscript"/>
        </w:rPr>
        <w:t xml:space="preserve"> 2, 3, 4, 5 </w:t>
      </w:r>
      <w:r w:rsidR="0061096A">
        <w:rPr>
          <w:rFonts w:eastAsia="TimesNewRomanPSMT" w:cs="Times New Roman"/>
        </w:rPr>
        <w:t>W</w:t>
      </w:r>
      <w:r w:rsidR="0061096A" w:rsidRPr="000C2C9D">
        <w:rPr>
          <w:rFonts w:eastAsia="TimesNewRomanPSMT" w:cs="Times New Roman"/>
        </w:rPr>
        <w:t xml:space="preserve">hile leadership development frameworks, models, and initiatives </w:t>
      </w:r>
      <w:r w:rsidR="00B85896">
        <w:rPr>
          <w:rFonts w:eastAsia="TimesNewRomanPSMT" w:cs="Times New Roman"/>
        </w:rPr>
        <w:t xml:space="preserve">are available </w:t>
      </w:r>
      <w:r w:rsidR="0061096A">
        <w:rPr>
          <w:rFonts w:eastAsia="TimesNewRomanPSMT" w:cs="Times New Roman"/>
        </w:rPr>
        <w:t>t</w:t>
      </w:r>
      <w:r w:rsidR="00B85896">
        <w:rPr>
          <w:rFonts w:eastAsia="TimesNewRomanPSMT" w:cs="Times New Roman"/>
        </w:rPr>
        <w:t>o</w:t>
      </w:r>
      <w:r w:rsidR="0061096A">
        <w:rPr>
          <w:rFonts w:eastAsia="TimesNewRomanPSMT" w:cs="Times New Roman"/>
        </w:rPr>
        <w:t xml:space="preserve"> </w:t>
      </w:r>
      <w:r w:rsidR="00B85896">
        <w:rPr>
          <w:rFonts w:eastAsia="TimesNewRomanPSMT" w:cs="Times New Roman"/>
        </w:rPr>
        <w:t xml:space="preserve">some </w:t>
      </w:r>
      <w:r w:rsidR="0061096A">
        <w:rPr>
          <w:rFonts w:eastAsia="TimesNewRomanPSMT" w:cs="Times New Roman"/>
        </w:rPr>
        <w:t>state, territorial</w:t>
      </w:r>
      <w:r w:rsidR="002F432C">
        <w:rPr>
          <w:rFonts w:eastAsia="TimesNewRomanPSMT" w:cs="Times New Roman"/>
        </w:rPr>
        <w:t>,</w:t>
      </w:r>
      <w:r w:rsidR="0061096A">
        <w:rPr>
          <w:rFonts w:eastAsia="TimesNewRomanPSMT" w:cs="Times New Roman"/>
        </w:rPr>
        <w:t xml:space="preserve"> and local heal</w:t>
      </w:r>
      <w:r w:rsidR="00B85896">
        <w:rPr>
          <w:rFonts w:eastAsia="TimesNewRomanPSMT" w:cs="Times New Roman"/>
        </w:rPr>
        <w:t>th departments</w:t>
      </w:r>
      <w:r w:rsidR="0061096A">
        <w:rPr>
          <w:rFonts w:eastAsia="TimesNewRomanPSMT" w:cs="Times New Roman"/>
        </w:rPr>
        <w:t xml:space="preserve"> </w:t>
      </w:r>
      <w:r w:rsidR="0061096A" w:rsidRPr="000C2C9D">
        <w:rPr>
          <w:rFonts w:eastAsia="TimesNewRomanPSMT" w:cs="Times New Roman"/>
        </w:rPr>
        <w:t xml:space="preserve">through public, private, and academic partnerships (i.e., Public Health Leadership Institute [PHLI], Preparedness and Emergency Response Learning Centers [PERLC]), </w:t>
      </w:r>
      <w:r w:rsidR="003873EF">
        <w:rPr>
          <w:rFonts w:eastAsia="TimesNewRomanPSMT" w:cs="Times New Roman"/>
        </w:rPr>
        <w:t xml:space="preserve">it is important to point out that </w:t>
      </w:r>
      <w:r w:rsidR="00630408">
        <w:rPr>
          <w:rFonts w:eastAsia="TimesNewRomanPSMT" w:cs="Times New Roman"/>
        </w:rPr>
        <w:t xml:space="preserve">not </w:t>
      </w:r>
      <w:r w:rsidR="00C33BC8">
        <w:rPr>
          <w:rFonts w:eastAsia="TimesNewRomanPSMT" w:cs="Times New Roman"/>
        </w:rPr>
        <w:t>all agencies have direct</w:t>
      </w:r>
      <w:r w:rsidR="00630408">
        <w:rPr>
          <w:rFonts w:eastAsia="TimesNewRomanPSMT" w:cs="Times New Roman"/>
        </w:rPr>
        <w:t xml:space="preserve"> access</w:t>
      </w:r>
      <w:r>
        <w:rPr>
          <w:rFonts w:eastAsia="TimesNewRomanPSMT" w:cs="Times New Roman"/>
        </w:rPr>
        <w:t xml:space="preserve"> to these programs and partnerships</w:t>
      </w:r>
      <w:r w:rsidR="00630408">
        <w:rPr>
          <w:rFonts w:eastAsia="TimesNewRomanPSMT" w:cs="Times New Roman"/>
        </w:rPr>
        <w:t>.</w:t>
      </w:r>
      <w:r w:rsidR="00C33BC8">
        <w:rPr>
          <w:rFonts w:eastAsia="TimesNewRomanPSMT" w:cs="Times New Roman"/>
          <w:vertAlign w:val="superscript"/>
        </w:rPr>
        <w:t>6,7,8,9</w:t>
      </w:r>
      <w:r w:rsidR="00630408">
        <w:rPr>
          <w:rFonts w:eastAsia="TimesNewRomanPSMT" w:cs="Times New Roman"/>
        </w:rPr>
        <w:t xml:space="preserve"> </w:t>
      </w:r>
      <w:r>
        <w:rPr>
          <w:rFonts w:eastAsia="TimesNewRomanPSMT" w:cs="Times New Roman"/>
        </w:rPr>
        <w:t>K</w:t>
      </w:r>
      <w:r w:rsidR="00C33BC8">
        <w:rPr>
          <w:rFonts w:eastAsia="TimesNewRomanPSMT" w:cs="Times New Roman"/>
        </w:rPr>
        <w:t xml:space="preserve">nowing where to seek reliable, high quality </w:t>
      </w:r>
      <w:r>
        <w:rPr>
          <w:rFonts w:eastAsia="TimesNewRomanPSMT" w:cs="Times New Roman"/>
        </w:rPr>
        <w:t xml:space="preserve">educational or </w:t>
      </w:r>
      <w:r w:rsidR="00462958">
        <w:rPr>
          <w:rFonts w:eastAsia="TimesNewRomanPSMT" w:cs="Times New Roman"/>
        </w:rPr>
        <w:t>related</w:t>
      </w:r>
      <w:r>
        <w:rPr>
          <w:rFonts w:eastAsia="TimesNewRomanPSMT" w:cs="Times New Roman"/>
        </w:rPr>
        <w:t xml:space="preserve"> professional development opportunities related to public health emergency response </w:t>
      </w:r>
      <w:r w:rsidR="00C33BC8">
        <w:rPr>
          <w:rFonts w:eastAsia="TimesNewRomanPSMT" w:cs="Times New Roman"/>
        </w:rPr>
        <w:t xml:space="preserve">is a challenge </w:t>
      </w:r>
      <w:r>
        <w:rPr>
          <w:rFonts w:eastAsia="TimesNewRomanPSMT" w:cs="Times New Roman"/>
        </w:rPr>
        <w:t xml:space="preserve">in </w:t>
      </w:r>
      <w:r w:rsidR="00C33BC8">
        <w:rPr>
          <w:rFonts w:eastAsia="TimesNewRomanPSMT" w:cs="Times New Roman"/>
        </w:rPr>
        <w:t>many state, territorial</w:t>
      </w:r>
      <w:r w:rsidR="002F432C">
        <w:rPr>
          <w:rFonts w:eastAsia="TimesNewRomanPSMT" w:cs="Times New Roman"/>
        </w:rPr>
        <w:t>,</w:t>
      </w:r>
      <w:r w:rsidR="00C33BC8">
        <w:rPr>
          <w:rFonts w:eastAsia="TimesNewRomanPSMT" w:cs="Times New Roman"/>
        </w:rPr>
        <w:t xml:space="preserve"> and local health departments</w:t>
      </w:r>
      <w:r w:rsidR="009960C8">
        <w:rPr>
          <w:rFonts w:eastAsia="TimesNewRomanPSMT" w:cs="Times New Roman"/>
        </w:rPr>
        <w:t xml:space="preserve">. </w:t>
      </w:r>
      <w:r w:rsidR="00C33BC8">
        <w:rPr>
          <w:rFonts w:eastAsia="TimesNewRomanPSMT" w:cs="Times New Roman"/>
        </w:rPr>
        <w:t xml:space="preserve">Furthermore, </w:t>
      </w:r>
      <w:r w:rsidR="0061096A" w:rsidRPr="000C2C9D">
        <w:rPr>
          <w:rFonts w:eastAsia="TimesNewRomanPSMT" w:cs="Times New Roman"/>
        </w:rPr>
        <w:t>crisis</w:t>
      </w:r>
      <w:r w:rsidR="0082132F">
        <w:rPr>
          <w:rFonts w:eastAsia="TimesNewRomanPSMT" w:cs="Times New Roman"/>
        </w:rPr>
        <w:t>/</w:t>
      </w:r>
      <w:r w:rsidR="0061096A" w:rsidRPr="000C2C9D">
        <w:rPr>
          <w:rFonts w:eastAsia="TimesNewRomanPSMT" w:cs="Times New Roman"/>
        </w:rPr>
        <w:t>emergency management is often just one of several established training priorities of such programs.</w:t>
      </w:r>
      <w:r w:rsidR="0061096A">
        <w:rPr>
          <w:rFonts w:eastAsia="TimesNewRomanPSMT" w:cs="Times New Roman"/>
        </w:rPr>
        <w:t xml:space="preserve"> </w:t>
      </w:r>
      <w:r w:rsidR="00C33BC8">
        <w:rPr>
          <w:rFonts w:eastAsia="TimesNewRomanPSMT" w:cs="Times New Roman"/>
        </w:rPr>
        <w:t>F</w:t>
      </w:r>
      <w:r w:rsidR="0061096A" w:rsidRPr="000C2C9D">
        <w:rPr>
          <w:rFonts w:eastAsia="TimesNewRomanPSMT" w:cs="Times New Roman"/>
        </w:rPr>
        <w:t>ew offer specialized and dedicated focus on incident management leaders</w:t>
      </w:r>
      <w:r w:rsidR="0061096A">
        <w:rPr>
          <w:rFonts w:eastAsia="TimesNewRomanPSMT" w:cs="Times New Roman"/>
        </w:rPr>
        <w:t xml:space="preserve"> that are widely accessible to all state, territorial</w:t>
      </w:r>
      <w:r w:rsidR="002F432C">
        <w:rPr>
          <w:rFonts w:eastAsia="TimesNewRomanPSMT" w:cs="Times New Roman"/>
        </w:rPr>
        <w:t>,</w:t>
      </w:r>
      <w:r w:rsidR="0061096A">
        <w:rPr>
          <w:rFonts w:eastAsia="TimesNewRomanPSMT" w:cs="Times New Roman"/>
        </w:rPr>
        <w:t xml:space="preserve"> and local health departments</w:t>
      </w:r>
      <w:r w:rsidR="0061096A" w:rsidRPr="000C2C9D">
        <w:rPr>
          <w:rFonts w:eastAsia="TimesNewRomanPSMT" w:cs="Times New Roman"/>
        </w:rPr>
        <w:t xml:space="preserve">. </w:t>
      </w:r>
      <w:r w:rsidR="0061096A">
        <w:rPr>
          <w:rFonts w:eastAsia="TimesNewRomanPSMT" w:cs="Times New Roman"/>
          <w:vertAlign w:val="superscript"/>
        </w:rPr>
        <w:t>10, 11, 12</w:t>
      </w:r>
    </w:p>
    <w:p w14:paraId="41154DD7" w14:textId="3FE4563D" w:rsidR="0061096A" w:rsidRDefault="0061096A" w:rsidP="0033654F">
      <w:pPr>
        <w:spacing w:after="120"/>
        <w:ind w:left="0"/>
      </w:pPr>
      <w:r>
        <w:rPr>
          <w:rFonts w:eastAsia="TimesNewRomanPSMT" w:cs="Times New Roman"/>
        </w:rPr>
        <w:t>T</w:t>
      </w:r>
      <w:r w:rsidRPr="000C2C9D">
        <w:rPr>
          <w:rFonts w:eastAsia="TimesNewRomanPSMT" w:cs="Times New Roman"/>
        </w:rPr>
        <w:t>his</w:t>
      </w:r>
      <w:r>
        <w:rPr>
          <w:rFonts w:eastAsia="TimesNewRomanPSMT" w:cs="Times New Roman"/>
        </w:rPr>
        <w:t xml:space="preserve"> CDC</w:t>
      </w:r>
      <w:r w:rsidR="001F5C66">
        <w:rPr>
          <w:rFonts w:eastAsia="TimesNewRomanPSMT" w:cs="Times New Roman"/>
        </w:rPr>
        <w:t>-</w:t>
      </w:r>
      <w:r>
        <w:rPr>
          <w:rFonts w:eastAsia="TimesNewRomanPSMT" w:cs="Times New Roman"/>
        </w:rPr>
        <w:t>led</w:t>
      </w:r>
      <w:r w:rsidRPr="000C2C9D">
        <w:rPr>
          <w:rFonts w:eastAsia="TimesNewRomanPSMT" w:cs="Times New Roman"/>
        </w:rPr>
        <w:t xml:space="preserve"> information collection effort will gather </w:t>
      </w:r>
      <w:r w:rsidR="005A3CE6">
        <w:rPr>
          <w:rFonts w:eastAsia="TimesNewRomanPSMT" w:cs="Times New Roman"/>
        </w:rPr>
        <w:t xml:space="preserve">data on </w:t>
      </w:r>
      <w:r w:rsidR="005A3CE6">
        <w:t>state, territorial</w:t>
      </w:r>
      <w:r w:rsidR="002F432C">
        <w:t>,</w:t>
      </w:r>
      <w:r w:rsidR="005A3CE6">
        <w:t xml:space="preserve"> and local health department needs related to training and</w:t>
      </w:r>
      <w:r w:rsidRPr="000C2C9D">
        <w:t xml:space="preserve"> exercise</w:t>
      </w:r>
      <w:r w:rsidR="00AC0CB2">
        <w:t>s</w:t>
      </w:r>
      <w:r w:rsidRPr="000C2C9D">
        <w:t xml:space="preserve"> for public health personnel who will serve in a leadership role during a public health emergency response. This data collection is also intended to </w:t>
      </w:r>
      <w:r>
        <w:t xml:space="preserve">directly </w:t>
      </w:r>
      <w:r w:rsidRPr="000C2C9D">
        <w:t>highlight barriers and facilitators to developing, delivering, supporting</w:t>
      </w:r>
      <w:r>
        <w:t>,</w:t>
      </w:r>
      <w:r w:rsidR="005A3CE6">
        <w:t xml:space="preserve"> or accessing training and exercises</w:t>
      </w:r>
      <w:r w:rsidRPr="000C2C9D">
        <w:t xml:space="preserve"> by health department staff as well as </w:t>
      </w:r>
      <w:r w:rsidR="003873EF">
        <w:t xml:space="preserve">to </w:t>
      </w:r>
      <w:r w:rsidRPr="0010688D">
        <w:t>identify current and emerging trends, knowledge, and professional opinions about training for public health emergency response leadership. Information collected will be used by CDC to develop strategic priorities and practical recommendations to improve leadership training for public health emergency responders at the state, territorial, and local levels.</w:t>
      </w:r>
      <w:r w:rsidR="003B4674" w:rsidRPr="0010688D">
        <w:t xml:space="preserve"> This may include using information to design, leverage, or modify existing trainings to meet identified leadership training needs, emphasizing</w:t>
      </w:r>
      <w:r w:rsidR="003B4674" w:rsidRPr="000333EC">
        <w:t xml:space="preserve"> those strategies and activities that are deemed most viable and cost-effective.</w:t>
      </w:r>
    </w:p>
    <w:p w14:paraId="2124E4B9" w14:textId="10BD97D9" w:rsidR="00764DEE" w:rsidRDefault="0061096A" w:rsidP="0033654F">
      <w:pPr>
        <w:spacing w:after="120"/>
        <w:ind w:left="0"/>
      </w:pPr>
      <w:r>
        <w:t>CDC, in collaboration with the Institute for Public Research at the CNA Corporation (CNA), Johns Hopkins University (JHU), and the National Association of County and City Health Officials (NACCHO) will conduct this information collection. CNA, the funded prime contractor for this project, will be responsible for the overall organization, conduct, and analysis of focus groups, as well as report preparation for this component of the information collection. JHU, a CNA sub-contractor, will be responsible for the overall organization, conduct, and analysis of the web-based assessment, as well as report preparation from this component of the information collection</w:t>
      </w:r>
      <w:r w:rsidR="009960C8">
        <w:t xml:space="preserve">. </w:t>
      </w:r>
      <w:r w:rsidRPr="000C2C9D">
        <w:t xml:space="preserve">NACCHO, a sub-contractor of </w:t>
      </w:r>
      <w:r w:rsidRPr="00EF1D6A">
        <w:t>JHU,</w:t>
      </w:r>
      <w:r w:rsidRPr="000C2C9D">
        <w:t xml:space="preserve"> will be responsible for recrui</w:t>
      </w:r>
      <w:r>
        <w:t>ting respondents</w:t>
      </w:r>
      <w:r w:rsidRPr="000C2C9D">
        <w:t xml:space="preserve"> for </w:t>
      </w:r>
      <w:r w:rsidRPr="009C5EF2">
        <w:t>the web-based assessment, serving as</w:t>
      </w:r>
      <w:r>
        <w:t xml:space="preserve"> the</w:t>
      </w:r>
      <w:r w:rsidRPr="009C5EF2">
        <w:t xml:space="preserve"> clearinghouse for communication with potential local health department respondents</w:t>
      </w:r>
      <w:r>
        <w:t xml:space="preserve">, </w:t>
      </w:r>
      <w:r w:rsidR="001F5C99">
        <w:t>and</w:t>
      </w:r>
      <w:r w:rsidRPr="009C5EF2">
        <w:t xml:space="preserve"> collati</w:t>
      </w:r>
      <w:r>
        <w:t>ng</w:t>
      </w:r>
      <w:r w:rsidRPr="009C5EF2">
        <w:t xml:space="preserve"> and de-</w:t>
      </w:r>
      <w:r>
        <w:t>identifying</w:t>
      </w:r>
      <w:r w:rsidRPr="009C5EF2">
        <w:t xml:space="preserve"> web-based assessment data</w:t>
      </w:r>
      <w:r>
        <w:t xml:space="preserve">. In addition, NACCHO will recruit </w:t>
      </w:r>
      <w:r w:rsidRPr="009C5EF2">
        <w:t xml:space="preserve">participants </w:t>
      </w:r>
      <w:r w:rsidR="001F5C99">
        <w:t xml:space="preserve">and </w:t>
      </w:r>
      <w:r w:rsidRPr="009C5EF2">
        <w:t>provid</w:t>
      </w:r>
      <w:r>
        <w:t>e</w:t>
      </w:r>
      <w:r w:rsidRPr="009C5EF2">
        <w:t xml:space="preserve"> the venue for </w:t>
      </w:r>
      <w:r>
        <w:t>in-person focus group</w:t>
      </w:r>
      <w:r w:rsidR="001F5C99">
        <w:t>s</w:t>
      </w:r>
      <w:r>
        <w:t xml:space="preserve">. </w:t>
      </w:r>
    </w:p>
    <w:p w14:paraId="1FE07DDD" w14:textId="77777777" w:rsidR="00264BB5" w:rsidRDefault="006102DA" w:rsidP="0033654F">
      <w:pPr>
        <w:pStyle w:val="Heading5"/>
        <w:spacing w:after="120"/>
        <w:ind w:left="0"/>
      </w:pPr>
      <w:r w:rsidRPr="007C10BD">
        <w:t xml:space="preserve">Overview of the </w:t>
      </w:r>
      <w:r w:rsidR="007F5776" w:rsidRPr="007C10BD">
        <w:t>Information C</w:t>
      </w:r>
      <w:r w:rsidR="00157413" w:rsidRPr="007C10BD">
        <w:t>ollection</w:t>
      </w:r>
      <w:r w:rsidRPr="007C10BD">
        <w:t xml:space="preserve"> System</w:t>
      </w:r>
    </w:p>
    <w:p w14:paraId="337F586B" w14:textId="6A8F9B13" w:rsidR="005A3CE6" w:rsidRPr="006D1BCF" w:rsidRDefault="001E2252" w:rsidP="0033654F">
      <w:pPr>
        <w:spacing w:after="120"/>
        <w:ind w:left="0"/>
      </w:pPr>
      <w:r>
        <w:t xml:space="preserve">Information will be collected </w:t>
      </w:r>
      <w:r w:rsidR="001703CF">
        <w:t xml:space="preserve">through a web-based </w:t>
      </w:r>
      <w:r w:rsidR="00984F77">
        <w:t xml:space="preserve">assessment </w:t>
      </w:r>
      <w:r w:rsidR="001703CF">
        <w:t>instrument and focus groups</w:t>
      </w:r>
      <w:r w:rsidR="003576CC">
        <w:t xml:space="preserve"> (</w:t>
      </w:r>
      <w:r w:rsidR="004E5603" w:rsidRPr="004E5603">
        <w:rPr>
          <w:rFonts w:cs="Times New Roman"/>
        </w:rPr>
        <w:t>see</w:t>
      </w:r>
      <w:r w:rsidR="004E5603" w:rsidRPr="007C10BD">
        <w:rPr>
          <w:rFonts w:cs="Times New Roman"/>
        </w:rPr>
        <w:t xml:space="preserve"> </w:t>
      </w:r>
      <w:r w:rsidR="004E5603" w:rsidRPr="004E5603">
        <w:rPr>
          <w:rFonts w:cs="Times New Roman"/>
          <w:b/>
        </w:rPr>
        <w:t xml:space="preserve">Attachment </w:t>
      </w:r>
      <w:r w:rsidR="001F5C66">
        <w:rPr>
          <w:rFonts w:cs="Times New Roman"/>
          <w:b/>
        </w:rPr>
        <w:t>C</w:t>
      </w:r>
      <w:r w:rsidR="001F5C66" w:rsidRPr="004E5603">
        <w:rPr>
          <w:rFonts w:cs="Times New Roman"/>
          <w:b/>
        </w:rPr>
        <w:t xml:space="preserve"> </w:t>
      </w:r>
      <w:r w:rsidR="004E5603" w:rsidRPr="004E5603">
        <w:rPr>
          <w:rFonts w:cs="Times New Roman"/>
          <w:b/>
        </w:rPr>
        <w:t>– Web-Based Assessment, Word Version</w:t>
      </w:r>
      <w:r w:rsidR="004E5603" w:rsidRPr="007C10BD">
        <w:rPr>
          <w:rFonts w:cs="Times New Roman"/>
        </w:rPr>
        <w:t xml:space="preserve"> </w:t>
      </w:r>
      <w:r w:rsidR="004E5603" w:rsidRPr="004E5603">
        <w:rPr>
          <w:rFonts w:cs="Times New Roman"/>
        </w:rPr>
        <w:t>and</w:t>
      </w:r>
      <w:r w:rsidR="004E5603" w:rsidRPr="007C10BD">
        <w:rPr>
          <w:rFonts w:cs="Times New Roman"/>
          <w:b/>
        </w:rPr>
        <w:t xml:space="preserve"> </w:t>
      </w:r>
      <w:r w:rsidR="004E5603" w:rsidRPr="004E5603">
        <w:rPr>
          <w:rFonts w:cs="Times New Roman"/>
          <w:b/>
        </w:rPr>
        <w:t xml:space="preserve">Attachment </w:t>
      </w:r>
      <w:r w:rsidR="001F5C66">
        <w:rPr>
          <w:rFonts w:cs="Times New Roman"/>
          <w:b/>
        </w:rPr>
        <w:t>D</w:t>
      </w:r>
      <w:r w:rsidR="001F5C66" w:rsidRPr="004E5603">
        <w:rPr>
          <w:rFonts w:cs="Times New Roman"/>
          <w:b/>
        </w:rPr>
        <w:t xml:space="preserve"> </w:t>
      </w:r>
      <w:r w:rsidR="004E5603" w:rsidRPr="004E5603">
        <w:rPr>
          <w:rFonts w:cs="Times New Roman"/>
          <w:b/>
        </w:rPr>
        <w:t>– Web-Based Assessment, Web Version</w:t>
      </w:r>
      <w:r w:rsidR="004E5603" w:rsidRPr="007C10BD">
        <w:rPr>
          <w:rFonts w:cs="Times New Roman"/>
        </w:rPr>
        <w:t>)</w:t>
      </w:r>
      <w:r w:rsidR="00DE33FE">
        <w:rPr>
          <w:rFonts w:cs="Times New Roman"/>
        </w:rPr>
        <w:t xml:space="preserve"> and</w:t>
      </w:r>
      <w:r w:rsidR="003F7303">
        <w:rPr>
          <w:rFonts w:cs="Times New Roman"/>
        </w:rPr>
        <w:t xml:space="preserve"> </w:t>
      </w:r>
      <w:r w:rsidR="00DE33FE" w:rsidRPr="00081283">
        <w:rPr>
          <w:lang w:eastAsia="zh-CN"/>
        </w:rPr>
        <w:t>(</w:t>
      </w:r>
      <w:r w:rsidR="00DE33FE">
        <w:rPr>
          <w:lang w:eastAsia="zh-CN"/>
        </w:rPr>
        <w:t xml:space="preserve">see </w:t>
      </w:r>
      <w:r w:rsidR="00DE33FE" w:rsidRPr="00FD1FA7">
        <w:rPr>
          <w:b/>
          <w:lang w:eastAsia="zh-CN"/>
        </w:rPr>
        <w:t xml:space="preserve">Attachment </w:t>
      </w:r>
      <w:r w:rsidR="002A78CC">
        <w:rPr>
          <w:b/>
          <w:lang w:eastAsia="zh-CN"/>
        </w:rPr>
        <w:t>E</w:t>
      </w:r>
      <w:r w:rsidR="00DE33FE" w:rsidRPr="00E579A9">
        <w:rPr>
          <w:b/>
          <w:lang w:eastAsia="zh-CN"/>
        </w:rPr>
        <w:t>–</w:t>
      </w:r>
      <w:r w:rsidR="00DE33FE">
        <w:rPr>
          <w:lang w:eastAsia="zh-CN"/>
        </w:rPr>
        <w:t xml:space="preserve"> </w:t>
      </w:r>
      <w:r w:rsidR="00DE33FE" w:rsidRPr="00FD1FA7">
        <w:rPr>
          <w:b/>
          <w:lang w:eastAsia="zh-CN"/>
        </w:rPr>
        <w:t>Focus Group Facilitation Guide</w:t>
      </w:r>
      <w:r w:rsidR="00DE33FE">
        <w:rPr>
          <w:b/>
          <w:lang w:eastAsia="zh-CN"/>
        </w:rPr>
        <w:t>, Word Version</w:t>
      </w:r>
      <w:r w:rsidR="00DE33FE" w:rsidRPr="00081283">
        <w:rPr>
          <w:lang w:eastAsia="zh-CN"/>
        </w:rPr>
        <w:t>)</w:t>
      </w:r>
      <w:r>
        <w:t>.</w:t>
      </w:r>
      <w:r w:rsidR="00D70015">
        <w:t xml:space="preserve"> </w:t>
      </w:r>
    </w:p>
    <w:p w14:paraId="235584ED" w14:textId="5AF80F0F" w:rsidR="007426C5" w:rsidRDefault="00BA7573" w:rsidP="0033654F">
      <w:pPr>
        <w:spacing w:after="120"/>
        <w:ind w:left="0"/>
        <w:rPr>
          <w:rFonts w:cs="Times New Roman"/>
        </w:rPr>
      </w:pPr>
      <w:r>
        <w:t xml:space="preserve">In total, the combined respondent universe across both information collection methods is </w:t>
      </w:r>
      <w:r w:rsidR="003B7262">
        <w:t>762</w:t>
      </w:r>
      <w:r>
        <w:t xml:space="preserve">. </w:t>
      </w:r>
      <w:r w:rsidR="00F007A1">
        <w:t xml:space="preserve">The respondent </w:t>
      </w:r>
      <w:r w:rsidR="00F369CF">
        <w:t xml:space="preserve">universe </w:t>
      </w:r>
      <w:r w:rsidR="00575B2D">
        <w:t xml:space="preserve">for the </w:t>
      </w:r>
      <w:r w:rsidR="00575B2D" w:rsidRPr="00320314">
        <w:rPr>
          <w:i/>
        </w:rPr>
        <w:t>web-based assessment</w:t>
      </w:r>
      <w:r w:rsidR="00575B2D">
        <w:t xml:space="preserve"> </w:t>
      </w:r>
      <w:r w:rsidR="00F007A1">
        <w:t xml:space="preserve">consists of </w:t>
      </w:r>
      <w:r w:rsidR="00390888">
        <w:t>730</w:t>
      </w:r>
      <w:r w:rsidR="009F76BC">
        <w:t xml:space="preserve"> </w:t>
      </w:r>
      <w:r w:rsidR="00156277">
        <w:t xml:space="preserve">preparedness </w:t>
      </w:r>
      <w:r w:rsidR="00F47F90">
        <w:t>leads</w:t>
      </w:r>
      <w:r w:rsidR="004D7AAC">
        <w:rPr>
          <w:rFonts w:cs="Times New Roman"/>
        </w:rPr>
        <w:t xml:space="preserve"> </w:t>
      </w:r>
      <w:r>
        <w:t xml:space="preserve">of state, territorial, and local health departments </w:t>
      </w:r>
      <w:r w:rsidR="004A468D">
        <w:t>that include</w:t>
      </w:r>
      <w:r>
        <w:t xml:space="preserve"> </w:t>
      </w:r>
      <w:r w:rsidRPr="007C10BD">
        <w:rPr>
          <w:rFonts w:cs="Times New Roman"/>
        </w:rPr>
        <w:t>Program Directors</w:t>
      </w:r>
      <w:r>
        <w:rPr>
          <w:rFonts w:cs="Times New Roman"/>
        </w:rPr>
        <w:t xml:space="preserve"> </w:t>
      </w:r>
      <w:r w:rsidRPr="007C10BD">
        <w:rPr>
          <w:rFonts w:cs="Times New Roman"/>
        </w:rPr>
        <w:t>of th</w:t>
      </w:r>
      <w:r>
        <w:rPr>
          <w:rFonts w:cs="Times New Roman"/>
        </w:rPr>
        <w:t xml:space="preserve">e </w:t>
      </w:r>
      <w:r w:rsidRPr="001B6602">
        <w:rPr>
          <w:rFonts w:cs="Times New Roman"/>
        </w:rPr>
        <w:t>62 Public Health Emergency Preparedness (PHEP) cooperative agreement jurisdictions</w:t>
      </w:r>
      <w:r>
        <w:rPr>
          <w:rFonts w:cs="Times New Roman"/>
        </w:rPr>
        <w:t xml:space="preserve"> (</w:t>
      </w:r>
      <w:r>
        <w:t>50 states, eight territories and freely associated states, and</w:t>
      </w:r>
      <w:r w:rsidR="004A468D">
        <w:t xml:space="preserve"> four large metropolitan areas); </w:t>
      </w:r>
      <w:r>
        <w:rPr>
          <w:rFonts w:cs="Times New Roman"/>
        </w:rPr>
        <w:t xml:space="preserve">and 668 preparedness coordinators </w:t>
      </w:r>
      <w:r w:rsidRPr="00695B5F">
        <w:t>representing</w:t>
      </w:r>
      <w:r>
        <w:rPr>
          <w:rFonts w:cs="Times New Roman"/>
        </w:rPr>
        <w:t xml:space="preserve"> dist</w:t>
      </w:r>
      <w:r w:rsidR="00DF2416">
        <w:rPr>
          <w:rFonts w:cs="Times New Roman"/>
        </w:rPr>
        <w:t>inct local health departments (</w:t>
      </w:r>
      <w:r>
        <w:rPr>
          <w:rFonts w:cs="Times New Roman"/>
        </w:rPr>
        <w:t>one preparedness coordinator per local health department)</w:t>
      </w:r>
      <w:r w:rsidRPr="00235C38">
        <w:rPr>
          <w:rFonts w:cs="Times New Roman"/>
        </w:rPr>
        <w:t>.</w:t>
      </w:r>
      <w:r>
        <w:rPr>
          <w:rFonts w:cs="Times New Roman"/>
        </w:rPr>
        <w:t xml:space="preserve"> </w:t>
      </w:r>
    </w:p>
    <w:p w14:paraId="0513D1B2" w14:textId="7C36F079" w:rsidR="00BA7573" w:rsidRDefault="00FA62C9" w:rsidP="0033654F">
      <w:pPr>
        <w:spacing w:after="120"/>
        <w:ind w:left="0"/>
      </w:pPr>
      <w:r>
        <w:rPr>
          <w:rFonts w:cs="Times New Roman"/>
        </w:rPr>
        <w:t xml:space="preserve">The respondent </w:t>
      </w:r>
      <w:r w:rsidR="003B7C97">
        <w:rPr>
          <w:rFonts w:cs="Times New Roman"/>
        </w:rPr>
        <w:t>universe</w:t>
      </w:r>
      <w:r>
        <w:rPr>
          <w:rFonts w:cs="Times New Roman"/>
        </w:rPr>
        <w:t xml:space="preserve"> for the </w:t>
      </w:r>
      <w:r w:rsidRPr="00C93CCE">
        <w:rPr>
          <w:rFonts w:cs="Times New Roman"/>
          <w:i/>
        </w:rPr>
        <w:t>focus groups</w:t>
      </w:r>
      <w:r w:rsidRPr="00D8204D">
        <w:rPr>
          <w:rFonts w:cs="Times New Roman"/>
        </w:rPr>
        <w:t xml:space="preserve"> incl</w:t>
      </w:r>
      <w:r w:rsidR="00D8204D">
        <w:rPr>
          <w:rFonts w:cs="Times New Roman"/>
        </w:rPr>
        <w:t xml:space="preserve">udes </w:t>
      </w:r>
      <w:r w:rsidR="003B7262">
        <w:rPr>
          <w:rFonts w:cs="Times New Roman"/>
        </w:rPr>
        <w:t>32</w:t>
      </w:r>
      <w:r w:rsidR="003B7262" w:rsidRPr="001B6602">
        <w:rPr>
          <w:rFonts w:cs="Times New Roman"/>
        </w:rPr>
        <w:t xml:space="preserve"> </w:t>
      </w:r>
      <w:r w:rsidR="00B915E7">
        <w:rPr>
          <w:rFonts w:cs="Times New Roman"/>
        </w:rPr>
        <w:t>participants</w:t>
      </w:r>
      <w:r w:rsidR="00BA7573">
        <w:rPr>
          <w:rFonts w:cs="Times New Roman"/>
        </w:rPr>
        <w:t>, separately recruited and</w:t>
      </w:r>
      <w:r w:rsidR="00BA7573">
        <w:t xml:space="preserve"> drawn from registered attendees at the 2019 NACCHO Preparedness Summit representing state</w:t>
      </w:r>
      <w:r w:rsidR="0082132F">
        <w:t>/</w:t>
      </w:r>
      <w:r w:rsidR="00BA7573">
        <w:t>territorial and local health department officials who have served or will serve in public health emergency response</w:t>
      </w:r>
      <w:r w:rsidR="00CA5801">
        <w:t>, not exclusively in leadership roles,</w:t>
      </w:r>
      <w:r w:rsidR="00BA7573">
        <w:t xml:space="preserve"> and voluntarily wish to participate. </w:t>
      </w:r>
      <w:r w:rsidR="00423087">
        <w:t xml:space="preserve">Informed by </w:t>
      </w:r>
      <w:r w:rsidR="007A2E21">
        <w:t>published</w:t>
      </w:r>
      <w:r w:rsidR="00E607B0">
        <w:t xml:space="preserve"> </w:t>
      </w:r>
      <w:r w:rsidR="00AC0CB2">
        <w:t xml:space="preserve">peer-reviewed </w:t>
      </w:r>
      <w:r w:rsidR="00423087">
        <w:t>liter</w:t>
      </w:r>
      <w:r w:rsidR="00E236C2">
        <w:t xml:space="preserve">ature suggesting that </w:t>
      </w:r>
      <w:r w:rsidR="003F353F">
        <w:t>three</w:t>
      </w:r>
      <w:r w:rsidR="009839D6">
        <w:t xml:space="preserve"> to </w:t>
      </w:r>
      <w:r w:rsidR="003F353F">
        <w:t>six</w:t>
      </w:r>
      <w:r w:rsidR="00423087">
        <w:t xml:space="preserve"> focus groups </w:t>
      </w:r>
      <w:r w:rsidR="009839D6">
        <w:t xml:space="preserve">are sufficient </w:t>
      </w:r>
      <w:r w:rsidR="00423087">
        <w:t xml:space="preserve">to </w:t>
      </w:r>
      <w:r w:rsidR="00E236C2">
        <w:t xml:space="preserve">discover </w:t>
      </w:r>
      <w:r w:rsidR="009839D6">
        <w:t xml:space="preserve">90% </w:t>
      </w:r>
      <w:r w:rsidR="00E236C2">
        <w:t xml:space="preserve">of key themes and reach thematic saturation, </w:t>
      </w:r>
      <w:r w:rsidR="00423087">
        <w:t>a</w:t>
      </w:r>
      <w:r w:rsidR="00BA7573">
        <w:t xml:space="preserve"> </w:t>
      </w:r>
      <w:r w:rsidR="007A2E21">
        <w:t>total of</w:t>
      </w:r>
      <w:r w:rsidR="00BA7573">
        <w:t xml:space="preserve"> </w:t>
      </w:r>
      <w:r w:rsidR="00B1065C">
        <w:t xml:space="preserve">four </w:t>
      </w:r>
      <w:r w:rsidR="00423087">
        <w:t xml:space="preserve">in-person </w:t>
      </w:r>
      <w:r w:rsidR="007A2E21">
        <w:t>focus groups will be conducted at the 2019 NACCHO Preparedness Summit.</w:t>
      </w:r>
      <w:r w:rsidR="00E236C2" w:rsidRPr="00E236C2">
        <w:rPr>
          <w:vertAlign w:val="superscript"/>
        </w:rPr>
        <w:t xml:space="preserve"> 13</w:t>
      </w:r>
      <w:r w:rsidR="007A2E21">
        <w:t xml:space="preserve"> </w:t>
      </w:r>
      <w:r w:rsidR="00423087">
        <w:t xml:space="preserve">This will include </w:t>
      </w:r>
      <w:r w:rsidR="00B1065C">
        <w:t xml:space="preserve">two </w:t>
      </w:r>
      <w:r w:rsidR="00423087">
        <w:t>in-person focus groups</w:t>
      </w:r>
      <w:r w:rsidR="00BA7573">
        <w:t xml:space="preserve"> </w:t>
      </w:r>
      <w:r w:rsidR="00423087">
        <w:t xml:space="preserve">with state/territorial </w:t>
      </w:r>
      <w:r w:rsidR="003F353F">
        <w:t xml:space="preserve">health department officials and </w:t>
      </w:r>
      <w:r w:rsidR="00B1065C">
        <w:t xml:space="preserve">two </w:t>
      </w:r>
      <w:r w:rsidR="00423087">
        <w:t xml:space="preserve">in-person focus groups with local health department officials; </w:t>
      </w:r>
      <w:r w:rsidR="00BA7573">
        <w:t>each focus group will include up to eight participants.</w:t>
      </w:r>
    </w:p>
    <w:p w14:paraId="21CA49B0" w14:textId="6F465FF3" w:rsidR="00C33D57" w:rsidRDefault="004D7AAC" w:rsidP="0033654F">
      <w:pPr>
        <w:spacing w:after="120"/>
        <w:ind w:left="0"/>
      </w:pPr>
      <w:r>
        <w:t>A total of n</w:t>
      </w:r>
      <w:r w:rsidR="00EC6772">
        <w:t>ine public health professional</w:t>
      </w:r>
      <w:r w:rsidR="000A61A5">
        <w:t>s</w:t>
      </w:r>
      <w:r w:rsidR="00EC6772">
        <w:t xml:space="preserve"> pilot tested the</w:t>
      </w:r>
      <w:r w:rsidR="004E5603">
        <w:t xml:space="preserve"> </w:t>
      </w:r>
      <w:r w:rsidR="000D714C">
        <w:t xml:space="preserve">web-based assessment </w:t>
      </w:r>
      <w:r w:rsidR="00EC6772">
        <w:t>instrument</w:t>
      </w:r>
      <w:r>
        <w:t xml:space="preserve"> and </w:t>
      </w:r>
      <w:r w:rsidR="00EC6772">
        <w:t xml:space="preserve">participated in a pilot focus group discussion. </w:t>
      </w:r>
      <w:r w:rsidR="004E5603" w:rsidRPr="00711BFA">
        <w:t xml:space="preserve">Feedback was used to refine </w:t>
      </w:r>
      <w:r w:rsidR="00D8204D">
        <w:t xml:space="preserve">the instruments </w:t>
      </w:r>
      <w:r w:rsidR="004E5603" w:rsidRPr="00711BFA">
        <w:t>as needed</w:t>
      </w:r>
      <w:r w:rsidR="00D76DB4">
        <w:t>, and</w:t>
      </w:r>
      <w:r w:rsidR="004E5603" w:rsidRPr="00711BFA">
        <w:t xml:space="preserve"> </w:t>
      </w:r>
      <w:r w:rsidR="006768B6">
        <w:t xml:space="preserve">in the case of the web-based instrument, </w:t>
      </w:r>
      <w:r w:rsidR="004E5603" w:rsidRPr="00711BFA">
        <w:t>ensure accurate programming and skip patterns</w:t>
      </w:r>
      <w:r w:rsidR="00FE60FA">
        <w:t>. Feedback was also obtained</w:t>
      </w:r>
      <w:r w:rsidR="006768B6">
        <w:t xml:space="preserve"> to</w:t>
      </w:r>
      <w:r w:rsidR="004E5603" w:rsidRPr="00711BFA">
        <w:t xml:space="preserve"> establish the estimated time required to complete the information collection</w:t>
      </w:r>
      <w:r w:rsidR="006768B6">
        <w:t>s</w:t>
      </w:r>
      <w:r w:rsidR="004E5603" w:rsidRPr="00711BFA">
        <w:t>.</w:t>
      </w:r>
      <w:r w:rsidR="0003305F">
        <w:t xml:space="preserve"> </w:t>
      </w:r>
    </w:p>
    <w:p w14:paraId="062EEB8A" w14:textId="77777777" w:rsidR="00856023" w:rsidRDefault="00856023" w:rsidP="0033654F">
      <w:pPr>
        <w:pStyle w:val="Heading5"/>
        <w:spacing w:after="120"/>
        <w:ind w:left="0"/>
      </w:pPr>
    </w:p>
    <w:p w14:paraId="067714C1" w14:textId="7D2EC455" w:rsidR="00264BB5" w:rsidRDefault="00692DEB" w:rsidP="0033654F">
      <w:pPr>
        <w:pStyle w:val="Heading5"/>
        <w:spacing w:after="120"/>
        <w:ind w:left="0"/>
      </w:pPr>
      <w:r w:rsidRPr="007C10BD">
        <w:t>Items of Information to be Collected</w:t>
      </w:r>
    </w:p>
    <w:p w14:paraId="49B6A1F1" w14:textId="268D3A80" w:rsidR="009C468A" w:rsidRPr="004B4455" w:rsidRDefault="009C468A" w:rsidP="0033654F">
      <w:pPr>
        <w:pStyle w:val="Heading5"/>
        <w:ind w:left="0"/>
        <w:rPr>
          <w:b w:val="0"/>
          <w:u w:val="single"/>
        </w:rPr>
      </w:pPr>
      <w:r w:rsidRPr="004B4455">
        <w:rPr>
          <w:b w:val="0"/>
          <w:u w:val="single"/>
        </w:rPr>
        <w:t>Web-based Assessment</w:t>
      </w:r>
    </w:p>
    <w:p w14:paraId="6311D48E" w14:textId="4E266111" w:rsidR="00692DEB" w:rsidRDefault="0048417C" w:rsidP="0033654F">
      <w:pPr>
        <w:pStyle w:val="Heading5"/>
        <w:spacing w:after="120"/>
        <w:ind w:left="0"/>
        <w:rPr>
          <w:b w:val="0"/>
        </w:rPr>
      </w:pPr>
      <w:r>
        <w:rPr>
          <w:b w:val="0"/>
        </w:rPr>
        <w:t>The web-based assessment instrument</w:t>
      </w:r>
      <w:r w:rsidRPr="007C10BD">
        <w:rPr>
          <w:rFonts w:eastAsiaTheme="majorEastAsia" w:cstheme="majorBidi"/>
          <w:b w:val="0"/>
        </w:rPr>
        <w:t xml:space="preserve"> </w:t>
      </w:r>
      <w:r w:rsidRPr="007C10BD">
        <w:rPr>
          <w:b w:val="0"/>
        </w:rPr>
        <w:t xml:space="preserve">will collect data on </w:t>
      </w:r>
      <w:r>
        <w:rPr>
          <w:b w:val="0"/>
        </w:rPr>
        <w:t>key areas that link to</w:t>
      </w:r>
      <w:r w:rsidRPr="00BA7573">
        <w:rPr>
          <w:b w:val="0"/>
        </w:rPr>
        <w:t xml:space="preserve"> state, territorial</w:t>
      </w:r>
      <w:r w:rsidR="002F432C">
        <w:rPr>
          <w:b w:val="0"/>
        </w:rPr>
        <w:t>,</w:t>
      </w:r>
      <w:r w:rsidRPr="00BA7573">
        <w:rPr>
          <w:b w:val="0"/>
        </w:rPr>
        <w:t xml:space="preserve"> and local health department needs related to training and exercise for public health personnel who will serve in a leadership role during a pu</w:t>
      </w:r>
      <w:r>
        <w:rPr>
          <w:b w:val="0"/>
        </w:rPr>
        <w:t>blic health emergency response</w:t>
      </w:r>
      <w:r w:rsidR="00B84218">
        <w:rPr>
          <w:b w:val="0"/>
        </w:rPr>
        <w:t>. It will also collect data on</w:t>
      </w:r>
      <w:r w:rsidRPr="00BA7573">
        <w:rPr>
          <w:b w:val="0"/>
        </w:rPr>
        <w:t xml:space="preserve"> barriers and facilitators to developing, delivering, supporting, or accessing training and exercises by health departm</w:t>
      </w:r>
      <w:r w:rsidR="00F12F2A">
        <w:rPr>
          <w:b w:val="0"/>
        </w:rPr>
        <w:t>ent staff.</w:t>
      </w:r>
      <w:r w:rsidRPr="00BA7573">
        <w:rPr>
          <w:b w:val="0"/>
        </w:rPr>
        <w:t xml:space="preserve"> </w:t>
      </w:r>
      <w:r>
        <w:rPr>
          <w:b w:val="0"/>
        </w:rPr>
        <w:t>Accordingly, t</w:t>
      </w:r>
      <w:r w:rsidR="008A1F60" w:rsidRPr="007C10BD">
        <w:rPr>
          <w:b w:val="0"/>
        </w:rPr>
        <w:t xml:space="preserve">he </w:t>
      </w:r>
      <w:r w:rsidR="00EC6772">
        <w:rPr>
          <w:b w:val="0"/>
        </w:rPr>
        <w:t>web-based assessment</w:t>
      </w:r>
      <w:r w:rsidR="00F65839" w:rsidRPr="007C10BD">
        <w:rPr>
          <w:b w:val="0"/>
        </w:rPr>
        <w:t xml:space="preserve"> instrument </w:t>
      </w:r>
      <w:r w:rsidR="00D66834">
        <w:rPr>
          <w:b w:val="0"/>
        </w:rPr>
        <w:t xml:space="preserve">incorporates structured questions and responses, and </w:t>
      </w:r>
      <w:r w:rsidR="00F65839" w:rsidRPr="007C10BD">
        <w:rPr>
          <w:b w:val="0"/>
        </w:rPr>
        <w:t xml:space="preserve">is divided into </w:t>
      </w:r>
      <w:r w:rsidR="00140A14">
        <w:rPr>
          <w:b w:val="0"/>
        </w:rPr>
        <w:t>four</w:t>
      </w:r>
      <w:r w:rsidR="00F65839" w:rsidRPr="007C10BD">
        <w:rPr>
          <w:b w:val="0"/>
        </w:rPr>
        <w:t xml:space="preserve"> sections</w:t>
      </w:r>
      <w:r>
        <w:rPr>
          <w:b w:val="0"/>
        </w:rPr>
        <w:t xml:space="preserve"> that encompasses </w:t>
      </w:r>
      <w:r w:rsidR="00984F77">
        <w:rPr>
          <w:b w:val="0"/>
        </w:rPr>
        <w:t xml:space="preserve">organizational </w:t>
      </w:r>
      <w:r>
        <w:rPr>
          <w:b w:val="0"/>
        </w:rPr>
        <w:t>demographics, the desired state of training and exercises among state and local health departments, the current state of training and exercises among state and local health departments</w:t>
      </w:r>
      <w:r w:rsidR="001D7EC4">
        <w:rPr>
          <w:b w:val="0"/>
        </w:rPr>
        <w:t>,</w:t>
      </w:r>
      <w:r w:rsidR="005663BB">
        <w:rPr>
          <w:b w:val="0"/>
        </w:rPr>
        <w:t xml:space="preserve"> </w:t>
      </w:r>
      <w:r>
        <w:rPr>
          <w:b w:val="0"/>
        </w:rPr>
        <w:t>and key barriers to training and exercises for developing public health emergency response leaders</w:t>
      </w:r>
      <w:r w:rsidR="009A3975">
        <w:rPr>
          <w:b w:val="0"/>
        </w:rPr>
        <w:t xml:space="preserve">. </w:t>
      </w:r>
      <w:r w:rsidR="00D66834">
        <w:rPr>
          <w:b w:val="0"/>
        </w:rPr>
        <w:t>Structurally, t</w:t>
      </w:r>
      <w:r w:rsidR="009A3975" w:rsidRPr="007C10BD">
        <w:rPr>
          <w:b w:val="0"/>
        </w:rPr>
        <w:t>he web-based assessment instrument consists of 23</w:t>
      </w:r>
      <w:r w:rsidR="009A3975" w:rsidRPr="007C10BD">
        <w:rPr>
          <w:b w:val="0"/>
          <w:color w:val="0070C0"/>
        </w:rPr>
        <w:t xml:space="preserve"> </w:t>
      </w:r>
      <w:r w:rsidR="009A3975" w:rsidRPr="007C10BD">
        <w:rPr>
          <w:b w:val="0"/>
        </w:rPr>
        <w:t>questions of various types, including</w:t>
      </w:r>
      <w:r w:rsidR="009A3975">
        <w:rPr>
          <w:b w:val="0"/>
          <w:color w:val="0070C0"/>
        </w:rPr>
        <w:t xml:space="preserve"> </w:t>
      </w:r>
      <w:r w:rsidR="009A3975" w:rsidRPr="007C10BD">
        <w:rPr>
          <w:b w:val="0"/>
        </w:rPr>
        <w:t xml:space="preserve">multiple response and interval </w:t>
      </w:r>
      <w:r w:rsidR="009A3975">
        <w:rPr>
          <w:b w:val="0"/>
        </w:rPr>
        <w:t xml:space="preserve">evaluation </w:t>
      </w:r>
      <w:r w:rsidR="009A3975" w:rsidRPr="007C10BD">
        <w:rPr>
          <w:b w:val="0"/>
        </w:rPr>
        <w:t xml:space="preserve">(rating scales). </w:t>
      </w:r>
    </w:p>
    <w:p w14:paraId="6530560E" w14:textId="505D9636" w:rsidR="00455617" w:rsidRDefault="00F8434A" w:rsidP="0033654F">
      <w:pPr>
        <w:pStyle w:val="ListParagraph"/>
        <w:numPr>
          <w:ilvl w:val="0"/>
          <w:numId w:val="6"/>
        </w:numPr>
        <w:tabs>
          <w:tab w:val="clear" w:pos="9360"/>
        </w:tabs>
        <w:ind w:left="360"/>
        <w:contextualSpacing w:val="0"/>
      </w:pPr>
      <w:r w:rsidRPr="001A5313">
        <w:rPr>
          <w:b/>
        </w:rPr>
        <w:t>Section I – Demographi</w:t>
      </w:r>
      <w:r w:rsidR="0048417C">
        <w:rPr>
          <w:b/>
        </w:rPr>
        <w:t>c</w:t>
      </w:r>
      <w:r w:rsidRPr="001A5313">
        <w:rPr>
          <w:b/>
        </w:rPr>
        <w:t>s</w:t>
      </w:r>
      <w:r w:rsidR="00984F77">
        <w:rPr>
          <w:b/>
        </w:rPr>
        <w:t xml:space="preserve"> (organizational)</w:t>
      </w:r>
    </w:p>
    <w:p w14:paraId="633DBB18" w14:textId="37CC1DCC" w:rsidR="00CE73D5" w:rsidRPr="00455617" w:rsidRDefault="00455617" w:rsidP="0033654F">
      <w:pPr>
        <w:pStyle w:val="ListParagraph"/>
        <w:tabs>
          <w:tab w:val="clear" w:pos="9360"/>
        </w:tabs>
        <w:ind w:left="360"/>
        <w:contextualSpacing w:val="0"/>
      </w:pPr>
      <w:r w:rsidRPr="001A5313">
        <w:rPr>
          <w:u w:val="single"/>
        </w:rPr>
        <w:t>Questions 1-9</w:t>
      </w:r>
      <w:r w:rsidRPr="001564A0">
        <w:t xml:space="preserve"> </w:t>
      </w:r>
      <w:r w:rsidRPr="009248D1">
        <w:t xml:space="preserve">will collect information related to governance structure, type of agency, </w:t>
      </w:r>
      <w:r w:rsidR="000A61A5">
        <w:t xml:space="preserve">size of </w:t>
      </w:r>
      <w:r w:rsidRPr="009248D1">
        <w:t xml:space="preserve">population served, </w:t>
      </w:r>
      <w:r w:rsidR="008E420A">
        <w:t xml:space="preserve">and </w:t>
      </w:r>
      <w:r w:rsidRPr="009248D1">
        <w:t>size of agency</w:t>
      </w:r>
      <w:r w:rsidR="00E30088">
        <w:t>,</w:t>
      </w:r>
      <w:r w:rsidRPr="009248D1">
        <w:t xml:space="preserve"> as well as frequency of activations for real-world events and exercises and </w:t>
      </w:r>
      <w:r w:rsidR="00EF0907" w:rsidRPr="009248D1">
        <w:t xml:space="preserve">the </w:t>
      </w:r>
      <w:r w:rsidRPr="009248D1">
        <w:t>level of importance of various criteria used by the agency in selecting emergency response leadership.</w:t>
      </w:r>
    </w:p>
    <w:p w14:paraId="29F6431D" w14:textId="33FE167D" w:rsidR="00455617" w:rsidRDefault="00455617" w:rsidP="0033654F">
      <w:pPr>
        <w:pStyle w:val="ListParagraph"/>
        <w:numPr>
          <w:ilvl w:val="0"/>
          <w:numId w:val="6"/>
        </w:numPr>
        <w:tabs>
          <w:tab w:val="clear" w:pos="9360"/>
        </w:tabs>
        <w:ind w:left="360"/>
        <w:contextualSpacing w:val="0"/>
      </w:pPr>
      <w:r w:rsidRPr="002827C7">
        <w:rPr>
          <w:b/>
        </w:rPr>
        <w:t xml:space="preserve">Section II - </w:t>
      </w:r>
      <w:r w:rsidR="008A1F60" w:rsidRPr="002827C7">
        <w:rPr>
          <w:b/>
        </w:rPr>
        <w:t>Desired State of Training and Exercises</w:t>
      </w:r>
      <w:r w:rsidR="00E42F73">
        <w:rPr>
          <w:b/>
        </w:rPr>
        <w:t xml:space="preserve"> amon</w:t>
      </w:r>
      <w:r w:rsidR="00DC256B">
        <w:rPr>
          <w:b/>
        </w:rPr>
        <w:t>g State</w:t>
      </w:r>
      <w:r w:rsidR="0082132F">
        <w:rPr>
          <w:b/>
        </w:rPr>
        <w:t>/</w:t>
      </w:r>
      <w:r w:rsidR="00DC256B">
        <w:rPr>
          <w:b/>
        </w:rPr>
        <w:t xml:space="preserve">Territorial </w:t>
      </w:r>
      <w:r w:rsidR="00E42F73">
        <w:rPr>
          <w:b/>
        </w:rPr>
        <w:t>and Local Health Departments</w:t>
      </w:r>
    </w:p>
    <w:p w14:paraId="4ADC83D2" w14:textId="6D094280" w:rsidR="00455617" w:rsidRDefault="00455617" w:rsidP="0033654F">
      <w:pPr>
        <w:tabs>
          <w:tab w:val="clear" w:pos="9360"/>
        </w:tabs>
        <w:ind w:left="360"/>
      </w:pPr>
      <w:r w:rsidRPr="002827C7">
        <w:rPr>
          <w:u w:val="single"/>
        </w:rPr>
        <w:t>Questions 10-13</w:t>
      </w:r>
      <w:r>
        <w:t xml:space="preserve"> will collect information pertaining to the </w:t>
      </w:r>
      <w:r w:rsidR="0003305F">
        <w:t xml:space="preserve">level of </w:t>
      </w:r>
      <w:r>
        <w:t xml:space="preserve">importance to the agency </w:t>
      </w:r>
      <w:r w:rsidR="00A3493C">
        <w:t xml:space="preserve">of </w:t>
      </w:r>
      <w:r>
        <w:t>particular types of technical, role-specific</w:t>
      </w:r>
      <w:r w:rsidR="009B4A9A">
        <w:t>,</w:t>
      </w:r>
      <w:r>
        <w:t xml:space="preserve"> and leadership</w:t>
      </w:r>
      <w:r w:rsidR="0082132F">
        <w:t>/</w:t>
      </w:r>
      <w:r>
        <w:t>management training</w:t>
      </w:r>
      <w:r w:rsidR="0003305F">
        <w:t xml:space="preserve"> requirements</w:t>
      </w:r>
      <w:r>
        <w:t>.</w:t>
      </w:r>
    </w:p>
    <w:p w14:paraId="1A99C1BA" w14:textId="36664ECA" w:rsidR="00455617" w:rsidRDefault="00455617" w:rsidP="0033654F">
      <w:pPr>
        <w:pStyle w:val="ListParagraph"/>
        <w:numPr>
          <w:ilvl w:val="0"/>
          <w:numId w:val="6"/>
        </w:numPr>
        <w:tabs>
          <w:tab w:val="clear" w:pos="9360"/>
        </w:tabs>
        <w:ind w:left="360"/>
        <w:contextualSpacing w:val="0"/>
      </w:pPr>
      <w:r>
        <w:rPr>
          <w:b/>
        </w:rPr>
        <w:t xml:space="preserve">Section III - </w:t>
      </w:r>
      <w:r w:rsidR="008A1F60" w:rsidRPr="001A5313">
        <w:rPr>
          <w:b/>
        </w:rPr>
        <w:t>Current State of Training and Exercises</w:t>
      </w:r>
      <w:r w:rsidR="00E42F73">
        <w:rPr>
          <w:b/>
        </w:rPr>
        <w:t xml:space="preserve"> among State</w:t>
      </w:r>
      <w:r w:rsidR="0082132F">
        <w:rPr>
          <w:b/>
        </w:rPr>
        <w:t>/</w:t>
      </w:r>
      <w:r w:rsidR="00DC256B">
        <w:rPr>
          <w:b/>
        </w:rPr>
        <w:t>Territorial</w:t>
      </w:r>
      <w:r w:rsidR="00E42F73">
        <w:rPr>
          <w:b/>
        </w:rPr>
        <w:t xml:space="preserve"> and Local Health Departments</w:t>
      </w:r>
    </w:p>
    <w:p w14:paraId="3F4F5D7B" w14:textId="1F30D585" w:rsidR="00455617" w:rsidRDefault="00455617" w:rsidP="0033654F">
      <w:pPr>
        <w:tabs>
          <w:tab w:val="clear" w:pos="9360"/>
        </w:tabs>
        <w:ind w:left="360"/>
      </w:pPr>
      <w:r w:rsidRPr="002827C7">
        <w:rPr>
          <w:u w:val="single"/>
        </w:rPr>
        <w:t>Questions 14-18</w:t>
      </w:r>
      <w:r>
        <w:t xml:space="preserve"> will collect information pertaining to the current availability of leadership training programs or curricula</w:t>
      </w:r>
      <w:r w:rsidR="00A84D4F">
        <w:t>,</w:t>
      </w:r>
      <w:r>
        <w:t xml:space="preserve"> as well as the current availability of technical, role-specific</w:t>
      </w:r>
      <w:r w:rsidR="00A84D4F">
        <w:t>,</w:t>
      </w:r>
      <w:r>
        <w:t xml:space="preserve"> and leadership</w:t>
      </w:r>
      <w:r w:rsidR="0082132F">
        <w:t>/</w:t>
      </w:r>
      <w:r>
        <w:t xml:space="preserve">management training. </w:t>
      </w:r>
    </w:p>
    <w:p w14:paraId="65F781B7" w14:textId="77777777" w:rsidR="00455617" w:rsidRPr="009248D1" w:rsidRDefault="00455617" w:rsidP="0033654F">
      <w:pPr>
        <w:pStyle w:val="ListParagraph"/>
        <w:numPr>
          <w:ilvl w:val="0"/>
          <w:numId w:val="6"/>
        </w:numPr>
        <w:tabs>
          <w:tab w:val="clear" w:pos="9360"/>
        </w:tabs>
        <w:ind w:left="360"/>
        <w:contextualSpacing w:val="0"/>
        <w:rPr>
          <w:lang w:eastAsia="zh-CN"/>
        </w:rPr>
      </w:pPr>
      <w:r w:rsidRPr="009248D1">
        <w:rPr>
          <w:b/>
        </w:rPr>
        <w:t xml:space="preserve">Section IV - </w:t>
      </w:r>
      <w:r w:rsidR="008A1F60" w:rsidRPr="009248D1">
        <w:rPr>
          <w:b/>
        </w:rPr>
        <w:t>Key Barriers to Training and Exercises for Developing Public Health Emergency Response Leaders</w:t>
      </w:r>
    </w:p>
    <w:p w14:paraId="5C488006" w14:textId="2439AB5E" w:rsidR="00BD4599" w:rsidRDefault="00455617" w:rsidP="0033654F">
      <w:pPr>
        <w:pStyle w:val="ListParagraph"/>
        <w:tabs>
          <w:tab w:val="clear" w:pos="9360"/>
        </w:tabs>
        <w:spacing w:after="120"/>
        <w:ind w:left="360"/>
        <w:contextualSpacing w:val="0"/>
      </w:pPr>
      <w:r>
        <w:rPr>
          <w:u w:val="single"/>
        </w:rPr>
        <w:t>Questions 19-23</w:t>
      </w:r>
      <w:r>
        <w:t xml:space="preserve"> will collect information on agency perspectives regarding the suitability and accessibility of training and exercise as well as factors that limit the ability of agency’s staff to participate or limit the ability of the agency to provide emergency response leadership training and exercises.</w:t>
      </w:r>
    </w:p>
    <w:p w14:paraId="1F1D45CD" w14:textId="533BCEEB" w:rsidR="009C468A" w:rsidRPr="00D776E2" w:rsidRDefault="009C468A" w:rsidP="0033654F">
      <w:pPr>
        <w:tabs>
          <w:tab w:val="clear" w:pos="9360"/>
        </w:tabs>
        <w:ind w:left="0"/>
        <w:rPr>
          <w:u w:val="single"/>
          <w:lang w:eastAsia="zh-CN"/>
        </w:rPr>
      </w:pPr>
      <w:r w:rsidRPr="00D776E2">
        <w:rPr>
          <w:u w:val="single"/>
          <w:lang w:eastAsia="zh-CN"/>
        </w:rPr>
        <w:t>Focus Group Facilitation Guide</w:t>
      </w:r>
    </w:p>
    <w:p w14:paraId="264711E5" w14:textId="06DFB8C9" w:rsidR="00F12F2A" w:rsidRDefault="00FD1FA7" w:rsidP="0033654F">
      <w:pPr>
        <w:tabs>
          <w:tab w:val="clear" w:pos="9360"/>
        </w:tabs>
        <w:spacing w:after="120"/>
        <w:ind w:left="0"/>
      </w:pPr>
      <w:r>
        <w:rPr>
          <w:lang w:eastAsia="zh-CN"/>
        </w:rPr>
        <w:t xml:space="preserve">The focus group facilitation guide consists of </w:t>
      </w:r>
      <w:r w:rsidR="003576CC">
        <w:rPr>
          <w:lang w:eastAsia="zh-CN"/>
        </w:rPr>
        <w:t>nine</w:t>
      </w:r>
      <w:r w:rsidR="00227528">
        <w:rPr>
          <w:lang w:eastAsia="zh-CN"/>
        </w:rPr>
        <w:t xml:space="preserve"> main</w:t>
      </w:r>
      <w:r>
        <w:rPr>
          <w:lang w:eastAsia="zh-CN"/>
        </w:rPr>
        <w:t xml:space="preserve"> questions, along with supporting probing questions</w:t>
      </w:r>
      <w:r w:rsidR="00E52CEA">
        <w:rPr>
          <w:lang w:eastAsia="zh-CN"/>
        </w:rPr>
        <w:t xml:space="preserve"> to prompt organic, dynamic, and interactives</w:t>
      </w:r>
      <w:r w:rsidR="001470D1">
        <w:rPr>
          <w:lang w:eastAsia="zh-CN"/>
        </w:rPr>
        <w:t xml:space="preserve"> discussions </w:t>
      </w:r>
      <w:r w:rsidR="007648EF">
        <w:rPr>
          <w:lang w:eastAsia="zh-CN"/>
        </w:rPr>
        <w:t>for identifying key themes with contextual descriptions</w:t>
      </w:r>
      <w:r w:rsidR="00F12F2A">
        <w:rPr>
          <w:lang w:eastAsia="zh-CN"/>
        </w:rPr>
        <w:t>.</w:t>
      </w:r>
      <w:r>
        <w:rPr>
          <w:lang w:eastAsia="zh-CN"/>
        </w:rPr>
        <w:t xml:space="preserve"> Focus groups will</w:t>
      </w:r>
      <w:r w:rsidR="002A4E85">
        <w:rPr>
          <w:lang w:eastAsia="zh-CN"/>
        </w:rPr>
        <w:t xml:space="preserve"> collect data on </w:t>
      </w:r>
      <w:r w:rsidR="00F12F2A">
        <w:rPr>
          <w:lang w:eastAsia="zh-CN"/>
        </w:rPr>
        <w:t xml:space="preserve">key areas that link to </w:t>
      </w:r>
      <w:r w:rsidR="00F12F2A" w:rsidRPr="00F12F2A">
        <w:t>barriers and facilitators to developing, delivering, supporting, or accessing training and exerc</w:t>
      </w:r>
      <w:r w:rsidR="00D2707E">
        <w:t>ises by health department staff</w:t>
      </w:r>
      <w:r w:rsidR="00227528">
        <w:t xml:space="preserve">; and </w:t>
      </w:r>
      <w:r w:rsidR="00F12F2A" w:rsidRPr="00F12F2A">
        <w:t xml:space="preserve">current and emerging trends, knowledge, and professional opinions about training for public health emergency response leadership. </w:t>
      </w:r>
    </w:p>
    <w:p w14:paraId="4FC0BA4E" w14:textId="77777777" w:rsidR="006557EF" w:rsidRDefault="006557EF" w:rsidP="0033654F">
      <w:pPr>
        <w:tabs>
          <w:tab w:val="clear" w:pos="9360"/>
        </w:tabs>
        <w:spacing w:after="120"/>
        <w:ind w:left="0"/>
      </w:pPr>
    </w:p>
    <w:p w14:paraId="6E1DF8AD" w14:textId="77777777" w:rsidR="006C26CC" w:rsidRPr="007C10BD" w:rsidRDefault="00B12F51" w:rsidP="0033654F">
      <w:pPr>
        <w:pStyle w:val="Heading4"/>
        <w:spacing w:before="240"/>
      </w:pPr>
      <w:bookmarkStart w:id="21" w:name="_Toc530558447"/>
      <w:r w:rsidRPr="007C10BD">
        <w:t>Purpose and Use of the Information Collection</w:t>
      </w:r>
      <w:bookmarkEnd w:id="21"/>
      <w:r w:rsidR="006C26CC" w:rsidRPr="007C10BD">
        <w:tab/>
        <w:t xml:space="preserve">  </w:t>
      </w:r>
    </w:p>
    <w:p w14:paraId="688B749C" w14:textId="79E78A25" w:rsidR="00495D57" w:rsidRDefault="00495D57" w:rsidP="00495D57">
      <w:pPr>
        <w:spacing w:after="120"/>
        <w:ind w:left="0"/>
      </w:pPr>
      <w:r>
        <w:t>The purpose of this information collection is to: 1) Identify state, territorial, and local health department needs related to training and exercises for public health personnel who will serve in a leadership role during a public health emergency response; 2)</w:t>
      </w:r>
      <w:r w:rsidR="00965C60">
        <w:t xml:space="preserve"> </w:t>
      </w:r>
      <w:r>
        <w:t xml:space="preserve">Highlight barriers and facilitators to developing, delivering, supporting, or accessing training and exercises by health department staff and; 3) Identify current and emerging trends, knowledge, and professional opinions about training for public health emergency response leadership. </w:t>
      </w:r>
    </w:p>
    <w:p w14:paraId="24628E6D" w14:textId="409D2B1B" w:rsidR="00675F9A" w:rsidRDefault="0088181F" w:rsidP="0033654F">
      <w:pPr>
        <w:spacing w:after="120"/>
        <w:ind w:left="0"/>
      </w:pPr>
      <w:r>
        <w:t xml:space="preserve">Information collected will be used by </w:t>
      </w:r>
      <w:r w:rsidRPr="00E236C2">
        <w:t>CDC to develop strateg</w:t>
      </w:r>
      <w:r w:rsidR="00CF2A0E" w:rsidRPr="00E236C2">
        <w:t xml:space="preserve">ic priorities </w:t>
      </w:r>
      <w:r w:rsidRPr="00E236C2">
        <w:t xml:space="preserve">and </w:t>
      </w:r>
      <w:r w:rsidR="00CF2A0E" w:rsidRPr="00E236C2">
        <w:t>practical recommendations</w:t>
      </w:r>
      <w:r w:rsidRPr="00E236C2">
        <w:t xml:space="preserve"> to improve leadership training</w:t>
      </w:r>
      <w:r>
        <w:t xml:space="preserve"> for public health emergency responders at the state, territorial, and local levels.</w:t>
      </w:r>
      <w:r w:rsidR="004D5521">
        <w:t xml:space="preserve"> </w:t>
      </w:r>
      <w:r w:rsidR="004D5521" w:rsidRPr="000333EC">
        <w:t>This may include using information to design, leverage, or modify existing trainings to meet identified leadership training needs, emphasizing those strategies and activities that are deemed most viable and cost-effective</w:t>
      </w:r>
      <w:r w:rsidR="004D5521">
        <w:t>.</w:t>
      </w:r>
    </w:p>
    <w:p w14:paraId="0F763089" w14:textId="6335622E" w:rsidR="00B47055" w:rsidRPr="007C10BD" w:rsidRDefault="00B47055" w:rsidP="0033654F">
      <w:pPr>
        <w:pStyle w:val="Heading4"/>
      </w:pPr>
      <w:bookmarkStart w:id="22" w:name="_Toc530558448"/>
      <w:r w:rsidRPr="007C10BD">
        <w:t>Use of Improved Information Technology and Burden Reduction</w:t>
      </w:r>
      <w:bookmarkEnd w:id="22"/>
    </w:p>
    <w:p w14:paraId="5ADCFAB0" w14:textId="5B817A88" w:rsidR="00BD4599" w:rsidRDefault="00EA3A4A" w:rsidP="0033654F">
      <w:pPr>
        <w:spacing w:after="120"/>
        <w:ind w:left="0"/>
      </w:pPr>
      <w:r w:rsidRPr="007C10BD">
        <w:t>Data will be collected via</w:t>
      </w:r>
      <w:r w:rsidR="00070FF7" w:rsidRPr="007C10BD">
        <w:t xml:space="preserve"> </w:t>
      </w:r>
      <w:r w:rsidR="00132C8B">
        <w:t xml:space="preserve">a </w:t>
      </w:r>
      <w:r w:rsidR="008A1F60" w:rsidRPr="007C10BD">
        <w:t>web-based data collection instrument</w:t>
      </w:r>
      <w:r w:rsidR="00070FF7" w:rsidRPr="007C10BD">
        <w:t xml:space="preserve"> administered through Qualtrics (Provo, UT, 2009).</w:t>
      </w:r>
      <w:r w:rsidR="00692DEB" w:rsidRPr="007C10BD">
        <w:t xml:space="preserve"> This method was chosen to reduce the overall burden on respondents</w:t>
      </w:r>
      <w:r w:rsidR="00FF5BF1" w:rsidRPr="007C10BD">
        <w:t xml:space="preserve"> by</w:t>
      </w:r>
      <w:r w:rsidR="00A620C7" w:rsidRPr="007C10BD">
        <w:t xml:space="preserve"> enhancing ease of completion</w:t>
      </w:r>
      <w:r w:rsidR="00FD68CC">
        <w:t xml:space="preserve"> through simple, but secure,</w:t>
      </w:r>
      <w:r w:rsidR="00D8759A">
        <w:t xml:space="preserve"> access to the assessment </w:t>
      </w:r>
      <w:r w:rsidR="007A40A0">
        <w:t xml:space="preserve">tool </w:t>
      </w:r>
      <w:r w:rsidR="00D8759A">
        <w:t>and allowing for completion at a time convenient to the respondent</w:t>
      </w:r>
      <w:r w:rsidR="00692DEB" w:rsidRPr="007C10BD">
        <w:t xml:space="preserve">. </w:t>
      </w:r>
      <w:r w:rsidR="0065021F">
        <w:t>Data will also be collected through focus groups</w:t>
      </w:r>
      <w:r w:rsidR="00D8759A">
        <w:t xml:space="preserve">, which will be conveniently held </w:t>
      </w:r>
      <w:r w:rsidR="00AC2A98">
        <w:t xml:space="preserve">during two days of the </w:t>
      </w:r>
      <w:r w:rsidR="009248D1">
        <w:t>2019 NACCHO Preparedness Summit</w:t>
      </w:r>
      <w:r w:rsidR="00233714">
        <w:t>.</w:t>
      </w:r>
      <w:r w:rsidR="009248D1">
        <w:t xml:space="preserve"> </w:t>
      </w:r>
      <w:r w:rsidR="00692DEB" w:rsidRPr="007C10BD">
        <w:t xml:space="preserve">The </w:t>
      </w:r>
      <w:r w:rsidR="002E2EDD" w:rsidRPr="007C10BD">
        <w:t>data</w:t>
      </w:r>
      <w:r w:rsidR="00692DEB" w:rsidRPr="007C10BD">
        <w:t xml:space="preserve"> collection instrument</w:t>
      </w:r>
      <w:r w:rsidR="00132C8B">
        <w:t>s</w:t>
      </w:r>
      <w:r w:rsidR="00692DEB" w:rsidRPr="007C10BD">
        <w:t xml:space="preserve"> w</w:t>
      </w:r>
      <w:r w:rsidR="00132C8B">
        <w:t>ere</w:t>
      </w:r>
      <w:r w:rsidR="00692DEB" w:rsidRPr="007C10BD">
        <w:t xml:space="preserve"> designed to collect the minimum information necessary for the purposes of</w:t>
      </w:r>
      <w:r w:rsidR="008A1F60" w:rsidRPr="007C10BD">
        <w:t xml:space="preserve"> this project (i.e., limited to 23</w:t>
      </w:r>
      <w:r w:rsidR="00692DEB" w:rsidRPr="007C10BD">
        <w:rPr>
          <w:color w:val="0070C0"/>
        </w:rPr>
        <w:t xml:space="preserve"> </w:t>
      </w:r>
      <w:r w:rsidR="00692DEB" w:rsidRPr="007C10BD">
        <w:t>questions</w:t>
      </w:r>
      <w:r w:rsidR="0065021F">
        <w:t xml:space="preserve"> </w:t>
      </w:r>
      <w:r w:rsidR="00442B2D">
        <w:t xml:space="preserve">for </w:t>
      </w:r>
      <w:r w:rsidR="0065021F">
        <w:t xml:space="preserve">the web-based </w:t>
      </w:r>
      <w:r w:rsidR="00442B2D">
        <w:t xml:space="preserve">assessment </w:t>
      </w:r>
      <w:r w:rsidR="0065021F">
        <w:t xml:space="preserve">and </w:t>
      </w:r>
      <w:r w:rsidR="00B27A38">
        <w:t>nine</w:t>
      </w:r>
      <w:r w:rsidR="0065021F">
        <w:t xml:space="preserve"> focus group questions</w:t>
      </w:r>
      <w:r w:rsidR="00692DEB" w:rsidRPr="007C10BD">
        <w:t>).</w:t>
      </w:r>
      <w:r w:rsidR="00E12E97" w:rsidRPr="007C10BD">
        <w:t xml:space="preserve"> </w:t>
      </w:r>
    </w:p>
    <w:p w14:paraId="0DBDB8DD" w14:textId="7B5CD1E2" w:rsidR="00D00EA2" w:rsidRDefault="00D00EA2" w:rsidP="0033654F">
      <w:pPr>
        <w:spacing w:after="120"/>
        <w:ind w:left="0"/>
      </w:pPr>
      <w:r>
        <w:t xml:space="preserve">It is necessary and important to collect information using both formats given the key distinctions between the substantive content of the information collected. Specifically, while both instruments have scripted questions, responses to the web-based assessment are limited to structured choices to aid data aggregation and interpretation for </w:t>
      </w:r>
      <w:r w:rsidRPr="00D77DF2">
        <w:rPr>
          <w:i/>
        </w:rPr>
        <w:t>quantitative analysis</w:t>
      </w:r>
      <w:r>
        <w:t xml:space="preserve"> (i.e., descriptive reporting, statistical inferences), whereas the focus groups provide a platform to facilitate organic and dynamic discussions with context to identify and distill key themes through </w:t>
      </w:r>
      <w:r w:rsidRPr="00D77DF2">
        <w:rPr>
          <w:i/>
        </w:rPr>
        <w:t>qualitative analysis</w:t>
      </w:r>
      <w:r>
        <w:t xml:space="preserve">. </w:t>
      </w:r>
    </w:p>
    <w:p w14:paraId="20D210AD" w14:textId="55303B3F" w:rsidR="00B47055" w:rsidRPr="007C10BD" w:rsidRDefault="00B47055" w:rsidP="0033654F">
      <w:pPr>
        <w:pStyle w:val="Heading4"/>
        <w:spacing w:before="240"/>
      </w:pPr>
      <w:bookmarkStart w:id="23" w:name="_Toc530558449"/>
      <w:r w:rsidRPr="007C10BD">
        <w:t>Efforts to Identify Duplication and Use of Similar Information</w:t>
      </w:r>
      <w:bookmarkEnd w:id="23"/>
    </w:p>
    <w:p w14:paraId="621F2ECA" w14:textId="2C99BE6C" w:rsidR="00A7649E" w:rsidRDefault="00A7649E" w:rsidP="0033654F">
      <w:pPr>
        <w:tabs>
          <w:tab w:val="clear" w:pos="9360"/>
        </w:tabs>
        <w:spacing w:after="120"/>
        <w:ind w:left="0"/>
      </w:pPr>
      <w:r w:rsidRPr="00A7649E">
        <w:t>Efforts were made to identify duplication and use of similar information, including</w:t>
      </w:r>
      <w:r w:rsidRPr="00A7649E">
        <w:rPr>
          <w:iCs/>
        </w:rPr>
        <w:t xml:space="preserve"> </w:t>
      </w:r>
      <w:r w:rsidR="00AC3EB1">
        <w:rPr>
          <w:iCs/>
        </w:rPr>
        <w:t xml:space="preserve">a comprehensive literature review on the topic of leadership training for public health emergencies as well as </w:t>
      </w:r>
      <w:r w:rsidRPr="00A7649E">
        <w:rPr>
          <w:iCs/>
        </w:rPr>
        <w:t>an environmental scan to identify any other assessments conducted on PHEP</w:t>
      </w:r>
      <w:r w:rsidR="009960C8">
        <w:rPr>
          <w:iCs/>
        </w:rPr>
        <w:t xml:space="preserve">. </w:t>
      </w:r>
      <w:r w:rsidRPr="00A7649E">
        <w:t xml:space="preserve">The information gathered through this data collection request is not available from other data sources or through other means nor does it duplicate any information currently being collected. </w:t>
      </w:r>
      <w:r w:rsidRPr="00A7649E">
        <w:rPr>
          <w:iCs/>
        </w:rPr>
        <w:t xml:space="preserve">Although 0920-0879 has been utilized to approve related collections (e.g., MCM-Needs), these collections differed in purpose and scope. </w:t>
      </w:r>
      <w:r w:rsidRPr="00A7649E">
        <w:t xml:space="preserve">No assessments past or planned have </w:t>
      </w:r>
      <w:r w:rsidR="004D5521">
        <w:t>examined</w:t>
      </w:r>
      <w:r w:rsidR="004D5521" w:rsidRPr="00A7649E">
        <w:t xml:space="preserve"> </w:t>
      </w:r>
      <w:r w:rsidR="003F798D">
        <w:t xml:space="preserve">needs related to </w:t>
      </w:r>
      <w:r w:rsidRPr="00A7649E">
        <w:t>training</w:t>
      </w:r>
      <w:r w:rsidR="003F798D">
        <w:t xml:space="preserve">, exercises, </w:t>
      </w:r>
      <w:r w:rsidRPr="00A7649E">
        <w:t>or professional development opportunities for public health emergency response leaders.</w:t>
      </w:r>
    </w:p>
    <w:p w14:paraId="49E9B9E6" w14:textId="00072232" w:rsidR="00B12F51" w:rsidRPr="007C10BD" w:rsidRDefault="00F12DA9" w:rsidP="0033654F">
      <w:pPr>
        <w:pStyle w:val="Heading4"/>
        <w:spacing w:before="240"/>
      </w:pPr>
      <w:bookmarkStart w:id="24" w:name="_Toc427752818"/>
      <w:bookmarkStart w:id="25" w:name="_Toc530558450"/>
      <w:r w:rsidRPr="00B47055">
        <w:t>Impact on Small Businesses or Other Small Entities</w:t>
      </w:r>
      <w:bookmarkEnd w:id="24"/>
      <w:bookmarkEnd w:id="25"/>
    </w:p>
    <w:p w14:paraId="1F5B6FEC" w14:textId="601C2899" w:rsidR="00BD4599" w:rsidRDefault="00D26A64" w:rsidP="0033654F">
      <w:pPr>
        <w:spacing w:after="120"/>
        <w:ind w:left="0"/>
      </w:pPr>
      <w:r w:rsidRPr="007C10BD">
        <w:t>N</w:t>
      </w:r>
      <w:r w:rsidR="00AF2252" w:rsidRPr="007C10BD">
        <w:t xml:space="preserve">o small businesses will be involved in this </w:t>
      </w:r>
      <w:r w:rsidR="00157413" w:rsidRPr="007C10BD">
        <w:t>information collection</w:t>
      </w:r>
      <w:r w:rsidRPr="007C10BD">
        <w:t>.</w:t>
      </w:r>
    </w:p>
    <w:p w14:paraId="11B99BAB" w14:textId="4A8ECEBC" w:rsidR="00B12F51" w:rsidRPr="007C10BD" w:rsidRDefault="00B47055" w:rsidP="0033654F">
      <w:pPr>
        <w:pStyle w:val="Heading4"/>
        <w:spacing w:before="240"/>
      </w:pPr>
      <w:bookmarkStart w:id="26" w:name="_Toc530558451"/>
      <w:r w:rsidRPr="007C10BD">
        <w:t>Consequences of Collecting the Information Less Frequently</w:t>
      </w:r>
      <w:bookmarkEnd w:id="26"/>
      <w:r w:rsidRPr="007C10BD">
        <w:t xml:space="preserve"> </w:t>
      </w:r>
      <w:r w:rsidR="00D95FBF" w:rsidRPr="007C10BD">
        <w:t xml:space="preserve">   </w:t>
      </w:r>
    </w:p>
    <w:p w14:paraId="1895A4D9" w14:textId="3B535B76" w:rsidR="000058E0" w:rsidRPr="007C10BD" w:rsidRDefault="000058E0" w:rsidP="0033654F">
      <w:pPr>
        <w:spacing w:after="120"/>
        <w:ind w:left="0"/>
      </w:pPr>
      <w:r w:rsidRPr="007C10BD">
        <w:t xml:space="preserve">This request is for a </w:t>
      </w:r>
      <w:r w:rsidR="00DD4FDE">
        <w:t>one-time</w:t>
      </w:r>
      <w:r w:rsidRPr="007C10BD">
        <w:t xml:space="preserve"> </w:t>
      </w:r>
      <w:r w:rsidR="005212E5" w:rsidRPr="007C10BD">
        <w:t>data</w:t>
      </w:r>
      <w:r w:rsidRPr="007C10BD">
        <w:t xml:space="preserve"> collection</w:t>
      </w:r>
      <w:r w:rsidR="009960C8">
        <w:t xml:space="preserve">. </w:t>
      </w:r>
      <w:r w:rsidRPr="007C10BD">
        <w:t>There are no legal obstacles to reduce the burden. If no data are collected, CDC will be unable to:</w:t>
      </w:r>
    </w:p>
    <w:p w14:paraId="20509AF4" w14:textId="2244D868" w:rsidR="00D72F6D" w:rsidRDefault="003F798D" w:rsidP="006947D6">
      <w:pPr>
        <w:pStyle w:val="ListParagraph"/>
        <w:numPr>
          <w:ilvl w:val="0"/>
          <w:numId w:val="8"/>
        </w:numPr>
        <w:spacing w:after="120"/>
      </w:pPr>
      <w:r>
        <w:t>I</w:t>
      </w:r>
      <w:r w:rsidRPr="007C10BD">
        <w:t xml:space="preserve">dentify </w:t>
      </w:r>
      <w:r>
        <w:t xml:space="preserve">state, territorial, and local health department needs related to </w:t>
      </w:r>
      <w:r w:rsidRPr="007C10BD">
        <w:t xml:space="preserve">training, exercise, or </w:t>
      </w:r>
      <w:r w:rsidR="00462958">
        <w:t>related</w:t>
      </w:r>
      <w:r w:rsidRPr="007C10BD">
        <w:t xml:space="preserve"> professional development </w:t>
      </w:r>
      <w:r>
        <w:t>opportunities</w:t>
      </w:r>
      <w:r w:rsidRPr="007C10BD">
        <w:t xml:space="preserve"> </w:t>
      </w:r>
      <w:r>
        <w:t>for</w:t>
      </w:r>
      <w:r w:rsidRPr="007C10BD">
        <w:t xml:space="preserve"> public health personnel who </w:t>
      </w:r>
      <w:r>
        <w:t xml:space="preserve">have served or will </w:t>
      </w:r>
      <w:r w:rsidRPr="007C10BD">
        <w:t>serve in a leadership role during a public health emergency response</w:t>
      </w:r>
      <w:r w:rsidR="00F003D6" w:rsidRPr="007C10BD">
        <w:t>;</w:t>
      </w:r>
    </w:p>
    <w:p w14:paraId="31C350D3" w14:textId="494A3E71" w:rsidR="00D72F6D" w:rsidRPr="007C10BD" w:rsidRDefault="003F798D" w:rsidP="006947D6">
      <w:pPr>
        <w:pStyle w:val="ListParagraph"/>
        <w:numPr>
          <w:ilvl w:val="0"/>
          <w:numId w:val="8"/>
        </w:numPr>
        <w:spacing w:after="120"/>
      </w:pPr>
      <w:r>
        <w:t>Characterize barriers and facilitators in</w:t>
      </w:r>
      <w:r w:rsidRPr="007C10BD">
        <w:t xml:space="preserve"> developing, delivering, supporting</w:t>
      </w:r>
      <w:r>
        <w:t>,</w:t>
      </w:r>
      <w:r w:rsidRPr="007C10BD">
        <w:t xml:space="preserve"> or accessing training, exercises</w:t>
      </w:r>
      <w:r>
        <w:t>,</w:t>
      </w:r>
      <w:r w:rsidRPr="007C10BD">
        <w:t xml:space="preserve"> </w:t>
      </w:r>
      <w:r>
        <w:t>and related</w:t>
      </w:r>
      <w:r w:rsidRPr="007C10BD">
        <w:t xml:space="preserve"> professional development </w:t>
      </w:r>
      <w:r w:rsidR="00EC38B9">
        <w:t>opportunities</w:t>
      </w:r>
      <w:r w:rsidRPr="007C10BD">
        <w:t xml:space="preserve"> </w:t>
      </w:r>
      <w:r>
        <w:t>by health department staff</w:t>
      </w:r>
      <w:r w:rsidR="00D72F6D" w:rsidRPr="007C10BD">
        <w:t xml:space="preserve">; </w:t>
      </w:r>
    </w:p>
    <w:p w14:paraId="3BD44763" w14:textId="0F50175A" w:rsidR="00BD4599" w:rsidRDefault="003F798D" w:rsidP="006947D6">
      <w:pPr>
        <w:pStyle w:val="ListParagraph"/>
        <w:numPr>
          <w:ilvl w:val="0"/>
          <w:numId w:val="8"/>
        </w:numPr>
        <w:spacing w:after="120"/>
        <w:rPr>
          <w:lang w:eastAsia="zh-CN"/>
        </w:rPr>
      </w:pPr>
      <w:r>
        <w:t>Develop evidence- and needs-based strategic priorities and practical recommendations to improve leadership training for public health emergency responders at the state, territorial, and local levels</w:t>
      </w:r>
      <w:r w:rsidR="00D11959">
        <w:t>.</w:t>
      </w:r>
    </w:p>
    <w:p w14:paraId="5CD6EB3E" w14:textId="77777777" w:rsidR="00F12DA9" w:rsidRPr="00B47055" w:rsidRDefault="00F12DA9" w:rsidP="0033654F">
      <w:pPr>
        <w:pStyle w:val="Heading4"/>
      </w:pPr>
      <w:bookmarkStart w:id="27" w:name="_Toc427752820"/>
      <w:bookmarkStart w:id="28" w:name="_Toc530558452"/>
      <w:r w:rsidRPr="00B47055">
        <w:t>Special Circumstances Relating to the Guidelines of 5 CFR 1320.5</w:t>
      </w:r>
      <w:bookmarkEnd w:id="27"/>
      <w:bookmarkEnd w:id="28"/>
    </w:p>
    <w:p w14:paraId="4AA546FF" w14:textId="4A526AE2" w:rsidR="00462958" w:rsidRDefault="00A809AA" w:rsidP="0033654F">
      <w:pPr>
        <w:spacing w:after="120"/>
        <w:ind w:left="0"/>
      </w:pPr>
      <w:r w:rsidRPr="007C10BD">
        <w:t xml:space="preserve">There are no special circumstances with this </w:t>
      </w:r>
      <w:r w:rsidR="002E2EDD" w:rsidRPr="007C10BD">
        <w:t>data</w:t>
      </w:r>
      <w:r w:rsidRPr="007C10BD">
        <w:t xml:space="preserve"> collection package. </w:t>
      </w:r>
      <w:r w:rsidR="00835CA7" w:rsidRPr="007C10BD">
        <w:t>This request fully complies with the regulation 5 CFR 1320.5</w:t>
      </w:r>
      <w:r w:rsidR="00D95FBF" w:rsidRPr="007C10BD">
        <w:t xml:space="preserve"> and will be voluntary</w:t>
      </w:r>
      <w:r w:rsidR="00835CA7" w:rsidRPr="007C10BD">
        <w:t>.</w:t>
      </w:r>
    </w:p>
    <w:p w14:paraId="15375413" w14:textId="77777777" w:rsidR="00F12DA9" w:rsidRPr="0088467A" w:rsidRDefault="00F12DA9" w:rsidP="0033654F">
      <w:pPr>
        <w:pStyle w:val="Heading4"/>
        <w:spacing w:before="240"/>
      </w:pPr>
      <w:bookmarkStart w:id="29" w:name="_Toc427752821"/>
      <w:bookmarkStart w:id="30" w:name="_Toc530558453"/>
      <w:r w:rsidRPr="0088467A">
        <w:t>Comments in Response to the Federal Register Notice and Efforts to Consult Outside the Agency</w:t>
      </w:r>
      <w:bookmarkEnd w:id="29"/>
      <w:bookmarkEnd w:id="30"/>
    </w:p>
    <w:p w14:paraId="4FADC525" w14:textId="7E5FF927" w:rsidR="00A809AA" w:rsidRPr="007C10BD" w:rsidRDefault="00C768E5" w:rsidP="0033654F">
      <w:pPr>
        <w:spacing w:after="120"/>
        <w:ind w:left="0"/>
        <w:rPr>
          <w:color w:val="FF0000"/>
        </w:rPr>
      </w:pPr>
      <w:r w:rsidRPr="007C10BD">
        <w:t xml:space="preserve">This </w:t>
      </w:r>
      <w:r w:rsidR="002E2EDD" w:rsidRPr="007C10BD">
        <w:t>data</w:t>
      </w:r>
      <w:r w:rsidR="00157413" w:rsidRPr="007C10BD">
        <w:t xml:space="preserve"> collection</w:t>
      </w:r>
      <w:r w:rsidRPr="007C10BD">
        <w:t xml:space="preserve"> is being conducted using the Generic Information Collection mecha</w:t>
      </w:r>
      <w:r w:rsidR="00157413" w:rsidRPr="007C10BD">
        <w:t>nism of the OSTLTS OMB Clearance Center</w:t>
      </w:r>
      <w:r w:rsidRPr="007C10BD">
        <w:t xml:space="preserve"> (O</w:t>
      </w:r>
      <w:r w:rsidR="00157413" w:rsidRPr="007C10BD">
        <w:t>2</w:t>
      </w:r>
      <w:r w:rsidRPr="007C10BD">
        <w:t>C</w:t>
      </w:r>
      <w:r w:rsidR="00157413" w:rsidRPr="007C10BD">
        <w:t>2</w:t>
      </w:r>
      <w:r w:rsidRPr="007C10BD">
        <w:t xml:space="preserve">) – OMB No. 0920-0879. </w:t>
      </w:r>
      <w:r w:rsidR="00D21203" w:rsidRPr="007C10BD">
        <w:t>A 60-day Federal Register Notice was published in the Federal Register on April 27, 2017, Vol. 82, No. 80, pp 19371-19373</w:t>
      </w:r>
      <w:r w:rsidR="009960C8">
        <w:t xml:space="preserve">. </w:t>
      </w:r>
      <w:r w:rsidR="00D21203" w:rsidRPr="007C10BD">
        <w:t>One non-substantive comment was received</w:t>
      </w:r>
      <w:r w:rsidR="009960C8">
        <w:t xml:space="preserve">. </w:t>
      </w:r>
      <w:r w:rsidR="00D21203" w:rsidRPr="007C10BD">
        <w:t>CDC sent forward the standard CDC response.</w:t>
      </w:r>
    </w:p>
    <w:p w14:paraId="73975A63" w14:textId="18EDBEC9" w:rsidR="00675F9A" w:rsidRPr="007C10BD" w:rsidRDefault="00A809AA" w:rsidP="0033654F">
      <w:pPr>
        <w:spacing w:after="120"/>
        <w:ind w:left="0"/>
      </w:pPr>
      <w:r w:rsidRPr="007C10BD">
        <w:t>CDC</w:t>
      </w:r>
      <w:r w:rsidR="00B140E4">
        <w:t xml:space="preserve">, including its </w:t>
      </w:r>
      <w:r w:rsidR="00B140E4" w:rsidRPr="007C10BD">
        <w:t>National Center for Health Statistics</w:t>
      </w:r>
      <w:r w:rsidR="00B140E4">
        <w:t>,</w:t>
      </w:r>
      <w:r w:rsidRPr="007C10BD">
        <w:t xml:space="preserve"> partners with professional STLT organizations, such as the Association of State and Territorial Health Officials (ASTHO), the National Association of County and City Health Officials (NACCHO), and the National Association of Local Boards of Health (NALBOH</w:t>
      </w:r>
      <w:r w:rsidR="00FA7D77" w:rsidRPr="007C10BD">
        <w:t>) to</w:t>
      </w:r>
      <w:r w:rsidRPr="007C10BD">
        <w:t xml:space="preserve"> ensure that the collection requests under individual ICs are not in conflict with collections they have or will have in the field within the same timeframe</w:t>
      </w:r>
      <w:r w:rsidR="009960C8">
        <w:t xml:space="preserve">. </w:t>
      </w:r>
    </w:p>
    <w:p w14:paraId="38FCD0C6" w14:textId="15908CB9" w:rsidR="00B12F51" w:rsidRPr="007C10BD" w:rsidRDefault="0088467A" w:rsidP="0033654F">
      <w:pPr>
        <w:pStyle w:val="Heading4"/>
        <w:spacing w:before="240"/>
      </w:pPr>
      <w:bookmarkStart w:id="31" w:name="_Toc530558454"/>
      <w:r w:rsidRPr="007C10BD">
        <w:t>Explanation of Any Payment or Gift to Respondents</w:t>
      </w:r>
      <w:bookmarkEnd w:id="31"/>
    </w:p>
    <w:p w14:paraId="55E20775" w14:textId="0E87199B" w:rsidR="00675F9A" w:rsidRDefault="00A809AA" w:rsidP="0033654F">
      <w:pPr>
        <w:spacing w:after="120"/>
        <w:ind w:left="0"/>
      </w:pPr>
      <w:r w:rsidRPr="007C10BD">
        <w:t>CDC will not provide p</w:t>
      </w:r>
      <w:r w:rsidR="00D26A64" w:rsidRPr="007C10BD">
        <w:t>ayments or gifts to respondents</w:t>
      </w:r>
      <w:r w:rsidR="00CB67C5" w:rsidRPr="007C10BD">
        <w:t xml:space="preserve"> or participants</w:t>
      </w:r>
      <w:r w:rsidR="00D26A64" w:rsidRPr="007C10BD">
        <w:t>.</w:t>
      </w:r>
    </w:p>
    <w:p w14:paraId="5C08B9B8" w14:textId="77777777" w:rsidR="00B12F51" w:rsidRPr="007C10BD" w:rsidRDefault="0088467A" w:rsidP="0033654F">
      <w:pPr>
        <w:pStyle w:val="Heading4"/>
        <w:spacing w:before="240"/>
      </w:pPr>
      <w:r w:rsidRPr="007C10BD">
        <w:t xml:space="preserve"> </w:t>
      </w:r>
      <w:bookmarkStart w:id="32" w:name="_Toc530558455"/>
      <w:r w:rsidR="009D5927" w:rsidRPr="007C10BD">
        <w:t>Protection of the Privacy and Confidentiality of Information Provided by Respondents</w:t>
      </w:r>
      <w:bookmarkEnd w:id="32"/>
    </w:p>
    <w:p w14:paraId="32D5FE81" w14:textId="2C702FB0" w:rsidR="001B317E" w:rsidRDefault="003C31C9" w:rsidP="0033654F">
      <w:pPr>
        <w:spacing w:after="120"/>
        <w:ind w:left="0"/>
      </w:pPr>
      <w:r w:rsidRPr="007C10BD">
        <w:t xml:space="preserve">The Privacy Act does not apply to this </w:t>
      </w:r>
      <w:r w:rsidR="002E2EDD" w:rsidRPr="007C10BD">
        <w:t>data</w:t>
      </w:r>
      <w:r w:rsidR="00157413" w:rsidRPr="007C10BD">
        <w:t xml:space="preserve"> collection</w:t>
      </w:r>
      <w:r w:rsidR="009960C8">
        <w:t xml:space="preserve">. </w:t>
      </w:r>
      <w:r w:rsidR="00D11959">
        <w:t>State,</w:t>
      </w:r>
      <w:r w:rsidR="007C10BD" w:rsidRPr="00235C38">
        <w:rPr>
          <w:rFonts w:cs="Times New Roman"/>
        </w:rPr>
        <w:t xml:space="preserve"> territorial</w:t>
      </w:r>
      <w:r w:rsidR="00D11959">
        <w:rPr>
          <w:rFonts w:cs="Times New Roman"/>
        </w:rPr>
        <w:t>,</w:t>
      </w:r>
      <w:r w:rsidR="007C10BD" w:rsidRPr="00235C38">
        <w:rPr>
          <w:rFonts w:cs="Times New Roman"/>
        </w:rPr>
        <w:t xml:space="preserve"> and local health </w:t>
      </w:r>
      <w:r w:rsidR="00D11959">
        <w:rPr>
          <w:rFonts w:cs="Times New Roman"/>
        </w:rPr>
        <w:t xml:space="preserve">department </w:t>
      </w:r>
      <w:r w:rsidR="00790A35" w:rsidRPr="007C10BD">
        <w:t xml:space="preserve">staff </w:t>
      </w:r>
      <w:r w:rsidRPr="007C10BD">
        <w:t>will be speaking from their official roles</w:t>
      </w:r>
      <w:r w:rsidR="00D06816" w:rsidRPr="007C10BD">
        <w:t xml:space="preserve">. </w:t>
      </w:r>
    </w:p>
    <w:p w14:paraId="4FFF454C" w14:textId="70FCD667" w:rsidR="00692E7E" w:rsidRDefault="001B317E" w:rsidP="0033654F">
      <w:pPr>
        <w:spacing w:after="120"/>
        <w:ind w:left="0"/>
      </w:pPr>
      <w:r w:rsidRPr="001B317E">
        <w:t xml:space="preserve">Only the project’s contractor team—CNA, JHU, and NACCHO—will collect and have access to some </w:t>
      </w:r>
      <w:r w:rsidR="0036587C">
        <w:t>business contact information</w:t>
      </w:r>
      <w:r w:rsidR="00104395">
        <w:t>. The collection of this information is</w:t>
      </w:r>
      <w:r w:rsidRPr="001B317E">
        <w:t xml:space="preserve"> </w:t>
      </w:r>
      <w:r w:rsidR="00692E7E">
        <w:t xml:space="preserve">exclusively </w:t>
      </w:r>
      <w:r w:rsidR="00104395">
        <w:t>for the purpose of</w:t>
      </w:r>
      <w:r w:rsidR="00A370B3">
        <w:t xml:space="preserve"> </w:t>
      </w:r>
      <w:r w:rsidR="00104395">
        <w:t xml:space="preserve">scheduling </w:t>
      </w:r>
      <w:r w:rsidR="00A370B3">
        <w:t xml:space="preserve">and providing reminders for </w:t>
      </w:r>
      <w:r w:rsidR="00104395">
        <w:t xml:space="preserve">participation in focus groups. </w:t>
      </w:r>
    </w:p>
    <w:p w14:paraId="51693B31" w14:textId="1DC0DA32" w:rsidR="001B317E" w:rsidRDefault="00830C72" w:rsidP="0033654F">
      <w:pPr>
        <w:spacing w:after="120"/>
        <w:ind w:left="0"/>
      </w:pPr>
      <w:r>
        <w:t>B</w:t>
      </w:r>
      <w:r w:rsidR="0036587C">
        <w:t xml:space="preserve">usiness contact </w:t>
      </w:r>
      <w:r w:rsidR="003F353F">
        <w:t xml:space="preserve">information </w:t>
      </w:r>
      <w:r w:rsidR="00692E7E">
        <w:t>will</w:t>
      </w:r>
      <w:r w:rsidR="001B317E" w:rsidRPr="001B317E">
        <w:t xml:space="preserve"> not be shared with CDC</w:t>
      </w:r>
      <w:r>
        <w:t xml:space="preserve">. </w:t>
      </w:r>
      <w:r w:rsidR="00C4476B">
        <w:t xml:space="preserve">Information collected </w:t>
      </w:r>
      <w:r w:rsidR="00A370B3">
        <w:t>will be stored on</w:t>
      </w:r>
      <w:r>
        <w:t xml:space="preserve"> the </w:t>
      </w:r>
      <w:r w:rsidR="00A370B3">
        <w:t>c</w:t>
      </w:r>
      <w:r>
        <w:t xml:space="preserve">ontractor team’s </w:t>
      </w:r>
      <w:r w:rsidR="003F353F" w:rsidRPr="001B317E">
        <w:t>password-protected</w:t>
      </w:r>
      <w:r w:rsidR="001B317E" w:rsidRPr="001B317E">
        <w:t xml:space="preserve"> computers</w:t>
      </w:r>
      <w:r>
        <w:t xml:space="preserve"> and destroyed upon conclusion of the project. </w:t>
      </w:r>
    </w:p>
    <w:p w14:paraId="2E6A4C6B" w14:textId="519081A4" w:rsidR="00B12F51" w:rsidRPr="007C10BD" w:rsidRDefault="009D5927" w:rsidP="0033654F">
      <w:pPr>
        <w:pStyle w:val="Heading4"/>
        <w:spacing w:before="240"/>
      </w:pPr>
      <w:bookmarkStart w:id="33" w:name="_Toc530558456"/>
      <w:r w:rsidRPr="007C10BD">
        <w:t>Institutional Review Board (IRB) and Justification for Sensitive Questions</w:t>
      </w:r>
      <w:bookmarkEnd w:id="33"/>
    </w:p>
    <w:p w14:paraId="3F026E27" w14:textId="1316652A" w:rsidR="00F52BCC" w:rsidRPr="007C10BD" w:rsidRDefault="003C31C9" w:rsidP="0033654F">
      <w:pPr>
        <w:spacing w:after="120"/>
        <w:ind w:left="0"/>
      </w:pPr>
      <w:r w:rsidRPr="007C10BD">
        <w:t>No information will be collected</w:t>
      </w:r>
      <w:r w:rsidR="00616090" w:rsidRPr="007C10BD">
        <w:t xml:space="preserve"> that are of personal or sensitive nature</w:t>
      </w:r>
      <w:r w:rsidR="00D26A64" w:rsidRPr="007C10BD">
        <w:t>.</w:t>
      </w:r>
      <w:r w:rsidR="004343DA" w:rsidRPr="004343DA">
        <w:t xml:space="preserve"> This data collection is not research involving human subjects.</w:t>
      </w:r>
    </w:p>
    <w:p w14:paraId="18C2B659" w14:textId="4ABF95B2" w:rsidR="00FE118D" w:rsidRPr="007C10BD" w:rsidRDefault="00B05B34" w:rsidP="0033654F">
      <w:pPr>
        <w:pStyle w:val="Heading4"/>
        <w:spacing w:before="240"/>
      </w:pPr>
      <w:bookmarkStart w:id="34" w:name="_Toc523400213"/>
      <w:bookmarkStart w:id="35" w:name="_Toc530558457"/>
      <w:bookmarkEnd w:id="34"/>
      <w:r w:rsidRPr="007C10BD">
        <w:t>Estimates of Annualized Burden Hours and Costs</w:t>
      </w:r>
      <w:bookmarkEnd w:id="35"/>
    </w:p>
    <w:p w14:paraId="68780E3C" w14:textId="49A9775C" w:rsidR="00840DDA" w:rsidRPr="003E7B3F" w:rsidRDefault="00840DDA" w:rsidP="0033654F">
      <w:pPr>
        <w:spacing w:after="120"/>
        <w:ind w:left="0"/>
      </w:pPr>
      <w:r w:rsidRPr="003E7B3F">
        <w:t xml:space="preserve">The estimate for burden hours is based </w:t>
      </w:r>
      <w:r w:rsidR="0025145F" w:rsidRPr="003E7B3F">
        <w:t xml:space="preserve">on </w:t>
      </w:r>
      <w:r w:rsidRPr="003E7B3F">
        <w:t xml:space="preserve">a pilot test of both data collection instruments by </w:t>
      </w:r>
      <w:r w:rsidR="0025145F" w:rsidRPr="003E7B3F">
        <w:t xml:space="preserve">a total of </w:t>
      </w:r>
      <w:r w:rsidRPr="003E7B3F">
        <w:t xml:space="preserve">nine public health professionals. </w:t>
      </w:r>
    </w:p>
    <w:p w14:paraId="2D1210E6" w14:textId="3A5D94B2" w:rsidR="00D40528" w:rsidRPr="006D4491" w:rsidRDefault="003C4242" w:rsidP="0033654F">
      <w:pPr>
        <w:spacing w:after="120"/>
        <w:ind w:left="0"/>
      </w:pPr>
      <w:r w:rsidRPr="003E7B3F">
        <w:t xml:space="preserve">For the web-based assessment, in the pilot test, </w:t>
      </w:r>
      <w:r w:rsidR="00D40528" w:rsidRPr="003E7B3F">
        <w:t>the time</w:t>
      </w:r>
      <w:r w:rsidR="00D40528" w:rsidRPr="00F55C0C">
        <w:t xml:space="preserve"> to complete the instrument including time for reviewing instructions, gathering needed information and completing the instrument,</w:t>
      </w:r>
      <w:r w:rsidR="00E70B70">
        <w:t xml:space="preserve"> ranged between 15 – 20 minutes. </w:t>
      </w:r>
      <w:r w:rsidR="00D40528" w:rsidRPr="00F55C0C">
        <w:t>For the purposes of estimating burden hours, the upper limit of this range (i.e., 20 minutes) is used.</w:t>
      </w:r>
      <w:r>
        <w:t xml:space="preserve"> </w:t>
      </w:r>
    </w:p>
    <w:p w14:paraId="265D1EE3" w14:textId="53F7D0DD" w:rsidR="00D40528" w:rsidRPr="005179E3" w:rsidRDefault="00D40528" w:rsidP="0033654F">
      <w:pPr>
        <w:spacing w:after="120"/>
        <w:ind w:left="0"/>
      </w:pPr>
      <w:r w:rsidRPr="00F55C0C">
        <w:t xml:space="preserve">Estimates for the average hourly wage for respondents are based on the Department of Labor (DOL) Bureau of Labor Statistics for occupational employment for </w:t>
      </w:r>
      <w:r w:rsidRPr="003C6F05">
        <w:rPr>
          <w:b/>
        </w:rPr>
        <w:t xml:space="preserve">Medical and Health Services Manager </w:t>
      </w:r>
      <w:r w:rsidRPr="00F55C0C">
        <w:t>at state (</w:t>
      </w:r>
      <w:hyperlink r:id="rId14" w:history="1">
        <w:r w:rsidRPr="00F55C0C">
          <w:rPr>
            <w:rStyle w:val="Hyperlink"/>
          </w:rPr>
          <w:t>https://www.bls.gov/ncs/ocs/sp/nctb1480.pdf</w:t>
        </w:r>
      </w:hyperlink>
      <w:r w:rsidRPr="00F55C0C">
        <w:t>) and local (</w:t>
      </w:r>
      <w:hyperlink r:id="rId15" w:history="1">
        <w:r w:rsidRPr="00F55C0C">
          <w:rPr>
            <w:rStyle w:val="Hyperlink"/>
          </w:rPr>
          <w:t>https://www.bls.gov/ncs/ocs/sp/nctb1481.pdf</w:t>
        </w:r>
      </w:hyperlink>
      <w:r w:rsidRPr="00F55C0C">
        <w:t xml:space="preserve">) governments. Based on DOL data, a median hourly wage of </w:t>
      </w:r>
      <w:r w:rsidR="00DA2B91">
        <w:rPr>
          <w:b/>
        </w:rPr>
        <w:t xml:space="preserve">$51.10 (State </w:t>
      </w:r>
      <w:r w:rsidRPr="00F55C0C">
        <w:rPr>
          <w:b/>
        </w:rPr>
        <w:t>Medical and Health Services Manager)</w:t>
      </w:r>
      <w:r w:rsidRPr="00F55C0C">
        <w:t xml:space="preserve"> is estimated for a maximum </w:t>
      </w:r>
      <w:r w:rsidRPr="005179E3">
        <w:t xml:space="preserve">of </w:t>
      </w:r>
      <w:r w:rsidR="009F135B">
        <w:t>58</w:t>
      </w:r>
      <w:r w:rsidR="009F135B" w:rsidRPr="005179E3">
        <w:t xml:space="preserve"> </w:t>
      </w:r>
      <w:r w:rsidRPr="005179E3">
        <w:t>respondents</w:t>
      </w:r>
      <w:r w:rsidR="009F135B">
        <w:t xml:space="preserve"> from 50 PHEP states and 8 PHEP territories</w:t>
      </w:r>
      <w:r w:rsidR="009960C8">
        <w:t xml:space="preserve">. </w:t>
      </w:r>
      <w:r w:rsidR="009F135B">
        <w:t xml:space="preserve">An </w:t>
      </w:r>
      <w:r w:rsidRPr="005179E3">
        <w:t xml:space="preserve">average hourly wage of </w:t>
      </w:r>
      <w:r w:rsidRPr="005179E3">
        <w:rPr>
          <w:b/>
        </w:rPr>
        <w:t xml:space="preserve">$41.90 (Local Medical and Health Services Manager) </w:t>
      </w:r>
      <w:r w:rsidRPr="003C6F05">
        <w:t xml:space="preserve">is estimated for a maximum of </w:t>
      </w:r>
      <w:r w:rsidR="00F934EC" w:rsidRPr="00823DAF">
        <w:t>6</w:t>
      </w:r>
      <w:r w:rsidR="009F135B" w:rsidRPr="00823DAF">
        <w:t>72</w:t>
      </w:r>
      <w:r w:rsidRPr="003C6F05">
        <w:t xml:space="preserve"> </w:t>
      </w:r>
      <w:r w:rsidR="000C74C6">
        <w:t>local health department</w:t>
      </w:r>
      <w:r w:rsidR="009F135B">
        <w:t xml:space="preserve"> (4 PHEP metropolitan jurisdictions and 668 additional local health departments)</w:t>
      </w:r>
      <w:r w:rsidR="004343DA">
        <w:t xml:space="preserve"> </w:t>
      </w:r>
      <w:r w:rsidRPr="003C6F05">
        <w:t>respondents</w:t>
      </w:r>
      <w:r w:rsidRPr="005179E3">
        <w:t xml:space="preserve">. </w:t>
      </w:r>
    </w:p>
    <w:p w14:paraId="7790A524" w14:textId="7ECD8940" w:rsidR="00A77C6F" w:rsidRDefault="003C4242" w:rsidP="0033654F">
      <w:pPr>
        <w:spacing w:after="120"/>
        <w:ind w:left="0"/>
        <w:rPr>
          <w:rFonts w:cs="Times New Roman"/>
        </w:rPr>
      </w:pPr>
      <w:r w:rsidRPr="00F11224">
        <w:rPr>
          <w:rFonts w:cs="Times New Roman"/>
        </w:rPr>
        <w:t>For focus groups,</w:t>
      </w:r>
      <w:r w:rsidR="00A77C6F" w:rsidRPr="00F11224">
        <w:rPr>
          <w:rFonts w:cs="Times New Roman"/>
        </w:rPr>
        <w:t xml:space="preserve"> </w:t>
      </w:r>
      <w:r w:rsidRPr="00F11224">
        <w:rPr>
          <w:rFonts w:cs="Times New Roman"/>
        </w:rPr>
        <w:t>i</w:t>
      </w:r>
      <w:r w:rsidR="00A77C6F" w:rsidRPr="00F11224">
        <w:rPr>
          <w:rFonts w:cs="Times New Roman"/>
        </w:rPr>
        <w:t>n the pilot test, the time to complete a review of focus group instructions and discussions of questions</w:t>
      </w:r>
      <w:r w:rsidR="00A77C6F" w:rsidRPr="00F55C0C">
        <w:rPr>
          <w:rFonts w:cs="Times New Roman"/>
        </w:rPr>
        <w:t xml:space="preserve"> within the guide ranged from 60</w:t>
      </w:r>
      <w:r w:rsidR="00E70B70">
        <w:rPr>
          <w:rFonts w:cs="Times New Roman"/>
        </w:rPr>
        <w:t xml:space="preserve"> – </w:t>
      </w:r>
      <w:r w:rsidR="00A77C6F" w:rsidRPr="00F55C0C">
        <w:rPr>
          <w:rFonts w:cs="Times New Roman"/>
        </w:rPr>
        <w:t xml:space="preserve">75 minutes. For the purposes of estimating burden hours, </w:t>
      </w:r>
      <w:r w:rsidR="00A77C6F">
        <w:rPr>
          <w:rFonts w:cs="Times New Roman"/>
        </w:rPr>
        <w:t>the upper limit (i.e., 75</w:t>
      </w:r>
      <w:r w:rsidR="00A77C6F" w:rsidRPr="00F55C0C">
        <w:rPr>
          <w:rFonts w:cs="Times New Roman"/>
        </w:rPr>
        <w:t xml:space="preserve"> minutes)</w:t>
      </w:r>
      <w:r w:rsidR="00A77C6F">
        <w:rPr>
          <w:rFonts w:cs="Times New Roman"/>
        </w:rPr>
        <w:t xml:space="preserve"> was used.</w:t>
      </w:r>
    </w:p>
    <w:p w14:paraId="3B68CE02" w14:textId="1EE487D2" w:rsidR="006557EF" w:rsidRDefault="00A77C6F" w:rsidP="00C44CBF">
      <w:pPr>
        <w:spacing w:after="120"/>
        <w:ind w:left="0"/>
      </w:pPr>
      <w:r w:rsidRPr="00F55C0C">
        <w:t xml:space="preserve">Estimates for the average hourly wage for </w:t>
      </w:r>
      <w:r>
        <w:t>participants</w:t>
      </w:r>
      <w:r w:rsidRPr="00F55C0C">
        <w:t xml:space="preserve"> are based on the </w:t>
      </w:r>
      <w:r w:rsidR="00A24E10">
        <w:t xml:space="preserve">DOL </w:t>
      </w:r>
      <w:r w:rsidRPr="00F55C0C">
        <w:t xml:space="preserve">Bureau of Labor Statistics for occupational employment for </w:t>
      </w:r>
      <w:r w:rsidRPr="00CA444E">
        <w:rPr>
          <w:b/>
        </w:rPr>
        <w:t>Medical and Health Services Manager</w:t>
      </w:r>
      <w:r w:rsidRPr="00F55C0C">
        <w:t xml:space="preserve"> at state (</w:t>
      </w:r>
      <w:hyperlink r:id="rId16" w:history="1">
        <w:r w:rsidRPr="00F55C0C">
          <w:rPr>
            <w:rStyle w:val="Hyperlink"/>
          </w:rPr>
          <w:t>https://www.bls.gov/ncs/ocs/sp/nctb1480.pdf</w:t>
        </w:r>
      </w:hyperlink>
      <w:r w:rsidRPr="00F55C0C">
        <w:t>) and local (</w:t>
      </w:r>
      <w:hyperlink r:id="rId17" w:history="1">
        <w:r w:rsidRPr="00F55C0C">
          <w:rPr>
            <w:rStyle w:val="Hyperlink"/>
          </w:rPr>
          <w:t>https://www.bls.gov/ncs/ocs/sp/nctb1481.pdf</w:t>
        </w:r>
      </w:hyperlink>
      <w:r w:rsidRPr="00F55C0C">
        <w:t xml:space="preserve">) governments. Based on DOL data, a median hourly wage of </w:t>
      </w:r>
      <w:r w:rsidRPr="00F55C0C">
        <w:rPr>
          <w:b/>
        </w:rPr>
        <w:t>$51.10 (State Medical and Health Services Manager)</w:t>
      </w:r>
      <w:r w:rsidRPr="00F55C0C">
        <w:t xml:space="preserve"> is estimated </w:t>
      </w:r>
      <w:r w:rsidR="0075750A" w:rsidRPr="00F55C0C">
        <w:t>for state</w:t>
      </w:r>
      <w:r w:rsidRPr="00F55C0C">
        <w:t>-</w:t>
      </w:r>
      <w:r w:rsidR="009C1974">
        <w:t xml:space="preserve"> and territorial-</w:t>
      </w:r>
      <w:r w:rsidRPr="00F55C0C">
        <w:t xml:space="preserve">level participants; and an average hourly wage of </w:t>
      </w:r>
      <w:r w:rsidRPr="00F55C0C">
        <w:rPr>
          <w:b/>
        </w:rPr>
        <w:t>$41.90 (Local Medical and Health Services Manager)</w:t>
      </w:r>
      <w:r w:rsidRPr="00F55C0C">
        <w:t xml:space="preserve"> is estimated for</w:t>
      </w:r>
      <w:r w:rsidR="004337D3" w:rsidRPr="00F55C0C">
        <w:t xml:space="preserve"> </w:t>
      </w:r>
      <w:r w:rsidRPr="00F55C0C">
        <w:t xml:space="preserve">local-level participants. </w:t>
      </w:r>
    </w:p>
    <w:p w14:paraId="2774E087" w14:textId="2D2C3479" w:rsidR="00CF4E23" w:rsidRPr="00F23F23" w:rsidRDefault="00A77C6F" w:rsidP="00F23F23">
      <w:pPr>
        <w:tabs>
          <w:tab w:val="clear" w:pos="9360"/>
        </w:tabs>
        <w:spacing w:after="200"/>
        <w:ind w:left="0"/>
      </w:pPr>
      <w:r>
        <w:t xml:space="preserve">Table </w:t>
      </w:r>
      <w:r w:rsidR="00A24E10">
        <w:t>A-</w:t>
      </w:r>
      <w:r>
        <w:t>12</w:t>
      </w:r>
      <w:r w:rsidRPr="00F55C0C">
        <w:t xml:space="preserve"> shows estima</w:t>
      </w:r>
      <w:r>
        <w:t xml:space="preserve">ted burden and cost information. </w:t>
      </w:r>
    </w:p>
    <w:p w14:paraId="6285DD05" w14:textId="77777777" w:rsidR="00F23F23" w:rsidRDefault="00F23F23">
      <w:pPr>
        <w:tabs>
          <w:tab w:val="clear" w:pos="9360"/>
        </w:tabs>
        <w:spacing w:after="200"/>
        <w:ind w:left="0"/>
        <w:rPr>
          <w:b/>
        </w:rPr>
      </w:pPr>
      <w:r>
        <w:rPr>
          <w:b/>
        </w:rPr>
        <w:br w:type="page"/>
      </w:r>
    </w:p>
    <w:p w14:paraId="73261344" w14:textId="45121A40" w:rsidR="00D40528" w:rsidRPr="00F03F6A" w:rsidRDefault="00A77C6F" w:rsidP="00F03F6A">
      <w:pPr>
        <w:tabs>
          <w:tab w:val="clear" w:pos="9360"/>
        </w:tabs>
        <w:spacing w:after="200"/>
        <w:ind w:left="0"/>
        <w:rPr>
          <w:b/>
        </w:rPr>
      </w:pPr>
      <w:r>
        <w:rPr>
          <w:b/>
        </w:rPr>
        <w:t xml:space="preserve">Table </w:t>
      </w:r>
      <w:r w:rsidR="00E44E51">
        <w:rPr>
          <w:b/>
        </w:rPr>
        <w:t>A-</w:t>
      </w:r>
      <w:r>
        <w:rPr>
          <w:b/>
        </w:rPr>
        <w:t>12</w:t>
      </w:r>
      <w:r w:rsidR="00D40528" w:rsidRPr="00F55C0C">
        <w:rPr>
          <w:b/>
        </w:rPr>
        <w:t>:</w:t>
      </w:r>
      <w:r w:rsidR="00D40528" w:rsidRPr="00F55C0C">
        <w:t xml:space="preserve"> Estimated Annualized Burden Hours and Costs to Respondents</w:t>
      </w:r>
    </w:p>
    <w:tbl>
      <w:tblPr>
        <w:tblW w:w="51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1177"/>
        <w:gridCol w:w="1319"/>
        <w:gridCol w:w="1576"/>
        <w:gridCol w:w="1361"/>
        <w:gridCol w:w="1178"/>
        <w:gridCol w:w="908"/>
        <w:gridCol w:w="906"/>
        <w:gridCol w:w="1230"/>
      </w:tblGrid>
      <w:tr w:rsidR="008657D2" w:rsidRPr="006D4491" w14:paraId="1E22E622" w14:textId="77777777" w:rsidTr="008657D2">
        <w:trPr>
          <w:trHeight w:val="20"/>
        </w:trPr>
        <w:tc>
          <w:tcPr>
            <w:tcW w:w="6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BE0C72" w14:textId="77777777" w:rsidR="00D40528" w:rsidRPr="00F55C0C" w:rsidRDefault="00D40528" w:rsidP="00EA4B5B">
            <w:pPr>
              <w:spacing w:line="240" w:lineRule="auto"/>
              <w:ind w:left="-18"/>
              <w:jc w:val="center"/>
              <w:rPr>
                <w:rFonts w:cs="Times New Roman"/>
                <w:b/>
                <w:sz w:val="20"/>
              </w:rPr>
            </w:pPr>
            <w:r w:rsidRPr="00F55C0C">
              <w:rPr>
                <w:rFonts w:cs="Times New Roman"/>
                <w:b/>
                <w:sz w:val="20"/>
              </w:rPr>
              <w:t>Data Collection Instrument: Form Name</w:t>
            </w:r>
          </w:p>
        </w:tc>
        <w:tc>
          <w:tcPr>
            <w:tcW w:w="68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F024BE" w14:textId="77777777" w:rsidR="00D40528" w:rsidRPr="00F55C0C" w:rsidRDefault="00D40528" w:rsidP="00EA4B5B">
            <w:pPr>
              <w:spacing w:line="240" w:lineRule="auto"/>
              <w:ind w:left="-18"/>
              <w:jc w:val="center"/>
              <w:rPr>
                <w:rFonts w:cs="Times New Roman"/>
                <w:b/>
                <w:sz w:val="20"/>
              </w:rPr>
            </w:pPr>
            <w:r w:rsidRPr="00F55C0C">
              <w:rPr>
                <w:rFonts w:cs="Times New Roman"/>
                <w:b/>
                <w:sz w:val="20"/>
              </w:rPr>
              <w:t>Type of Respondent</w:t>
            </w:r>
          </w:p>
        </w:tc>
        <w:tc>
          <w:tcPr>
            <w:tcW w:w="81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BE50C1" w14:textId="77777777" w:rsidR="00D40528" w:rsidRPr="00F55C0C" w:rsidRDefault="00D40528" w:rsidP="00EA4B5B">
            <w:pPr>
              <w:spacing w:line="240" w:lineRule="auto"/>
              <w:ind w:left="-18"/>
              <w:jc w:val="center"/>
              <w:rPr>
                <w:rFonts w:cs="Times New Roman"/>
                <w:b/>
                <w:sz w:val="20"/>
              </w:rPr>
            </w:pPr>
            <w:r w:rsidRPr="00F55C0C">
              <w:rPr>
                <w:rFonts w:cs="Times New Roman"/>
                <w:b/>
                <w:sz w:val="20"/>
              </w:rPr>
              <w:t>No. of Respondents</w:t>
            </w:r>
          </w:p>
        </w:tc>
        <w:tc>
          <w:tcPr>
            <w:tcW w:w="7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2D041B" w14:textId="77777777" w:rsidR="00D40528" w:rsidRPr="00F55C0C" w:rsidRDefault="00D40528" w:rsidP="00EA4B5B">
            <w:pPr>
              <w:spacing w:line="240" w:lineRule="auto"/>
              <w:ind w:left="-18"/>
              <w:jc w:val="center"/>
              <w:rPr>
                <w:rFonts w:cs="Times New Roman"/>
                <w:b/>
                <w:sz w:val="20"/>
              </w:rPr>
            </w:pPr>
            <w:r w:rsidRPr="00F55C0C">
              <w:rPr>
                <w:rFonts w:cs="Times New Roman"/>
                <w:b/>
                <w:sz w:val="20"/>
              </w:rPr>
              <w:t>No. of Responses per Respondent</w:t>
            </w:r>
          </w:p>
        </w:tc>
        <w:tc>
          <w:tcPr>
            <w:tcW w:w="6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80373B8" w14:textId="77777777" w:rsidR="00D40528" w:rsidRPr="00F55C0C" w:rsidRDefault="00D40528" w:rsidP="00EA4B5B">
            <w:pPr>
              <w:spacing w:line="240" w:lineRule="auto"/>
              <w:ind w:left="-18"/>
              <w:jc w:val="center"/>
              <w:rPr>
                <w:rFonts w:cs="Times New Roman"/>
                <w:b/>
                <w:sz w:val="20"/>
              </w:rPr>
            </w:pPr>
            <w:r w:rsidRPr="00F55C0C">
              <w:rPr>
                <w:rFonts w:cs="Times New Roman"/>
                <w:b/>
                <w:sz w:val="20"/>
              </w:rPr>
              <w:t xml:space="preserve">Average Burden per Response </w:t>
            </w:r>
          </w:p>
          <w:p w14:paraId="677B59F8" w14:textId="77777777" w:rsidR="00D40528" w:rsidRPr="00F55C0C" w:rsidRDefault="00D40528" w:rsidP="00EA4B5B">
            <w:pPr>
              <w:spacing w:line="240" w:lineRule="auto"/>
              <w:ind w:left="-18"/>
              <w:jc w:val="center"/>
              <w:rPr>
                <w:rFonts w:cs="Times New Roman"/>
                <w:b/>
                <w:sz w:val="20"/>
              </w:rPr>
            </w:pPr>
            <w:r w:rsidRPr="00F55C0C">
              <w:rPr>
                <w:rFonts w:cs="Times New Roman"/>
                <w:b/>
                <w:sz w:val="20"/>
              </w:rPr>
              <w:t>(in hours)</w:t>
            </w:r>
          </w:p>
        </w:tc>
        <w:tc>
          <w:tcPr>
            <w:tcW w:w="47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37702A" w14:textId="77777777" w:rsidR="00D40528" w:rsidRPr="00F55C0C" w:rsidRDefault="00D40528" w:rsidP="00EA4B5B">
            <w:pPr>
              <w:spacing w:line="240" w:lineRule="auto"/>
              <w:ind w:left="-18"/>
              <w:jc w:val="center"/>
              <w:rPr>
                <w:rFonts w:cs="Times New Roman"/>
                <w:b/>
                <w:sz w:val="20"/>
              </w:rPr>
            </w:pPr>
            <w:r w:rsidRPr="00F55C0C">
              <w:rPr>
                <w:rFonts w:cs="Times New Roman"/>
                <w:b/>
                <w:sz w:val="20"/>
              </w:rPr>
              <w:t>Total Burden Hours</w:t>
            </w:r>
          </w:p>
        </w:tc>
        <w:tc>
          <w:tcPr>
            <w:tcW w:w="4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D6B268" w14:textId="77777777" w:rsidR="00D40528" w:rsidRPr="00F55C0C" w:rsidRDefault="00D40528" w:rsidP="00EA4B5B">
            <w:pPr>
              <w:spacing w:line="240" w:lineRule="auto"/>
              <w:ind w:left="-18"/>
              <w:jc w:val="center"/>
              <w:rPr>
                <w:rFonts w:cs="Times New Roman"/>
                <w:b/>
                <w:sz w:val="20"/>
              </w:rPr>
            </w:pPr>
            <w:r w:rsidRPr="00F55C0C">
              <w:rPr>
                <w:rFonts w:cs="Times New Roman"/>
                <w:b/>
                <w:sz w:val="20"/>
              </w:rPr>
              <w:t>Hourly Wage Rate</w:t>
            </w:r>
          </w:p>
        </w:tc>
        <w:tc>
          <w:tcPr>
            <w:tcW w:w="63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870DA1" w14:textId="77777777" w:rsidR="00D40528" w:rsidRPr="00F55C0C" w:rsidRDefault="00D40528" w:rsidP="00EA4B5B">
            <w:pPr>
              <w:spacing w:line="240" w:lineRule="auto"/>
              <w:ind w:left="-18"/>
              <w:jc w:val="center"/>
              <w:rPr>
                <w:rFonts w:cs="Times New Roman"/>
                <w:b/>
                <w:sz w:val="20"/>
              </w:rPr>
            </w:pPr>
            <w:r w:rsidRPr="00F55C0C">
              <w:rPr>
                <w:rFonts w:cs="Times New Roman"/>
                <w:b/>
                <w:sz w:val="20"/>
              </w:rPr>
              <w:t>Total Respondent Costs</w:t>
            </w:r>
          </w:p>
        </w:tc>
      </w:tr>
      <w:tr w:rsidR="008657D2" w:rsidRPr="006D4491" w14:paraId="24D11B02" w14:textId="77777777" w:rsidTr="008657D2">
        <w:trPr>
          <w:trHeight w:val="20"/>
        </w:trPr>
        <w:tc>
          <w:tcPr>
            <w:tcW w:w="610" w:type="pct"/>
            <w:tcBorders>
              <w:top w:val="single" w:sz="4" w:space="0" w:color="auto"/>
              <w:left w:val="single" w:sz="4" w:space="0" w:color="auto"/>
              <w:bottom w:val="single" w:sz="4" w:space="0" w:color="auto"/>
              <w:right w:val="single" w:sz="4" w:space="0" w:color="auto"/>
            </w:tcBorders>
            <w:vAlign w:val="center"/>
            <w:hideMark/>
          </w:tcPr>
          <w:p w14:paraId="3BE35794" w14:textId="77777777" w:rsidR="00D40528" w:rsidRPr="00F55C0C" w:rsidRDefault="00D40528" w:rsidP="00EA4B5B">
            <w:pPr>
              <w:spacing w:line="240" w:lineRule="auto"/>
              <w:ind w:left="24"/>
              <w:jc w:val="center"/>
              <w:rPr>
                <w:rFonts w:cs="Times New Roman"/>
                <w:sz w:val="20"/>
              </w:rPr>
            </w:pPr>
            <w:r w:rsidRPr="00F55C0C">
              <w:rPr>
                <w:rFonts w:cs="Times New Roman"/>
                <w:sz w:val="20"/>
              </w:rPr>
              <w:t>Web-based</w:t>
            </w:r>
          </w:p>
          <w:p w14:paraId="1BA3AF92" w14:textId="77777777" w:rsidR="00D40528" w:rsidRPr="00F55C0C" w:rsidRDefault="00D40528" w:rsidP="00EA4B5B">
            <w:pPr>
              <w:spacing w:line="240" w:lineRule="auto"/>
              <w:ind w:left="24"/>
              <w:jc w:val="center"/>
              <w:rPr>
                <w:rFonts w:cs="Times New Roman"/>
                <w:sz w:val="20"/>
              </w:rPr>
            </w:pPr>
            <w:r w:rsidRPr="00F55C0C">
              <w:rPr>
                <w:rFonts w:cs="Times New Roman"/>
                <w:sz w:val="20"/>
              </w:rPr>
              <w:t>Assessment</w:t>
            </w:r>
          </w:p>
        </w:tc>
        <w:tc>
          <w:tcPr>
            <w:tcW w:w="683" w:type="pct"/>
            <w:tcBorders>
              <w:top w:val="single" w:sz="4" w:space="0" w:color="auto"/>
              <w:left w:val="single" w:sz="4" w:space="0" w:color="auto"/>
              <w:bottom w:val="single" w:sz="4" w:space="0" w:color="auto"/>
              <w:right w:val="single" w:sz="4" w:space="0" w:color="auto"/>
            </w:tcBorders>
            <w:vAlign w:val="center"/>
            <w:hideMark/>
          </w:tcPr>
          <w:p w14:paraId="71932F9B" w14:textId="0613AD7C" w:rsidR="00D40528" w:rsidRPr="00F55C0C" w:rsidRDefault="00D40528" w:rsidP="00390888">
            <w:pPr>
              <w:spacing w:line="240" w:lineRule="auto"/>
              <w:ind w:left="24"/>
              <w:jc w:val="center"/>
              <w:rPr>
                <w:rFonts w:cs="Times New Roman"/>
                <w:sz w:val="20"/>
              </w:rPr>
            </w:pPr>
            <w:r w:rsidRPr="00F55C0C">
              <w:rPr>
                <w:sz w:val="20"/>
                <w:szCs w:val="20"/>
              </w:rPr>
              <w:t>Directors of Public Health Preparedness across state</w:t>
            </w:r>
            <w:r w:rsidR="00966044">
              <w:rPr>
                <w:sz w:val="20"/>
                <w:szCs w:val="20"/>
              </w:rPr>
              <w:t>/territorial</w:t>
            </w:r>
            <w:r w:rsidRPr="00F55C0C">
              <w:rPr>
                <w:sz w:val="20"/>
                <w:szCs w:val="20"/>
              </w:rPr>
              <w:t xml:space="preserve"> health departments</w:t>
            </w:r>
          </w:p>
        </w:tc>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7BEE77" w14:textId="77777777" w:rsidR="00D40528" w:rsidRDefault="008657D2" w:rsidP="00EA4B5B">
            <w:pPr>
              <w:spacing w:line="240" w:lineRule="auto"/>
              <w:ind w:left="24"/>
              <w:jc w:val="center"/>
              <w:rPr>
                <w:rFonts w:cs="Times New Roman"/>
                <w:sz w:val="20"/>
              </w:rPr>
            </w:pPr>
            <w:r>
              <w:rPr>
                <w:rFonts w:cs="Times New Roman"/>
                <w:sz w:val="20"/>
              </w:rPr>
              <w:t>58</w:t>
            </w:r>
          </w:p>
          <w:p w14:paraId="369636A9" w14:textId="6FCD8855" w:rsidR="008657D2" w:rsidRPr="00F55C0C" w:rsidRDefault="008657D2" w:rsidP="00EA4B5B">
            <w:pPr>
              <w:spacing w:line="240" w:lineRule="auto"/>
              <w:ind w:left="24"/>
              <w:jc w:val="center"/>
              <w:rPr>
                <w:rFonts w:cs="Times New Roman"/>
                <w:sz w:val="20"/>
              </w:rPr>
            </w:pPr>
            <w:r>
              <w:rPr>
                <w:rFonts w:cs="Times New Roman"/>
                <w:sz w:val="20"/>
              </w:rPr>
              <w:t>(50 PHEP states and 8 territories)</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BBB3B5" w14:textId="77777777" w:rsidR="00D40528" w:rsidRPr="00F55C0C" w:rsidRDefault="00D40528" w:rsidP="00EA4B5B">
            <w:pPr>
              <w:spacing w:line="240" w:lineRule="auto"/>
              <w:ind w:left="24"/>
              <w:jc w:val="center"/>
              <w:rPr>
                <w:rFonts w:cs="Times New Roman"/>
                <w:sz w:val="20"/>
              </w:rPr>
            </w:pPr>
            <w:r w:rsidRPr="00F55C0C">
              <w:rPr>
                <w:rFonts w:cs="Times New Roman"/>
                <w:sz w:val="20"/>
              </w:rPr>
              <w:t>1</w:t>
            </w:r>
          </w:p>
        </w:tc>
        <w:tc>
          <w:tcPr>
            <w:tcW w:w="6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E9F714" w14:textId="77777777" w:rsidR="00D40528" w:rsidRPr="00F55C0C" w:rsidRDefault="00D40528" w:rsidP="00EA4B5B">
            <w:pPr>
              <w:spacing w:line="240" w:lineRule="auto"/>
              <w:ind w:left="24"/>
              <w:jc w:val="center"/>
              <w:rPr>
                <w:rFonts w:cs="Times New Roman"/>
                <w:sz w:val="20"/>
              </w:rPr>
            </w:pPr>
            <w:r w:rsidRPr="00F55C0C">
              <w:rPr>
                <w:rFonts w:cs="Times New Roman"/>
                <w:sz w:val="20"/>
              </w:rPr>
              <w:t>20/60</w:t>
            </w:r>
          </w:p>
        </w:tc>
        <w:tc>
          <w:tcPr>
            <w:tcW w:w="4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B88950" w14:textId="2C224A2D" w:rsidR="00D40528" w:rsidRPr="00F55C0C" w:rsidRDefault="008657D2" w:rsidP="00EA4B5B">
            <w:pPr>
              <w:spacing w:line="240" w:lineRule="auto"/>
              <w:ind w:left="24"/>
              <w:jc w:val="center"/>
              <w:rPr>
                <w:rFonts w:cs="Times New Roman"/>
                <w:sz w:val="20"/>
              </w:rPr>
            </w:pPr>
            <w:r>
              <w:rPr>
                <w:rFonts w:cs="Times New Roman"/>
                <w:sz w:val="20"/>
              </w:rPr>
              <w:t>19</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78B41A" w14:textId="77777777" w:rsidR="00D40528" w:rsidRPr="00F55C0C" w:rsidRDefault="00D40528" w:rsidP="00EA4B5B">
            <w:pPr>
              <w:spacing w:line="240" w:lineRule="auto"/>
              <w:ind w:left="24"/>
              <w:jc w:val="center"/>
              <w:rPr>
                <w:rFonts w:cs="Times New Roman"/>
                <w:sz w:val="20"/>
              </w:rPr>
            </w:pPr>
            <w:r w:rsidRPr="00F55C0C">
              <w:rPr>
                <w:rFonts w:cs="Times New Roman"/>
                <w:sz w:val="20"/>
              </w:rPr>
              <w:t>$51.10</w:t>
            </w:r>
          </w:p>
        </w:tc>
        <w:tc>
          <w:tcPr>
            <w:tcW w:w="6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A234D1" w14:textId="1E5ADF6D" w:rsidR="00D40528" w:rsidRPr="00F55C0C" w:rsidRDefault="00D40528" w:rsidP="008657D2">
            <w:pPr>
              <w:spacing w:line="240" w:lineRule="auto"/>
              <w:ind w:left="24"/>
              <w:jc w:val="center"/>
              <w:rPr>
                <w:rFonts w:cs="Times New Roman"/>
                <w:sz w:val="20"/>
              </w:rPr>
            </w:pPr>
            <w:r w:rsidRPr="00F55C0C">
              <w:rPr>
                <w:rFonts w:cs="Times New Roman"/>
                <w:sz w:val="20"/>
              </w:rPr>
              <w:t>$</w:t>
            </w:r>
            <w:r w:rsidR="008657D2">
              <w:rPr>
                <w:rFonts w:cs="Times New Roman"/>
                <w:sz w:val="20"/>
              </w:rPr>
              <w:t>971</w:t>
            </w:r>
          </w:p>
        </w:tc>
      </w:tr>
      <w:tr w:rsidR="008657D2" w:rsidRPr="006D4491" w14:paraId="034C98FF" w14:textId="77777777" w:rsidTr="008657D2">
        <w:trPr>
          <w:trHeight w:val="20"/>
        </w:trPr>
        <w:tc>
          <w:tcPr>
            <w:tcW w:w="610" w:type="pct"/>
            <w:tcBorders>
              <w:top w:val="single" w:sz="4" w:space="0" w:color="auto"/>
              <w:left w:val="single" w:sz="4" w:space="0" w:color="auto"/>
              <w:bottom w:val="single" w:sz="4" w:space="0" w:color="auto"/>
              <w:right w:val="single" w:sz="4" w:space="0" w:color="auto"/>
            </w:tcBorders>
            <w:vAlign w:val="center"/>
            <w:hideMark/>
          </w:tcPr>
          <w:p w14:paraId="0505D08E" w14:textId="77777777" w:rsidR="00D40528" w:rsidRPr="00F55C0C" w:rsidRDefault="00D40528" w:rsidP="00EA4B5B">
            <w:pPr>
              <w:spacing w:line="240" w:lineRule="auto"/>
              <w:ind w:left="24"/>
              <w:jc w:val="center"/>
              <w:rPr>
                <w:rFonts w:cs="Times New Roman"/>
                <w:sz w:val="20"/>
              </w:rPr>
            </w:pPr>
            <w:r w:rsidRPr="00F55C0C">
              <w:rPr>
                <w:rFonts w:cs="Times New Roman"/>
                <w:sz w:val="20"/>
              </w:rPr>
              <w:t>Web-Based</w:t>
            </w:r>
          </w:p>
          <w:p w14:paraId="4B1E8D3C" w14:textId="77777777" w:rsidR="00D40528" w:rsidRPr="00F55C0C" w:rsidRDefault="00D40528" w:rsidP="00EA4B5B">
            <w:pPr>
              <w:spacing w:line="240" w:lineRule="auto"/>
              <w:ind w:left="24"/>
              <w:jc w:val="center"/>
              <w:rPr>
                <w:rFonts w:cs="Times New Roman"/>
                <w:sz w:val="20"/>
              </w:rPr>
            </w:pPr>
            <w:r w:rsidRPr="00F55C0C">
              <w:rPr>
                <w:rFonts w:cs="Times New Roman"/>
                <w:sz w:val="20"/>
              </w:rPr>
              <w:t>Assessment</w:t>
            </w:r>
          </w:p>
        </w:tc>
        <w:tc>
          <w:tcPr>
            <w:tcW w:w="683" w:type="pct"/>
            <w:tcBorders>
              <w:top w:val="single" w:sz="4" w:space="0" w:color="auto"/>
              <w:left w:val="single" w:sz="4" w:space="0" w:color="auto"/>
              <w:bottom w:val="single" w:sz="4" w:space="0" w:color="auto"/>
              <w:right w:val="single" w:sz="4" w:space="0" w:color="auto"/>
            </w:tcBorders>
            <w:vAlign w:val="center"/>
            <w:hideMark/>
          </w:tcPr>
          <w:p w14:paraId="6E1D12BB" w14:textId="3C625104" w:rsidR="00D40528" w:rsidRPr="00F55C0C" w:rsidRDefault="00D40528" w:rsidP="00390888">
            <w:pPr>
              <w:spacing w:line="240" w:lineRule="auto"/>
              <w:ind w:left="24"/>
              <w:jc w:val="center"/>
              <w:rPr>
                <w:rFonts w:cs="Times New Roman"/>
                <w:sz w:val="20"/>
              </w:rPr>
            </w:pPr>
            <w:r w:rsidRPr="00F55C0C">
              <w:rPr>
                <w:sz w:val="20"/>
                <w:szCs w:val="20"/>
              </w:rPr>
              <w:t>Directors of Public Health Preparedness across local health departments</w:t>
            </w:r>
          </w:p>
        </w:tc>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C20B92" w14:textId="77777777" w:rsidR="00D40528" w:rsidRDefault="00390888" w:rsidP="00EA4B5B">
            <w:pPr>
              <w:spacing w:line="240" w:lineRule="auto"/>
              <w:ind w:left="24"/>
              <w:jc w:val="center"/>
              <w:rPr>
                <w:rFonts w:cs="Times New Roman"/>
                <w:sz w:val="20"/>
              </w:rPr>
            </w:pPr>
            <w:r>
              <w:rPr>
                <w:rFonts w:cs="Times New Roman"/>
                <w:sz w:val="20"/>
              </w:rPr>
              <w:t>6</w:t>
            </w:r>
            <w:r w:rsidR="008657D2">
              <w:rPr>
                <w:rFonts w:cs="Times New Roman"/>
                <w:sz w:val="20"/>
              </w:rPr>
              <w:t>72</w:t>
            </w:r>
          </w:p>
          <w:p w14:paraId="6C648B43" w14:textId="0B2D9834" w:rsidR="008657D2" w:rsidRPr="00F55C0C" w:rsidRDefault="008657D2" w:rsidP="005630B3">
            <w:pPr>
              <w:spacing w:line="240" w:lineRule="auto"/>
              <w:ind w:left="24"/>
              <w:jc w:val="center"/>
              <w:rPr>
                <w:rFonts w:cs="Times New Roman"/>
                <w:sz w:val="20"/>
              </w:rPr>
            </w:pPr>
            <w:r>
              <w:rPr>
                <w:rFonts w:cs="Times New Roman"/>
                <w:sz w:val="20"/>
              </w:rPr>
              <w:t xml:space="preserve">(4 PHEP metropolitan and 668 local health departments) </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3F88CA" w14:textId="77777777" w:rsidR="00D40528" w:rsidRPr="00F55C0C" w:rsidRDefault="00D40528" w:rsidP="00EA4B5B">
            <w:pPr>
              <w:spacing w:line="240" w:lineRule="auto"/>
              <w:ind w:left="24"/>
              <w:jc w:val="center"/>
              <w:rPr>
                <w:rFonts w:cs="Times New Roman"/>
                <w:sz w:val="20"/>
              </w:rPr>
            </w:pPr>
            <w:r w:rsidRPr="00F55C0C">
              <w:rPr>
                <w:rFonts w:cs="Times New Roman"/>
                <w:sz w:val="20"/>
              </w:rPr>
              <w:t>1</w:t>
            </w:r>
          </w:p>
        </w:tc>
        <w:tc>
          <w:tcPr>
            <w:tcW w:w="6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6FAC89" w14:textId="77777777" w:rsidR="00D40528" w:rsidRPr="00F55C0C" w:rsidRDefault="00D40528" w:rsidP="00EA4B5B">
            <w:pPr>
              <w:spacing w:line="240" w:lineRule="auto"/>
              <w:ind w:left="24"/>
              <w:jc w:val="center"/>
              <w:rPr>
                <w:rFonts w:cs="Times New Roman"/>
                <w:sz w:val="20"/>
              </w:rPr>
            </w:pPr>
            <w:r w:rsidRPr="00F55C0C">
              <w:rPr>
                <w:rFonts w:cs="Times New Roman"/>
                <w:sz w:val="20"/>
              </w:rPr>
              <w:t>20/60</w:t>
            </w:r>
          </w:p>
        </w:tc>
        <w:tc>
          <w:tcPr>
            <w:tcW w:w="4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3AE6FA" w14:textId="286C339F" w:rsidR="00D40528" w:rsidRPr="00F55C0C" w:rsidRDefault="008657D2" w:rsidP="008657D2">
            <w:pPr>
              <w:spacing w:line="240" w:lineRule="auto"/>
              <w:ind w:left="24"/>
              <w:jc w:val="center"/>
              <w:rPr>
                <w:rFonts w:cs="Times New Roman"/>
                <w:sz w:val="20"/>
              </w:rPr>
            </w:pPr>
            <w:r>
              <w:rPr>
                <w:rFonts w:cs="Times New Roman"/>
                <w:sz w:val="20"/>
              </w:rPr>
              <w:t>224</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BBCB2E" w14:textId="77777777" w:rsidR="00D40528" w:rsidRPr="00F55C0C" w:rsidRDefault="00D40528" w:rsidP="00EA4B5B">
            <w:pPr>
              <w:spacing w:line="240" w:lineRule="auto"/>
              <w:ind w:left="24"/>
              <w:jc w:val="center"/>
              <w:rPr>
                <w:rFonts w:cs="Times New Roman"/>
                <w:sz w:val="20"/>
              </w:rPr>
            </w:pPr>
            <w:r w:rsidRPr="00F55C0C">
              <w:rPr>
                <w:rFonts w:cs="Times New Roman"/>
                <w:sz w:val="20"/>
              </w:rPr>
              <w:t>$41.90</w:t>
            </w:r>
          </w:p>
        </w:tc>
        <w:tc>
          <w:tcPr>
            <w:tcW w:w="6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6E6CB2" w14:textId="4ED8C7BD" w:rsidR="00D40528" w:rsidRPr="00F55C0C" w:rsidRDefault="00D40528" w:rsidP="008657D2">
            <w:pPr>
              <w:spacing w:line="240" w:lineRule="auto"/>
              <w:ind w:left="24"/>
              <w:jc w:val="center"/>
              <w:rPr>
                <w:rFonts w:cs="Times New Roman"/>
                <w:sz w:val="20"/>
              </w:rPr>
            </w:pPr>
            <w:r w:rsidRPr="00F55C0C">
              <w:rPr>
                <w:rFonts w:cs="Times New Roman"/>
                <w:sz w:val="20"/>
              </w:rPr>
              <w:t>$</w:t>
            </w:r>
            <w:r w:rsidR="00390888">
              <w:rPr>
                <w:rFonts w:cs="Times New Roman"/>
                <w:sz w:val="20"/>
              </w:rPr>
              <w:t>9,</w:t>
            </w:r>
            <w:r w:rsidR="008657D2">
              <w:rPr>
                <w:rFonts w:cs="Times New Roman"/>
                <w:sz w:val="20"/>
              </w:rPr>
              <w:t>386</w:t>
            </w:r>
          </w:p>
        </w:tc>
      </w:tr>
      <w:tr w:rsidR="008657D2" w:rsidRPr="006D4491" w14:paraId="4F96E365" w14:textId="77777777" w:rsidTr="008657D2">
        <w:tblPrEx>
          <w:jc w:val="center"/>
        </w:tblPrEx>
        <w:trPr>
          <w:trHeight w:val="20"/>
          <w:jc w:val="center"/>
        </w:trPr>
        <w:tc>
          <w:tcPr>
            <w:tcW w:w="610" w:type="pct"/>
            <w:tcBorders>
              <w:top w:val="single" w:sz="4" w:space="0" w:color="auto"/>
              <w:left w:val="single" w:sz="4" w:space="0" w:color="auto"/>
              <w:bottom w:val="single" w:sz="4" w:space="0" w:color="auto"/>
              <w:right w:val="single" w:sz="4" w:space="0" w:color="auto"/>
            </w:tcBorders>
            <w:vAlign w:val="center"/>
            <w:hideMark/>
          </w:tcPr>
          <w:p w14:paraId="212CCD65" w14:textId="77777777" w:rsidR="00D40528" w:rsidRPr="00F55C0C" w:rsidRDefault="00D40528" w:rsidP="00EA4B5B">
            <w:pPr>
              <w:spacing w:line="240" w:lineRule="auto"/>
              <w:ind w:left="24"/>
              <w:jc w:val="center"/>
              <w:rPr>
                <w:rFonts w:cs="Times New Roman"/>
                <w:sz w:val="20"/>
              </w:rPr>
            </w:pPr>
            <w:r w:rsidRPr="00F55C0C">
              <w:rPr>
                <w:rFonts w:cs="Times New Roman"/>
                <w:sz w:val="20"/>
              </w:rPr>
              <w:t>Focus Group</w:t>
            </w:r>
          </w:p>
        </w:tc>
        <w:tc>
          <w:tcPr>
            <w:tcW w:w="683" w:type="pct"/>
            <w:tcBorders>
              <w:top w:val="single" w:sz="4" w:space="0" w:color="auto"/>
              <w:left w:val="single" w:sz="4" w:space="0" w:color="auto"/>
              <w:bottom w:val="single" w:sz="4" w:space="0" w:color="auto"/>
              <w:right w:val="single" w:sz="4" w:space="0" w:color="auto"/>
            </w:tcBorders>
            <w:vAlign w:val="center"/>
            <w:hideMark/>
          </w:tcPr>
          <w:p w14:paraId="4ED04EB8" w14:textId="51082D11" w:rsidR="00D40528" w:rsidRPr="00F55C0C" w:rsidRDefault="00D40528" w:rsidP="00390888">
            <w:pPr>
              <w:spacing w:line="240" w:lineRule="auto"/>
              <w:ind w:left="24"/>
              <w:jc w:val="center"/>
              <w:rPr>
                <w:rFonts w:cs="Times New Roman"/>
                <w:sz w:val="20"/>
              </w:rPr>
            </w:pPr>
            <w:r w:rsidRPr="00F55C0C">
              <w:rPr>
                <w:sz w:val="20"/>
                <w:szCs w:val="20"/>
              </w:rPr>
              <w:t>Directors of Public Health Preparedness across state health departments</w:t>
            </w:r>
          </w:p>
        </w:tc>
        <w:tc>
          <w:tcPr>
            <w:tcW w:w="816" w:type="pct"/>
            <w:tcBorders>
              <w:top w:val="single" w:sz="4" w:space="0" w:color="auto"/>
              <w:left w:val="single" w:sz="4" w:space="0" w:color="auto"/>
              <w:bottom w:val="single" w:sz="4" w:space="0" w:color="auto"/>
              <w:right w:val="single" w:sz="4" w:space="0" w:color="auto"/>
            </w:tcBorders>
            <w:vAlign w:val="center"/>
            <w:hideMark/>
          </w:tcPr>
          <w:p w14:paraId="2868B712" w14:textId="2536915C" w:rsidR="00D40528" w:rsidRPr="00F55C0C" w:rsidRDefault="00B1065C" w:rsidP="00EA4B5B">
            <w:pPr>
              <w:spacing w:line="240" w:lineRule="auto"/>
              <w:ind w:left="24"/>
              <w:jc w:val="center"/>
              <w:rPr>
                <w:rFonts w:cs="Times New Roman"/>
                <w:sz w:val="20"/>
              </w:rPr>
            </w:pPr>
            <w:r>
              <w:rPr>
                <w:rFonts w:cs="Times New Roman"/>
                <w:sz w:val="20"/>
              </w:rPr>
              <w:t xml:space="preserve">16 </w:t>
            </w:r>
            <w:r w:rsidR="00C91914">
              <w:rPr>
                <w:rFonts w:cs="Times New Roman"/>
                <w:sz w:val="20"/>
              </w:rPr>
              <w:t>(separate from web-based assessment respondents)</w:t>
            </w:r>
          </w:p>
        </w:tc>
        <w:tc>
          <w:tcPr>
            <w:tcW w:w="705" w:type="pct"/>
            <w:tcBorders>
              <w:top w:val="single" w:sz="4" w:space="0" w:color="auto"/>
              <w:left w:val="single" w:sz="4" w:space="0" w:color="auto"/>
              <w:bottom w:val="single" w:sz="4" w:space="0" w:color="auto"/>
              <w:right w:val="single" w:sz="4" w:space="0" w:color="auto"/>
            </w:tcBorders>
            <w:vAlign w:val="center"/>
            <w:hideMark/>
          </w:tcPr>
          <w:p w14:paraId="5443F94A" w14:textId="77777777" w:rsidR="00D40528" w:rsidRPr="00F55C0C" w:rsidRDefault="00D40528" w:rsidP="00EA4B5B">
            <w:pPr>
              <w:spacing w:line="240" w:lineRule="auto"/>
              <w:ind w:left="24"/>
              <w:jc w:val="center"/>
              <w:rPr>
                <w:rFonts w:cs="Times New Roman"/>
                <w:sz w:val="20"/>
              </w:rPr>
            </w:pPr>
            <w:r w:rsidRPr="00F55C0C">
              <w:rPr>
                <w:rFonts w:cs="Times New Roman"/>
                <w:sz w:val="20"/>
              </w:rPr>
              <w:t>1</w:t>
            </w:r>
          </w:p>
        </w:tc>
        <w:tc>
          <w:tcPr>
            <w:tcW w:w="610" w:type="pct"/>
            <w:tcBorders>
              <w:top w:val="single" w:sz="4" w:space="0" w:color="auto"/>
              <w:left w:val="single" w:sz="4" w:space="0" w:color="auto"/>
              <w:bottom w:val="single" w:sz="4" w:space="0" w:color="auto"/>
              <w:right w:val="single" w:sz="4" w:space="0" w:color="auto"/>
            </w:tcBorders>
            <w:vAlign w:val="center"/>
            <w:hideMark/>
          </w:tcPr>
          <w:p w14:paraId="4EBF7E39" w14:textId="1C29F79B" w:rsidR="00D40528" w:rsidRPr="00F55C0C" w:rsidRDefault="009275CE" w:rsidP="00EA4B5B">
            <w:pPr>
              <w:spacing w:line="240" w:lineRule="auto"/>
              <w:ind w:left="24"/>
              <w:jc w:val="center"/>
              <w:rPr>
                <w:rFonts w:cs="Times New Roman"/>
                <w:sz w:val="20"/>
              </w:rPr>
            </w:pPr>
            <w:r>
              <w:rPr>
                <w:rFonts w:cs="Times New Roman"/>
                <w:sz w:val="20"/>
              </w:rPr>
              <w:t>75/60</w:t>
            </w:r>
          </w:p>
        </w:tc>
        <w:tc>
          <w:tcPr>
            <w:tcW w:w="470" w:type="pct"/>
            <w:tcBorders>
              <w:top w:val="single" w:sz="4" w:space="0" w:color="auto"/>
              <w:left w:val="single" w:sz="4" w:space="0" w:color="auto"/>
              <w:bottom w:val="single" w:sz="4" w:space="0" w:color="auto"/>
              <w:right w:val="single" w:sz="4" w:space="0" w:color="auto"/>
            </w:tcBorders>
            <w:vAlign w:val="center"/>
            <w:hideMark/>
          </w:tcPr>
          <w:p w14:paraId="235A3197" w14:textId="7210C0ED" w:rsidR="00D40528" w:rsidRPr="00F55C0C" w:rsidRDefault="00B1065C" w:rsidP="00EA4B5B">
            <w:pPr>
              <w:spacing w:line="240" w:lineRule="auto"/>
              <w:ind w:left="24"/>
              <w:jc w:val="center"/>
              <w:rPr>
                <w:rFonts w:cs="Times New Roman"/>
                <w:sz w:val="20"/>
              </w:rPr>
            </w:pPr>
            <w:r>
              <w:rPr>
                <w:rFonts w:cs="Times New Roman"/>
                <w:sz w:val="20"/>
              </w:rPr>
              <w:t>20</w:t>
            </w:r>
          </w:p>
        </w:tc>
        <w:tc>
          <w:tcPr>
            <w:tcW w:w="469" w:type="pct"/>
            <w:tcBorders>
              <w:top w:val="single" w:sz="4" w:space="0" w:color="auto"/>
              <w:left w:val="single" w:sz="4" w:space="0" w:color="auto"/>
              <w:bottom w:val="single" w:sz="4" w:space="0" w:color="auto"/>
              <w:right w:val="single" w:sz="4" w:space="0" w:color="auto"/>
            </w:tcBorders>
            <w:vAlign w:val="center"/>
            <w:hideMark/>
          </w:tcPr>
          <w:p w14:paraId="562D4260" w14:textId="77777777" w:rsidR="00D40528" w:rsidRPr="00F55C0C" w:rsidRDefault="00D40528" w:rsidP="00EA4B5B">
            <w:pPr>
              <w:spacing w:line="240" w:lineRule="auto"/>
              <w:ind w:left="24"/>
              <w:jc w:val="center"/>
              <w:rPr>
                <w:rFonts w:cs="Times New Roman"/>
                <w:sz w:val="20"/>
              </w:rPr>
            </w:pPr>
            <w:r w:rsidRPr="00F55C0C">
              <w:rPr>
                <w:rFonts w:cs="Times New Roman"/>
                <w:sz w:val="20"/>
              </w:rPr>
              <w:t>$51.10</w:t>
            </w:r>
          </w:p>
        </w:tc>
        <w:tc>
          <w:tcPr>
            <w:tcW w:w="637" w:type="pct"/>
            <w:tcBorders>
              <w:top w:val="single" w:sz="4" w:space="0" w:color="auto"/>
              <w:left w:val="single" w:sz="4" w:space="0" w:color="auto"/>
              <w:bottom w:val="single" w:sz="4" w:space="0" w:color="auto"/>
              <w:right w:val="single" w:sz="4" w:space="0" w:color="auto"/>
            </w:tcBorders>
            <w:vAlign w:val="center"/>
            <w:hideMark/>
          </w:tcPr>
          <w:p w14:paraId="21583285" w14:textId="326E47C1" w:rsidR="00D40528" w:rsidRPr="00F55C0C" w:rsidRDefault="00D40528" w:rsidP="00B1065C">
            <w:pPr>
              <w:spacing w:line="240" w:lineRule="auto"/>
              <w:ind w:left="24"/>
              <w:jc w:val="center"/>
              <w:rPr>
                <w:rFonts w:cs="Times New Roman"/>
                <w:sz w:val="20"/>
              </w:rPr>
            </w:pPr>
            <w:r w:rsidRPr="00F55C0C">
              <w:rPr>
                <w:rFonts w:cs="Times New Roman"/>
                <w:sz w:val="20"/>
              </w:rPr>
              <w:t>$</w:t>
            </w:r>
            <w:r w:rsidR="00B1065C">
              <w:rPr>
                <w:rFonts w:cs="Times New Roman"/>
                <w:sz w:val="20"/>
              </w:rPr>
              <w:t>1,022</w:t>
            </w:r>
          </w:p>
        </w:tc>
      </w:tr>
      <w:tr w:rsidR="008657D2" w:rsidRPr="006D4491" w14:paraId="002DF88E" w14:textId="77777777" w:rsidTr="008657D2">
        <w:tblPrEx>
          <w:jc w:val="center"/>
        </w:tblPrEx>
        <w:trPr>
          <w:trHeight w:val="20"/>
          <w:jc w:val="center"/>
        </w:trPr>
        <w:tc>
          <w:tcPr>
            <w:tcW w:w="610" w:type="pct"/>
            <w:tcBorders>
              <w:top w:val="single" w:sz="4" w:space="0" w:color="auto"/>
              <w:left w:val="single" w:sz="4" w:space="0" w:color="auto"/>
              <w:bottom w:val="single" w:sz="4" w:space="0" w:color="auto"/>
              <w:right w:val="single" w:sz="4" w:space="0" w:color="auto"/>
            </w:tcBorders>
            <w:vAlign w:val="center"/>
            <w:hideMark/>
          </w:tcPr>
          <w:p w14:paraId="6A9E73AE" w14:textId="77777777" w:rsidR="00D40528" w:rsidRPr="00F55C0C" w:rsidRDefault="00D40528" w:rsidP="00EA4B5B">
            <w:pPr>
              <w:spacing w:line="240" w:lineRule="auto"/>
              <w:ind w:left="24"/>
              <w:jc w:val="center"/>
              <w:rPr>
                <w:rFonts w:cs="Times New Roman"/>
                <w:sz w:val="20"/>
              </w:rPr>
            </w:pPr>
            <w:r w:rsidRPr="00F55C0C">
              <w:rPr>
                <w:rFonts w:cs="Times New Roman"/>
                <w:sz w:val="20"/>
              </w:rPr>
              <w:t>Focus Group</w:t>
            </w:r>
          </w:p>
        </w:tc>
        <w:tc>
          <w:tcPr>
            <w:tcW w:w="683" w:type="pct"/>
            <w:tcBorders>
              <w:top w:val="single" w:sz="4" w:space="0" w:color="auto"/>
              <w:left w:val="single" w:sz="4" w:space="0" w:color="auto"/>
              <w:bottom w:val="single" w:sz="4" w:space="0" w:color="auto"/>
              <w:right w:val="single" w:sz="4" w:space="0" w:color="auto"/>
            </w:tcBorders>
            <w:vAlign w:val="center"/>
            <w:hideMark/>
          </w:tcPr>
          <w:p w14:paraId="5BC8B9D1" w14:textId="2F2B3EE2" w:rsidR="00D40528" w:rsidRPr="00F55C0C" w:rsidRDefault="00D40528" w:rsidP="00390888">
            <w:pPr>
              <w:spacing w:line="240" w:lineRule="auto"/>
              <w:ind w:left="24"/>
              <w:jc w:val="center"/>
              <w:rPr>
                <w:rFonts w:cs="Times New Roman"/>
                <w:sz w:val="20"/>
              </w:rPr>
            </w:pPr>
            <w:r w:rsidRPr="00F55C0C">
              <w:rPr>
                <w:sz w:val="20"/>
                <w:szCs w:val="20"/>
              </w:rPr>
              <w:t>Directors of Public Health Preparedness across local health departments</w:t>
            </w:r>
          </w:p>
        </w:tc>
        <w:tc>
          <w:tcPr>
            <w:tcW w:w="816" w:type="pct"/>
            <w:tcBorders>
              <w:top w:val="single" w:sz="4" w:space="0" w:color="auto"/>
              <w:left w:val="single" w:sz="4" w:space="0" w:color="auto"/>
              <w:bottom w:val="single" w:sz="4" w:space="0" w:color="auto"/>
              <w:right w:val="single" w:sz="4" w:space="0" w:color="auto"/>
            </w:tcBorders>
            <w:vAlign w:val="center"/>
            <w:hideMark/>
          </w:tcPr>
          <w:p w14:paraId="3E8D7E70" w14:textId="10A9DF5D" w:rsidR="00D40528" w:rsidRPr="00F55C0C" w:rsidRDefault="00B1065C" w:rsidP="00EA4B5B">
            <w:pPr>
              <w:spacing w:line="240" w:lineRule="auto"/>
              <w:ind w:left="24"/>
              <w:jc w:val="center"/>
              <w:rPr>
                <w:rFonts w:cs="Times New Roman"/>
                <w:sz w:val="20"/>
              </w:rPr>
            </w:pPr>
            <w:r>
              <w:rPr>
                <w:rFonts w:cs="Times New Roman"/>
                <w:sz w:val="20"/>
              </w:rPr>
              <w:t xml:space="preserve">16 </w:t>
            </w:r>
            <w:r w:rsidR="00C91914">
              <w:rPr>
                <w:rFonts w:cs="Times New Roman"/>
                <w:sz w:val="20"/>
              </w:rPr>
              <w:t>(separate from web-based assessment respondents)</w:t>
            </w:r>
          </w:p>
        </w:tc>
        <w:tc>
          <w:tcPr>
            <w:tcW w:w="705" w:type="pct"/>
            <w:tcBorders>
              <w:top w:val="single" w:sz="4" w:space="0" w:color="auto"/>
              <w:left w:val="single" w:sz="4" w:space="0" w:color="auto"/>
              <w:bottom w:val="single" w:sz="4" w:space="0" w:color="auto"/>
              <w:right w:val="single" w:sz="4" w:space="0" w:color="auto"/>
            </w:tcBorders>
            <w:vAlign w:val="center"/>
            <w:hideMark/>
          </w:tcPr>
          <w:p w14:paraId="55385DA9" w14:textId="77777777" w:rsidR="00D40528" w:rsidRPr="00F55C0C" w:rsidRDefault="00D40528" w:rsidP="00EA4B5B">
            <w:pPr>
              <w:spacing w:line="240" w:lineRule="auto"/>
              <w:ind w:left="24"/>
              <w:jc w:val="center"/>
              <w:rPr>
                <w:rFonts w:cs="Times New Roman"/>
                <w:sz w:val="20"/>
              </w:rPr>
            </w:pPr>
            <w:r w:rsidRPr="00F55C0C">
              <w:rPr>
                <w:rFonts w:cs="Times New Roman"/>
                <w:sz w:val="20"/>
              </w:rPr>
              <w:t>1</w:t>
            </w:r>
          </w:p>
        </w:tc>
        <w:tc>
          <w:tcPr>
            <w:tcW w:w="610" w:type="pct"/>
            <w:tcBorders>
              <w:top w:val="single" w:sz="4" w:space="0" w:color="auto"/>
              <w:left w:val="single" w:sz="4" w:space="0" w:color="auto"/>
              <w:bottom w:val="single" w:sz="4" w:space="0" w:color="auto"/>
              <w:right w:val="single" w:sz="4" w:space="0" w:color="auto"/>
            </w:tcBorders>
            <w:vAlign w:val="center"/>
            <w:hideMark/>
          </w:tcPr>
          <w:p w14:paraId="6E6E0777" w14:textId="3FE526F6" w:rsidR="009275CE" w:rsidRPr="00F55C0C" w:rsidRDefault="009275CE" w:rsidP="00EA4B5B">
            <w:pPr>
              <w:spacing w:line="240" w:lineRule="auto"/>
              <w:ind w:left="24"/>
              <w:jc w:val="center"/>
              <w:rPr>
                <w:rFonts w:cs="Times New Roman"/>
                <w:sz w:val="20"/>
              </w:rPr>
            </w:pPr>
            <w:r>
              <w:rPr>
                <w:rFonts w:cs="Times New Roman"/>
                <w:sz w:val="20"/>
              </w:rPr>
              <w:t>75/60</w:t>
            </w:r>
          </w:p>
        </w:tc>
        <w:tc>
          <w:tcPr>
            <w:tcW w:w="470" w:type="pct"/>
            <w:tcBorders>
              <w:top w:val="single" w:sz="4" w:space="0" w:color="auto"/>
              <w:left w:val="single" w:sz="4" w:space="0" w:color="auto"/>
              <w:bottom w:val="single" w:sz="4" w:space="0" w:color="auto"/>
              <w:right w:val="single" w:sz="4" w:space="0" w:color="auto"/>
            </w:tcBorders>
            <w:vAlign w:val="center"/>
            <w:hideMark/>
          </w:tcPr>
          <w:p w14:paraId="0E214FBA" w14:textId="4D39E829" w:rsidR="00D40528" w:rsidRPr="00F55C0C" w:rsidRDefault="00D40528" w:rsidP="00B1065C">
            <w:pPr>
              <w:spacing w:line="240" w:lineRule="auto"/>
              <w:ind w:left="24"/>
              <w:jc w:val="center"/>
              <w:rPr>
                <w:rFonts w:cs="Times New Roman"/>
                <w:sz w:val="20"/>
              </w:rPr>
            </w:pPr>
            <w:r w:rsidRPr="00F55C0C">
              <w:rPr>
                <w:rFonts w:cs="Times New Roman"/>
                <w:sz w:val="20"/>
              </w:rPr>
              <w:t xml:space="preserve"> </w:t>
            </w:r>
            <w:r w:rsidR="00B1065C">
              <w:rPr>
                <w:rFonts w:cs="Times New Roman"/>
                <w:sz w:val="20"/>
              </w:rPr>
              <w:t>20</w:t>
            </w:r>
          </w:p>
        </w:tc>
        <w:tc>
          <w:tcPr>
            <w:tcW w:w="469" w:type="pct"/>
            <w:tcBorders>
              <w:top w:val="single" w:sz="4" w:space="0" w:color="auto"/>
              <w:left w:val="single" w:sz="4" w:space="0" w:color="auto"/>
              <w:bottom w:val="single" w:sz="4" w:space="0" w:color="auto"/>
              <w:right w:val="single" w:sz="4" w:space="0" w:color="auto"/>
            </w:tcBorders>
            <w:vAlign w:val="center"/>
            <w:hideMark/>
          </w:tcPr>
          <w:p w14:paraId="2EFC50D6" w14:textId="77777777" w:rsidR="00D40528" w:rsidRPr="00F55C0C" w:rsidRDefault="00D40528" w:rsidP="00EA4B5B">
            <w:pPr>
              <w:spacing w:line="240" w:lineRule="auto"/>
              <w:ind w:left="24"/>
              <w:jc w:val="center"/>
              <w:rPr>
                <w:rFonts w:cs="Times New Roman"/>
                <w:sz w:val="20"/>
              </w:rPr>
            </w:pPr>
            <w:r w:rsidRPr="00F55C0C">
              <w:rPr>
                <w:rFonts w:cs="Times New Roman"/>
                <w:sz w:val="20"/>
              </w:rPr>
              <w:t>$41.90</w:t>
            </w:r>
          </w:p>
        </w:tc>
        <w:tc>
          <w:tcPr>
            <w:tcW w:w="637" w:type="pct"/>
            <w:tcBorders>
              <w:top w:val="single" w:sz="4" w:space="0" w:color="auto"/>
              <w:left w:val="single" w:sz="4" w:space="0" w:color="auto"/>
              <w:bottom w:val="single" w:sz="4" w:space="0" w:color="auto"/>
              <w:right w:val="single" w:sz="4" w:space="0" w:color="auto"/>
            </w:tcBorders>
            <w:vAlign w:val="center"/>
            <w:hideMark/>
          </w:tcPr>
          <w:p w14:paraId="20B5F969" w14:textId="10AE7C28" w:rsidR="00D40528" w:rsidRPr="00F55C0C" w:rsidRDefault="00D40528" w:rsidP="00B1065C">
            <w:pPr>
              <w:spacing w:line="240" w:lineRule="auto"/>
              <w:ind w:left="24"/>
              <w:jc w:val="center"/>
              <w:rPr>
                <w:rFonts w:cs="Times New Roman"/>
                <w:sz w:val="20"/>
              </w:rPr>
            </w:pPr>
            <w:r w:rsidRPr="00F55C0C">
              <w:rPr>
                <w:rFonts w:cs="Times New Roman"/>
                <w:sz w:val="20"/>
              </w:rPr>
              <w:t>$</w:t>
            </w:r>
            <w:r w:rsidR="00B1065C">
              <w:rPr>
                <w:rFonts w:cs="Times New Roman"/>
                <w:sz w:val="20"/>
              </w:rPr>
              <w:t>838</w:t>
            </w:r>
          </w:p>
        </w:tc>
      </w:tr>
      <w:tr w:rsidR="008657D2" w:rsidRPr="007C10BD" w14:paraId="2F02CA6A" w14:textId="77777777" w:rsidTr="008657D2">
        <w:tblPrEx>
          <w:jc w:val="center"/>
        </w:tblPrEx>
        <w:trPr>
          <w:trHeight w:val="20"/>
          <w:jc w:val="center"/>
        </w:trPr>
        <w:tc>
          <w:tcPr>
            <w:tcW w:w="6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A51708" w14:textId="77777777" w:rsidR="00D40528" w:rsidRPr="00F55C0C" w:rsidRDefault="00D40528" w:rsidP="00EA4B5B">
            <w:pPr>
              <w:spacing w:line="240" w:lineRule="auto"/>
              <w:ind w:left="24"/>
              <w:jc w:val="center"/>
              <w:rPr>
                <w:rFonts w:cs="Times New Roman"/>
                <w:b/>
                <w:sz w:val="20"/>
              </w:rPr>
            </w:pPr>
          </w:p>
        </w:tc>
        <w:tc>
          <w:tcPr>
            <w:tcW w:w="683" w:type="pct"/>
            <w:tcBorders>
              <w:top w:val="single" w:sz="4" w:space="0" w:color="auto"/>
              <w:left w:val="single" w:sz="4" w:space="0" w:color="auto"/>
              <w:bottom w:val="single" w:sz="4" w:space="0" w:color="auto"/>
              <w:right w:val="single" w:sz="4" w:space="0" w:color="auto"/>
            </w:tcBorders>
            <w:vAlign w:val="center"/>
            <w:hideMark/>
          </w:tcPr>
          <w:p w14:paraId="1E7177A2" w14:textId="77777777" w:rsidR="00D40528" w:rsidRPr="00F55C0C" w:rsidRDefault="00D40528" w:rsidP="00EA4B5B">
            <w:pPr>
              <w:spacing w:line="240" w:lineRule="auto"/>
              <w:ind w:left="24"/>
              <w:jc w:val="center"/>
              <w:rPr>
                <w:rFonts w:cs="Times New Roman"/>
                <w:b/>
                <w:sz w:val="20"/>
              </w:rPr>
            </w:pPr>
            <w:r w:rsidRPr="00F55C0C">
              <w:rPr>
                <w:rFonts w:cs="Times New Roman"/>
                <w:b/>
                <w:sz w:val="20"/>
              </w:rPr>
              <w:t>TOTALS</w:t>
            </w:r>
          </w:p>
        </w:tc>
        <w:tc>
          <w:tcPr>
            <w:tcW w:w="816" w:type="pct"/>
            <w:tcBorders>
              <w:top w:val="single" w:sz="4" w:space="0" w:color="auto"/>
              <w:left w:val="single" w:sz="4" w:space="0" w:color="auto"/>
              <w:bottom w:val="single" w:sz="4" w:space="0" w:color="auto"/>
              <w:right w:val="single" w:sz="4" w:space="0" w:color="auto"/>
            </w:tcBorders>
            <w:vAlign w:val="center"/>
            <w:hideMark/>
          </w:tcPr>
          <w:p w14:paraId="02074EF5" w14:textId="1D5C0553" w:rsidR="00D40528" w:rsidRPr="00F55C0C" w:rsidRDefault="00B1065C" w:rsidP="00EA4B5B">
            <w:pPr>
              <w:spacing w:line="240" w:lineRule="auto"/>
              <w:ind w:left="24"/>
              <w:jc w:val="center"/>
              <w:rPr>
                <w:rFonts w:cs="Times New Roman"/>
                <w:b/>
                <w:sz w:val="20"/>
              </w:rPr>
            </w:pPr>
            <w:r>
              <w:rPr>
                <w:rFonts w:cs="Times New Roman"/>
                <w:b/>
                <w:sz w:val="20"/>
              </w:rPr>
              <w:t>762</w:t>
            </w:r>
          </w:p>
        </w:tc>
        <w:tc>
          <w:tcPr>
            <w:tcW w:w="705" w:type="pct"/>
            <w:tcBorders>
              <w:top w:val="single" w:sz="4" w:space="0" w:color="auto"/>
              <w:left w:val="single" w:sz="4" w:space="0" w:color="auto"/>
              <w:bottom w:val="single" w:sz="4" w:space="0" w:color="auto"/>
              <w:right w:val="single" w:sz="4" w:space="0" w:color="auto"/>
            </w:tcBorders>
            <w:vAlign w:val="center"/>
            <w:hideMark/>
          </w:tcPr>
          <w:p w14:paraId="6D6CBCF5" w14:textId="77777777" w:rsidR="00D40528" w:rsidRPr="00F55C0C" w:rsidRDefault="00D40528" w:rsidP="00EA4B5B">
            <w:pPr>
              <w:spacing w:line="240" w:lineRule="auto"/>
              <w:ind w:left="24"/>
              <w:jc w:val="center"/>
              <w:rPr>
                <w:rFonts w:cs="Times New Roman"/>
                <w:b/>
                <w:sz w:val="20"/>
              </w:rPr>
            </w:pPr>
            <w:r w:rsidRPr="00F55C0C">
              <w:rPr>
                <w:rFonts w:cs="Times New Roman"/>
                <w:b/>
                <w:sz w:val="20"/>
              </w:rPr>
              <w:t>1</w:t>
            </w:r>
          </w:p>
        </w:tc>
        <w:tc>
          <w:tcPr>
            <w:tcW w:w="6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99E66F" w14:textId="77777777" w:rsidR="00D40528" w:rsidRPr="00F55C0C" w:rsidRDefault="00D40528" w:rsidP="00EA4B5B">
            <w:pPr>
              <w:spacing w:line="240" w:lineRule="auto"/>
              <w:ind w:left="24"/>
              <w:jc w:val="center"/>
              <w:rPr>
                <w:rFonts w:cs="Times New Roman"/>
                <w:b/>
                <w:sz w:val="20"/>
              </w:rPr>
            </w:pPr>
          </w:p>
        </w:tc>
        <w:tc>
          <w:tcPr>
            <w:tcW w:w="470" w:type="pct"/>
            <w:tcBorders>
              <w:top w:val="single" w:sz="4" w:space="0" w:color="auto"/>
              <w:left w:val="single" w:sz="4" w:space="0" w:color="auto"/>
              <w:bottom w:val="single" w:sz="4" w:space="0" w:color="auto"/>
              <w:right w:val="single" w:sz="4" w:space="0" w:color="auto"/>
            </w:tcBorders>
            <w:vAlign w:val="center"/>
            <w:hideMark/>
          </w:tcPr>
          <w:p w14:paraId="4E2A2297" w14:textId="58F744DE" w:rsidR="00D40528" w:rsidRPr="008657D2" w:rsidRDefault="00B1065C" w:rsidP="008657D2">
            <w:pPr>
              <w:spacing w:line="240" w:lineRule="auto"/>
              <w:ind w:left="24"/>
              <w:jc w:val="center"/>
              <w:rPr>
                <w:rFonts w:cs="Times New Roman"/>
                <w:b/>
                <w:sz w:val="20"/>
              </w:rPr>
            </w:pPr>
            <w:r>
              <w:rPr>
                <w:rFonts w:cs="Times New Roman"/>
                <w:b/>
                <w:sz w:val="20"/>
              </w:rPr>
              <w:t>283</w:t>
            </w:r>
          </w:p>
        </w:tc>
        <w:tc>
          <w:tcPr>
            <w:tcW w:w="4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7DD4D8" w14:textId="77777777" w:rsidR="00D40528" w:rsidRPr="008657D2" w:rsidRDefault="00D40528" w:rsidP="00EA4B5B">
            <w:pPr>
              <w:spacing w:line="240" w:lineRule="auto"/>
              <w:ind w:left="24"/>
              <w:jc w:val="center"/>
              <w:rPr>
                <w:rFonts w:cs="Times New Roman"/>
                <w:b/>
                <w:sz w:val="20"/>
              </w:rPr>
            </w:pPr>
          </w:p>
        </w:tc>
        <w:tc>
          <w:tcPr>
            <w:tcW w:w="637" w:type="pct"/>
            <w:tcBorders>
              <w:top w:val="single" w:sz="4" w:space="0" w:color="auto"/>
              <w:left w:val="single" w:sz="4" w:space="0" w:color="auto"/>
              <w:bottom w:val="single" w:sz="4" w:space="0" w:color="auto"/>
              <w:right w:val="single" w:sz="4" w:space="0" w:color="auto"/>
            </w:tcBorders>
            <w:vAlign w:val="center"/>
            <w:hideMark/>
          </w:tcPr>
          <w:p w14:paraId="135B4215" w14:textId="645B5A64" w:rsidR="00D40528" w:rsidRPr="008657D2" w:rsidRDefault="00B1065C" w:rsidP="00B1065C">
            <w:pPr>
              <w:spacing w:line="240" w:lineRule="auto"/>
              <w:ind w:left="24"/>
              <w:jc w:val="center"/>
              <w:rPr>
                <w:rFonts w:cs="Times New Roman"/>
                <w:b/>
                <w:sz w:val="20"/>
              </w:rPr>
            </w:pPr>
            <w:r>
              <w:rPr>
                <w:rFonts w:cs="Times New Roman"/>
                <w:b/>
                <w:sz w:val="20"/>
              </w:rPr>
              <w:t>$12,217</w:t>
            </w:r>
          </w:p>
        </w:tc>
      </w:tr>
    </w:tbl>
    <w:p w14:paraId="191C137C" w14:textId="77777777" w:rsidR="00D40528" w:rsidRPr="007C10BD" w:rsidRDefault="00D40528" w:rsidP="00D40528">
      <w:pPr>
        <w:ind w:left="0"/>
      </w:pPr>
    </w:p>
    <w:p w14:paraId="652440C1" w14:textId="78556583" w:rsidR="00D40528" w:rsidRPr="007C10BD" w:rsidRDefault="00D40528" w:rsidP="00D40528">
      <w:pPr>
        <w:pStyle w:val="Heading4"/>
      </w:pPr>
      <w:bookmarkStart w:id="36" w:name="_Toc530558458"/>
      <w:r w:rsidRPr="007C10BD">
        <w:t>Estimates of Other Total Annual Cost Burden to Respondents or Record Keepers</w:t>
      </w:r>
      <w:bookmarkEnd w:id="36"/>
    </w:p>
    <w:p w14:paraId="76855FBC" w14:textId="057247F3" w:rsidR="0033654F" w:rsidRDefault="00D40528" w:rsidP="004337D3">
      <w:pPr>
        <w:spacing w:after="200"/>
        <w:ind w:left="0"/>
      </w:pPr>
      <w:r w:rsidRPr="007C10BD">
        <w:t>There will be no direct costs to the respondents other than their time to participate in each data collection.</w:t>
      </w:r>
      <w:bookmarkStart w:id="37" w:name="_Toc523399324"/>
      <w:bookmarkStart w:id="38" w:name="_Toc523399473"/>
      <w:bookmarkStart w:id="39" w:name="_Toc523399505"/>
      <w:bookmarkStart w:id="40" w:name="_Toc523399605"/>
      <w:bookmarkStart w:id="41" w:name="_Toc523399657"/>
      <w:bookmarkStart w:id="42" w:name="_Toc523399730"/>
      <w:bookmarkStart w:id="43" w:name="_Toc523399811"/>
      <w:bookmarkStart w:id="44" w:name="_Toc523399938"/>
      <w:bookmarkStart w:id="45" w:name="_Toc523400118"/>
      <w:bookmarkStart w:id="46" w:name="_Toc523400164"/>
      <w:bookmarkStart w:id="47" w:name="_Toc523400216"/>
      <w:bookmarkStart w:id="48" w:name="_Toc523400364"/>
      <w:bookmarkStart w:id="49" w:name="_Toc523400532"/>
      <w:bookmarkStart w:id="50" w:name="_Toc523400557"/>
      <w:bookmarkStart w:id="51" w:name="_Toc523400818"/>
      <w:bookmarkStart w:id="52" w:name="_Toc523401400"/>
      <w:bookmarkStart w:id="53" w:name="_Toc523401970"/>
      <w:bookmarkStart w:id="54" w:name="_Toc523400217"/>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4D98F875" w14:textId="1EAD398C" w:rsidR="00EA670E" w:rsidRPr="007C10BD" w:rsidRDefault="00B05B34" w:rsidP="00CB63F4">
      <w:pPr>
        <w:pStyle w:val="Heading4"/>
        <w:spacing w:before="240"/>
      </w:pPr>
      <w:bookmarkStart w:id="55" w:name="_Toc530558459"/>
      <w:r w:rsidRPr="007C10BD">
        <w:t>Annualized Cost to the Government</w:t>
      </w:r>
      <w:bookmarkEnd w:id="55"/>
    </w:p>
    <w:p w14:paraId="25430576" w14:textId="092B87C3" w:rsidR="006557EF" w:rsidRDefault="000058E0" w:rsidP="00D753CD">
      <w:pPr>
        <w:spacing w:before="120" w:after="200"/>
        <w:ind w:left="0"/>
      </w:pPr>
      <w:r w:rsidRPr="007C10BD">
        <w:t>There are no equipment or overhead costs</w:t>
      </w:r>
      <w:r w:rsidR="009960C8">
        <w:t xml:space="preserve">. </w:t>
      </w:r>
      <w:r w:rsidRPr="007C10BD">
        <w:t xml:space="preserve">The only cost to the federal government would be the salary </w:t>
      </w:r>
      <w:r w:rsidR="00622CB6">
        <w:t xml:space="preserve">and benefits </w:t>
      </w:r>
      <w:r w:rsidRPr="007C10BD">
        <w:t>of CDC staff and contractors</w:t>
      </w:r>
      <w:r w:rsidR="00684EC0" w:rsidRPr="007C10BD">
        <w:t xml:space="preserve"> </w:t>
      </w:r>
      <w:r w:rsidR="00CF6092" w:rsidRPr="007C10BD">
        <w:t>to develop the data collection instrument, collect data, and perform data analysis</w:t>
      </w:r>
      <w:r w:rsidRPr="007C10BD">
        <w:t>. The total estimated cost to the federal government is</w:t>
      </w:r>
      <w:r w:rsidR="008C59E7" w:rsidRPr="007C10BD">
        <w:t xml:space="preserve"> </w:t>
      </w:r>
      <w:r w:rsidR="008C59E7" w:rsidRPr="005179E3">
        <w:rPr>
          <w:b/>
        </w:rPr>
        <w:t>$</w:t>
      </w:r>
      <w:r w:rsidR="00D40528" w:rsidRPr="005179E3">
        <w:rPr>
          <w:b/>
        </w:rPr>
        <w:t>292,</w:t>
      </w:r>
      <w:r w:rsidR="0036299B">
        <w:rPr>
          <w:b/>
        </w:rPr>
        <w:t>319.</w:t>
      </w:r>
      <w:r w:rsidRPr="007C10BD">
        <w:t xml:space="preserve"> </w:t>
      </w:r>
    </w:p>
    <w:p w14:paraId="08B8AAAA" w14:textId="65B09613" w:rsidR="00264BB5" w:rsidRDefault="000058E0" w:rsidP="00D753CD">
      <w:pPr>
        <w:spacing w:before="120" w:after="200"/>
        <w:ind w:left="0"/>
      </w:pPr>
      <w:r w:rsidRPr="007C10BD">
        <w:t>Table A-14 describes how this cost estimate was calculated.</w:t>
      </w:r>
    </w:p>
    <w:p w14:paraId="446F2A1C" w14:textId="08FD9E8C" w:rsidR="006557EF" w:rsidRDefault="006557EF" w:rsidP="006557EF">
      <w:pPr>
        <w:tabs>
          <w:tab w:val="clear" w:pos="9360"/>
        </w:tabs>
        <w:spacing w:after="200"/>
        <w:ind w:left="0"/>
        <w:rPr>
          <w:b/>
        </w:rPr>
      </w:pPr>
    </w:p>
    <w:p w14:paraId="04B81BFB" w14:textId="4FC7D9AF" w:rsidR="006557EF" w:rsidRDefault="006557EF" w:rsidP="006557EF">
      <w:pPr>
        <w:tabs>
          <w:tab w:val="clear" w:pos="9360"/>
        </w:tabs>
        <w:spacing w:after="200"/>
        <w:ind w:left="0"/>
        <w:rPr>
          <w:b/>
        </w:rPr>
      </w:pPr>
    </w:p>
    <w:p w14:paraId="40F6FA19" w14:textId="77777777" w:rsidR="006557EF" w:rsidRDefault="006557EF" w:rsidP="006557EF">
      <w:pPr>
        <w:tabs>
          <w:tab w:val="clear" w:pos="9360"/>
        </w:tabs>
        <w:spacing w:after="200"/>
        <w:ind w:left="0"/>
        <w:rPr>
          <w:b/>
        </w:rPr>
      </w:pPr>
    </w:p>
    <w:p w14:paraId="692B20F0" w14:textId="77777777" w:rsidR="00F23F23" w:rsidRDefault="00F23F23">
      <w:pPr>
        <w:tabs>
          <w:tab w:val="clear" w:pos="9360"/>
        </w:tabs>
        <w:spacing w:after="200"/>
        <w:ind w:left="0"/>
        <w:rPr>
          <w:b/>
        </w:rPr>
      </w:pPr>
      <w:r>
        <w:rPr>
          <w:b/>
        </w:rPr>
        <w:br w:type="page"/>
      </w:r>
    </w:p>
    <w:p w14:paraId="3125C724" w14:textId="46D15EB5" w:rsidR="00D40528" w:rsidRPr="006557EF" w:rsidRDefault="000F3FD9" w:rsidP="006557EF">
      <w:pPr>
        <w:tabs>
          <w:tab w:val="clear" w:pos="9360"/>
        </w:tabs>
        <w:spacing w:after="200"/>
        <w:ind w:left="0"/>
        <w:rPr>
          <w:b/>
        </w:rPr>
      </w:pPr>
      <w:r w:rsidRPr="007C10BD">
        <w:rPr>
          <w:b/>
        </w:rPr>
        <w:t xml:space="preserve">Table </w:t>
      </w:r>
      <w:r w:rsidR="00E44E51">
        <w:rPr>
          <w:b/>
        </w:rPr>
        <w:t>A-</w:t>
      </w:r>
      <w:r w:rsidRPr="007C10BD">
        <w:rPr>
          <w:b/>
        </w:rPr>
        <w:t>14:</w:t>
      </w:r>
      <w:r w:rsidRPr="007C10BD">
        <w:t xml:space="preserve"> Estimated Annualized Cost to the Federal Government</w:t>
      </w:r>
    </w:p>
    <w:tbl>
      <w:tblPr>
        <w:tblStyle w:val="TableGrid"/>
        <w:tblW w:w="5176" w:type="pct"/>
        <w:tblCellMar>
          <w:left w:w="29" w:type="dxa"/>
          <w:right w:w="29" w:type="dxa"/>
        </w:tblCellMar>
        <w:tblLook w:val="04A0" w:firstRow="1" w:lastRow="0" w:firstColumn="1" w:lastColumn="0" w:noHBand="0" w:noVBand="1"/>
      </w:tblPr>
      <w:tblGrid>
        <w:gridCol w:w="5140"/>
        <w:gridCol w:w="1765"/>
        <w:gridCol w:w="1022"/>
        <w:gridCol w:w="1823"/>
      </w:tblGrid>
      <w:tr w:rsidR="00D40528" w:rsidRPr="006D4491" w14:paraId="0E359C65" w14:textId="77777777" w:rsidTr="00EA4B5B">
        <w:trPr>
          <w:trHeight w:val="593"/>
          <w:tblHeader/>
        </w:trPr>
        <w:tc>
          <w:tcPr>
            <w:tcW w:w="2636" w:type="pct"/>
            <w:tcBorders>
              <w:bottom w:val="single" w:sz="4" w:space="0" w:color="auto"/>
            </w:tcBorders>
            <w:shd w:val="clear" w:color="auto" w:fill="D9D9D9" w:themeFill="background1" w:themeFillShade="D9"/>
            <w:vAlign w:val="center"/>
          </w:tcPr>
          <w:p w14:paraId="5842713C" w14:textId="77777777" w:rsidR="00D40528" w:rsidRPr="005179E3" w:rsidRDefault="00D40528" w:rsidP="00EA4B5B">
            <w:pPr>
              <w:ind w:left="-18"/>
              <w:jc w:val="center"/>
              <w:rPr>
                <w:b/>
                <w:sz w:val="20"/>
                <w:szCs w:val="20"/>
              </w:rPr>
            </w:pPr>
            <w:r w:rsidRPr="005179E3">
              <w:rPr>
                <w:b/>
                <w:sz w:val="20"/>
                <w:szCs w:val="20"/>
              </w:rPr>
              <w:t>Staff (FTE)</w:t>
            </w:r>
          </w:p>
          <w:p w14:paraId="07FEE504" w14:textId="77777777" w:rsidR="00D40528" w:rsidRPr="005179E3" w:rsidRDefault="00D40528" w:rsidP="00EA4B5B">
            <w:pPr>
              <w:ind w:left="-18"/>
              <w:jc w:val="center"/>
              <w:rPr>
                <w:b/>
                <w:sz w:val="20"/>
                <w:szCs w:val="20"/>
              </w:rPr>
            </w:pPr>
            <w:r w:rsidRPr="005179E3">
              <w:rPr>
                <w:b/>
                <w:sz w:val="20"/>
                <w:szCs w:val="20"/>
              </w:rPr>
              <w:t>(May 2018 – April 2019; 52 weeks)</w:t>
            </w:r>
          </w:p>
          <w:p w14:paraId="58A4723D" w14:textId="77777777" w:rsidR="00D40528" w:rsidRPr="005179E3" w:rsidRDefault="00D40528" w:rsidP="00EA4B5B">
            <w:pPr>
              <w:ind w:left="-18"/>
              <w:jc w:val="center"/>
              <w:rPr>
                <w:b/>
                <w:sz w:val="20"/>
                <w:szCs w:val="20"/>
              </w:rPr>
            </w:pPr>
          </w:p>
        </w:tc>
        <w:tc>
          <w:tcPr>
            <w:tcW w:w="905" w:type="pct"/>
            <w:tcBorders>
              <w:bottom w:val="single" w:sz="4" w:space="0" w:color="auto"/>
            </w:tcBorders>
            <w:shd w:val="clear" w:color="auto" w:fill="D9D9D9" w:themeFill="background1" w:themeFillShade="D9"/>
            <w:vAlign w:val="center"/>
          </w:tcPr>
          <w:p w14:paraId="37BF794F" w14:textId="77777777" w:rsidR="00D40528" w:rsidRPr="005179E3" w:rsidRDefault="00D40528" w:rsidP="00EA4B5B">
            <w:pPr>
              <w:ind w:left="-18"/>
              <w:jc w:val="center"/>
              <w:rPr>
                <w:b/>
                <w:sz w:val="20"/>
                <w:szCs w:val="20"/>
              </w:rPr>
            </w:pPr>
            <w:r w:rsidRPr="005179E3">
              <w:rPr>
                <w:b/>
                <w:sz w:val="20"/>
                <w:szCs w:val="20"/>
              </w:rPr>
              <w:t>Average Hours per Collection</w:t>
            </w:r>
          </w:p>
        </w:tc>
        <w:tc>
          <w:tcPr>
            <w:tcW w:w="524" w:type="pct"/>
            <w:tcBorders>
              <w:bottom w:val="single" w:sz="4" w:space="0" w:color="auto"/>
            </w:tcBorders>
            <w:shd w:val="clear" w:color="auto" w:fill="D9D9D9" w:themeFill="background1" w:themeFillShade="D9"/>
            <w:vAlign w:val="center"/>
          </w:tcPr>
          <w:p w14:paraId="479D9BCC" w14:textId="77777777" w:rsidR="00D40528" w:rsidRPr="005179E3" w:rsidRDefault="00D40528" w:rsidP="00EA4B5B">
            <w:pPr>
              <w:ind w:left="-18"/>
              <w:jc w:val="center"/>
              <w:rPr>
                <w:b/>
                <w:sz w:val="20"/>
                <w:szCs w:val="20"/>
              </w:rPr>
            </w:pPr>
            <w:r w:rsidRPr="005179E3">
              <w:rPr>
                <w:b/>
                <w:sz w:val="20"/>
                <w:szCs w:val="20"/>
              </w:rPr>
              <w:t>Average Hourly Rate</w:t>
            </w:r>
          </w:p>
          <w:p w14:paraId="046EC19F" w14:textId="77777777" w:rsidR="00D40528" w:rsidRPr="005179E3" w:rsidRDefault="00D40528" w:rsidP="00EA4B5B">
            <w:pPr>
              <w:ind w:left="-18"/>
              <w:jc w:val="center"/>
              <w:rPr>
                <w:b/>
                <w:sz w:val="20"/>
                <w:szCs w:val="20"/>
              </w:rPr>
            </w:pPr>
            <w:r w:rsidRPr="005179E3">
              <w:rPr>
                <w:b/>
                <w:sz w:val="20"/>
                <w:szCs w:val="20"/>
              </w:rPr>
              <w:t xml:space="preserve">(Assuming Step 5) </w:t>
            </w:r>
          </w:p>
        </w:tc>
        <w:tc>
          <w:tcPr>
            <w:tcW w:w="935" w:type="pct"/>
            <w:tcBorders>
              <w:bottom w:val="single" w:sz="4" w:space="0" w:color="auto"/>
            </w:tcBorders>
            <w:shd w:val="clear" w:color="auto" w:fill="D9D9D9" w:themeFill="background1" w:themeFillShade="D9"/>
            <w:vAlign w:val="center"/>
          </w:tcPr>
          <w:p w14:paraId="2806A271" w14:textId="77777777" w:rsidR="00D40528" w:rsidRPr="005179E3" w:rsidRDefault="00D40528" w:rsidP="00EA4B5B">
            <w:pPr>
              <w:ind w:left="-18"/>
              <w:jc w:val="center"/>
              <w:rPr>
                <w:b/>
                <w:sz w:val="20"/>
                <w:szCs w:val="20"/>
              </w:rPr>
            </w:pPr>
            <w:r w:rsidRPr="005179E3">
              <w:rPr>
                <w:b/>
                <w:sz w:val="20"/>
                <w:szCs w:val="20"/>
              </w:rPr>
              <w:t xml:space="preserve">Average </w:t>
            </w:r>
          </w:p>
          <w:p w14:paraId="21928CF0" w14:textId="77777777" w:rsidR="00D40528" w:rsidRPr="005179E3" w:rsidRDefault="00D40528" w:rsidP="00EA4B5B">
            <w:pPr>
              <w:ind w:left="-18"/>
              <w:jc w:val="center"/>
              <w:rPr>
                <w:b/>
                <w:sz w:val="20"/>
                <w:szCs w:val="20"/>
              </w:rPr>
            </w:pPr>
            <w:r w:rsidRPr="005179E3">
              <w:rPr>
                <w:b/>
                <w:sz w:val="20"/>
                <w:szCs w:val="20"/>
              </w:rPr>
              <w:t>Cost</w:t>
            </w:r>
          </w:p>
        </w:tc>
      </w:tr>
      <w:tr w:rsidR="00D40528" w:rsidRPr="006D4491" w14:paraId="38E0BEA5" w14:textId="77777777" w:rsidTr="00EA4B5B">
        <w:trPr>
          <w:trHeight w:val="305"/>
        </w:trPr>
        <w:tc>
          <w:tcPr>
            <w:tcW w:w="5000" w:type="pct"/>
            <w:gridSpan w:val="4"/>
            <w:tcBorders>
              <w:top w:val="single" w:sz="4" w:space="0" w:color="auto"/>
            </w:tcBorders>
            <w:shd w:val="clear" w:color="auto" w:fill="D9D9D9" w:themeFill="background1" w:themeFillShade="D9"/>
            <w:vAlign w:val="center"/>
          </w:tcPr>
          <w:p w14:paraId="39BD93ED" w14:textId="77777777" w:rsidR="00D40528" w:rsidRPr="005179E3" w:rsidRDefault="00D40528" w:rsidP="00EA4B5B">
            <w:pPr>
              <w:ind w:left="-18"/>
              <w:jc w:val="center"/>
              <w:rPr>
                <w:b/>
                <w:sz w:val="20"/>
                <w:szCs w:val="20"/>
              </w:rPr>
            </w:pPr>
            <w:r w:rsidRPr="005179E3">
              <w:rPr>
                <w:b/>
                <w:sz w:val="20"/>
                <w:szCs w:val="20"/>
              </w:rPr>
              <w:t>CDC Staff Time</w:t>
            </w:r>
          </w:p>
        </w:tc>
      </w:tr>
      <w:tr w:rsidR="00D40528" w:rsidRPr="006D4491" w14:paraId="2801A78E" w14:textId="77777777" w:rsidTr="00EA4B5B">
        <w:trPr>
          <w:trHeight w:val="501"/>
        </w:trPr>
        <w:tc>
          <w:tcPr>
            <w:tcW w:w="2636" w:type="pct"/>
            <w:tcBorders>
              <w:top w:val="single" w:sz="12" w:space="0" w:color="auto"/>
            </w:tcBorders>
            <w:vAlign w:val="center"/>
          </w:tcPr>
          <w:p w14:paraId="20FE87BA" w14:textId="77777777" w:rsidR="00D40528" w:rsidRPr="005179E3" w:rsidRDefault="00D40528" w:rsidP="00EA4B5B">
            <w:pPr>
              <w:spacing w:after="40"/>
              <w:ind w:left="-14"/>
              <w:rPr>
                <w:rFonts w:eastAsiaTheme="minorHAnsi"/>
                <w:b/>
                <w:bCs/>
                <w:sz w:val="20"/>
                <w:szCs w:val="20"/>
              </w:rPr>
            </w:pPr>
            <w:r w:rsidRPr="005179E3">
              <w:rPr>
                <w:b/>
                <w:bCs/>
                <w:sz w:val="20"/>
                <w:szCs w:val="20"/>
              </w:rPr>
              <w:t>Science Officer (GS-15)</w:t>
            </w:r>
            <w:r w:rsidRPr="005179E3">
              <w:rPr>
                <w:color w:val="FF0000"/>
                <w:sz w:val="20"/>
                <w:szCs w:val="20"/>
              </w:rPr>
              <w:t xml:space="preserve"> </w:t>
            </w:r>
          </w:p>
          <w:p w14:paraId="5FA99E7E" w14:textId="77777777" w:rsidR="00D40528" w:rsidRPr="005179E3" w:rsidRDefault="00D40528" w:rsidP="00EA4B5B">
            <w:pPr>
              <w:ind w:left="-18"/>
              <w:rPr>
                <w:rFonts w:eastAsiaTheme="minorHAnsi"/>
                <w:color w:val="FF0000"/>
                <w:sz w:val="20"/>
                <w:szCs w:val="20"/>
              </w:rPr>
            </w:pPr>
            <w:r w:rsidRPr="005179E3">
              <w:rPr>
                <w:sz w:val="20"/>
                <w:szCs w:val="20"/>
              </w:rPr>
              <w:t xml:space="preserve">Project oversight; review report </w:t>
            </w:r>
          </w:p>
        </w:tc>
        <w:tc>
          <w:tcPr>
            <w:tcW w:w="905" w:type="pct"/>
            <w:tcBorders>
              <w:top w:val="single" w:sz="12" w:space="0" w:color="auto"/>
            </w:tcBorders>
            <w:vAlign w:val="center"/>
          </w:tcPr>
          <w:p w14:paraId="09324342" w14:textId="77777777" w:rsidR="00D40528" w:rsidRPr="005179E3" w:rsidRDefault="00D40528" w:rsidP="00EA4B5B">
            <w:pPr>
              <w:ind w:left="-18"/>
              <w:jc w:val="center"/>
              <w:rPr>
                <w:sz w:val="20"/>
                <w:szCs w:val="20"/>
              </w:rPr>
            </w:pPr>
            <w:r w:rsidRPr="005179E3">
              <w:rPr>
                <w:sz w:val="20"/>
                <w:szCs w:val="20"/>
              </w:rPr>
              <w:t>208</w:t>
            </w:r>
          </w:p>
          <w:p w14:paraId="684AFBA3" w14:textId="77777777" w:rsidR="00D40528" w:rsidRPr="005179E3" w:rsidRDefault="00D40528" w:rsidP="00EA4B5B">
            <w:pPr>
              <w:ind w:left="-18"/>
              <w:jc w:val="center"/>
              <w:rPr>
                <w:rFonts w:eastAsiaTheme="minorHAnsi"/>
                <w:sz w:val="20"/>
                <w:szCs w:val="20"/>
              </w:rPr>
            </w:pPr>
            <w:r w:rsidRPr="005179E3">
              <w:rPr>
                <w:sz w:val="20"/>
                <w:szCs w:val="20"/>
              </w:rPr>
              <w:t>(4 hours/week)</w:t>
            </w:r>
          </w:p>
        </w:tc>
        <w:tc>
          <w:tcPr>
            <w:tcW w:w="524" w:type="pct"/>
            <w:tcBorders>
              <w:top w:val="single" w:sz="12" w:space="0" w:color="auto"/>
            </w:tcBorders>
            <w:vAlign w:val="center"/>
          </w:tcPr>
          <w:p w14:paraId="1FA4930E" w14:textId="77777777" w:rsidR="00D40528" w:rsidRPr="005179E3" w:rsidRDefault="00D40528" w:rsidP="00EA4B5B">
            <w:pPr>
              <w:ind w:left="-18"/>
              <w:jc w:val="center"/>
              <w:rPr>
                <w:sz w:val="20"/>
                <w:szCs w:val="20"/>
              </w:rPr>
            </w:pPr>
            <w:r w:rsidRPr="005179E3">
              <w:rPr>
                <w:sz w:val="20"/>
                <w:szCs w:val="20"/>
              </w:rPr>
              <w:t>$69.17</w:t>
            </w:r>
          </w:p>
        </w:tc>
        <w:tc>
          <w:tcPr>
            <w:tcW w:w="935" w:type="pct"/>
            <w:tcBorders>
              <w:top w:val="single" w:sz="12" w:space="0" w:color="auto"/>
            </w:tcBorders>
            <w:vAlign w:val="center"/>
          </w:tcPr>
          <w:p w14:paraId="07AA36B6" w14:textId="2E176705" w:rsidR="00D40528" w:rsidRPr="005179E3" w:rsidRDefault="00D40528" w:rsidP="00EA4B5B">
            <w:pPr>
              <w:ind w:left="-18"/>
              <w:jc w:val="center"/>
              <w:rPr>
                <w:sz w:val="20"/>
                <w:szCs w:val="20"/>
              </w:rPr>
            </w:pPr>
            <w:r w:rsidRPr="005179E3">
              <w:rPr>
                <w:sz w:val="20"/>
                <w:szCs w:val="20"/>
              </w:rPr>
              <w:t>$14,387</w:t>
            </w:r>
          </w:p>
        </w:tc>
      </w:tr>
      <w:tr w:rsidR="00D40528" w:rsidRPr="006D4491" w14:paraId="37E74571" w14:textId="77777777" w:rsidTr="00EA4B5B">
        <w:trPr>
          <w:trHeight w:val="1025"/>
        </w:trPr>
        <w:tc>
          <w:tcPr>
            <w:tcW w:w="2636" w:type="pct"/>
            <w:vAlign w:val="center"/>
          </w:tcPr>
          <w:p w14:paraId="6285B858" w14:textId="77777777" w:rsidR="00D40528" w:rsidRPr="005179E3" w:rsidRDefault="00D40528" w:rsidP="00EA4B5B">
            <w:pPr>
              <w:spacing w:after="40"/>
              <w:ind w:left="-14"/>
              <w:rPr>
                <w:rFonts w:eastAsiaTheme="minorHAnsi"/>
                <w:color w:val="FF0000"/>
                <w:sz w:val="20"/>
                <w:szCs w:val="20"/>
              </w:rPr>
            </w:pPr>
            <w:r w:rsidRPr="005179E3">
              <w:rPr>
                <w:b/>
                <w:bCs/>
                <w:sz w:val="20"/>
                <w:szCs w:val="20"/>
              </w:rPr>
              <w:t xml:space="preserve">Behavioral Scientist (GS-14) </w:t>
            </w:r>
          </w:p>
          <w:p w14:paraId="3EFDE5EE" w14:textId="77777777" w:rsidR="00D40528" w:rsidRPr="005179E3" w:rsidRDefault="00D40528" w:rsidP="00EA4B5B">
            <w:pPr>
              <w:ind w:left="-18"/>
              <w:rPr>
                <w:rFonts w:eastAsiaTheme="minorHAnsi"/>
                <w:sz w:val="20"/>
                <w:szCs w:val="20"/>
              </w:rPr>
            </w:pPr>
            <w:r w:rsidRPr="005179E3">
              <w:rPr>
                <w:sz w:val="20"/>
                <w:szCs w:val="20"/>
              </w:rPr>
              <w:t>Provide input for survey methodology and instrument development; lead PRA package development coordination; review report</w:t>
            </w:r>
          </w:p>
        </w:tc>
        <w:tc>
          <w:tcPr>
            <w:tcW w:w="905" w:type="pct"/>
            <w:vAlign w:val="center"/>
          </w:tcPr>
          <w:p w14:paraId="2D6AACC2" w14:textId="77777777" w:rsidR="00D40528" w:rsidRPr="005179E3" w:rsidRDefault="00D40528" w:rsidP="00EA4B5B">
            <w:pPr>
              <w:ind w:left="-18"/>
              <w:jc w:val="center"/>
              <w:rPr>
                <w:rFonts w:eastAsiaTheme="minorHAnsi"/>
                <w:sz w:val="20"/>
                <w:szCs w:val="20"/>
              </w:rPr>
            </w:pPr>
            <w:r w:rsidRPr="005179E3">
              <w:rPr>
                <w:sz w:val="20"/>
                <w:szCs w:val="20"/>
              </w:rPr>
              <w:t xml:space="preserve">104 </w:t>
            </w:r>
          </w:p>
          <w:p w14:paraId="70726B63" w14:textId="77777777" w:rsidR="00D40528" w:rsidRPr="005179E3" w:rsidRDefault="00D40528" w:rsidP="00EA4B5B">
            <w:pPr>
              <w:ind w:left="-18"/>
              <w:jc w:val="center"/>
              <w:rPr>
                <w:rFonts w:eastAsiaTheme="minorHAnsi"/>
                <w:sz w:val="20"/>
                <w:szCs w:val="20"/>
              </w:rPr>
            </w:pPr>
            <w:r w:rsidRPr="005179E3">
              <w:rPr>
                <w:sz w:val="20"/>
                <w:szCs w:val="20"/>
              </w:rPr>
              <w:t>(2 hours/week)</w:t>
            </w:r>
          </w:p>
        </w:tc>
        <w:tc>
          <w:tcPr>
            <w:tcW w:w="524" w:type="pct"/>
            <w:vAlign w:val="center"/>
          </w:tcPr>
          <w:p w14:paraId="708E97CB" w14:textId="77777777" w:rsidR="00D40528" w:rsidRPr="005179E3" w:rsidRDefault="00D40528" w:rsidP="00EA4B5B">
            <w:pPr>
              <w:ind w:left="-18"/>
              <w:jc w:val="center"/>
              <w:rPr>
                <w:sz w:val="20"/>
                <w:szCs w:val="20"/>
              </w:rPr>
            </w:pPr>
            <w:r w:rsidRPr="005179E3">
              <w:rPr>
                <w:sz w:val="20"/>
                <w:szCs w:val="20"/>
              </w:rPr>
              <w:t>$58.80</w:t>
            </w:r>
          </w:p>
        </w:tc>
        <w:tc>
          <w:tcPr>
            <w:tcW w:w="935" w:type="pct"/>
            <w:vAlign w:val="center"/>
          </w:tcPr>
          <w:p w14:paraId="29623711" w14:textId="52D7ED94" w:rsidR="00D40528" w:rsidRPr="005179E3" w:rsidRDefault="00D40528" w:rsidP="00EA4B5B">
            <w:pPr>
              <w:ind w:left="-18"/>
              <w:jc w:val="center"/>
              <w:rPr>
                <w:sz w:val="20"/>
                <w:szCs w:val="20"/>
              </w:rPr>
            </w:pPr>
            <w:r w:rsidRPr="005179E3">
              <w:rPr>
                <w:sz w:val="20"/>
                <w:szCs w:val="20"/>
              </w:rPr>
              <w:t>$6,115</w:t>
            </w:r>
          </w:p>
        </w:tc>
      </w:tr>
      <w:tr w:rsidR="00D40528" w:rsidRPr="006D4491" w14:paraId="1652CB1C" w14:textId="77777777" w:rsidTr="00EA4B5B">
        <w:trPr>
          <w:trHeight w:val="1052"/>
        </w:trPr>
        <w:tc>
          <w:tcPr>
            <w:tcW w:w="2636" w:type="pct"/>
            <w:vAlign w:val="center"/>
          </w:tcPr>
          <w:p w14:paraId="3E5FD7B8" w14:textId="77777777" w:rsidR="00D40528" w:rsidRPr="005179E3" w:rsidRDefault="00D40528" w:rsidP="00EA4B5B">
            <w:pPr>
              <w:spacing w:after="40"/>
              <w:ind w:left="-14"/>
              <w:rPr>
                <w:rFonts w:eastAsiaTheme="minorHAnsi"/>
                <w:color w:val="FF0000"/>
                <w:sz w:val="20"/>
                <w:szCs w:val="20"/>
              </w:rPr>
            </w:pPr>
            <w:r w:rsidRPr="005179E3">
              <w:rPr>
                <w:b/>
                <w:bCs/>
                <w:sz w:val="20"/>
                <w:szCs w:val="20"/>
              </w:rPr>
              <w:t xml:space="preserve">Emergency Management Specialist (GS-12) </w:t>
            </w:r>
          </w:p>
          <w:p w14:paraId="7DE3753F" w14:textId="72DC7BAB" w:rsidR="00D40528" w:rsidRPr="005179E3" w:rsidRDefault="00D40528" w:rsidP="00EA4B5B">
            <w:pPr>
              <w:ind w:left="-18"/>
              <w:rPr>
                <w:rFonts w:eastAsiaTheme="minorHAnsi"/>
                <w:sz w:val="20"/>
                <w:szCs w:val="20"/>
              </w:rPr>
            </w:pPr>
            <w:r w:rsidRPr="005179E3">
              <w:rPr>
                <w:sz w:val="20"/>
                <w:szCs w:val="20"/>
              </w:rPr>
              <w:t>Provide input for survey methodology and instrument development; overall project management and coordination, review report</w:t>
            </w:r>
          </w:p>
        </w:tc>
        <w:tc>
          <w:tcPr>
            <w:tcW w:w="905" w:type="pct"/>
            <w:vAlign w:val="center"/>
          </w:tcPr>
          <w:p w14:paraId="1A15F610" w14:textId="77777777" w:rsidR="00D40528" w:rsidRPr="005179E3" w:rsidRDefault="00D40528" w:rsidP="00EA4B5B">
            <w:pPr>
              <w:ind w:left="-18"/>
              <w:jc w:val="center"/>
              <w:rPr>
                <w:rFonts w:eastAsiaTheme="minorHAnsi"/>
                <w:sz w:val="20"/>
                <w:szCs w:val="20"/>
              </w:rPr>
            </w:pPr>
            <w:r w:rsidRPr="005179E3">
              <w:rPr>
                <w:sz w:val="20"/>
                <w:szCs w:val="20"/>
              </w:rPr>
              <w:t>260</w:t>
            </w:r>
          </w:p>
          <w:p w14:paraId="578D872C" w14:textId="77777777" w:rsidR="00D40528" w:rsidRPr="005179E3" w:rsidRDefault="00D40528" w:rsidP="00EA4B5B">
            <w:pPr>
              <w:ind w:left="-18"/>
              <w:jc w:val="center"/>
              <w:rPr>
                <w:rFonts w:eastAsiaTheme="minorHAnsi"/>
                <w:sz w:val="20"/>
                <w:szCs w:val="20"/>
              </w:rPr>
            </w:pPr>
            <w:r w:rsidRPr="005179E3">
              <w:rPr>
                <w:sz w:val="20"/>
                <w:szCs w:val="20"/>
              </w:rPr>
              <w:t>(5 hours/week)</w:t>
            </w:r>
          </w:p>
        </w:tc>
        <w:tc>
          <w:tcPr>
            <w:tcW w:w="524" w:type="pct"/>
            <w:vAlign w:val="center"/>
          </w:tcPr>
          <w:p w14:paraId="6B878823" w14:textId="77777777" w:rsidR="00D40528" w:rsidRPr="005179E3" w:rsidRDefault="00D40528" w:rsidP="00EA4B5B">
            <w:pPr>
              <w:ind w:left="-18"/>
              <w:jc w:val="center"/>
              <w:rPr>
                <w:sz w:val="20"/>
                <w:szCs w:val="20"/>
              </w:rPr>
            </w:pPr>
            <w:r w:rsidRPr="005179E3">
              <w:rPr>
                <w:sz w:val="20"/>
                <w:szCs w:val="20"/>
              </w:rPr>
              <w:t>$41.85</w:t>
            </w:r>
          </w:p>
        </w:tc>
        <w:tc>
          <w:tcPr>
            <w:tcW w:w="935" w:type="pct"/>
            <w:vAlign w:val="center"/>
          </w:tcPr>
          <w:p w14:paraId="497E88CC" w14:textId="40C21A89" w:rsidR="00D40528" w:rsidRPr="005179E3" w:rsidRDefault="00D40528" w:rsidP="00EA4B5B">
            <w:pPr>
              <w:ind w:left="-18"/>
              <w:jc w:val="center"/>
              <w:rPr>
                <w:sz w:val="20"/>
                <w:szCs w:val="20"/>
              </w:rPr>
            </w:pPr>
            <w:r w:rsidRPr="005179E3">
              <w:rPr>
                <w:sz w:val="20"/>
                <w:szCs w:val="20"/>
              </w:rPr>
              <w:t>$10,881</w:t>
            </w:r>
          </w:p>
        </w:tc>
      </w:tr>
      <w:tr w:rsidR="00D40528" w:rsidRPr="006D4491" w14:paraId="43AD5F79" w14:textId="77777777" w:rsidTr="00EA4B5B">
        <w:trPr>
          <w:trHeight w:val="1034"/>
        </w:trPr>
        <w:tc>
          <w:tcPr>
            <w:tcW w:w="2636" w:type="pct"/>
            <w:vAlign w:val="center"/>
          </w:tcPr>
          <w:p w14:paraId="0146B237" w14:textId="77777777" w:rsidR="00D40528" w:rsidRPr="005179E3" w:rsidRDefault="00D40528" w:rsidP="00EA4B5B">
            <w:pPr>
              <w:spacing w:after="40"/>
              <w:ind w:left="-14"/>
              <w:rPr>
                <w:rFonts w:eastAsiaTheme="minorHAnsi"/>
                <w:color w:val="FF0000"/>
                <w:sz w:val="20"/>
                <w:szCs w:val="20"/>
              </w:rPr>
            </w:pPr>
            <w:r w:rsidRPr="005179E3">
              <w:rPr>
                <w:b/>
                <w:bCs/>
                <w:sz w:val="20"/>
                <w:szCs w:val="20"/>
              </w:rPr>
              <w:t xml:space="preserve">Medical Officer (GS-14) </w:t>
            </w:r>
          </w:p>
          <w:p w14:paraId="102F8E92" w14:textId="77777777" w:rsidR="00D40528" w:rsidRPr="005179E3" w:rsidRDefault="00D40528" w:rsidP="00EA4B5B">
            <w:pPr>
              <w:ind w:left="-18"/>
              <w:rPr>
                <w:rFonts w:eastAsiaTheme="minorHAnsi"/>
                <w:sz w:val="20"/>
                <w:szCs w:val="20"/>
              </w:rPr>
            </w:pPr>
            <w:r w:rsidRPr="005179E3">
              <w:rPr>
                <w:sz w:val="20"/>
                <w:szCs w:val="20"/>
              </w:rPr>
              <w:t>Provide input for survey methodology and instrument development; lead coordination with NACCHO partnership, review report</w:t>
            </w:r>
          </w:p>
        </w:tc>
        <w:tc>
          <w:tcPr>
            <w:tcW w:w="905" w:type="pct"/>
            <w:vAlign w:val="center"/>
          </w:tcPr>
          <w:p w14:paraId="0B7D3F6D" w14:textId="77777777" w:rsidR="00D40528" w:rsidRPr="005179E3" w:rsidRDefault="00D40528" w:rsidP="00EA4B5B">
            <w:pPr>
              <w:ind w:left="-18"/>
              <w:jc w:val="center"/>
              <w:rPr>
                <w:rFonts w:eastAsiaTheme="minorHAnsi"/>
                <w:sz w:val="20"/>
                <w:szCs w:val="20"/>
              </w:rPr>
            </w:pPr>
            <w:r w:rsidRPr="005179E3">
              <w:rPr>
                <w:sz w:val="20"/>
                <w:szCs w:val="20"/>
              </w:rPr>
              <w:t xml:space="preserve">208 </w:t>
            </w:r>
          </w:p>
          <w:p w14:paraId="5EF6E30B" w14:textId="77777777" w:rsidR="00D40528" w:rsidRPr="005179E3" w:rsidRDefault="00D40528" w:rsidP="00EA4B5B">
            <w:pPr>
              <w:ind w:left="-18"/>
              <w:jc w:val="center"/>
              <w:rPr>
                <w:rFonts w:eastAsiaTheme="minorHAnsi"/>
                <w:sz w:val="20"/>
                <w:szCs w:val="20"/>
              </w:rPr>
            </w:pPr>
            <w:r w:rsidRPr="005179E3">
              <w:rPr>
                <w:sz w:val="20"/>
                <w:szCs w:val="20"/>
              </w:rPr>
              <w:t>(4 hours/week)</w:t>
            </w:r>
          </w:p>
        </w:tc>
        <w:tc>
          <w:tcPr>
            <w:tcW w:w="524" w:type="pct"/>
            <w:vAlign w:val="center"/>
          </w:tcPr>
          <w:p w14:paraId="40710629" w14:textId="77777777" w:rsidR="00D40528" w:rsidRPr="005179E3" w:rsidRDefault="00D40528" w:rsidP="00EA4B5B">
            <w:pPr>
              <w:ind w:left="-18"/>
              <w:jc w:val="center"/>
              <w:rPr>
                <w:sz w:val="20"/>
                <w:szCs w:val="20"/>
              </w:rPr>
            </w:pPr>
            <w:r w:rsidRPr="005179E3">
              <w:rPr>
                <w:sz w:val="20"/>
                <w:szCs w:val="20"/>
              </w:rPr>
              <w:t>$58.80</w:t>
            </w:r>
          </w:p>
        </w:tc>
        <w:tc>
          <w:tcPr>
            <w:tcW w:w="935" w:type="pct"/>
            <w:vAlign w:val="center"/>
          </w:tcPr>
          <w:p w14:paraId="4B061701" w14:textId="7180D674" w:rsidR="00D40528" w:rsidRPr="005179E3" w:rsidRDefault="00D40528" w:rsidP="00EA4B5B">
            <w:pPr>
              <w:ind w:left="-18"/>
              <w:jc w:val="center"/>
              <w:rPr>
                <w:sz w:val="20"/>
                <w:szCs w:val="20"/>
              </w:rPr>
            </w:pPr>
            <w:r w:rsidRPr="005179E3">
              <w:rPr>
                <w:sz w:val="20"/>
                <w:szCs w:val="20"/>
              </w:rPr>
              <w:t>$12,230</w:t>
            </w:r>
          </w:p>
        </w:tc>
      </w:tr>
      <w:tr w:rsidR="00D40528" w:rsidRPr="006D4491" w14:paraId="6FAA7F2C" w14:textId="77777777" w:rsidTr="00EA4B5B">
        <w:trPr>
          <w:trHeight w:val="144"/>
        </w:trPr>
        <w:tc>
          <w:tcPr>
            <w:tcW w:w="4065" w:type="pct"/>
            <w:gridSpan w:val="3"/>
            <w:vAlign w:val="center"/>
          </w:tcPr>
          <w:p w14:paraId="6D348430" w14:textId="1921B7F6" w:rsidR="00D40528" w:rsidRPr="005179E3" w:rsidRDefault="00812F8F" w:rsidP="00812F8F">
            <w:pPr>
              <w:ind w:left="6480"/>
              <w:rPr>
                <w:b/>
                <w:sz w:val="20"/>
                <w:szCs w:val="20"/>
              </w:rPr>
            </w:pPr>
            <w:r>
              <w:rPr>
                <w:b/>
                <w:sz w:val="20"/>
                <w:szCs w:val="20"/>
              </w:rPr>
              <w:t xml:space="preserve">            </w:t>
            </w:r>
            <w:r w:rsidR="00D40528" w:rsidRPr="005179E3">
              <w:rPr>
                <w:b/>
                <w:sz w:val="20"/>
                <w:szCs w:val="20"/>
              </w:rPr>
              <w:t>Subtotal</w:t>
            </w:r>
          </w:p>
        </w:tc>
        <w:tc>
          <w:tcPr>
            <w:tcW w:w="935" w:type="pct"/>
            <w:vAlign w:val="center"/>
          </w:tcPr>
          <w:p w14:paraId="12C02079" w14:textId="76B0146D" w:rsidR="00D40528" w:rsidRPr="005179E3" w:rsidRDefault="00D40528" w:rsidP="00EA4B5B">
            <w:pPr>
              <w:ind w:left="-18"/>
              <w:jc w:val="center"/>
              <w:rPr>
                <w:sz w:val="20"/>
                <w:szCs w:val="20"/>
              </w:rPr>
            </w:pPr>
            <w:r w:rsidRPr="005179E3">
              <w:rPr>
                <w:sz w:val="20"/>
                <w:szCs w:val="20"/>
              </w:rPr>
              <w:t>$43,613</w:t>
            </w:r>
          </w:p>
        </w:tc>
      </w:tr>
      <w:tr w:rsidR="00D40528" w:rsidRPr="006D4491" w14:paraId="23F079D0" w14:textId="77777777" w:rsidTr="00EA4B5B">
        <w:tc>
          <w:tcPr>
            <w:tcW w:w="5000" w:type="pct"/>
            <w:gridSpan w:val="4"/>
            <w:shd w:val="clear" w:color="auto" w:fill="D9D9D9" w:themeFill="background1" w:themeFillShade="D9"/>
            <w:vAlign w:val="center"/>
          </w:tcPr>
          <w:p w14:paraId="7ADDA42E" w14:textId="77777777" w:rsidR="00D40528" w:rsidRPr="005179E3" w:rsidRDefault="00D40528" w:rsidP="00EA4B5B">
            <w:pPr>
              <w:jc w:val="center"/>
              <w:rPr>
                <w:sz w:val="20"/>
                <w:szCs w:val="20"/>
              </w:rPr>
            </w:pPr>
            <w:r w:rsidRPr="005179E3">
              <w:rPr>
                <w:b/>
                <w:sz w:val="20"/>
                <w:szCs w:val="20"/>
              </w:rPr>
              <w:t>Contractor Staff Time</w:t>
            </w:r>
          </w:p>
        </w:tc>
      </w:tr>
      <w:tr w:rsidR="00D40528" w:rsidRPr="006D4491" w14:paraId="1F0E947F" w14:textId="77777777" w:rsidTr="00EA4B5B">
        <w:trPr>
          <w:trHeight w:val="85"/>
        </w:trPr>
        <w:tc>
          <w:tcPr>
            <w:tcW w:w="4065" w:type="pct"/>
            <w:gridSpan w:val="3"/>
            <w:vAlign w:val="center"/>
          </w:tcPr>
          <w:p w14:paraId="5B7DF934" w14:textId="5C0C9634" w:rsidR="00D40528" w:rsidRPr="005179E3" w:rsidRDefault="00CA444E" w:rsidP="00814644">
            <w:pPr>
              <w:jc w:val="right"/>
              <w:rPr>
                <w:sz w:val="20"/>
                <w:szCs w:val="20"/>
              </w:rPr>
            </w:pPr>
            <w:r>
              <w:rPr>
                <w:b/>
                <w:sz w:val="20"/>
                <w:szCs w:val="20"/>
              </w:rPr>
              <w:t>CNA</w:t>
            </w:r>
            <w:r w:rsidR="00DE10E2">
              <w:rPr>
                <w:b/>
                <w:sz w:val="20"/>
                <w:szCs w:val="20"/>
              </w:rPr>
              <w:t xml:space="preserve"> </w:t>
            </w:r>
            <w:r w:rsidR="00025178">
              <w:rPr>
                <w:b/>
                <w:sz w:val="20"/>
                <w:szCs w:val="20"/>
              </w:rPr>
              <w:t>(</w:t>
            </w:r>
            <w:r w:rsidR="00814644">
              <w:rPr>
                <w:b/>
                <w:sz w:val="20"/>
                <w:szCs w:val="20"/>
              </w:rPr>
              <w:t>3 staff members</w:t>
            </w:r>
            <w:r w:rsidR="00025178">
              <w:rPr>
                <w:b/>
                <w:sz w:val="20"/>
                <w:szCs w:val="20"/>
              </w:rPr>
              <w:t>)</w:t>
            </w:r>
            <w:r>
              <w:rPr>
                <w:b/>
                <w:sz w:val="20"/>
                <w:szCs w:val="20"/>
              </w:rPr>
              <w:t xml:space="preserve"> (minus JHU s</w:t>
            </w:r>
            <w:r w:rsidR="00D40528" w:rsidRPr="005179E3">
              <w:rPr>
                <w:b/>
                <w:sz w:val="20"/>
                <w:szCs w:val="20"/>
              </w:rPr>
              <w:t xml:space="preserve">ubcontract) </w:t>
            </w:r>
          </w:p>
        </w:tc>
        <w:tc>
          <w:tcPr>
            <w:tcW w:w="935" w:type="pct"/>
            <w:shd w:val="clear" w:color="auto" w:fill="auto"/>
            <w:vAlign w:val="center"/>
          </w:tcPr>
          <w:p w14:paraId="0ACE152A" w14:textId="69EB256D" w:rsidR="00D40528" w:rsidRPr="005179E3" w:rsidRDefault="00D40528" w:rsidP="00EA4B5B">
            <w:pPr>
              <w:ind w:left="-66"/>
              <w:jc w:val="center"/>
              <w:rPr>
                <w:sz w:val="20"/>
                <w:szCs w:val="20"/>
              </w:rPr>
            </w:pPr>
            <w:r w:rsidRPr="005179E3">
              <w:rPr>
                <w:sz w:val="20"/>
                <w:szCs w:val="20"/>
              </w:rPr>
              <w:t>$136,889</w:t>
            </w:r>
          </w:p>
        </w:tc>
      </w:tr>
      <w:tr w:rsidR="00D40528" w:rsidRPr="006D4491" w14:paraId="677E3BDB" w14:textId="77777777" w:rsidTr="00EA4B5B">
        <w:tc>
          <w:tcPr>
            <w:tcW w:w="4065" w:type="pct"/>
            <w:gridSpan w:val="3"/>
            <w:vAlign w:val="center"/>
          </w:tcPr>
          <w:p w14:paraId="0D63945F" w14:textId="7D07ACF2" w:rsidR="00D40528" w:rsidRPr="005179E3" w:rsidRDefault="00D40528" w:rsidP="00814644">
            <w:pPr>
              <w:jc w:val="right"/>
              <w:rPr>
                <w:sz w:val="20"/>
                <w:szCs w:val="20"/>
              </w:rPr>
            </w:pPr>
            <w:r w:rsidRPr="005179E3">
              <w:rPr>
                <w:b/>
                <w:sz w:val="20"/>
                <w:szCs w:val="20"/>
              </w:rPr>
              <w:t xml:space="preserve">JHU </w:t>
            </w:r>
            <w:r w:rsidR="00025178">
              <w:rPr>
                <w:b/>
                <w:sz w:val="20"/>
                <w:szCs w:val="20"/>
              </w:rPr>
              <w:t>(</w:t>
            </w:r>
            <w:r w:rsidR="00814644">
              <w:rPr>
                <w:b/>
                <w:sz w:val="20"/>
                <w:szCs w:val="20"/>
              </w:rPr>
              <w:t>3 staff members</w:t>
            </w:r>
            <w:r w:rsidR="00025178">
              <w:rPr>
                <w:b/>
                <w:sz w:val="20"/>
                <w:szCs w:val="20"/>
              </w:rPr>
              <w:t xml:space="preserve">) </w:t>
            </w:r>
            <w:r w:rsidR="00CA444E">
              <w:rPr>
                <w:b/>
                <w:sz w:val="20"/>
                <w:szCs w:val="20"/>
              </w:rPr>
              <w:t>(minus NACCHO subcontract)</w:t>
            </w:r>
          </w:p>
        </w:tc>
        <w:tc>
          <w:tcPr>
            <w:tcW w:w="935" w:type="pct"/>
            <w:shd w:val="clear" w:color="auto" w:fill="auto"/>
            <w:vAlign w:val="center"/>
          </w:tcPr>
          <w:p w14:paraId="403FB7E2" w14:textId="2A82C4C3" w:rsidR="00D40528" w:rsidRPr="005179E3" w:rsidRDefault="00D40528" w:rsidP="00EA4B5B">
            <w:pPr>
              <w:ind w:left="-66"/>
              <w:jc w:val="center"/>
              <w:rPr>
                <w:sz w:val="20"/>
                <w:szCs w:val="20"/>
              </w:rPr>
            </w:pPr>
            <w:r w:rsidRPr="005179E3">
              <w:rPr>
                <w:sz w:val="20"/>
                <w:szCs w:val="20"/>
              </w:rPr>
              <w:t>$99,817</w:t>
            </w:r>
          </w:p>
        </w:tc>
      </w:tr>
      <w:tr w:rsidR="00D40528" w:rsidRPr="006D4491" w14:paraId="448CCA70" w14:textId="77777777" w:rsidTr="00CA690F">
        <w:trPr>
          <w:trHeight w:val="107"/>
        </w:trPr>
        <w:tc>
          <w:tcPr>
            <w:tcW w:w="4065" w:type="pct"/>
            <w:gridSpan w:val="3"/>
            <w:vAlign w:val="center"/>
          </w:tcPr>
          <w:p w14:paraId="70CB29D5" w14:textId="75C348A0" w:rsidR="00D40528" w:rsidRPr="005179E3" w:rsidRDefault="00814644" w:rsidP="00CA690F">
            <w:pPr>
              <w:jc w:val="right"/>
              <w:rPr>
                <w:b/>
                <w:sz w:val="20"/>
                <w:szCs w:val="20"/>
              </w:rPr>
            </w:pPr>
            <w:r w:rsidRPr="005179E3">
              <w:rPr>
                <w:b/>
                <w:sz w:val="20"/>
                <w:szCs w:val="20"/>
              </w:rPr>
              <w:t>NACCHO</w:t>
            </w:r>
            <w:r>
              <w:rPr>
                <w:b/>
                <w:sz w:val="20"/>
                <w:szCs w:val="20"/>
              </w:rPr>
              <w:t xml:space="preserve"> </w:t>
            </w:r>
            <w:r w:rsidR="00025178">
              <w:rPr>
                <w:b/>
                <w:sz w:val="20"/>
                <w:szCs w:val="20"/>
              </w:rPr>
              <w:t>(</w:t>
            </w:r>
            <w:r w:rsidR="00CA690F">
              <w:rPr>
                <w:b/>
                <w:sz w:val="20"/>
                <w:szCs w:val="20"/>
              </w:rPr>
              <w:t>1</w:t>
            </w:r>
            <w:r>
              <w:rPr>
                <w:b/>
                <w:sz w:val="20"/>
                <w:szCs w:val="20"/>
              </w:rPr>
              <w:t xml:space="preserve"> staff member</w:t>
            </w:r>
            <w:r w:rsidR="00025178">
              <w:rPr>
                <w:b/>
                <w:sz w:val="20"/>
                <w:szCs w:val="20"/>
              </w:rPr>
              <w:t>)</w:t>
            </w:r>
          </w:p>
        </w:tc>
        <w:tc>
          <w:tcPr>
            <w:tcW w:w="935" w:type="pct"/>
            <w:shd w:val="clear" w:color="auto" w:fill="auto"/>
            <w:vAlign w:val="center"/>
          </w:tcPr>
          <w:p w14:paraId="3D10B216" w14:textId="5FC60F85" w:rsidR="00D40528" w:rsidRPr="005179E3" w:rsidRDefault="00D40528" w:rsidP="00EA4B5B">
            <w:pPr>
              <w:ind w:left="-66"/>
              <w:jc w:val="center"/>
              <w:rPr>
                <w:sz w:val="20"/>
                <w:szCs w:val="20"/>
              </w:rPr>
            </w:pPr>
            <w:r w:rsidRPr="005179E3">
              <w:rPr>
                <w:sz w:val="20"/>
                <w:szCs w:val="20"/>
              </w:rPr>
              <w:t>$12,000</w:t>
            </w:r>
          </w:p>
        </w:tc>
      </w:tr>
      <w:tr w:rsidR="00D40528" w:rsidRPr="006D4491" w14:paraId="0A64242A" w14:textId="77777777" w:rsidTr="00EA4B5B">
        <w:trPr>
          <w:trHeight w:val="332"/>
        </w:trPr>
        <w:tc>
          <w:tcPr>
            <w:tcW w:w="4065" w:type="pct"/>
            <w:gridSpan w:val="3"/>
            <w:shd w:val="clear" w:color="auto" w:fill="auto"/>
            <w:vAlign w:val="center"/>
          </w:tcPr>
          <w:p w14:paraId="683EF95C" w14:textId="77777777" w:rsidR="00D40528" w:rsidRPr="005179E3" w:rsidRDefault="00D40528" w:rsidP="00EA4B5B">
            <w:pPr>
              <w:jc w:val="right"/>
              <w:rPr>
                <w:b/>
                <w:sz w:val="20"/>
              </w:rPr>
            </w:pPr>
            <w:r w:rsidRPr="005179E3">
              <w:rPr>
                <w:b/>
                <w:sz w:val="20"/>
              </w:rPr>
              <w:t xml:space="preserve">ESTIMATED TOTAL COST OF INFORMATION COLLECTION </w:t>
            </w:r>
          </w:p>
        </w:tc>
        <w:tc>
          <w:tcPr>
            <w:tcW w:w="935" w:type="pct"/>
            <w:vAlign w:val="center"/>
          </w:tcPr>
          <w:p w14:paraId="52F133FC" w14:textId="4C4E42A6" w:rsidR="00D40528" w:rsidRPr="006D4491" w:rsidRDefault="00D40528" w:rsidP="00EA4B5B">
            <w:pPr>
              <w:ind w:left="-66"/>
              <w:jc w:val="center"/>
              <w:rPr>
                <w:b/>
                <w:sz w:val="20"/>
              </w:rPr>
            </w:pPr>
            <w:r w:rsidRPr="005179E3">
              <w:rPr>
                <w:b/>
                <w:sz w:val="20"/>
              </w:rPr>
              <w:t>$292,3</w:t>
            </w:r>
            <w:r w:rsidR="00DE10E2">
              <w:rPr>
                <w:b/>
                <w:sz w:val="20"/>
              </w:rPr>
              <w:t>19</w:t>
            </w:r>
          </w:p>
        </w:tc>
      </w:tr>
    </w:tbl>
    <w:p w14:paraId="5A24201D" w14:textId="14A82D56" w:rsidR="000F3FD9" w:rsidRPr="007C10BD" w:rsidRDefault="000F3FD9" w:rsidP="00CA444E">
      <w:pPr>
        <w:pStyle w:val="Heading4"/>
        <w:numPr>
          <w:ilvl w:val="0"/>
          <w:numId w:val="0"/>
        </w:numPr>
      </w:pPr>
      <w:bookmarkStart w:id="56" w:name="_Toc523399476"/>
      <w:bookmarkStart w:id="57" w:name="_Toc523399508"/>
      <w:bookmarkStart w:id="58" w:name="_Toc523399608"/>
      <w:bookmarkStart w:id="59" w:name="_Toc523399660"/>
      <w:bookmarkStart w:id="60" w:name="_Toc523399732"/>
      <w:bookmarkStart w:id="61" w:name="_Toc523399813"/>
      <w:bookmarkStart w:id="62" w:name="_Toc523399940"/>
      <w:bookmarkStart w:id="63" w:name="_Toc523400120"/>
      <w:bookmarkStart w:id="64" w:name="_Toc523400166"/>
      <w:bookmarkEnd w:id="56"/>
      <w:bookmarkEnd w:id="57"/>
      <w:bookmarkEnd w:id="58"/>
      <w:bookmarkEnd w:id="59"/>
      <w:bookmarkEnd w:id="60"/>
      <w:bookmarkEnd w:id="61"/>
      <w:bookmarkEnd w:id="62"/>
      <w:bookmarkEnd w:id="63"/>
      <w:bookmarkEnd w:id="64"/>
    </w:p>
    <w:p w14:paraId="21C17B91" w14:textId="77777777" w:rsidR="00F12DA9" w:rsidRPr="00D75750" w:rsidRDefault="00F12DA9" w:rsidP="00F12DA9">
      <w:pPr>
        <w:pStyle w:val="Heading4"/>
      </w:pPr>
      <w:bookmarkStart w:id="65" w:name="_Toc523400218"/>
      <w:bookmarkStart w:id="66" w:name="_Toc523400366"/>
      <w:bookmarkStart w:id="67" w:name="_Toc523400820"/>
      <w:bookmarkStart w:id="68" w:name="_Toc523401402"/>
      <w:bookmarkStart w:id="69" w:name="_Toc523401972"/>
      <w:bookmarkStart w:id="70" w:name="_Toc523399477"/>
      <w:bookmarkStart w:id="71" w:name="_Toc523399509"/>
      <w:bookmarkStart w:id="72" w:name="_Toc523399609"/>
      <w:bookmarkStart w:id="73" w:name="_Toc523399661"/>
      <w:bookmarkStart w:id="74" w:name="_Toc523399733"/>
      <w:bookmarkStart w:id="75" w:name="_Toc523399814"/>
      <w:bookmarkStart w:id="76" w:name="_Toc523399941"/>
      <w:bookmarkStart w:id="77" w:name="_Toc523400121"/>
      <w:bookmarkStart w:id="78" w:name="_Toc523400167"/>
      <w:bookmarkStart w:id="79" w:name="_Toc523400219"/>
      <w:bookmarkStart w:id="80" w:name="_Toc523400367"/>
      <w:bookmarkStart w:id="81" w:name="_Toc523400534"/>
      <w:bookmarkStart w:id="82" w:name="_Toc523400559"/>
      <w:bookmarkStart w:id="83" w:name="_Toc523400821"/>
      <w:bookmarkStart w:id="84" w:name="_Toc523401403"/>
      <w:bookmarkStart w:id="85" w:name="_Toc523401973"/>
      <w:bookmarkStart w:id="86" w:name="_Toc427752828"/>
      <w:bookmarkStart w:id="87" w:name="_Toc530558460"/>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r w:rsidRPr="00D75750">
        <w:t>Explanation for Program Changes or Adjustments</w:t>
      </w:r>
      <w:bookmarkEnd w:id="86"/>
      <w:bookmarkEnd w:id="87"/>
    </w:p>
    <w:p w14:paraId="412B2D86" w14:textId="7FAC1C95" w:rsidR="00734D99" w:rsidRPr="007C10BD" w:rsidRDefault="003C7C5D" w:rsidP="00695B5F">
      <w:pPr>
        <w:spacing w:after="200"/>
        <w:ind w:left="0"/>
      </w:pPr>
      <w:r w:rsidRPr="007C10BD">
        <w:t xml:space="preserve">This is a new </w:t>
      </w:r>
      <w:r w:rsidR="002E2EDD" w:rsidRPr="007C10BD">
        <w:t>data</w:t>
      </w:r>
      <w:r w:rsidR="00157413" w:rsidRPr="007C10BD">
        <w:t xml:space="preserve"> collection</w:t>
      </w:r>
      <w:r w:rsidRPr="007C10BD">
        <w:t>.</w:t>
      </w:r>
    </w:p>
    <w:p w14:paraId="307E57B4" w14:textId="60EF8AE9" w:rsidR="00B12F51" w:rsidRPr="007C10BD" w:rsidRDefault="00616090" w:rsidP="00C44CBF">
      <w:pPr>
        <w:pStyle w:val="Heading4"/>
      </w:pPr>
      <w:bookmarkStart w:id="88" w:name="_Toc530558461"/>
      <w:r w:rsidRPr="007C10BD">
        <w:t>Plan</w:t>
      </w:r>
      <w:r w:rsidR="00D75750" w:rsidRPr="007C10BD">
        <w:t>s for Tabulation and Publication and Project Time Schedule</w:t>
      </w:r>
      <w:bookmarkEnd w:id="88"/>
    </w:p>
    <w:p w14:paraId="15145407" w14:textId="39F0613C" w:rsidR="00B91F48" w:rsidRPr="00B91F48" w:rsidRDefault="00840DDA" w:rsidP="00C44CBF">
      <w:pPr>
        <w:spacing w:after="120"/>
        <w:ind w:left="0"/>
        <w:rPr>
          <w:rFonts w:cs="Times New Roman"/>
        </w:rPr>
      </w:pPr>
      <w:r>
        <w:rPr>
          <w:rFonts w:cs="Times New Roman"/>
        </w:rPr>
        <w:t>CDC, in collaboration with CNA and JHU</w:t>
      </w:r>
      <w:r w:rsidR="00492200">
        <w:rPr>
          <w:rFonts w:cs="Times New Roman"/>
        </w:rPr>
        <w:t xml:space="preserve">, </w:t>
      </w:r>
      <w:r w:rsidR="00492200" w:rsidRPr="00320314">
        <w:rPr>
          <w:rFonts w:cs="Times New Roman"/>
        </w:rPr>
        <w:t xml:space="preserve">will analyze </w:t>
      </w:r>
      <w:r w:rsidR="00934E88">
        <w:rPr>
          <w:rFonts w:cs="Times New Roman"/>
        </w:rPr>
        <w:t xml:space="preserve">the </w:t>
      </w:r>
      <w:r w:rsidR="00002CA6">
        <w:rPr>
          <w:rFonts w:cs="Times New Roman"/>
        </w:rPr>
        <w:t>de-identified</w:t>
      </w:r>
      <w:r w:rsidR="00492200" w:rsidRPr="00320314">
        <w:rPr>
          <w:rFonts w:cs="Times New Roman"/>
        </w:rPr>
        <w:t xml:space="preserve"> data </w:t>
      </w:r>
      <w:r w:rsidR="001B317E">
        <w:rPr>
          <w:rFonts w:cs="Times New Roman"/>
        </w:rPr>
        <w:t xml:space="preserve">from CNA, JHU, and NACCHO </w:t>
      </w:r>
      <w:r w:rsidR="00492200" w:rsidRPr="00320314">
        <w:rPr>
          <w:rFonts w:cs="Times New Roman"/>
        </w:rPr>
        <w:t xml:space="preserve">through a mix of quantitative methods, </w:t>
      </w:r>
      <w:r w:rsidR="00492200">
        <w:rPr>
          <w:rFonts w:cs="Times New Roman"/>
        </w:rPr>
        <w:t xml:space="preserve">including </w:t>
      </w:r>
      <w:r w:rsidR="00492200" w:rsidRPr="00320314">
        <w:rPr>
          <w:rFonts w:cs="Times New Roman"/>
        </w:rPr>
        <w:t>descrip</w:t>
      </w:r>
      <w:r w:rsidR="00CA444E">
        <w:rPr>
          <w:rFonts w:cs="Times New Roman"/>
        </w:rPr>
        <w:t xml:space="preserve">tive and </w:t>
      </w:r>
      <w:r w:rsidR="002A2329" w:rsidRPr="002A2329">
        <w:rPr>
          <w:rFonts w:cs="Times New Roman"/>
        </w:rPr>
        <w:t>statistical analysis</w:t>
      </w:r>
      <w:r w:rsidR="00265B5A">
        <w:rPr>
          <w:rFonts w:cs="Times New Roman"/>
        </w:rPr>
        <w:t>,</w:t>
      </w:r>
      <w:r w:rsidR="002A2329" w:rsidRPr="002A2329">
        <w:rPr>
          <w:rFonts w:cs="Times New Roman"/>
        </w:rPr>
        <w:t xml:space="preserve"> as appropriate</w:t>
      </w:r>
      <w:r w:rsidR="00265B5A">
        <w:rPr>
          <w:rFonts w:cs="Times New Roman"/>
        </w:rPr>
        <w:t>,</w:t>
      </w:r>
      <w:r w:rsidR="002A2329" w:rsidRPr="002A2329">
        <w:rPr>
          <w:rFonts w:cs="Times New Roman"/>
        </w:rPr>
        <w:t xml:space="preserve"> with emphasis on the</w:t>
      </w:r>
      <w:r w:rsidR="002A2329" w:rsidRPr="002A2329">
        <w:rPr>
          <w:rFonts w:cs="Times New Roman"/>
          <w:b/>
        </w:rPr>
        <w:t xml:space="preserve"> </w:t>
      </w:r>
      <w:r w:rsidR="002A2329" w:rsidRPr="002A2329">
        <w:rPr>
          <w:rFonts w:cs="Times New Roman"/>
          <w:i/>
        </w:rPr>
        <w:t>organizational</w:t>
      </w:r>
      <w:r w:rsidR="0082132F">
        <w:rPr>
          <w:rFonts w:cs="Times New Roman"/>
          <w:i/>
        </w:rPr>
        <w:t>/</w:t>
      </w:r>
      <w:r w:rsidR="002A2329" w:rsidRPr="002A2329">
        <w:rPr>
          <w:rFonts w:cs="Times New Roman"/>
          <w:i/>
        </w:rPr>
        <w:t>programmatic</w:t>
      </w:r>
      <w:r w:rsidR="002A2329" w:rsidRPr="002A2329">
        <w:rPr>
          <w:rFonts w:cs="Times New Roman"/>
          <w:b/>
        </w:rPr>
        <w:t xml:space="preserve"> </w:t>
      </w:r>
      <w:r w:rsidR="002A2329" w:rsidRPr="002A2329">
        <w:rPr>
          <w:rFonts w:cs="Times New Roman"/>
        </w:rPr>
        <w:t>level</w:t>
      </w:r>
      <w:r w:rsidR="002A2329" w:rsidRPr="002A2329" w:rsidDel="002A2329">
        <w:rPr>
          <w:rFonts w:cs="Times New Roman"/>
        </w:rPr>
        <w:t xml:space="preserve"> </w:t>
      </w:r>
      <w:r w:rsidR="00492200" w:rsidRPr="00320314">
        <w:rPr>
          <w:rFonts w:cs="Times New Roman"/>
        </w:rPr>
        <w:t xml:space="preserve">for </w:t>
      </w:r>
      <w:r w:rsidR="00CA444E">
        <w:rPr>
          <w:rFonts w:cs="Times New Roman"/>
        </w:rPr>
        <w:t xml:space="preserve">the </w:t>
      </w:r>
      <w:r w:rsidR="00603A53">
        <w:rPr>
          <w:rFonts w:cs="Times New Roman"/>
        </w:rPr>
        <w:t xml:space="preserve">web-based assessment </w:t>
      </w:r>
      <w:r w:rsidR="00CA444E">
        <w:rPr>
          <w:rFonts w:cs="Times New Roman"/>
        </w:rPr>
        <w:t>responses</w:t>
      </w:r>
      <w:r w:rsidR="00492200" w:rsidRPr="00320314">
        <w:rPr>
          <w:rFonts w:cs="Times New Roman"/>
        </w:rPr>
        <w:t xml:space="preserve"> and qualitative methods and thematic analysis for </w:t>
      </w:r>
      <w:r w:rsidR="00603A53">
        <w:rPr>
          <w:rFonts w:cs="Times New Roman"/>
        </w:rPr>
        <w:t xml:space="preserve">focus group </w:t>
      </w:r>
      <w:r w:rsidR="00812F8F">
        <w:rPr>
          <w:rFonts w:cs="Times New Roman"/>
        </w:rPr>
        <w:t>responses</w:t>
      </w:r>
      <w:r w:rsidR="00492200" w:rsidRPr="00320314">
        <w:rPr>
          <w:rFonts w:cs="Times New Roman"/>
        </w:rPr>
        <w:t>.</w:t>
      </w:r>
      <w:r w:rsidR="00FA6539">
        <w:rPr>
          <w:rFonts w:cs="Times New Roman"/>
        </w:rPr>
        <w:t xml:space="preserve"> </w:t>
      </w:r>
      <w:r w:rsidR="00B91F48" w:rsidRPr="00B91F48">
        <w:rPr>
          <w:rFonts w:cs="Times New Roman"/>
        </w:rPr>
        <w:t xml:space="preserve">For the web-based assessment, analyses will explore at the </w:t>
      </w:r>
      <w:r w:rsidR="00B91F48" w:rsidRPr="00B91F48">
        <w:rPr>
          <w:rFonts w:cs="Times New Roman"/>
          <w:i/>
        </w:rPr>
        <w:t>organizational</w:t>
      </w:r>
      <w:r w:rsidR="0082132F">
        <w:rPr>
          <w:rFonts w:cs="Times New Roman"/>
          <w:i/>
        </w:rPr>
        <w:t>/</w:t>
      </w:r>
      <w:r w:rsidR="00B91F48" w:rsidRPr="00B91F48">
        <w:rPr>
          <w:rFonts w:cs="Times New Roman"/>
          <w:i/>
        </w:rPr>
        <w:t xml:space="preserve">programmatic </w:t>
      </w:r>
      <w:r w:rsidR="00B91F48" w:rsidRPr="00B91F48">
        <w:rPr>
          <w:rFonts w:cs="Times New Roman"/>
        </w:rPr>
        <w:t xml:space="preserve">level </w:t>
      </w:r>
      <w:r w:rsidR="00FA6539">
        <w:rPr>
          <w:rFonts w:cs="Times New Roman"/>
        </w:rPr>
        <w:t>(</w:t>
      </w:r>
      <w:r w:rsidR="00FA6539" w:rsidRPr="007C10BD">
        <w:rPr>
          <w:rFonts w:cs="Times New Roman"/>
        </w:rPr>
        <w:t>1) differences in opportunities for leadership training</w:t>
      </w:r>
      <w:r w:rsidR="0082132F">
        <w:rPr>
          <w:rFonts w:cs="Times New Roman"/>
        </w:rPr>
        <w:t>/</w:t>
      </w:r>
      <w:r w:rsidR="00FA6539" w:rsidRPr="007C10BD">
        <w:rPr>
          <w:rFonts w:cs="Times New Roman"/>
        </w:rPr>
        <w:t>exercises for public health emergency response among health departments based upon type of governance structure</w:t>
      </w:r>
      <w:r w:rsidR="00B91F48">
        <w:rPr>
          <w:rFonts w:cs="Times New Roman"/>
        </w:rPr>
        <w:t xml:space="preserve">, </w:t>
      </w:r>
      <w:r w:rsidR="00FA6539" w:rsidRPr="007C10BD">
        <w:rPr>
          <w:rFonts w:cs="Times New Roman"/>
        </w:rPr>
        <w:t xml:space="preserve">size </w:t>
      </w:r>
      <w:r w:rsidR="00CA444E">
        <w:rPr>
          <w:rFonts w:cs="Times New Roman"/>
        </w:rPr>
        <w:t>of population served</w:t>
      </w:r>
      <w:r w:rsidR="00B91F48">
        <w:rPr>
          <w:rFonts w:cs="Times New Roman"/>
        </w:rPr>
        <w:t>, and geographic location</w:t>
      </w:r>
      <w:r w:rsidR="007E73ED">
        <w:rPr>
          <w:rFonts w:cs="Times New Roman"/>
        </w:rPr>
        <w:t>;</w:t>
      </w:r>
      <w:r w:rsidR="00B91F48">
        <w:rPr>
          <w:rFonts w:cs="Times New Roman"/>
        </w:rPr>
        <w:t xml:space="preserve"> and</w:t>
      </w:r>
      <w:r w:rsidR="00CA444E">
        <w:rPr>
          <w:rFonts w:cs="Times New Roman"/>
        </w:rPr>
        <w:t xml:space="preserve"> </w:t>
      </w:r>
      <w:r w:rsidR="00FA6539">
        <w:rPr>
          <w:rFonts w:cs="Times New Roman"/>
        </w:rPr>
        <w:t>(</w:t>
      </w:r>
      <w:r w:rsidR="00CA444E">
        <w:rPr>
          <w:rFonts w:cs="Times New Roman"/>
        </w:rPr>
        <w:t xml:space="preserve">2) </w:t>
      </w:r>
      <w:r w:rsidR="00B91F48">
        <w:rPr>
          <w:rFonts w:cs="Times New Roman"/>
        </w:rPr>
        <w:t>d</w:t>
      </w:r>
      <w:r w:rsidR="00FA6539" w:rsidRPr="007C10BD">
        <w:rPr>
          <w:rFonts w:cs="Times New Roman"/>
        </w:rPr>
        <w:t>ifferences in barriers to leadership training</w:t>
      </w:r>
      <w:r w:rsidR="0082132F">
        <w:rPr>
          <w:rFonts w:cs="Times New Roman"/>
        </w:rPr>
        <w:t>/</w:t>
      </w:r>
      <w:r w:rsidR="00FA6539" w:rsidRPr="007C10BD">
        <w:rPr>
          <w:rFonts w:cs="Times New Roman"/>
        </w:rPr>
        <w:t>exercises for public health emergency response among health departments based upon type of governance structure</w:t>
      </w:r>
      <w:r w:rsidR="00934E88">
        <w:rPr>
          <w:rFonts w:cs="Times New Roman"/>
        </w:rPr>
        <w:t>,</w:t>
      </w:r>
      <w:r w:rsidR="00FA6539" w:rsidRPr="007C10BD">
        <w:rPr>
          <w:rFonts w:cs="Times New Roman"/>
        </w:rPr>
        <w:t xml:space="preserve"> and size of population served</w:t>
      </w:r>
      <w:r w:rsidR="00406591">
        <w:rPr>
          <w:rFonts w:cs="Times New Roman"/>
        </w:rPr>
        <w:t>, and</w:t>
      </w:r>
      <w:r w:rsidR="00406591" w:rsidRPr="00406591">
        <w:rPr>
          <w:rFonts w:cs="Times New Roman"/>
        </w:rPr>
        <w:t xml:space="preserve"> </w:t>
      </w:r>
      <w:r w:rsidR="00406591" w:rsidRPr="007C10BD">
        <w:rPr>
          <w:rFonts w:cs="Times New Roman"/>
        </w:rPr>
        <w:t>geographic location</w:t>
      </w:r>
      <w:r w:rsidR="00FA6539" w:rsidRPr="007C10BD">
        <w:rPr>
          <w:rFonts w:cs="Times New Roman"/>
        </w:rPr>
        <w:t>.</w:t>
      </w:r>
      <w:r w:rsidR="00603A53">
        <w:rPr>
          <w:rFonts w:cs="Times New Roman"/>
        </w:rPr>
        <w:t xml:space="preserve"> </w:t>
      </w:r>
      <w:r w:rsidR="00B91F48" w:rsidRPr="00B91F48">
        <w:rPr>
          <w:rFonts w:cs="Times New Roman"/>
        </w:rPr>
        <w:t xml:space="preserve">For the focus groups, </w:t>
      </w:r>
      <w:r w:rsidR="00E44752">
        <w:rPr>
          <w:rFonts w:cs="Times New Roman"/>
        </w:rPr>
        <w:t xml:space="preserve">thematic </w:t>
      </w:r>
      <w:r w:rsidR="00B91F48" w:rsidRPr="00B91F48">
        <w:rPr>
          <w:rFonts w:cs="Times New Roman"/>
        </w:rPr>
        <w:t>analyses will center on (1) existing public health emergency response leadership training and exercises</w:t>
      </w:r>
      <w:r w:rsidR="00406591">
        <w:rPr>
          <w:rFonts w:cs="Times New Roman"/>
        </w:rPr>
        <w:t>;</w:t>
      </w:r>
      <w:r w:rsidR="00B91F48" w:rsidRPr="00B91F48">
        <w:rPr>
          <w:rFonts w:cs="Times New Roman"/>
        </w:rPr>
        <w:t xml:space="preserve"> (2) types of additional trainings and resources that are needed in the fiel</w:t>
      </w:r>
      <w:r w:rsidR="007E73ED">
        <w:rPr>
          <w:rFonts w:cs="Times New Roman"/>
        </w:rPr>
        <w:t xml:space="preserve">d; and </w:t>
      </w:r>
      <w:r w:rsidR="00B91F48" w:rsidRPr="00B91F48">
        <w:rPr>
          <w:rFonts w:cs="Times New Roman"/>
        </w:rPr>
        <w:t>(3) ways in which public health emergency response leadership training can be supported.</w:t>
      </w:r>
    </w:p>
    <w:p w14:paraId="590EC1AE" w14:textId="5A1B9D88" w:rsidR="0047098C" w:rsidRDefault="00CA444E" w:rsidP="00C44CBF">
      <w:pPr>
        <w:spacing w:after="120"/>
        <w:ind w:left="0"/>
      </w:pPr>
      <w:r>
        <w:t>CDC</w:t>
      </w:r>
      <w:r w:rsidR="007F79D1">
        <w:t xml:space="preserve"> will use findings</w:t>
      </w:r>
      <w:r>
        <w:t xml:space="preserve"> to develop strategic priorities and practical recommendations </w:t>
      </w:r>
      <w:r w:rsidR="00B6579F">
        <w:t>to improve leadership training for pu</w:t>
      </w:r>
      <w:r>
        <w:t>blic health emergency response leaders</w:t>
      </w:r>
      <w:r w:rsidR="00B6579F">
        <w:t xml:space="preserve"> at the state, territorial, and local levels. </w:t>
      </w:r>
      <w:r w:rsidR="00DF054A">
        <w:t>These will directly facilitate essential public health services to inform, educate</w:t>
      </w:r>
      <w:r w:rsidR="009C566B">
        <w:t>,</w:t>
      </w:r>
      <w:r w:rsidR="00DF054A">
        <w:t xml:space="preserve"> and empower people</w:t>
      </w:r>
      <w:r w:rsidR="009C566B">
        <w:t>,</w:t>
      </w:r>
      <w:r w:rsidR="00DF054A">
        <w:t xml:space="preserve"> as well as to ensure a competent public health workforce. In support of the designated essential public health services, s</w:t>
      </w:r>
      <w:r w:rsidR="00516612">
        <w:t xml:space="preserve">pecific products </w:t>
      </w:r>
      <w:r w:rsidR="00B120DC">
        <w:t xml:space="preserve">will </w:t>
      </w:r>
      <w:r w:rsidR="00516612">
        <w:t xml:space="preserve">include </w:t>
      </w:r>
      <w:r w:rsidR="00B120DC">
        <w:t xml:space="preserve">short- and long-term </w:t>
      </w:r>
      <w:r w:rsidR="005630B3">
        <w:t xml:space="preserve">strategies and approaches to foster the growth and development of </w:t>
      </w:r>
      <w:r w:rsidR="00B6579F">
        <w:t>pu</w:t>
      </w:r>
      <w:r w:rsidR="00B120DC">
        <w:t xml:space="preserve">blic health emergency response leaders in the future. </w:t>
      </w:r>
      <w:r w:rsidR="00B6579F">
        <w:t xml:space="preserve">CDC intends to </w:t>
      </w:r>
      <w:r w:rsidR="00516612">
        <w:t xml:space="preserve">use information collected during this project to design, </w:t>
      </w:r>
      <w:r w:rsidR="00B120DC">
        <w:t xml:space="preserve">modify, or enhance </w:t>
      </w:r>
      <w:r w:rsidR="00516612">
        <w:t xml:space="preserve">existing </w:t>
      </w:r>
      <w:r w:rsidR="001B12B6">
        <w:t xml:space="preserve">resources or </w:t>
      </w:r>
      <w:r w:rsidR="00516612">
        <w:t xml:space="preserve">trainings </w:t>
      </w:r>
      <w:r w:rsidR="00997A15">
        <w:t xml:space="preserve">to meet identified leadership training needs, emphasizing those strategies and activities that are </w:t>
      </w:r>
      <w:r w:rsidR="00B6579F">
        <w:t>deemed most viable and cost-effective.</w:t>
      </w:r>
    </w:p>
    <w:p w14:paraId="5E099BDD" w14:textId="2BE212EB" w:rsidR="00997A15" w:rsidRPr="00824520" w:rsidRDefault="00997A15" w:rsidP="00C44CBF">
      <w:pPr>
        <w:spacing w:after="120"/>
        <w:ind w:left="0"/>
        <w:rPr>
          <w:rFonts w:cs="Times New Roman"/>
        </w:rPr>
      </w:pPr>
      <w:r>
        <w:rPr>
          <w:rFonts w:cs="Times New Roman"/>
        </w:rPr>
        <w:t>A</w:t>
      </w:r>
      <w:r w:rsidRPr="00002CA6">
        <w:rPr>
          <w:rFonts w:cs="Times New Roman"/>
        </w:rPr>
        <w:t xml:space="preserve">ll information </w:t>
      </w:r>
      <w:r>
        <w:rPr>
          <w:rFonts w:cs="Times New Roman"/>
        </w:rPr>
        <w:t xml:space="preserve">collected </w:t>
      </w:r>
      <w:r w:rsidRPr="00002CA6">
        <w:rPr>
          <w:rFonts w:cs="Times New Roman"/>
        </w:rPr>
        <w:t xml:space="preserve">will be kept on secure, </w:t>
      </w:r>
      <w:r w:rsidR="00B120DC" w:rsidRPr="00002CA6">
        <w:rPr>
          <w:rFonts w:cs="Times New Roman"/>
        </w:rPr>
        <w:t>password-protected</w:t>
      </w:r>
      <w:r w:rsidRPr="00002CA6">
        <w:rPr>
          <w:rFonts w:cs="Times New Roman"/>
        </w:rPr>
        <w:t xml:space="preserve"> servers</w:t>
      </w:r>
      <w:r w:rsidR="009960C8">
        <w:rPr>
          <w:rFonts w:cs="Times New Roman"/>
        </w:rPr>
        <w:t xml:space="preserve">. </w:t>
      </w:r>
      <w:r>
        <w:rPr>
          <w:rFonts w:cs="Times New Roman"/>
        </w:rPr>
        <w:t>Any reporting products will only include aggregate information</w:t>
      </w:r>
      <w:r w:rsidR="007F79D1">
        <w:rPr>
          <w:rFonts w:cs="Times New Roman"/>
        </w:rPr>
        <w:t xml:space="preserve">. </w:t>
      </w:r>
    </w:p>
    <w:p w14:paraId="37B8D513" w14:textId="77777777" w:rsidR="008C59E7" w:rsidRPr="007C10BD" w:rsidRDefault="008C59E7" w:rsidP="007C10BD">
      <w:pPr>
        <w:ind w:left="0"/>
        <w:rPr>
          <w:rFonts w:cs="Arial"/>
          <w:color w:val="0070C0"/>
        </w:rPr>
      </w:pPr>
      <w:r w:rsidRPr="007C10BD">
        <w:rPr>
          <w:rFonts w:cs="Arial"/>
          <w:u w:val="single"/>
        </w:rPr>
        <w:t>Project Time Schedule</w:t>
      </w:r>
    </w:p>
    <w:p w14:paraId="48D31E4F" w14:textId="7BF01FF5" w:rsidR="008C59E7" w:rsidRPr="007C10BD" w:rsidRDefault="008C59E7" w:rsidP="00782FBD">
      <w:pPr>
        <w:pStyle w:val="ListParagraph"/>
        <w:numPr>
          <w:ilvl w:val="0"/>
          <w:numId w:val="3"/>
        </w:numPr>
        <w:tabs>
          <w:tab w:val="right" w:leader="dot" w:pos="9360"/>
        </w:tabs>
        <w:ind w:left="1080"/>
      </w:pPr>
      <w:r w:rsidRPr="007C10BD">
        <w:rPr>
          <w:rFonts w:eastAsiaTheme="majorEastAsia" w:cstheme="majorBidi"/>
        </w:rPr>
        <w:t xml:space="preserve">Design </w:t>
      </w:r>
      <w:r w:rsidR="00F0000D" w:rsidRPr="007C10BD">
        <w:rPr>
          <w:rFonts w:eastAsiaTheme="majorEastAsia" w:cstheme="majorBidi"/>
        </w:rPr>
        <w:t>instrument</w:t>
      </w:r>
      <w:r w:rsidR="00F65934">
        <w:rPr>
          <w:rFonts w:eastAsiaTheme="majorEastAsia" w:cstheme="majorBidi"/>
        </w:rPr>
        <w:t>s</w:t>
      </w:r>
      <w:r w:rsidRPr="007C10BD">
        <w:rPr>
          <w:rFonts w:eastAsiaTheme="majorEastAsia" w:cstheme="majorBidi"/>
        </w:rPr>
        <w:t xml:space="preserve"> </w:t>
      </w:r>
      <w:r w:rsidRPr="007C10BD">
        <w:tab/>
      </w:r>
      <w:r w:rsidRPr="007C10BD">
        <w:rPr>
          <w:rFonts w:eastAsiaTheme="majorEastAsia" w:cstheme="majorBidi"/>
        </w:rPr>
        <w:t>(COMPLETE)</w:t>
      </w:r>
    </w:p>
    <w:p w14:paraId="663E9676" w14:textId="77777777" w:rsidR="008C59E7" w:rsidRPr="007C10BD" w:rsidRDefault="008C59E7" w:rsidP="00782FBD">
      <w:pPr>
        <w:pStyle w:val="ListParagraph"/>
        <w:numPr>
          <w:ilvl w:val="0"/>
          <w:numId w:val="4"/>
        </w:numPr>
        <w:tabs>
          <w:tab w:val="right" w:leader="dot" w:pos="9360"/>
        </w:tabs>
        <w:ind w:left="1080"/>
      </w:pPr>
      <w:r w:rsidRPr="007C10BD">
        <w:rPr>
          <w:rFonts w:eastAsiaTheme="majorEastAsia" w:cstheme="majorBidi"/>
        </w:rPr>
        <w:t xml:space="preserve">Develop protocol, instructions, and analysis plan </w:t>
      </w:r>
      <w:r w:rsidRPr="007C10BD">
        <w:tab/>
      </w:r>
      <w:r w:rsidRPr="007C10BD">
        <w:rPr>
          <w:rFonts w:eastAsiaTheme="majorEastAsia" w:cstheme="majorBidi"/>
        </w:rPr>
        <w:t>(COMPLETE)</w:t>
      </w:r>
    </w:p>
    <w:p w14:paraId="0A1F1DF0" w14:textId="447D5643" w:rsidR="008C59E7" w:rsidRPr="007C10BD" w:rsidRDefault="008C59E7" w:rsidP="00782FBD">
      <w:pPr>
        <w:pStyle w:val="ListParagraph"/>
        <w:numPr>
          <w:ilvl w:val="0"/>
          <w:numId w:val="5"/>
        </w:numPr>
        <w:tabs>
          <w:tab w:val="right" w:leader="dot" w:pos="9360"/>
        </w:tabs>
        <w:ind w:left="1080"/>
      </w:pPr>
      <w:r w:rsidRPr="007C10BD">
        <w:rPr>
          <w:rFonts w:eastAsiaTheme="majorEastAsia" w:cstheme="majorBidi"/>
        </w:rPr>
        <w:t xml:space="preserve">Pilot test </w:t>
      </w:r>
      <w:r w:rsidR="00F0000D" w:rsidRPr="007C10BD">
        <w:rPr>
          <w:rFonts w:eastAsiaTheme="majorEastAsia" w:cstheme="majorBidi"/>
        </w:rPr>
        <w:t>instrument</w:t>
      </w:r>
      <w:r w:rsidR="00F65934">
        <w:rPr>
          <w:rFonts w:eastAsiaTheme="majorEastAsia" w:cstheme="majorBidi"/>
        </w:rPr>
        <w:t>s</w:t>
      </w:r>
      <w:r w:rsidRPr="007C10BD">
        <w:rPr>
          <w:rFonts w:eastAsiaTheme="majorEastAsia" w:cstheme="majorBidi"/>
        </w:rPr>
        <w:t xml:space="preserve"> </w:t>
      </w:r>
      <w:r w:rsidRPr="007C10BD">
        <w:tab/>
      </w:r>
      <w:r w:rsidRPr="007C10BD">
        <w:rPr>
          <w:rFonts w:eastAsiaTheme="majorEastAsia" w:cstheme="majorBidi"/>
        </w:rPr>
        <w:t>(COMPLETE)</w:t>
      </w:r>
    </w:p>
    <w:p w14:paraId="66CC3755" w14:textId="77777777" w:rsidR="008C59E7" w:rsidRPr="007C10BD" w:rsidRDefault="008C59E7" w:rsidP="00782FBD">
      <w:pPr>
        <w:pStyle w:val="ListParagraph"/>
        <w:numPr>
          <w:ilvl w:val="0"/>
          <w:numId w:val="5"/>
        </w:numPr>
        <w:tabs>
          <w:tab w:val="right" w:leader="dot" w:pos="9360"/>
        </w:tabs>
        <w:ind w:left="1080"/>
      </w:pPr>
      <w:r w:rsidRPr="007C10BD">
        <w:rPr>
          <w:rFonts w:eastAsiaTheme="majorEastAsia" w:cstheme="majorBidi"/>
        </w:rPr>
        <w:t xml:space="preserve">Prepare OMB package </w:t>
      </w:r>
      <w:r w:rsidRPr="007C10BD">
        <w:tab/>
      </w:r>
      <w:r w:rsidRPr="007C10BD">
        <w:rPr>
          <w:rFonts w:eastAsiaTheme="majorEastAsia" w:cstheme="majorBidi"/>
        </w:rPr>
        <w:t>(COMPLETE)</w:t>
      </w:r>
    </w:p>
    <w:p w14:paraId="4373AC18" w14:textId="77777777" w:rsidR="008C59E7" w:rsidRPr="007C10BD" w:rsidRDefault="008C59E7" w:rsidP="00782FBD">
      <w:pPr>
        <w:pStyle w:val="ListParagraph"/>
        <w:numPr>
          <w:ilvl w:val="0"/>
          <w:numId w:val="5"/>
        </w:numPr>
        <w:tabs>
          <w:tab w:val="right" w:leader="dot" w:pos="9360"/>
        </w:tabs>
        <w:ind w:left="1080"/>
      </w:pPr>
      <w:r w:rsidRPr="007C10BD">
        <w:rPr>
          <w:rFonts w:eastAsiaTheme="majorEastAsia" w:cstheme="majorBidi"/>
        </w:rPr>
        <w:t xml:space="preserve">Submit OMB package </w:t>
      </w:r>
      <w:r w:rsidRPr="007C10BD">
        <w:tab/>
      </w:r>
      <w:r w:rsidRPr="007C10BD">
        <w:rPr>
          <w:rFonts w:eastAsiaTheme="majorEastAsia" w:cstheme="majorBidi"/>
        </w:rPr>
        <w:t>(COMPLETE)</w:t>
      </w:r>
    </w:p>
    <w:p w14:paraId="479DE3FE" w14:textId="77777777" w:rsidR="008C59E7" w:rsidRPr="007C10BD" w:rsidRDefault="008C59E7" w:rsidP="00782FBD">
      <w:pPr>
        <w:pStyle w:val="ListParagraph"/>
        <w:numPr>
          <w:ilvl w:val="0"/>
          <w:numId w:val="2"/>
        </w:numPr>
        <w:tabs>
          <w:tab w:val="right" w:leader="dot" w:pos="9360"/>
        </w:tabs>
        <w:ind w:left="1080"/>
      </w:pPr>
      <w:r w:rsidRPr="007C10BD">
        <w:rPr>
          <w:rFonts w:eastAsiaTheme="majorEastAsia" w:cstheme="majorBidi"/>
        </w:rPr>
        <w:t xml:space="preserve">OMB approval </w:t>
      </w:r>
      <w:r w:rsidRPr="007C10BD">
        <w:tab/>
      </w:r>
      <w:r w:rsidRPr="007C10BD">
        <w:rPr>
          <w:rFonts w:eastAsiaTheme="majorEastAsia" w:cstheme="majorBidi"/>
        </w:rPr>
        <w:t>(TBD)</w:t>
      </w:r>
    </w:p>
    <w:p w14:paraId="0F4067DC" w14:textId="6F12A2F9" w:rsidR="008C59E7" w:rsidRPr="00AE1690" w:rsidRDefault="008C59E7" w:rsidP="00782FBD">
      <w:pPr>
        <w:pStyle w:val="ListParagraph"/>
        <w:numPr>
          <w:ilvl w:val="0"/>
          <w:numId w:val="2"/>
        </w:numPr>
        <w:tabs>
          <w:tab w:val="right" w:leader="dot" w:pos="9360"/>
        </w:tabs>
        <w:ind w:left="1080"/>
      </w:pPr>
      <w:r w:rsidRPr="00AE1690">
        <w:rPr>
          <w:rFonts w:eastAsiaTheme="majorEastAsia" w:cstheme="majorBidi"/>
        </w:rPr>
        <w:t xml:space="preserve">Conduct </w:t>
      </w:r>
      <w:r w:rsidR="00F0000D" w:rsidRPr="00AE1690">
        <w:rPr>
          <w:rFonts w:eastAsiaTheme="majorEastAsia" w:cstheme="majorBidi"/>
        </w:rPr>
        <w:t>data collection</w:t>
      </w:r>
      <w:r w:rsidRPr="00AE1690">
        <w:rPr>
          <w:rFonts w:eastAsiaTheme="majorEastAsia" w:cstheme="majorBidi"/>
        </w:rPr>
        <w:t xml:space="preserve"> </w:t>
      </w:r>
      <w:r w:rsidRPr="00AE1690">
        <w:tab/>
      </w:r>
      <w:r w:rsidRPr="00AE1690">
        <w:rPr>
          <w:rFonts w:eastAsiaTheme="majorEastAsia" w:cstheme="majorBidi"/>
        </w:rPr>
        <w:t>(</w:t>
      </w:r>
      <w:r w:rsidR="00F0000D" w:rsidRPr="00AE1690">
        <w:rPr>
          <w:rFonts w:eastAsiaTheme="majorEastAsia" w:cstheme="majorBidi"/>
        </w:rPr>
        <w:t>O</w:t>
      </w:r>
      <w:r w:rsidRPr="00AE1690">
        <w:rPr>
          <w:rFonts w:eastAsiaTheme="majorEastAsia" w:cstheme="majorBidi"/>
        </w:rPr>
        <w:t xml:space="preserve">pen </w:t>
      </w:r>
      <w:r w:rsidR="005C0F82" w:rsidRPr="00AE1690">
        <w:rPr>
          <w:rFonts w:eastAsiaTheme="majorEastAsia" w:cstheme="majorBidi"/>
        </w:rPr>
        <w:t>6</w:t>
      </w:r>
      <w:r w:rsidRPr="00AE1690">
        <w:rPr>
          <w:rFonts w:eastAsiaTheme="majorEastAsia" w:cstheme="majorBidi"/>
        </w:rPr>
        <w:t xml:space="preserve"> weeks)</w:t>
      </w:r>
    </w:p>
    <w:p w14:paraId="34DD1B92" w14:textId="6BE73717" w:rsidR="008C59E7" w:rsidRPr="00AE1690" w:rsidRDefault="008C59E7" w:rsidP="00782FBD">
      <w:pPr>
        <w:pStyle w:val="ListParagraph"/>
        <w:numPr>
          <w:ilvl w:val="0"/>
          <w:numId w:val="2"/>
        </w:numPr>
        <w:tabs>
          <w:tab w:val="right" w:leader="dot" w:pos="9360"/>
        </w:tabs>
        <w:ind w:left="1080"/>
      </w:pPr>
      <w:r w:rsidRPr="00AE1690">
        <w:rPr>
          <w:rFonts w:eastAsiaTheme="majorEastAsia" w:cstheme="majorBidi"/>
        </w:rPr>
        <w:t>Code</w:t>
      </w:r>
      <w:r w:rsidR="001C7607" w:rsidRPr="00AE1690">
        <w:rPr>
          <w:rFonts w:eastAsiaTheme="majorEastAsia" w:cstheme="majorBidi"/>
        </w:rPr>
        <w:t xml:space="preserve"> data</w:t>
      </w:r>
      <w:r w:rsidRPr="00AE1690">
        <w:rPr>
          <w:rFonts w:eastAsiaTheme="majorEastAsia" w:cstheme="majorBidi"/>
        </w:rPr>
        <w:t xml:space="preserve">, </w:t>
      </w:r>
      <w:r w:rsidR="001C7607" w:rsidRPr="00AE1690">
        <w:rPr>
          <w:rFonts w:eastAsiaTheme="majorEastAsia" w:cstheme="majorBidi"/>
        </w:rPr>
        <w:t xml:space="preserve">conduct </w:t>
      </w:r>
      <w:r w:rsidRPr="00AE1690">
        <w:rPr>
          <w:rFonts w:eastAsiaTheme="majorEastAsia" w:cstheme="majorBidi"/>
        </w:rPr>
        <w:t>quality control, and analyze data</w:t>
      </w:r>
      <w:r w:rsidRPr="00AE1690">
        <w:rPr>
          <w:rFonts w:cs="Arial"/>
        </w:rPr>
        <w:tab/>
      </w:r>
      <w:r w:rsidR="00F0000D" w:rsidRPr="00AE1690">
        <w:rPr>
          <w:rFonts w:eastAsiaTheme="majorEastAsia" w:cstheme="majorBidi"/>
        </w:rPr>
        <w:t>(</w:t>
      </w:r>
      <w:r w:rsidR="0050584D" w:rsidRPr="00AE1690">
        <w:rPr>
          <w:rFonts w:eastAsiaTheme="majorEastAsia" w:cstheme="majorBidi"/>
        </w:rPr>
        <w:t>8</w:t>
      </w:r>
      <w:r w:rsidRPr="00AE1690">
        <w:rPr>
          <w:rFonts w:eastAsiaTheme="majorEastAsia" w:cstheme="majorBidi"/>
        </w:rPr>
        <w:t xml:space="preserve"> weeks</w:t>
      </w:r>
      <w:r w:rsidR="0050584D" w:rsidRPr="00AE1690">
        <w:rPr>
          <w:rFonts w:eastAsiaTheme="majorEastAsia" w:cstheme="majorBidi"/>
        </w:rPr>
        <w:t xml:space="preserve"> after assessment closes</w:t>
      </w:r>
      <w:r w:rsidRPr="00AE1690">
        <w:rPr>
          <w:rFonts w:eastAsiaTheme="majorEastAsia" w:cstheme="majorBidi"/>
        </w:rPr>
        <w:t>)</w:t>
      </w:r>
    </w:p>
    <w:p w14:paraId="21776FCE" w14:textId="403DBFF4" w:rsidR="008C59E7" w:rsidRPr="00AE1690" w:rsidRDefault="007B6A12" w:rsidP="00782FBD">
      <w:pPr>
        <w:pStyle w:val="ListParagraph"/>
        <w:numPr>
          <w:ilvl w:val="0"/>
          <w:numId w:val="2"/>
        </w:numPr>
        <w:tabs>
          <w:tab w:val="right" w:leader="dot" w:pos="9360"/>
        </w:tabs>
        <w:ind w:left="1080"/>
      </w:pPr>
      <w:r w:rsidRPr="00AE1690">
        <w:rPr>
          <w:rFonts w:eastAsiaTheme="majorEastAsia" w:cstheme="majorBidi"/>
        </w:rPr>
        <w:t xml:space="preserve">Prepare </w:t>
      </w:r>
      <w:r w:rsidR="001C7607" w:rsidRPr="00AE1690">
        <w:rPr>
          <w:rFonts w:eastAsiaTheme="majorEastAsia" w:cstheme="majorBidi"/>
        </w:rPr>
        <w:t xml:space="preserve">summary </w:t>
      </w:r>
      <w:r w:rsidRPr="00AE1690">
        <w:rPr>
          <w:rFonts w:eastAsiaTheme="majorEastAsia" w:cstheme="majorBidi"/>
        </w:rPr>
        <w:t>report(s)</w:t>
      </w:r>
      <w:r w:rsidR="008C59E7" w:rsidRPr="00AE1690">
        <w:rPr>
          <w:rFonts w:eastAsiaTheme="majorEastAsia" w:cstheme="majorBidi"/>
        </w:rPr>
        <w:t xml:space="preserve"> </w:t>
      </w:r>
      <w:r w:rsidR="008C59E7" w:rsidRPr="00AE1690">
        <w:tab/>
      </w:r>
      <w:r w:rsidR="008C59E7" w:rsidRPr="00AE1690">
        <w:rPr>
          <w:rFonts w:eastAsiaTheme="majorEastAsia" w:cstheme="majorBidi"/>
        </w:rPr>
        <w:t>(</w:t>
      </w:r>
      <w:r w:rsidR="0050584D" w:rsidRPr="00AE1690">
        <w:rPr>
          <w:rFonts w:eastAsiaTheme="majorEastAsia" w:cstheme="majorBidi"/>
        </w:rPr>
        <w:t>4</w:t>
      </w:r>
      <w:r w:rsidR="008C59E7" w:rsidRPr="00AE1690">
        <w:rPr>
          <w:rFonts w:eastAsiaTheme="majorEastAsia" w:cstheme="majorBidi"/>
        </w:rPr>
        <w:t xml:space="preserve"> </w:t>
      </w:r>
      <w:r w:rsidR="00954637" w:rsidRPr="00AE1690">
        <w:rPr>
          <w:rFonts w:eastAsiaTheme="majorEastAsia" w:cstheme="majorBidi"/>
        </w:rPr>
        <w:t>months</w:t>
      </w:r>
      <w:r w:rsidR="008C59E7" w:rsidRPr="00AE1690">
        <w:rPr>
          <w:rFonts w:eastAsiaTheme="majorEastAsia" w:cstheme="majorBidi"/>
        </w:rPr>
        <w:t>)</w:t>
      </w:r>
    </w:p>
    <w:p w14:paraId="7E08FB69" w14:textId="7C2ABC41" w:rsidR="008C59E7" w:rsidRPr="00AE1690" w:rsidRDefault="008C59E7" w:rsidP="00782FBD">
      <w:pPr>
        <w:pStyle w:val="ListParagraph"/>
        <w:numPr>
          <w:ilvl w:val="0"/>
          <w:numId w:val="2"/>
        </w:numPr>
        <w:tabs>
          <w:tab w:val="right" w:leader="dot" w:pos="9360"/>
        </w:tabs>
        <w:ind w:left="1080"/>
      </w:pPr>
      <w:r w:rsidRPr="00AE1690">
        <w:rPr>
          <w:rFonts w:eastAsiaTheme="majorEastAsia" w:cstheme="majorBidi"/>
        </w:rPr>
        <w:t xml:space="preserve">Disseminate results/reports </w:t>
      </w:r>
      <w:r w:rsidRPr="00AE1690">
        <w:tab/>
      </w:r>
      <w:r w:rsidRPr="00AE1690">
        <w:rPr>
          <w:rFonts w:eastAsiaTheme="majorEastAsia" w:cstheme="majorBidi"/>
        </w:rPr>
        <w:t>(</w:t>
      </w:r>
      <w:r w:rsidR="0050584D" w:rsidRPr="00AE1690">
        <w:rPr>
          <w:rFonts w:eastAsiaTheme="majorEastAsia" w:cstheme="majorBidi"/>
        </w:rPr>
        <w:t>TBD</w:t>
      </w:r>
      <w:r w:rsidRPr="00AE1690">
        <w:rPr>
          <w:rFonts w:eastAsiaTheme="majorEastAsia" w:cstheme="majorBidi"/>
        </w:rPr>
        <w:t>)</w:t>
      </w:r>
    </w:p>
    <w:p w14:paraId="15F0AE83" w14:textId="77777777" w:rsidR="00F0000D" w:rsidRPr="007C10BD" w:rsidRDefault="00F0000D" w:rsidP="00B05B34">
      <w:pPr>
        <w:ind w:left="0"/>
      </w:pPr>
    </w:p>
    <w:p w14:paraId="6F92F731" w14:textId="77777777" w:rsidR="00F12DA9" w:rsidRPr="00D75750" w:rsidRDefault="00F12DA9" w:rsidP="00F12DA9">
      <w:pPr>
        <w:pStyle w:val="Heading4"/>
      </w:pPr>
      <w:bookmarkStart w:id="89" w:name="_Toc427752830"/>
      <w:bookmarkStart w:id="90" w:name="_Toc530558462"/>
      <w:r w:rsidRPr="00D75750">
        <w:t xml:space="preserve">Reason(s) Display of OMB Expiration </w:t>
      </w:r>
      <w:r>
        <w:t xml:space="preserve">Date </w:t>
      </w:r>
      <w:r w:rsidRPr="00D75750">
        <w:t>is Inappropriate</w:t>
      </w:r>
      <w:bookmarkEnd w:id="89"/>
      <w:bookmarkEnd w:id="90"/>
    </w:p>
    <w:p w14:paraId="74220750" w14:textId="77777777" w:rsidR="00F12DA9" w:rsidRDefault="00F12DA9" w:rsidP="00F12DA9">
      <w:pPr>
        <w:ind w:left="360"/>
      </w:pPr>
      <w:r>
        <w:t>We are requesting no exemption.</w:t>
      </w:r>
    </w:p>
    <w:p w14:paraId="2C768EAA" w14:textId="77777777" w:rsidR="00F12DA9" w:rsidRDefault="00F12DA9" w:rsidP="00F12DA9"/>
    <w:p w14:paraId="5B4BCCC0" w14:textId="77777777" w:rsidR="00F12DA9" w:rsidRPr="00D26A64" w:rsidRDefault="00F12DA9" w:rsidP="00F12DA9">
      <w:pPr>
        <w:pStyle w:val="Heading4"/>
      </w:pPr>
      <w:bookmarkStart w:id="91" w:name="_Toc427752831"/>
      <w:bookmarkStart w:id="92" w:name="_Toc530558463"/>
      <w:r w:rsidRPr="00D26A64">
        <w:t>Exceptions to Certification for Paperwork Reduction Act Submissions</w:t>
      </w:r>
      <w:bookmarkEnd w:id="91"/>
      <w:bookmarkEnd w:id="92"/>
    </w:p>
    <w:p w14:paraId="05FAB60C" w14:textId="4EE8E443" w:rsidR="00F12DA9" w:rsidRDefault="00F12DA9" w:rsidP="00F12DA9">
      <w:pPr>
        <w:ind w:left="360"/>
      </w:pPr>
      <w:r>
        <w:t>There are no exceptions to the certification</w:t>
      </w:r>
      <w:r w:rsidR="009960C8">
        <w:t xml:space="preserve">. </w:t>
      </w:r>
      <w:r>
        <w:t>These activities comply with the requirements in 5 CFR 1320.9.</w:t>
      </w:r>
    </w:p>
    <w:p w14:paraId="7412C832" w14:textId="77777777" w:rsidR="00695B5F" w:rsidRDefault="00695B5F">
      <w:pPr>
        <w:tabs>
          <w:tab w:val="clear" w:pos="9360"/>
        </w:tabs>
        <w:spacing w:after="200"/>
        <w:ind w:left="0"/>
        <w:rPr>
          <w:b/>
          <w:sz w:val="28"/>
        </w:rPr>
      </w:pPr>
      <w:r>
        <w:br w:type="page"/>
      </w:r>
    </w:p>
    <w:p w14:paraId="61A74F33" w14:textId="3F27C73A" w:rsidR="00A36419" w:rsidRPr="007C10BD" w:rsidRDefault="00A36419" w:rsidP="008C59E7">
      <w:pPr>
        <w:pStyle w:val="Heading3"/>
        <w:ind w:left="0"/>
      </w:pPr>
      <w:bookmarkStart w:id="93" w:name="_Toc530558464"/>
      <w:r w:rsidRPr="007C10BD">
        <w:t>LIST OF ATTACHMENTS</w:t>
      </w:r>
      <w:r w:rsidR="00A33E90" w:rsidRPr="007C10BD">
        <w:t xml:space="preserve"> – Section A</w:t>
      </w:r>
      <w:bookmarkEnd w:id="93"/>
    </w:p>
    <w:p w14:paraId="2A9C7052" w14:textId="709D140E" w:rsidR="00345E0F" w:rsidRPr="00BF5E89" w:rsidRDefault="00345E0F" w:rsidP="00BF5E89">
      <w:pPr>
        <w:tabs>
          <w:tab w:val="clear" w:pos="9360"/>
        </w:tabs>
        <w:spacing w:line="240" w:lineRule="auto"/>
        <w:ind w:left="0"/>
      </w:pPr>
      <w:r w:rsidRPr="00BF5E89">
        <w:t>Attachment A – Respondent Universe</w:t>
      </w:r>
    </w:p>
    <w:p w14:paraId="732C27F2" w14:textId="72BF8047" w:rsidR="00345E0F" w:rsidRPr="00BF5E89" w:rsidRDefault="00345E0F" w:rsidP="00BF5E89">
      <w:pPr>
        <w:tabs>
          <w:tab w:val="clear" w:pos="9360"/>
        </w:tabs>
        <w:spacing w:line="240" w:lineRule="auto"/>
        <w:ind w:left="0"/>
      </w:pPr>
      <w:r w:rsidRPr="00BF5E89">
        <w:t>Attachment B – Sample of Respondents</w:t>
      </w:r>
    </w:p>
    <w:p w14:paraId="2677D659" w14:textId="765C6842" w:rsidR="00E647FB" w:rsidRPr="00BF5E89" w:rsidRDefault="00333D07" w:rsidP="00BF5E89">
      <w:pPr>
        <w:tabs>
          <w:tab w:val="clear" w:pos="9360"/>
        </w:tabs>
        <w:spacing w:line="240" w:lineRule="auto"/>
        <w:ind w:left="0"/>
      </w:pPr>
      <w:r w:rsidRPr="00BF5E89">
        <w:t xml:space="preserve">Attachment </w:t>
      </w:r>
      <w:r w:rsidR="00B0366A" w:rsidRPr="00BF5E89">
        <w:t xml:space="preserve">C </w:t>
      </w:r>
      <w:r w:rsidRPr="00BF5E89">
        <w:t xml:space="preserve">– Web-Based Assessment, Word Version </w:t>
      </w:r>
    </w:p>
    <w:p w14:paraId="3F63656C" w14:textId="3C27984E" w:rsidR="00333D07" w:rsidRPr="00BF5E89" w:rsidRDefault="00333D07" w:rsidP="00BF5E89">
      <w:pPr>
        <w:tabs>
          <w:tab w:val="clear" w:pos="9360"/>
        </w:tabs>
        <w:spacing w:line="240" w:lineRule="auto"/>
        <w:ind w:left="0"/>
      </w:pPr>
      <w:r w:rsidRPr="00BF5E89">
        <w:t xml:space="preserve">Attachment </w:t>
      </w:r>
      <w:r w:rsidR="00B0366A" w:rsidRPr="00BF5E89">
        <w:t>D</w:t>
      </w:r>
      <w:r w:rsidRPr="00BF5E89">
        <w:t xml:space="preserve"> – Web-based Assessment, Web Version</w:t>
      </w:r>
    </w:p>
    <w:p w14:paraId="7AB0DFF6" w14:textId="2F28921F" w:rsidR="00333D07" w:rsidRPr="00BF5E89" w:rsidRDefault="00333D07" w:rsidP="00BF5E89">
      <w:pPr>
        <w:tabs>
          <w:tab w:val="clear" w:pos="9360"/>
        </w:tabs>
        <w:spacing w:line="240" w:lineRule="auto"/>
        <w:ind w:left="0"/>
      </w:pPr>
      <w:r w:rsidRPr="00BF5E89">
        <w:t xml:space="preserve">Attachment </w:t>
      </w:r>
      <w:r w:rsidR="004337D3" w:rsidRPr="00BF5E89">
        <w:t xml:space="preserve">E </w:t>
      </w:r>
      <w:r w:rsidRPr="00BF5E89">
        <w:t>– Focus Group Facilitation Guide, Word Version</w:t>
      </w:r>
    </w:p>
    <w:p w14:paraId="28CF9914" w14:textId="77777777" w:rsidR="003705DF" w:rsidRPr="00BF5E89" w:rsidRDefault="003705DF" w:rsidP="00333D07">
      <w:pPr>
        <w:ind w:left="0"/>
      </w:pPr>
    </w:p>
    <w:p w14:paraId="3F3061F7" w14:textId="77777777" w:rsidR="00CC7188" w:rsidRPr="007C10BD" w:rsidRDefault="00CC7188" w:rsidP="003860A5">
      <w:pPr>
        <w:pStyle w:val="Heading3"/>
        <w:ind w:left="0"/>
      </w:pPr>
      <w:bookmarkStart w:id="94" w:name="_Toc530558465"/>
      <w:r w:rsidRPr="007C10BD">
        <w:t>REFERENCE LIST</w:t>
      </w:r>
      <w:bookmarkEnd w:id="94"/>
      <w:r w:rsidRPr="007C10BD">
        <w:t xml:space="preserve"> </w:t>
      </w:r>
    </w:p>
    <w:p w14:paraId="30E493F6" w14:textId="4F30D8A7" w:rsidR="00923192" w:rsidRDefault="00923192" w:rsidP="006947D6">
      <w:pPr>
        <w:pStyle w:val="ListParagraph"/>
        <w:numPr>
          <w:ilvl w:val="0"/>
          <w:numId w:val="10"/>
        </w:numPr>
        <w:spacing w:after="20" w:line="240" w:lineRule="auto"/>
        <w:rPr>
          <w:rFonts w:cs="Times New Roman"/>
        </w:rPr>
      </w:pPr>
      <w:r>
        <w:rPr>
          <w:rFonts w:cs="Times New Roman"/>
        </w:rPr>
        <w:t xml:space="preserve">Centers for Disease Control and Prevention (CDC). “National Public Health Performance Standards Program (NPHPSP): 10 Essential Public Health Services.” Available at </w:t>
      </w:r>
      <w:hyperlink r:id="rId18" w:history="1">
        <w:r w:rsidRPr="00011E53">
          <w:rPr>
            <w:rStyle w:val="Hyperlink"/>
            <w:rFonts w:cs="Times New Roman"/>
          </w:rPr>
          <w:t>https://www.cdc.gov/nphpsp/essentialservices.html</w:t>
        </w:r>
      </w:hyperlink>
      <w:r>
        <w:rPr>
          <w:rFonts w:cs="Times New Roman"/>
        </w:rPr>
        <w:t>. Accessed on 8/14/14.</w:t>
      </w:r>
    </w:p>
    <w:p w14:paraId="1E779BC3" w14:textId="7F0D00CC" w:rsidR="00703C42" w:rsidRPr="005179E3" w:rsidRDefault="00703C42" w:rsidP="006947D6">
      <w:pPr>
        <w:pStyle w:val="ListParagraph"/>
        <w:numPr>
          <w:ilvl w:val="0"/>
          <w:numId w:val="10"/>
        </w:numPr>
        <w:spacing w:after="20" w:line="240" w:lineRule="auto"/>
        <w:rPr>
          <w:rFonts w:cs="Times New Roman"/>
        </w:rPr>
      </w:pPr>
      <w:r w:rsidRPr="005179E3">
        <w:rPr>
          <w:rFonts w:cs="Times New Roman"/>
        </w:rPr>
        <w:t xml:space="preserve">Hayes, P. A. J., &amp; Omodei, M. M. (2011). Managing Emergencies: Key Competencies for Incident Management Teams. </w:t>
      </w:r>
      <w:r w:rsidRPr="005179E3">
        <w:rPr>
          <w:rFonts w:cs="Times New Roman"/>
          <w:i/>
        </w:rPr>
        <w:t>Australian &amp; New Zealand Journal of Organisational Psychology</w:t>
      </w:r>
      <w:r w:rsidRPr="005179E3">
        <w:rPr>
          <w:rFonts w:cs="Times New Roman"/>
        </w:rPr>
        <w:t>, 4(1), 1-10. Doi:10.1375/ajop.4.1.1</w:t>
      </w:r>
    </w:p>
    <w:p w14:paraId="6D9F58D6" w14:textId="77777777" w:rsidR="00703C42" w:rsidRPr="005179E3" w:rsidRDefault="00703C42" w:rsidP="006947D6">
      <w:pPr>
        <w:pStyle w:val="EndnoteText"/>
        <w:numPr>
          <w:ilvl w:val="0"/>
          <w:numId w:val="10"/>
        </w:numPr>
        <w:spacing w:after="20"/>
        <w:rPr>
          <w:rFonts w:asciiTheme="majorHAnsi" w:hAnsiTheme="majorHAnsi" w:cs="Times New Roman"/>
          <w:sz w:val="22"/>
          <w:szCs w:val="22"/>
        </w:rPr>
      </w:pPr>
      <w:r w:rsidRPr="005179E3">
        <w:rPr>
          <w:rFonts w:asciiTheme="majorHAnsi" w:hAnsiTheme="majorHAnsi" w:cs="Times New Roman"/>
          <w:sz w:val="22"/>
          <w:szCs w:val="22"/>
        </w:rPr>
        <w:t xml:space="preserve">Wilson, J. L. (2002). Leadership development: working together to enhance collaboration. </w:t>
      </w:r>
      <w:r w:rsidRPr="005179E3">
        <w:rPr>
          <w:rFonts w:asciiTheme="majorHAnsi" w:hAnsiTheme="majorHAnsi" w:cs="Times New Roman"/>
          <w:i/>
          <w:sz w:val="22"/>
          <w:szCs w:val="22"/>
        </w:rPr>
        <w:t>Journal of Public Health Management &amp; Practice</w:t>
      </w:r>
      <w:r w:rsidRPr="005179E3">
        <w:rPr>
          <w:rFonts w:asciiTheme="majorHAnsi" w:hAnsiTheme="majorHAnsi" w:cs="Times New Roman"/>
          <w:sz w:val="22"/>
          <w:szCs w:val="22"/>
        </w:rPr>
        <w:t>, 8(1), 21-26.</w:t>
      </w:r>
    </w:p>
    <w:p w14:paraId="151FF125" w14:textId="77777777" w:rsidR="00703C42" w:rsidRPr="00C01989" w:rsidRDefault="00703C42" w:rsidP="006947D6">
      <w:pPr>
        <w:pStyle w:val="EndnoteText"/>
        <w:numPr>
          <w:ilvl w:val="0"/>
          <w:numId w:val="10"/>
        </w:numPr>
        <w:spacing w:after="20"/>
        <w:rPr>
          <w:rFonts w:asciiTheme="majorHAnsi" w:hAnsiTheme="majorHAnsi" w:cs="Times New Roman"/>
          <w:sz w:val="22"/>
          <w:szCs w:val="22"/>
        </w:rPr>
      </w:pPr>
      <w:r w:rsidRPr="00C01989">
        <w:rPr>
          <w:rFonts w:asciiTheme="majorHAnsi" w:hAnsiTheme="majorHAnsi" w:cs="Times New Roman"/>
          <w:sz w:val="22"/>
          <w:szCs w:val="22"/>
        </w:rPr>
        <w:t xml:space="preserve">Sobelson, R. K., Young, A. C., Marcus, L. J., Dorn, B. C., Neslund, V. S., &amp; McNulty, E. J. (2013). The meta-leadership summit for preparedness initiative: an innovative model to advance public health preparedness and response. </w:t>
      </w:r>
      <w:r w:rsidRPr="00C01989">
        <w:rPr>
          <w:rFonts w:asciiTheme="majorHAnsi" w:hAnsiTheme="majorHAnsi" w:cs="Times New Roman"/>
          <w:i/>
          <w:sz w:val="22"/>
          <w:szCs w:val="22"/>
        </w:rPr>
        <w:t>Biosecurity &amp; Bioterrorism</w:t>
      </w:r>
      <w:r w:rsidRPr="00C01989">
        <w:rPr>
          <w:rFonts w:asciiTheme="majorHAnsi" w:hAnsiTheme="majorHAnsi" w:cs="Times New Roman"/>
          <w:sz w:val="22"/>
          <w:szCs w:val="22"/>
        </w:rPr>
        <w:t>, 11(4), 251-261.</w:t>
      </w:r>
    </w:p>
    <w:p w14:paraId="0572E566" w14:textId="39747CC3" w:rsidR="00703C42" w:rsidRPr="005179E3" w:rsidRDefault="00703C42" w:rsidP="006947D6">
      <w:pPr>
        <w:pStyle w:val="EndnoteText"/>
        <w:numPr>
          <w:ilvl w:val="0"/>
          <w:numId w:val="10"/>
        </w:numPr>
        <w:spacing w:after="20"/>
        <w:rPr>
          <w:rStyle w:val="EndnoteReference"/>
          <w:rFonts w:asciiTheme="majorHAnsi" w:hAnsiTheme="majorHAnsi" w:cs="Times New Roman"/>
          <w:sz w:val="22"/>
          <w:szCs w:val="22"/>
          <w:vertAlign w:val="baseline"/>
        </w:rPr>
      </w:pPr>
      <w:r w:rsidRPr="005179E3">
        <w:rPr>
          <w:rFonts w:asciiTheme="majorHAnsi" w:hAnsiTheme="majorHAnsi" w:cs="Times New Roman"/>
          <w:sz w:val="22"/>
          <w:szCs w:val="22"/>
        </w:rPr>
        <w:t xml:space="preserve">Lawton, L. (2013). Public health and crisis leadership in the 21st century. </w:t>
      </w:r>
      <w:r w:rsidRPr="005179E3">
        <w:rPr>
          <w:rFonts w:asciiTheme="majorHAnsi" w:hAnsiTheme="majorHAnsi" w:cs="Times New Roman"/>
          <w:i/>
          <w:sz w:val="22"/>
          <w:szCs w:val="22"/>
        </w:rPr>
        <w:t>Perspectives in Public Health</w:t>
      </w:r>
      <w:r w:rsidRPr="005179E3">
        <w:rPr>
          <w:rFonts w:asciiTheme="majorHAnsi" w:hAnsiTheme="majorHAnsi" w:cs="Times New Roman"/>
          <w:sz w:val="22"/>
          <w:szCs w:val="22"/>
        </w:rPr>
        <w:t xml:space="preserve">, 133(3), 144-145. </w:t>
      </w:r>
      <w:r w:rsidR="00485C6B">
        <w:rPr>
          <w:rFonts w:asciiTheme="majorHAnsi" w:hAnsiTheme="majorHAnsi" w:cs="Times New Roman"/>
          <w:sz w:val="22"/>
          <w:szCs w:val="22"/>
        </w:rPr>
        <w:t>DOI</w:t>
      </w:r>
      <w:r w:rsidRPr="005179E3">
        <w:rPr>
          <w:rFonts w:asciiTheme="majorHAnsi" w:hAnsiTheme="majorHAnsi" w:cs="Times New Roman"/>
          <w:sz w:val="22"/>
          <w:szCs w:val="22"/>
        </w:rPr>
        <w:t>:10.1177/1757913913488469</w:t>
      </w:r>
    </w:p>
    <w:p w14:paraId="265E16B6" w14:textId="77777777" w:rsidR="00703C42" w:rsidRPr="005179E3" w:rsidRDefault="00703C42" w:rsidP="006947D6">
      <w:pPr>
        <w:pStyle w:val="ListParagraph"/>
        <w:numPr>
          <w:ilvl w:val="0"/>
          <w:numId w:val="10"/>
        </w:numPr>
        <w:spacing w:after="20" w:line="240" w:lineRule="auto"/>
        <w:rPr>
          <w:rFonts w:cs="Times New Roman"/>
        </w:rPr>
      </w:pPr>
      <w:r w:rsidRPr="00485C6B">
        <w:rPr>
          <w:rFonts w:cs="Times New Roman"/>
          <w:lang w:val="nl-NL"/>
        </w:rPr>
        <w:t xml:space="preserve">Bochenek, R., Grant, M., &amp; Schwartz, B. (2015). </w:t>
      </w:r>
      <w:r w:rsidRPr="005179E3">
        <w:rPr>
          <w:rFonts w:cs="Times New Roman"/>
        </w:rPr>
        <w:t xml:space="preserve">Enhancing the Relevance of Incident Management Systems in Public Health Emergency Preparedness: A Novel Conceptual Framework. </w:t>
      </w:r>
      <w:r w:rsidRPr="005179E3">
        <w:rPr>
          <w:rFonts w:cs="Times New Roman"/>
          <w:i/>
        </w:rPr>
        <w:t>Disaster Medicine &amp; Public Health Preparedness,</w:t>
      </w:r>
      <w:r w:rsidRPr="005179E3">
        <w:rPr>
          <w:rFonts w:cs="Times New Roman"/>
        </w:rPr>
        <w:t xml:space="preserve"> 9(4), 415-422. Doi:10.1017/dmp.2015.62</w:t>
      </w:r>
    </w:p>
    <w:p w14:paraId="029A168B" w14:textId="77777777" w:rsidR="00703C42" w:rsidRPr="005179E3" w:rsidRDefault="00703C42" w:rsidP="006947D6">
      <w:pPr>
        <w:pStyle w:val="ListParagraph"/>
        <w:numPr>
          <w:ilvl w:val="0"/>
          <w:numId w:val="10"/>
        </w:numPr>
        <w:spacing w:after="20" w:line="240" w:lineRule="auto"/>
        <w:rPr>
          <w:rFonts w:cs="Times New Roman"/>
        </w:rPr>
      </w:pPr>
      <w:r w:rsidRPr="005179E3">
        <w:rPr>
          <w:rFonts w:cs="Times New Roman"/>
        </w:rPr>
        <w:t xml:space="preserve">Wright, K., Rowitz, L., &amp; Merkle, A. (2001). A conceptual model for leadership development. </w:t>
      </w:r>
      <w:r w:rsidRPr="005179E3">
        <w:rPr>
          <w:rFonts w:cs="Times New Roman"/>
          <w:i/>
        </w:rPr>
        <w:t>Journal of Public Health Management &amp; Practice</w:t>
      </w:r>
      <w:r w:rsidRPr="005179E3">
        <w:rPr>
          <w:rFonts w:cs="Times New Roman"/>
        </w:rPr>
        <w:t>, 7(4), 60-66.</w:t>
      </w:r>
    </w:p>
    <w:p w14:paraId="6C5F7E7A" w14:textId="15E05586" w:rsidR="00703C42" w:rsidRPr="005179E3" w:rsidRDefault="00703C42" w:rsidP="006947D6">
      <w:pPr>
        <w:pStyle w:val="ListParagraph"/>
        <w:numPr>
          <w:ilvl w:val="0"/>
          <w:numId w:val="10"/>
        </w:numPr>
        <w:spacing w:after="20" w:line="240" w:lineRule="auto"/>
        <w:rPr>
          <w:rFonts w:cs="Times New Roman"/>
        </w:rPr>
      </w:pPr>
      <w:r w:rsidRPr="005179E3">
        <w:rPr>
          <w:rFonts w:cs="Times New Roman"/>
        </w:rPr>
        <w:t xml:space="preserve">Umble, K. E., Baker, E. L., &amp; Woltring, C. (2011). An evaluation of the National Public Health Leadership Institute--1991-2006: part I. Developing individual leaders. </w:t>
      </w:r>
      <w:r w:rsidRPr="005179E3">
        <w:rPr>
          <w:rFonts w:cs="Times New Roman"/>
          <w:i/>
        </w:rPr>
        <w:t>Journal of Public Health Management &amp; Practice</w:t>
      </w:r>
      <w:r w:rsidRPr="005179E3">
        <w:rPr>
          <w:rFonts w:cs="Times New Roman"/>
        </w:rPr>
        <w:t xml:space="preserve">, 17(3), 202-213. </w:t>
      </w:r>
      <w:r w:rsidR="00485C6B">
        <w:rPr>
          <w:rFonts w:cs="Times New Roman"/>
        </w:rPr>
        <w:t>DOI</w:t>
      </w:r>
      <w:r w:rsidRPr="005179E3">
        <w:rPr>
          <w:rFonts w:cs="Times New Roman"/>
        </w:rPr>
        <w:t>:10.1097/PHH.0b013e3181f1e3dc</w:t>
      </w:r>
    </w:p>
    <w:p w14:paraId="562E4FA0" w14:textId="6B4E8FDE" w:rsidR="00703C42" w:rsidRPr="005179E3" w:rsidRDefault="00703C42" w:rsidP="006947D6">
      <w:pPr>
        <w:pStyle w:val="EndnoteText"/>
        <w:numPr>
          <w:ilvl w:val="0"/>
          <w:numId w:val="10"/>
        </w:numPr>
        <w:spacing w:after="20"/>
        <w:rPr>
          <w:rFonts w:asciiTheme="majorHAnsi" w:hAnsiTheme="majorHAnsi" w:cs="Times New Roman"/>
          <w:sz w:val="22"/>
          <w:szCs w:val="22"/>
        </w:rPr>
      </w:pPr>
      <w:r w:rsidRPr="005179E3">
        <w:rPr>
          <w:rFonts w:asciiTheme="majorHAnsi" w:hAnsiTheme="majorHAnsi" w:cs="Times New Roman"/>
          <w:sz w:val="22"/>
          <w:szCs w:val="22"/>
        </w:rPr>
        <w:t xml:space="preserve">Day, M., Shickle, D., Smith, K., Zakariasen, K., Moskol, J., &amp; Oliver, T. (2014). Training public health superheroes: five talents for public health leadership. </w:t>
      </w:r>
      <w:r w:rsidRPr="005179E3">
        <w:rPr>
          <w:rFonts w:asciiTheme="majorHAnsi" w:hAnsiTheme="majorHAnsi" w:cs="Times New Roman"/>
          <w:i/>
          <w:sz w:val="22"/>
          <w:szCs w:val="22"/>
        </w:rPr>
        <w:t>Journal of Public Health</w:t>
      </w:r>
      <w:r w:rsidRPr="005179E3">
        <w:rPr>
          <w:rFonts w:asciiTheme="majorHAnsi" w:hAnsiTheme="majorHAnsi" w:cs="Times New Roman"/>
          <w:sz w:val="22"/>
          <w:szCs w:val="22"/>
        </w:rPr>
        <w:t xml:space="preserve"> (Oxf), 36(4), 552-561. </w:t>
      </w:r>
      <w:r w:rsidR="00485C6B">
        <w:rPr>
          <w:rFonts w:asciiTheme="majorHAnsi" w:hAnsiTheme="majorHAnsi" w:cs="Times New Roman"/>
          <w:sz w:val="22"/>
          <w:szCs w:val="22"/>
        </w:rPr>
        <w:t>DOI</w:t>
      </w:r>
      <w:r w:rsidRPr="005179E3">
        <w:rPr>
          <w:rFonts w:asciiTheme="majorHAnsi" w:hAnsiTheme="majorHAnsi" w:cs="Times New Roman"/>
          <w:sz w:val="22"/>
          <w:szCs w:val="22"/>
        </w:rPr>
        <w:t>:10.1093/pubmed/fdu004</w:t>
      </w:r>
    </w:p>
    <w:p w14:paraId="49B193ED" w14:textId="77777777" w:rsidR="00703C42" w:rsidRPr="0010688D" w:rsidRDefault="00703C42" w:rsidP="006947D6">
      <w:pPr>
        <w:pStyle w:val="EndnoteText"/>
        <w:numPr>
          <w:ilvl w:val="0"/>
          <w:numId w:val="10"/>
        </w:numPr>
        <w:spacing w:after="20"/>
        <w:rPr>
          <w:rStyle w:val="EndnoteReference"/>
          <w:rFonts w:asciiTheme="majorHAnsi" w:hAnsiTheme="majorHAnsi" w:cs="Times New Roman"/>
          <w:sz w:val="22"/>
          <w:szCs w:val="22"/>
          <w:vertAlign w:val="baseline"/>
        </w:rPr>
      </w:pPr>
      <w:r w:rsidRPr="005179E3">
        <w:rPr>
          <w:rFonts w:asciiTheme="majorHAnsi" w:hAnsiTheme="majorHAnsi" w:cs="Times New Roman"/>
          <w:sz w:val="22"/>
          <w:szCs w:val="22"/>
        </w:rPr>
        <w:t xml:space="preserve">Scutchfield, F. D., Spain, C., Pointer, D. D., &amp; Hafey, J. M. (1995). The public health leadership institute: leadership training for state and local </w:t>
      </w:r>
      <w:r w:rsidRPr="0010688D">
        <w:rPr>
          <w:rFonts w:asciiTheme="majorHAnsi" w:hAnsiTheme="majorHAnsi" w:cs="Times New Roman"/>
          <w:sz w:val="22"/>
          <w:szCs w:val="22"/>
        </w:rPr>
        <w:t xml:space="preserve">health officers. </w:t>
      </w:r>
      <w:r w:rsidRPr="0010688D">
        <w:rPr>
          <w:rFonts w:asciiTheme="majorHAnsi" w:hAnsiTheme="majorHAnsi" w:cs="Times New Roman"/>
          <w:i/>
          <w:sz w:val="22"/>
          <w:szCs w:val="22"/>
        </w:rPr>
        <w:t>Journal of Public Health Policy</w:t>
      </w:r>
      <w:r w:rsidRPr="0010688D">
        <w:rPr>
          <w:rFonts w:asciiTheme="majorHAnsi" w:hAnsiTheme="majorHAnsi" w:cs="Times New Roman"/>
          <w:sz w:val="22"/>
          <w:szCs w:val="22"/>
        </w:rPr>
        <w:t>, 16(3), 304-323.</w:t>
      </w:r>
    </w:p>
    <w:p w14:paraId="3C84CD08" w14:textId="77777777" w:rsidR="00703C42" w:rsidRPr="0010688D" w:rsidRDefault="00703C42" w:rsidP="006947D6">
      <w:pPr>
        <w:pStyle w:val="EndnoteText"/>
        <w:numPr>
          <w:ilvl w:val="0"/>
          <w:numId w:val="10"/>
        </w:numPr>
        <w:spacing w:after="20"/>
        <w:rPr>
          <w:rFonts w:asciiTheme="majorHAnsi" w:hAnsiTheme="majorHAnsi" w:cs="Times New Roman"/>
          <w:sz w:val="22"/>
          <w:szCs w:val="22"/>
        </w:rPr>
      </w:pPr>
      <w:r w:rsidRPr="0010688D">
        <w:rPr>
          <w:rFonts w:asciiTheme="majorHAnsi" w:hAnsiTheme="majorHAnsi" w:cs="Times New Roman"/>
          <w:sz w:val="22"/>
          <w:szCs w:val="22"/>
        </w:rPr>
        <w:t xml:space="preserve">Setliff, R., Porter, J. E., Malison, M., Frederick, S., &amp; Balderson, T. R. (2003). Strengthening the public health workforce: three CDC programs that prepare managers and leaders for the challenges of the 21st century. </w:t>
      </w:r>
      <w:r w:rsidRPr="0010688D">
        <w:rPr>
          <w:rFonts w:asciiTheme="majorHAnsi" w:hAnsiTheme="majorHAnsi" w:cs="Times New Roman"/>
          <w:i/>
          <w:sz w:val="22"/>
          <w:szCs w:val="22"/>
        </w:rPr>
        <w:t>Journal of Public Health Management &amp; Practice</w:t>
      </w:r>
      <w:r w:rsidRPr="0010688D">
        <w:rPr>
          <w:rFonts w:asciiTheme="majorHAnsi" w:hAnsiTheme="majorHAnsi" w:cs="Times New Roman"/>
          <w:sz w:val="22"/>
          <w:szCs w:val="22"/>
        </w:rPr>
        <w:t>, 9(2), 91-102.</w:t>
      </w:r>
    </w:p>
    <w:p w14:paraId="4DBA6EE4" w14:textId="626338F1" w:rsidR="00703C42" w:rsidRPr="0010688D" w:rsidRDefault="00703C42" w:rsidP="006947D6">
      <w:pPr>
        <w:pStyle w:val="EndnoteText"/>
        <w:numPr>
          <w:ilvl w:val="0"/>
          <w:numId w:val="10"/>
        </w:numPr>
        <w:spacing w:after="20"/>
        <w:rPr>
          <w:rFonts w:asciiTheme="majorHAnsi" w:hAnsiTheme="majorHAnsi" w:cs="Times New Roman"/>
          <w:sz w:val="22"/>
          <w:szCs w:val="22"/>
        </w:rPr>
      </w:pPr>
      <w:r w:rsidRPr="0010688D">
        <w:rPr>
          <w:rFonts w:asciiTheme="majorHAnsi" w:hAnsiTheme="majorHAnsi" w:cs="Times New Roman"/>
          <w:sz w:val="22"/>
          <w:szCs w:val="22"/>
        </w:rPr>
        <w:t xml:space="preserve">Reid, W. M., Brown, L. M., &amp; Landis, D. C. (2014). Leadership, collaboration, and effective training principles and practices from a decade of training by a center for public health preparedness. </w:t>
      </w:r>
      <w:r w:rsidRPr="0010688D">
        <w:rPr>
          <w:rFonts w:asciiTheme="majorHAnsi" w:hAnsiTheme="majorHAnsi" w:cs="Times New Roman"/>
          <w:i/>
          <w:sz w:val="22"/>
          <w:szCs w:val="22"/>
        </w:rPr>
        <w:t>Journal of Emergency Management</w:t>
      </w:r>
      <w:r w:rsidRPr="0010688D">
        <w:rPr>
          <w:rFonts w:asciiTheme="majorHAnsi" w:hAnsiTheme="majorHAnsi" w:cs="Times New Roman"/>
          <w:sz w:val="22"/>
          <w:szCs w:val="22"/>
        </w:rPr>
        <w:t xml:space="preserve">, 12(1), 31-44. </w:t>
      </w:r>
      <w:r w:rsidR="00880C54" w:rsidRPr="0010688D">
        <w:rPr>
          <w:rFonts w:asciiTheme="majorHAnsi" w:hAnsiTheme="majorHAnsi" w:cs="Times New Roman"/>
          <w:sz w:val="22"/>
          <w:szCs w:val="22"/>
        </w:rPr>
        <w:t>DOI</w:t>
      </w:r>
      <w:r w:rsidRPr="0010688D">
        <w:rPr>
          <w:rFonts w:asciiTheme="majorHAnsi" w:hAnsiTheme="majorHAnsi" w:cs="Times New Roman"/>
          <w:sz w:val="22"/>
          <w:szCs w:val="22"/>
        </w:rPr>
        <w:t>:http://dx.doi.org/10.5055/jem.2014.0160</w:t>
      </w:r>
    </w:p>
    <w:p w14:paraId="138C5310" w14:textId="238CF700" w:rsidR="0010688D" w:rsidRPr="0010688D" w:rsidRDefault="0010688D" w:rsidP="006947D6">
      <w:pPr>
        <w:pStyle w:val="EndnoteText"/>
        <w:numPr>
          <w:ilvl w:val="0"/>
          <w:numId w:val="10"/>
        </w:numPr>
        <w:spacing w:after="20"/>
        <w:rPr>
          <w:rFonts w:asciiTheme="majorHAnsi" w:hAnsiTheme="majorHAnsi" w:cs="Times New Roman"/>
          <w:sz w:val="22"/>
          <w:szCs w:val="22"/>
        </w:rPr>
      </w:pPr>
      <w:r w:rsidRPr="0010688D">
        <w:rPr>
          <w:rFonts w:asciiTheme="majorHAnsi" w:hAnsiTheme="majorHAnsi"/>
          <w:sz w:val="22"/>
          <w:szCs w:val="22"/>
        </w:rPr>
        <w:t>Guest G., Namey E. &amp; McKenna K. (2016</w:t>
      </w:r>
      <w:r>
        <w:rPr>
          <w:rFonts w:asciiTheme="majorHAnsi" w:hAnsiTheme="majorHAnsi"/>
          <w:sz w:val="22"/>
          <w:szCs w:val="22"/>
        </w:rPr>
        <w:t xml:space="preserve">). </w:t>
      </w:r>
      <w:r w:rsidRPr="0010688D">
        <w:rPr>
          <w:rFonts w:asciiTheme="majorHAnsi" w:hAnsiTheme="majorHAnsi"/>
          <w:sz w:val="22"/>
          <w:szCs w:val="22"/>
        </w:rPr>
        <w:t xml:space="preserve">How Many Focus Groups Are Enough? Building An Evidence Base for Nonprobability Sample Sizes. </w:t>
      </w:r>
      <w:r w:rsidRPr="0010688D">
        <w:rPr>
          <w:rFonts w:asciiTheme="majorHAnsi" w:hAnsiTheme="majorHAnsi"/>
          <w:i/>
          <w:sz w:val="22"/>
          <w:szCs w:val="22"/>
        </w:rPr>
        <w:t xml:space="preserve">Field Methods. </w:t>
      </w:r>
      <w:r w:rsidRPr="0010688D">
        <w:rPr>
          <w:rFonts w:asciiTheme="majorHAnsi" w:eastAsia="Times New Roman" w:hAnsiTheme="majorHAnsi" w:cs="Arial"/>
          <w:color w:val="333333"/>
          <w:sz w:val="22"/>
          <w:szCs w:val="22"/>
        </w:rPr>
        <w:t>Vol. 29(1) 3-22</w:t>
      </w:r>
      <w:r w:rsidR="009960C8">
        <w:rPr>
          <w:rFonts w:asciiTheme="majorHAnsi" w:eastAsia="Times New Roman" w:hAnsiTheme="majorHAnsi" w:cs="Arial"/>
          <w:color w:val="333333"/>
          <w:sz w:val="22"/>
          <w:szCs w:val="22"/>
        </w:rPr>
        <w:t xml:space="preserve">. </w:t>
      </w:r>
      <w:r w:rsidRPr="0010688D">
        <w:rPr>
          <w:rFonts w:asciiTheme="majorHAnsi" w:eastAsia="Times New Roman" w:hAnsiTheme="majorHAnsi" w:cs="Arial"/>
          <w:color w:val="333333"/>
          <w:sz w:val="22"/>
          <w:szCs w:val="22"/>
        </w:rPr>
        <w:t>DOI: 10.1177/1525822X16639015.</w:t>
      </w:r>
    </w:p>
    <w:p w14:paraId="19ABD7A7" w14:textId="77777777" w:rsidR="0027782C" w:rsidRPr="00045415" w:rsidRDefault="0027782C" w:rsidP="005179E3">
      <w:pPr>
        <w:tabs>
          <w:tab w:val="clear" w:pos="9360"/>
        </w:tabs>
        <w:spacing w:line="240" w:lineRule="auto"/>
        <w:ind w:left="0"/>
      </w:pPr>
    </w:p>
    <w:sectPr w:rsidR="0027782C" w:rsidRPr="00045415" w:rsidSect="00385BB5">
      <w:headerReference w:type="default" r:id="rId19"/>
      <w:footerReference w:type="default" r:id="rId20"/>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B01FE4" w14:textId="77777777" w:rsidR="001F1E83" w:rsidRDefault="001F1E83" w:rsidP="007D6163">
      <w:r>
        <w:separator/>
      </w:r>
    </w:p>
    <w:p w14:paraId="5AC43C94" w14:textId="77777777" w:rsidR="001F1E83" w:rsidRDefault="001F1E83" w:rsidP="007D6163"/>
  </w:endnote>
  <w:endnote w:type="continuationSeparator" w:id="0">
    <w:p w14:paraId="11B9D952" w14:textId="77777777" w:rsidR="001F1E83" w:rsidRDefault="001F1E83" w:rsidP="007D6163">
      <w:r>
        <w:continuationSeparator/>
      </w:r>
    </w:p>
    <w:p w14:paraId="21D2DBEF" w14:textId="77777777" w:rsidR="001F1E83" w:rsidRDefault="001F1E83" w:rsidP="007D61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Shruti">
    <w:panose1 w:val="020B0502040204020203"/>
    <w:charset w:val="01"/>
    <w:family w:val="roman"/>
    <w:notTrueType/>
    <w:pitch w:val="variable"/>
  </w:font>
  <w:font w:name="TimesNewRomanPSMT">
    <w:altName w:val="MS Gothic"/>
    <w:charset w:val="00"/>
    <w:family w:val="auto"/>
    <w:pitch w:val="variable"/>
    <w:sig w:usb0="E0002AE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3367856"/>
      <w:docPartObj>
        <w:docPartGallery w:val="Page Numbers (Bottom of Page)"/>
        <w:docPartUnique/>
      </w:docPartObj>
    </w:sdtPr>
    <w:sdtEndPr/>
    <w:sdtContent>
      <w:sdt>
        <w:sdtPr>
          <w:id w:val="860082579"/>
          <w:docPartObj>
            <w:docPartGallery w:val="Page Numbers (Top of Page)"/>
            <w:docPartUnique/>
          </w:docPartObj>
        </w:sdtPr>
        <w:sdtEndPr/>
        <w:sdtContent>
          <w:p w14:paraId="45072F5E" w14:textId="3886162F" w:rsidR="00E236C2" w:rsidRDefault="00E236C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810E2D">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10E2D">
              <w:rPr>
                <w:b/>
                <w:bCs/>
                <w:noProof/>
              </w:rPr>
              <w:t>2</w:t>
            </w:r>
            <w:r>
              <w:rPr>
                <w:b/>
                <w:bCs/>
                <w:sz w:val="24"/>
                <w:szCs w:val="24"/>
              </w:rPr>
              <w:fldChar w:fldCharType="end"/>
            </w:r>
          </w:p>
        </w:sdtContent>
      </w:sdt>
    </w:sdtContent>
  </w:sdt>
  <w:p w14:paraId="3FB10E01" w14:textId="77777777" w:rsidR="00E236C2" w:rsidRDefault="00E236C2" w:rsidP="007D616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517B6C" w14:textId="77777777" w:rsidR="001F1E83" w:rsidRDefault="001F1E83" w:rsidP="007D6163">
      <w:r>
        <w:separator/>
      </w:r>
    </w:p>
    <w:p w14:paraId="6DF8AA22" w14:textId="77777777" w:rsidR="001F1E83" w:rsidRDefault="001F1E83" w:rsidP="007D6163"/>
  </w:footnote>
  <w:footnote w:type="continuationSeparator" w:id="0">
    <w:p w14:paraId="64072B20" w14:textId="77777777" w:rsidR="001F1E83" w:rsidRDefault="001F1E83" w:rsidP="007D6163">
      <w:r>
        <w:continuationSeparator/>
      </w:r>
    </w:p>
    <w:p w14:paraId="020E6656" w14:textId="77777777" w:rsidR="001F1E83" w:rsidRDefault="001F1E83" w:rsidP="007D616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28A76E" w14:textId="77777777" w:rsidR="00E236C2" w:rsidRPr="00716F94" w:rsidRDefault="00E236C2" w:rsidP="007D6163">
    <w:pPr>
      <w:pStyle w:val="Header"/>
      <w:rPr>
        <w:color w:val="0033CC"/>
      </w:rPr>
    </w:pPr>
    <w:r>
      <w:tab/>
    </w:r>
  </w:p>
  <w:p w14:paraId="49ABE873" w14:textId="77777777" w:rsidR="00E236C2" w:rsidRDefault="00E236C2" w:rsidP="007D616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E7329"/>
    <w:multiLevelType w:val="hybridMultilevel"/>
    <w:tmpl w:val="840402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8C22082"/>
    <w:multiLevelType w:val="hybridMultilevel"/>
    <w:tmpl w:val="B51C5F92"/>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1440" w:hanging="360"/>
      </w:pPr>
      <w:rPr>
        <w:rFonts w:ascii="Courier New" w:hAnsi="Courier New" w:cs="Courier New" w:hint="default"/>
      </w:rPr>
    </w:lvl>
    <w:lvl w:ilvl="5" w:tplc="04090005" w:tentative="1">
      <w:start w:val="1"/>
      <w:numFmt w:val="bullet"/>
      <w:lvlText w:val=""/>
      <w:lvlJc w:val="left"/>
      <w:pPr>
        <w:ind w:left="-720" w:hanging="360"/>
      </w:pPr>
      <w:rPr>
        <w:rFonts w:ascii="Wingdings" w:hAnsi="Wingdings" w:hint="default"/>
      </w:rPr>
    </w:lvl>
    <w:lvl w:ilvl="6" w:tplc="04090001" w:tentative="1">
      <w:start w:val="1"/>
      <w:numFmt w:val="bullet"/>
      <w:lvlText w:val=""/>
      <w:lvlJc w:val="left"/>
      <w:pPr>
        <w:ind w:left="0" w:hanging="360"/>
      </w:pPr>
      <w:rPr>
        <w:rFonts w:ascii="Symbol" w:hAnsi="Symbol" w:hint="default"/>
      </w:rPr>
    </w:lvl>
    <w:lvl w:ilvl="7" w:tplc="04090003" w:tentative="1">
      <w:start w:val="1"/>
      <w:numFmt w:val="bullet"/>
      <w:lvlText w:val="o"/>
      <w:lvlJc w:val="left"/>
      <w:pPr>
        <w:ind w:left="720" w:hanging="360"/>
      </w:pPr>
      <w:rPr>
        <w:rFonts w:ascii="Courier New" w:hAnsi="Courier New" w:cs="Courier New" w:hint="default"/>
      </w:rPr>
    </w:lvl>
    <w:lvl w:ilvl="8" w:tplc="04090005" w:tentative="1">
      <w:start w:val="1"/>
      <w:numFmt w:val="bullet"/>
      <w:lvlText w:val=""/>
      <w:lvlJc w:val="left"/>
      <w:pPr>
        <w:ind w:left="1440" w:hanging="360"/>
      </w:pPr>
      <w:rPr>
        <w:rFonts w:ascii="Wingdings" w:hAnsi="Wingdings" w:hint="default"/>
      </w:rPr>
    </w:lvl>
  </w:abstractNum>
  <w:abstractNum w:abstractNumId="2">
    <w:nsid w:val="25020763"/>
    <w:multiLevelType w:val="hybridMultilevel"/>
    <w:tmpl w:val="42DC66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AF3879"/>
    <w:multiLevelType w:val="hybridMultilevel"/>
    <w:tmpl w:val="156882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nsid w:val="2FC97E8D"/>
    <w:multiLevelType w:val="hybridMultilevel"/>
    <w:tmpl w:val="7D40639A"/>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0F0FA1"/>
    <w:multiLevelType w:val="hybridMultilevel"/>
    <w:tmpl w:val="7130C06E"/>
    <w:lvl w:ilvl="0" w:tplc="805E065A">
      <w:start w:val="1"/>
      <w:numFmt w:val="decimal"/>
      <w:pStyle w:val="Heading4"/>
      <w:lvlText w:val="%1."/>
      <w:lvlJc w:val="left"/>
      <w:pPr>
        <w:ind w:left="360" w:hanging="360"/>
      </w:pPr>
      <w:rPr>
        <w:rFonts w:hint="default"/>
      </w:rPr>
    </w:lvl>
    <w:lvl w:ilvl="1" w:tplc="04090019">
      <w:start w:val="1"/>
      <w:numFmt w:val="lowerLetter"/>
      <w:lvlText w:val="%2."/>
      <w:lvlJc w:val="left"/>
      <w:pPr>
        <w:ind w:left="0" w:hanging="360"/>
      </w:pPr>
    </w:lvl>
    <w:lvl w:ilvl="2" w:tplc="0409000F">
      <w:start w:val="1"/>
      <w:numFmt w:val="decimal"/>
      <w:lvlText w:val="%3."/>
      <w:lvlJc w:val="left"/>
      <w:pPr>
        <w:ind w:left="720" w:hanging="180"/>
      </w:pPr>
      <w:rPr>
        <w:rFonts w:hint="default"/>
        <w:b/>
        <w:i w:val="0"/>
        <w:color w:val="auto"/>
      </w:rPr>
    </w:lvl>
    <w:lvl w:ilvl="3" w:tplc="16DC34E8">
      <w:start w:val="2"/>
      <w:numFmt w:val="decimal"/>
      <w:lvlText w:val="%4a"/>
      <w:lvlJc w:val="left"/>
      <w:pPr>
        <w:ind w:left="1440" w:hanging="360"/>
      </w:pPr>
      <w:rPr>
        <w:rFonts w:hint="default"/>
      </w:r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6">
    <w:nsid w:val="5FAA364A"/>
    <w:multiLevelType w:val="hybridMultilevel"/>
    <w:tmpl w:val="C8BC5744"/>
    <w:lvl w:ilvl="0" w:tplc="0409000D">
      <w:start w:val="1"/>
      <w:numFmt w:val="bullet"/>
      <w:lvlText w:val=""/>
      <w:lvlJc w:val="left"/>
      <w:pPr>
        <w:ind w:left="1800" w:hanging="360"/>
      </w:pPr>
      <w:rPr>
        <w:rFonts w:ascii="Wingdings" w:hAnsi="Wingdings"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60741BC0"/>
    <w:multiLevelType w:val="hybridMultilevel"/>
    <w:tmpl w:val="7F60F2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69605014"/>
    <w:multiLevelType w:val="hybridMultilevel"/>
    <w:tmpl w:val="860A917E"/>
    <w:lvl w:ilvl="0" w:tplc="E1C0391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A6D270E"/>
    <w:multiLevelType w:val="hybridMultilevel"/>
    <w:tmpl w:val="51A21B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15B73B6"/>
    <w:multiLevelType w:val="hybridMultilevel"/>
    <w:tmpl w:val="DA906682"/>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8BB6E50"/>
    <w:multiLevelType w:val="hybridMultilevel"/>
    <w:tmpl w:val="273CA718"/>
    <w:lvl w:ilvl="0" w:tplc="0409000F">
      <w:start w:val="1"/>
      <w:numFmt w:val="decimal"/>
      <w:lvlText w:val="%1."/>
      <w:lvlJc w:val="left"/>
      <w:pPr>
        <w:ind w:left="180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8"/>
  </w:num>
  <w:num w:numId="3">
    <w:abstractNumId w:val="10"/>
  </w:num>
  <w:num w:numId="4">
    <w:abstractNumId w:val="4"/>
  </w:num>
  <w:num w:numId="5">
    <w:abstractNumId w:val="6"/>
  </w:num>
  <w:num w:numId="6">
    <w:abstractNumId w:val="1"/>
  </w:num>
  <w:num w:numId="7">
    <w:abstractNumId w:val="3"/>
  </w:num>
  <w:num w:numId="8">
    <w:abstractNumId w:val="7"/>
  </w:num>
  <w:num w:numId="9">
    <w:abstractNumId w:val="11"/>
  </w:num>
  <w:num w:numId="10">
    <w:abstractNumId w:val="0"/>
  </w:num>
  <w:num w:numId="11">
    <w:abstractNumId w:val="9"/>
  </w:num>
  <w:num w:numId="12">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Formatting/>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BD1"/>
    <w:rsid w:val="00002CA6"/>
    <w:rsid w:val="00003659"/>
    <w:rsid w:val="00004099"/>
    <w:rsid w:val="000058E0"/>
    <w:rsid w:val="00007A13"/>
    <w:rsid w:val="00010B68"/>
    <w:rsid w:val="00011A98"/>
    <w:rsid w:val="00011F8D"/>
    <w:rsid w:val="00012EF4"/>
    <w:rsid w:val="000130B4"/>
    <w:rsid w:val="000141D2"/>
    <w:rsid w:val="00014361"/>
    <w:rsid w:val="00014579"/>
    <w:rsid w:val="00014944"/>
    <w:rsid w:val="0002073C"/>
    <w:rsid w:val="00022239"/>
    <w:rsid w:val="00025178"/>
    <w:rsid w:val="00026EC5"/>
    <w:rsid w:val="0003305F"/>
    <w:rsid w:val="000333EC"/>
    <w:rsid w:val="0004041D"/>
    <w:rsid w:val="00040611"/>
    <w:rsid w:val="0004305C"/>
    <w:rsid w:val="00045415"/>
    <w:rsid w:val="0004634F"/>
    <w:rsid w:val="00046BD1"/>
    <w:rsid w:val="00046CCD"/>
    <w:rsid w:val="00046D23"/>
    <w:rsid w:val="000474FB"/>
    <w:rsid w:val="00050240"/>
    <w:rsid w:val="00053381"/>
    <w:rsid w:val="00053A92"/>
    <w:rsid w:val="00053C15"/>
    <w:rsid w:val="00054839"/>
    <w:rsid w:val="00055DAE"/>
    <w:rsid w:val="000562A1"/>
    <w:rsid w:val="00057F36"/>
    <w:rsid w:val="000700D1"/>
    <w:rsid w:val="00070FF7"/>
    <w:rsid w:val="00071AE4"/>
    <w:rsid w:val="00080366"/>
    <w:rsid w:val="00080E48"/>
    <w:rsid w:val="000815A5"/>
    <w:rsid w:val="0009027A"/>
    <w:rsid w:val="0009085E"/>
    <w:rsid w:val="00092013"/>
    <w:rsid w:val="0009211E"/>
    <w:rsid w:val="000959CE"/>
    <w:rsid w:val="00095D94"/>
    <w:rsid w:val="000A0EEB"/>
    <w:rsid w:val="000A0F4F"/>
    <w:rsid w:val="000A1DAB"/>
    <w:rsid w:val="000A1F30"/>
    <w:rsid w:val="000A2D0C"/>
    <w:rsid w:val="000A492A"/>
    <w:rsid w:val="000A61A5"/>
    <w:rsid w:val="000A71DF"/>
    <w:rsid w:val="000A7239"/>
    <w:rsid w:val="000A7324"/>
    <w:rsid w:val="000B0962"/>
    <w:rsid w:val="000B1090"/>
    <w:rsid w:val="000B2CBC"/>
    <w:rsid w:val="000B4E33"/>
    <w:rsid w:val="000C2713"/>
    <w:rsid w:val="000C2C9D"/>
    <w:rsid w:val="000C74C6"/>
    <w:rsid w:val="000D15A8"/>
    <w:rsid w:val="000D1C5A"/>
    <w:rsid w:val="000D1E59"/>
    <w:rsid w:val="000D69CB"/>
    <w:rsid w:val="000D714C"/>
    <w:rsid w:val="000E11A9"/>
    <w:rsid w:val="000E2811"/>
    <w:rsid w:val="000E3458"/>
    <w:rsid w:val="000E3977"/>
    <w:rsid w:val="000E6577"/>
    <w:rsid w:val="000E71F7"/>
    <w:rsid w:val="000E7A19"/>
    <w:rsid w:val="000F13EE"/>
    <w:rsid w:val="000F3037"/>
    <w:rsid w:val="000F3FD9"/>
    <w:rsid w:val="000F461E"/>
    <w:rsid w:val="000F5F0A"/>
    <w:rsid w:val="000F7EDD"/>
    <w:rsid w:val="001015A4"/>
    <w:rsid w:val="00104395"/>
    <w:rsid w:val="00104A1B"/>
    <w:rsid w:val="0010688D"/>
    <w:rsid w:val="00106B50"/>
    <w:rsid w:val="001144BC"/>
    <w:rsid w:val="001177DD"/>
    <w:rsid w:val="00127667"/>
    <w:rsid w:val="001276B4"/>
    <w:rsid w:val="00130D45"/>
    <w:rsid w:val="0013174B"/>
    <w:rsid w:val="00132C8B"/>
    <w:rsid w:val="00135334"/>
    <w:rsid w:val="00135CB9"/>
    <w:rsid w:val="00140A14"/>
    <w:rsid w:val="00140B1E"/>
    <w:rsid w:val="001412D4"/>
    <w:rsid w:val="00141C48"/>
    <w:rsid w:val="00144F64"/>
    <w:rsid w:val="00145D62"/>
    <w:rsid w:val="001470D1"/>
    <w:rsid w:val="00151567"/>
    <w:rsid w:val="00153006"/>
    <w:rsid w:val="00156277"/>
    <w:rsid w:val="001564A0"/>
    <w:rsid w:val="0015715D"/>
    <w:rsid w:val="00157413"/>
    <w:rsid w:val="001607F0"/>
    <w:rsid w:val="00163E17"/>
    <w:rsid w:val="00166F9E"/>
    <w:rsid w:val="00167880"/>
    <w:rsid w:val="001703CF"/>
    <w:rsid w:val="001745C0"/>
    <w:rsid w:val="00176254"/>
    <w:rsid w:val="00180D45"/>
    <w:rsid w:val="00183A47"/>
    <w:rsid w:val="001853B5"/>
    <w:rsid w:val="00185973"/>
    <w:rsid w:val="00187870"/>
    <w:rsid w:val="00187D5A"/>
    <w:rsid w:val="00187DFF"/>
    <w:rsid w:val="0019164D"/>
    <w:rsid w:val="00194148"/>
    <w:rsid w:val="00196622"/>
    <w:rsid w:val="001972D7"/>
    <w:rsid w:val="001A1037"/>
    <w:rsid w:val="001A2848"/>
    <w:rsid w:val="001A28F6"/>
    <w:rsid w:val="001A2F57"/>
    <w:rsid w:val="001A4334"/>
    <w:rsid w:val="001A5313"/>
    <w:rsid w:val="001A60D4"/>
    <w:rsid w:val="001A6B01"/>
    <w:rsid w:val="001B12B6"/>
    <w:rsid w:val="001B24CC"/>
    <w:rsid w:val="001B2831"/>
    <w:rsid w:val="001B317E"/>
    <w:rsid w:val="001B4065"/>
    <w:rsid w:val="001B5910"/>
    <w:rsid w:val="001B63C8"/>
    <w:rsid w:val="001B6602"/>
    <w:rsid w:val="001B6AC6"/>
    <w:rsid w:val="001B70B4"/>
    <w:rsid w:val="001C0493"/>
    <w:rsid w:val="001C1326"/>
    <w:rsid w:val="001C1EC8"/>
    <w:rsid w:val="001C28AD"/>
    <w:rsid w:val="001C7607"/>
    <w:rsid w:val="001D2442"/>
    <w:rsid w:val="001D3442"/>
    <w:rsid w:val="001D5359"/>
    <w:rsid w:val="001D5697"/>
    <w:rsid w:val="001D7EC4"/>
    <w:rsid w:val="001D7FCB"/>
    <w:rsid w:val="001E152B"/>
    <w:rsid w:val="001E2075"/>
    <w:rsid w:val="001E2252"/>
    <w:rsid w:val="001E2B99"/>
    <w:rsid w:val="001E69B6"/>
    <w:rsid w:val="001E7537"/>
    <w:rsid w:val="001F0F6B"/>
    <w:rsid w:val="001F103C"/>
    <w:rsid w:val="001F1E83"/>
    <w:rsid w:val="001F38F2"/>
    <w:rsid w:val="001F45DA"/>
    <w:rsid w:val="001F4DBB"/>
    <w:rsid w:val="001F5C66"/>
    <w:rsid w:val="001F5C99"/>
    <w:rsid w:val="001F6CAC"/>
    <w:rsid w:val="00200BB2"/>
    <w:rsid w:val="002018D9"/>
    <w:rsid w:val="00201DB3"/>
    <w:rsid w:val="00202D07"/>
    <w:rsid w:val="0020312D"/>
    <w:rsid w:val="00206203"/>
    <w:rsid w:val="00206E33"/>
    <w:rsid w:val="00206EFE"/>
    <w:rsid w:val="00210519"/>
    <w:rsid w:val="0021051A"/>
    <w:rsid w:val="00212B10"/>
    <w:rsid w:val="00217896"/>
    <w:rsid w:val="00224377"/>
    <w:rsid w:val="00227259"/>
    <w:rsid w:val="00227528"/>
    <w:rsid w:val="002304D2"/>
    <w:rsid w:val="00232E5D"/>
    <w:rsid w:val="00233412"/>
    <w:rsid w:val="00233714"/>
    <w:rsid w:val="00233A65"/>
    <w:rsid w:val="00235C38"/>
    <w:rsid w:val="00236C37"/>
    <w:rsid w:val="00236CC8"/>
    <w:rsid w:val="00241B17"/>
    <w:rsid w:val="00241C81"/>
    <w:rsid w:val="00242148"/>
    <w:rsid w:val="00244557"/>
    <w:rsid w:val="00244EB0"/>
    <w:rsid w:val="002456CB"/>
    <w:rsid w:val="0025145F"/>
    <w:rsid w:val="00253DC7"/>
    <w:rsid w:val="002540EE"/>
    <w:rsid w:val="00254739"/>
    <w:rsid w:val="002551AD"/>
    <w:rsid w:val="00257A1C"/>
    <w:rsid w:val="00264BB5"/>
    <w:rsid w:val="0026583D"/>
    <w:rsid w:val="00265B5A"/>
    <w:rsid w:val="002664EC"/>
    <w:rsid w:val="0027234C"/>
    <w:rsid w:val="00272E3E"/>
    <w:rsid w:val="00273291"/>
    <w:rsid w:val="002739B4"/>
    <w:rsid w:val="00273E23"/>
    <w:rsid w:val="002743C1"/>
    <w:rsid w:val="00275A37"/>
    <w:rsid w:val="00276327"/>
    <w:rsid w:val="0027782C"/>
    <w:rsid w:val="00281795"/>
    <w:rsid w:val="002827C7"/>
    <w:rsid w:val="002850E3"/>
    <w:rsid w:val="002865D2"/>
    <w:rsid w:val="00286AC1"/>
    <w:rsid w:val="00287E2F"/>
    <w:rsid w:val="002910D2"/>
    <w:rsid w:val="00291C20"/>
    <w:rsid w:val="00292785"/>
    <w:rsid w:val="00292F57"/>
    <w:rsid w:val="00294E31"/>
    <w:rsid w:val="002A04C8"/>
    <w:rsid w:val="002A1948"/>
    <w:rsid w:val="002A1B02"/>
    <w:rsid w:val="002A2329"/>
    <w:rsid w:val="002A4E85"/>
    <w:rsid w:val="002A722A"/>
    <w:rsid w:val="002A78CC"/>
    <w:rsid w:val="002A7D49"/>
    <w:rsid w:val="002B3AE1"/>
    <w:rsid w:val="002B4330"/>
    <w:rsid w:val="002C0877"/>
    <w:rsid w:val="002C2AE2"/>
    <w:rsid w:val="002C4DF5"/>
    <w:rsid w:val="002D0DCE"/>
    <w:rsid w:val="002D1A4F"/>
    <w:rsid w:val="002D2209"/>
    <w:rsid w:val="002D28BF"/>
    <w:rsid w:val="002D4FAB"/>
    <w:rsid w:val="002D6179"/>
    <w:rsid w:val="002D6B1A"/>
    <w:rsid w:val="002E2B10"/>
    <w:rsid w:val="002E2EDD"/>
    <w:rsid w:val="002E5E32"/>
    <w:rsid w:val="002E73B0"/>
    <w:rsid w:val="002F1502"/>
    <w:rsid w:val="002F2069"/>
    <w:rsid w:val="002F3C3D"/>
    <w:rsid w:val="002F432C"/>
    <w:rsid w:val="002F71A2"/>
    <w:rsid w:val="002F7E25"/>
    <w:rsid w:val="00300AD4"/>
    <w:rsid w:val="003033F0"/>
    <w:rsid w:val="003041AD"/>
    <w:rsid w:val="00311333"/>
    <w:rsid w:val="0031279F"/>
    <w:rsid w:val="00316F00"/>
    <w:rsid w:val="003179F7"/>
    <w:rsid w:val="00320314"/>
    <w:rsid w:val="0032070D"/>
    <w:rsid w:val="00321B51"/>
    <w:rsid w:val="00323195"/>
    <w:rsid w:val="003235D1"/>
    <w:rsid w:val="0032486C"/>
    <w:rsid w:val="003256B9"/>
    <w:rsid w:val="00326E8F"/>
    <w:rsid w:val="003323FF"/>
    <w:rsid w:val="00333D07"/>
    <w:rsid w:val="0033654F"/>
    <w:rsid w:val="00336D96"/>
    <w:rsid w:val="00337937"/>
    <w:rsid w:val="003435F9"/>
    <w:rsid w:val="00344F07"/>
    <w:rsid w:val="00345E0F"/>
    <w:rsid w:val="003469C8"/>
    <w:rsid w:val="003476AE"/>
    <w:rsid w:val="00350C8C"/>
    <w:rsid w:val="0035274C"/>
    <w:rsid w:val="00352A49"/>
    <w:rsid w:val="00355EA4"/>
    <w:rsid w:val="003576CC"/>
    <w:rsid w:val="00360A55"/>
    <w:rsid w:val="0036299B"/>
    <w:rsid w:val="003635BE"/>
    <w:rsid w:val="00365045"/>
    <w:rsid w:val="0036587C"/>
    <w:rsid w:val="00366B5E"/>
    <w:rsid w:val="003705DF"/>
    <w:rsid w:val="00376290"/>
    <w:rsid w:val="00376588"/>
    <w:rsid w:val="00377AAB"/>
    <w:rsid w:val="003807F8"/>
    <w:rsid w:val="0038385D"/>
    <w:rsid w:val="00383BD5"/>
    <w:rsid w:val="003844CB"/>
    <w:rsid w:val="00385BB5"/>
    <w:rsid w:val="003860A5"/>
    <w:rsid w:val="00386BC2"/>
    <w:rsid w:val="003873EF"/>
    <w:rsid w:val="003906CC"/>
    <w:rsid w:val="00390888"/>
    <w:rsid w:val="00390E76"/>
    <w:rsid w:val="00390F37"/>
    <w:rsid w:val="00393178"/>
    <w:rsid w:val="003932C9"/>
    <w:rsid w:val="00393611"/>
    <w:rsid w:val="003943BC"/>
    <w:rsid w:val="003A2555"/>
    <w:rsid w:val="003A25B5"/>
    <w:rsid w:val="003A5852"/>
    <w:rsid w:val="003A61A4"/>
    <w:rsid w:val="003A6CD7"/>
    <w:rsid w:val="003B11B8"/>
    <w:rsid w:val="003B125E"/>
    <w:rsid w:val="003B1BE3"/>
    <w:rsid w:val="003B2200"/>
    <w:rsid w:val="003B2AE6"/>
    <w:rsid w:val="003B33DB"/>
    <w:rsid w:val="003B4180"/>
    <w:rsid w:val="003B4674"/>
    <w:rsid w:val="003B6212"/>
    <w:rsid w:val="003B7262"/>
    <w:rsid w:val="003B7C97"/>
    <w:rsid w:val="003C09B2"/>
    <w:rsid w:val="003C185F"/>
    <w:rsid w:val="003C2911"/>
    <w:rsid w:val="003C31C9"/>
    <w:rsid w:val="003C4242"/>
    <w:rsid w:val="003C4961"/>
    <w:rsid w:val="003C6F05"/>
    <w:rsid w:val="003C7610"/>
    <w:rsid w:val="003C7C5D"/>
    <w:rsid w:val="003D0AD2"/>
    <w:rsid w:val="003D5A92"/>
    <w:rsid w:val="003D6F18"/>
    <w:rsid w:val="003E0F5E"/>
    <w:rsid w:val="003E3511"/>
    <w:rsid w:val="003E50B0"/>
    <w:rsid w:val="003E58C2"/>
    <w:rsid w:val="003E59AC"/>
    <w:rsid w:val="003E68AD"/>
    <w:rsid w:val="003E7B3F"/>
    <w:rsid w:val="003F0CC1"/>
    <w:rsid w:val="003F353F"/>
    <w:rsid w:val="003F41F9"/>
    <w:rsid w:val="003F461C"/>
    <w:rsid w:val="003F5913"/>
    <w:rsid w:val="003F7303"/>
    <w:rsid w:val="003F798D"/>
    <w:rsid w:val="004024F8"/>
    <w:rsid w:val="00402BB3"/>
    <w:rsid w:val="00405696"/>
    <w:rsid w:val="00406591"/>
    <w:rsid w:val="00406845"/>
    <w:rsid w:val="00407A28"/>
    <w:rsid w:val="0041013F"/>
    <w:rsid w:val="0041159A"/>
    <w:rsid w:val="004135D5"/>
    <w:rsid w:val="00421ED3"/>
    <w:rsid w:val="004226DA"/>
    <w:rsid w:val="00423087"/>
    <w:rsid w:val="00424115"/>
    <w:rsid w:val="004245FA"/>
    <w:rsid w:val="0042500C"/>
    <w:rsid w:val="00425057"/>
    <w:rsid w:val="004305A8"/>
    <w:rsid w:val="0043229B"/>
    <w:rsid w:val="00432A08"/>
    <w:rsid w:val="004337D3"/>
    <w:rsid w:val="004343DA"/>
    <w:rsid w:val="004353D5"/>
    <w:rsid w:val="00435C65"/>
    <w:rsid w:val="00436B8A"/>
    <w:rsid w:val="0044130D"/>
    <w:rsid w:val="00441CC3"/>
    <w:rsid w:val="00441D73"/>
    <w:rsid w:val="00442B2D"/>
    <w:rsid w:val="00442B69"/>
    <w:rsid w:val="00443CA0"/>
    <w:rsid w:val="004452C2"/>
    <w:rsid w:val="00445729"/>
    <w:rsid w:val="00447BE9"/>
    <w:rsid w:val="00450E14"/>
    <w:rsid w:val="004515D8"/>
    <w:rsid w:val="00454794"/>
    <w:rsid w:val="00455617"/>
    <w:rsid w:val="00456951"/>
    <w:rsid w:val="00456DDE"/>
    <w:rsid w:val="00457FE6"/>
    <w:rsid w:val="00462958"/>
    <w:rsid w:val="00462C65"/>
    <w:rsid w:val="004635E1"/>
    <w:rsid w:val="00467182"/>
    <w:rsid w:val="004674E7"/>
    <w:rsid w:val="00467B14"/>
    <w:rsid w:val="00467D07"/>
    <w:rsid w:val="0047098C"/>
    <w:rsid w:val="00471642"/>
    <w:rsid w:val="00471869"/>
    <w:rsid w:val="004743A4"/>
    <w:rsid w:val="00474636"/>
    <w:rsid w:val="00474EDA"/>
    <w:rsid w:val="00481D80"/>
    <w:rsid w:val="004824FA"/>
    <w:rsid w:val="004837CC"/>
    <w:rsid w:val="00484011"/>
    <w:rsid w:val="0048417C"/>
    <w:rsid w:val="004841F1"/>
    <w:rsid w:val="00485C6B"/>
    <w:rsid w:val="00486999"/>
    <w:rsid w:val="00487937"/>
    <w:rsid w:val="00492200"/>
    <w:rsid w:val="00492DD6"/>
    <w:rsid w:val="00495D57"/>
    <w:rsid w:val="00497846"/>
    <w:rsid w:val="004A1E3A"/>
    <w:rsid w:val="004A3D4C"/>
    <w:rsid w:val="004A468D"/>
    <w:rsid w:val="004A5352"/>
    <w:rsid w:val="004A7652"/>
    <w:rsid w:val="004B094D"/>
    <w:rsid w:val="004B3FFD"/>
    <w:rsid w:val="004B4455"/>
    <w:rsid w:val="004B46D6"/>
    <w:rsid w:val="004B6A65"/>
    <w:rsid w:val="004B7DD8"/>
    <w:rsid w:val="004C0BF6"/>
    <w:rsid w:val="004C2664"/>
    <w:rsid w:val="004C4464"/>
    <w:rsid w:val="004C4AEA"/>
    <w:rsid w:val="004D0430"/>
    <w:rsid w:val="004D1BF1"/>
    <w:rsid w:val="004D1DAA"/>
    <w:rsid w:val="004D25CC"/>
    <w:rsid w:val="004D3D66"/>
    <w:rsid w:val="004D4EB1"/>
    <w:rsid w:val="004D5521"/>
    <w:rsid w:val="004D7869"/>
    <w:rsid w:val="004D7AAC"/>
    <w:rsid w:val="004E003C"/>
    <w:rsid w:val="004E16EB"/>
    <w:rsid w:val="004E29C3"/>
    <w:rsid w:val="004E4BAE"/>
    <w:rsid w:val="004E4C03"/>
    <w:rsid w:val="004E4DBC"/>
    <w:rsid w:val="004E5603"/>
    <w:rsid w:val="004E6665"/>
    <w:rsid w:val="004E698B"/>
    <w:rsid w:val="004E71BD"/>
    <w:rsid w:val="004F16C0"/>
    <w:rsid w:val="004F180D"/>
    <w:rsid w:val="004F601A"/>
    <w:rsid w:val="004F634E"/>
    <w:rsid w:val="004F67A8"/>
    <w:rsid w:val="004F6AFA"/>
    <w:rsid w:val="00500713"/>
    <w:rsid w:val="00502666"/>
    <w:rsid w:val="00503141"/>
    <w:rsid w:val="005034E0"/>
    <w:rsid w:val="00503625"/>
    <w:rsid w:val="0050549C"/>
    <w:rsid w:val="0050556F"/>
    <w:rsid w:val="0050584D"/>
    <w:rsid w:val="00505EA8"/>
    <w:rsid w:val="005070F6"/>
    <w:rsid w:val="005115FA"/>
    <w:rsid w:val="0051582C"/>
    <w:rsid w:val="00516612"/>
    <w:rsid w:val="00516B38"/>
    <w:rsid w:val="005179E3"/>
    <w:rsid w:val="00520F43"/>
    <w:rsid w:val="005212E5"/>
    <w:rsid w:val="00522A50"/>
    <w:rsid w:val="00524C2B"/>
    <w:rsid w:val="00525B9C"/>
    <w:rsid w:val="00525E61"/>
    <w:rsid w:val="00526E7E"/>
    <w:rsid w:val="00527225"/>
    <w:rsid w:val="00533487"/>
    <w:rsid w:val="005352F5"/>
    <w:rsid w:val="0053550A"/>
    <w:rsid w:val="0053557D"/>
    <w:rsid w:val="00540735"/>
    <w:rsid w:val="005410E3"/>
    <w:rsid w:val="00543855"/>
    <w:rsid w:val="005463DE"/>
    <w:rsid w:val="00546DC2"/>
    <w:rsid w:val="005475E5"/>
    <w:rsid w:val="00547FC1"/>
    <w:rsid w:val="005542E8"/>
    <w:rsid w:val="00555E08"/>
    <w:rsid w:val="00556630"/>
    <w:rsid w:val="0055686D"/>
    <w:rsid w:val="00556956"/>
    <w:rsid w:val="00556B1F"/>
    <w:rsid w:val="00557338"/>
    <w:rsid w:val="00557503"/>
    <w:rsid w:val="00560311"/>
    <w:rsid w:val="005630B3"/>
    <w:rsid w:val="0056598F"/>
    <w:rsid w:val="005663BB"/>
    <w:rsid w:val="00567ADD"/>
    <w:rsid w:val="00572B18"/>
    <w:rsid w:val="005742FD"/>
    <w:rsid w:val="00574A5B"/>
    <w:rsid w:val="00574B45"/>
    <w:rsid w:val="00575B2D"/>
    <w:rsid w:val="005763B6"/>
    <w:rsid w:val="00576B89"/>
    <w:rsid w:val="005800EE"/>
    <w:rsid w:val="0058158E"/>
    <w:rsid w:val="00583C2A"/>
    <w:rsid w:val="00584313"/>
    <w:rsid w:val="00584BA5"/>
    <w:rsid w:val="005869D6"/>
    <w:rsid w:val="00587C72"/>
    <w:rsid w:val="005922FD"/>
    <w:rsid w:val="0059331E"/>
    <w:rsid w:val="00594619"/>
    <w:rsid w:val="00594737"/>
    <w:rsid w:val="00595318"/>
    <w:rsid w:val="00597D67"/>
    <w:rsid w:val="005A2071"/>
    <w:rsid w:val="005A33F6"/>
    <w:rsid w:val="005A3933"/>
    <w:rsid w:val="005A3CE6"/>
    <w:rsid w:val="005A59E5"/>
    <w:rsid w:val="005B1628"/>
    <w:rsid w:val="005B4582"/>
    <w:rsid w:val="005B6951"/>
    <w:rsid w:val="005B6BD0"/>
    <w:rsid w:val="005B6D90"/>
    <w:rsid w:val="005B7440"/>
    <w:rsid w:val="005C0F82"/>
    <w:rsid w:val="005C11A5"/>
    <w:rsid w:val="005C3CC0"/>
    <w:rsid w:val="005C5E30"/>
    <w:rsid w:val="005D0EB0"/>
    <w:rsid w:val="005D2A20"/>
    <w:rsid w:val="005D42AC"/>
    <w:rsid w:val="005D5E04"/>
    <w:rsid w:val="005D6F14"/>
    <w:rsid w:val="005E0657"/>
    <w:rsid w:val="005E0C4E"/>
    <w:rsid w:val="005E2150"/>
    <w:rsid w:val="005E2672"/>
    <w:rsid w:val="005E2995"/>
    <w:rsid w:val="005E3AF0"/>
    <w:rsid w:val="005E433C"/>
    <w:rsid w:val="005F22F3"/>
    <w:rsid w:val="005F2AE8"/>
    <w:rsid w:val="005F2D80"/>
    <w:rsid w:val="005F3FEF"/>
    <w:rsid w:val="005F7A8F"/>
    <w:rsid w:val="00600C4F"/>
    <w:rsid w:val="00601EFD"/>
    <w:rsid w:val="006027FD"/>
    <w:rsid w:val="0060287B"/>
    <w:rsid w:val="00603470"/>
    <w:rsid w:val="0060347C"/>
    <w:rsid w:val="00603A53"/>
    <w:rsid w:val="00605D50"/>
    <w:rsid w:val="006064C8"/>
    <w:rsid w:val="00607F7C"/>
    <w:rsid w:val="006102DA"/>
    <w:rsid w:val="00610778"/>
    <w:rsid w:val="0061096A"/>
    <w:rsid w:val="00610B3F"/>
    <w:rsid w:val="00613BCF"/>
    <w:rsid w:val="00616090"/>
    <w:rsid w:val="00616270"/>
    <w:rsid w:val="00622CB6"/>
    <w:rsid w:val="00625708"/>
    <w:rsid w:val="00626DA8"/>
    <w:rsid w:val="00630408"/>
    <w:rsid w:val="006315A3"/>
    <w:rsid w:val="00632EED"/>
    <w:rsid w:val="006345E0"/>
    <w:rsid w:val="006448A2"/>
    <w:rsid w:val="00645489"/>
    <w:rsid w:val="0065021F"/>
    <w:rsid w:val="00650FF0"/>
    <w:rsid w:val="00651309"/>
    <w:rsid w:val="006541A1"/>
    <w:rsid w:val="00654C6C"/>
    <w:rsid w:val="006557EF"/>
    <w:rsid w:val="00656F10"/>
    <w:rsid w:val="006579A2"/>
    <w:rsid w:val="00657D1A"/>
    <w:rsid w:val="00667C89"/>
    <w:rsid w:val="00670B20"/>
    <w:rsid w:val="006711EE"/>
    <w:rsid w:val="00675F9A"/>
    <w:rsid w:val="006768B6"/>
    <w:rsid w:val="00677475"/>
    <w:rsid w:val="006778B0"/>
    <w:rsid w:val="006809BB"/>
    <w:rsid w:val="006809FD"/>
    <w:rsid w:val="00682FFF"/>
    <w:rsid w:val="006839FE"/>
    <w:rsid w:val="00684EC0"/>
    <w:rsid w:val="00691D1F"/>
    <w:rsid w:val="00692654"/>
    <w:rsid w:val="00692DEB"/>
    <w:rsid w:val="00692E7E"/>
    <w:rsid w:val="006947D6"/>
    <w:rsid w:val="00695A22"/>
    <w:rsid w:val="00695B5F"/>
    <w:rsid w:val="00697BAE"/>
    <w:rsid w:val="006A09E0"/>
    <w:rsid w:val="006A5547"/>
    <w:rsid w:val="006A5A8E"/>
    <w:rsid w:val="006A7711"/>
    <w:rsid w:val="006B4DDC"/>
    <w:rsid w:val="006B51BD"/>
    <w:rsid w:val="006B5B8F"/>
    <w:rsid w:val="006B5E55"/>
    <w:rsid w:val="006B5F01"/>
    <w:rsid w:val="006C0768"/>
    <w:rsid w:val="006C20E8"/>
    <w:rsid w:val="006C26CC"/>
    <w:rsid w:val="006C3C0B"/>
    <w:rsid w:val="006C3CDE"/>
    <w:rsid w:val="006C4DA7"/>
    <w:rsid w:val="006D1139"/>
    <w:rsid w:val="006D1BCF"/>
    <w:rsid w:val="006D25A1"/>
    <w:rsid w:val="006D3345"/>
    <w:rsid w:val="006D4491"/>
    <w:rsid w:val="006D5110"/>
    <w:rsid w:val="006D73D9"/>
    <w:rsid w:val="006E0231"/>
    <w:rsid w:val="006E14E9"/>
    <w:rsid w:val="006E14F1"/>
    <w:rsid w:val="006E50B9"/>
    <w:rsid w:val="006E6545"/>
    <w:rsid w:val="006F09A2"/>
    <w:rsid w:val="006F0E6D"/>
    <w:rsid w:val="006F36C6"/>
    <w:rsid w:val="006F6856"/>
    <w:rsid w:val="00701ACB"/>
    <w:rsid w:val="00703C42"/>
    <w:rsid w:val="0070511B"/>
    <w:rsid w:val="00706D63"/>
    <w:rsid w:val="00710FB4"/>
    <w:rsid w:val="00713412"/>
    <w:rsid w:val="00713907"/>
    <w:rsid w:val="0071430D"/>
    <w:rsid w:val="007145D0"/>
    <w:rsid w:val="00716CB4"/>
    <w:rsid w:val="00716F94"/>
    <w:rsid w:val="0071774D"/>
    <w:rsid w:val="00720AFC"/>
    <w:rsid w:val="00721180"/>
    <w:rsid w:val="00721719"/>
    <w:rsid w:val="00721A25"/>
    <w:rsid w:val="007226AE"/>
    <w:rsid w:val="00724D0F"/>
    <w:rsid w:val="007253A7"/>
    <w:rsid w:val="00725E46"/>
    <w:rsid w:val="00731357"/>
    <w:rsid w:val="007337EE"/>
    <w:rsid w:val="00734D99"/>
    <w:rsid w:val="0073537C"/>
    <w:rsid w:val="007357E6"/>
    <w:rsid w:val="00736DCC"/>
    <w:rsid w:val="00741521"/>
    <w:rsid w:val="007423AD"/>
    <w:rsid w:val="007426C5"/>
    <w:rsid w:val="0075188E"/>
    <w:rsid w:val="00751F42"/>
    <w:rsid w:val="00752CAE"/>
    <w:rsid w:val="00753787"/>
    <w:rsid w:val="00753DA3"/>
    <w:rsid w:val="007543CB"/>
    <w:rsid w:val="0075750A"/>
    <w:rsid w:val="00757A0C"/>
    <w:rsid w:val="0076001C"/>
    <w:rsid w:val="007607CE"/>
    <w:rsid w:val="00760E12"/>
    <w:rsid w:val="00763CF3"/>
    <w:rsid w:val="007648EF"/>
    <w:rsid w:val="00764DEE"/>
    <w:rsid w:val="00766AD3"/>
    <w:rsid w:val="00772293"/>
    <w:rsid w:val="00774689"/>
    <w:rsid w:val="00776981"/>
    <w:rsid w:val="00777B62"/>
    <w:rsid w:val="00780B89"/>
    <w:rsid w:val="00781AE3"/>
    <w:rsid w:val="00782FBD"/>
    <w:rsid w:val="007837B0"/>
    <w:rsid w:val="00783C75"/>
    <w:rsid w:val="007843A5"/>
    <w:rsid w:val="00784619"/>
    <w:rsid w:val="00784735"/>
    <w:rsid w:val="0078627B"/>
    <w:rsid w:val="0078765B"/>
    <w:rsid w:val="00790A35"/>
    <w:rsid w:val="007921F1"/>
    <w:rsid w:val="007935C3"/>
    <w:rsid w:val="007944DF"/>
    <w:rsid w:val="00794988"/>
    <w:rsid w:val="00794E32"/>
    <w:rsid w:val="0079581A"/>
    <w:rsid w:val="007963BC"/>
    <w:rsid w:val="007A0D73"/>
    <w:rsid w:val="007A2957"/>
    <w:rsid w:val="007A2E21"/>
    <w:rsid w:val="007A30B1"/>
    <w:rsid w:val="007A3847"/>
    <w:rsid w:val="007A40A0"/>
    <w:rsid w:val="007A4D1B"/>
    <w:rsid w:val="007A55AB"/>
    <w:rsid w:val="007A57AA"/>
    <w:rsid w:val="007B03B9"/>
    <w:rsid w:val="007B184E"/>
    <w:rsid w:val="007B2CD7"/>
    <w:rsid w:val="007B305A"/>
    <w:rsid w:val="007B3397"/>
    <w:rsid w:val="007B636D"/>
    <w:rsid w:val="007B6A12"/>
    <w:rsid w:val="007B7C44"/>
    <w:rsid w:val="007C10BD"/>
    <w:rsid w:val="007C25D0"/>
    <w:rsid w:val="007C2F7F"/>
    <w:rsid w:val="007C3CBA"/>
    <w:rsid w:val="007C5666"/>
    <w:rsid w:val="007C58E7"/>
    <w:rsid w:val="007D208F"/>
    <w:rsid w:val="007D2F1A"/>
    <w:rsid w:val="007D6163"/>
    <w:rsid w:val="007E2BE4"/>
    <w:rsid w:val="007E48CD"/>
    <w:rsid w:val="007E575D"/>
    <w:rsid w:val="007E57CD"/>
    <w:rsid w:val="007E6022"/>
    <w:rsid w:val="007E6AEF"/>
    <w:rsid w:val="007E73ED"/>
    <w:rsid w:val="007F5776"/>
    <w:rsid w:val="007F79D1"/>
    <w:rsid w:val="00801D59"/>
    <w:rsid w:val="0080455B"/>
    <w:rsid w:val="0081030F"/>
    <w:rsid w:val="00810E2D"/>
    <w:rsid w:val="00812F8F"/>
    <w:rsid w:val="00813855"/>
    <w:rsid w:val="00814644"/>
    <w:rsid w:val="00814726"/>
    <w:rsid w:val="00815C7D"/>
    <w:rsid w:val="00816D34"/>
    <w:rsid w:val="00817941"/>
    <w:rsid w:val="0082132F"/>
    <w:rsid w:val="008229E4"/>
    <w:rsid w:val="00823547"/>
    <w:rsid w:val="00823DAF"/>
    <w:rsid w:val="00824520"/>
    <w:rsid w:val="0082501B"/>
    <w:rsid w:val="008261AB"/>
    <w:rsid w:val="00826617"/>
    <w:rsid w:val="008268B4"/>
    <w:rsid w:val="008269AB"/>
    <w:rsid w:val="008276CD"/>
    <w:rsid w:val="00830C72"/>
    <w:rsid w:val="0083212B"/>
    <w:rsid w:val="00834C91"/>
    <w:rsid w:val="00835CA7"/>
    <w:rsid w:val="00836C90"/>
    <w:rsid w:val="008370D4"/>
    <w:rsid w:val="00840DDA"/>
    <w:rsid w:val="008414AD"/>
    <w:rsid w:val="008428D9"/>
    <w:rsid w:val="00844228"/>
    <w:rsid w:val="008511AE"/>
    <w:rsid w:val="00855F79"/>
    <w:rsid w:val="00856023"/>
    <w:rsid w:val="00857AE7"/>
    <w:rsid w:val="008638C0"/>
    <w:rsid w:val="00865150"/>
    <w:rsid w:val="008657D2"/>
    <w:rsid w:val="00866541"/>
    <w:rsid w:val="00866E49"/>
    <w:rsid w:val="008705AC"/>
    <w:rsid w:val="008715E7"/>
    <w:rsid w:val="008748B4"/>
    <w:rsid w:val="00876450"/>
    <w:rsid w:val="0088041C"/>
    <w:rsid w:val="00880C54"/>
    <w:rsid w:val="0088181F"/>
    <w:rsid w:val="0088228F"/>
    <w:rsid w:val="0088467A"/>
    <w:rsid w:val="00884AD9"/>
    <w:rsid w:val="00884DB9"/>
    <w:rsid w:val="00890A4E"/>
    <w:rsid w:val="00890C2D"/>
    <w:rsid w:val="008914CE"/>
    <w:rsid w:val="0089250C"/>
    <w:rsid w:val="0089419B"/>
    <w:rsid w:val="00895A6C"/>
    <w:rsid w:val="00896452"/>
    <w:rsid w:val="008A17E7"/>
    <w:rsid w:val="008A1837"/>
    <w:rsid w:val="008A1F60"/>
    <w:rsid w:val="008A3109"/>
    <w:rsid w:val="008A3D48"/>
    <w:rsid w:val="008A45B7"/>
    <w:rsid w:val="008B0AC0"/>
    <w:rsid w:val="008B12FA"/>
    <w:rsid w:val="008B4E4D"/>
    <w:rsid w:val="008B5E03"/>
    <w:rsid w:val="008B65FF"/>
    <w:rsid w:val="008B77B0"/>
    <w:rsid w:val="008C25B7"/>
    <w:rsid w:val="008C408E"/>
    <w:rsid w:val="008C4AC1"/>
    <w:rsid w:val="008C59E7"/>
    <w:rsid w:val="008C67D2"/>
    <w:rsid w:val="008C7F92"/>
    <w:rsid w:val="008D0FDE"/>
    <w:rsid w:val="008D4206"/>
    <w:rsid w:val="008D73D2"/>
    <w:rsid w:val="008E0683"/>
    <w:rsid w:val="008E0F12"/>
    <w:rsid w:val="008E14ED"/>
    <w:rsid w:val="008E197E"/>
    <w:rsid w:val="008E3D8D"/>
    <w:rsid w:val="008E420A"/>
    <w:rsid w:val="008E43D1"/>
    <w:rsid w:val="008E4A6D"/>
    <w:rsid w:val="008E66FD"/>
    <w:rsid w:val="008E6EFC"/>
    <w:rsid w:val="008F0951"/>
    <w:rsid w:val="008F2D08"/>
    <w:rsid w:val="008F3D10"/>
    <w:rsid w:val="009009C8"/>
    <w:rsid w:val="00902DD9"/>
    <w:rsid w:val="009034A5"/>
    <w:rsid w:val="00904A69"/>
    <w:rsid w:val="00904B79"/>
    <w:rsid w:val="00906DEA"/>
    <w:rsid w:val="0091033E"/>
    <w:rsid w:val="00911486"/>
    <w:rsid w:val="009129CA"/>
    <w:rsid w:val="00912BF9"/>
    <w:rsid w:val="00913829"/>
    <w:rsid w:val="00915C4D"/>
    <w:rsid w:val="00915C76"/>
    <w:rsid w:val="009206B6"/>
    <w:rsid w:val="00923192"/>
    <w:rsid w:val="009248D1"/>
    <w:rsid w:val="009252DC"/>
    <w:rsid w:val="009252F5"/>
    <w:rsid w:val="009263C1"/>
    <w:rsid w:val="009275CE"/>
    <w:rsid w:val="00930F35"/>
    <w:rsid w:val="00930FD5"/>
    <w:rsid w:val="00934E88"/>
    <w:rsid w:val="0093573A"/>
    <w:rsid w:val="0093672D"/>
    <w:rsid w:val="00936744"/>
    <w:rsid w:val="00937F71"/>
    <w:rsid w:val="0094154E"/>
    <w:rsid w:val="00941B4F"/>
    <w:rsid w:val="00945B19"/>
    <w:rsid w:val="009471FA"/>
    <w:rsid w:val="009518C0"/>
    <w:rsid w:val="00954637"/>
    <w:rsid w:val="00954A28"/>
    <w:rsid w:val="00956C7C"/>
    <w:rsid w:val="00963CE3"/>
    <w:rsid w:val="00964F18"/>
    <w:rsid w:val="009655FF"/>
    <w:rsid w:val="00965C60"/>
    <w:rsid w:val="00966044"/>
    <w:rsid w:val="009674ED"/>
    <w:rsid w:val="009702FC"/>
    <w:rsid w:val="00974424"/>
    <w:rsid w:val="00974854"/>
    <w:rsid w:val="009804FF"/>
    <w:rsid w:val="009839D6"/>
    <w:rsid w:val="00984884"/>
    <w:rsid w:val="00984F77"/>
    <w:rsid w:val="00987D60"/>
    <w:rsid w:val="00987F76"/>
    <w:rsid w:val="0099013B"/>
    <w:rsid w:val="00990781"/>
    <w:rsid w:val="00992C0A"/>
    <w:rsid w:val="00993000"/>
    <w:rsid w:val="00993088"/>
    <w:rsid w:val="009960C8"/>
    <w:rsid w:val="0099664F"/>
    <w:rsid w:val="00996E0E"/>
    <w:rsid w:val="00996EBD"/>
    <w:rsid w:val="00997A15"/>
    <w:rsid w:val="00997D5D"/>
    <w:rsid w:val="009A0447"/>
    <w:rsid w:val="009A2CE5"/>
    <w:rsid w:val="009A3975"/>
    <w:rsid w:val="009A3EF9"/>
    <w:rsid w:val="009A4B59"/>
    <w:rsid w:val="009A5491"/>
    <w:rsid w:val="009A737F"/>
    <w:rsid w:val="009B0AB1"/>
    <w:rsid w:val="009B2F70"/>
    <w:rsid w:val="009B37CB"/>
    <w:rsid w:val="009B4A51"/>
    <w:rsid w:val="009B4A9A"/>
    <w:rsid w:val="009B5C78"/>
    <w:rsid w:val="009B5E43"/>
    <w:rsid w:val="009C1826"/>
    <w:rsid w:val="009C191D"/>
    <w:rsid w:val="009C1974"/>
    <w:rsid w:val="009C1B98"/>
    <w:rsid w:val="009C28B1"/>
    <w:rsid w:val="009C42A7"/>
    <w:rsid w:val="009C468A"/>
    <w:rsid w:val="009C4B2E"/>
    <w:rsid w:val="009C4C5F"/>
    <w:rsid w:val="009C4F0E"/>
    <w:rsid w:val="009C50FA"/>
    <w:rsid w:val="009C566B"/>
    <w:rsid w:val="009C5EF2"/>
    <w:rsid w:val="009C61AD"/>
    <w:rsid w:val="009C6697"/>
    <w:rsid w:val="009D373D"/>
    <w:rsid w:val="009D436B"/>
    <w:rsid w:val="009D5927"/>
    <w:rsid w:val="009D7B2C"/>
    <w:rsid w:val="009D7E25"/>
    <w:rsid w:val="009E0801"/>
    <w:rsid w:val="009E1D05"/>
    <w:rsid w:val="009E21A1"/>
    <w:rsid w:val="009E30B2"/>
    <w:rsid w:val="009E5E42"/>
    <w:rsid w:val="009E6485"/>
    <w:rsid w:val="009E6952"/>
    <w:rsid w:val="009F135B"/>
    <w:rsid w:val="009F3CA0"/>
    <w:rsid w:val="009F76BC"/>
    <w:rsid w:val="009F7715"/>
    <w:rsid w:val="009F7DE0"/>
    <w:rsid w:val="00A01965"/>
    <w:rsid w:val="00A0222E"/>
    <w:rsid w:val="00A05973"/>
    <w:rsid w:val="00A06BCB"/>
    <w:rsid w:val="00A1050C"/>
    <w:rsid w:val="00A10A5D"/>
    <w:rsid w:val="00A11B0C"/>
    <w:rsid w:val="00A1291C"/>
    <w:rsid w:val="00A137A9"/>
    <w:rsid w:val="00A1453A"/>
    <w:rsid w:val="00A20BA8"/>
    <w:rsid w:val="00A237F4"/>
    <w:rsid w:val="00A23A40"/>
    <w:rsid w:val="00A242DB"/>
    <w:rsid w:val="00A24E10"/>
    <w:rsid w:val="00A33B35"/>
    <w:rsid w:val="00A33E90"/>
    <w:rsid w:val="00A3493C"/>
    <w:rsid w:val="00A351B9"/>
    <w:rsid w:val="00A36419"/>
    <w:rsid w:val="00A370B3"/>
    <w:rsid w:val="00A41056"/>
    <w:rsid w:val="00A41E67"/>
    <w:rsid w:val="00A44921"/>
    <w:rsid w:val="00A44AD9"/>
    <w:rsid w:val="00A53C13"/>
    <w:rsid w:val="00A53F89"/>
    <w:rsid w:val="00A55CFD"/>
    <w:rsid w:val="00A574A6"/>
    <w:rsid w:val="00A5765D"/>
    <w:rsid w:val="00A578C2"/>
    <w:rsid w:val="00A620C7"/>
    <w:rsid w:val="00A62C98"/>
    <w:rsid w:val="00A66B2B"/>
    <w:rsid w:val="00A6747A"/>
    <w:rsid w:val="00A70312"/>
    <w:rsid w:val="00A70B3C"/>
    <w:rsid w:val="00A71F9F"/>
    <w:rsid w:val="00A72652"/>
    <w:rsid w:val="00A75D1C"/>
    <w:rsid w:val="00A7628F"/>
    <w:rsid w:val="00A7649E"/>
    <w:rsid w:val="00A77C6F"/>
    <w:rsid w:val="00A809AA"/>
    <w:rsid w:val="00A827BB"/>
    <w:rsid w:val="00A849B3"/>
    <w:rsid w:val="00A84D4F"/>
    <w:rsid w:val="00A8510D"/>
    <w:rsid w:val="00A86AF3"/>
    <w:rsid w:val="00A87299"/>
    <w:rsid w:val="00A90AFF"/>
    <w:rsid w:val="00A90BDC"/>
    <w:rsid w:val="00A9438D"/>
    <w:rsid w:val="00A95477"/>
    <w:rsid w:val="00A95D7A"/>
    <w:rsid w:val="00A975A9"/>
    <w:rsid w:val="00AA21B3"/>
    <w:rsid w:val="00AA2ABB"/>
    <w:rsid w:val="00AA3192"/>
    <w:rsid w:val="00AA56D9"/>
    <w:rsid w:val="00AB0486"/>
    <w:rsid w:val="00AB251E"/>
    <w:rsid w:val="00AB3605"/>
    <w:rsid w:val="00AB3608"/>
    <w:rsid w:val="00AB62A4"/>
    <w:rsid w:val="00AC0CB2"/>
    <w:rsid w:val="00AC1272"/>
    <w:rsid w:val="00AC2A98"/>
    <w:rsid w:val="00AC3EB1"/>
    <w:rsid w:val="00AC5C48"/>
    <w:rsid w:val="00AC63E3"/>
    <w:rsid w:val="00AC75DE"/>
    <w:rsid w:val="00AC7ECF"/>
    <w:rsid w:val="00AD1731"/>
    <w:rsid w:val="00AD3F08"/>
    <w:rsid w:val="00AD5168"/>
    <w:rsid w:val="00AD6BF7"/>
    <w:rsid w:val="00AD76BE"/>
    <w:rsid w:val="00AE1690"/>
    <w:rsid w:val="00AE5C4D"/>
    <w:rsid w:val="00AE7A27"/>
    <w:rsid w:val="00AF0B4D"/>
    <w:rsid w:val="00AF0CF4"/>
    <w:rsid w:val="00AF2252"/>
    <w:rsid w:val="00AF6052"/>
    <w:rsid w:val="00AF6A2C"/>
    <w:rsid w:val="00B0098C"/>
    <w:rsid w:val="00B00B12"/>
    <w:rsid w:val="00B00FA9"/>
    <w:rsid w:val="00B0366A"/>
    <w:rsid w:val="00B03C38"/>
    <w:rsid w:val="00B05B34"/>
    <w:rsid w:val="00B10265"/>
    <w:rsid w:val="00B1065C"/>
    <w:rsid w:val="00B1129F"/>
    <w:rsid w:val="00B115E3"/>
    <w:rsid w:val="00B11D61"/>
    <w:rsid w:val="00B120DC"/>
    <w:rsid w:val="00B12F51"/>
    <w:rsid w:val="00B13E71"/>
    <w:rsid w:val="00B140E4"/>
    <w:rsid w:val="00B20B0E"/>
    <w:rsid w:val="00B216E6"/>
    <w:rsid w:val="00B23466"/>
    <w:rsid w:val="00B23B8A"/>
    <w:rsid w:val="00B2751E"/>
    <w:rsid w:val="00B27A38"/>
    <w:rsid w:val="00B33C81"/>
    <w:rsid w:val="00B3650C"/>
    <w:rsid w:val="00B41F1A"/>
    <w:rsid w:val="00B4314E"/>
    <w:rsid w:val="00B43343"/>
    <w:rsid w:val="00B43AFE"/>
    <w:rsid w:val="00B466D7"/>
    <w:rsid w:val="00B47055"/>
    <w:rsid w:val="00B521EB"/>
    <w:rsid w:val="00B55A68"/>
    <w:rsid w:val="00B57D64"/>
    <w:rsid w:val="00B622F2"/>
    <w:rsid w:val="00B63CF3"/>
    <w:rsid w:val="00B64BFA"/>
    <w:rsid w:val="00B6579F"/>
    <w:rsid w:val="00B67CB1"/>
    <w:rsid w:val="00B71E63"/>
    <w:rsid w:val="00B73672"/>
    <w:rsid w:val="00B74C9A"/>
    <w:rsid w:val="00B76F2C"/>
    <w:rsid w:val="00B7733A"/>
    <w:rsid w:val="00B77FA5"/>
    <w:rsid w:val="00B83212"/>
    <w:rsid w:val="00B84218"/>
    <w:rsid w:val="00B85896"/>
    <w:rsid w:val="00B85DE4"/>
    <w:rsid w:val="00B86B7D"/>
    <w:rsid w:val="00B8783F"/>
    <w:rsid w:val="00B87AAD"/>
    <w:rsid w:val="00B915E7"/>
    <w:rsid w:val="00B91A31"/>
    <w:rsid w:val="00B91F48"/>
    <w:rsid w:val="00B9438D"/>
    <w:rsid w:val="00B945FE"/>
    <w:rsid w:val="00B95C99"/>
    <w:rsid w:val="00BA0656"/>
    <w:rsid w:val="00BA50D9"/>
    <w:rsid w:val="00BA6325"/>
    <w:rsid w:val="00BA6C28"/>
    <w:rsid w:val="00BA6DB4"/>
    <w:rsid w:val="00BA7573"/>
    <w:rsid w:val="00BA788F"/>
    <w:rsid w:val="00BA7F09"/>
    <w:rsid w:val="00BB0024"/>
    <w:rsid w:val="00BB0813"/>
    <w:rsid w:val="00BB090C"/>
    <w:rsid w:val="00BB0EA1"/>
    <w:rsid w:val="00BB0FED"/>
    <w:rsid w:val="00BB1FE0"/>
    <w:rsid w:val="00BB5580"/>
    <w:rsid w:val="00BC3F3C"/>
    <w:rsid w:val="00BC59AC"/>
    <w:rsid w:val="00BC5BB2"/>
    <w:rsid w:val="00BC6D6D"/>
    <w:rsid w:val="00BC6DD5"/>
    <w:rsid w:val="00BD4599"/>
    <w:rsid w:val="00BD56AF"/>
    <w:rsid w:val="00BE169D"/>
    <w:rsid w:val="00BE3AF1"/>
    <w:rsid w:val="00BE59DA"/>
    <w:rsid w:val="00BE5A15"/>
    <w:rsid w:val="00BE5A97"/>
    <w:rsid w:val="00BE5FA7"/>
    <w:rsid w:val="00BE6B8F"/>
    <w:rsid w:val="00BE70A5"/>
    <w:rsid w:val="00BE738E"/>
    <w:rsid w:val="00BE7C06"/>
    <w:rsid w:val="00BF11A1"/>
    <w:rsid w:val="00BF18DA"/>
    <w:rsid w:val="00BF2CE4"/>
    <w:rsid w:val="00BF3F31"/>
    <w:rsid w:val="00BF3F54"/>
    <w:rsid w:val="00BF4B8A"/>
    <w:rsid w:val="00BF5E89"/>
    <w:rsid w:val="00BF633C"/>
    <w:rsid w:val="00C00697"/>
    <w:rsid w:val="00C01989"/>
    <w:rsid w:val="00C01F24"/>
    <w:rsid w:val="00C0320B"/>
    <w:rsid w:val="00C0376C"/>
    <w:rsid w:val="00C06D77"/>
    <w:rsid w:val="00C07C17"/>
    <w:rsid w:val="00C10E6D"/>
    <w:rsid w:val="00C113B8"/>
    <w:rsid w:val="00C1157C"/>
    <w:rsid w:val="00C1459D"/>
    <w:rsid w:val="00C14BA6"/>
    <w:rsid w:val="00C22489"/>
    <w:rsid w:val="00C249A2"/>
    <w:rsid w:val="00C249AF"/>
    <w:rsid w:val="00C24F7B"/>
    <w:rsid w:val="00C26D06"/>
    <w:rsid w:val="00C27E3C"/>
    <w:rsid w:val="00C30D2E"/>
    <w:rsid w:val="00C32EC9"/>
    <w:rsid w:val="00C33BC8"/>
    <w:rsid w:val="00C33D57"/>
    <w:rsid w:val="00C34630"/>
    <w:rsid w:val="00C3485C"/>
    <w:rsid w:val="00C34B58"/>
    <w:rsid w:val="00C353C2"/>
    <w:rsid w:val="00C41ACF"/>
    <w:rsid w:val="00C42571"/>
    <w:rsid w:val="00C4416B"/>
    <w:rsid w:val="00C4476B"/>
    <w:rsid w:val="00C44CBF"/>
    <w:rsid w:val="00C456C7"/>
    <w:rsid w:val="00C53081"/>
    <w:rsid w:val="00C542A5"/>
    <w:rsid w:val="00C544A4"/>
    <w:rsid w:val="00C56F9D"/>
    <w:rsid w:val="00C62358"/>
    <w:rsid w:val="00C63BA5"/>
    <w:rsid w:val="00C66573"/>
    <w:rsid w:val="00C66F7D"/>
    <w:rsid w:val="00C73EB3"/>
    <w:rsid w:val="00C755F0"/>
    <w:rsid w:val="00C764BC"/>
    <w:rsid w:val="00C768E5"/>
    <w:rsid w:val="00C838DB"/>
    <w:rsid w:val="00C83A90"/>
    <w:rsid w:val="00C85FDC"/>
    <w:rsid w:val="00C91151"/>
    <w:rsid w:val="00C91914"/>
    <w:rsid w:val="00C92463"/>
    <w:rsid w:val="00C937AB"/>
    <w:rsid w:val="00C93CCE"/>
    <w:rsid w:val="00C9580B"/>
    <w:rsid w:val="00C96105"/>
    <w:rsid w:val="00C966A0"/>
    <w:rsid w:val="00CA13E3"/>
    <w:rsid w:val="00CA2004"/>
    <w:rsid w:val="00CA444E"/>
    <w:rsid w:val="00CA5801"/>
    <w:rsid w:val="00CA5840"/>
    <w:rsid w:val="00CA5B99"/>
    <w:rsid w:val="00CA5E77"/>
    <w:rsid w:val="00CA60B6"/>
    <w:rsid w:val="00CA627D"/>
    <w:rsid w:val="00CA690F"/>
    <w:rsid w:val="00CB04E3"/>
    <w:rsid w:val="00CB0933"/>
    <w:rsid w:val="00CB2169"/>
    <w:rsid w:val="00CB334D"/>
    <w:rsid w:val="00CB56D5"/>
    <w:rsid w:val="00CB63F4"/>
    <w:rsid w:val="00CB67C5"/>
    <w:rsid w:val="00CC4DAB"/>
    <w:rsid w:val="00CC7188"/>
    <w:rsid w:val="00CC76CD"/>
    <w:rsid w:val="00CC7C03"/>
    <w:rsid w:val="00CD0D0B"/>
    <w:rsid w:val="00CD1BDC"/>
    <w:rsid w:val="00CD1EA8"/>
    <w:rsid w:val="00CD3D55"/>
    <w:rsid w:val="00CD491C"/>
    <w:rsid w:val="00CE08B8"/>
    <w:rsid w:val="00CE214C"/>
    <w:rsid w:val="00CE73D5"/>
    <w:rsid w:val="00CF2A0E"/>
    <w:rsid w:val="00CF4E23"/>
    <w:rsid w:val="00CF51DB"/>
    <w:rsid w:val="00CF5627"/>
    <w:rsid w:val="00CF5ABD"/>
    <w:rsid w:val="00CF5EBE"/>
    <w:rsid w:val="00CF6092"/>
    <w:rsid w:val="00CF63CE"/>
    <w:rsid w:val="00D00EA2"/>
    <w:rsid w:val="00D03FB1"/>
    <w:rsid w:val="00D04C05"/>
    <w:rsid w:val="00D06555"/>
    <w:rsid w:val="00D065B1"/>
    <w:rsid w:val="00D067C1"/>
    <w:rsid w:val="00D06816"/>
    <w:rsid w:val="00D10325"/>
    <w:rsid w:val="00D11959"/>
    <w:rsid w:val="00D1343B"/>
    <w:rsid w:val="00D13B13"/>
    <w:rsid w:val="00D15988"/>
    <w:rsid w:val="00D16E78"/>
    <w:rsid w:val="00D201D3"/>
    <w:rsid w:val="00D2030E"/>
    <w:rsid w:val="00D20631"/>
    <w:rsid w:val="00D20DFB"/>
    <w:rsid w:val="00D21203"/>
    <w:rsid w:val="00D21911"/>
    <w:rsid w:val="00D267D5"/>
    <w:rsid w:val="00D26A64"/>
    <w:rsid w:val="00D2707E"/>
    <w:rsid w:val="00D31720"/>
    <w:rsid w:val="00D32CE2"/>
    <w:rsid w:val="00D330FC"/>
    <w:rsid w:val="00D37CBB"/>
    <w:rsid w:val="00D40528"/>
    <w:rsid w:val="00D42A92"/>
    <w:rsid w:val="00D45D12"/>
    <w:rsid w:val="00D46CFC"/>
    <w:rsid w:val="00D46FF9"/>
    <w:rsid w:val="00D471F4"/>
    <w:rsid w:val="00D473C9"/>
    <w:rsid w:val="00D52B9A"/>
    <w:rsid w:val="00D52D0B"/>
    <w:rsid w:val="00D5367E"/>
    <w:rsid w:val="00D53B1E"/>
    <w:rsid w:val="00D53C24"/>
    <w:rsid w:val="00D5418C"/>
    <w:rsid w:val="00D55993"/>
    <w:rsid w:val="00D6105F"/>
    <w:rsid w:val="00D613B4"/>
    <w:rsid w:val="00D61AD2"/>
    <w:rsid w:val="00D61EA5"/>
    <w:rsid w:val="00D66834"/>
    <w:rsid w:val="00D70015"/>
    <w:rsid w:val="00D70CE7"/>
    <w:rsid w:val="00D7199D"/>
    <w:rsid w:val="00D71B1A"/>
    <w:rsid w:val="00D71C1C"/>
    <w:rsid w:val="00D726F9"/>
    <w:rsid w:val="00D72F6D"/>
    <w:rsid w:val="00D753CD"/>
    <w:rsid w:val="00D75750"/>
    <w:rsid w:val="00D76DB4"/>
    <w:rsid w:val="00D776E2"/>
    <w:rsid w:val="00D77DF2"/>
    <w:rsid w:val="00D80F7B"/>
    <w:rsid w:val="00D8204D"/>
    <w:rsid w:val="00D830CF"/>
    <w:rsid w:val="00D84286"/>
    <w:rsid w:val="00D84DD2"/>
    <w:rsid w:val="00D84EF0"/>
    <w:rsid w:val="00D861ED"/>
    <w:rsid w:val="00D86FC3"/>
    <w:rsid w:val="00D870E8"/>
    <w:rsid w:val="00D873E0"/>
    <w:rsid w:val="00D8759A"/>
    <w:rsid w:val="00D87FB0"/>
    <w:rsid w:val="00D9307E"/>
    <w:rsid w:val="00D941E3"/>
    <w:rsid w:val="00D94F8B"/>
    <w:rsid w:val="00D95F9C"/>
    <w:rsid w:val="00D95FBF"/>
    <w:rsid w:val="00DA14BD"/>
    <w:rsid w:val="00DA1FD6"/>
    <w:rsid w:val="00DA27B3"/>
    <w:rsid w:val="00DA2B91"/>
    <w:rsid w:val="00DA5988"/>
    <w:rsid w:val="00DA5AC0"/>
    <w:rsid w:val="00DA762F"/>
    <w:rsid w:val="00DB4CAC"/>
    <w:rsid w:val="00DB5790"/>
    <w:rsid w:val="00DB6F62"/>
    <w:rsid w:val="00DB7F78"/>
    <w:rsid w:val="00DC0184"/>
    <w:rsid w:val="00DC256B"/>
    <w:rsid w:val="00DC2AD2"/>
    <w:rsid w:val="00DC317C"/>
    <w:rsid w:val="00DC4FF2"/>
    <w:rsid w:val="00DC5EC1"/>
    <w:rsid w:val="00DC79CC"/>
    <w:rsid w:val="00DD4FDE"/>
    <w:rsid w:val="00DD5E65"/>
    <w:rsid w:val="00DD60F3"/>
    <w:rsid w:val="00DD7270"/>
    <w:rsid w:val="00DD7BF0"/>
    <w:rsid w:val="00DD7DEE"/>
    <w:rsid w:val="00DE10E2"/>
    <w:rsid w:val="00DE33FE"/>
    <w:rsid w:val="00DE43D4"/>
    <w:rsid w:val="00DE6D62"/>
    <w:rsid w:val="00DF054A"/>
    <w:rsid w:val="00DF1A62"/>
    <w:rsid w:val="00DF2416"/>
    <w:rsid w:val="00DF3EB4"/>
    <w:rsid w:val="00DF3ED5"/>
    <w:rsid w:val="00DF7FCF"/>
    <w:rsid w:val="00E026AE"/>
    <w:rsid w:val="00E026C9"/>
    <w:rsid w:val="00E040BB"/>
    <w:rsid w:val="00E0444F"/>
    <w:rsid w:val="00E05579"/>
    <w:rsid w:val="00E1007A"/>
    <w:rsid w:val="00E107D7"/>
    <w:rsid w:val="00E10D39"/>
    <w:rsid w:val="00E12748"/>
    <w:rsid w:val="00E128B8"/>
    <w:rsid w:val="00E12E97"/>
    <w:rsid w:val="00E134F4"/>
    <w:rsid w:val="00E147D9"/>
    <w:rsid w:val="00E162E0"/>
    <w:rsid w:val="00E20294"/>
    <w:rsid w:val="00E20D75"/>
    <w:rsid w:val="00E20FA9"/>
    <w:rsid w:val="00E23568"/>
    <w:rsid w:val="00E236C2"/>
    <w:rsid w:val="00E245B5"/>
    <w:rsid w:val="00E24858"/>
    <w:rsid w:val="00E25758"/>
    <w:rsid w:val="00E30088"/>
    <w:rsid w:val="00E324E6"/>
    <w:rsid w:val="00E33E1B"/>
    <w:rsid w:val="00E34497"/>
    <w:rsid w:val="00E34D37"/>
    <w:rsid w:val="00E34D3E"/>
    <w:rsid w:val="00E35AB7"/>
    <w:rsid w:val="00E401F7"/>
    <w:rsid w:val="00E41812"/>
    <w:rsid w:val="00E42F73"/>
    <w:rsid w:val="00E44752"/>
    <w:rsid w:val="00E44E51"/>
    <w:rsid w:val="00E45DC6"/>
    <w:rsid w:val="00E46BAF"/>
    <w:rsid w:val="00E51274"/>
    <w:rsid w:val="00E5146F"/>
    <w:rsid w:val="00E52CEA"/>
    <w:rsid w:val="00E578A0"/>
    <w:rsid w:val="00E579A9"/>
    <w:rsid w:val="00E607B0"/>
    <w:rsid w:val="00E62BD2"/>
    <w:rsid w:val="00E62F91"/>
    <w:rsid w:val="00E647FB"/>
    <w:rsid w:val="00E65493"/>
    <w:rsid w:val="00E66702"/>
    <w:rsid w:val="00E6783B"/>
    <w:rsid w:val="00E67AB1"/>
    <w:rsid w:val="00E70577"/>
    <w:rsid w:val="00E70B70"/>
    <w:rsid w:val="00E71DAF"/>
    <w:rsid w:val="00E720E9"/>
    <w:rsid w:val="00E7655F"/>
    <w:rsid w:val="00E81C5E"/>
    <w:rsid w:val="00E83B3C"/>
    <w:rsid w:val="00E841AD"/>
    <w:rsid w:val="00E84CAF"/>
    <w:rsid w:val="00E852D3"/>
    <w:rsid w:val="00E85404"/>
    <w:rsid w:val="00E85870"/>
    <w:rsid w:val="00E8736B"/>
    <w:rsid w:val="00E90275"/>
    <w:rsid w:val="00E907FA"/>
    <w:rsid w:val="00E9189D"/>
    <w:rsid w:val="00E918BB"/>
    <w:rsid w:val="00E92572"/>
    <w:rsid w:val="00E925D4"/>
    <w:rsid w:val="00E9465D"/>
    <w:rsid w:val="00E950F9"/>
    <w:rsid w:val="00E96739"/>
    <w:rsid w:val="00E96A29"/>
    <w:rsid w:val="00E97226"/>
    <w:rsid w:val="00EA2B44"/>
    <w:rsid w:val="00EA33EF"/>
    <w:rsid w:val="00EA3A4A"/>
    <w:rsid w:val="00EA3B50"/>
    <w:rsid w:val="00EA4477"/>
    <w:rsid w:val="00EA497D"/>
    <w:rsid w:val="00EA4B5B"/>
    <w:rsid w:val="00EA670E"/>
    <w:rsid w:val="00EA6BEF"/>
    <w:rsid w:val="00EB09E5"/>
    <w:rsid w:val="00EB0FD8"/>
    <w:rsid w:val="00EB201E"/>
    <w:rsid w:val="00EB22E0"/>
    <w:rsid w:val="00EB26F6"/>
    <w:rsid w:val="00EB478F"/>
    <w:rsid w:val="00EC38B9"/>
    <w:rsid w:val="00EC3EB5"/>
    <w:rsid w:val="00EC4448"/>
    <w:rsid w:val="00EC4FFD"/>
    <w:rsid w:val="00EC58F5"/>
    <w:rsid w:val="00EC5EFC"/>
    <w:rsid w:val="00EC6772"/>
    <w:rsid w:val="00EC791D"/>
    <w:rsid w:val="00ED57D1"/>
    <w:rsid w:val="00ED6DF6"/>
    <w:rsid w:val="00EE0433"/>
    <w:rsid w:val="00EE40C6"/>
    <w:rsid w:val="00EE54FA"/>
    <w:rsid w:val="00EE64D7"/>
    <w:rsid w:val="00EE670B"/>
    <w:rsid w:val="00EE7BFB"/>
    <w:rsid w:val="00EF0907"/>
    <w:rsid w:val="00EF0D51"/>
    <w:rsid w:val="00EF1568"/>
    <w:rsid w:val="00EF1D6A"/>
    <w:rsid w:val="00EF284D"/>
    <w:rsid w:val="00EF33CD"/>
    <w:rsid w:val="00EF4604"/>
    <w:rsid w:val="00EF4B25"/>
    <w:rsid w:val="00F0000D"/>
    <w:rsid w:val="00F003D6"/>
    <w:rsid w:val="00F007A1"/>
    <w:rsid w:val="00F008D5"/>
    <w:rsid w:val="00F03F6A"/>
    <w:rsid w:val="00F04133"/>
    <w:rsid w:val="00F065F4"/>
    <w:rsid w:val="00F06D90"/>
    <w:rsid w:val="00F11224"/>
    <w:rsid w:val="00F12924"/>
    <w:rsid w:val="00F12DA9"/>
    <w:rsid w:val="00F12F2A"/>
    <w:rsid w:val="00F14220"/>
    <w:rsid w:val="00F1608B"/>
    <w:rsid w:val="00F20C9B"/>
    <w:rsid w:val="00F22425"/>
    <w:rsid w:val="00F23F23"/>
    <w:rsid w:val="00F254F9"/>
    <w:rsid w:val="00F27D9D"/>
    <w:rsid w:val="00F300CB"/>
    <w:rsid w:val="00F3090F"/>
    <w:rsid w:val="00F31310"/>
    <w:rsid w:val="00F315F1"/>
    <w:rsid w:val="00F339EE"/>
    <w:rsid w:val="00F3508B"/>
    <w:rsid w:val="00F369CF"/>
    <w:rsid w:val="00F41ED9"/>
    <w:rsid w:val="00F421CE"/>
    <w:rsid w:val="00F42C3A"/>
    <w:rsid w:val="00F4323E"/>
    <w:rsid w:val="00F433A4"/>
    <w:rsid w:val="00F45451"/>
    <w:rsid w:val="00F47F71"/>
    <w:rsid w:val="00F47F90"/>
    <w:rsid w:val="00F505AA"/>
    <w:rsid w:val="00F52BCC"/>
    <w:rsid w:val="00F5313F"/>
    <w:rsid w:val="00F5511C"/>
    <w:rsid w:val="00F553AD"/>
    <w:rsid w:val="00F55C0C"/>
    <w:rsid w:val="00F56B7E"/>
    <w:rsid w:val="00F65839"/>
    <w:rsid w:val="00F65934"/>
    <w:rsid w:val="00F665A4"/>
    <w:rsid w:val="00F66AEB"/>
    <w:rsid w:val="00F66C20"/>
    <w:rsid w:val="00F700E6"/>
    <w:rsid w:val="00F72FC9"/>
    <w:rsid w:val="00F74E14"/>
    <w:rsid w:val="00F7609A"/>
    <w:rsid w:val="00F81135"/>
    <w:rsid w:val="00F8171E"/>
    <w:rsid w:val="00F81A48"/>
    <w:rsid w:val="00F8434A"/>
    <w:rsid w:val="00F8447B"/>
    <w:rsid w:val="00F934EC"/>
    <w:rsid w:val="00FA2C8F"/>
    <w:rsid w:val="00FA2EA1"/>
    <w:rsid w:val="00FA4A32"/>
    <w:rsid w:val="00FA62C9"/>
    <w:rsid w:val="00FA6539"/>
    <w:rsid w:val="00FA7D77"/>
    <w:rsid w:val="00FB2852"/>
    <w:rsid w:val="00FB2E46"/>
    <w:rsid w:val="00FB316C"/>
    <w:rsid w:val="00FB611A"/>
    <w:rsid w:val="00FB62BC"/>
    <w:rsid w:val="00FB6FF5"/>
    <w:rsid w:val="00FB7764"/>
    <w:rsid w:val="00FC2544"/>
    <w:rsid w:val="00FC6661"/>
    <w:rsid w:val="00FD17C9"/>
    <w:rsid w:val="00FD1FA7"/>
    <w:rsid w:val="00FD2A5B"/>
    <w:rsid w:val="00FD68CC"/>
    <w:rsid w:val="00FD731A"/>
    <w:rsid w:val="00FE042A"/>
    <w:rsid w:val="00FE118D"/>
    <w:rsid w:val="00FE1B7C"/>
    <w:rsid w:val="00FE2FCC"/>
    <w:rsid w:val="00FE60FA"/>
    <w:rsid w:val="00FE6A5C"/>
    <w:rsid w:val="00FF5BF1"/>
    <w:rsid w:val="00FF61A1"/>
    <w:rsid w:val="00FF65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F903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4EC"/>
    <w:pPr>
      <w:tabs>
        <w:tab w:val="right" w:pos="9360"/>
      </w:tabs>
      <w:spacing w:after="0"/>
      <w:ind w:left="720"/>
    </w:pPr>
    <w:rPr>
      <w:rFonts w:asciiTheme="majorHAnsi" w:hAnsiTheme="majorHAnsi"/>
    </w:rPr>
  </w:style>
  <w:style w:type="paragraph" w:styleId="Heading1">
    <w:name w:val="heading 1"/>
    <w:basedOn w:val="Normal"/>
    <w:next w:val="Normal"/>
    <w:link w:val="Heading1Char"/>
    <w:uiPriority w:val="9"/>
    <w:qFormat/>
    <w:rsid w:val="007D6163"/>
    <w:pPr>
      <w:jc w:val="center"/>
      <w:outlineLvl w:val="0"/>
    </w:pPr>
    <w:rPr>
      <w:b/>
      <w:sz w:val="40"/>
    </w:rPr>
  </w:style>
  <w:style w:type="paragraph" w:styleId="Heading2">
    <w:name w:val="heading 2"/>
    <w:basedOn w:val="Normal"/>
    <w:link w:val="Heading2Char"/>
    <w:uiPriority w:val="9"/>
    <w:qFormat/>
    <w:rsid w:val="007D6163"/>
    <w:pPr>
      <w:jc w:val="center"/>
      <w:outlineLvl w:val="1"/>
    </w:pPr>
    <w:rPr>
      <w:b/>
      <w:sz w:val="32"/>
    </w:rPr>
  </w:style>
  <w:style w:type="paragraph" w:styleId="Heading3">
    <w:name w:val="heading 3"/>
    <w:basedOn w:val="Normal"/>
    <w:next w:val="Normal"/>
    <w:link w:val="Heading3Char"/>
    <w:uiPriority w:val="9"/>
    <w:unhideWhenUsed/>
    <w:qFormat/>
    <w:rsid w:val="007D6163"/>
    <w:pPr>
      <w:outlineLvl w:val="2"/>
    </w:pPr>
    <w:rPr>
      <w:b/>
      <w:sz w:val="28"/>
    </w:rPr>
  </w:style>
  <w:style w:type="paragraph" w:styleId="Heading4">
    <w:name w:val="heading 4"/>
    <w:basedOn w:val="ListParagraph"/>
    <w:next w:val="Normal"/>
    <w:link w:val="Heading4Char"/>
    <w:uiPriority w:val="9"/>
    <w:unhideWhenUsed/>
    <w:qFormat/>
    <w:rsid w:val="00692DEB"/>
    <w:pPr>
      <w:numPr>
        <w:numId w:val="1"/>
      </w:numPr>
      <w:spacing w:after="120"/>
      <w:outlineLvl w:val="3"/>
    </w:pPr>
    <w:rPr>
      <w:b/>
    </w:rPr>
  </w:style>
  <w:style w:type="paragraph" w:styleId="Heading5">
    <w:name w:val="heading 5"/>
    <w:basedOn w:val="Normal"/>
    <w:next w:val="Normal"/>
    <w:link w:val="Heading5Char"/>
    <w:uiPriority w:val="9"/>
    <w:unhideWhenUsed/>
    <w:qFormat/>
    <w:rsid w:val="007D6163"/>
    <w:pPr>
      <w:outlineLvl w:val="4"/>
    </w:pPr>
    <w:rPr>
      <w:b/>
    </w:rPr>
  </w:style>
  <w:style w:type="paragraph" w:styleId="Heading6">
    <w:name w:val="heading 6"/>
    <w:basedOn w:val="Normal"/>
    <w:next w:val="Normal"/>
    <w:link w:val="Heading6Char"/>
    <w:uiPriority w:val="9"/>
    <w:unhideWhenUsed/>
    <w:qFormat/>
    <w:rsid w:val="007D6163"/>
    <w:pPr>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aliases w:val="Paragraph,Proposal Bullet List,Indended Text"/>
    <w:basedOn w:val="Normal"/>
    <w:link w:val="ListParagraphChar"/>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7D6163"/>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customStyle="1" w:styleId="Heading1Char">
    <w:name w:val="Heading 1 Char"/>
    <w:basedOn w:val="DefaultParagraphFont"/>
    <w:link w:val="Heading1"/>
    <w:uiPriority w:val="9"/>
    <w:rsid w:val="007D6163"/>
    <w:rPr>
      <w:rFonts w:asciiTheme="majorHAnsi" w:hAnsiTheme="majorHAnsi"/>
      <w:b/>
      <w:sz w:val="40"/>
    </w:rPr>
  </w:style>
  <w:style w:type="character" w:customStyle="1" w:styleId="Heading3Char">
    <w:name w:val="Heading 3 Char"/>
    <w:basedOn w:val="DefaultParagraphFont"/>
    <w:link w:val="Heading3"/>
    <w:uiPriority w:val="9"/>
    <w:rsid w:val="007D6163"/>
    <w:rPr>
      <w:rFonts w:asciiTheme="majorHAnsi" w:hAnsiTheme="majorHAnsi"/>
      <w:b/>
      <w:sz w:val="28"/>
    </w:rPr>
  </w:style>
  <w:style w:type="character" w:customStyle="1" w:styleId="Heading4Char">
    <w:name w:val="Heading 4 Char"/>
    <w:basedOn w:val="DefaultParagraphFont"/>
    <w:link w:val="Heading4"/>
    <w:uiPriority w:val="9"/>
    <w:rsid w:val="00692DEB"/>
    <w:rPr>
      <w:rFonts w:asciiTheme="majorHAnsi" w:hAnsiTheme="majorHAnsi"/>
      <w:b/>
    </w:rPr>
  </w:style>
  <w:style w:type="character" w:customStyle="1" w:styleId="Heading5Char">
    <w:name w:val="Heading 5 Char"/>
    <w:basedOn w:val="DefaultParagraphFont"/>
    <w:link w:val="Heading5"/>
    <w:uiPriority w:val="9"/>
    <w:rsid w:val="007D6163"/>
    <w:rPr>
      <w:rFonts w:asciiTheme="majorHAnsi" w:hAnsiTheme="majorHAnsi"/>
      <w:b/>
    </w:rPr>
  </w:style>
  <w:style w:type="character" w:customStyle="1" w:styleId="Heading6Char">
    <w:name w:val="Heading 6 Char"/>
    <w:basedOn w:val="DefaultParagraphFont"/>
    <w:link w:val="Heading6"/>
    <w:uiPriority w:val="9"/>
    <w:rsid w:val="007D6163"/>
    <w:rPr>
      <w:rFonts w:asciiTheme="majorHAnsi" w:hAnsiTheme="majorHAnsi"/>
      <w:u w:val="single"/>
    </w:rPr>
  </w:style>
  <w:style w:type="paragraph" w:styleId="Revision">
    <w:name w:val="Revision"/>
    <w:hidden/>
    <w:uiPriority w:val="99"/>
    <w:semiHidden/>
    <w:rsid w:val="003B1BE3"/>
    <w:pPr>
      <w:spacing w:after="0" w:line="240" w:lineRule="auto"/>
    </w:pPr>
    <w:rPr>
      <w:rFonts w:asciiTheme="majorHAnsi" w:hAnsiTheme="majorHAnsi"/>
    </w:rPr>
  </w:style>
  <w:style w:type="paragraph" w:styleId="TOC1">
    <w:name w:val="toc 1"/>
    <w:basedOn w:val="Normal"/>
    <w:next w:val="Normal"/>
    <w:autoRedefine/>
    <w:uiPriority w:val="39"/>
    <w:unhideWhenUsed/>
    <w:rsid w:val="003860A5"/>
    <w:pPr>
      <w:tabs>
        <w:tab w:val="clear" w:pos="9360"/>
      </w:tabs>
      <w:spacing w:after="100"/>
      <w:ind w:left="0"/>
    </w:pPr>
  </w:style>
  <w:style w:type="paragraph" w:styleId="TOC2">
    <w:name w:val="toc 2"/>
    <w:basedOn w:val="Normal"/>
    <w:next w:val="Normal"/>
    <w:autoRedefine/>
    <w:uiPriority w:val="39"/>
    <w:unhideWhenUsed/>
    <w:rsid w:val="001B70B4"/>
    <w:pPr>
      <w:tabs>
        <w:tab w:val="clear" w:pos="9360"/>
        <w:tab w:val="left" w:pos="660"/>
        <w:tab w:val="right" w:leader="dot" w:pos="9350"/>
      </w:tabs>
      <w:spacing w:after="100"/>
      <w:ind w:left="630" w:hanging="410"/>
    </w:pPr>
  </w:style>
  <w:style w:type="paragraph" w:styleId="TOC8">
    <w:name w:val="toc 8"/>
    <w:basedOn w:val="Normal"/>
    <w:next w:val="Normal"/>
    <w:autoRedefine/>
    <w:uiPriority w:val="39"/>
    <w:unhideWhenUsed/>
    <w:rsid w:val="003860A5"/>
    <w:pPr>
      <w:tabs>
        <w:tab w:val="clear" w:pos="9360"/>
      </w:tabs>
      <w:spacing w:after="100"/>
      <w:ind w:left="1540"/>
    </w:pPr>
    <w:rPr>
      <w:rFonts w:asciiTheme="minorHAnsi" w:hAnsiTheme="minorHAnsi"/>
    </w:rPr>
  </w:style>
  <w:style w:type="character" w:styleId="FollowedHyperlink">
    <w:name w:val="FollowedHyperlink"/>
    <w:basedOn w:val="DefaultParagraphFont"/>
    <w:uiPriority w:val="99"/>
    <w:semiHidden/>
    <w:unhideWhenUsed/>
    <w:rsid w:val="008C408E"/>
    <w:rPr>
      <w:color w:val="800080" w:themeColor="followedHyperlink"/>
      <w:u w:val="single"/>
    </w:rPr>
  </w:style>
  <w:style w:type="character" w:customStyle="1" w:styleId="ListParagraphChar">
    <w:name w:val="List Paragraph Char"/>
    <w:aliases w:val="Paragraph Char,Proposal Bullet List Char,Indended Text Char"/>
    <w:basedOn w:val="DefaultParagraphFont"/>
    <w:link w:val="ListParagraph"/>
    <w:uiPriority w:val="34"/>
    <w:locked/>
    <w:rsid w:val="0002073C"/>
    <w:rPr>
      <w:rFonts w:asciiTheme="majorHAnsi" w:hAnsiTheme="majorHAnsi"/>
    </w:rPr>
  </w:style>
  <w:style w:type="paragraph" w:styleId="EndnoteText">
    <w:name w:val="endnote text"/>
    <w:basedOn w:val="Normal"/>
    <w:link w:val="EndnoteTextChar"/>
    <w:uiPriority w:val="99"/>
    <w:unhideWhenUsed/>
    <w:rsid w:val="000D15A8"/>
    <w:pPr>
      <w:tabs>
        <w:tab w:val="clear" w:pos="9360"/>
      </w:tabs>
      <w:spacing w:line="240" w:lineRule="auto"/>
      <w:ind w:left="0"/>
    </w:pPr>
    <w:rPr>
      <w:rFonts w:ascii="Calibri" w:eastAsiaTheme="minorHAnsi" w:hAnsi="Calibri" w:cs="Calibri"/>
      <w:sz w:val="20"/>
      <w:szCs w:val="20"/>
    </w:rPr>
  </w:style>
  <w:style w:type="character" w:customStyle="1" w:styleId="EndnoteTextChar">
    <w:name w:val="Endnote Text Char"/>
    <w:basedOn w:val="DefaultParagraphFont"/>
    <w:link w:val="EndnoteText"/>
    <w:uiPriority w:val="99"/>
    <w:rsid w:val="000D15A8"/>
    <w:rPr>
      <w:rFonts w:ascii="Calibri" w:eastAsiaTheme="minorHAnsi" w:hAnsi="Calibri" w:cs="Calibri"/>
      <w:sz w:val="20"/>
      <w:szCs w:val="20"/>
    </w:rPr>
  </w:style>
  <w:style w:type="character" w:styleId="EndnoteReference">
    <w:name w:val="endnote reference"/>
    <w:basedOn w:val="DefaultParagraphFont"/>
    <w:uiPriority w:val="99"/>
    <w:semiHidden/>
    <w:unhideWhenUsed/>
    <w:rsid w:val="000D15A8"/>
    <w:rPr>
      <w:vertAlign w:val="superscript"/>
    </w:rPr>
  </w:style>
  <w:style w:type="character" w:customStyle="1" w:styleId="nlmcontrib-group">
    <w:name w:val="nlm_contrib-group"/>
    <w:basedOn w:val="DefaultParagraphFont"/>
    <w:rsid w:val="000A492A"/>
  </w:style>
  <w:style w:type="character" w:customStyle="1" w:styleId="contribdegrees">
    <w:name w:val="contribdegrees"/>
    <w:basedOn w:val="DefaultParagraphFont"/>
    <w:rsid w:val="000A492A"/>
  </w:style>
  <w:style w:type="character" w:customStyle="1" w:styleId="nlmxref-aff">
    <w:name w:val="nlm_xref-aff"/>
    <w:basedOn w:val="DefaultParagraphFont"/>
    <w:rsid w:val="000A492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4EC"/>
    <w:pPr>
      <w:tabs>
        <w:tab w:val="right" w:pos="9360"/>
      </w:tabs>
      <w:spacing w:after="0"/>
      <w:ind w:left="720"/>
    </w:pPr>
    <w:rPr>
      <w:rFonts w:asciiTheme="majorHAnsi" w:hAnsiTheme="majorHAnsi"/>
    </w:rPr>
  </w:style>
  <w:style w:type="paragraph" w:styleId="Heading1">
    <w:name w:val="heading 1"/>
    <w:basedOn w:val="Normal"/>
    <w:next w:val="Normal"/>
    <w:link w:val="Heading1Char"/>
    <w:uiPriority w:val="9"/>
    <w:qFormat/>
    <w:rsid w:val="007D6163"/>
    <w:pPr>
      <w:jc w:val="center"/>
      <w:outlineLvl w:val="0"/>
    </w:pPr>
    <w:rPr>
      <w:b/>
      <w:sz w:val="40"/>
    </w:rPr>
  </w:style>
  <w:style w:type="paragraph" w:styleId="Heading2">
    <w:name w:val="heading 2"/>
    <w:basedOn w:val="Normal"/>
    <w:link w:val="Heading2Char"/>
    <w:uiPriority w:val="9"/>
    <w:qFormat/>
    <w:rsid w:val="007D6163"/>
    <w:pPr>
      <w:jc w:val="center"/>
      <w:outlineLvl w:val="1"/>
    </w:pPr>
    <w:rPr>
      <w:b/>
      <w:sz w:val="32"/>
    </w:rPr>
  </w:style>
  <w:style w:type="paragraph" w:styleId="Heading3">
    <w:name w:val="heading 3"/>
    <w:basedOn w:val="Normal"/>
    <w:next w:val="Normal"/>
    <w:link w:val="Heading3Char"/>
    <w:uiPriority w:val="9"/>
    <w:unhideWhenUsed/>
    <w:qFormat/>
    <w:rsid w:val="007D6163"/>
    <w:pPr>
      <w:outlineLvl w:val="2"/>
    </w:pPr>
    <w:rPr>
      <w:b/>
      <w:sz w:val="28"/>
    </w:rPr>
  </w:style>
  <w:style w:type="paragraph" w:styleId="Heading4">
    <w:name w:val="heading 4"/>
    <w:basedOn w:val="ListParagraph"/>
    <w:next w:val="Normal"/>
    <w:link w:val="Heading4Char"/>
    <w:uiPriority w:val="9"/>
    <w:unhideWhenUsed/>
    <w:qFormat/>
    <w:rsid w:val="00692DEB"/>
    <w:pPr>
      <w:numPr>
        <w:numId w:val="1"/>
      </w:numPr>
      <w:spacing w:after="120"/>
      <w:outlineLvl w:val="3"/>
    </w:pPr>
    <w:rPr>
      <w:b/>
    </w:rPr>
  </w:style>
  <w:style w:type="paragraph" w:styleId="Heading5">
    <w:name w:val="heading 5"/>
    <w:basedOn w:val="Normal"/>
    <w:next w:val="Normal"/>
    <w:link w:val="Heading5Char"/>
    <w:uiPriority w:val="9"/>
    <w:unhideWhenUsed/>
    <w:qFormat/>
    <w:rsid w:val="007D6163"/>
    <w:pPr>
      <w:outlineLvl w:val="4"/>
    </w:pPr>
    <w:rPr>
      <w:b/>
    </w:rPr>
  </w:style>
  <w:style w:type="paragraph" w:styleId="Heading6">
    <w:name w:val="heading 6"/>
    <w:basedOn w:val="Normal"/>
    <w:next w:val="Normal"/>
    <w:link w:val="Heading6Char"/>
    <w:uiPriority w:val="9"/>
    <w:unhideWhenUsed/>
    <w:qFormat/>
    <w:rsid w:val="007D6163"/>
    <w:pPr>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aliases w:val="Paragraph,Proposal Bullet List,Indended Text"/>
    <w:basedOn w:val="Normal"/>
    <w:link w:val="ListParagraphChar"/>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7D6163"/>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customStyle="1" w:styleId="Heading1Char">
    <w:name w:val="Heading 1 Char"/>
    <w:basedOn w:val="DefaultParagraphFont"/>
    <w:link w:val="Heading1"/>
    <w:uiPriority w:val="9"/>
    <w:rsid w:val="007D6163"/>
    <w:rPr>
      <w:rFonts w:asciiTheme="majorHAnsi" w:hAnsiTheme="majorHAnsi"/>
      <w:b/>
      <w:sz w:val="40"/>
    </w:rPr>
  </w:style>
  <w:style w:type="character" w:customStyle="1" w:styleId="Heading3Char">
    <w:name w:val="Heading 3 Char"/>
    <w:basedOn w:val="DefaultParagraphFont"/>
    <w:link w:val="Heading3"/>
    <w:uiPriority w:val="9"/>
    <w:rsid w:val="007D6163"/>
    <w:rPr>
      <w:rFonts w:asciiTheme="majorHAnsi" w:hAnsiTheme="majorHAnsi"/>
      <w:b/>
      <w:sz w:val="28"/>
    </w:rPr>
  </w:style>
  <w:style w:type="character" w:customStyle="1" w:styleId="Heading4Char">
    <w:name w:val="Heading 4 Char"/>
    <w:basedOn w:val="DefaultParagraphFont"/>
    <w:link w:val="Heading4"/>
    <w:uiPriority w:val="9"/>
    <w:rsid w:val="00692DEB"/>
    <w:rPr>
      <w:rFonts w:asciiTheme="majorHAnsi" w:hAnsiTheme="majorHAnsi"/>
      <w:b/>
    </w:rPr>
  </w:style>
  <w:style w:type="character" w:customStyle="1" w:styleId="Heading5Char">
    <w:name w:val="Heading 5 Char"/>
    <w:basedOn w:val="DefaultParagraphFont"/>
    <w:link w:val="Heading5"/>
    <w:uiPriority w:val="9"/>
    <w:rsid w:val="007D6163"/>
    <w:rPr>
      <w:rFonts w:asciiTheme="majorHAnsi" w:hAnsiTheme="majorHAnsi"/>
      <w:b/>
    </w:rPr>
  </w:style>
  <w:style w:type="character" w:customStyle="1" w:styleId="Heading6Char">
    <w:name w:val="Heading 6 Char"/>
    <w:basedOn w:val="DefaultParagraphFont"/>
    <w:link w:val="Heading6"/>
    <w:uiPriority w:val="9"/>
    <w:rsid w:val="007D6163"/>
    <w:rPr>
      <w:rFonts w:asciiTheme="majorHAnsi" w:hAnsiTheme="majorHAnsi"/>
      <w:u w:val="single"/>
    </w:rPr>
  </w:style>
  <w:style w:type="paragraph" w:styleId="Revision">
    <w:name w:val="Revision"/>
    <w:hidden/>
    <w:uiPriority w:val="99"/>
    <w:semiHidden/>
    <w:rsid w:val="003B1BE3"/>
    <w:pPr>
      <w:spacing w:after="0" w:line="240" w:lineRule="auto"/>
    </w:pPr>
    <w:rPr>
      <w:rFonts w:asciiTheme="majorHAnsi" w:hAnsiTheme="majorHAnsi"/>
    </w:rPr>
  </w:style>
  <w:style w:type="paragraph" w:styleId="TOC1">
    <w:name w:val="toc 1"/>
    <w:basedOn w:val="Normal"/>
    <w:next w:val="Normal"/>
    <w:autoRedefine/>
    <w:uiPriority w:val="39"/>
    <w:unhideWhenUsed/>
    <w:rsid w:val="003860A5"/>
    <w:pPr>
      <w:tabs>
        <w:tab w:val="clear" w:pos="9360"/>
      </w:tabs>
      <w:spacing w:after="100"/>
      <w:ind w:left="0"/>
    </w:pPr>
  </w:style>
  <w:style w:type="paragraph" w:styleId="TOC2">
    <w:name w:val="toc 2"/>
    <w:basedOn w:val="Normal"/>
    <w:next w:val="Normal"/>
    <w:autoRedefine/>
    <w:uiPriority w:val="39"/>
    <w:unhideWhenUsed/>
    <w:rsid w:val="001B70B4"/>
    <w:pPr>
      <w:tabs>
        <w:tab w:val="clear" w:pos="9360"/>
        <w:tab w:val="left" w:pos="660"/>
        <w:tab w:val="right" w:leader="dot" w:pos="9350"/>
      </w:tabs>
      <w:spacing w:after="100"/>
      <w:ind w:left="630" w:hanging="410"/>
    </w:pPr>
  </w:style>
  <w:style w:type="paragraph" w:styleId="TOC8">
    <w:name w:val="toc 8"/>
    <w:basedOn w:val="Normal"/>
    <w:next w:val="Normal"/>
    <w:autoRedefine/>
    <w:uiPriority w:val="39"/>
    <w:unhideWhenUsed/>
    <w:rsid w:val="003860A5"/>
    <w:pPr>
      <w:tabs>
        <w:tab w:val="clear" w:pos="9360"/>
      </w:tabs>
      <w:spacing w:after="100"/>
      <w:ind w:left="1540"/>
    </w:pPr>
    <w:rPr>
      <w:rFonts w:asciiTheme="minorHAnsi" w:hAnsiTheme="minorHAnsi"/>
    </w:rPr>
  </w:style>
  <w:style w:type="character" w:styleId="FollowedHyperlink">
    <w:name w:val="FollowedHyperlink"/>
    <w:basedOn w:val="DefaultParagraphFont"/>
    <w:uiPriority w:val="99"/>
    <w:semiHidden/>
    <w:unhideWhenUsed/>
    <w:rsid w:val="008C408E"/>
    <w:rPr>
      <w:color w:val="800080" w:themeColor="followedHyperlink"/>
      <w:u w:val="single"/>
    </w:rPr>
  </w:style>
  <w:style w:type="character" w:customStyle="1" w:styleId="ListParagraphChar">
    <w:name w:val="List Paragraph Char"/>
    <w:aliases w:val="Paragraph Char,Proposal Bullet List Char,Indended Text Char"/>
    <w:basedOn w:val="DefaultParagraphFont"/>
    <w:link w:val="ListParagraph"/>
    <w:uiPriority w:val="34"/>
    <w:locked/>
    <w:rsid w:val="0002073C"/>
    <w:rPr>
      <w:rFonts w:asciiTheme="majorHAnsi" w:hAnsiTheme="majorHAnsi"/>
    </w:rPr>
  </w:style>
  <w:style w:type="paragraph" w:styleId="EndnoteText">
    <w:name w:val="endnote text"/>
    <w:basedOn w:val="Normal"/>
    <w:link w:val="EndnoteTextChar"/>
    <w:uiPriority w:val="99"/>
    <w:unhideWhenUsed/>
    <w:rsid w:val="000D15A8"/>
    <w:pPr>
      <w:tabs>
        <w:tab w:val="clear" w:pos="9360"/>
      </w:tabs>
      <w:spacing w:line="240" w:lineRule="auto"/>
      <w:ind w:left="0"/>
    </w:pPr>
    <w:rPr>
      <w:rFonts w:ascii="Calibri" w:eastAsiaTheme="minorHAnsi" w:hAnsi="Calibri" w:cs="Calibri"/>
      <w:sz w:val="20"/>
      <w:szCs w:val="20"/>
    </w:rPr>
  </w:style>
  <w:style w:type="character" w:customStyle="1" w:styleId="EndnoteTextChar">
    <w:name w:val="Endnote Text Char"/>
    <w:basedOn w:val="DefaultParagraphFont"/>
    <w:link w:val="EndnoteText"/>
    <w:uiPriority w:val="99"/>
    <w:rsid w:val="000D15A8"/>
    <w:rPr>
      <w:rFonts w:ascii="Calibri" w:eastAsiaTheme="minorHAnsi" w:hAnsi="Calibri" w:cs="Calibri"/>
      <w:sz w:val="20"/>
      <w:szCs w:val="20"/>
    </w:rPr>
  </w:style>
  <w:style w:type="character" w:styleId="EndnoteReference">
    <w:name w:val="endnote reference"/>
    <w:basedOn w:val="DefaultParagraphFont"/>
    <w:uiPriority w:val="99"/>
    <w:semiHidden/>
    <w:unhideWhenUsed/>
    <w:rsid w:val="000D15A8"/>
    <w:rPr>
      <w:vertAlign w:val="superscript"/>
    </w:rPr>
  </w:style>
  <w:style w:type="character" w:customStyle="1" w:styleId="nlmcontrib-group">
    <w:name w:val="nlm_contrib-group"/>
    <w:basedOn w:val="DefaultParagraphFont"/>
    <w:rsid w:val="000A492A"/>
  </w:style>
  <w:style w:type="character" w:customStyle="1" w:styleId="contribdegrees">
    <w:name w:val="contribdegrees"/>
    <w:basedOn w:val="DefaultParagraphFont"/>
    <w:rsid w:val="000A492A"/>
  </w:style>
  <w:style w:type="character" w:customStyle="1" w:styleId="nlmxref-aff">
    <w:name w:val="nlm_xref-aff"/>
    <w:basedOn w:val="DefaultParagraphFont"/>
    <w:rsid w:val="000A49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986506">
      <w:bodyDiv w:val="1"/>
      <w:marLeft w:val="0"/>
      <w:marRight w:val="0"/>
      <w:marTop w:val="0"/>
      <w:marBottom w:val="0"/>
      <w:divBdr>
        <w:top w:val="none" w:sz="0" w:space="0" w:color="auto"/>
        <w:left w:val="none" w:sz="0" w:space="0" w:color="auto"/>
        <w:bottom w:val="none" w:sz="0" w:space="0" w:color="auto"/>
        <w:right w:val="none" w:sz="0" w:space="0" w:color="auto"/>
      </w:divBdr>
    </w:div>
    <w:div w:id="841704372">
      <w:bodyDiv w:val="1"/>
      <w:marLeft w:val="0"/>
      <w:marRight w:val="0"/>
      <w:marTop w:val="0"/>
      <w:marBottom w:val="0"/>
      <w:divBdr>
        <w:top w:val="none" w:sz="0" w:space="0" w:color="auto"/>
        <w:left w:val="none" w:sz="0" w:space="0" w:color="auto"/>
        <w:bottom w:val="none" w:sz="0" w:space="0" w:color="auto"/>
        <w:right w:val="none" w:sz="0" w:space="0" w:color="auto"/>
      </w:divBdr>
      <w:divsChild>
        <w:div w:id="922836851">
          <w:marLeft w:val="0"/>
          <w:marRight w:val="0"/>
          <w:marTop w:val="150"/>
          <w:marBottom w:val="0"/>
          <w:divBdr>
            <w:top w:val="none" w:sz="0" w:space="0" w:color="auto"/>
            <w:left w:val="none" w:sz="0" w:space="0" w:color="auto"/>
            <w:bottom w:val="none" w:sz="0" w:space="0" w:color="auto"/>
            <w:right w:val="none" w:sz="0" w:space="0" w:color="auto"/>
          </w:divBdr>
          <w:divsChild>
            <w:div w:id="773211361">
              <w:marLeft w:val="0"/>
              <w:marRight w:val="0"/>
              <w:marTop w:val="0"/>
              <w:marBottom w:val="0"/>
              <w:divBdr>
                <w:top w:val="none" w:sz="0" w:space="0" w:color="auto"/>
                <w:left w:val="none" w:sz="0" w:space="0" w:color="auto"/>
                <w:bottom w:val="none" w:sz="0" w:space="0" w:color="auto"/>
                <w:right w:val="none" w:sz="0" w:space="0" w:color="auto"/>
              </w:divBdr>
            </w:div>
            <w:div w:id="120154244">
              <w:marLeft w:val="0"/>
              <w:marRight w:val="0"/>
              <w:marTop w:val="0"/>
              <w:marBottom w:val="0"/>
              <w:divBdr>
                <w:top w:val="none" w:sz="0" w:space="0" w:color="auto"/>
                <w:left w:val="none" w:sz="0" w:space="0" w:color="auto"/>
                <w:bottom w:val="none" w:sz="0" w:space="0" w:color="auto"/>
                <w:right w:val="none" w:sz="0" w:space="0" w:color="auto"/>
              </w:divBdr>
            </w:div>
          </w:divsChild>
        </w:div>
        <w:div w:id="1872106452">
          <w:marLeft w:val="0"/>
          <w:marRight w:val="0"/>
          <w:marTop w:val="0"/>
          <w:marBottom w:val="0"/>
          <w:divBdr>
            <w:top w:val="none" w:sz="0" w:space="0" w:color="auto"/>
            <w:left w:val="none" w:sz="0" w:space="0" w:color="auto"/>
            <w:bottom w:val="none" w:sz="0" w:space="0" w:color="auto"/>
            <w:right w:val="none" w:sz="0" w:space="0" w:color="auto"/>
          </w:divBdr>
          <w:divsChild>
            <w:div w:id="1396582479">
              <w:marLeft w:val="0"/>
              <w:marRight w:val="0"/>
              <w:marTop w:val="0"/>
              <w:marBottom w:val="0"/>
              <w:divBdr>
                <w:top w:val="none" w:sz="0" w:space="0" w:color="auto"/>
                <w:left w:val="none" w:sz="0" w:space="0" w:color="auto"/>
                <w:bottom w:val="none" w:sz="0" w:space="0" w:color="auto"/>
                <w:right w:val="none" w:sz="0" w:space="0" w:color="auto"/>
              </w:divBdr>
              <w:divsChild>
                <w:div w:id="184740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252783">
      <w:bodyDiv w:val="1"/>
      <w:marLeft w:val="0"/>
      <w:marRight w:val="0"/>
      <w:marTop w:val="0"/>
      <w:marBottom w:val="0"/>
      <w:divBdr>
        <w:top w:val="none" w:sz="0" w:space="0" w:color="auto"/>
        <w:left w:val="none" w:sz="0" w:space="0" w:color="auto"/>
        <w:bottom w:val="none" w:sz="0" w:space="0" w:color="auto"/>
        <w:right w:val="none" w:sz="0" w:space="0" w:color="auto"/>
      </w:divBdr>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 w:id="1857184786">
      <w:bodyDiv w:val="1"/>
      <w:marLeft w:val="0"/>
      <w:marRight w:val="0"/>
      <w:marTop w:val="0"/>
      <w:marBottom w:val="0"/>
      <w:divBdr>
        <w:top w:val="none" w:sz="0" w:space="0" w:color="auto"/>
        <w:left w:val="none" w:sz="0" w:space="0" w:color="auto"/>
        <w:bottom w:val="none" w:sz="0" w:space="0" w:color="auto"/>
        <w:right w:val="none" w:sz="0" w:space="0" w:color="auto"/>
      </w:divBdr>
    </w:div>
    <w:div w:id="1952586795">
      <w:bodyDiv w:val="1"/>
      <w:marLeft w:val="0"/>
      <w:marRight w:val="0"/>
      <w:marTop w:val="0"/>
      <w:marBottom w:val="0"/>
      <w:divBdr>
        <w:top w:val="none" w:sz="0" w:space="0" w:color="auto"/>
        <w:left w:val="none" w:sz="0" w:space="0" w:color="auto"/>
        <w:bottom w:val="none" w:sz="0" w:space="0" w:color="auto"/>
        <w:right w:val="none" w:sz="0" w:space="0" w:color="auto"/>
      </w:divBdr>
      <w:divsChild>
        <w:div w:id="997417974">
          <w:marLeft w:val="0"/>
          <w:marRight w:val="0"/>
          <w:marTop w:val="0"/>
          <w:marBottom w:val="0"/>
          <w:divBdr>
            <w:top w:val="none" w:sz="0" w:space="0" w:color="auto"/>
            <w:left w:val="none" w:sz="0" w:space="0" w:color="auto"/>
            <w:bottom w:val="none" w:sz="0" w:space="0" w:color="auto"/>
            <w:right w:val="none" w:sz="0" w:space="0" w:color="auto"/>
          </w:divBdr>
          <w:divsChild>
            <w:div w:id="1700549412">
              <w:marLeft w:val="0"/>
              <w:marRight w:val="0"/>
              <w:marTop w:val="0"/>
              <w:marBottom w:val="0"/>
              <w:divBdr>
                <w:top w:val="none" w:sz="0" w:space="0" w:color="auto"/>
                <w:left w:val="single" w:sz="6" w:space="0" w:color="E2E2E2"/>
                <w:bottom w:val="none" w:sz="0" w:space="0" w:color="auto"/>
                <w:right w:val="single" w:sz="6" w:space="0" w:color="E2E2E2"/>
              </w:divBdr>
              <w:divsChild>
                <w:div w:id="889462832">
                  <w:marLeft w:val="0"/>
                  <w:marRight w:val="0"/>
                  <w:marTop w:val="0"/>
                  <w:marBottom w:val="0"/>
                  <w:divBdr>
                    <w:top w:val="none" w:sz="0" w:space="0" w:color="auto"/>
                    <w:left w:val="none" w:sz="0" w:space="0" w:color="auto"/>
                    <w:bottom w:val="none" w:sz="0" w:space="0" w:color="auto"/>
                    <w:right w:val="none" w:sz="0" w:space="0" w:color="auto"/>
                  </w:divBdr>
                  <w:divsChild>
                    <w:div w:id="58179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806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s://www.cdc.gov/nphpsp/essentialservices.htm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s://www.bls.gov/ncs/ocs/sp/nctb1481.pdf" TargetMode="External"/><Relationship Id="rId2" Type="http://schemas.openxmlformats.org/officeDocument/2006/relationships/customXml" Target="../customXml/item2.xml"/><Relationship Id="rId16" Type="http://schemas.openxmlformats.org/officeDocument/2006/relationships/hyperlink" Target="https://www.bls.gov/ncs/ocs/sp/nctb1480.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bls.gov/ncs/ocs/sp/nctb1481.pdf" TargetMode="Externa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www.bls.gov/ncs/ocs/sp/nctb1480.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ntns:customXsn xmlns:ntns="http://schemas.microsoft.com/office/2006/metadata/customXsn">
  <ntns:xsnLocation>http://esp.cdc.gov/sites/ostlts/pip/osc/StatementA/Forms/Document/f1a9b05ff230bd57customXsn.xsn</ntns:xsnLocation>
  <ntns:cached>False</ntns:cached>
  <ntns:openByDefault>False</ntns:openByDefault>
  <ntns:xsnScope>http://esp.cdc.gov/sites/ostlts/pip/osc/StatementA</ntns:xsnScope>
</ntns:customXsn>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B0C90E18ED62843B8190FE6ED302705" ma:contentTypeVersion="156" ma:contentTypeDescription="Create a new document." ma:contentTypeScope="" ma:versionID="0c0323e15530632096cbdc875ed5594f">
  <xsd:schema xmlns:xsd="http://www.w3.org/2001/XMLSchema" xmlns:xs="http://www.w3.org/2001/XMLSchema" xmlns:p="http://schemas.microsoft.com/office/2006/metadata/properties" xmlns:ns2="b5c0ca00-073d-4463-9985-b654f14791fe" xmlns:ns3="bd99c180-279b-44c3-9486-dd050336677e" xmlns:ns4="15b1c282-9287-45cb-9b41-eae3a76919a0" xmlns:ns5="ce849d94-b00b-4457-8fdf-7e9e81e05b5e" targetNamespace="http://schemas.microsoft.com/office/2006/metadata/properties" ma:root="true" ma:fieldsID="9ce394b6fd746891dba7a3791c49aea0" ns2:_="" ns3:_="" ns4:_="" ns5:_="">
    <xsd:import namespace="b5c0ca00-073d-4463-9985-b654f14791fe"/>
    <xsd:import namespace="bd99c180-279b-44c3-9486-dd050336677e"/>
    <xsd:import namespace="15b1c282-9287-45cb-9b41-eae3a76919a0"/>
    <xsd:import namespace="ce849d94-b00b-4457-8fdf-7e9e81e05b5e"/>
    <xsd:element name="properties">
      <xsd:complexType>
        <xsd:sequence>
          <xsd:element name="documentManagement">
            <xsd:complexType>
              <xsd:all>
                <xsd:element ref="ns2:_dlc_DocId" minOccurs="0"/>
                <xsd:element ref="ns2:_dlc_DocIdUrl" minOccurs="0"/>
                <xsd:element ref="ns2:_dlc_DocIdPersistId" minOccurs="0"/>
                <xsd:element ref="ns3:OSC_StateA_12_10Average_Burden_per_Response_in_Hours" minOccurs="0"/>
                <xsd:element ref="ns3:OSC_StateA_12_10Hourly_Wage_Rate" minOccurs="0"/>
                <xsd:element ref="ns3:OSC_StateA_12_10Number_of_Respondents" minOccurs="0"/>
                <xsd:element ref="ns3:OSC_StateA_12_10Number_of_Responses_per_Respondent" minOccurs="0"/>
                <xsd:element ref="ns3:OSC_StateA_12_10Total_Burden_Hours" minOccurs="0"/>
                <xsd:element ref="ns3:OSC_StateA_12_10Total_Respondent_Costs" minOccurs="0"/>
                <xsd:element ref="ns3:OSC_StateA_12_10Type_of_Respondent" minOccurs="0"/>
                <xsd:element ref="ns3:OSC_StateA_12_1Average_Burden_per_Response_in_Hours" minOccurs="0"/>
                <xsd:element ref="ns3:OSC_StateA_12_1Hourly_Wage_Rate" minOccurs="0"/>
                <xsd:element ref="ns3:OSC_StateA_12_1Number_of_Respondents" minOccurs="0"/>
                <xsd:element ref="ns3:OSC_StateA_12_1Number_of_Responses_per_Respondent" minOccurs="0"/>
                <xsd:element ref="ns3:OSC_StateA_12_1Total_Burden_Hours" minOccurs="0"/>
                <xsd:element ref="ns3:OSC_StateA_12_1Total_Respondent_Costs" minOccurs="0"/>
                <xsd:element ref="ns3:OSC_StateA_12_1Type_of_Respondent" minOccurs="0"/>
                <xsd:element ref="ns3:OSC_StateA_12_2Average_Burden_per_Response_in_Hours" minOccurs="0"/>
                <xsd:element ref="ns3:OSC_StateA_12_2Hourly_Wage_Rate" minOccurs="0"/>
                <xsd:element ref="ns3:OSC_StateA_12_2Number_of_Respondents" minOccurs="0"/>
                <xsd:element ref="ns3:OSC_StateA_12_2Number_of_Responses_per_Respondent" minOccurs="0"/>
                <xsd:element ref="ns3:OSC_StateA_12_2Total_Burden_Hours" minOccurs="0"/>
                <xsd:element ref="ns3:OSC_StateA_12_2Total_Respondent_Costs" minOccurs="0"/>
                <xsd:element ref="ns3:OSC_StateA_12_2Type_of_Respondent" minOccurs="0"/>
                <xsd:element ref="ns3:OSC_StateA_12_3Average_Burden_per_Response_in_Hours" minOccurs="0"/>
                <xsd:element ref="ns3:OSC_StateA_12_3Hourly_Wage_Rate" minOccurs="0"/>
                <xsd:element ref="ns3:OSC_StateA_12_3Number_of_Respondents" minOccurs="0"/>
                <xsd:element ref="ns3:OSC_StateA_12_3Number_of_Responses_per_Respondent" minOccurs="0"/>
                <xsd:element ref="ns3:OSC_StateA_12_3Total_Burden_Hours" minOccurs="0"/>
                <xsd:element ref="ns3:OSC_StateA_12_3Total_Respondent_Costs" minOccurs="0"/>
                <xsd:element ref="ns3:OSC_StateA_12_3Type_of_Respondent" minOccurs="0"/>
                <xsd:element ref="ns3:OSC_StateA_12_4Average_Burden_per_Response_in_Hours" minOccurs="0"/>
                <xsd:element ref="ns3:OSC_StateA_12_4Hourly_Wage_Rate" minOccurs="0"/>
                <xsd:element ref="ns3:OSC_StateA_12_4Number_of_Respondents" minOccurs="0"/>
                <xsd:element ref="ns3:OSC_StateA_12_4Number_of_Responses_per_Respondent" minOccurs="0"/>
                <xsd:element ref="ns3:OSC_StateA_12_4Total_Burden_Hours" minOccurs="0"/>
                <xsd:element ref="ns3:OSC_StateA_12_4Total_Respondent_Costs" minOccurs="0"/>
                <xsd:element ref="ns3:OSC_StateA_12_4Type_of_Respondent" minOccurs="0"/>
                <xsd:element ref="ns3:OSC_StateA_12_5Average_Burden_per_Response_in_Hours" minOccurs="0"/>
                <xsd:element ref="ns3:OSC_StateA_12_5Hourly_Wage_Rate" minOccurs="0"/>
                <xsd:element ref="ns3:OSC_StateA_12_5Number_of_Respondents" minOccurs="0"/>
                <xsd:element ref="ns3:OSC_StateA_12_5Number_of_Responses_per_Respondent" minOccurs="0"/>
                <xsd:element ref="ns3:OSC_StateA_12_5Total_Burden_Hours" minOccurs="0"/>
                <xsd:element ref="ns3:OSC_StateA_12_5Total_Respondent_Costs" minOccurs="0"/>
                <xsd:element ref="ns3:OSC_StateA_12_5Type_of_Respondent" minOccurs="0"/>
                <xsd:element ref="ns3:OSC_StateA_12_6Average_Burden_per_Response_in_Hours" minOccurs="0"/>
                <xsd:element ref="ns3:OSC_StateA_12_6Hourly_Wage_Rate" minOccurs="0"/>
                <xsd:element ref="ns3:OSC_StateA_12_6Number_of_Respondents" minOccurs="0"/>
                <xsd:element ref="ns3:OSC_StateA_12_6Number_of_Responses_per_Respondent" minOccurs="0"/>
                <xsd:element ref="ns3:OSC_StateA_12_6Total_Burden_Hours" minOccurs="0"/>
                <xsd:element ref="ns3:OSC_StateA_12_6Total_Respondent_Costs" minOccurs="0"/>
                <xsd:element ref="ns3:OSC_StateA_12_6Type_of_Respondent" minOccurs="0"/>
                <xsd:element ref="ns3:OSC_StateA_12_7Average_Burden_per_Response_in_Hours" minOccurs="0"/>
                <xsd:element ref="ns3:OSC_StateA_12_7Hourly_Wage_Rate" minOccurs="0"/>
                <xsd:element ref="ns3:OSC_StateA_12_7Number_of_Respondents" minOccurs="0"/>
                <xsd:element ref="ns3:OSC_StateA_12_7Number_of_Responses_per_Respondent" minOccurs="0"/>
                <xsd:element ref="ns3:OSC_StateA_12_7Total_Burden_Hours" minOccurs="0"/>
                <xsd:element ref="ns3:OSC_StateA_12_7Total_Respondent_Costs" minOccurs="0"/>
                <xsd:element ref="ns3:OSC_StateA_12_7Type_of_Respondent" minOccurs="0"/>
                <xsd:element ref="ns3:OSC_StateA_12_8Average_Burden_per_Response_in_Hours" minOccurs="0"/>
                <xsd:element ref="ns3:OSC_StateA_12_8Hourly_Wage_Rate" minOccurs="0"/>
                <xsd:element ref="ns3:OSC_StateA_12_8Number_of_Respondents" minOccurs="0"/>
                <xsd:element ref="ns3:OSC_StateA_12_8Number_of_Responses_per_Respondent" minOccurs="0"/>
                <xsd:element ref="ns3:OSC_StateA_12_8Total_Burden_Hours" minOccurs="0"/>
                <xsd:element ref="ns3:OSC_StateA_12_8Total_Respondent_Costs" minOccurs="0"/>
                <xsd:element ref="ns3:OSC_StateA_12_8Type_of_Respondent" minOccurs="0"/>
                <xsd:element ref="ns3:OSC_StateA_12_9Average_Burden_per_Response_in_Hours" minOccurs="0"/>
                <xsd:element ref="ns3:OSC_StateA_12_9Hourly_Wage_Rate" minOccurs="0"/>
                <xsd:element ref="ns3:OSC_StateA_12_9Number_of_Respondents" minOccurs="0"/>
                <xsd:element ref="ns3:OSC_StateA_12_9Number_of_Responses_per_Respondent" minOccurs="0"/>
                <xsd:element ref="ns3:OSC_StateA_12_9Total_Burden_Hours" minOccurs="0"/>
                <xsd:element ref="ns3:OSC_StateA_12_9Total_Respondent_Costs" minOccurs="0"/>
                <xsd:element ref="ns3:OSC_StateA_12_9Type_of_Respondent" minOccurs="0"/>
                <xsd:element ref="ns3:OSC_StateA_12_Total_Number_of_Responses_per_Respondent" minOccurs="0"/>
                <xsd:element ref="ns3:OSC_StateA_12_Total_Total_Burden_Hours" minOccurs="0"/>
                <xsd:element ref="ns3:OSC_StateA_12_Total_Total_Respondent_Costs" minOccurs="0"/>
                <xsd:element ref="ns3:OSC_StateA_14_10Average_Cost" minOccurs="0"/>
                <xsd:element ref="ns3:OSC_StateA_14_10Average_Hourly_Rate" minOccurs="0"/>
                <xsd:element ref="ns3:OSC_StateA_14_10Average_Hours_Per_Collection" minOccurs="0"/>
                <xsd:element ref="ns3:OSC_StateA_14_10Staff_FTE" minOccurs="0"/>
                <xsd:element ref="ns3:OSC_StateA_14_1Average_Cost" minOccurs="0"/>
                <xsd:element ref="ns3:OSC_StateA_14_1Average_Hourly_Rate" minOccurs="0"/>
                <xsd:element ref="ns3:OSC_StateA_14_1Average_Hours_Per_Collection" minOccurs="0"/>
                <xsd:element ref="ns3:OSC_StateA_14_1Staff_FTE" minOccurs="0"/>
                <xsd:element ref="ns3:OSC_StateA_14_2Average_Cost" minOccurs="0"/>
                <xsd:element ref="ns3:OSC_StateA_14_2Average_Hourly_Rate" minOccurs="0"/>
                <xsd:element ref="ns3:OSC_StateA_14_2Average_Hours_Per_Collection" minOccurs="0"/>
                <xsd:element ref="ns3:OSC_StateA_14_2Staff_FTE" minOccurs="0"/>
                <xsd:element ref="ns3:OSC_StateA_14_3Average_Cost" minOccurs="0"/>
                <xsd:element ref="ns3:OSC_StateA_14_3Average_Hourly_Rate" minOccurs="0"/>
                <xsd:element ref="ns3:OSC_StateA_14_3Average_Hours_Per_Collection" minOccurs="0"/>
                <xsd:element ref="ns3:OSC_StateA_14_3Staff_FTE" minOccurs="0"/>
                <xsd:element ref="ns3:OSC_StateA_14_4Average_Cost" minOccurs="0"/>
                <xsd:element ref="ns3:OSC_StateA_14_4Average_Hourly_Rate" minOccurs="0"/>
                <xsd:element ref="ns3:OSC_StateA_14_4Average_Hours_Per_Collection" minOccurs="0"/>
                <xsd:element ref="ns3:OSC_StateA_14_4Staff_FTE" minOccurs="0"/>
                <xsd:element ref="ns3:OSC_StateA_14_5Average_Cost" minOccurs="0"/>
                <xsd:element ref="ns3:OSC_StateA_14_5Average_Hourly_Rate" minOccurs="0"/>
                <xsd:element ref="ns3:OSC_StateA_14_5Average_Hours_Per_Collection" minOccurs="0"/>
                <xsd:element ref="ns3:OSC_StateA_14_5Staff_FTE" minOccurs="0"/>
                <xsd:element ref="ns3:OSC_StateA_14_6Average_Cost" minOccurs="0"/>
                <xsd:element ref="ns3:OSC_StateA_14_6Average_Hourly_Rate" minOccurs="0"/>
                <xsd:element ref="ns3:OSC_StateA_14_6Average_Hours_Per_Collection" minOccurs="0"/>
                <xsd:element ref="ns3:OSC_StateA_14_6Staff_FTE" minOccurs="0"/>
                <xsd:element ref="ns3:OSC_StateA_14_7Average_Cost" minOccurs="0"/>
                <xsd:element ref="ns3:OSC_StateA_14_7Average_Hourly_Rate" minOccurs="0"/>
                <xsd:element ref="ns3:OSC_StateA_14_7Average_Hours_Per_Collection" minOccurs="0"/>
                <xsd:element ref="ns3:OSC_StateA_14_7Staff_FTE" minOccurs="0"/>
                <xsd:element ref="ns3:OSC_StateA_14_8Average_Cost" minOccurs="0"/>
                <xsd:element ref="ns3:OSC_StateA_14_8Average_Hourly_Rate" minOccurs="0"/>
                <xsd:element ref="ns3:OSC_StateA_14_8Average_Hours_Per_Collection" minOccurs="0"/>
                <xsd:element ref="ns3:OSC_StateA_14_8Staff_FTE" minOccurs="0"/>
                <xsd:element ref="ns3:OSC_StateA_14_9Average_Cost" minOccurs="0"/>
                <xsd:element ref="ns3:OSC_StateA_14_9Average_Hourly_Rate" minOccurs="0"/>
                <xsd:element ref="ns3:OSC_StateA_14_9Average_Hours_Per_Collection" minOccurs="0"/>
                <xsd:element ref="ns3:OSC_StateA_14_9Staff_FTE" minOccurs="0"/>
                <xsd:element ref="ns3:OSC_StateA_14_Estimated_Total_Cost_of_Information_Collection" minOccurs="0"/>
                <xsd:element ref="ns3:OSC_StateA_Annualized_Cost_to_the_Government" minOccurs="0"/>
                <xsd:element ref="ns3:OSC_StateA_Assurance_of_Confidentiality_Provided_to_Respondents" minOccurs="0"/>
                <xsd:element ref="ns3:OSC_StateA_Background" minOccurs="0"/>
                <xsd:element ref="ns3:OSC_StateA_Consequences_Collecting_Less_Frequently" minOccurs="0"/>
                <xsd:element ref="ns3:OSC_StateA_Date_Submitted" minOccurs="0"/>
                <xsd:element ref="ns3:OSC_StateA_Estimate_Other_Total_Annual_Cost_Burden_to_Respond" minOccurs="0"/>
                <xsd:element ref="ns3:OSC_StateA_Estimates_of_Annualized_Burden_Hours_and_Costs" minOccurs="0"/>
                <xsd:element ref="ns3:OSC_StateA_Exceptions_Certification_Paperwork_Reduction_Act" minOccurs="0"/>
                <xsd:element ref="ns3:OSC_StateA_Explanation_for_Program_Changes_or_Adjustments" minOccurs="0"/>
                <xsd:element ref="ns3:OSC_StateA_Explanation_of_Any_Payment_or_Gift_to_Respondents" minOccurs="0"/>
                <xsd:element ref="ns3:OSC_StateA_Identify_Duplication_Similar_Information" minOccurs="0"/>
                <xsd:element ref="ns3:OSC_StateA_Impact_on_Small_Businesses_or_Other_Small_Entities" minOccurs="0"/>
                <xsd:element ref="ns3:OSC_StateA_Improved_Information_Technology_and_Burden_Reduction" minOccurs="0"/>
                <xsd:element ref="ns3:OSC_StateA_Items_to_be_collected" minOccurs="0"/>
                <xsd:element ref="ns3:OSC_StateA_Justification_for_Sensitive_Questions" minOccurs="0"/>
                <xsd:element ref="ns3:OSC_StateA_List_Of_Attachments" minOccurs="0"/>
                <xsd:element ref="ns3:OSC_StateA_Overview_Of_Data_Collection_System" minOccurs="0"/>
                <xsd:element ref="ns3:OSC_StateA_Purpose_and_Use" minOccurs="0"/>
                <xsd:element ref="ns3:OSC_StateA_Reason_Display_OMB_Expiration_Date_is_Inappropriate" minOccurs="0"/>
                <xsd:element ref="ns3:OSC_StateA_Response_to_the_Federal_Register_Notice_and_Efforts" minOccurs="0"/>
                <xsd:element ref="ns3:OSC_StateA_Tabulation_and_Publication_and_Project_Time_Schedule" minOccurs="0"/>
                <xsd:element ref="ns3:OSC_StateA_Websites_Directed_at_Children" minOccurs="0"/>
                <xsd:element ref="ns4:GenICNickname" minOccurs="0"/>
                <xsd:element ref="ns3:GenICPIBranchOROfficeTitle" minOccurs="0"/>
                <xsd:element ref="ns3:GenICPICDCID" minOccurs="0"/>
                <xsd:element ref="ns3:GenICPICenterDivisionBranch" minOccurs="0"/>
                <xsd:element ref="ns3:GenICPICIO" minOccurs="0"/>
                <xsd:element ref="ns3:GenICPIDivisionOROfficeTitle" minOccurs="0"/>
                <xsd:element ref="ns3:GenICPIEmail" minOccurs="0"/>
                <xsd:element ref="ns3:GenICPIFax" minOccurs="0"/>
                <xsd:element ref="ns3:GenICPIName" minOccurs="0"/>
                <xsd:element ref="ns3:GenICPIPhone" minOccurs="0"/>
                <xsd:element ref="ns3:GenICPITitle" minOccurs="0"/>
                <xsd:element ref="ns3:GenICPIWorkMailingAddress" minOccurs="0"/>
                <xsd:element ref="ns4:GenICTitle" minOccurs="0"/>
                <xsd:element ref="ns5:OSC_StateA_12_Total_Number_of_Respond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99c180-279b-44c3-9486-dd050336677e" elementFormDefault="qualified">
    <xsd:import namespace="http://schemas.microsoft.com/office/2006/documentManagement/types"/>
    <xsd:import namespace="http://schemas.microsoft.com/office/infopath/2007/PartnerControls"/>
    <xsd:element name="OSC_StateA_12_10Average_Burden_per_Response_in_Hours" ma:index="11" nillable="true" ma:displayName="OSC_StateA_12_10Average_Burden_per_Response_in_Hours" ma:default="=&gt;20/60&lt;=" ma:internalName="OSC_StateA_12_10Average_Burden_per_Response_in_Hours">
      <xsd:simpleType>
        <xsd:restriction base="dms:Text">
          <xsd:maxLength value="255"/>
        </xsd:restriction>
      </xsd:simpleType>
    </xsd:element>
    <xsd:element name="OSC_StateA_12_10Hourly_Wage_Rate" ma:index="12" nillable="true" ma:displayName="OSC_StateA_12_10Hourly_Wage_Rate" ma:default="0" ma:internalName="OSC_StateA_12_10Hourly_Wage_Rate">
      <xsd:simpleType>
        <xsd:restriction base="dms:Text">
          <xsd:maxLength value="255"/>
        </xsd:restriction>
      </xsd:simpleType>
    </xsd:element>
    <xsd:element name="OSC_StateA_12_10Number_of_Respondents" ma:index="13" nillable="true" ma:displayName="OSC_StateA_12_10Number_of_Respondents" ma:decimals="0" ma:default="0" ma:internalName="OSC_StateA_12_10Number_of_Respondents" ma:percentage="FALSE">
      <xsd:simpleType>
        <xsd:restriction base="dms:Number"/>
      </xsd:simpleType>
    </xsd:element>
    <xsd:element name="OSC_StateA_12_10Number_of_Responses_per_Respondent" ma:index="14" nillable="true" ma:displayName="OSC_StateA_12_10Number_of_Responses_per_Respondent" ma:default="1" ma:internalName="OSC_StateA_12_10Number_of_Responses_per_Respondent">
      <xsd:simpleType>
        <xsd:restriction base="dms:Text">
          <xsd:maxLength value="255"/>
        </xsd:restriction>
      </xsd:simpleType>
    </xsd:element>
    <xsd:element name="OSC_StateA_12_10Total_Burden_Hours" ma:index="15" nillable="true" ma:displayName="OSC_StateA_12_10Total_Burden_Hours" ma:decimals="0" ma:default="0" ma:internalName="OSC_StateA_12_10Total_Burden_Hours" ma:percentage="FALSE">
      <xsd:simpleType>
        <xsd:restriction base="dms:Number"/>
      </xsd:simpleType>
    </xsd:element>
    <xsd:element name="OSC_StateA_12_10Total_Respondent_Costs" ma:index="16" nillable="true" ma:displayName="OSC_StateA_12_10Total_Respondent_Costs" ma:decimals="2" ma:default="0" ma:LCID="1033" ma:internalName="OSC_StateA_12_10Total_Respondent_Costs">
      <xsd:simpleType>
        <xsd:restriction base="dms:Currency"/>
      </xsd:simpleType>
    </xsd:element>
    <xsd:element name="OSC_StateA_12_10Type_of_Respondent" ma:index="17" nillable="true" ma:displayName="OSC_StateA_12_10Type_of_Respondent" ma:default="=&gt;Enter&lt;=" ma:internalName="OSC_StateA_12_10Type_of_Respondent">
      <xsd:simpleType>
        <xsd:restriction base="dms:Text">
          <xsd:maxLength value="255"/>
        </xsd:restriction>
      </xsd:simpleType>
    </xsd:element>
    <xsd:element name="OSC_StateA_12_1Average_Burden_per_Response_in_Hours" ma:index="18" nillable="true" ma:displayName="OSC_StateA_12_1Average_Burden_per_Response_in_Hours" ma:default="=&gt;20/60&lt;=" ma:internalName="OSC_StateA_12_1Average_Burden_per_Response_in_Hours">
      <xsd:simpleType>
        <xsd:restriction base="dms:Text">
          <xsd:maxLength value="255"/>
        </xsd:restriction>
      </xsd:simpleType>
    </xsd:element>
    <xsd:element name="OSC_StateA_12_1Hourly_Wage_Rate" ma:index="19" nillable="true" ma:displayName="OSC_StateA_12_1Hourly_Wage_Rate" ma:default="0" ma:internalName="OSC_StateA_12_1Hourly_Wage_Rate">
      <xsd:simpleType>
        <xsd:restriction base="dms:Text">
          <xsd:maxLength value="255"/>
        </xsd:restriction>
      </xsd:simpleType>
    </xsd:element>
    <xsd:element name="OSC_StateA_12_1Number_of_Respondents" ma:index="20" nillable="true" ma:displayName="OSC_StateA_12_1Number_of_Respondents" ma:decimals="0" ma:default="0" ma:internalName="OSC_StateA_12_1Number_of_Respondents" ma:percentage="FALSE">
      <xsd:simpleType>
        <xsd:restriction base="dms:Number"/>
      </xsd:simpleType>
    </xsd:element>
    <xsd:element name="OSC_StateA_12_1Number_of_Responses_per_Respondent" ma:index="21" nillable="true" ma:displayName="OSC_StateA_12_1Number_of_Responses_per_Respondent" ma:default="1" ma:internalName="OSC_StateA_12_1Number_of_Responses_per_Respondent">
      <xsd:simpleType>
        <xsd:restriction base="dms:Text">
          <xsd:maxLength value="255"/>
        </xsd:restriction>
      </xsd:simpleType>
    </xsd:element>
    <xsd:element name="OSC_StateA_12_1Total_Burden_Hours" ma:index="22" nillable="true" ma:displayName="OSC_StateA_12_1Total_Burden_Hours" ma:decimals="0" ma:default="0" ma:internalName="OSC_StateA_12_1Total_Burden_Hours" ma:percentage="FALSE">
      <xsd:simpleType>
        <xsd:restriction base="dms:Number"/>
      </xsd:simpleType>
    </xsd:element>
    <xsd:element name="OSC_StateA_12_1Total_Respondent_Costs" ma:index="23" nillable="true" ma:displayName="OSC_StateA_12_1Total_Respondent_Costs" ma:decimals="2" ma:default="0" ma:LCID="1033" ma:internalName="OSC_StateA_12_1Total_Respondent_Costs">
      <xsd:simpleType>
        <xsd:restriction base="dms:Currency"/>
      </xsd:simpleType>
    </xsd:element>
    <xsd:element name="OSC_StateA_12_1Type_of_Respondent" ma:index="24" nillable="true" ma:displayName="OSC_StateA_12_1Type_of_Respondent" ma:default="=&gt;Enter&lt;=" ma:internalName="OSC_StateA_12_1Type_of_Respondent">
      <xsd:simpleType>
        <xsd:restriction base="dms:Text">
          <xsd:maxLength value="255"/>
        </xsd:restriction>
      </xsd:simpleType>
    </xsd:element>
    <xsd:element name="OSC_StateA_12_2Average_Burden_per_Response_in_Hours" ma:index="25" nillable="true" ma:displayName="OSC_StateA_12_2Average_Burden_per_Response_in_Hours" ma:default="=&gt;20/60&lt;=" ma:internalName="OSC_StateA_12_2Average_Burden_per_Response_in_Hours">
      <xsd:simpleType>
        <xsd:restriction base="dms:Text">
          <xsd:maxLength value="255"/>
        </xsd:restriction>
      </xsd:simpleType>
    </xsd:element>
    <xsd:element name="OSC_StateA_12_2Hourly_Wage_Rate" ma:index="26" nillable="true" ma:displayName="OSC_StateA_12_2Hourly_Wage_Rate" ma:default="0" ma:internalName="OSC_StateA_12_2Hourly_Wage_Rate">
      <xsd:simpleType>
        <xsd:restriction base="dms:Text">
          <xsd:maxLength value="255"/>
        </xsd:restriction>
      </xsd:simpleType>
    </xsd:element>
    <xsd:element name="OSC_StateA_12_2Number_of_Respondents" ma:index="27" nillable="true" ma:displayName="OSC_StateA_12_2Number_of_Respondents" ma:decimals="0" ma:default="0" ma:internalName="OSC_StateA_12_2Number_of_Respondents" ma:percentage="FALSE">
      <xsd:simpleType>
        <xsd:restriction base="dms:Number"/>
      </xsd:simpleType>
    </xsd:element>
    <xsd:element name="OSC_StateA_12_2Number_of_Responses_per_Respondent" ma:index="28" nillable="true" ma:displayName="OSC_StateA_12_2Number_of_Responses_per_Respondent" ma:default="1" ma:internalName="OSC_StateA_12_2Number_of_Responses_per_Respondent">
      <xsd:simpleType>
        <xsd:restriction base="dms:Text">
          <xsd:maxLength value="255"/>
        </xsd:restriction>
      </xsd:simpleType>
    </xsd:element>
    <xsd:element name="OSC_StateA_12_2Total_Burden_Hours" ma:index="29" nillable="true" ma:displayName="OSC_StateA_12_2Total_Burden_Hours" ma:decimals="0" ma:default="0" ma:internalName="OSC_StateA_12_2Total_Burden_Hours" ma:percentage="FALSE">
      <xsd:simpleType>
        <xsd:restriction base="dms:Number"/>
      </xsd:simpleType>
    </xsd:element>
    <xsd:element name="OSC_StateA_12_2Total_Respondent_Costs" ma:index="30" nillable="true" ma:displayName="OSC_StateA_12_2Total_Respondent_Costs" ma:decimals="2" ma:default="0" ma:LCID="1033" ma:internalName="OSC_StateA_12_2Total_Respondent_Costs">
      <xsd:simpleType>
        <xsd:restriction base="dms:Currency"/>
      </xsd:simpleType>
    </xsd:element>
    <xsd:element name="OSC_StateA_12_2Type_of_Respondent" ma:index="31" nillable="true" ma:displayName="OSC_StateA_12_2Type_of_Respondent" ma:default="=&gt;Enter&lt;=" ma:internalName="OSC_StateA_12_2Type_of_Respondent">
      <xsd:simpleType>
        <xsd:restriction base="dms:Text">
          <xsd:maxLength value="255"/>
        </xsd:restriction>
      </xsd:simpleType>
    </xsd:element>
    <xsd:element name="OSC_StateA_12_3Average_Burden_per_Response_in_Hours" ma:index="32" nillable="true" ma:displayName="OSC_StateA_12_3Average_Burden_per_Response_in_Hours" ma:default="=&gt;20/60&lt;=" ma:internalName="OSC_StateA_12_3Average_Burden_per_Response_in_Hours">
      <xsd:simpleType>
        <xsd:restriction base="dms:Text">
          <xsd:maxLength value="255"/>
        </xsd:restriction>
      </xsd:simpleType>
    </xsd:element>
    <xsd:element name="OSC_StateA_12_3Hourly_Wage_Rate" ma:index="33" nillable="true" ma:displayName="OSC_StateA_12_3Hourly_Wage_Rate" ma:default="0" ma:internalName="OSC_StateA_12_3Hourly_Wage_Rate">
      <xsd:simpleType>
        <xsd:restriction base="dms:Text">
          <xsd:maxLength value="255"/>
        </xsd:restriction>
      </xsd:simpleType>
    </xsd:element>
    <xsd:element name="OSC_StateA_12_3Number_of_Respondents" ma:index="34" nillable="true" ma:displayName="OSC_StateA_12_3Number_of_Respondents" ma:decimals="0" ma:default="0" ma:internalName="OSC_StateA_12_3Number_of_Respondents" ma:percentage="FALSE">
      <xsd:simpleType>
        <xsd:restriction base="dms:Number"/>
      </xsd:simpleType>
    </xsd:element>
    <xsd:element name="OSC_StateA_12_3Number_of_Responses_per_Respondent" ma:index="35" nillable="true" ma:displayName="OSC_StateA_12_3Number_of_Responses_per_Respondent" ma:default="1" ma:internalName="OSC_StateA_12_3Number_of_Responses_per_Respondent">
      <xsd:simpleType>
        <xsd:restriction base="dms:Text">
          <xsd:maxLength value="255"/>
        </xsd:restriction>
      </xsd:simpleType>
    </xsd:element>
    <xsd:element name="OSC_StateA_12_3Total_Burden_Hours" ma:index="36" nillable="true" ma:displayName="OSC_StateA_12_3Total_Burden_Hours" ma:decimals="0" ma:default="0" ma:internalName="OSC_StateA_12_3Total_Burden_Hours" ma:percentage="FALSE">
      <xsd:simpleType>
        <xsd:restriction base="dms:Number"/>
      </xsd:simpleType>
    </xsd:element>
    <xsd:element name="OSC_StateA_12_3Total_Respondent_Costs" ma:index="37" nillable="true" ma:displayName="OSC_StateA_12_3Total_Respondent_Costs" ma:decimals="2" ma:default="0" ma:LCID="1033" ma:internalName="OSC_StateA_12_3Total_Respondent_Costs">
      <xsd:simpleType>
        <xsd:restriction base="dms:Currency"/>
      </xsd:simpleType>
    </xsd:element>
    <xsd:element name="OSC_StateA_12_3Type_of_Respondent" ma:index="38" nillable="true" ma:displayName="OSC_StateA_12_3Type_of_Respondent" ma:default="=&gt;Enter&lt;=" ma:internalName="OSC_StateA_12_3Type_of_Respondent">
      <xsd:simpleType>
        <xsd:restriction base="dms:Text">
          <xsd:maxLength value="255"/>
        </xsd:restriction>
      </xsd:simpleType>
    </xsd:element>
    <xsd:element name="OSC_StateA_12_4Average_Burden_per_Response_in_Hours" ma:index="39" nillable="true" ma:displayName="OSC_StateA_12_4Average_Burden_per_Response_in_Hours" ma:default="=&gt;20/60&lt;=" ma:internalName="OSC_StateA_12_4Average_Burden_per_Response_in_Hours">
      <xsd:simpleType>
        <xsd:restriction base="dms:Text">
          <xsd:maxLength value="255"/>
        </xsd:restriction>
      </xsd:simpleType>
    </xsd:element>
    <xsd:element name="OSC_StateA_12_4Hourly_Wage_Rate" ma:index="40" nillable="true" ma:displayName="OSC_StateA_12_4Hourly_Wage_Rate" ma:default="0" ma:internalName="OSC_StateA_12_4Hourly_Wage_Rate">
      <xsd:simpleType>
        <xsd:restriction base="dms:Text">
          <xsd:maxLength value="255"/>
        </xsd:restriction>
      </xsd:simpleType>
    </xsd:element>
    <xsd:element name="OSC_StateA_12_4Number_of_Respondents" ma:index="41" nillable="true" ma:displayName="OSC_StateA_12_4Number_of_Respondents" ma:decimals="0" ma:default="0" ma:internalName="OSC_StateA_12_4Number_of_Respondents" ma:percentage="FALSE">
      <xsd:simpleType>
        <xsd:restriction base="dms:Number"/>
      </xsd:simpleType>
    </xsd:element>
    <xsd:element name="OSC_StateA_12_4Number_of_Responses_per_Respondent" ma:index="42" nillable="true" ma:displayName="OSC_StateA_12_4Number_of_Responses_per_Respondent" ma:default="1" ma:internalName="OSC_StateA_12_4Number_of_Responses_per_Respondent">
      <xsd:simpleType>
        <xsd:restriction base="dms:Text">
          <xsd:maxLength value="255"/>
        </xsd:restriction>
      </xsd:simpleType>
    </xsd:element>
    <xsd:element name="OSC_StateA_12_4Total_Burden_Hours" ma:index="43" nillable="true" ma:displayName="OSC_StateA_12_4Total_Burden_Hours" ma:decimals="0" ma:default="0" ma:internalName="OSC_StateA_12_4Total_Burden_Hours" ma:percentage="FALSE">
      <xsd:simpleType>
        <xsd:restriction base="dms:Number"/>
      </xsd:simpleType>
    </xsd:element>
    <xsd:element name="OSC_StateA_12_4Total_Respondent_Costs" ma:index="44" nillable="true" ma:displayName="OSC_StateA_12_4Total_Respondent_Costs" ma:decimals="2" ma:default="0" ma:LCID="1033" ma:internalName="OSC_StateA_12_4Total_Respondent_Costs">
      <xsd:simpleType>
        <xsd:restriction base="dms:Currency"/>
      </xsd:simpleType>
    </xsd:element>
    <xsd:element name="OSC_StateA_12_4Type_of_Respondent" ma:index="45" nillable="true" ma:displayName="OSC_StateA_12_4Type_of_Respondent" ma:default="=&gt;Enter&lt;=" ma:internalName="OSC_StateA_12_4Type_of_Respondent">
      <xsd:simpleType>
        <xsd:restriction base="dms:Text">
          <xsd:maxLength value="255"/>
        </xsd:restriction>
      </xsd:simpleType>
    </xsd:element>
    <xsd:element name="OSC_StateA_12_5Average_Burden_per_Response_in_Hours" ma:index="46" nillable="true" ma:displayName="OSC_StateA_12_5Average_Burden_per_Response_in_Hours" ma:default="=&gt;20/60&lt;=" ma:internalName="OSC_StateA_12_5Average_Burden_per_Response_in_Hours">
      <xsd:simpleType>
        <xsd:restriction base="dms:Text">
          <xsd:maxLength value="255"/>
        </xsd:restriction>
      </xsd:simpleType>
    </xsd:element>
    <xsd:element name="OSC_StateA_12_5Hourly_Wage_Rate" ma:index="47" nillable="true" ma:displayName="OSC_StateA_12_5Hourly_Wage_Rate" ma:default="0" ma:internalName="OSC_StateA_12_5Hourly_Wage_Rate">
      <xsd:simpleType>
        <xsd:restriction base="dms:Text">
          <xsd:maxLength value="255"/>
        </xsd:restriction>
      </xsd:simpleType>
    </xsd:element>
    <xsd:element name="OSC_StateA_12_5Number_of_Respondents" ma:index="48" nillable="true" ma:displayName="OSC_StateA_12_5Number_of_Respondents" ma:decimals="0" ma:default="0" ma:internalName="OSC_StateA_12_5Number_of_Respondents" ma:percentage="FALSE">
      <xsd:simpleType>
        <xsd:restriction base="dms:Number"/>
      </xsd:simpleType>
    </xsd:element>
    <xsd:element name="OSC_StateA_12_5Number_of_Responses_per_Respondent" ma:index="49" nillable="true" ma:displayName="OSC_StateA_12_5Number_of_Responses_per_Respondent" ma:default="1" ma:internalName="OSC_StateA_12_5Number_of_Responses_per_Respondent">
      <xsd:simpleType>
        <xsd:restriction base="dms:Text">
          <xsd:maxLength value="255"/>
        </xsd:restriction>
      </xsd:simpleType>
    </xsd:element>
    <xsd:element name="OSC_StateA_12_5Total_Burden_Hours" ma:index="50" nillable="true" ma:displayName="OSC_StateA_12_5Total_Burden_Hours" ma:decimals="0" ma:default="0" ma:internalName="OSC_StateA_12_5Total_Burden_Hours" ma:percentage="FALSE">
      <xsd:simpleType>
        <xsd:restriction base="dms:Number"/>
      </xsd:simpleType>
    </xsd:element>
    <xsd:element name="OSC_StateA_12_5Total_Respondent_Costs" ma:index="51" nillable="true" ma:displayName="OSC_StateA_12_5Total_Respondent_Costs" ma:decimals="2" ma:default="0" ma:LCID="1033" ma:internalName="OSC_StateA_12_5Total_Respondent_Costs">
      <xsd:simpleType>
        <xsd:restriction base="dms:Currency"/>
      </xsd:simpleType>
    </xsd:element>
    <xsd:element name="OSC_StateA_12_5Type_of_Respondent" ma:index="52" nillable="true" ma:displayName="OSC_StateA_12_5Type_of_Respondent" ma:default="=&gt;Enter&lt;=" ma:internalName="OSC_StateA_12_5Type_of_Respondent">
      <xsd:simpleType>
        <xsd:restriction base="dms:Text">
          <xsd:maxLength value="255"/>
        </xsd:restriction>
      </xsd:simpleType>
    </xsd:element>
    <xsd:element name="OSC_StateA_12_6Average_Burden_per_Response_in_Hours" ma:index="53" nillable="true" ma:displayName="OSC_StateA_12_6Average_Burden_per_Response_in_Hours" ma:default="=&gt;20/60&lt;=" ma:internalName="OSC_StateA_12_6Average_Burden_per_Response_in_Hours">
      <xsd:simpleType>
        <xsd:restriction base="dms:Text">
          <xsd:maxLength value="255"/>
        </xsd:restriction>
      </xsd:simpleType>
    </xsd:element>
    <xsd:element name="OSC_StateA_12_6Hourly_Wage_Rate" ma:index="54" nillable="true" ma:displayName="OSC_StateA_12_6Hourly_Wage_Rate" ma:default="0" ma:internalName="OSC_StateA_12_6Hourly_Wage_Rate">
      <xsd:simpleType>
        <xsd:restriction base="dms:Text">
          <xsd:maxLength value="255"/>
        </xsd:restriction>
      </xsd:simpleType>
    </xsd:element>
    <xsd:element name="OSC_StateA_12_6Number_of_Respondents" ma:index="55" nillable="true" ma:displayName="OSC_StateA_12_6Number_of_Respondents" ma:decimals="0" ma:default="0" ma:internalName="OSC_StateA_12_6Number_of_Respondents" ma:percentage="FALSE">
      <xsd:simpleType>
        <xsd:restriction base="dms:Number"/>
      </xsd:simpleType>
    </xsd:element>
    <xsd:element name="OSC_StateA_12_6Number_of_Responses_per_Respondent" ma:index="56" nillable="true" ma:displayName="OSC_StateA_12_6Number_of_Responses_per_Respondent" ma:default="1" ma:internalName="OSC_StateA_12_6Number_of_Responses_per_Respondent">
      <xsd:simpleType>
        <xsd:restriction base="dms:Text">
          <xsd:maxLength value="255"/>
        </xsd:restriction>
      </xsd:simpleType>
    </xsd:element>
    <xsd:element name="OSC_StateA_12_6Total_Burden_Hours" ma:index="57" nillable="true" ma:displayName="OSC_StateA_12_6Total_Burden_Hours" ma:decimals="0" ma:default="0" ma:internalName="OSC_StateA_12_6Total_Burden_Hours" ma:percentage="FALSE">
      <xsd:simpleType>
        <xsd:restriction base="dms:Number"/>
      </xsd:simpleType>
    </xsd:element>
    <xsd:element name="OSC_StateA_12_6Total_Respondent_Costs" ma:index="58" nillable="true" ma:displayName="OSC_StateA_12_6Total_Respondent_Costs" ma:decimals="2" ma:default="0" ma:LCID="1033" ma:internalName="OSC_StateA_12_6Total_Respondent_Costs">
      <xsd:simpleType>
        <xsd:restriction base="dms:Currency"/>
      </xsd:simpleType>
    </xsd:element>
    <xsd:element name="OSC_StateA_12_6Type_of_Respondent" ma:index="59" nillable="true" ma:displayName="OSC_StateA_12_6Type_of_Respondent" ma:default="=&gt;Enter&lt;=" ma:internalName="OSC_StateA_12_6Type_of_Respondent">
      <xsd:simpleType>
        <xsd:restriction base="dms:Text">
          <xsd:maxLength value="255"/>
        </xsd:restriction>
      </xsd:simpleType>
    </xsd:element>
    <xsd:element name="OSC_StateA_12_7Average_Burden_per_Response_in_Hours" ma:index="60" nillable="true" ma:displayName="OSC_StateA_12_7Average_Burden_per_Response_in_Hours" ma:default="=&gt;20/60&lt;=" ma:internalName="OSC_StateA_12_7Average_Burden_per_Response_in_Hours">
      <xsd:simpleType>
        <xsd:restriction base="dms:Text">
          <xsd:maxLength value="255"/>
        </xsd:restriction>
      </xsd:simpleType>
    </xsd:element>
    <xsd:element name="OSC_StateA_12_7Hourly_Wage_Rate" ma:index="61" nillable="true" ma:displayName="OSC_StateA_12_7Hourly_Wage_Rate" ma:default="0" ma:internalName="OSC_StateA_12_7Hourly_Wage_Rate">
      <xsd:simpleType>
        <xsd:restriction base="dms:Text">
          <xsd:maxLength value="255"/>
        </xsd:restriction>
      </xsd:simpleType>
    </xsd:element>
    <xsd:element name="OSC_StateA_12_7Number_of_Respondents" ma:index="62" nillable="true" ma:displayName="OSC_StateA_12_7Number_of_Respondents" ma:decimals="0" ma:default="0" ma:internalName="OSC_StateA_12_7Number_of_Respondents" ma:percentage="FALSE">
      <xsd:simpleType>
        <xsd:restriction base="dms:Number"/>
      </xsd:simpleType>
    </xsd:element>
    <xsd:element name="OSC_StateA_12_7Number_of_Responses_per_Respondent" ma:index="63" nillable="true" ma:displayName="OSC_StateA_12_7Number_of_Responses_per_Respondent" ma:default="1" ma:internalName="OSC_StateA_12_7Number_of_Responses_per_Respondent">
      <xsd:simpleType>
        <xsd:restriction base="dms:Text">
          <xsd:maxLength value="255"/>
        </xsd:restriction>
      </xsd:simpleType>
    </xsd:element>
    <xsd:element name="OSC_StateA_12_7Total_Burden_Hours" ma:index="64" nillable="true" ma:displayName="OSC_StateA_12_7Total_Burden_Hours" ma:decimals="2" ma:default="0" ma:internalName="OSC_StateA_12_7Total_Burden_Hours" ma:percentage="FALSE">
      <xsd:simpleType>
        <xsd:restriction base="dms:Number"/>
      </xsd:simpleType>
    </xsd:element>
    <xsd:element name="OSC_StateA_12_7Total_Respondent_Costs" ma:index="65" nillable="true" ma:displayName="OSC_StateA_12_7Total_Respondent_Costs" ma:decimals="2" ma:default="0" ma:LCID="1033" ma:internalName="OSC_StateA_12_7Total_Respondent_Costs">
      <xsd:simpleType>
        <xsd:restriction base="dms:Currency"/>
      </xsd:simpleType>
    </xsd:element>
    <xsd:element name="OSC_StateA_12_7Type_of_Respondent" ma:index="66" nillable="true" ma:displayName="OSC_StateA_12_7Type_of_Respondent" ma:default="=&gt;Enter&lt;=" ma:internalName="OSC_StateA_12_7Type_of_Respondent">
      <xsd:simpleType>
        <xsd:restriction base="dms:Text">
          <xsd:maxLength value="255"/>
        </xsd:restriction>
      </xsd:simpleType>
    </xsd:element>
    <xsd:element name="OSC_StateA_12_8Average_Burden_per_Response_in_Hours" ma:index="67" nillable="true" ma:displayName="OSC_StateA_12_8Average_Burden_per_Response_in_Hours" ma:default="=&gt;20/60&lt;=" ma:internalName="OSC_StateA_12_8Average_Burden_per_Response_in_Hours">
      <xsd:simpleType>
        <xsd:restriction base="dms:Text">
          <xsd:maxLength value="255"/>
        </xsd:restriction>
      </xsd:simpleType>
    </xsd:element>
    <xsd:element name="OSC_StateA_12_8Hourly_Wage_Rate" ma:index="68" nillable="true" ma:displayName="OSC_StateA_12_8Hourly_Wage_Rate" ma:default="0" ma:internalName="OSC_StateA_12_8Hourly_Wage_Rate">
      <xsd:simpleType>
        <xsd:restriction base="dms:Text">
          <xsd:maxLength value="255"/>
        </xsd:restriction>
      </xsd:simpleType>
    </xsd:element>
    <xsd:element name="OSC_StateA_12_8Number_of_Respondents" ma:index="69" nillable="true" ma:displayName="OSC_StateA_12_8Number_of_Respondents" ma:decimals="0" ma:default="0" ma:internalName="OSC_StateA_12_8Number_of_Respondents" ma:percentage="FALSE">
      <xsd:simpleType>
        <xsd:restriction base="dms:Number"/>
      </xsd:simpleType>
    </xsd:element>
    <xsd:element name="OSC_StateA_12_8Number_of_Responses_per_Respondent" ma:index="70" nillable="true" ma:displayName="OSC_StateA_12_8Number_of_Responses_per_Respondent" ma:default="1" ma:internalName="OSC_StateA_12_8Number_of_Responses_per_Respondent">
      <xsd:simpleType>
        <xsd:restriction base="dms:Text">
          <xsd:maxLength value="255"/>
        </xsd:restriction>
      </xsd:simpleType>
    </xsd:element>
    <xsd:element name="OSC_StateA_12_8Total_Burden_Hours" ma:index="71" nillable="true" ma:displayName="OSC_StateA_12_8Total_Burden_Hours" ma:decimals="0" ma:default="0" ma:internalName="OSC_StateA_12_8Total_Burden_Hours" ma:percentage="FALSE">
      <xsd:simpleType>
        <xsd:restriction base="dms:Number"/>
      </xsd:simpleType>
    </xsd:element>
    <xsd:element name="OSC_StateA_12_8Total_Respondent_Costs" ma:index="72" nillable="true" ma:displayName="OSC_StateA_12_8Total_Respondent_Costs" ma:decimals="2" ma:default="0" ma:LCID="1033" ma:internalName="OSC_StateA_12_8Total_Respondent_Costs">
      <xsd:simpleType>
        <xsd:restriction base="dms:Currency"/>
      </xsd:simpleType>
    </xsd:element>
    <xsd:element name="OSC_StateA_12_8Type_of_Respondent" ma:index="73" nillable="true" ma:displayName="OSC_StateA_12_8Type_of_Respondent" ma:default="=&gt;Enter&lt;=" ma:internalName="OSC_StateA_12_8Type_of_Respondent">
      <xsd:simpleType>
        <xsd:restriction base="dms:Text">
          <xsd:maxLength value="255"/>
        </xsd:restriction>
      </xsd:simpleType>
    </xsd:element>
    <xsd:element name="OSC_StateA_12_9Average_Burden_per_Response_in_Hours" ma:index="74" nillable="true" ma:displayName="OSC_StateA_12_9Average_Burden_per_Response_in_Hours" ma:default="=&gt;20/60&lt;=" ma:internalName="OSC_StateA_12_9Average_Burden_per_Response_in_Hours">
      <xsd:simpleType>
        <xsd:restriction base="dms:Text">
          <xsd:maxLength value="255"/>
        </xsd:restriction>
      </xsd:simpleType>
    </xsd:element>
    <xsd:element name="OSC_StateA_12_9Hourly_Wage_Rate" ma:index="75" nillable="true" ma:displayName="OSC_StateA_12_9Hourly_Wage_Rate" ma:default="0" ma:internalName="OSC_StateA_12_9Hourly_Wage_Rate">
      <xsd:simpleType>
        <xsd:restriction base="dms:Text">
          <xsd:maxLength value="255"/>
        </xsd:restriction>
      </xsd:simpleType>
    </xsd:element>
    <xsd:element name="OSC_StateA_12_9Number_of_Respondents" ma:index="76" nillable="true" ma:displayName="OSC_StateA_12_9Number_of_Respondents" ma:decimals="0" ma:default="0" ma:internalName="OSC_StateA_12_9Number_of_Respondents" ma:percentage="FALSE">
      <xsd:simpleType>
        <xsd:restriction base="dms:Number"/>
      </xsd:simpleType>
    </xsd:element>
    <xsd:element name="OSC_StateA_12_9Number_of_Responses_per_Respondent" ma:index="77" nillable="true" ma:displayName="OSC_StateA_12_9Number_of_Responses_per_Respondent" ma:default="1" ma:internalName="OSC_StateA_12_9Number_of_Responses_per_Respondent">
      <xsd:simpleType>
        <xsd:restriction base="dms:Text">
          <xsd:maxLength value="255"/>
        </xsd:restriction>
      </xsd:simpleType>
    </xsd:element>
    <xsd:element name="OSC_StateA_12_9Total_Burden_Hours" ma:index="78" nillable="true" ma:displayName="OSC_StateA_12_9Total_Burden_Hours" ma:decimals="0" ma:default="0" ma:internalName="OSC_StateA_12_9Total_Burden_Hours" ma:percentage="FALSE">
      <xsd:simpleType>
        <xsd:restriction base="dms:Number"/>
      </xsd:simpleType>
    </xsd:element>
    <xsd:element name="OSC_StateA_12_9Total_Respondent_Costs" ma:index="79" nillable="true" ma:displayName="OSC_StateA_12_9Total_Respondent_Costs" ma:decimals="2" ma:default="0" ma:LCID="1033" ma:internalName="OSC_StateA_12_9Total_Respondent_Costs">
      <xsd:simpleType>
        <xsd:restriction base="dms:Currency"/>
      </xsd:simpleType>
    </xsd:element>
    <xsd:element name="OSC_StateA_12_9Type_of_Respondent" ma:index="80" nillable="true" ma:displayName="OSC_StateA_12_9Type_of_Respondent" ma:default="=&gt;Enter&lt;=" ma:internalName="OSC_StateA_12_9Type_of_Respondent">
      <xsd:simpleType>
        <xsd:restriction base="dms:Text">
          <xsd:maxLength value="255"/>
        </xsd:restriction>
      </xsd:simpleType>
    </xsd:element>
    <xsd:element name="OSC_StateA_12_Total_Number_of_Responses_per_Respondent" ma:index="81" nillable="true" ma:displayName="OSC_StateA_12_Total_Number_of_Responses_per_Respondent" ma:default="1" ma:internalName="OSC_StateA_12_Total_Number_of_Responses_per_Respondent">
      <xsd:simpleType>
        <xsd:restriction base="dms:Text">
          <xsd:maxLength value="255"/>
        </xsd:restriction>
      </xsd:simpleType>
    </xsd:element>
    <xsd:element name="OSC_StateA_12_Total_Total_Burden_Hours" ma:index="82" nillable="true" ma:displayName="OSC_StateA_12_Total_Total_Burden_Hours" ma:decimals="0" ma:default="0" ma:internalName="OSC_StateA_12_Total_Total_Burden_Hours" ma:percentage="FALSE">
      <xsd:simpleType>
        <xsd:restriction base="dms:Number"/>
      </xsd:simpleType>
    </xsd:element>
    <xsd:element name="OSC_StateA_12_Total_Total_Respondent_Costs" ma:index="83" nillable="true" ma:displayName="OSC_StateA_12_Total_Total_Respondent_Costs" ma:decimals="2" ma:default="0" ma:LCID="1033" ma:internalName="OSC_StateA_12_Total_Total_Respondent_Costs">
      <xsd:simpleType>
        <xsd:restriction base="dms:Currency"/>
      </xsd:simpleType>
    </xsd:element>
    <xsd:element name="OSC_StateA_14_10Average_Cost" ma:index="84" nillable="true" ma:displayName="OSC_StateA_14_10Average_Cost" ma:decimals="2" ma:default="0" ma:LCID="1033" ma:internalName="OSC_StateA_14_10Average_Cost">
      <xsd:simpleType>
        <xsd:restriction base="dms:Currency"/>
      </xsd:simpleType>
    </xsd:element>
    <xsd:element name="OSC_StateA_14_10Average_Hourly_Rate" ma:index="85" nillable="true" ma:displayName="OSC_StateA_14_10Average_Hourly_Rate" ma:default="0" ma:internalName="OSC_StateA_14_10Average_Hourly_Rate">
      <xsd:simpleType>
        <xsd:restriction base="dms:Text">
          <xsd:maxLength value="255"/>
        </xsd:restriction>
      </xsd:simpleType>
    </xsd:element>
    <xsd:element name="OSC_StateA_14_10Average_Hours_Per_Collection" ma:index="86" nillable="true" ma:displayName="OSC_StateA_14_10Average_Hours_Per_Collection" ma:default="0" ma:internalName="OSC_StateA_14_10Average_Hours_Per_Collection">
      <xsd:simpleType>
        <xsd:restriction base="dms:Text">
          <xsd:maxLength value="255"/>
        </xsd:restriction>
      </xsd:simpleType>
    </xsd:element>
    <xsd:element name="OSC_StateA_14_10Staff_FTE" ma:index="87" nillable="true" ma:displayName="OSC_StateA_14_10Staff_FTE" ma:default="=&gt;Enter&lt;=" ma:internalName="OSC_StateA_14_10Staff_FTE">
      <xsd:simpleType>
        <xsd:restriction base="dms:Text">
          <xsd:maxLength value="255"/>
        </xsd:restriction>
      </xsd:simpleType>
    </xsd:element>
    <xsd:element name="OSC_StateA_14_1Average_Cost" ma:index="88" nillable="true" ma:displayName="OSC_StateA_14_1Average_Cost" ma:decimals="2" ma:default="0" ma:LCID="1033" ma:internalName="OSC_StateA_14_1Average_Cost">
      <xsd:simpleType>
        <xsd:restriction base="dms:Currency"/>
      </xsd:simpleType>
    </xsd:element>
    <xsd:element name="OSC_StateA_14_1Average_Hourly_Rate" ma:index="89" nillable="true" ma:displayName="OSC_StateA_14_1Average_Hourly_Rate" ma:default="0" ma:internalName="OSC_StateA_14_1Average_Hourly_Rate">
      <xsd:simpleType>
        <xsd:restriction base="dms:Text">
          <xsd:maxLength value="255"/>
        </xsd:restriction>
      </xsd:simpleType>
    </xsd:element>
    <xsd:element name="OSC_StateA_14_1Average_Hours_Per_Collection" ma:index="90" nillable="true" ma:displayName="OSC_StateA_14_1Average_Hours_Per_Collection" ma:default="0" ma:internalName="OSC_StateA_14_1Average_Hours_Per_Collection">
      <xsd:simpleType>
        <xsd:restriction base="dms:Text">
          <xsd:maxLength value="255"/>
        </xsd:restriction>
      </xsd:simpleType>
    </xsd:element>
    <xsd:element name="OSC_StateA_14_1Staff_FTE" ma:index="91" nillable="true" ma:displayName="OSC_StateA_14_1Staff_FTE" ma:default="=&gt;Enter&lt;=" ma:internalName="OSC_StateA_14_1Staff_FTE">
      <xsd:simpleType>
        <xsd:restriction base="dms:Text">
          <xsd:maxLength value="255"/>
        </xsd:restriction>
      </xsd:simpleType>
    </xsd:element>
    <xsd:element name="OSC_StateA_14_2Average_Cost" ma:index="92" nillable="true" ma:displayName="OSC_StateA_14_2Average_Cost" ma:decimals="2" ma:default="0" ma:LCID="1033" ma:internalName="OSC_StateA_14_2Average_Cost">
      <xsd:simpleType>
        <xsd:restriction base="dms:Currency"/>
      </xsd:simpleType>
    </xsd:element>
    <xsd:element name="OSC_StateA_14_2Average_Hourly_Rate" ma:index="93" nillable="true" ma:displayName="OSC_StateA_14_2Average_Hourly_Rate" ma:default="0" ma:internalName="OSC_StateA_14_2Average_Hourly_Rate">
      <xsd:simpleType>
        <xsd:restriction base="dms:Text">
          <xsd:maxLength value="255"/>
        </xsd:restriction>
      </xsd:simpleType>
    </xsd:element>
    <xsd:element name="OSC_StateA_14_2Average_Hours_Per_Collection" ma:index="94" nillable="true" ma:displayName="OSC_StateA_14_2Average_Hours_Per_Collection" ma:default="0" ma:internalName="OSC_StateA_14_2Average_Hours_Per_Collection">
      <xsd:simpleType>
        <xsd:restriction base="dms:Text">
          <xsd:maxLength value="255"/>
        </xsd:restriction>
      </xsd:simpleType>
    </xsd:element>
    <xsd:element name="OSC_StateA_14_2Staff_FTE" ma:index="95" nillable="true" ma:displayName="OSC_StateA_14_2Staff_FTE" ma:default="=&gt;Enter&lt;=" ma:internalName="OSC_StateA_14_2Staff_FTE">
      <xsd:simpleType>
        <xsd:restriction base="dms:Text">
          <xsd:maxLength value="255"/>
        </xsd:restriction>
      </xsd:simpleType>
    </xsd:element>
    <xsd:element name="OSC_StateA_14_3Average_Cost" ma:index="96" nillable="true" ma:displayName="OSC_StateA_14_3Average_Cost" ma:decimals="2" ma:default="0" ma:LCID="1033" ma:internalName="OSC_StateA_14_3Average_Cost">
      <xsd:simpleType>
        <xsd:restriction base="dms:Currency"/>
      </xsd:simpleType>
    </xsd:element>
    <xsd:element name="OSC_StateA_14_3Average_Hourly_Rate" ma:index="97" nillable="true" ma:displayName="OSC_StateA_14_3Average_Hourly_Rate" ma:default="0" ma:internalName="OSC_StateA_14_3Average_Hourly_Rate">
      <xsd:simpleType>
        <xsd:restriction base="dms:Text">
          <xsd:maxLength value="255"/>
        </xsd:restriction>
      </xsd:simpleType>
    </xsd:element>
    <xsd:element name="OSC_StateA_14_3Average_Hours_Per_Collection" ma:index="98" nillable="true" ma:displayName="OSC_StateA_14_3Average_Hours_Per_Collection" ma:default="0" ma:internalName="OSC_StateA_14_3Average_Hours_Per_Collection">
      <xsd:simpleType>
        <xsd:restriction base="dms:Text">
          <xsd:maxLength value="255"/>
        </xsd:restriction>
      </xsd:simpleType>
    </xsd:element>
    <xsd:element name="OSC_StateA_14_3Staff_FTE" ma:index="99" nillable="true" ma:displayName="OSC_StateA_14_3Staff_FTE" ma:default="=&gt;Enter&lt;=" ma:internalName="OSC_StateA_14_3Staff_FTE">
      <xsd:simpleType>
        <xsd:restriction base="dms:Text">
          <xsd:maxLength value="255"/>
        </xsd:restriction>
      </xsd:simpleType>
    </xsd:element>
    <xsd:element name="OSC_StateA_14_4Average_Cost" ma:index="100" nillable="true" ma:displayName="OSC_StateA_14_4Average_Cost" ma:decimals="2" ma:default="0" ma:LCID="1033" ma:internalName="OSC_StateA_14_4Average_Cost">
      <xsd:simpleType>
        <xsd:restriction base="dms:Currency"/>
      </xsd:simpleType>
    </xsd:element>
    <xsd:element name="OSC_StateA_14_4Average_Hourly_Rate" ma:index="101" nillable="true" ma:displayName="OSC_StateA_14_4Average_Hourly_Rate" ma:default="0" ma:internalName="OSC_StateA_14_4Average_Hourly_Rate">
      <xsd:simpleType>
        <xsd:restriction base="dms:Text">
          <xsd:maxLength value="255"/>
        </xsd:restriction>
      </xsd:simpleType>
    </xsd:element>
    <xsd:element name="OSC_StateA_14_4Average_Hours_Per_Collection" ma:index="102" nillable="true" ma:displayName="OSC_StateA_14_4Average_Hours_Per_Collection" ma:default="0" ma:internalName="OSC_StateA_14_4Average_Hours_Per_Collection">
      <xsd:simpleType>
        <xsd:restriction base="dms:Text">
          <xsd:maxLength value="255"/>
        </xsd:restriction>
      </xsd:simpleType>
    </xsd:element>
    <xsd:element name="OSC_StateA_14_4Staff_FTE" ma:index="103" nillable="true" ma:displayName="OSC_StateA_14_4Staff_FTE" ma:default="=&gt;Enter&lt;=" ma:internalName="OSC_StateA_14_4Staff_FTE">
      <xsd:simpleType>
        <xsd:restriction base="dms:Text">
          <xsd:maxLength value="255"/>
        </xsd:restriction>
      </xsd:simpleType>
    </xsd:element>
    <xsd:element name="OSC_StateA_14_5Average_Cost" ma:index="104" nillable="true" ma:displayName="OSC_StateA_14_5Average_Cost" ma:decimals="2" ma:default="0" ma:LCID="1033" ma:internalName="OSC_StateA_14_5Average_Cost">
      <xsd:simpleType>
        <xsd:restriction base="dms:Currency"/>
      </xsd:simpleType>
    </xsd:element>
    <xsd:element name="OSC_StateA_14_5Average_Hourly_Rate" ma:index="105" nillable="true" ma:displayName="OSC_StateA_14_5Average_Hourly_Rate" ma:default="0" ma:internalName="OSC_StateA_14_5Average_Hourly_Rate">
      <xsd:simpleType>
        <xsd:restriction base="dms:Text">
          <xsd:maxLength value="255"/>
        </xsd:restriction>
      </xsd:simpleType>
    </xsd:element>
    <xsd:element name="OSC_StateA_14_5Average_Hours_Per_Collection" ma:index="106" nillable="true" ma:displayName="OSC_StateA_14_5Average_Hours_Per_Collection" ma:default="0" ma:internalName="OSC_StateA_14_5Average_Hours_Per_Collection">
      <xsd:simpleType>
        <xsd:restriction base="dms:Text">
          <xsd:maxLength value="255"/>
        </xsd:restriction>
      </xsd:simpleType>
    </xsd:element>
    <xsd:element name="OSC_StateA_14_5Staff_FTE" ma:index="107" nillable="true" ma:displayName="OSC_StateA_14_5Staff_FTE" ma:default="=&gt;Enter&lt;=" ma:internalName="OSC_StateA_14_5Staff_FTE">
      <xsd:simpleType>
        <xsd:restriction base="dms:Text">
          <xsd:maxLength value="255"/>
        </xsd:restriction>
      </xsd:simpleType>
    </xsd:element>
    <xsd:element name="OSC_StateA_14_6Average_Cost" ma:index="108" nillable="true" ma:displayName="OSC_StateA_14_6Average_Cost" ma:decimals="2" ma:default="0" ma:LCID="1033" ma:internalName="OSC_StateA_14_6Average_Cost">
      <xsd:simpleType>
        <xsd:restriction base="dms:Currency"/>
      </xsd:simpleType>
    </xsd:element>
    <xsd:element name="OSC_StateA_14_6Average_Hourly_Rate" ma:index="109" nillable="true" ma:displayName="OSC_StateA_14_6Average_Hourly_Rate" ma:default="0" ma:internalName="OSC_StateA_14_6Average_Hourly_Rate">
      <xsd:simpleType>
        <xsd:restriction base="dms:Text">
          <xsd:maxLength value="255"/>
        </xsd:restriction>
      </xsd:simpleType>
    </xsd:element>
    <xsd:element name="OSC_StateA_14_6Average_Hours_Per_Collection" ma:index="110" nillable="true" ma:displayName="OSC_StateA_14_6Average_Hours_Per_Collection" ma:default="0" ma:internalName="OSC_StateA_14_6Average_Hours_Per_Collection">
      <xsd:simpleType>
        <xsd:restriction base="dms:Text">
          <xsd:maxLength value="255"/>
        </xsd:restriction>
      </xsd:simpleType>
    </xsd:element>
    <xsd:element name="OSC_StateA_14_6Staff_FTE" ma:index="111" nillable="true" ma:displayName="OSC_StateA_14_6Staff_FTE" ma:default="=&gt;Enter&lt;=" ma:internalName="OSC_StateA_14_6Staff_FTE">
      <xsd:simpleType>
        <xsd:restriction base="dms:Text">
          <xsd:maxLength value="255"/>
        </xsd:restriction>
      </xsd:simpleType>
    </xsd:element>
    <xsd:element name="OSC_StateA_14_7Average_Cost" ma:index="112" nillable="true" ma:displayName="OSC_StateA_14_7Average_Cost" ma:decimals="2" ma:default="0" ma:LCID="1033" ma:internalName="OSC_StateA_14_7Average_Cost">
      <xsd:simpleType>
        <xsd:restriction base="dms:Currency"/>
      </xsd:simpleType>
    </xsd:element>
    <xsd:element name="OSC_StateA_14_7Average_Hourly_Rate" ma:index="113" nillable="true" ma:displayName="OSC_StateA_14_7Average_Hourly_Rate" ma:default="0" ma:internalName="OSC_StateA_14_7Average_Hourly_Rate">
      <xsd:simpleType>
        <xsd:restriction base="dms:Text">
          <xsd:maxLength value="255"/>
        </xsd:restriction>
      </xsd:simpleType>
    </xsd:element>
    <xsd:element name="OSC_StateA_14_7Average_Hours_Per_Collection" ma:index="114" nillable="true" ma:displayName="OSC_StateA_14_7Average_Hours_Per_Collection" ma:default="0" ma:internalName="OSC_StateA_14_7Average_Hours_Per_Collection">
      <xsd:simpleType>
        <xsd:restriction base="dms:Text">
          <xsd:maxLength value="255"/>
        </xsd:restriction>
      </xsd:simpleType>
    </xsd:element>
    <xsd:element name="OSC_StateA_14_7Staff_FTE" ma:index="115" nillable="true" ma:displayName="OSC_StateA_14_7Staff_FTE" ma:default="=&gt;Enter&lt;=" ma:internalName="OSC_StateA_14_7Staff_FTE">
      <xsd:simpleType>
        <xsd:restriction base="dms:Text">
          <xsd:maxLength value="255"/>
        </xsd:restriction>
      </xsd:simpleType>
    </xsd:element>
    <xsd:element name="OSC_StateA_14_8Average_Cost" ma:index="116" nillable="true" ma:displayName="OSC_StateA_14_8Average_Cost" ma:decimals="2" ma:default="0" ma:LCID="1033" ma:internalName="OSC_StateA_14_8Average_Cost">
      <xsd:simpleType>
        <xsd:restriction base="dms:Currency"/>
      </xsd:simpleType>
    </xsd:element>
    <xsd:element name="OSC_StateA_14_8Average_Hourly_Rate" ma:index="117" nillable="true" ma:displayName="OSC_StateA_14_8Average_Hourly_Rate" ma:default="0" ma:internalName="OSC_StateA_14_8Average_Hourly_Rate">
      <xsd:simpleType>
        <xsd:restriction base="dms:Text">
          <xsd:maxLength value="255"/>
        </xsd:restriction>
      </xsd:simpleType>
    </xsd:element>
    <xsd:element name="OSC_StateA_14_8Average_Hours_Per_Collection" ma:index="118" nillable="true" ma:displayName="OSC_StateA_14_8Average_Hours_Per_Collection" ma:default="0" ma:internalName="OSC_StateA_14_8Average_Hours_Per_Collection">
      <xsd:simpleType>
        <xsd:restriction base="dms:Text">
          <xsd:maxLength value="255"/>
        </xsd:restriction>
      </xsd:simpleType>
    </xsd:element>
    <xsd:element name="OSC_StateA_14_8Staff_FTE" ma:index="119" nillable="true" ma:displayName="OSC_StateA_14_8Staff_FTE" ma:default="=&gt;Enter&lt;=" ma:internalName="OSC_StateA_14_8Staff_FTE">
      <xsd:simpleType>
        <xsd:restriction base="dms:Text">
          <xsd:maxLength value="255"/>
        </xsd:restriction>
      </xsd:simpleType>
    </xsd:element>
    <xsd:element name="OSC_StateA_14_9Average_Cost" ma:index="120" nillable="true" ma:displayName="OSC_StateA_14_9Average_Cost" ma:decimals="2" ma:default="0" ma:LCID="1033" ma:internalName="OSC_StateA_14_9Average_Cost">
      <xsd:simpleType>
        <xsd:restriction base="dms:Currency"/>
      </xsd:simpleType>
    </xsd:element>
    <xsd:element name="OSC_StateA_14_9Average_Hourly_Rate" ma:index="121" nillable="true" ma:displayName="OSC_StateA_14_9Average_Hourly_Rate" ma:default="0" ma:internalName="OSC_StateA_14_9Average_Hourly_Rate">
      <xsd:simpleType>
        <xsd:restriction base="dms:Text">
          <xsd:maxLength value="255"/>
        </xsd:restriction>
      </xsd:simpleType>
    </xsd:element>
    <xsd:element name="OSC_StateA_14_9Average_Hours_Per_Collection" ma:index="122" nillable="true" ma:displayName="OSC_StateA_14_9Average_Hours_Per_Collection" ma:default="0" ma:internalName="OSC_StateA_14_9Average_Hours_Per_Collection">
      <xsd:simpleType>
        <xsd:restriction base="dms:Text">
          <xsd:maxLength value="255"/>
        </xsd:restriction>
      </xsd:simpleType>
    </xsd:element>
    <xsd:element name="OSC_StateA_14_9Staff_FTE" ma:index="123" nillable="true" ma:displayName="OSC_StateA_14_9Staff_FTE" ma:default="=&gt;Enter&lt;=" ma:internalName="OSC_StateA_14_9Staff_FTE">
      <xsd:simpleType>
        <xsd:restriction base="dms:Text">
          <xsd:maxLength value="255"/>
        </xsd:restriction>
      </xsd:simpleType>
    </xsd:element>
    <xsd:element name="OSC_StateA_14_Estimated_Total_Cost_of_Information_Collection" ma:index="124" nillable="true" ma:displayName="OSC_StateA_14_Estimated_Total_Cost_of_Information_Collection" ma:decimals="2" ma:default="0" ma:LCID="1033" ma:internalName="OSC_StateA_14_Estimated_Total_Cost_of_Information_Collection">
      <xsd:simpleType>
        <xsd:restriction base="dms:Currency"/>
      </xsd:simpleType>
    </xsd:element>
    <xsd:element name="OSC_StateA_Annualized_Cost_to_the_Government" ma:index="125" nillable="true" ma:displayName="OSC_StateA_Annualized_Cost_to_the_Government" ma:internalName="OSC_StateA_Annualized_Cost_to_the_Government">
      <xsd:simpleType>
        <xsd:restriction base="dms:Note"/>
      </xsd:simpleType>
    </xsd:element>
    <xsd:element name="OSC_StateA_Assurance_of_Confidentiality_Provided_to_Respondents" ma:index="126" nillable="true" ma:displayName="OSC_StateA_Assurance_of_Confidentiality_Provided_to_Respondents" ma:internalName="OSC_StateA_Assurance_of_Confidentiality_Provided_to_Respondents">
      <xsd:simpleType>
        <xsd:restriction base="dms:Note">
          <xsd:maxLength value="255"/>
        </xsd:restriction>
      </xsd:simpleType>
    </xsd:element>
    <xsd:element name="OSC_StateA_Background" ma:index="127" nillable="true" ma:displayName="OSC_StateA_Background" ma:internalName="OSC_StateA_Background">
      <xsd:simpleType>
        <xsd:restriction base="dms:Note">
          <xsd:maxLength value="255"/>
        </xsd:restriction>
      </xsd:simpleType>
    </xsd:element>
    <xsd:element name="OSC_StateA_Consequences_Collecting_Less_Frequently" ma:index="128" nillable="true" ma:displayName="OSC_StateA_Consequences_Collecting_Less_Frequently" ma:internalName="OSC_StateA_Consequences_Collecting_Less_Frequently">
      <xsd:simpleType>
        <xsd:restriction base="dms:Note">
          <xsd:maxLength value="255"/>
        </xsd:restriction>
      </xsd:simpleType>
    </xsd:element>
    <xsd:element name="OSC_StateA_Date_Submitted" ma:index="129" nillable="true" ma:displayName="OSC_StateA_Date_Submitted" ma:format="DateOnly" ma:internalName="OSC_StateA_Date_Submitted">
      <xsd:simpleType>
        <xsd:restriction base="dms:DateTime"/>
      </xsd:simpleType>
    </xsd:element>
    <xsd:element name="OSC_StateA_Estimate_Other_Total_Annual_Cost_Burden_to_Respond" ma:index="130" nillable="true" ma:displayName="OSC_StateA_Estimate_Other_Total_Annual_Cost_Burden_to_Respond" ma:internalName="OSC_StateA_Estimate_Other_Total_Annual_Cost_Burden_to_Respond">
      <xsd:simpleType>
        <xsd:restriction base="dms:Note">
          <xsd:maxLength value="255"/>
        </xsd:restriction>
      </xsd:simpleType>
    </xsd:element>
    <xsd:element name="OSC_StateA_Estimates_of_Annualized_Burden_Hours_and_Costs" ma:index="131" nillable="true" ma:displayName="OSC_StateA_Estimates_of_Annualized_Burden_Hours_and_Costs" ma:internalName="OSC_StateA_Estimates_of_Annualized_Burden_Hours_and_Costs">
      <xsd:simpleType>
        <xsd:restriction base="dms:Note">
          <xsd:maxLength value="255"/>
        </xsd:restriction>
      </xsd:simpleType>
    </xsd:element>
    <xsd:element name="OSC_StateA_Exceptions_Certification_Paperwork_Reduction_Act" ma:index="132" nillable="true" ma:displayName="OSC_StateA_Exceptions_Certification_Paperwork_Reduction_Act" ma:internalName="OSC_StateA_Exceptions_Certification_Paperwork_Reduction_Act">
      <xsd:simpleType>
        <xsd:restriction base="dms:Note">
          <xsd:maxLength value="255"/>
        </xsd:restriction>
      </xsd:simpleType>
    </xsd:element>
    <xsd:element name="OSC_StateA_Explanation_for_Program_Changes_or_Adjustments" ma:index="133" nillable="true" ma:displayName="OSC_StateA_Explanation_for_Program_Changes_or_Adjustments" ma:internalName="OSC_StateA_Explanation_for_Program_Changes_or_Adjustments">
      <xsd:simpleType>
        <xsd:restriction base="dms:Note">
          <xsd:maxLength value="255"/>
        </xsd:restriction>
      </xsd:simpleType>
    </xsd:element>
    <xsd:element name="OSC_StateA_Explanation_of_Any_Payment_or_Gift_to_Respondents" ma:index="134" nillable="true" ma:displayName="OSC_StateA_Explanation_of_Any_Payment_or_Gift_to_Respondents" ma:internalName="OSC_StateA_Explanation_of_Any_Payment_or_Gift_to_Respondents">
      <xsd:simpleType>
        <xsd:restriction base="dms:Note">
          <xsd:maxLength value="255"/>
        </xsd:restriction>
      </xsd:simpleType>
    </xsd:element>
    <xsd:element name="OSC_StateA_Identify_Duplication_Similar_Information" ma:index="135" nillable="true" ma:displayName="OSC_StateA_Identify_Duplication_Similar_Information" ma:internalName="OSC_StateA_Identify_Duplication_Similar_Information">
      <xsd:simpleType>
        <xsd:restriction base="dms:Note">
          <xsd:maxLength value="255"/>
        </xsd:restriction>
      </xsd:simpleType>
    </xsd:element>
    <xsd:element name="OSC_StateA_Impact_on_Small_Businesses_or_Other_Small_Entities" ma:index="136" nillable="true" ma:displayName="OSC_StateA_Impact_on_Small_Businesses_or_Other_Small_Entities" ma:internalName="OSC_StateA_Impact_on_Small_Businesses_or_Other_Small_Entities">
      <xsd:simpleType>
        <xsd:restriction base="dms:Note">
          <xsd:maxLength value="255"/>
        </xsd:restriction>
      </xsd:simpleType>
    </xsd:element>
    <xsd:element name="OSC_StateA_Improved_Information_Technology_and_Burden_Reduction" ma:index="137" nillable="true" ma:displayName="OSC_StateA_Improved_Information_Technology_and_Burden_Reduction" ma:internalName="OSC_StateA_Improved_Information_Technology_and_Burden_Reduction">
      <xsd:simpleType>
        <xsd:restriction base="dms:Note">
          <xsd:maxLength value="255"/>
        </xsd:restriction>
      </xsd:simpleType>
    </xsd:element>
    <xsd:element name="OSC_StateA_Items_to_be_collected" ma:index="138" nillable="true" ma:displayName="OSC_StateA_Items_to_be_collected" ma:internalName="OSC_StateA_Items_to_be_collected">
      <xsd:simpleType>
        <xsd:restriction base="dms:Note">
          <xsd:maxLength value="255"/>
        </xsd:restriction>
      </xsd:simpleType>
    </xsd:element>
    <xsd:element name="OSC_StateA_Justification_for_Sensitive_Questions" ma:index="139" nillable="true" ma:displayName="OSC_StateA_Justification_for_Sensitive_Questions" ma:internalName="OSC_StateA_Justification_for_Sensitive_Questions">
      <xsd:simpleType>
        <xsd:restriction base="dms:Note">
          <xsd:maxLength value="255"/>
        </xsd:restriction>
      </xsd:simpleType>
    </xsd:element>
    <xsd:element name="OSC_StateA_List_Of_Attachments" ma:index="140" nillable="true" ma:displayName="OSC_StateA_List_Of_Attachments" ma:internalName="OSC_StateA_List_Of_Attachments">
      <xsd:simpleType>
        <xsd:restriction base="dms:Note">
          <xsd:maxLength value="255"/>
        </xsd:restriction>
      </xsd:simpleType>
    </xsd:element>
    <xsd:element name="OSC_StateA_Overview_Of_Data_Collection_System" ma:index="141" nillable="true" ma:displayName="OSC_StateA_Overview_Of_Data_Collection_System" ma:internalName="OSC_StateA_Overview_Of_Data_Collection_System">
      <xsd:simpleType>
        <xsd:restriction base="dms:Note">
          <xsd:maxLength value="255"/>
        </xsd:restriction>
      </xsd:simpleType>
    </xsd:element>
    <xsd:element name="OSC_StateA_Purpose_and_Use" ma:index="142" nillable="true" ma:displayName="OSC_StateA_Purpose_and_Use" ma:internalName="OSC_StateA_Purpose_and_Use">
      <xsd:simpleType>
        <xsd:restriction base="dms:Note">
          <xsd:maxLength value="255"/>
        </xsd:restriction>
      </xsd:simpleType>
    </xsd:element>
    <xsd:element name="OSC_StateA_Reason_Display_OMB_Expiration_Date_is_Inappropriate" ma:index="143" nillable="true" ma:displayName="OSC_StateA_Reason_Display_OMB_Expiration_Date_is_Inappropriate" ma:internalName="OSC_StateA_Reason_Display_OMB_Expiration_Date_is_Inappropriate">
      <xsd:simpleType>
        <xsd:restriction base="dms:Note">
          <xsd:maxLength value="255"/>
        </xsd:restriction>
      </xsd:simpleType>
    </xsd:element>
    <xsd:element name="OSC_StateA_Response_to_the_Federal_Register_Notice_and_Efforts" ma:index="144" nillable="true" ma:displayName="OSC_StateA_Response_to_the_Federal_Register_Notice_and_Efforts" ma:internalName="OSC_StateA_Response_to_the_Federal_Register_Notice_and_Efforts">
      <xsd:simpleType>
        <xsd:restriction base="dms:Note">
          <xsd:maxLength value="255"/>
        </xsd:restriction>
      </xsd:simpleType>
    </xsd:element>
    <xsd:element name="OSC_StateA_Tabulation_and_Publication_and_Project_Time_Schedule" ma:index="145" nillable="true" ma:displayName="OSC_StateA_Tabulation_and_Publication_and_Project_Time_Schedule" ma:internalName="OSC_StateA_Tabulation_and_Publication_and_Project_Time_Schedule">
      <xsd:simpleType>
        <xsd:restriction base="dms:Note">
          <xsd:maxLength value="255"/>
        </xsd:restriction>
      </xsd:simpleType>
    </xsd:element>
    <xsd:element name="OSC_StateA_Websites_Directed_at_Children" ma:index="146" nillable="true" ma:displayName="OSC_StateA_Websites_Directed_at_Children" ma:internalName="OSC_StateA_Websites_Directed_at_Children">
      <xsd:simpleType>
        <xsd:restriction base="dms:Note">
          <xsd:maxLength value="255"/>
        </xsd:restriction>
      </xsd:simpleType>
    </xsd:element>
    <xsd:element name="GenICPIBranchOROfficeTitle" ma:index="148" nillable="true" ma:displayName="GenIC PI Branch OR Office Title" ma:default="=&gt;Enter branch or office title&lt;=" ma:internalName="GenICPIBranchOROfficeTitle">
      <xsd:simpleType>
        <xsd:restriction base="dms:Text">
          <xsd:maxLength value="255"/>
        </xsd:restriction>
      </xsd:simpleType>
    </xsd:element>
    <xsd:element name="GenICPICDCID" ma:index="149" nillable="true" ma:displayName="GenIC PI CDC ID" ma:description="" ma:internalName="GenICPICDCID">
      <xsd:simpleType>
        <xsd:restriction base="dms:Text">
          <xsd:maxLength value="255"/>
        </xsd:restriction>
      </xsd:simpleType>
    </xsd:element>
    <xsd:element name="GenICPICenterDivisionBranch" ma:index="150" nillable="true" ma:displayName="GenIC PI Center Division Branch" ma:description="" ma:internalName="GenICPICenterDivisionBranch">
      <xsd:simpleType>
        <xsd:restriction base="dms:Text">
          <xsd:maxLength value="255"/>
        </xsd:restriction>
      </xsd:simpleType>
    </xsd:element>
    <xsd:element name="GenICPICIO" ma:index="151" nillable="true" ma:displayName="GenIC PI CIO" ma:internalName="GenICPICIO">
      <xsd:simpleType>
        <xsd:restriction base="dms:Text">
          <xsd:maxLength value="255"/>
        </xsd:restriction>
      </xsd:simpleType>
    </xsd:element>
    <xsd:element name="GenICPIDivisionOROfficeTitle" ma:index="152" nillable="true" ma:displayName="GenIC PI Division OR Office Title" ma:default="=&gt;Enter division or office title&lt;=" ma:internalName="GenICPIDivisionOROfficeTitle">
      <xsd:simpleType>
        <xsd:restriction base="dms:Text">
          <xsd:maxLength value="255"/>
        </xsd:restriction>
      </xsd:simpleType>
    </xsd:element>
    <xsd:element name="GenICPIEmail" ma:index="153" nillable="true" ma:displayName="GenIC PI Email" ma:default="=&gt;Enter work email&lt;=" ma:description="" ma:internalName="GenICPIEmail">
      <xsd:simpleType>
        <xsd:restriction base="dms:Text">
          <xsd:maxLength value="255"/>
        </xsd:restriction>
      </xsd:simpleType>
    </xsd:element>
    <xsd:element name="GenICPIFax" ma:index="154" nillable="true" ma:displayName="GenIC PI Fax" ma:default="=&gt;###-###-####&lt;=" ma:internalName="GenICPIFax">
      <xsd:simpleType>
        <xsd:restriction base="dms:Text">
          <xsd:maxLength value="255"/>
        </xsd:restriction>
      </xsd:simpleType>
    </xsd:element>
    <xsd:element name="GenICPIName" ma:index="155" nillable="true" ma:displayName="GenIC PI Name" ma:default="=&gt;Enter full name and credentials&lt;=" ma:description="" ma:internalName="GenICPIName">
      <xsd:simpleType>
        <xsd:restriction base="dms:Text">
          <xsd:maxLength value="255"/>
        </xsd:restriction>
      </xsd:simpleType>
    </xsd:element>
    <xsd:element name="GenICPIPhone" ma:index="156" nillable="true" ma:displayName="GenIC PI Phone" ma:default="=&gt;###-###-####&lt;=" ma:description="" ma:internalName="GenICPIPhone">
      <xsd:simpleType>
        <xsd:restriction base="dms:Text">
          <xsd:maxLength value="255"/>
        </xsd:restriction>
      </xsd:simpleType>
    </xsd:element>
    <xsd:element name="GenICPITitle" ma:index="157" nillable="true" ma:displayName="GenIC PI Title" ma:default="=&gt;Enter official CDC title&lt;=" ma:internalName="GenICPITitle">
      <xsd:simpleType>
        <xsd:restriction base="dms:Text">
          <xsd:maxLength value="255"/>
        </xsd:restriction>
      </xsd:simpleType>
    </xsd:element>
    <xsd:element name="GenICPIWorkMailingAddress" ma:index="158" nillable="true" ma:displayName="GenIC PI Work Mailing Address" ma:default="=&gt;Enter work mailing address&lt;=" ma:internalName="GenICPIWorkMailingAddres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b1c282-9287-45cb-9b41-eae3a76919a0" elementFormDefault="qualified">
    <xsd:import namespace="http://schemas.microsoft.com/office/2006/documentManagement/types"/>
    <xsd:import namespace="http://schemas.microsoft.com/office/infopath/2007/PartnerControls"/>
    <xsd:element name="GenICNickname" ma:index="147" nillable="true" ma:displayName="GenIC Nickname" ma:internalName="GenICNickname">
      <xsd:simpleType>
        <xsd:restriction base="dms:Text">
          <xsd:maxLength value="255"/>
        </xsd:restriction>
      </xsd:simpleType>
    </xsd:element>
    <xsd:element name="GenICTitle" ma:index="159" nillable="true" ma:displayName="GenIC Title" ma:default="=&gt;Enter short but descriptive title reflecting the purpose of the data collection. &lt;=" ma:internalName="GenICTitl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849d94-b00b-4457-8fdf-7e9e81e05b5e" elementFormDefault="qualified">
    <xsd:import namespace="http://schemas.microsoft.com/office/2006/documentManagement/types"/>
    <xsd:import namespace="http://schemas.microsoft.com/office/infopath/2007/PartnerControls"/>
    <xsd:element name="OSC_StateA_12_Total_Number_of_Respondents" ma:index="160" nillable="true" ma:displayName="OSC_StateA_12_Total_Number_of_Respondents" ma:decimals="0" ma:default="0" ma:internalName="OSC_StateA_12_Total_Number_of_Respondents">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OSC_StateA_12_10Total_Respondent_Costs xmlns="bd99c180-279b-44c3-9486-dd050336677e">0</OSC_StateA_12_10Total_Respondent_Costs>
    <OSC_StateA_12_2Number_of_Respondents xmlns="bd99c180-279b-44c3-9486-dd050336677e">0</OSC_StateA_12_2Number_of_Respondents>
    <OSC_StateA_12_6Average_Burden_per_Response_in_Hours xmlns="bd99c180-279b-44c3-9486-dd050336677e">=&gt;20/60&lt;=</OSC_StateA_12_6Average_Burden_per_Response_in_Hours>
    <OSC_StateA_12_9Total_Respondent_Costs xmlns="bd99c180-279b-44c3-9486-dd050336677e">0</OSC_StateA_12_9Total_Respondent_Costs>
    <OSC_StateA_14_10Average_Hourly_Rate xmlns="bd99c180-279b-44c3-9486-dd050336677e">0</OSC_StateA_14_10Average_Hourly_Rate>
    <OSC_StateA_14_2Staff_FTE xmlns="bd99c180-279b-44c3-9486-dd050336677e">=&gt;Enter&lt;=</OSC_StateA_14_2Staff_FTE>
    <OSC_StateA_14_5Average_Hourly_Rate xmlns="bd99c180-279b-44c3-9486-dd050336677e">0</OSC_StateA_14_5Average_Hourly_Rate>
    <OSC_StateA_14_8Average_Cost xmlns="bd99c180-279b-44c3-9486-dd050336677e">0</OSC_StateA_14_8Average_Cost>
    <GenICPIEmail xmlns="bd99c180-279b-44c3-9486-dd050336677e">=&gt;Enter work email&lt;=</GenICPIEmail>
    <OSC_StateA_12_Total_Number_of_Respondents xmlns="ce849d94-b00b-4457-8fdf-7e9e81e05b5e">0</OSC_StateA_12_Total_Number_of_Respondents>
    <OSC_StateA_12_10Average_Burden_per_Response_in_Hours xmlns="bd99c180-279b-44c3-9486-dd050336677e">=&gt;20/60&lt;=</OSC_StateA_12_10Average_Burden_per_Response_in_Hours>
    <OSC_StateA_12_10Type_of_Respondent xmlns="bd99c180-279b-44c3-9486-dd050336677e">=&gt;Enter&lt;=</OSC_StateA_12_10Type_of_Respondent>
    <OSC_StateA_12_3Number_of_Respondents xmlns="bd99c180-279b-44c3-9486-dd050336677e">0</OSC_StateA_12_3Number_of_Respondents>
    <OSC_StateA_12_7Average_Burden_per_Response_in_Hours xmlns="bd99c180-279b-44c3-9486-dd050336677e">=&gt;20/60&lt;=</OSC_StateA_12_7Average_Burden_per_Response_in_Hours>
    <OSC_StateA_12_8Total_Respondent_Costs xmlns="bd99c180-279b-44c3-9486-dd050336677e">0</OSC_StateA_12_8Total_Respondent_Costs>
    <OSC_StateA_14_3Staff_FTE xmlns="bd99c180-279b-44c3-9486-dd050336677e">=&gt;Enter&lt;=</OSC_StateA_14_3Staff_FTE>
    <OSC_StateA_14_4Average_Hourly_Rate xmlns="bd99c180-279b-44c3-9486-dd050336677e">0</OSC_StateA_14_4Average_Hourly_Rate>
    <OSC_StateA_14_9Average_Cost xmlns="bd99c180-279b-44c3-9486-dd050336677e">0</OSC_StateA_14_9Average_Cost>
    <OSC_StateA_12_4Average_Burden_per_Response_in_Hours xmlns="bd99c180-279b-44c3-9486-dd050336677e">=&gt;20/60&lt;=</OSC_StateA_12_4Average_Burden_per_Response_in_Hours>
    <OSC_StateA_12_9Type_of_Respondent xmlns="bd99c180-279b-44c3-9486-dd050336677e">=&gt;Enter&lt;=</OSC_StateA_12_9Type_of_Respondent>
    <OSC_StateA_14_7Average_Hourly_Rate xmlns="bd99c180-279b-44c3-9486-dd050336677e">0</OSC_StateA_14_7Average_Hourly_Rate>
    <OSC_StateA_Tabulation_and_Publication_and_Project_Time_Schedule xmlns="bd99c180-279b-44c3-9486-dd050336677e" xsi:nil="true"/>
    <OSC_StateA_12_10Number_of_Responses_per_Respondent xmlns="bd99c180-279b-44c3-9486-dd050336677e">1</OSC_StateA_12_10Number_of_Responses_per_Respondent>
    <OSC_StateA_12_1Number_of_Respondents xmlns="bd99c180-279b-44c3-9486-dd050336677e">0</OSC_StateA_12_1Number_of_Respondents>
    <OSC_StateA_12_5Average_Burden_per_Response_in_Hours xmlns="bd99c180-279b-44c3-9486-dd050336677e">=&gt;20/60&lt;=</OSC_StateA_12_5Average_Burden_per_Response_in_Hours>
    <OSC_StateA_12_8Type_of_Respondent xmlns="bd99c180-279b-44c3-9486-dd050336677e">=&gt;Enter&lt;=</OSC_StateA_12_8Type_of_Respondent>
    <OSC_StateA_14_1Staff_FTE xmlns="bd99c180-279b-44c3-9486-dd050336677e">=&gt;Enter&lt;=</OSC_StateA_14_1Staff_FTE>
    <OSC_StateA_14_6Average_Hourly_Rate xmlns="bd99c180-279b-44c3-9486-dd050336677e">0</OSC_StateA_14_6Average_Hourly_Rate>
    <OSC_StateA_Overview_Of_Data_Collection_System xmlns="bd99c180-279b-44c3-9486-dd050336677e" xsi:nil="true"/>
    <OSC_StateA_12_9Number_of_Responses_per_Respondent xmlns="bd99c180-279b-44c3-9486-dd050336677e">1</OSC_StateA_12_9Number_of_Responses_per_Respondent>
    <OSC_StateA_14_4Average_Hours_Per_Collection xmlns="bd99c180-279b-44c3-9486-dd050336677e">0</OSC_StateA_14_4Average_Hours_Per_Collection>
    <GenICPICenterDivisionBranch xmlns="bd99c180-279b-44c3-9486-dd050336677e" xsi:nil="true"/>
    <GenICPIWorkMailingAddress xmlns="bd99c180-279b-44c3-9486-dd050336677e">=&gt;Enter work mailing address&lt;=</GenICPIWorkMailingAddress>
    <OSC_StateA_12_8Number_of_Responses_per_Respondent xmlns="bd99c180-279b-44c3-9486-dd050336677e">1</OSC_StateA_12_8Number_of_Responses_per_Respondent>
    <OSC_StateA_14_5Average_Hours_Per_Collection xmlns="bd99c180-279b-44c3-9486-dd050336677e">0</OSC_StateA_14_5Average_Hours_Per_Collection>
    <OSC_StateA_Identify_Duplication_Similar_Information xmlns="bd99c180-279b-44c3-9486-dd050336677e" xsi:nil="true"/>
    <OSC_StateA_Justification_for_Sensitive_Questions xmlns="bd99c180-279b-44c3-9486-dd050336677e" xsi:nil="true"/>
    <GenICPICDCID xmlns="bd99c180-279b-44c3-9486-dd050336677e" xsi:nil="true"/>
    <OSC_StateA_12_8Average_Burden_per_Response_in_Hours xmlns="bd99c180-279b-44c3-9486-dd050336677e">=&gt;20/60&lt;=</OSC_StateA_12_8Average_Burden_per_Response_in_Hours>
    <OSC_StateA_14_6Average_Hours_Per_Collection xmlns="bd99c180-279b-44c3-9486-dd050336677e">0</OSC_StateA_14_6Average_Hours_Per_Collection>
    <OSC_StateA_Assurance_of_Confidentiality_Provided_to_Respondents xmlns="bd99c180-279b-44c3-9486-dd050336677e" xsi:nil="true"/>
    <OSC_StateA_Consequences_Collecting_Less_Frequently xmlns="bd99c180-279b-44c3-9486-dd050336677e" xsi:nil="true"/>
    <OSC_StateA_List_Of_Attachments xmlns="bd99c180-279b-44c3-9486-dd050336677e" xsi:nil="true"/>
    <GenICNickname xmlns="15b1c282-9287-45cb-9b41-eae3a76919a0" xsi:nil="true"/>
    <OSC_StateA_12_10Total_Burden_Hours xmlns="bd99c180-279b-44c3-9486-dd050336677e">0</OSC_StateA_12_10Total_Burden_Hours>
    <OSC_StateA_12_9Average_Burden_per_Response_in_Hours xmlns="bd99c180-279b-44c3-9486-dd050336677e">=&gt;20/60&lt;=</OSC_StateA_12_9Average_Burden_per_Response_in_Hours>
    <OSC_StateA_14_10Average_Hours_Per_Collection xmlns="bd99c180-279b-44c3-9486-dd050336677e">0</OSC_StateA_14_10Average_Hours_Per_Collection>
    <OSC_StateA_14_7Average_Hours_Per_Collection xmlns="bd99c180-279b-44c3-9486-dd050336677e">0</OSC_StateA_14_7Average_Hours_Per_Collection>
    <OSC_StateA_Date_Submitted xmlns="bd99c180-279b-44c3-9486-dd050336677e" xsi:nil="true"/>
    <OSC_StateA_12_10Number_of_Respondents xmlns="bd99c180-279b-44c3-9486-dd050336677e">0</OSC_StateA_12_10Number_of_Respondents>
    <OSC_StateA_12_1Total_Burden_Hours xmlns="bd99c180-279b-44c3-9486-dd050336677e">0</OSC_StateA_12_1Total_Burden_Hours>
    <OSC_StateA_12_1Total_Respondent_Costs xmlns="bd99c180-279b-44c3-9486-dd050336677e">0</OSC_StateA_12_1Total_Respondent_Costs>
    <OSC_StateA_12_7Type_of_Respondent xmlns="bd99c180-279b-44c3-9486-dd050336677e">=&gt;Enter&lt;=</OSC_StateA_12_7Type_of_Respondent>
    <OSC_StateA_14_9Average_Hourly_Rate xmlns="bd99c180-279b-44c3-9486-dd050336677e">0</OSC_StateA_14_9Average_Hourly_Rate>
    <OSC_StateA_14_Estimated_Total_Cost_of_Information_Collection xmlns="bd99c180-279b-44c3-9486-dd050336677e">0</OSC_StateA_14_Estimated_Total_Cost_of_Information_Collection>
    <OSC_StateA_Reason_Display_OMB_Expiration_Date_is_Inappropriate xmlns="bd99c180-279b-44c3-9486-dd050336677e" xsi:nil="true"/>
    <GenICPIName xmlns="bd99c180-279b-44c3-9486-dd050336677e">=&gt;Enter full name and credentials&lt;=</GenICPIName>
    <OSC_StateA_12_6Type_of_Respondent xmlns="bd99c180-279b-44c3-9486-dd050336677e">=&gt;Enter&lt;=</OSC_StateA_12_6Type_of_Respondent>
    <OSC_StateA_12_Total_Total_Respondent_Costs xmlns="bd99c180-279b-44c3-9486-dd050336677e">0</OSC_StateA_12_Total_Total_Respondent_Costs>
    <OSC_StateA_14_1Average_Hours_Per_Collection xmlns="bd99c180-279b-44c3-9486-dd050336677e">0</OSC_StateA_14_1Average_Hours_Per_Collection>
    <OSC_StateA_14_8Average_Hourly_Rate xmlns="bd99c180-279b-44c3-9486-dd050336677e">0</OSC_StateA_14_8Average_Hourly_Rate>
    <GenICPICIO xmlns="bd99c180-279b-44c3-9486-dd050336677e" xsi:nil="true"/>
    <GenICTitle xmlns="15b1c282-9287-45cb-9b41-eae3a76919a0">=&gt;Enter short but descriptive title reflecting the purpose of the data collection. &lt;=</GenICTitle>
    <OSC_StateA_12_3Total_Burden_Hours xmlns="bd99c180-279b-44c3-9486-dd050336677e">0</OSC_StateA_12_3Total_Burden_Hours>
    <OSC_StateA_12_3Total_Respondent_Costs xmlns="bd99c180-279b-44c3-9486-dd050336677e">0</OSC_StateA_12_3Total_Respondent_Costs>
    <OSC_StateA_12_5Type_of_Respondent xmlns="bd99c180-279b-44c3-9486-dd050336677e">=&gt;Enter&lt;=</OSC_StateA_12_5Type_of_Respondent>
    <OSC_StateA_12_8Hourly_Wage_Rate xmlns="bd99c180-279b-44c3-9486-dd050336677e">0</OSC_StateA_12_8Hourly_Wage_Rate>
    <OSC_StateA_12_Total_Number_of_Responses_per_Respondent xmlns="bd99c180-279b-44c3-9486-dd050336677e">1</OSC_StateA_12_Total_Number_of_Responses_per_Respondent>
    <OSC_StateA_14_2Average_Hours_Per_Collection xmlns="bd99c180-279b-44c3-9486-dd050336677e">0</OSC_StateA_14_2Average_Hours_Per_Collection>
    <OSC_StateA_Background xmlns="bd99c180-279b-44c3-9486-dd050336677e" xsi:nil="true"/>
    <OSC_StateA_Estimates_of_Annualized_Burden_Hours_and_Costs xmlns="bd99c180-279b-44c3-9486-dd050336677e" xsi:nil="true"/>
    <OSC_StateA_Items_to_be_collected xmlns="bd99c180-279b-44c3-9486-dd050336677e" xsi:nil="true"/>
    <OSC_StateA_12_2Total_Burden_Hours xmlns="bd99c180-279b-44c3-9486-dd050336677e">0</OSC_StateA_12_2Total_Burden_Hours>
    <OSC_StateA_12_2Total_Respondent_Costs xmlns="bd99c180-279b-44c3-9486-dd050336677e">0</OSC_StateA_12_2Total_Respondent_Costs>
    <OSC_StateA_12_4Type_of_Respondent xmlns="bd99c180-279b-44c3-9486-dd050336677e">=&gt;Enter&lt;=</OSC_StateA_12_4Type_of_Respondent>
    <OSC_StateA_12_9Hourly_Wage_Rate xmlns="bd99c180-279b-44c3-9486-dd050336677e">0</OSC_StateA_12_9Hourly_Wage_Rate>
    <OSC_StateA_14_3Average_Hours_Per_Collection xmlns="bd99c180-279b-44c3-9486-dd050336677e">0</OSC_StateA_14_3Average_Hours_Per_Collection>
    <OSC_StateA_Explanation_of_Any_Payment_or_Gift_to_Respondents xmlns="bd99c180-279b-44c3-9486-dd050336677e" xsi:nil="true"/>
    <OSC_StateA_12_3Type_of_Respondent xmlns="bd99c180-279b-44c3-9486-dd050336677e">=&gt;Enter&lt;=</OSC_StateA_12_3Type_of_Respondent>
    <OSC_StateA_12_5Number_of_Responses_per_Respondent xmlns="bd99c180-279b-44c3-9486-dd050336677e">1</OSC_StateA_12_5Number_of_Responses_per_Respondent>
    <OSC_StateA_12_5Total_Burden_Hours xmlns="bd99c180-279b-44c3-9486-dd050336677e">0</OSC_StateA_12_5Total_Burden_Hours>
    <OSC_StateA_12_5Total_Respondent_Costs xmlns="bd99c180-279b-44c3-9486-dd050336677e">0</OSC_StateA_12_5Total_Respondent_Costs>
    <OSC_StateA_12_6Hourly_Wage_Rate xmlns="bd99c180-279b-44c3-9486-dd050336677e">0</OSC_StateA_12_6Hourly_Wage_Rate>
    <OSC_StateA_Improved_Information_Technology_and_Burden_Reduction xmlns="bd99c180-279b-44c3-9486-dd050336677e" xsi:nil="true"/>
    <OSC_StateA_12_2Type_of_Respondent xmlns="bd99c180-279b-44c3-9486-dd050336677e">=&gt;Enter&lt;=</OSC_StateA_12_2Type_of_Respondent>
    <OSC_StateA_12_4Number_of_Responses_per_Respondent xmlns="bd99c180-279b-44c3-9486-dd050336677e">1</OSC_StateA_12_4Number_of_Responses_per_Respondent>
    <OSC_StateA_12_4Total_Burden_Hours xmlns="bd99c180-279b-44c3-9486-dd050336677e">0</OSC_StateA_12_4Total_Burden_Hours>
    <OSC_StateA_12_4Total_Respondent_Costs xmlns="bd99c180-279b-44c3-9486-dd050336677e">0</OSC_StateA_12_4Total_Respondent_Costs>
    <OSC_StateA_12_7Hourly_Wage_Rate xmlns="bd99c180-279b-44c3-9486-dd050336677e">0</OSC_StateA_12_7Hourly_Wage_Rate>
    <OSC_StateA_14_10Staff_FTE xmlns="bd99c180-279b-44c3-9486-dd050336677e">=&gt;Enter&lt;=</OSC_StateA_14_10Staff_FTE>
    <OSC_StateA_14_1Average_Cost xmlns="bd99c180-279b-44c3-9486-dd050336677e">0</OSC_StateA_14_1Average_Cost>
    <OSC_StateA_Estimate_Other_Total_Annual_Cost_Burden_to_Respond xmlns="bd99c180-279b-44c3-9486-dd050336677e" xsi:nil="true"/>
    <GenICPITitle xmlns="bd99c180-279b-44c3-9486-dd050336677e">=&gt;Enter official CDC title&lt;=</GenICPITitle>
    <OSC_StateA_12_1Type_of_Respondent xmlns="bd99c180-279b-44c3-9486-dd050336677e">=&gt;Enter&lt;=</OSC_StateA_12_1Type_of_Respondent>
    <OSC_StateA_12_4Hourly_Wage_Rate xmlns="bd99c180-279b-44c3-9486-dd050336677e">0</OSC_StateA_12_4Hourly_Wage_Rate>
    <OSC_StateA_12_7Number_of_Responses_per_Respondent xmlns="bd99c180-279b-44c3-9486-dd050336677e">1</OSC_StateA_12_7Number_of_Responses_per_Respondent>
    <OSC_StateA_12_7Total_Burden_Hours xmlns="bd99c180-279b-44c3-9486-dd050336677e">0</OSC_StateA_12_7Total_Burden_Hours>
    <OSC_StateA_12_7Total_Respondent_Costs xmlns="bd99c180-279b-44c3-9486-dd050336677e">0</OSC_StateA_12_7Total_Respondent_Costs>
    <OSC_StateA_12_8Number_of_Respondents xmlns="bd99c180-279b-44c3-9486-dd050336677e">0</OSC_StateA_12_8Number_of_Respondents>
    <OSC_StateA_12_Total_Total_Burden_Hours xmlns="bd99c180-279b-44c3-9486-dd050336677e">0</OSC_StateA_12_Total_Total_Burden_Hours>
    <OSC_StateA_14_2Average_Cost xmlns="bd99c180-279b-44c3-9486-dd050336677e">0</OSC_StateA_14_2Average_Cost>
    <OSC_StateA_14_8Staff_FTE xmlns="bd99c180-279b-44c3-9486-dd050336677e">=&gt;Enter&lt;=</OSC_StateA_14_8Staff_FTE>
    <OSC_StateA_Websites_Directed_at_Children xmlns="bd99c180-279b-44c3-9486-dd050336677e" xsi:nil="true"/>
    <GenICPIDivisionOROfficeTitle xmlns="bd99c180-279b-44c3-9486-dd050336677e">=&gt;Enter division or office title&lt;=</GenICPIDivisionOROfficeTitle>
    <OSC_StateA_12_5Hourly_Wage_Rate xmlns="bd99c180-279b-44c3-9486-dd050336677e">0</OSC_StateA_12_5Hourly_Wage_Rate>
    <OSC_StateA_12_6Number_of_Responses_per_Respondent xmlns="bd99c180-279b-44c3-9486-dd050336677e">1</OSC_StateA_12_6Number_of_Responses_per_Respondent>
    <OSC_StateA_12_6Total_Burden_Hours xmlns="bd99c180-279b-44c3-9486-dd050336677e">0</OSC_StateA_12_6Total_Burden_Hours>
    <OSC_StateA_12_6Total_Respondent_Costs xmlns="bd99c180-279b-44c3-9486-dd050336677e">0</OSC_StateA_12_6Total_Respondent_Costs>
    <OSC_StateA_12_9Number_of_Respondents xmlns="bd99c180-279b-44c3-9486-dd050336677e">0</OSC_StateA_12_9Number_of_Respondents>
    <OSC_StateA_14_3Average_Cost xmlns="bd99c180-279b-44c3-9486-dd050336677e">0</OSC_StateA_14_3Average_Cost>
    <OSC_StateA_14_9Staff_FTE xmlns="bd99c180-279b-44c3-9486-dd050336677e">=&gt;Enter&lt;=</OSC_StateA_14_9Staff_FTE>
    <OSC_StateA_Annualized_Cost_to_the_Government xmlns="bd99c180-279b-44c3-9486-dd050336677e" xsi:nil="true"/>
    <OSC_StateA_12_10Hourly_Wage_Rate xmlns="bd99c180-279b-44c3-9486-dd050336677e">0</OSC_StateA_12_10Hourly_Wage_Rate>
    <OSC_StateA_12_1Number_of_Responses_per_Respondent xmlns="bd99c180-279b-44c3-9486-dd050336677e">1</OSC_StateA_12_1Number_of_Responses_per_Respondent>
    <OSC_StateA_12_2Average_Burden_per_Response_in_Hours xmlns="bd99c180-279b-44c3-9486-dd050336677e">=&gt;20/60&lt;=</OSC_StateA_12_2Average_Burden_per_Response_in_Hours>
    <OSC_StateA_12_2Hourly_Wage_Rate xmlns="bd99c180-279b-44c3-9486-dd050336677e">0</OSC_StateA_12_2Hourly_Wage_Rate>
    <OSC_StateA_12_6Number_of_Respondents xmlns="bd99c180-279b-44c3-9486-dd050336677e">0</OSC_StateA_12_6Number_of_Respondents>
    <OSC_StateA_12_9Total_Burden_Hours xmlns="bd99c180-279b-44c3-9486-dd050336677e">0</OSC_StateA_12_9Total_Burden_Hours>
    <OSC_StateA_14_1Average_Hourly_Rate xmlns="bd99c180-279b-44c3-9486-dd050336677e">0</OSC_StateA_14_1Average_Hourly_Rate>
    <OSC_StateA_14_4Average_Cost xmlns="bd99c180-279b-44c3-9486-dd050336677e">0</OSC_StateA_14_4Average_Cost>
    <OSC_StateA_14_6Staff_FTE xmlns="bd99c180-279b-44c3-9486-dd050336677e">=&gt;Enter&lt;=</OSC_StateA_14_6Staff_FTE>
    <OSC_StateA_14_8Average_Hours_Per_Collection xmlns="bd99c180-279b-44c3-9486-dd050336677e">0</OSC_StateA_14_8Average_Hours_Per_Collection>
    <OSC_StateA_Exceptions_Certification_Paperwork_Reduction_Act xmlns="bd99c180-279b-44c3-9486-dd050336677e" xsi:nil="true"/>
    <OSC_StateA_Explanation_for_Program_Changes_or_Adjustments xmlns="bd99c180-279b-44c3-9486-dd050336677e" xsi:nil="true"/>
    <OSC_StateA_Purpose_and_Use xmlns="bd99c180-279b-44c3-9486-dd050336677e" xsi:nil="true"/>
    <OSC_StateA_12_3Average_Burden_per_Response_in_Hours xmlns="bd99c180-279b-44c3-9486-dd050336677e">=&gt;20/60&lt;=</OSC_StateA_12_3Average_Burden_per_Response_in_Hours>
    <OSC_StateA_12_3Hourly_Wage_Rate xmlns="bd99c180-279b-44c3-9486-dd050336677e">0</OSC_StateA_12_3Hourly_Wage_Rate>
    <OSC_StateA_12_7Number_of_Respondents xmlns="bd99c180-279b-44c3-9486-dd050336677e">0</OSC_StateA_12_7Number_of_Respondents>
    <OSC_StateA_12_8Total_Burden_Hours xmlns="bd99c180-279b-44c3-9486-dd050336677e">0</OSC_StateA_12_8Total_Burden_Hours>
    <OSC_StateA_14_5Average_Cost xmlns="bd99c180-279b-44c3-9486-dd050336677e">0</OSC_StateA_14_5Average_Cost>
    <OSC_StateA_14_7Staff_FTE xmlns="bd99c180-279b-44c3-9486-dd050336677e">=&gt;Enter&lt;=</OSC_StateA_14_7Staff_FTE>
    <OSC_StateA_14_9Average_Hours_Per_Collection xmlns="bd99c180-279b-44c3-9486-dd050336677e">0</OSC_StateA_14_9Average_Hours_Per_Collection>
    <OSC_StateA_Impact_on_Small_Businesses_or_Other_Small_Entities xmlns="bd99c180-279b-44c3-9486-dd050336677e" xsi:nil="true"/>
    <GenICPIBranchOROfficeTitle xmlns="bd99c180-279b-44c3-9486-dd050336677e">=&gt;Enter branch or office title&lt;=</GenICPIBranchOROfficeTitle>
    <GenICPIFax xmlns="bd99c180-279b-44c3-9486-dd050336677e">=&gt;###-###-####&lt;=</GenICPIFax>
    <OSC_StateA_12_3Number_of_Responses_per_Respondent xmlns="bd99c180-279b-44c3-9486-dd050336677e">1</OSC_StateA_12_3Number_of_Responses_per_Respondent>
    <OSC_StateA_12_4Number_of_Respondents xmlns="bd99c180-279b-44c3-9486-dd050336677e">0</OSC_StateA_12_4Number_of_Respondents>
    <OSC_StateA_14_10Average_Cost xmlns="bd99c180-279b-44c3-9486-dd050336677e">0</OSC_StateA_14_10Average_Cost>
    <OSC_StateA_14_3Average_Hourly_Rate xmlns="bd99c180-279b-44c3-9486-dd050336677e">0</OSC_StateA_14_3Average_Hourly_Rate>
    <OSC_StateA_14_4Staff_FTE xmlns="bd99c180-279b-44c3-9486-dd050336677e">=&gt;Enter&lt;=</OSC_StateA_14_4Staff_FTE>
    <OSC_StateA_14_6Average_Cost xmlns="bd99c180-279b-44c3-9486-dd050336677e">0</OSC_StateA_14_6Average_Cost>
    <GenICPIPhone xmlns="bd99c180-279b-44c3-9486-dd050336677e">=&gt;###-###-####&lt;=</GenICPIPhone>
    <OSC_StateA_12_1Average_Burden_per_Response_in_Hours xmlns="bd99c180-279b-44c3-9486-dd050336677e">=&gt;20/60&lt;=</OSC_StateA_12_1Average_Burden_per_Response_in_Hours>
    <OSC_StateA_12_1Hourly_Wage_Rate xmlns="bd99c180-279b-44c3-9486-dd050336677e">0</OSC_StateA_12_1Hourly_Wage_Rate>
    <OSC_StateA_12_2Number_of_Responses_per_Respondent xmlns="bd99c180-279b-44c3-9486-dd050336677e">1</OSC_StateA_12_2Number_of_Responses_per_Respondent>
    <OSC_StateA_12_5Number_of_Respondents xmlns="bd99c180-279b-44c3-9486-dd050336677e">0</OSC_StateA_12_5Number_of_Respondents>
    <OSC_StateA_14_2Average_Hourly_Rate xmlns="bd99c180-279b-44c3-9486-dd050336677e">0</OSC_StateA_14_2Average_Hourly_Rate>
    <OSC_StateA_14_5Staff_FTE xmlns="bd99c180-279b-44c3-9486-dd050336677e">=&gt;Enter&lt;=</OSC_StateA_14_5Staff_FTE>
    <OSC_StateA_14_7Average_Cost xmlns="bd99c180-279b-44c3-9486-dd050336677e">0</OSC_StateA_14_7Average_Cost>
    <OSC_StateA_Response_to_the_Federal_Register_Notice_and_Efforts xmlns="bd99c180-279b-44c3-9486-dd050336677e" xsi:nil="true"/>
    <_dlc_DocIdUrl xmlns="b5c0ca00-073d-4463-9985-b654f14791fe">
      <Url>https://esp.cdc.gov/sites/ostlts/pip/osc/_layouts/15/DocIdRedir.aspx?ID=OSTLTSDOC-726-212</Url>
      <Description>OSTLTSDOC-726-212</Description>
    </_dlc_DocIdUrl>
    <_dlc_DocId xmlns="b5c0ca00-073d-4463-9985-b654f14791fe">OSTLTSDOC-726-212</_dlc_DocId>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EA8FC5-AE47-44E2-94B5-1850B7372BF2}">
  <ds:schemaRefs>
    <ds:schemaRef ds:uri="http://schemas.microsoft.com/office/2006/metadata/customXsn"/>
  </ds:schemaRefs>
</ds:datastoreItem>
</file>

<file path=customXml/itemProps2.xml><?xml version="1.0" encoding="utf-8"?>
<ds:datastoreItem xmlns:ds="http://schemas.openxmlformats.org/officeDocument/2006/customXml" ds:itemID="{8C9212BA-7722-4AA2-B6D1-DE3FE1996C05}">
  <ds:schemaRefs>
    <ds:schemaRef ds:uri="http://schemas.microsoft.com/sharepoint/events"/>
  </ds:schemaRefs>
</ds:datastoreItem>
</file>

<file path=customXml/itemProps3.xml><?xml version="1.0" encoding="utf-8"?>
<ds:datastoreItem xmlns:ds="http://schemas.openxmlformats.org/officeDocument/2006/customXml" ds:itemID="{CAC57894-581B-46A0-B8E5-6DBDCCE93173}">
  <ds:schemaRefs>
    <ds:schemaRef ds:uri="http://schemas.microsoft.com/sharepoint/v3/contenttype/forms"/>
  </ds:schemaRefs>
</ds:datastoreItem>
</file>

<file path=customXml/itemProps4.xml><?xml version="1.0" encoding="utf-8"?>
<ds:datastoreItem xmlns:ds="http://schemas.openxmlformats.org/officeDocument/2006/customXml" ds:itemID="{BC059003-5E22-415A-BBC7-F94E1305A8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bd99c180-279b-44c3-9486-dd050336677e"/>
    <ds:schemaRef ds:uri="15b1c282-9287-45cb-9b41-eae3a76919a0"/>
    <ds:schemaRef ds:uri="ce849d94-b00b-4457-8fdf-7e9e81e05b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4B90DFD-DCEF-42C2-90D5-36012A582AEB}">
  <ds:schemaRefs>
    <ds:schemaRef ds:uri="http://schemas.microsoft.com/office/2006/metadata/properties"/>
    <ds:schemaRef ds:uri="http://schemas.microsoft.com/office/infopath/2007/PartnerControls"/>
    <ds:schemaRef ds:uri="bd99c180-279b-44c3-9486-dd050336677e"/>
    <ds:schemaRef ds:uri="ce849d94-b00b-4457-8fdf-7e9e81e05b5e"/>
    <ds:schemaRef ds:uri="15b1c282-9287-45cb-9b41-eae3a76919a0"/>
    <ds:schemaRef ds:uri="b5c0ca00-073d-4463-9985-b654f14791fe"/>
  </ds:schemaRefs>
</ds:datastoreItem>
</file>

<file path=customXml/itemProps6.xml><?xml version="1.0" encoding="utf-8"?>
<ds:datastoreItem xmlns:ds="http://schemas.openxmlformats.org/officeDocument/2006/customXml" ds:itemID="{765E7FCC-B3F4-4AE1-A399-8D9F34213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4934</Words>
  <Characters>28125</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32994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Graaf, Christine (CDC/OSTLTS/DPHPI)</dc:creator>
  <cp:lastModifiedBy>SYSTEM</cp:lastModifiedBy>
  <cp:revision>2</cp:revision>
  <cp:lastPrinted>2018-12-06T18:32:00Z</cp:lastPrinted>
  <dcterms:created xsi:type="dcterms:W3CDTF">2019-02-12T14:10:00Z</dcterms:created>
  <dcterms:modified xsi:type="dcterms:W3CDTF">2019-02-12T14:10:00Z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0x0101008B0C90E18ED62843B8190FE6ED302705</vt:lpwstr>
  </property>
  <property fmtid="{D5CDD505-2E9C-101B-9397-08002B2CF9AE}" pid="3" name="_dlc_DocIdItemGuid">
    <vt:lpwstr>022f5426-26ee-4111-ba75-b7574d5129e3</vt:lpwstr>
  </property>
</Properties>
</file>