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806" w:type="dxa"/>
        <w:tblInd w:w="-113" w:type="dxa"/>
        <w:tblLayout w:type="fixed"/>
        <w:tblLook w:val="04A0" w:firstRow="1" w:lastRow="0" w:firstColumn="1" w:lastColumn="0" w:noHBand="0" w:noVBand="1"/>
      </w:tblPr>
      <w:tblGrid>
        <w:gridCol w:w="1922"/>
        <w:gridCol w:w="1922"/>
        <w:gridCol w:w="1403"/>
        <w:gridCol w:w="981"/>
        <w:gridCol w:w="1260"/>
        <w:gridCol w:w="6300"/>
        <w:gridCol w:w="18"/>
      </w:tblGrid>
      <w:tr w:rsidR="00D61B99" w:rsidRPr="00317750" w14:paraId="0541F1F4" w14:textId="77777777" w:rsidTr="00656649">
        <w:trPr>
          <w:gridAfter w:val="1"/>
          <w:wAfter w:w="18" w:type="dxa"/>
          <w:tblHeader/>
        </w:trPr>
        <w:tc>
          <w:tcPr>
            <w:tcW w:w="13788" w:type="dxa"/>
            <w:gridSpan w:val="6"/>
            <w:shd w:val="clear" w:color="auto" w:fill="FBD4B4" w:themeFill="accent6" w:themeFillTint="66"/>
          </w:tcPr>
          <w:p w14:paraId="17BB3DE3" w14:textId="712FEB4D" w:rsidR="00D61B99" w:rsidRPr="008F381C" w:rsidRDefault="00D61B99" w:rsidP="00085104">
            <w:pPr>
              <w:jc w:val="center"/>
              <w:rPr>
                <w:b/>
                <w:sz w:val="24"/>
                <w:szCs w:val="24"/>
              </w:rPr>
            </w:pPr>
            <w:bookmarkStart w:id="0" w:name="_GoBack"/>
            <w:bookmarkEnd w:id="0"/>
            <w:r>
              <w:rPr>
                <w:b/>
                <w:sz w:val="24"/>
                <w:szCs w:val="24"/>
              </w:rPr>
              <w:t xml:space="preserve">Empirically Validated </w:t>
            </w:r>
            <w:r w:rsidRPr="00C83170">
              <w:rPr>
                <w:b/>
                <w:sz w:val="24"/>
                <w:szCs w:val="24"/>
              </w:rPr>
              <w:t>Intimate Partner Violence Screening</w:t>
            </w:r>
            <w:r w:rsidRPr="008F381C">
              <w:rPr>
                <w:b/>
                <w:sz w:val="24"/>
                <w:szCs w:val="24"/>
              </w:rPr>
              <w:t xml:space="preserve"> Tools</w:t>
            </w:r>
            <w:r w:rsidRPr="00621A8B">
              <w:rPr>
                <w:rStyle w:val="FootnoteReference"/>
                <w:sz w:val="24"/>
                <w:szCs w:val="24"/>
              </w:rPr>
              <w:footnoteReference w:id="1"/>
            </w:r>
          </w:p>
        </w:tc>
      </w:tr>
      <w:tr w:rsidR="00D61B99" w:rsidRPr="00317750" w14:paraId="0F7AAC04" w14:textId="77777777" w:rsidTr="00656649">
        <w:trPr>
          <w:gridAfter w:val="1"/>
          <w:wAfter w:w="18" w:type="dxa"/>
          <w:tblHeader/>
        </w:trPr>
        <w:tc>
          <w:tcPr>
            <w:tcW w:w="1922" w:type="dxa"/>
            <w:shd w:val="clear" w:color="auto" w:fill="FBD4B4" w:themeFill="accent6" w:themeFillTint="66"/>
          </w:tcPr>
          <w:p w14:paraId="2E809727" w14:textId="77777777" w:rsidR="00D61B99" w:rsidRPr="008F381C" w:rsidRDefault="00D61B99" w:rsidP="007A6BE1">
            <w:pPr>
              <w:jc w:val="center"/>
              <w:rPr>
                <w:b/>
              </w:rPr>
            </w:pPr>
            <w:r w:rsidRPr="008F381C">
              <w:rPr>
                <w:b/>
              </w:rPr>
              <w:t>TOOL</w:t>
            </w:r>
          </w:p>
        </w:tc>
        <w:tc>
          <w:tcPr>
            <w:tcW w:w="1922" w:type="dxa"/>
            <w:shd w:val="clear" w:color="auto" w:fill="FBD4B4" w:themeFill="accent6" w:themeFillTint="66"/>
          </w:tcPr>
          <w:p w14:paraId="16337808" w14:textId="77777777" w:rsidR="00D61B99" w:rsidRPr="0026546D" w:rsidRDefault="00D61B99" w:rsidP="007A6BE1">
            <w:pPr>
              <w:jc w:val="center"/>
              <w:rPr>
                <w:b/>
              </w:rPr>
            </w:pPr>
            <w:r w:rsidRPr="008F381C">
              <w:rPr>
                <w:b/>
              </w:rPr>
              <w:t>FORM(S) OF IPV MEASURED</w:t>
            </w:r>
          </w:p>
        </w:tc>
        <w:tc>
          <w:tcPr>
            <w:tcW w:w="1403" w:type="dxa"/>
            <w:shd w:val="clear" w:color="auto" w:fill="FBD4B4" w:themeFill="accent6" w:themeFillTint="66"/>
          </w:tcPr>
          <w:p w14:paraId="4F907B9C" w14:textId="77777777" w:rsidR="00D61B99" w:rsidRPr="006D4E33" w:rsidRDefault="00D61B99" w:rsidP="007A6BE1">
            <w:pPr>
              <w:jc w:val="center"/>
              <w:rPr>
                <w:b/>
              </w:rPr>
            </w:pPr>
            <w:r w:rsidRPr="006D4E33">
              <w:rPr>
                <w:b/>
              </w:rPr>
              <w:t>FOCUS</w:t>
            </w:r>
          </w:p>
        </w:tc>
        <w:tc>
          <w:tcPr>
            <w:tcW w:w="981" w:type="dxa"/>
            <w:shd w:val="clear" w:color="auto" w:fill="FBD4B4" w:themeFill="accent6" w:themeFillTint="66"/>
          </w:tcPr>
          <w:p w14:paraId="74E2EC0E" w14:textId="77777777" w:rsidR="00D61B99" w:rsidRPr="006D4E33" w:rsidRDefault="00D61B99" w:rsidP="007A6BE1">
            <w:pPr>
              <w:jc w:val="center"/>
              <w:rPr>
                <w:b/>
              </w:rPr>
            </w:pPr>
            <w:r w:rsidRPr="006D4E33">
              <w:rPr>
                <w:b/>
              </w:rPr>
              <w:t># OF ITEMS</w:t>
            </w:r>
          </w:p>
        </w:tc>
        <w:tc>
          <w:tcPr>
            <w:tcW w:w="1260" w:type="dxa"/>
            <w:shd w:val="clear" w:color="auto" w:fill="FBD4B4" w:themeFill="accent6" w:themeFillTint="66"/>
          </w:tcPr>
          <w:p w14:paraId="02A84C34" w14:textId="4A47E791" w:rsidR="00D61B99" w:rsidRPr="00195FAE" w:rsidRDefault="00D61B99" w:rsidP="007A6BE1">
            <w:pPr>
              <w:jc w:val="center"/>
              <w:rPr>
                <w:b/>
              </w:rPr>
            </w:pPr>
            <w:r>
              <w:rPr>
                <w:b/>
              </w:rPr>
              <w:t># STUDIES</w:t>
            </w:r>
            <w:r w:rsidR="00F93374">
              <w:rPr>
                <w:rStyle w:val="FootnoteReference"/>
                <w:b/>
              </w:rPr>
              <w:footnoteReference w:id="2"/>
            </w:r>
          </w:p>
        </w:tc>
        <w:tc>
          <w:tcPr>
            <w:tcW w:w="6300" w:type="dxa"/>
            <w:shd w:val="clear" w:color="auto" w:fill="FBD4B4" w:themeFill="accent6" w:themeFillTint="66"/>
            <w:vAlign w:val="center"/>
          </w:tcPr>
          <w:p w14:paraId="4086D3DD" w14:textId="15C7B06D" w:rsidR="00D61B99" w:rsidRPr="00195FAE" w:rsidRDefault="00D61B99" w:rsidP="007A6BE1">
            <w:pPr>
              <w:jc w:val="center"/>
              <w:rPr>
                <w:b/>
              </w:rPr>
            </w:pPr>
            <w:r w:rsidRPr="00195FAE">
              <w:rPr>
                <w:b/>
              </w:rPr>
              <w:t>POPULATION(S) WITH WHICH VALIDATED</w:t>
            </w:r>
          </w:p>
        </w:tc>
      </w:tr>
      <w:tr w:rsidR="00D61B99" w:rsidRPr="00317750" w14:paraId="74C54231" w14:textId="77777777" w:rsidTr="00656649">
        <w:tc>
          <w:tcPr>
            <w:tcW w:w="13806" w:type="dxa"/>
            <w:gridSpan w:val="7"/>
            <w:shd w:val="clear" w:color="auto" w:fill="FDE9D9" w:themeFill="accent6" w:themeFillTint="33"/>
          </w:tcPr>
          <w:p w14:paraId="7025CA0D" w14:textId="0D801EB7" w:rsidR="00D61B99" w:rsidRPr="00317750" w:rsidRDefault="00D61B99" w:rsidP="007A6BE1">
            <w:pPr>
              <w:rPr>
                <w:b/>
              </w:rPr>
            </w:pPr>
            <w:r w:rsidRPr="00317750">
              <w:rPr>
                <w:b/>
              </w:rPr>
              <w:t>Empirically Validated, Behaviorally Specific Tools (Multiple Forms of IPV)</w:t>
            </w:r>
          </w:p>
        </w:tc>
      </w:tr>
      <w:tr w:rsidR="00F02EFF" w:rsidRPr="008B1388" w14:paraId="65FA1A0B" w14:textId="77777777" w:rsidTr="00051AE2">
        <w:trPr>
          <w:gridAfter w:val="1"/>
          <w:wAfter w:w="18" w:type="dxa"/>
        </w:trPr>
        <w:tc>
          <w:tcPr>
            <w:tcW w:w="1922" w:type="dxa"/>
          </w:tcPr>
          <w:p w14:paraId="11A2CD07" w14:textId="575320A6" w:rsidR="00F02EFF" w:rsidRPr="008B1388" w:rsidRDefault="00F02EFF" w:rsidP="0031297D">
            <w:pPr>
              <w:rPr>
                <w:b/>
              </w:rPr>
            </w:pPr>
            <w:r>
              <w:rPr>
                <w:b/>
              </w:rPr>
              <w:t>Abuse Assessment Screen</w:t>
            </w:r>
            <w:r w:rsidR="006037EB">
              <w:rPr>
                <w:b/>
              </w:rPr>
              <w:t xml:space="preserve"> (AAS)</w:t>
            </w:r>
          </w:p>
        </w:tc>
        <w:tc>
          <w:tcPr>
            <w:tcW w:w="1922" w:type="dxa"/>
          </w:tcPr>
          <w:p w14:paraId="4E483EA0" w14:textId="77777777" w:rsidR="00F02EFF" w:rsidRDefault="00E33465" w:rsidP="0031297D">
            <w:r>
              <w:t>Physical violence</w:t>
            </w:r>
          </w:p>
          <w:p w14:paraId="2DA0416A" w14:textId="1568BC18" w:rsidR="00E33465" w:rsidRPr="008B1388" w:rsidRDefault="00E33465" w:rsidP="0031297D">
            <w:r>
              <w:t>Sexual violence</w:t>
            </w:r>
          </w:p>
        </w:tc>
        <w:tc>
          <w:tcPr>
            <w:tcW w:w="1403" w:type="dxa"/>
          </w:tcPr>
          <w:p w14:paraId="77FA3800" w14:textId="47B7387F" w:rsidR="00F02EFF" w:rsidRPr="008B1388" w:rsidRDefault="001217F0" w:rsidP="0031297D">
            <w:r>
              <w:t>Victimization</w:t>
            </w:r>
          </w:p>
        </w:tc>
        <w:tc>
          <w:tcPr>
            <w:tcW w:w="981" w:type="dxa"/>
          </w:tcPr>
          <w:p w14:paraId="5543568E" w14:textId="364D88CF" w:rsidR="00F02EFF" w:rsidRPr="008B1388" w:rsidRDefault="006037EB" w:rsidP="0031297D">
            <w:r>
              <w:t xml:space="preserve">3 </w:t>
            </w:r>
          </w:p>
        </w:tc>
        <w:tc>
          <w:tcPr>
            <w:tcW w:w="1260" w:type="dxa"/>
          </w:tcPr>
          <w:p w14:paraId="135C577C" w14:textId="2FA5E6C2" w:rsidR="00F02EFF" w:rsidRDefault="006037EB" w:rsidP="0031297D">
            <w:pPr>
              <w:contextualSpacing/>
            </w:pPr>
            <w:r>
              <w:t>1 of 1</w:t>
            </w:r>
          </w:p>
        </w:tc>
        <w:tc>
          <w:tcPr>
            <w:tcW w:w="6300" w:type="dxa"/>
          </w:tcPr>
          <w:p w14:paraId="5894F7FA" w14:textId="4B50239F" w:rsidR="00F02EFF" w:rsidRPr="008B1388" w:rsidRDefault="006037EB" w:rsidP="0031297D">
            <w:pPr>
              <w:contextualSpacing/>
            </w:pPr>
            <w:r>
              <w:t>Pregnant women visiting urban public prenatal clinics</w:t>
            </w:r>
          </w:p>
        </w:tc>
      </w:tr>
      <w:tr w:rsidR="0031297D" w:rsidRPr="008B1388" w14:paraId="709B18FC" w14:textId="77777777" w:rsidTr="00051AE2">
        <w:trPr>
          <w:gridAfter w:val="1"/>
          <w:wAfter w:w="18" w:type="dxa"/>
        </w:trPr>
        <w:tc>
          <w:tcPr>
            <w:tcW w:w="1922" w:type="dxa"/>
          </w:tcPr>
          <w:p w14:paraId="6C4C5600" w14:textId="543C3A59" w:rsidR="0031297D" w:rsidRDefault="0031297D" w:rsidP="0031297D">
            <w:pPr>
              <w:rPr>
                <w:b/>
              </w:rPr>
            </w:pPr>
            <w:r w:rsidRPr="008B1388">
              <w:rPr>
                <w:b/>
              </w:rPr>
              <w:t>Abuse Screening Inventory</w:t>
            </w:r>
          </w:p>
        </w:tc>
        <w:tc>
          <w:tcPr>
            <w:tcW w:w="1922" w:type="dxa"/>
          </w:tcPr>
          <w:p w14:paraId="478C2434" w14:textId="48D6854C" w:rsidR="0031297D" w:rsidRPr="008B1388" w:rsidRDefault="0031297D" w:rsidP="0031297D">
            <w:r w:rsidRPr="008B1388">
              <w:t>Emotional</w:t>
            </w:r>
            <w:r>
              <w:t xml:space="preserve">, </w:t>
            </w:r>
            <w:r w:rsidRPr="006523B1">
              <w:t>physical, and sexual abuse</w:t>
            </w:r>
            <w:r>
              <w:t xml:space="preserve"> (separate scales</w:t>
            </w:r>
            <w:r w:rsidR="009E0F6E">
              <w:t>)</w:t>
            </w:r>
          </w:p>
        </w:tc>
        <w:tc>
          <w:tcPr>
            <w:tcW w:w="1403" w:type="dxa"/>
          </w:tcPr>
          <w:p w14:paraId="6655AF70" w14:textId="38C0CD6A" w:rsidR="0031297D" w:rsidRPr="008B1388" w:rsidRDefault="0031297D" w:rsidP="0031297D">
            <w:r w:rsidRPr="008B1388">
              <w:t>Victimization</w:t>
            </w:r>
          </w:p>
        </w:tc>
        <w:tc>
          <w:tcPr>
            <w:tcW w:w="981" w:type="dxa"/>
          </w:tcPr>
          <w:p w14:paraId="00383FA5" w14:textId="5795229D" w:rsidR="0031297D" w:rsidRPr="008B1388" w:rsidRDefault="0031297D" w:rsidP="0031297D">
            <w:r w:rsidRPr="008B1388">
              <w:t>1</w:t>
            </w:r>
            <w:r>
              <w:t xml:space="preserve"> each</w:t>
            </w:r>
          </w:p>
        </w:tc>
        <w:tc>
          <w:tcPr>
            <w:tcW w:w="1260" w:type="dxa"/>
          </w:tcPr>
          <w:p w14:paraId="08EE5C42" w14:textId="36159064" w:rsidR="0031297D" w:rsidRDefault="0031297D" w:rsidP="0031297D">
            <w:pPr>
              <w:contextualSpacing/>
            </w:pPr>
            <w:r>
              <w:t>1</w:t>
            </w:r>
            <w:r w:rsidR="00C73722">
              <w:t xml:space="preserve"> of 1</w:t>
            </w:r>
          </w:p>
        </w:tc>
        <w:tc>
          <w:tcPr>
            <w:tcW w:w="6300" w:type="dxa"/>
          </w:tcPr>
          <w:p w14:paraId="3B56161D" w14:textId="1C01BC17" w:rsidR="0031297D" w:rsidRPr="008B1388" w:rsidRDefault="0031297D" w:rsidP="0031297D">
            <w:pPr>
              <w:contextualSpacing/>
            </w:pPr>
            <w:r w:rsidRPr="008B1388">
              <w:t>Swedish women, 15-58 years, 24.5% high school degree, 20.8% senior high school degree</w:t>
            </w:r>
          </w:p>
        </w:tc>
      </w:tr>
      <w:tr w:rsidR="00D61B99" w:rsidRPr="008B1388" w14:paraId="3355D44A" w14:textId="77777777" w:rsidTr="00EA1069">
        <w:trPr>
          <w:gridAfter w:val="1"/>
          <w:wAfter w:w="18" w:type="dxa"/>
        </w:trPr>
        <w:tc>
          <w:tcPr>
            <w:tcW w:w="1922" w:type="dxa"/>
          </w:tcPr>
          <w:p w14:paraId="34DC8A71" w14:textId="5E35096A" w:rsidR="00D61B99" w:rsidRPr="008B1388" w:rsidRDefault="002C1508" w:rsidP="00834275">
            <w:pPr>
              <w:rPr>
                <w:b/>
              </w:rPr>
            </w:pPr>
            <w:r>
              <w:rPr>
                <w:b/>
              </w:rPr>
              <w:t xml:space="preserve">Unnamed </w:t>
            </w:r>
            <w:r w:rsidR="00D61B99" w:rsidRPr="008B1388">
              <w:rPr>
                <w:b/>
              </w:rPr>
              <w:t xml:space="preserve">Bonomi </w:t>
            </w:r>
            <w:r w:rsidR="00D61B99">
              <w:rPr>
                <w:b/>
              </w:rPr>
              <w:t>(</w:t>
            </w:r>
            <w:r w:rsidR="00D61B99" w:rsidRPr="008B1388">
              <w:rPr>
                <w:b/>
              </w:rPr>
              <w:t>2005)</w:t>
            </w:r>
            <w:r w:rsidR="00D61B99">
              <w:rPr>
                <w:b/>
              </w:rPr>
              <w:t xml:space="preserve"> Measure</w:t>
            </w:r>
          </w:p>
        </w:tc>
        <w:tc>
          <w:tcPr>
            <w:tcW w:w="1922" w:type="dxa"/>
          </w:tcPr>
          <w:p w14:paraId="0BB7E69F" w14:textId="77777777" w:rsidR="00D61B99" w:rsidRPr="008B1388" w:rsidRDefault="00D61B99" w:rsidP="00834275">
            <w:r w:rsidRPr="008B1388">
              <w:t>Physical violence</w:t>
            </w:r>
          </w:p>
          <w:p w14:paraId="291725E0" w14:textId="77777777" w:rsidR="00D61B99" w:rsidRPr="008B1388" w:rsidRDefault="00D61B99" w:rsidP="00834275">
            <w:r w:rsidRPr="008B1388">
              <w:t>Emotional abuse</w:t>
            </w:r>
          </w:p>
        </w:tc>
        <w:tc>
          <w:tcPr>
            <w:tcW w:w="1403" w:type="dxa"/>
          </w:tcPr>
          <w:p w14:paraId="7814BA1E" w14:textId="77777777" w:rsidR="00D61B99" w:rsidRPr="008B1388" w:rsidRDefault="00D61B99" w:rsidP="00834275">
            <w:r w:rsidRPr="008B1388">
              <w:t>Victimization</w:t>
            </w:r>
          </w:p>
        </w:tc>
        <w:tc>
          <w:tcPr>
            <w:tcW w:w="981" w:type="dxa"/>
          </w:tcPr>
          <w:p w14:paraId="4E35167F" w14:textId="77777777" w:rsidR="00D61B99" w:rsidRPr="008B1388" w:rsidRDefault="00D61B99" w:rsidP="00834275">
            <w:r w:rsidRPr="008B1388">
              <w:t>3</w:t>
            </w:r>
          </w:p>
        </w:tc>
        <w:tc>
          <w:tcPr>
            <w:tcW w:w="1260" w:type="dxa"/>
          </w:tcPr>
          <w:p w14:paraId="147DD37F" w14:textId="04EB53FA" w:rsidR="00D61B99" w:rsidRPr="008B1388" w:rsidRDefault="00CB6F5C" w:rsidP="00834275">
            <w:pPr>
              <w:contextualSpacing/>
            </w:pPr>
            <w:r>
              <w:t>1</w:t>
            </w:r>
            <w:r w:rsidR="00EC57CF">
              <w:t xml:space="preserve"> of 1</w:t>
            </w:r>
          </w:p>
        </w:tc>
        <w:tc>
          <w:tcPr>
            <w:tcW w:w="6300" w:type="dxa"/>
          </w:tcPr>
          <w:p w14:paraId="65ACDAE1" w14:textId="00F6BB58" w:rsidR="00D61B99" w:rsidRPr="008B1388" w:rsidRDefault="00D61B99" w:rsidP="00834275">
            <w:pPr>
              <w:contextualSpacing/>
            </w:pPr>
            <w:r w:rsidRPr="008B1388">
              <w:t>English- and Spanish-speaking women &gt; 18 who had previously reported an IPV incident to police or who had received an IPV-related civil protection order, &lt; high school degree = 11%, high school degree or vocational training = 32%</w:t>
            </w:r>
          </w:p>
        </w:tc>
      </w:tr>
      <w:tr w:rsidR="00D61B99" w:rsidRPr="008B1388" w14:paraId="15CBBBE5" w14:textId="77777777" w:rsidTr="00EA1069">
        <w:trPr>
          <w:gridAfter w:val="1"/>
          <w:wAfter w:w="18" w:type="dxa"/>
        </w:trPr>
        <w:tc>
          <w:tcPr>
            <w:tcW w:w="1922" w:type="dxa"/>
          </w:tcPr>
          <w:p w14:paraId="7723882D" w14:textId="510D77CF" w:rsidR="00D61B99" w:rsidRPr="008B1388" w:rsidRDefault="00EC57CF" w:rsidP="007E0A5A">
            <w:pPr>
              <w:rPr>
                <w:b/>
              </w:rPr>
            </w:pPr>
            <w:r>
              <w:rPr>
                <w:b/>
              </w:rPr>
              <w:t>Brief Inpatient Screen</w:t>
            </w:r>
          </w:p>
        </w:tc>
        <w:tc>
          <w:tcPr>
            <w:tcW w:w="1922" w:type="dxa"/>
          </w:tcPr>
          <w:p w14:paraId="292C2A39" w14:textId="2F5C0755" w:rsidR="00D61B99" w:rsidRPr="008B1388" w:rsidRDefault="00EC57CF" w:rsidP="00317750">
            <w:r>
              <w:t>Emotional, physical, sexual</w:t>
            </w:r>
          </w:p>
        </w:tc>
        <w:tc>
          <w:tcPr>
            <w:tcW w:w="1403" w:type="dxa"/>
          </w:tcPr>
          <w:p w14:paraId="1E5C9A8F" w14:textId="78920877" w:rsidR="00D61B99" w:rsidRPr="008B1388" w:rsidRDefault="00EC57CF" w:rsidP="007E0A5A">
            <w:r>
              <w:t>Victimization</w:t>
            </w:r>
          </w:p>
        </w:tc>
        <w:tc>
          <w:tcPr>
            <w:tcW w:w="981" w:type="dxa"/>
          </w:tcPr>
          <w:p w14:paraId="61A22F39" w14:textId="155BAD1A" w:rsidR="00D61B99" w:rsidRPr="008B1388" w:rsidRDefault="00EC57CF" w:rsidP="007E0A5A">
            <w:r>
              <w:t>1 (with 3 parts)</w:t>
            </w:r>
          </w:p>
        </w:tc>
        <w:tc>
          <w:tcPr>
            <w:tcW w:w="1260" w:type="dxa"/>
          </w:tcPr>
          <w:p w14:paraId="15E4C85B" w14:textId="4A71A59D" w:rsidR="00D61B99" w:rsidRDefault="00EC57CF" w:rsidP="00317750">
            <w:r>
              <w:t>1 of 1</w:t>
            </w:r>
          </w:p>
        </w:tc>
        <w:tc>
          <w:tcPr>
            <w:tcW w:w="6300" w:type="dxa"/>
          </w:tcPr>
          <w:p w14:paraId="25FA7E4B" w14:textId="6E94EFBB" w:rsidR="00D61B99" w:rsidRPr="008B1388" w:rsidRDefault="00051AE2" w:rsidP="00317750">
            <w:r w:rsidRPr="00051AE2">
              <w:t>Women ages 18-64 admitted to medical or surgical services (inpatient)</w:t>
            </w:r>
            <w:r w:rsidRPr="00051AE2" w:rsidDel="00EC57CF">
              <w:t xml:space="preserve"> </w:t>
            </w:r>
          </w:p>
        </w:tc>
      </w:tr>
      <w:tr w:rsidR="00051AE2" w:rsidRPr="008B1388" w14:paraId="543F09F9" w14:textId="77777777" w:rsidTr="00EA1069">
        <w:trPr>
          <w:gridAfter w:val="1"/>
          <w:wAfter w:w="18" w:type="dxa"/>
        </w:trPr>
        <w:tc>
          <w:tcPr>
            <w:tcW w:w="1922" w:type="dxa"/>
          </w:tcPr>
          <w:p w14:paraId="73AA677E" w14:textId="62BDC474" w:rsidR="00051AE2" w:rsidRPr="008B1388" w:rsidRDefault="00051AE2" w:rsidP="00051AE2">
            <w:pPr>
              <w:rPr>
                <w:b/>
              </w:rPr>
            </w:pPr>
            <w:r w:rsidRPr="008B1388">
              <w:rPr>
                <w:b/>
              </w:rPr>
              <w:t>Composite Abuse Scale</w:t>
            </w:r>
          </w:p>
        </w:tc>
        <w:tc>
          <w:tcPr>
            <w:tcW w:w="1922" w:type="dxa"/>
          </w:tcPr>
          <w:p w14:paraId="2722DA17" w14:textId="115EC337" w:rsidR="00051AE2" w:rsidRPr="008B1388" w:rsidRDefault="00051AE2" w:rsidP="00051AE2">
            <w:r w:rsidRPr="00903BFE">
              <w:t>Physical, emotional abuse, severe combined abuse, and harassment</w:t>
            </w:r>
          </w:p>
        </w:tc>
        <w:tc>
          <w:tcPr>
            <w:tcW w:w="1403" w:type="dxa"/>
          </w:tcPr>
          <w:p w14:paraId="7F157B7E" w14:textId="7B73C7A1" w:rsidR="00051AE2" w:rsidRPr="008B1388" w:rsidRDefault="00051AE2" w:rsidP="00051AE2">
            <w:r w:rsidRPr="008B1388">
              <w:t>Victimization</w:t>
            </w:r>
          </w:p>
        </w:tc>
        <w:tc>
          <w:tcPr>
            <w:tcW w:w="981" w:type="dxa"/>
          </w:tcPr>
          <w:p w14:paraId="762F9A7D" w14:textId="23BE639A" w:rsidR="00051AE2" w:rsidRPr="008B1388" w:rsidRDefault="00051AE2" w:rsidP="00051AE2">
            <w:r>
              <w:t xml:space="preserve">10, </w:t>
            </w:r>
            <w:r w:rsidRPr="008B1388">
              <w:t>9</w:t>
            </w:r>
            <w:r>
              <w:t>, 17, and 7</w:t>
            </w:r>
          </w:p>
        </w:tc>
        <w:tc>
          <w:tcPr>
            <w:tcW w:w="1260" w:type="dxa"/>
          </w:tcPr>
          <w:p w14:paraId="2DFEB116" w14:textId="10B79846" w:rsidR="00051AE2" w:rsidRPr="008B1388" w:rsidRDefault="00051AE2" w:rsidP="00051AE2">
            <w:r>
              <w:t>1 of 1</w:t>
            </w:r>
          </w:p>
        </w:tc>
        <w:tc>
          <w:tcPr>
            <w:tcW w:w="6300" w:type="dxa"/>
          </w:tcPr>
          <w:p w14:paraId="0E970F9F" w14:textId="2E3F5714" w:rsidR="00051AE2" w:rsidRPr="008B1388" w:rsidRDefault="00051AE2" w:rsidP="00656649">
            <w:r w:rsidRPr="008B1388">
              <w:t>Australian women nurses</w:t>
            </w:r>
          </w:p>
        </w:tc>
      </w:tr>
      <w:tr w:rsidR="00DA481D" w:rsidRPr="008B1388" w14:paraId="497BEE96" w14:textId="77777777" w:rsidTr="00EA1069">
        <w:trPr>
          <w:gridAfter w:val="1"/>
          <w:wAfter w:w="18" w:type="dxa"/>
        </w:trPr>
        <w:tc>
          <w:tcPr>
            <w:tcW w:w="1922" w:type="dxa"/>
          </w:tcPr>
          <w:p w14:paraId="77B96147" w14:textId="2673E831" w:rsidR="00DA481D" w:rsidRPr="008B1388" w:rsidRDefault="00DA481D" w:rsidP="00DA481D">
            <w:pPr>
              <w:rPr>
                <w:b/>
              </w:rPr>
            </w:pPr>
            <w:r>
              <w:rPr>
                <w:b/>
                <w:bCs/>
              </w:rPr>
              <w:t>Dating Violence Questionnaire Revised (DVQ-R)</w:t>
            </w:r>
          </w:p>
        </w:tc>
        <w:tc>
          <w:tcPr>
            <w:tcW w:w="1922" w:type="dxa"/>
          </w:tcPr>
          <w:p w14:paraId="1DD5CDAB" w14:textId="479F63B0" w:rsidR="00DA481D" w:rsidRPr="00903BFE" w:rsidRDefault="00DA481D" w:rsidP="00DA481D">
            <w:r w:rsidRPr="00317750">
              <w:t>Physical violence Emotional abuse Sexual violence Coercive control</w:t>
            </w:r>
          </w:p>
        </w:tc>
        <w:tc>
          <w:tcPr>
            <w:tcW w:w="1403" w:type="dxa"/>
          </w:tcPr>
          <w:p w14:paraId="2E3FC9C0" w14:textId="48C02024" w:rsidR="00DA481D" w:rsidRPr="008B1388" w:rsidRDefault="00DA481D" w:rsidP="00DA481D">
            <w:r>
              <w:t>Victimization</w:t>
            </w:r>
          </w:p>
        </w:tc>
        <w:tc>
          <w:tcPr>
            <w:tcW w:w="981" w:type="dxa"/>
          </w:tcPr>
          <w:p w14:paraId="602BA02B" w14:textId="0D9DF0AE" w:rsidR="00DA481D" w:rsidRDefault="00DA481D" w:rsidP="00DA481D">
            <w:r>
              <w:t>20</w:t>
            </w:r>
          </w:p>
        </w:tc>
        <w:tc>
          <w:tcPr>
            <w:tcW w:w="1260" w:type="dxa"/>
          </w:tcPr>
          <w:p w14:paraId="04AC6E29" w14:textId="7F26F064" w:rsidR="00DA481D" w:rsidRDefault="00DA481D" w:rsidP="00DA481D">
            <w:r>
              <w:t>1</w:t>
            </w:r>
          </w:p>
        </w:tc>
        <w:tc>
          <w:tcPr>
            <w:tcW w:w="6300" w:type="dxa"/>
          </w:tcPr>
          <w:p w14:paraId="660ADAE2" w14:textId="13E11A7A" w:rsidR="00DA481D" w:rsidRPr="008B1388" w:rsidRDefault="00DA481D" w:rsidP="00DA481D">
            <w:r>
              <w:t>Adolescents from general population (Rodriguez-Diaz et al 2017)</w:t>
            </w:r>
          </w:p>
        </w:tc>
      </w:tr>
      <w:tr w:rsidR="00C92458" w:rsidRPr="00317750" w14:paraId="36387BFC" w14:textId="77777777" w:rsidTr="00EA1069">
        <w:trPr>
          <w:gridAfter w:val="1"/>
          <w:wAfter w:w="18" w:type="dxa"/>
        </w:trPr>
        <w:tc>
          <w:tcPr>
            <w:tcW w:w="1922" w:type="dxa"/>
          </w:tcPr>
          <w:p w14:paraId="51877D18" w14:textId="0A1A0DEF" w:rsidR="00C92458" w:rsidRPr="00317750" w:rsidRDefault="00C92458" w:rsidP="00C92458">
            <w:pPr>
              <w:rPr>
                <w:b/>
              </w:rPr>
            </w:pPr>
            <w:r>
              <w:rPr>
                <w:b/>
                <w:bCs/>
              </w:rPr>
              <w:t>Dating Abuse Perpetration Acts Scale (DAPAS)</w:t>
            </w:r>
          </w:p>
        </w:tc>
        <w:tc>
          <w:tcPr>
            <w:tcW w:w="1922" w:type="dxa"/>
          </w:tcPr>
          <w:p w14:paraId="55D6E719" w14:textId="2495380F" w:rsidR="00C92458" w:rsidRPr="00317750" w:rsidRDefault="00C92458" w:rsidP="00C92458">
            <w:r w:rsidRPr="00317750">
              <w:t xml:space="preserve">Physical violence </w:t>
            </w:r>
            <w:r>
              <w:t>S</w:t>
            </w:r>
            <w:r w:rsidRPr="00317750">
              <w:t xml:space="preserve">exual violence </w:t>
            </w:r>
          </w:p>
        </w:tc>
        <w:tc>
          <w:tcPr>
            <w:tcW w:w="1403" w:type="dxa"/>
          </w:tcPr>
          <w:p w14:paraId="306C7AB5" w14:textId="0B944DB3" w:rsidR="00C92458" w:rsidRPr="00317750" w:rsidRDefault="00C92458" w:rsidP="00C92458">
            <w:r>
              <w:t>Perpetration</w:t>
            </w:r>
          </w:p>
        </w:tc>
        <w:tc>
          <w:tcPr>
            <w:tcW w:w="981" w:type="dxa"/>
          </w:tcPr>
          <w:p w14:paraId="4CAC3650" w14:textId="537592FC" w:rsidR="00C92458" w:rsidRDefault="00C92458" w:rsidP="00C92458">
            <w:r>
              <w:t>24</w:t>
            </w:r>
          </w:p>
        </w:tc>
        <w:tc>
          <w:tcPr>
            <w:tcW w:w="1260" w:type="dxa"/>
          </w:tcPr>
          <w:p w14:paraId="05AC7C9F" w14:textId="6094A7E9" w:rsidR="00C92458" w:rsidRDefault="00C92458" w:rsidP="00C92458">
            <w:r>
              <w:t>1</w:t>
            </w:r>
          </w:p>
        </w:tc>
        <w:tc>
          <w:tcPr>
            <w:tcW w:w="6300" w:type="dxa"/>
          </w:tcPr>
          <w:p w14:paraId="4535A645" w14:textId="41FA71BB" w:rsidR="00C92458" w:rsidRPr="00317750" w:rsidRDefault="00C92458" w:rsidP="00C92458">
            <w:r>
              <w:t>Adolescents between 15 and 21 years old; patient in the ER seeking treatment for a non-emergency medical problem. Modified from Safe Dates (Goncy 2016)</w:t>
            </w:r>
          </w:p>
        </w:tc>
      </w:tr>
      <w:tr w:rsidR="00C92458" w:rsidRPr="00317750" w14:paraId="5A8B447B" w14:textId="77777777" w:rsidTr="00EA1069">
        <w:trPr>
          <w:gridAfter w:val="1"/>
          <w:wAfter w:w="18" w:type="dxa"/>
        </w:trPr>
        <w:tc>
          <w:tcPr>
            <w:tcW w:w="1922" w:type="dxa"/>
          </w:tcPr>
          <w:p w14:paraId="65A55E64" w14:textId="63E942FF" w:rsidR="00C92458" w:rsidRPr="00317750" w:rsidRDefault="00C92458" w:rsidP="00C92458">
            <w:pPr>
              <w:rPr>
                <w:b/>
                <w:sz w:val="21"/>
                <w:szCs w:val="21"/>
              </w:rPr>
            </w:pPr>
            <w:r w:rsidRPr="00317750">
              <w:rPr>
                <w:b/>
              </w:rPr>
              <w:lastRenderedPageBreak/>
              <w:t>Gay Abuse Screening Protocol (GASP)</w:t>
            </w:r>
          </w:p>
        </w:tc>
        <w:tc>
          <w:tcPr>
            <w:tcW w:w="1922" w:type="dxa"/>
          </w:tcPr>
          <w:p w14:paraId="14231A11" w14:textId="06BC2408" w:rsidR="00C92458" w:rsidRPr="00317750" w:rsidRDefault="00C92458" w:rsidP="00C92458">
            <w:r w:rsidRPr="00317750">
              <w:t>Physical violence Emotional abuse Sexual violence</w:t>
            </w:r>
          </w:p>
        </w:tc>
        <w:tc>
          <w:tcPr>
            <w:tcW w:w="1403" w:type="dxa"/>
          </w:tcPr>
          <w:p w14:paraId="21ABBBB2" w14:textId="7ABEEFE4" w:rsidR="00C92458" w:rsidRPr="00317750" w:rsidRDefault="00C92458" w:rsidP="00C92458">
            <w:r w:rsidRPr="00317750">
              <w:t>Victimization</w:t>
            </w:r>
          </w:p>
        </w:tc>
        <w:tc>
          <w:tcPr>
            <w:tcW w:w="981" w:type="dxa"/>
          </w:tcPr>
          <w:p w14:paraId="544C5402" w14:textId="0A05E562" w:rsidR="00C92458" w:rsidRPr="00317750" w:rsidRDefault="00C92458" w:rsidP="00C92458">
            <w:r>
              <w:t>2</w:t>
            </w:r>
          </w:p>
        </w:tc>
        <w:tc>
          <w:tcPr>
            <w:tcW w:w="1260" w:type="dxa"/>
          </w:tcPr>
          <w:p w14:paraId="0F3FC159" w14:textId="53014C6D" w:rsidR="00C92458" w:rsidRDefault="00C92458" w:rsidP="00C92458">
            <w:r>
              <w:t>1 of 1</w:t>
            </w:r>
          </w:p>
        </w:tc>
        <w:tc>
          <w:tcPr>
            <w:tcW w:w="6300" w:type="dxa"/>
          </w:tcPr>
          <w:p w14:paraId="1BE92709" w14:textId="189492DF" w:rsidR="00C92458" w:rsidRPr="00317750" w:rsidRDefault="00C92458" w:rsidP="00C92458">
            <w:r w:rsidRPr="00317750">
              <w:t>English-speaking gay men &gt; 18 years old, involved in a gay relationship for &gt; 6 months, 9% &lt; high school degree</w:t>
            </w:r>
          </w:p>
        </w:tc>
      </w:tr>
      <w:tr w:rsidR="00C92458" w:rsidRPr="00317750" w14:paraId="5A8C9CC0" w14:textId="77777777" w:rsidTr="00EA1069">
        <w:trPr>
          <w:gridAfter w:val="1"/>
          <w:wAfter w:w="18" w:type="dxa"/>
        </w:trPr>
        <w:tc>
          <w:tcPr>
            <w:tcW w:w="1922" w:type="dxa"/>
          </w:tcPr>
          <w:p w14:paraId="2CFA4A1F" w14:textId="77777777" w:rsidR="00C92458" w:rsidRPr="00317750" w:rsidRDefault="00C92458" w:rsidP="00C92458">
            <w:pPr>
              <w:rPr>
                <w:b/>
              </w:rPr>
            </w:pPr>
            <w:r w:rsidRPr="00317750">
              <w:rPr>
                <w:b/>
                <w:sz w:val="21"/>
                <w:szCs w:val="21"/>
              </w:rPr>
              <w:t>Humiliation,</w:t>
            </w:r>
            <w:r w:rsidRPr="00317750">
              <w:rPr>
                <w:b/>
              </w:rPr>
              <w:t xml:space="preserve"> Afraid, Rape, Kick (HARK)</w:t>
            </w:r>
          </w:p>
        </w:tc>
        <w:tc>
          <w:tcPr>
            <w:tcW w:w="1922" w:type="dxa"/>
          </w:tcPr>
          <w:p w14:paraId="18FA5856" w14:textId="77777777" w:rsidR="00C92458" w:rsidRPr="00317750" w:rsidRDefault="00C92458" w:rsidP="00C92458">
            <w:r w:rsidRPr="00317750">
              <w:t>Physical violence Emotional abuse Sexual violence</w:t>
            </w:r>
          </w:p>
        </w:tc>
        <w:tc>
          <w:tcPr>
            <w:tcW w:w="1403" w:type="dxa"/>
          </w:tcPr>
          <w:p w14:paraId="571BA33F" w14:textId="77777777" w:rsidR="00C92458" w:rsidRPr="00317750" w:rsidRDefault="00C92458" w:rsidP="00C92458">
            <w:r w:rsidRPr="00317750">
              <w:t>Victimization</w:t>
            </w:r>
          </w:p>
        </w:tc>
        <w:tc>
          <w:tcPr>
            <w:tcW w:w="981" w:type="dxa"/>
          </w:tcPr>
          <w:p w14:paraId="5A529714" w14:textId="77777777" w:rsidR="00C92458" w:rsidRPr="00317750" w:rsidRDefault="00C92458" w:rsidP="00C92458">
            <w:r w:rsidRPr="00317750">
              <w:t>4</w:t>
            </w:r>
          </w:p>
        </w:tc>
        <w:tc>
          <w:tcPr>
            <w:tcW w:w="1260" w:type="dxa"/>
          </w:tcPr>
          <w:p w14:paraId="4ABB501C" w14:textId="73DDCAAF" w:rsidR="00C92458" w:rsidRPr="00317750" w:rsidRDefault="00C92458" w:rsidP="00C92458">
            <w:r>
              <w:t>1 of 1</w:t>
            </w:r>
          </w:p>
        </w:tc>
        <w:tc>
          <w:tcPr>
            <w:tcW w:w="6300" w:type="dxa"/>
          </w:tcPr>
          <w:p w14:paraId="2D7AC963" w14:textId="1C5D84C6" w:rsidR="00C92458" w:rsidRPr="00317750" w:rsidRDefault="00C92458" w:rsidP="00C92458">
            <w:r w:rsidRPr="00317750">
              <w:t>Women &gt; 17 years old in an intimate relationship in the last year recruited from a primary practice</w:t>
            </w:r>
          </w:p>
        </w:tc>
      </w:tr>
      <w:tr w:rsidR="00C92458" w:rsidRPr="00317750" w14:paraId="5EC02DAE" w14:textId="77777777" w:rsidTr="00EA1069">
        <w:trPr>
          <w:gridAfter w:val="1"/>
          <w:wAfter w:w="18" w:type="dxa"/>
        </w:trPr>
        <w:tc>
          <w:tcPr>
            <w:tcW w:w="1922" w:type="dxa"/>
          </w:tcPr>
          <w:p w14:paraId="26BD3D5D" w14:textId="441D7156" w:rsidR="00C92458" w:rsidRPr="00317750" w:rsidRDefault="00C92458" w:rsidP="00C92458">
            <w:pPr>
              <w:rPr>
                <w:b/>
                <w:sz w:val="21"/>
                <w:szCs w:val="21"/>
              </w:rPr>
            </w:pPr>
            <w:r w:rsidRPr="008B1388">
              <w:rPr>
                <w:b/>
              </w:rPr>
              <w:t>Hurt, Insult, Threaten, Scream (HITS)</w:t>
            </w:r>
          </w:p>
        </w:tc>
        <w:tc>
          <w:tcPr>
            <w:tcW w:w="1922" w:type="dxa"/>
          </w:tcPr>
          <w:p w14:paraId="3891CAAE" w14:textId="77777777" w:rsidR="00C92458" w:rsidRPr="008B1388" w:rsidRDefault="00C92458" w:rsidP="00C92458">
            <w:r w:rsidRPr="008B1388">
              <w:t>Physical violence</w:t>
            </w:r>
          </w:p>
          <w:p w14:paraId="44E7E091" w14:textId="4C195844" w:rsidR="00C92458" w:rsidRPr="00317750" w:rsidRDefault="00C92458" w:rsidP="00C92458">
            <w:r w:rsidRPr="008B1388">
              <w:t>Emotional abuse</w:t>
            </w:r>
          </w:p>
        </w:tc>
        <w:tc>
          <w:tcPr>
            <w:tcW w:w="1403" w:type="dxa"/>
          </w:tcPr>
          <w:p w14:paraId="0E9EF4F8" w14:textId="035C077E" w:rsidR="00C92458" w:rsidRPr="00317750" w:rsidRDefault="00C92458" w:rsidP="00C92458">
            <w:r w:rsidRPr="008B1388">
              <w:t>Victimization</w:t>
            </w:r>
          </w:p>
        </w:tc>
        <w:tc>
          <w:tcPr>
            <w:tcW w:w="981" w:type="dxa"/>
          </w:tcPr>
          <w:p w14:paraId="03287CDA" w14:textId="7C9817A1" w:rsidR="00C92458" w:rsidRPr="00317750" w:rsidRDefault="00C92458" w:rsidP="00C92458">
            <w:r w:rsidRPr="008B1388">
              <w:t>4</w:t>
            </w:r>
          </w:p>
        </w:tc>
        <w:tc>
          <w:tcPr>
            <w:tcW w:w="1260" w:type="dxa"/>
          </w:tcPr>
          <w:p w14:paraId="434A77DC" w14:textId="71CF77CB" w:rsidR="00C92458" w:rsidRDefault="00C92458" w:rsidP="00C92458">
            <w:r>
              <w:t>3 of 4</w:t>
            </w:r>
          </w:p>
        </w:tc>
        <w:tc>
          <w:tcPr>
            <w:tcW w:w="6300" w:type="dxa"/>
          </w:tcPr>
          <w:p w14:paraId="3F338DC6" w14:textId="77777777" w:rsidR="00C92458" w:rsidRPr="008B1388" w:rsidRDefault="00C92458" w:rsidP="00C92458">
            <w:r w:rsidRPr="008B1388">
              <w:t>Tested with various adult populations:</w:t>
            </w:r>
          </w:p>
          <w:p w14:paraId="37D2B57A" w14:textId="77777777" w:rsidR="00C92458" w:rsidRPr="008B1388" w:rsidRDefault="00C92458" w:rsidP="00C92458">
            <w:pPr>
              <w:pStyle w:val="ListParagraph"/>
              <w:numPr>
                <w:ilvl w:val="0"/>
                <w:numId w:val="10"/>
              </w:numPr>
              <w:ind w:left="288" w:hanging="144"/>
              <w:contextualSpacing/>
              <w:rPr>
                <w:rFonts w:asciiTheme="minorHAnsi" w:hAnsiTheme="minorHAnsi"/>
                <w:sz w:val="22"/>
                <w:szCs w:val="22"/>
              </w:rPr>
            </w:pPr>
            <w:r w:rsidRPr="008B1388">
              <w:rPr>
                <w:rFonts w:asciiTheme="minorHAnsi" w:hAnsiTheme="minorHAnsi"/>
                <w:sz w:val="22"/>
                <w:szCs w:val="22"/>
              </w:rPr>
              <w:t>Female patients &gt; 21 years old at a family medicine clinic who had lived with the same partner for at least 12 months</w:t>
            </w:r>
          </w:p>
          <w:p w14:paraId="2988ED47" w14:textId="77777777" w:rsidR="00C92458" w:rsidRPr="008B1388" w:rsidRDefault="00C92458" w:rsidP="00C92458">
            <w:pPr>
              <w:pStyle w:val="ListParagraph"/>
              <w:numPr>
                <w:ilvl w:val="0"/>
                <w:numId w:val="10"/>
              </w:numPr>
              <w:ind w:left="288" w:hanging="144"/>
              <w:contextualSpacing/>
              <w:rPr>
                <w:rFonts w:asciiTheme="minorHAnsi" w:hAnsiTheme="minorHAnsi"/>
                <w:sz w:val="22"/>
                <w:szCs w:val="22"/>
              </w:rPr>
            </w:pPr>
            <w:r w:rsidRPr="008B1388">
              <w:rPr>
                <w:rFonts w:asciiTheme="minorHAnsi" w:hAnsiTheme="minorHAnsi"/>
                <w:sz w:val="22"/>
                <w:szCs w:val="22"/>
              </w:rPr>
              <w:t>Self-identified victims of IPV residing in crisis shelters or presenting to an emergency department</w:t>
            </w:r>
          </w:p>
          <w:p w14:paraId="05037C1C" w14:textId="77777777" w:rsidR="00C92458" w:rsidRPr="008B1388" w:rsidRDefault="00C92458" w:rsidP="00C92458">
            <w:pPr>
              <w:pStyle w:val="ListParagraph"/>
              <w:numPr>
                <w:ilvl w:val="0"/>
                <w:numId w:val="10"/>
              </w:numPr>
              <w:ind w:left="288" w:hanging="144"/>
              <w:contextualSpacing/>
              <w:rPr>
                <w:rFonts w:asciiTheme="minorHAnsi" w:hAnsiTheme="minorHAnsi"/>
                <w:sz w:val="22"/>
                <w:szCs w:val="22"/>
              </w:rPr>
            </w:pPr>
            <w:r w:rsidRPr="008B1388">
              <w:rPr>
                <w:rFonts w:asciiTheme="minorHAnsi" w:hAnsiTheme="minorHAnsi"/>
                <w:sz w:val="22"/>
                <w:szCs w:val="22"/>
              </w:rPr>
              <w:t xml:space="preserve">Female veterans seen for medical appointments, &gt; 18 years old, in a relationship in the past year, 17% &lt; high school degree or GED </w:t>
            </w:r>
          </w:p>
          <w:p w14:paraId="71BD044D" w14:textId="77777777" w:rsidR="00C92458" w:rsidRPr="008B1388" w:rsidRDefault="00C92458" w:rsidP="00C92458">
            <w:pPr>
              <w:pStyle w:val="ListParagraph"/>
              <w:numPr>
                <w:ilvl w:val="0"/>
                <w:numId w:val="10"/>
              </w:numPr>
              <w:ind w:left="288" w:hanging="144"/>
              <w:contextualSpacing/>
              <w:rPr>
                <w:rFonts w:asciiTheme="minorHAnsi" w:hAnsiTheme="minorHAnsi"/>
                <w:sz w:val="22"/>
                <w:szCs w:val="22"/>
              </w:rPr>
            </w:pPr>
            <w:r w:rsidRPr="008B1388">
              <w:rPr>
                <w:rFonts w:asciiTheme="minorHAnsi" w:hAnsiTheme="minorHAnsi"/>
                <w:sz w:val="22"/>
                <w:szCs w:val="22"/>
              </w:rPr>
              <w:t xml:space="preserve">English-speaking bilingual men &gt; 18 years old living with a male or female partner for the past year, presenting for a health visit at a clinic or emergency department; Phase II: English speaking or bilingual males &gt; 18 years old identifying as IPV victims for treatment </w:t>
            </w:r>
          </w:p>
          <w:p w14:paraId="1AE50366" w14:textId="7B5AFEC5" w:rsidR="00C92458" w:rsidRPr="00317750" w:rsidRDefault="00C92458" w:rsidP="00C92458">
            <w:r w:rsidRPr="008B1388">
              <w:t>Partnered women &gt; 18 years old</w:t>
            </w:r>
          </w:p>
        </w:tc>
      </w:tr>
      <w:tr w:rsidR="00C92458" w:rsidRPr="00317750" w14:paraId="14BF0CB6" w14:textId="77777777" w:rsidTr="00EA1069">
        <w:trPr>
          <w:gridAfter w:val="1"/>
          <w:wAfter w:w="18" w:type="dxa"/>
        </w:trPr>
        <w:tc>
          <w:tcPr>
            <w:tcW w:w="1922" w:type="dxa"/>
          </w:tcPr>
          <w:p w14:paraId="46177DBA" w14:textId="6CECD50F" w:rsidR="00C92458" w:rsidRPr="00317750" w:rsidRDefault="00C92458" w:rsidP="00C92458">
            <w:pPr>
              <w:rPr>
                <w:b/>
                <w:sz w:val="21"/>
                <w:szCs w:val="21"/>
              </w:rPr>
            </w:pPr>
            <w:r>
              <w:rPr>
                <w:b/>
              </w:rPr>
              <w:t xml:space="preserve">(Extended) </w:t>
            </w:r>
            <w:r w:rsidRPr="008B1388">
              <w:rPr>
                <w:b/>
              </w:rPr>
              <w:t>Hurt, Insult, Threaten, Scream (E-HITS)</w:t>
            </w:r>
          </w:p>
        </w:tc>
        <w:tc>
          <w:tcPr>
            <w:tcW w:w="1922" w:type="dxa"/>
          </w:tcPr>
          <w:p w14:paraId="54B68647" w14:textId="77777777" w:rsidR="00C92458" w:rsidRPr="008B1388" w:rsidRDefault="00C92458" w:rsidP="00C92458">
            <w:r w:rsidRPr="008B1388">
              <w:t>Physical violence</w:t>
            </w:r>
          </w:p>
          <w:p w14:paraId="794A25EF" w14:textId="77777777" w:rsidR="00C92458" w:rsidRPr="008B1388" w:rsidRDefault="00C92458" w:rsidP="00C92458">
            <w:r w:rsidRPr="008B1388">
              <w:t>Emotional abuse</w:t>
            </w:r>
          </w:p>
          <w:p w14:paraId="0E3F1467" w14:textId="2C9E415B" w:rsidR="00C92458" w:rsidRPr="00317750" w:rsidRDefault="00C92458" w:rsidP="00C92458">
            <w:r w:rsidRPr="008B1388">
              <w:t>Sexual violence</w:t>
            </w:r>
          </w:p>
        </w:tc>
        <w:tc>
          <w:tcPr>
            <w:tcW w:w="1403" w:type="dxa"/>
          </w:tcPr>
          <w:p w14:paraId="24FE6001" w14:textId="4E3DF987" w:rsidR="00C92458" w:rsidRPr="00317750" w:rsidRDefault="00C92458" w:rsidP="00C92458">
            <w:r w:rsidRPr="008B1388">
              <w:t>Victimization</w:t>
            </w:r>
          </w:p>
        </w:tc>
        <w:tc>
          <w:tcPr>
            <w:tcW w:w="981" w:type="dxa"/>
          </w:tcPr>
          <w:p w14:paraId="4DB5BCC3" w14:textId="3A9A9619" w:rsidR="00C92458" w:rsidRPr="00317750" w:rsidRDefault="00C92458" w:rsidP="00C92458">
            <w:r w:rsidRPr="008B1388">
              <w:t>5</w:t>
            </w:r>
          </w:p>
        </w:tc>
        <w:tc>
          <w:tcPr>
            <w:tcW w:w="1260" w:type="dxa"/>
          </w:tcPr>
          <w:p w14:paraId="501759BC" w14:textId="10C02344" w:rsidR="00C92458" w:rsidRDefault="00C92458" w:rsidP="00C92458">
            <w:r>
              <w:t>1 of 1</w:t>
            </w:r>
          </w:p>
        </w:tc>
        <w:tc>
          <w:tcPr>
            <w:tcW w:w="6300" w:type="dxa"/>
          </w:tcPr>
          <w:p w14:paraId="2ADA536B" w14:textId="716A157F" w:rsidR="00C92458" w:rsidRPr="00317750" w:rsidRDefault="00C92458" w:rsidP="00C92458">
            <w:r w:rsidRPr="008B1388">
              <w:t>Female veterans seen for medical appointments who were in a relationship in the past year, 22.5% &lt; high school degree or GED</w:t>
            </w:r>
          </w:p>
        </w:tc>
      </w:tr>
      <w:tr w:rsidR="00C92458" w:rsidRPr="008B1388" w14:paraId="4E553555" w14:textId="77777777" w:rsidTr="00EA1069">
        <w:trPr>
          <w:gridAfter w:val="1"/>
          <w:wAfter w:w="18" w:type="dxa"/>
        </w:trPr>
        <w:tc>
          <w:tcPr>
            <w:tcW w:w="1922" w:type="dxa"/>
          </w:tcPr>
          <w:p w14:paraId="44245FBA" w14:textId="77777777" w:rsidR="00C92458" w:rsidRPr="008B1388" w:rsidRDefault="00C92458" w:rsidP="00C92458">
            <w:pPr>
              <w:rPr>
                <w:b/>
              </w:rPr>
            </w:pPr>
            <w:r w:rsidRPr="008B1388">
              <w:rPr>
                <w:b/>
              </w:rPr>
              <w:t>Mediator’s Assessment of Safety Concerns (MASIC)</w:t>
            </w:r>
          </w:p>
        </w:tc>
        <w:tc>
          <w:tcPr>
            <w:tcW w:w="1922" w:type="dxa"/>
          </w:tcPr>
          <w:p w14:paraId="427947CC" w14:textId="77777777" w:rsidR="00C92458" w:rsidRPr="008B1388" w:rsidRDefault="00C92458" w:rsidP="00C92458">
            <w:r w:rsidRPr="008B1388">
              <w:t>Physical violence</w:t>
            </w:r>
          </w:p>
          <w:p w14:paraId="41C44629" w14:textId="77777777" w:rsidR="00C92458" w:rsidRPr="008B1388" w:rsidRDefault="00C92458" w:rsidP="00C92458">
            <w:r w:rsidRPr="008B1388">
              <w:t>Emotional abuse</w:t>
            </w:r>
          </w:p>
          <w:p w14:paraId="21C45FB3" w14:textId="77777777" w:rsidR="00C92458" w:rsidRPr="008B1388" w:rsidRDefault="00C92458" w:rsidP="00C92458">
            <w:r w:rsidRPr="008B1388">
              <w:t>Sexual violence</w:t>
            </w:r>
          </w:p>
          <w:p w14:paraId="0598107A" w14:textId="77777777" w:rsidR="00C92458" w:rsidRPr="008B1388" w:rsidRDefault="00C92458" w:rsidP="00C92458">
            <w:r w:rsidRPr="008B1388">
              <w:t>Coercive control</w:t>
            </w:r>
          </w:p>
        </w:tc>
        <w:tc>
          <w:tcPr>
            <w:tcW w:w="1403" w:type="dxa"/>
          </w:tcPr>
          <w:p w14:paraId="35BCBF82" w14:textId="77777777" w:rsidR="00C92458" w:rsidRPr="008B1388" w:rsidRDefault="00C92458" w:rsidP="00C92458">
            <w:r w:rsidRPr="008B1388">
              <w:t>Victimization</w:t>
            </w:r>
          </w:p>
        </w:tc>
        <w:tc>
          <w:tcPr>
            <w:tcW w:w="981" w:type="dxa"/>
          </w:tcPr>
          <w:p w14:paraId="250BB7FE" w14:textId="77777777" w:rsidR="00C92458" w:rsidRPr="008B1388" w:rsidRDefault="00C92458" w:rsidP="00C92458">
            <w:r w:rsidRPr="008B1388">
              <w:t>37</w:t>
            </w:r>
          </w:p>
        </w:tc>
        <w:tc>
          <w:tcPr>
            <w:tcW w:w="1260" w:type="dxa"/>
          </w:tcPr>
          <w:p w14:paraId="3F2D3A5E" w14:textId="3BF25DF6" w:rsidR="00C92458" w:rsidRPr="008B1388" w:rsidRDefault="00C92458" w:rsidP="00C92458">
            <w:r>
              <w:t>1 of 1</w:t>
            </w:r>
          </w:p>
        </w:tc>
        <w:tc>
          <w:tcPr>
            <w:tcW w:w="6300" w:type="dxa"/>
          </w:tcPr>
          <w:p w14:paraId="4D9E55FA" w14:textId="329953B6" w:rsidR="00C92458" w:rsidRPr="008B1388" w:rsidRDefault="00C92458" w:rsidP="00C92458">
            <w:r w:rsidRPr="008B1388">
              <w:t>Family mediation clinic clients in a heterosexual relationship</w:t>
            </w:r>
          </w:p>
        </w:tc>
      </w:tr>
      <w:tr w:rsidR="00C92458" w:rsidRPr="008B1388" w14:paraId="01D0F447" w14:textId="77777777" w:rsidTr="00EA1069">
        <w:trPr>
          <w:gridAfter w:val="1"/>
          <w:wAfter w:w="18" w:type="dxa"/>
        </w:trPr>
        <w:tc>
          <w:tcPr>
            <w:tcW w:w="1922" w:type="dxa"/>
          </w:tcPr>
          <w:p w14:paraId="6B45BAD2" w14:textId="77777777" w:rsidR="00C92458" w:rsidRPr="008B1388" w:rsidRDefault="00C92458" w:rsidP="00C92458">
            <w:pPr>
              <w:rPr>
                <w:b/>
              </w:rPr>
            </w:pPr>
            <w:r w:rsidRPr="008B1388">
              <w:rPr>
                <w:b/>
              </w:rPr>
              <w:t>NorVold Abuse Questionnaire</w:t>
            </w:r>
          </w:p>
        </w:tc>
        <w:tc>
          <w:tcPr>
            <w:tcW w:w="1922" w:type="dxa"/>
          </w:tcPr>
          <w:p w14:paraId="6D1CF55C" w14:textId="77777777" w:rsidR="00C92458" w:rsidRPr="008B1388" w:rsidRDefault="00C92458" w:rsidP="00C92458">
            <w:r w:rsidRPr="008B1388">
              <w:t>Physical violence</w:t>
            </w:r>
          </w:p>
          <w:p w14:paraId="0AFDB9FE" w14:textId="77777777" w:rsidR="00C92458" w:rsidRPr="008B1388" w:rsidRDefault="00C92458" w:rsidP="00C92458">
            <w:r w:rsidRPr="008B1388">
              <w:t>Emotional abuse</w:t>
            </w:r>
          </w:p>
          <w:p w14:paraId="42D50A95" w14:textId="77777777" w:rsidR="00C92458" w:rsidRPr="008B1388" w:rsidRDefault="00C92458" w:rsidP="00C92458">
            <w:r w:rsidRPr="008B1388">
              <w:t>Sexual violence (sub-scales separately validated)</w:t>
            </w:r>
          </w:p>
        </w:tc>
        <w:tc>
          <w:tcPr>
            <w:tcW w:w="1403" w:type="dxa"/>
          </w:tcPr>
          <w:p w14:paraId="0203D0A5" w14:textId="77777777" w:rsidR="00C92458" w:rsidRPr="008B1388" w:rsidRDefault="00C92458" w:rsidP="00C92458">
            <w:r w:rsidRPr="008B1388">
              <w:t>Victimization</w:t>
            </w:r>
          </w:p>
        </w:tc>
        <w:tc>
          <w:tcPr>
            <w:tcW w:w="981" w:type="dxa"/>
          </w:tcPr>
          <w:p w14:paraId="67680D99" w14:textId="3AE22971" w:rsidR="00C92458" w:rsidRPr="008B1388" w:rsidRDefault="00C92458" w:rsidP="00C92458">
            <w:pPr>
              <w:rPr>
                <w:b/>
              </w:rPr>
            </w:pPr>
            <w:r>
              <w:t>13</w:t>
            </w:r>
          </w:p>
        </w:tc>
        <w:tc>
          <w:tcPr>
            <w:tcW w:w="1260" w:type="dxa"/>
          </w:tcPr>
          <w:p w14:paraId="3959A69B" w14:textId="5C0B6B26" w:rsidR="00C92458" w:rsidRPr="008B1388" w:rsidRDefault="00C92458" w:rsidP="00C92458">
            <w:r>
              <w:t>1 of 1</w:t>
            </w:r>
          </w:p>
        </w:tc>
        <w:tc>
          <w:tcPr>
            <w:tcW w:w="6300" w:type="dxa"/>
          </w:tcPr>
          <w:p w14:paraId="1DDEA79D" w14:textId="45250C67" w:rsidR="00C92458" w:rsidRPr="008B1388" w:rsidRDefault="00C92458" w:rsidP="00C92458">
            <w:r w:rsidRPr="008B1388">
              <w:t>Swedish women aged 18-64</w:t>
            </w:r>
          </w:p>
        </w:tc>
      </w:tr>
      <w:tr w:rsidR="00C92458" w:rsidRPr="008B1388" w14:paraId="16ADE6AE" w14:textId="77777777" w:rsidTr="00EA1069">
        <w:trPr>
          <w:gridAfter w:val="1"/>
          <w:wAfter w:w="18" w:type="dxa"/>
        </w:trPr>
        <w:tc>
          <w:tcPr>
            <w:tcW w:w="1922" w:type="dxa"/>
          </w:tcPr>
          <w:p w14:paraId="02820173" w14:textId="77777777" w:rsidR="00C92458" w:rsidRPr="008B1388" w:rsidRDefault="00C92458" w:rsidP="00C92458">
            <w:pPr>
              <w:rPr>
                <w:b/>
              </w:rPr>
            </w:pPr>
            <w:r w:rsidRPr="008B1388">
              <w:rPr>
                <w:b/>
              </w:rPr>
              <w:t>Ongoing Abuse Screen (OAS)</w:t>
            </w:r>
          </w:p>
        </w:tc>
        <w:tc>
          <w:tcPr>
            <w:tcW w:w="1922" w:type="dxa"/>
          </w:tcPr>
          <w:p w14:paraId="507E4489" w14:textId="77777777" w:rsidR="00C92458" w:rsidRPr="008B1388" w:rsidRDefault="00C92458" w:rsidP="00C92458">
            <w:r w:rsidRPr="008B1388">
              <w:t>Physical violence</w:t>
            </w:r>
          </w:p>
          <w:p w14:paraId="1718189C" w14:textId="77777777" w:rsidR="00C92458" w:rsidRPr="008B1388" w:rsidRDefault="00C92458" w:rsidP="00C92458">
            <w:r w:rsidRPr="008B1388">
              <w:t>Emotional abuse</w:t>
            </w:r>
          </w:p>
          <w:p w14:paraId="1274E52D" w14:textId="77777777" w:rsidR="00C92458" w:rsidRPr="008B1388" w:rsidRDefault="00C92458" w:rsidP="00C92458">
            <w:r w:rsidRPr="008B1388">
              <w:t>Sexual violence</w:t>
            </w:r>
          </w:p>
          <w:p w14:paraId="2988B449" w14:textId="77777777" w:rsidR="00C92458" w:rsidRPr="008B1388" w:rsidRDefault="00C92458" w:rsidP="00C92458">
            <w:r w:rsidRPr="008B1388">
              <w:t>Fear</w:t>
            </w:r>
          </w:p>
        </w:tc>
        <w:tc>
          <w:tcPr>
            <w:tcW w:w="1403" w:type="dxa"/>
          </w:tcPr>
          <w:p w14:paraId="7C790C30" w14:textId="77777777" w:rsidR="00C92458" w:rsidRPr="008B1388" w:rsidRDefault="00C92458" w:rsidP="00C92458">
            <w:r w:rsidRPr="008B1388">
              <w:t>Victimization</w:t>
            </w:r>
          </w:p>
        </w:tc>
        <w:tc>
          <w:tcPr>
            <w:tcW w:w="981" w:type="dxa"/>
          </w:tcPr>
          <w:p w14:paraId="4AD58C11" w14:textId="77777777" w:rsidR="00C92458" w:rsidRPr="008B1388" w:rsidRDefault="00C92458" w:rsidP="00C92458">
            <w:r w:rsidRPr="008B1388">
              <w:t>5</w:t>
            </w:r>
          </w:p>
        </w:tc>
        <w:tc>
          <w:tcPr>
            <w:tcW w:w="1260" w:type="dxa"/>
          </w:tcPr>
          <w:p w14:paraId="636A79B9" w14:textId="0544B264" w:rsidR="00C92458" w:rsidRDefault="00C92458" w:rsidP="00C92458">
            <w:r>
              <w:t>1 of 2</w:t>
            </w:r>
          </w:p>
          <w:p w14:paraId="23D6348B" w14:textId="77777777" w:rsidR="00C92458" w:rsidRPr="003212C1" w:rsidRDefault="00C92458" w:rsidP="00C92458"/>
        </w:tc>
        <w:tc>
          <w:tcPr>
            <w:tcW w:w="6300" w:type="dxa"/>
          </w:tcPr>
          <w:p w14:paraId="7D6B411D" w14:textId="3F596452" w:rsidR="00C92458" w:rsidRPr="008B1388" w:rsidRDefault="00C92458" w:rsidP="00C92458">
            <w:r w:rsidRPr="008B1388">
              <w:t>Emergency department patients</w:t>
            </w:r>
          </w:p>
        </w:tc>
      </w:tr>
      <w:tr w:rsidR="00C92458" w:rsidRPr="008B1388" w14:paraId="0F6563AE" w14:textId="77777777" w:rsidTr="00EA1069">
        <w:trPr>
          <w:gridAfter w:val="1"/>
          <w:wAfter w:w="18" w:type="dxa"/>
        </w:trPr>
        <w:tc>
          <w:tcPr>
            <w:tcW w:w="1922" w:type="dxa"/>
          </w:tcPr>
          <w:p w14:paraId="28775F7A" w14:textId="77777777" w:rsidR="00C92458" w:rsidRPr="008B1388" w:rsidRDefault="00C92458" w:rsidP="00C92458">
            <w:pPr>
              <w:rPr>
                <w:b/>
              </w:rPr>
            </w:pPr>
            <w:r w:rsidRPr="008B1388">
              <w:rPr>
                <w:b/>
              </w:rPr>
              <w:t>Ongoing Violence Assessment Tool (OVAT)</w:t>
            </w:r>
          </w:p>
        </w:tc>
        <w:tc>
          <w:tcPr>
            <w:tcW w:w="1922" w:type="dxa"/>
          </w:tcPr>
          <w:p w14:paraId="0696A2FE" w14:textId="77777777" w:rsidR="00C92458" w:rsidRPr="008B1388" w:rsidRDefault="00C92458" w:rsidP="00C92458">
            <w:r w:rsidRPr="008B1388">
              <w:t>Severe physical violence</w:t>
            </w:r>
          </w:p>
          <w:p w14:paraId="5BF78B51" w14:textId="77777777" w:rsidR="00C92458" w:rsidRPr="008B1388" w:rsidRDefault="00C92458" w:rsidP="00C92458">
            <w:r w:rsidRPr="008B1388">
              <w:t>Emotional abuse</w:t>
            </w:r>
          </w:p>
        </w:tc>
        <w:tc>
          <w:tcPr>
            <w:tcW w:w="1403" w:type="dxa"/>
          </w:tcPr>
          <w:p w14:paraId="42A8803C" w14:textId="77777777" w:rsidR="00C92458" w:rsidRPr="008B1388" w:rsidRDefault="00C92458" w:rsidP="00C92458">
            <w:r w:rsidRPr="008B1388">
              <w:t>Victimization</w:t>
            </w:r>
          </w:p>
        </w:tc>
        <w:tc>
          <w:tcPr>
            <w:tcW w:w="981" w:type="dxa"/>
          </w:tcPr>
          <w:p w14:paraId="554C6785" w14:textId="77777777" w:rsidR="00C92458" w:rsidRPr="008B1388" w:rsidRDefault="00C92458" w:rsidP="00C92458">
            <w:r w:rsidRPr="008B1388">
              <w:t>4</w:t>
            </w:r>
          </w:p>
        </w:tc>
        <w:tc>
          <w:tcPr>
            <w:tcW w:w="1260" w:type="dxa"/>
          </w:tcPr>
          <w:p w14:paraId="7490EC38" w14:textId="377C4FEA" w:rsidR="00C92458" w:rsidRPr="008B1388" w:rsidRDefault="00C92458" w:rsidP="00C92458">
            <w:r>
              <w:t>2 of 2</w:t>
            </w:r>
          </w:p>
        </w:tc>
        <w:tc>
          <w:tcPr>
            <w:tcW w:w="6300" w:type="dxa"/>
          </w:tcPr>
          <w:p w14:paraId="6F2C3E78" w14:textId="06CCA98B" w:rsidR="00C92458" w:rsidRPr="008B1388" w:rsidRDefault="00C92458" w:rsidP="00C92458">
            <w:r w:rsidRPr="008B1388">
              <w:t>Emergency department patients</w:t>
            </w:r>
          </w:p>
        </w:tc>
      </w:tr>
      <w:tr w:rsidR="00C92458" w:rsidRPr="00317750" w14:paraId="1C871F20" w14:textId="77777777" w:rsidTr="00EA1069">
        <w:trPr>
          <w:gridAfter w:val="1"/>
          <w:wAfter w:w="18" w:type="dxa"/>
          <w:trHeight w:val="1295"/>
        </w:trPr>
        <w:tc>
          <w:tcPr>
            <w:tcW w:w="1922" w:type="dxa"/>
          </w:tcPr>
          <w:p w14:paraId="7CEB1043" w14:textId="77777777" w:rsidR="00C92458" w:rsidRPr="001A3B66" w:rsidRDefault="00C92458" w:rsidP="00C92458">
            <w:pPr>
              <w:rPr>
                <w:b/>
              </w:rPr>
            </w:pPr>
            <w:r w:rsidRPr="001A3B66">
              <w:rPr>
                <w:b/>
              </w:rPr>
              <w:t>Partner Violence Screen (PVS)</w:t>
            </w:r>
          </w:p>
        </w:tc>
        <w:tc>
          <w:tcPr>
            <w:tcW w:w="1922" w:type="dxa"/>
          </w:tcPr>
          <w:p w14:paraId="60DBDC1D" w14:textId="77777777" w:rsidR="00C92458" w:rsidRPr="001A3B66" w:rsidRDefault="00C92458" w:rsidP="00C92458">
            <w:r w:rsidRPr="001A3B66">
              <w:t>Physical violence Perceived safety</w:t>
            </w:r>
          </w:p>
          <w:p w14:paraId="6D983573" w14:textId="77777777" w:rsidR="00C92458" w:rsidRPr="001A3B66" w:rsidRDefault="00C92458" w:rsidP="00C92458">
            <w:r w:rsidRPr="001A3B66">
              <w:t>(sub-scales separately validated)</w:t>
            </w:r>
          </w:p>
        </w:tc>
        <w:tc>
          <w:tcPr>
            <w:tcW w:w="1403" w:type="dxa"/>
          </w:tcPr>
          <w:p w14:paraId="034772B8" w14:textId="77777777" w:rsidR="00C92458" w:rsidRPr="00317750" w:rsidRDefault="00C92458" w:rsidP="00C92458">
            <w:r w:rsidRPr="00317750">
              <w:t>Victimization</w:t>
            </w:r>
          </w:p>
        </w:tc>
        <w:tc>
          <w:tcPr>
            <w:tcW w:w="981" w:type="dxa"/>
          </w:tcPr>
          <w:p w14:paraId="6708ACB9" w14:textId="115C9D09" w:rsidR="00C92458" w:rsidRPr="00317750" w:rsidRDefault="00C92458" w:rsidP="00C92458">
            <w:r>
              <w:t>3</w:t>
            </w:r>
          </w:p>
        </w:tc>
        <w:tc>
          <w:tcPr>
            <w:tcW w:w="1260" w:type="dxa"/>
          </w:tcPr>
          <w:p w14:paraId="36994E79" w14:textId="56FC91CB" w:rsidR="00C92458" w:rsidRPr="00317750" w:rsidRDefault="00C92458" w:rsidP="00C92458">
            <w:r>
              <w:t>2 of 4</w:t>
            </w:r>
          </w:p>
        </w:tc>
        <w:tc>
          <w:tcPr>
            <w:tcW w:w="6300" w:type="dxa"/>
          </w:tcPr>
          <w:p w14:paraId="52D711AC" w14:textId="76C31F6B" w:rsidR="00C92458" w:rsidRPr="00317750" w:rsidRDefault="00C92458" w:rsidP="00C92458">
            <w:r w:rsidRPr="00317750">
              <w:t>Various adult populations:</w:t>
            </w:r>
          </w:p>
          <w:p w14:paraId="1FCDC383" w14:textId="77777777" w:rsidR="00C92458" w:rsidRDefault="00C92458" w:rsidP="00C92458">
            <w:pPr>
              <w:pStyle w:val="ListParagraph"/>
              <w:numPr>
                <w:ilvl w:val="0"/>
                <w:numId w:val="10"/>
              </w:numPr>
              <w:ind w:left="288" w:hanging="144"/>
              <w:contextualSpacing/>
              <w:rPr>
                <w:rFonts w:asciiTheme="minorHAnsi" w:hAnsiTheme="minorHAnsi"/>
                <w:sz w:val="22"/>
                <w:szCs w:val="22"/>
              </w:rPr>
            </w:pPr>
            <w:r w:rsidRPr="00317750">
              <w:rPr>
                <w:rFonts w:asciiTheme="minorHAnsi" w:hAnsiTheme="minorHAnsi"/>
                <w:sz w:val="22"/>
                <w:szCs w:val="22"/>
              </w:rPr>
              <w:t>English-speaking female emergency department patients with noncritical medical problems</w:t>
            </w:r>
          </w:p>
          <w:p w14:paraId="2CF70BA9" w14:textId="5217B7D0" w:rsidR="00C92458" w:rsidRPr="00317750" w:rsidRDefault="00C92458" w:rsidP="00C92458">
            <w:pPr>
              <w:pStyle w:val="ListParagraph"/>
              <w:numPr>
                <w:ilvl w:val="0"/>
                <w:numId w:val="10"/>
              </w:numPr>
              <w:ind w:left="288" w:hanging="144"/>
              <w:contextualSpacing/>
            </w:pPr>
            <w:r w:rsidRPr="002C1508">
              <w:rPr>
                <w:rFonts w:asciiTheme="minorHAnsi" w:hAnsiTheme="minorHAnsi"/>
                <w:sz w:val="22"/>
                <w:szCs w:val="22"/>
              </w:rPr>
              <w:t>Spanish- and English-speaking female patients &gt; 18 years old adm</w:t>
            </w:r>
            <w:r w:rsidRPr="00656649">
              <w:rPr>
                <w:rFonts w:asciiTheme="minorHAnsi" w:hAnsiTheme="minorHAnsi"/>
                <w:sz w:val="22"/>
                <w:szCs w:val="22"/>
              </w:rPr>
              <w:t>itted to a trauma service</w:t>
            </w:r>
          </w:p>
        </w:tc>
      </w:tr>
      <w:tr w:rsidR="00C92458" w:rsidRPr="00317750" w14:paraId="0336B95B" w14:textId="77777777" w:rsidTr="00EA1069">
        <w:trPr>
          <w:gridAfter w:val="1"/>
          <w:wAfter w:w="18" w:type="dxa"/>
          <w:trHeight w:val="1295"/>
        </w:trPr>
        <w:tc>
          <w:tcPr>
            <w:tcW w:w="1922" w:type="dxa"/>
          </w:tcPr>
          <w:p w14:paraId="07FFAF68" w14:textId="1C29DF8C" w:rsidR="00C92458" w:rsidRPr="001A3B66" w:rsidRDefault="00C92458" w:rsidP="00C92458">
            <w:pPr>
              <w:rPr>
                <w:b/>
              </w:rPr>
            </w:pPr>
            <w:r w:rsidRPr="008B1388">
              <w:rPr>
                <w:b/>
              </w:rPr>
              <w:t>Partner Violence Interview</w:t>
            </w:r>
          </w:p>
        </w:tc>
        <w:tc>
          <w:tcPr>
            <w:tcW w:w="1922" w:type="dxa"/>
          </w:tcPr>
          <w:p w14:paraId="76F8D4E9" w14:textId="5D98EE52" w:rsidR="00C92458" w:rsidRPr="001A3B66" w:rsidRDefault="00C92458" w:rsidP="00C92458">
            <w:r w:rsidRPr="008B1388">
              <w:t>Physical violence Sexual violence</w:t>
            </w:r>
          </w:p>
        </w:tc>
        <w:tc>
          <w:tcPr>
            <w:tcW w:w="1403" w:type="dxa"/>
          </w:tcPr>
          <w:p w14:paraId="430CEE53" w14:textId="4EFB9E4F" w:rsidR="00C92458" w:rsidRPr="00317750" w:rsidRDefault="00C92458" w:rsidP="00C92458">
            <w:r w:rsidRPr="008B1388">
              <w:t>Victimization Perpetration</w:t>
            </w:r>
          </w:p>
        </w:tc>
        <w:tc>
          <w:tcPr>
            <w:tcW w:w="981" w:type="dxa"/>
          </w:tcPr>
          <w:p w14:paraId="621FAD68" w14:textId="72F39321" w:rsidR="00C92458" w:rsidRPr="00317750" w:rsidDel="00500376" w:rsidRDefault="00C92458" w:rsidP="00C92458">
            <w:r>
              <w:t>14</w:t>
            </w:r>
          </w:p>
        </w:tc>
        <w:tc>
          <w:tcPr>
            <w:tcW w:w="1260" w:type="dxa"/>
          </w:tcPr>
          <w:p w14:paraId="744C6504" w14:textId="4A1A7384" w:rsidR="00C92458" w:rsidRDefault="00C92458" w:rsidP="00C92458">
            <w:r>
              <w:t>1 of 1</w:t>
            </w:r>
          </w:p>
        </w:tc>
        <w:tc>
          <w:tcPr>
            <w:tcW w:w="6300" w:type="dxa"/>
          </w:tcPr>
          <w:p w14:paraId="31CC3C6C" w14:textId="73CE6378" w:rsidR="00C92458" w:rsidRPr="00317750" w:rsidRDefault="00C92458" w:rsidP="00C92458">
            <w:r w:rsidRPr="008B1388">
              <w:t>Homeless young men and women 18-21 years old in a private non-profit shelter/transitional housing facility</w:t>
            </w:r>
          </w:p>
        </w:tc>
      </w:tr>
      <w:tr w:rsidR="00C92458" w:rsidRPr="00317750" w14:paraId="218141BB" w14:textId="77777777" w:rsidTr="00051AE2">
        <w:trPr>
          <w:gridAfter w:val="1"/>
          <w:wAfter w:w="18" w:type="dxa"/>
        </w:trPr>
        <w:tc>
          <w:tcPr>
            <w:tcW w:w="1922" w:type="dxa"/>
          </w:tcPr>
          <w:p w14:paraId="74DDA0A2" w14:textId="0FFBD9A4" w:rsidR="00C92458" w:rsidRDefault="00C92458" w:rsidP="00C92458">
            <w:pPr>
              <w:rPr>
                <w:b/>
              </w:rPr>
            </w:pPr>
            <w:r>
              <w:rPr>
                <w:b/>
              </w:rPr>
              <w:t>Perpetrator Rapid Scale (PERPS)</w:t>
            </w:r>
          </w:p>
        </w:tc>
        <w:tc>
          <w:tcPr>
            <w:tcW w:w="1922" w:type="dxa"/>
          </w:tcPr>
          <w:p w14:paraId="40AE369B" w14:textId="77777777" w:rsidR="00C92458" w:rsidRDefault="00C92458" w:rsidP="00C92458">
            <w:r>
              <w:t>Sexual abuse</w:t>
            </w:r>
          </w:p>
          <w:p w14:paraId="75684FAC" w14:textId="04F414A6" w:rsidR="00C92458" w:rsidRDefault="00C92458" w:rsidP="00C92458">
            <w:r>
              <w:t>Physical abuse</w:t>
            </w:r>
          </w:p>
        </w:tc>
        <w:tc>
          <w:tcPr>
            <w:tcW w:w="1403" w:type="dxa"/>
          </w:tcPr>
          <w:p w14:paraId="3DC57E2F" w14:textId="22C8E5DE" w:rsidR="00C92458" w:rsidRDefault="00C92458" w:rsidP="00C92458">
            <w:r>
              <w:t>Victimization</w:t>
            </w:r>
          </w:p>
        </w:tc>
        <w:tc>
          <w:tcPr>
            <w:tcW w:w="981" w:type="dxa"/>
          </w:tcPr>
          <w:p w14:paraId="5C869EEC" w14:textId="62979C72" w:rsidR="00C92458" w:rsidRDefault="00C92458" w:rsidP="00C92458">
            <w:r>
              <w:t>3</w:t>
            </w:r>
          </w:p>
        </w:tc>
        <w:tc>
          <w:tcPr>
            <w:tcW w:w="1260" w:type="dxa"/>
          </w:tcPr>
          <w:p w14:paraId="338BB95F" w14:textId="6D59B6AD" w:rsidR="00C92458" w:rsidRDefault="00C92458" w:rsidP="00C92458">
            <w:r>
              <w:t>1 of 1</w:t>
            </w:r>
          </w:p>
        </w:tc>
        <w:tc>
          <w:tcPr>
            <w:tcW w:w="6300" w:type="dxa"/>
          </w:tcPr>
          <w:p w14:paraId="12535219" w14:textId="6B6198E1" w:rsidR="00C92458" w:rsidRPr="00CC39D1" w:rsidRDefault="00C92458" w:rsidP="00C92458">
            <w:pPr>
              <w:ind w:hanging="18"/>
            </w:pPr>
            <w:r w:rsidRPr="0090539D">
              <w:t>Spanish or English speaking males and females &gt;18 in the triage or lobby area of ED</w:t>
            </w:r>
          </w:p>
        </w:tc>
      </w:tr>
      <w:tr w:rsidR="00C92458" w:rsidRPr="00317750" w14:paraId="503F559E" w14:textId="77777777" w:rsidTr="00051AE2">
        <w:trPr>
          <w:gridAfter w:val="1"/>
          <w:wAfter w:w="18" w:type="dxa"/>
        </w:trPr>
        <w:tc>
          <w:tcPr>
            <w:tcW w:w="1922" w:type="dxa"/>
          </w:tcPr>
          <w:p w14:paraId="02A2EA55" w14:textId="4BD918C2" w:rsidR="00C92458" w:rsidRPr="00317750" w:rsidRDefault="00C92458" w:rsidP="00C92458">
            <w:pPr>
              <w:rPr>
                <w:b/>
              </w:rPr>
            </w:pPr>
            <w:r>
              <w:rPr>
                <w:b/>
              </w:rPr>
              <w:t>Relationship Behavior Rating Scale (RBRS) - Revised</w:t>
            </w:r>
            <w:r>
              <w:rPr>
                <w:rStyle w:val="FootnoteReference"/>
                <w:b/>
              </w:rPr>
              <w:footnoteReference w:id="3"/>
            </w:r>
          </w:p>
        </w:tc>
        <w:tc>
          <w:tcPr>
            <w:tcW w:w="1922" w:type="dxa"/>
          </w:tcPr>
          <w:p w14:paraId="147A9FD5" w14:textId="77777777" w:rsidR="00C92458" w:rsidRDefault="00C92458" w:rsidP="00C92458">
            <w:r>
              <w:t>Psychological abuse</w:t>
            </w:r>
          </w:p>
          <w:p w14:paraId="56E29BD5" w14:textId="77777777" w:rsidR="00C92458" w:rsidRDefault="00C92458" w:rsidP="00C92458">
            <w:r>
              <w:t>Sexual abuse</w:t>
            </w:r>
          </w:p>
          <w:p w14:paraId="4ADFE3C5" w14:textId="77777777" w:rsidR="00C92458" w:rsidRDefault="00C92458" w:rsidP="00C92458">
            <w:r>
              <w:t>Physical abuse</w:t>
            </w:r>
          </w:p>
          <w:p w14:paraId="3F046F0F" w14:textId="79369801" w:rsidR="00C92458" w:rsidRPr="00317750" w:rsidRDefault="00C92458" w:rsidP="00C92458">
            <w:r>
              <w:t>Physical injury</w:t>
            </w:r>
          </w:p>
        </w:tc>
        <w:tc>
          <w:tcPr>
            <w:tcW w:w="1403" w:type="dxa"/>
          </w:tcPr>
          <w:p w14:paraId="2825646D" w14:textId="27C80142" w:rsidR="00C92458" w:rsidRPr="00317750" w:rsidRDefault="00C92458" w:rsidP="00C92458">
            <w:r>
              <w:t>Victimization</w:t>
            </w:r>
          </w:p>
        </w:tc>
        <w:tc>
          <w:tcPr>
            <w:tcW w:w="981" w:type="dxa"/>
          </w:tcPr>
          <w:p w14:paraId="3D8A6923" w14:textId="3ACB63FF" w:rsidR="00C92458" w:rsidRPr="00317750" w:rsidRDefault="00C92458" w:rsidP="00C92458">
            <w:r>
              <w:t>30</w:t>
            </w:r>
          </w:p>
        </w:tc>
        <w:tc>
          <w:tcPr>
            <w:tcW w:w="1260" w:type="dxa"/>
          </w:tcPr>
          <w:p w14:paraId="01F03EC2" w14:textId="5C47CA70" w:rsidR="00C92458" w:rsidRDefault="00C92458" w:rsidP="00C92458">
            <w:r>
              <w:t>1 of 1</w:t>
            </w:r>
          </w:p>
        </w:tc>
        <w:tc>
          <w:tcPr>
            <w:tcW w:w="6300" w:type="dxa"/>
          </w:tcPr>
          <w:p w14:paraId="78A4402F" w14:textId="51F839BA" w:rsidR="00C92458" w:rsidRPr="00317750" w:rsidRDefault="00C92458" w:rsidP="00C92458">
            <w:r w:rsidRPr="00CC39D1">
              <w:t>Male and female undergraduates enrolled in psychology courses who reported a current romantic relationship of at least 3 months during the past year</w:t>
            </w:r>
          </w:p>
        </w:tc>
      </w:tr>
      <w:tr w:rsidR="00C92458" w:rsidRPr="00317750" w14:paraId="0DF56D2D" w14:textId="77777777" w:rsidTr="00656649">
        <w:trPr>
          <w:gridAfter w:val="1"/>
          <w:wAfter w:w="18" w:type="dxa"/>
        </w:trPr>
        <w:tc>
          <w:tcPr>
            <w:tcW w:w="1922" w:type="dxa"/>
          </w:tcPr>
          <w:p w14:paraId="4CF7E6A4" w14:textId="0A31EA0A" w:rsidR="00C92458" w:rsidRPr="00317750" w:rsidRDefault="00C92458" w:rsidP="00C92458">
            <w:pPr>
              <w:rPr>
                <w:b/>
              </w:rPr>
            </w:pPr>
            <w:r w:rsidRPr="00317750">
              <w:rPr>
                <w:b/>
              </w:rPr>
              <w:t>STaT (Slaps, Throws, and Threatens) Screen</w:t>
            </w:r>
          </w:p>
        </w:tc>
        <w:tc>
          <w:tcPr>
            <w:tcW w:w="1922" w:type="dxa"/>
          </w:tcPr>
          <w:p w14:paraId="5D57FEF0" w14:textId="77777777" w:rsidR="00C92458" w:rsidRPr="00317750" w:rsidRDefault="00C92458" w:rsidP="00C92458">
            <w:r w:rsidRPr="00317750">
              <w:t>Physical violence</w:t>
            </w:r>
          </w:p>
          <w:p w14:paraId="13DC2378" w14:textId="77777777" w:rsidR="00C92458" w:rsidRPr="00317750" w:rsidRDefault="00C92458" w:rsidP="00C92458">
            <w:r w:rsidRPr="00317750">
              <w:t>Emotional abuse</w:t>
            </w:r>
          </w:p>
          <w:p w14:paraId="3D847638" w14:textId="23240F0F" w:rsidR="00C92458" w:rsidRPr="00317750" w:rsidRDefault="00C92458" w:rsidP="00C92458">
            <w:r w:rsidRPr="00317750">
              <w:t>Sexual violence</w:t>
            </w:r>
          </w:p>
        </w:tc>
        <w:tc>
          <w:tcPr>
            <w:tcW w:w="1403" w:type="dxa"/>
          </w:tcPr>
          <w:p w14:paraId="1DB82879" w14:textId="77777777" w:rsidR="00C92458" w:rsidRPr="00317750" w:rsidRDefault="00C92458" w:rsidP="00C92458">
            <w:r w:rsidRPr="00317750">
              <w:t>Victimization</w:t>
            </w:r>
          </w:p>
        </w:tc>
        <w:tc>
          <w:tcPr>
            <w:tcW w:w="981" w:type="dxa"/>
          </w:tcPr>
          <w:p w14:paraId="3CF5738A" w14:textId="77777777" w:rsidR="00C92458" w:rsidRPr="00317750" w:rsidRDefault="00C92458" w:rsidP="00C92458">
            <w:r w:rsidRPr="00317750">
              <w:t>3</w:t>
            </w:r>
          </w:p>
        </w:tc>
        <w:tc>
          <w:tcPr>
            <w:tcW w:w="1260" w:type="dxa"/>
          </w:tcPr>
          <w:p w14:paraId="4B586B2A" w14:textId="6FAC1CFB" w:rsidR="00C92458" w:rsidRPr="00317750" w:rsidRDefault="00C92458" w:rsidP="00C92458">
            <w:r>
              <w:t>2 of 2</w:t>
            </w:r>
          </w:p>
        </w:tc>
        <w:tc>
          <w:tcPr>
            <w:tcW w:w="6300" w:type="dxa"/>
          </w:tcPr>
          <w:p w14:paraId="2F5E36D9" w14:textId="32644283" w:rsidR="00C92458" w:rsidRPr="00317750" w:rsidRDefault="00C92458" w:rsidP="00C92458">
            <w:r w:rsidRPr="00317750">
              <w:t>Two adult populations:</w:t>
            </w:r>
          </w:p>
          <w:p w14:paraId="4C6AE1C5" w14:textId="77777777" w:rsidR="00C92458" w:rsidRPr="00317750" w:rsidRDefault="00C92458" w:rsidP="00C92458">
            <w:pPr>
              <w:pStyle w:val="ListParagraph"/>
              <w:numPr>
                <w:ilvl w:val="0"/>
                <w:numId w:val="10"/>
              </w:numPr>
              <w:ind w:left="288" w:hanging="144"/>
              <w:contextualSpacing/>
              <w:rPr>
                <w:rFonts w:asciiTheme="minorHAnsi" w:hAnsiTheme="minorHAnsi"/>
                <w:sz w:val="22"/>
                <w:szCs w:val="22"/>
              </w:rPr>
            </w:pPr>
            <w:r w:rsidRPr="00317750">
              <w:rPr>
                <w:rFonts w:asciiTheme="minorHAnsi" w:hAnsiTheme="minorHAnsi"/>
                <w:sz w:val="22"/>
                <w:szCs w:val="22"/>
              </w:rPr>
              <w:t>English-speaking women 18-65 seen in urgent care</w:t>
            </w:r>
          </w:p>
          <w:p w14:paraId="3B643296" w14:textId="77777777" w:rsidR="00C92458" w:rsidRPr="00317750" w:rsidRDefault="00C92458" w:rsidP="00C92458">
            <w:pPr>
              <w:pStyle w:val="ListParagraph"/>
              <w:numPr>
                <w:ilvl w:val="0"/>
                <w:numId w:val="10"/>
              </w:numPr>
              <w:ind w:left="288" w:hanging="144"/>
              <w:contextualSpacing/>
            </w:pPr>
            <w:r w:rsidRPr="00317750">
              <w:rPr>
                <w:rFonts w:asciiTheme="minorHAnsi" w:hAnsiTheme="minorHAnsi"/>
                <w:sz w:val="22"/>
                <w:szCs w:val="22"/>
              </w:rPr>
              <w:t>English-speaking women 18-64, seen in the non-acute section of the emergency department, &lt; 8th grade education = 3%, some high school = 23%</w:t>
            </w:r>
          </w:p>
        </w:tc>
      </w:tr>
      <w:tr w:rsidR="00C92458" w:rsidRPr="00317750" w14:paraId="437A602E" w14:textId="77777777" w:rsidTr="00656649">
        <w:trPr>
          <w:gridAfter w:val="1"/>
          <w:wAfter w:w="18" w:type="dxa"/>
        </w:trPr>
        <w:tc>
          <w:tcPr>
            <w:tcW w:w="1922" w:type="dxa"/>
          </w:tcPr>
          <w:p w14:paraId="1B6A122B" w14:textId="77777777" w:rsidR="00C92458" w:rsidRPr="00317750" w:rsidRDefault="00C92458" w:rsidP="00C92458">
            <w:pPr>
              <w:rPr>
                <w:b/>
              </w:rPr>
            </w:pPr>
            <w:r w:rsidRPr="00317750">
              <w:rPr>
                <w:b/>
              </w:rPr>
              <w:t>STaT Spanish version</w:t>
            </w:r>
          </w:p>
        </w:tc>
        <w:tc>
          <w:tcPr>
            <w:tcW w:w="1922" w:type="dxa"/>
          </w:tcPr>
          <w:p w14:paraId="4F47C5A6" w14:textId="77777777" w:rsidR="00C92458" w:rsidRPr="00317750" w:rsidRDefault="00C92458" w:rsidP="00C92458">
            <w:r w:rsidRPr="00317750">
              <w:t>Physical violence</w:t>
            </w:r>
          </w:p>
          <w:p w14:paraId="4AD3FD98" w14:textId="1148AB9D" w:rsidR="00C92458" w:rsidRPr="00317750" w:rsidRDefault="00C92458" w:rsidP="00C92458">
            <w:r w:rsidRPr="00317750">
              <w:t>Emotional abuse</w:t>
            </w:r>
          </w:p>
        </w:tc>
        <w:tc>
          <w:tcPr>
            <w:tcW w:w="1403" w:type="dxa"/>
          </w:tcPr>
          <w:p w14:paraId="41B47C1F" w14:textId="77777777" w:rsidR="00C92458" w:rsidRPr="00317750" w:rsidRDefault="00C92458" w:rsidP="00C92458">
            <w:r w:rsidRPr="00317750">
              <w:t>Victimization</w:t>
            </w:r>
          </w:p>
        </w:tc>
        <w:tc>
          <w:tcPr>
            <w:tcW w:w="981" w:type="dxa"/>
          </w:tcPr>
          <w:p w14:paraId="440A8B2D" w14:textId="056060C3" w:rsidR="00C92458" w:rsidRPr="00317750" w:rsidRDefault="00C92458" w:rsidP="00C92458">
            <w:r>
              <w:t>2</w:t>
            </w:r>
          </w:p>
        </w:tc>
        <w:tc>
          <w:tcPr>
            <w:tcW w:w="1260" w:type="dxa"/>
          </w:tcPr>
          <w:p w14:paraId="0C5E4B39" w14:textId="38E0CBEF" w:rsidR="00C92458" w:rsidRPr="00317750" w:rsidRDefault="00C92458" w:rsidP="00C92458">
            <w:r>
              <w:t>1 of 1</w:t>
            </w:r>
          </w:p>
        </w:tc>
        <w:tc>
          <w:tcPr>
            <w:tcW w:w="6300" w:type="dxa"/>
          </w:tcPr>
          <w:p w14:paraId="638A15FC" w14:textId="1A14005A" w:rsidR="00C92458" w:rsidRPr="00317750" w:rsidRDefault="00C92458" w:rsidP="00C92458">
            <w:r w:rsidRPr="00317750">
              <w:t>Spanish-speaking female hospital outpatients, 18-64 years old</w:t>
            </w:r>
          </w:p>
        </w:tc>
      </w:tr>
      <w:tr w:rsidR="00C92458" w:rsidRPr="008B1388" w14:paraId="15406D72" w14:textId="77777777" w:rsidTr="00656649">
        <w:trPr>
          <w:gridAfter w:val="1"/>
          <w:wAfter w:w="18" w:type="dxa"/>
        </w:trPr>
        <w:tc>
          <w:tcPr>
            <w:tcW w:w="1922" w:type="dxa"/>
          </w:tcPr>
          <w:p w14:paraId="4C611E99" w14:textId="77777777" w:rsidR="00C92458" w:rsidRPr="00621A8B" w:rsidRDefault="00D53F96" w:rsidP="00C92458">
            <w:pPr>
              <w:rPr>
                <w:b/>
              </w:rPr>
            </w:pPr>
            <w:hyperlink r:id="rId9" w:history="1">
              <w:r w:rsidR="00C92458" w:rsidRPr="008B1388">
                <w:rPr>
                  <w:b/>
                </w:rPr>
                <w:t>Teen Screen for Dating Violence</w:t>
              </w:r>
            </w:hyperlink>
          </w:p>
        </w:tc>
        <w:tc>
          <w:tcPr>
            <w:tcW w:w="1922" w:type="dxa"/>
          </w:tcPr>
          <w:p w14:paraId="44DFA867" w14:textId="77777777" w:rsidR="00C92458" w:rsidRPr="008F381C" w:rsidRDefault="00C92458" w:rsidP="00C92458">
            <w:r w:rsidRPr="008F381C">
              <w:t>Physical violence Sexual violence</w:t>
            </w:r>
          </w:p>
          <w:p w14:paraId="534C4292" w14:textId="5D6CD169" w:rsidR="00C92458" w:rsidRPr="008F381C" w:rsidRDefault="00C92458" w:rsidP="00C92458">
            <w:r w:rsidRPr="008F381C">
              <w:t xml:space="preserve">Emotional abuse </w:t>
            </w:r>
          </w:p>
        </w:tc>
        <w:tc>
          <w:tcPr>
            <w:tcW w:w="1403" w:type="dxa"/>
          </w:tcPr>
          <w:p w14:paraId="2FA2BBFF" w14:textId="77777777" w:rsidR="00C92458" w:rsidRPr="0026546D" w:rsidRDefault="00C92458" w:rsidP="00C92458">
            <w:r w:rsidRPr="0026546D">
              <w:t>Victimization</w:t>
            </w:r>
          </w:p>
          <w:p w14:paraId="11130121" w14:textId="77777777" w:rsidR="00C92458" w:rsidRPr="006D4E33" w:rsidRDefault="00C92458" w:rsidP="00C92458">
            <w:r w:rsidRPr="006D4E33">
              <w:t>Perpetration</w:t>
            </w:r>
          </w:p>
        </w:tc>
        <w:tc>
          <w:tcPr>
            <w:tcW w:w="981" w:type="dxa"/>
          </w:tcPr>
          <w:p w14:paraId="77E9951D" w14:textId="32AA884E" w:rsidR="00C92458" w:rsidRDefault="00C92458" w:rsidP="00C92458">
            <w:r>
              <w:t>27</w:t>
            </w:r>
          </w:p>
          <w:p w14:paraId="211EFA26" w14:textId="570A7A09" w:rsidR="00C92458" w:rsidRPr="006D4E33" w:rsidRDefault="00C92458" w:rsidP="00C92458">
            <w:r>
              <w:t>21</w:t>
            </w:r>
          </w:p>
        </w:tc>
        <w:tc>
          <w:tcPr>
            <w:tcW w:w="1260" w:type="dxa"/>
          </w:tcPr>
          <w:p w14:paraId="63782DF3" w14:textId="47F898E4" w:rsidR="00C92458" w:rsidRPr="006D4E33" w:rsidRDefault="00C92458" w:rsidP="00C92458">
            <w:r>
              <w:t>1 of 1</w:t>
            </w:r>
          </w:p>
        </w:tc>
        <w:tc>
          <w:tcPr>
            <w:tcW w:w="6300" w:type="dxa"/>
          </w:tcPr>
          <w:p w14:paraId="3C6F4F42" w14:textId="18788AF9" w:rsidR="00C92458" w:rsidRPr="008B1388" w:rsidRDefault="00C92458" w:rsidP="00C92458">
            <w:r w:rsidRPr="006D4E33">
              <w:t>Convenience sample of youth aged 13-21 recruit</w:t>
            </w:r>
            <w:r w:rsidRPr="00195FAE">
              <w:t>ed through mental health and school counselors, clinicians, and college campus faculty</w:t>
            </w:r>
            <w:r w:rsidRPr="008B1388">
              <w:t>; primarily White (67%), heterosexual (88%), and female (70%).</w:t>
            </w:r>
          </w:p>
        </w:tc>
      </w:tr>
      <w:tr w:rsidR="00C92458" w:rsidRPr="00317750" w14:paraId="5BB0730C" w14:textId="77777777" w:rsidTr="00051AE2">
        <w:trPr>
          <w:gridAfter w:val="1"/>
          <w:wAfter w:w="18" w:type="dxa"/>
        </w:trPr>
        <w:tc>
          <w:tcPr>
            <w:tcW w:w="1922" w:type="dxa"/>
          </w:tcPr>
          <w:p w14:paraId="0E64ABE6" w14:textId="7079707C" w:rsidR="00C92458" w:rsidRPr="00317750" w:rsidRDefault="00D53F96" w:rsidP="00C92458">
            <w:pPr>
              <w:rPr>
                <w:b/>
              </w:rPr>
            </w:pPr>
            <w:hyperlink r:id="rId10" w:history="1">
              <w:r w:rsidR="00C92458" w:rsidRPr="008B1388">
                <w:rPr>
                  <w:b/>
                </w:rPr>
                <w:t>Universal Violence Prevention Screen</w:t>
              </w:r>
            </w:hyperlink>
            <w:r w:rsidR="00C92458" w:rsidRPr="00621A8B">
              <w:rPr>
                <w:b/>
              </w:rPr>
              <w:t xml:space="preserve"> </w:t>
            </w:r>
          </w:p>
        </w:tc>
        <w:tc>
          <w:tcPr>
            <w:tcW w:w="1922" w:type="dxa"/>
          </w:tcPr>
          <w:p w14:paraId="7DDD26FA" w14:textId="77777777" w:rsidR="00C92458" w:rsidRPr="008B1388" w:rsidRDefault="00C92458" w:rsidP="00C92458">
            <w:r w:rsidRPr="008F381C">
              <w:t>Physical violence</w:t>
            </w:r>
          </w:p>
          <w:p w14:paraId="282D2E3F" w14:textId="77777777" w:rsidR="00C92458" w:rsidRPr="008B1388" w:rsidRDefault="00C92458" w:rsidP="00C92458">
            <w:r w:rsidRPr="008B1388">
              <w:t>Emotional abuse</w:t>
            </w:r>
          </w:p>
          <w:p w14:paraId="6853F03D" w14:textId="77777777" w:rsidR="00C92458" w:rsidRPr="008B1388" w:rsidRDefault="00C92458" w:rsidP="00C92458">
            <w:r w:rsidRPr="008B1388">
              <w:t>Coercive control</w:t>
            </w:r>
          </w:p>
          <w:p w14:paraId="47234250" w14:textId="77777777" w:rsidR="00C92458" w:rsidRPr="00317750" w:rsidRDefault="00C92458" w:rsidP="00C92458"/>
        </w:tc>
        <w:tc>
          <w:tcPr>
            <w:tcW w:w="1403" w:type="dxa"/>
          </w:tcPr>
          <w:p w14:paraId="2EB3D3E6" w14:textId="77344DB1" w:rsidR="00C92458" w:rsidRPr="00317750" w:rsidRDefault="00C92458" w:rsidP="00C92458">
            <w:r w:rsidRPr="008F381C">
              <w:t>Victimization</w:t>
            </w:r>
          </w:p>
        </w:tc>
        <w:tc>
          <w:tcPr>
            <w:tcW w:w="981" w:type="dxa"/>
          </w:tcPr>
          <w:p w14:paraId="43D4FA6B" w14:textId="73B84DD0" w:rsidR="00C92458" w:rsidRDefault="00C92458" w:rsidP="00C92458">
            <w:r>
              <w:t xml:space="preserve">3 </w:t>
            </w:r>
            <w:r>
              <w:rPr>
                <w:rStyle w:val="FootnoteReference"/>
              </w:rPr>
              <w:footnoteReference w:id="4"/>
            </w:r>
            <w:r>
              <w:t xml:space="preserve"> (single items)</w:t>
            </w:r>
          </w:p>
        </w:tc>
        <w:tc>
          <w:tcPr>
            <w:tcW w:w="1260" w:type="dxa"/>
          </w:tcPr>
          <w:p w14:paraId="5C97A8DF" w14:textId="674ACEC7" w:rsidR="00C92458" w:rsidRDefault="00C92458" w:rsidP="00C92458">
            <w:r>
              <w:t>1 of 1</w:t>
            </w:r>
          </w:p>
        </w:tc>
        <w:tc>
          <w:tcPr>
            <w:tcW w:w="6300" w:type="dxa"/>
          </w:tcPr>
          <w:p w14:paraId="41365039" w14:textId="3BEB8EF2" w:rsidR="00C92458" w:rsidRPr="00317750" w:rsidRDefault="00C92458" w:rsidP="00C92458">
            <w:r w:rsidRPr="008B1388">
              <w:t>Low-income, A</w:t>
            </w:r>
            <w:r w:rsidRPr="00621A8B">
              <w:t xml:space="preserve">frican </w:t>
            </w:r>
            <w:r w:rsidRPr="008F381C">
              <w:t xml:space="preserve">American </w:t>
            </w:r>
            <w:r w:rsidRPr="008B1388">
              <w:t>female emergency department patients who indicated experiencing some form of intimate partner violence</w:t>
            </w:r>
          </w:p>
        </w:tc>
      </w:tr>
      <w:tr w:rsidR="00C92458" w:rsidRPr="00317750" w14:paraId="566F93EE" w14:textId="77777777" w:rsidTr="00656649">
        <w:trPr>
          <w:gridAfter w:val="1"/>
          <w:wAfter w:w="18" w:type="dxa"/>
        </w:trPr>
        <w:tc>
          <w:tcPr>
            <w:tcW w:w="1922" w:type="dxa"/>
          </w:tcPr>
          <w:p w14:paraId="6EE5708C" w14:textId="77777777" w:rsidR="00C92458" w:rsidRPr="00317750" w:rsidRDefault="00C92458" w:rsidP="00C92458">
            <w:pPr>
              <w:rPr>
                <w:b/>
              </w:rPr>
            </w:pPr>
            <w:r w:rsidRPr="00317750">
              <w:rPr>
                <w:b/>
              </w:rPr>
              <w:t>Women Abuse Screening Tool (WAST)</w:t>
            </w:r>
          </w:p>
        </w:tc>
        <w:tc>
          <w:tcPr>
            <w:tcW w:w="1922" w:type="dxa"/>
          </w:tcPr>
          <w:p w14:paraId="731BA61D" w14:textId="77777777" w:rsidR="00C92458" w:rsidRPr="00317750" w:rsidRDefault="00C92458" w:rsidP="00C92458">
            <w:r w:rsidRPr="00317750">
              <w:t>Physical violence</w:t>
            </w:r>
          </w:p>
          <w:p w14:paraId="06C09F19" w14:textId="056456A2" w:rsidR="00C92458" w:rsidRPr="00317750" w:rsidRDefault="00C92458" w:rsidP="00C92458">
            <w:r w:rsidRPr="00317750">
              <w:t>Emotional abuse</w:t>
            </w:r>
            <w:r>
              <w:t xml:space="preserve"> </w:t>
            </w:r>
          </w:p>
        </w:tc>
        <w:tc>
          <w:tcPr>
            <w:tcW w:w="1403" w:type="dxa"/>
          </w:tcPr>
          <w:p w14:paraId="26A43F9A" w14:textId="77777777" w:rsidR="00C92458" w:rsidRPr="00317750" w:rsidRDefault="00C92458" w:rsidP="00C92458">
            <w:r w:rsidRPr="00317750">
              <w:t>Victimization</w:t>
            </w:r>
          </w:p>
        </w:tc>
        <w:tc>
          <w:tcPr>
            <w:tcW w:w="981" w:type="dxa"/>
          </w:tcPr>
          <w:p w14:paraId="7F43B870" w14:textId="77777777" w:rsidR="00C92458" w:rsidRDefault="00C92458" w:rsidP="00C92458">
            <w:r>
              <w:t>7 (and 1 total)</w:t>
            </w:r>
          </w:p>
          <w:p w14:paraId="0628AF4C" w14:textId="533BE609" w:rsidR="00C92458" w:rsidRPr="00317750" w:rsidRDefault="00C92458" w:rsidP="00C92458"/>
        </w:tc>
        <w:tc>
          <w:tcPr>
            <w:tcW w:w="1260" w:type="dxa"/>
          </w:tcPr>
          <w:p w14:paraId="32EB0AD4" w14:textId="39B4E8EB" w:rsidR="00C92458" w:rsidRPr="00317750" w:rsidRDefault="00C92458" w:rsidP="00C92458">
            <w:r>
              <w:t>1 of 1</w:t>
            </w:r>
          </w:p>
        </w:tc>
        <w:tc>
          <w:tcPr>
            <w:tcW w:w="6300" w:type="dxa"/>
          </w:tcPr>
          <w:p w14:paraId="7408FA90" w14:textId="77777777" w:rsidR="00C92458" w:rsidRPr="00317750" w:rsidRDefault="00C92458" w:rsidP="00C92458">
            <w:pPr>
              <w:pStyle w:val="ListParagraph"/>
              <w:numPr>
                <w:ilvl w:val="0"/>
                <w:numId w:val="10"/>
              </w:numPr>
              <w:ind w:left="288" w:hanging="144"/>
              <w:contextualSpacing/>
              <w:rPr>
                <w:rFonts w:asciiTheme="minorHAnsi" w:hAnsiTheme="minorHAnsi"/>
                <w:sz w:val="22"/>
                <w:szCs w:val="22"/>
              </w:rPr>
            </w:pPr>
            <w:r w:rsidRPr="00317750">
              <w:rPr>
                <w:rFonts w:asciiTheme="minorHAnsi" w:hAnsiTheme="minorHAnsi"/>
                <w:sz w:val="22"/>
                <w:szCs w:val="22"/>
              </w:rPr>
              <w:t>Women living at a shelter for women abused by a male partner</w:t>
            </w:r>
          </w:p>
          <w:p w14:paraId="17814CE4" w14:textId="5B79772B" w:rsidR="00C92458" w:rsidRPr="009E4060" w:rsidRDefault="00C92458" w:rsidP="00C92458">
            <w:pPr>
              <w:pStyle w:val="ListParagraph"/>
              <w:numPr>
                <w:ilvl w:val="0"/>
                <w:numId w:val="10"/>
              </w:numPr>
              <w:ind w:left="288" w:hanging="144"/>
              <w:contextualSpacing/>
            </w:pPr>
            <w:r w:rsidRPr="00317750">
              <w:rPr>
                <w:rFonts w:asciiTheme="minorHAnsi" w:hAnsiTheme="minorHAnsi"/>
                <w:sz w:val="22"/>
                <w:szCs w:val="22"/>
              </w:rPr>
              <w:t>Convenience sample of nurses, social workers, clerical staff, etc. who had not experienced abuse</w:t>
            </w:r>
          </w:p>
        </w:tc>
      </w:tr>
      <w:tr w:rsidR="00C92458" w:rsidRPr="00317750" w14:paraId="3F6F77EA" w14:textId="77777777" w:rsidTr="00051AE2">
        <w:trPr>
          <w:gridAfter w:val="1"/>
          <w:wAfter w:w="18" w:type="dxa"/>
        </w:trPr>
        <w:tc>
          <w:tcPr>
            <w:tcW w:w="1922" w:type="dxa"/>
          </w:tcPr>
          <w:p w14:paraId="1F6B086C" w14:textId="57C1E2A0" w:rsidR="00C92458" w:rsidRPr="00317750" w:rsidRDefault="00C92458" w:rsidP="00C92458">
            <w:pPr>
              <w:rPr>
                <w:b/>
              </w:rPr>
            </w:pPr>
            <w:r>
              <w:rPr>
                <w:b/>
              </w:rPr>
              <w:t>Women’s Abuse  Screening Tool-Short Form (WAST-Short)</w:t>
            </w:r>
          </w:p>
        </w:tc>
        <w:tc>
          <w:tcPr>
            <w:tcW w:w="1922" w:type="dxa"/>
          </w:tcPr>
          <w:p w14:paraId="682EE801" w14:textId="5AF48531" w:rsidR="00C92458" w:rsidRPr="00317750" w:rsidRDefault="00C92458" w:rsidP="00C92458">
            <w:r>
              <w:t>Abuse</w:t>
            </w:r>
          </w:p>
        </w:tc>
        <w:tc>
          <w:tcPr>
            <w:tcW w:w="1403" w:type="dxa"/>
          </w:tcPr>
          <w:p w14:paraId="6A876738" w14:textId="4420087D" w:rsidR="00C92458" w:rsidRPr="00317750" w:rsidRDefault="00C92458" w:rsidP="00C92458">
            <w:r>
              <w:t>Victimization</w:t>
            </w:r>
          </w:p>
        </w:tc>
        <w:tc>
          <w:tcPr>
            <w:tcW w:w="981" w:type="dxa"/>
          </w:tcPr>
          <w:p w14:paraId="678FCF05" w14:textId="71A69F42" w:rsidR="00C92458" w:rsidRDefault="00C92458" w:rsidP="00C92458">
            <w:r>
              <w:t>2 of 7 WAST items</w:t>
            </w:r>
          </w:p>
        </w:tc>
        <w:tc>
          <w:tcPr>
            <w:tcW w:w="1260" w:type="dxa"/>
          </w:tcPr>
          <w:p w14:paraId="1305E071" w14:textId="24F03DE4" w:rsidR="00C92458" w:rsidRDefault="00C92458" w:rsidP="00C92458">
            <w:r>
              <w:t>2 of 3</w:t>
            </w:r>
          </w:p>
        </w:tc>
        <w:tc>
          <w:tcPr>
            <w:tcW w:w="6300" w:type="dxa"/>
          </w:tcPr>
          <w:p w14:paraId="0C34B0B2" w14:textId="0BF402C7" w:rsidR="00C92458" w:rsidRPr="007E32BF" w:rsidRDefault="00C92458" w:rsidP="00C92458">
            <w:pPr>
              <w:pStyle w:val="ListParagraph"/>
              <w:numPr>
                <w:ilvl w:val="0"/>
                <w:numId w:val="31"/>
              </w:numPr>
              <w:ind w:left="342" w:hanging="180"/>
              <w:rPr>
                <w:rFonts w:asciiTheme="minorHAnsi" w:hAnsiTheme="minorHAnsi"/>
                <w:sz w:val="22"/>
                <w:szCs w:val="22"/>
              </w:rPr>
            </w:pPr>
            <w:r w:rsidRPr="00656649">
              <w:rPr>
                <w:rFonts w:asciiTheme="minorHAnsi" w:hAnsiTheme="minorHAnsi"/>
                <w:sz w:val="22"/>
                <w:szCs w:val="22"/>
              </w:rPr>
              <w:t>Women ages 18-6 at  their own health care visit</w:t>
            </w:r>
          </w:p>
          <w:p w14:paraId="3C9907D1" w14:textId="77777777" w:rsidR="00C92458" w:rsidRPr="00317750" w:rsidRDefault="00C92458" w:rsidP="00C92458">
            <w:pPr>
              <w:pStyle w:val="ListParagraph"/>
              <w:numPr>
                <w:ilvl w:val="0"/>
                <w:numId w:val="10"/>
              </w:numPr>
              <w:ind w:left="288" w:hanging="144"/>
              <w:contextualSpacing/>
              <w:rPr>
                <w:rFonts w:asciiTheme="minorHAnsi" w:hAnsiTheme="minorHAnsi"/>
                <w:sz w:val="22"/>
                <w:szCs w:val="22"/>
              </w:rPr>
            </w:pPr>
            <w:r w:rsidRPr="00317750">
              <w:rPr>
                <w:rFonts w:asciiTheme="minorHAnsi" w:hAnsiTheme="minorHAnsi"/>
                <w:sz w:val="22"/>
                <w:szCs w:val="22"/>
              </w:rPr>
              <w:t>Women living at a shelter for women abused by a male partner</w:t>
            </w:r>
          </w:p>
          <w:p w14:paraId="55CDC407" w14:textId="77777777" w:rsidR="00C92458" w:rsidRPr="00EE0304" w:rsidRDefault="00C92458" w:rsidP="00C92458">
            <w:pPr>
              <w:pStyle w:val="ListParagraph"/>
              <w:numPr>
                <w:ilvl w:val="0"/>
                <w:numId w:val="10"/>
              </w:numPr>
              <w:ind w:left="288" w:hanging="144"/>
              <w:contextualSpacing/>
            </w:pPr>
            <w:r w:rsidRPr="00317750">
              <w:rPr>
                <w:rFonts w:asciiTheme="minorHAnsi" w:hAnsiTheme="minorHAnsi"/>
                <w:sz w:val="22"/>
                <w:szCs w:val="22"/>
              </w:rPr>
              <w:t>Convenience sample of nurses, social workers, clerical staff, etc. who had not experienced abuse</w:t>
            </w:r>
          </w:p>
          <w:p w14:paraId="637FF88F" w14:textId="08DD0FCF" w:rsidR="00C92458" w:rsidRPr="00317750" w:rsidRDefault="00C92458" w:rsidP="00C92458"/>
        </w:tc>
      </w:tr>
      <w:tr w:rsidR="00C92458" w:rsidRPr="00317750" w14:paraId="43FAA0A4" w14:textId="77777777" w:rsidTr="00656649">
        <w:trPr>
          <w:gridAfter w:val="1"/>
          <w:wAfter w:w="18" w:type="dxa"/>
        </w:trPr>
        <w:tc>
          <w:tcPr>
            <w:tcW w:w="1922" w:type="dxa"/>
          </w:tcPr>
          <w:p w14:paraId="2D8D2D55" w14:textId="12B6767F" w:rsidR="00C92458" w:rsidRPr="00621A8B" w:rsidRDefault="00C92458" w:rsidP="00C92458">
            <w:pPr>
              <w:rPr>
                <w:b/>
              </w:rPr>
            </w:pPr>
            <w:r>
              <w:rPr>
                <w:b/>
              </w:rPr>
              <w:t xml:space="preserve">Unnamed </w:t>
            </w:r>
            <w:r w:rsidRPr="00317750">
              <w:rPr>
                <w:b/>
              </w:rPr>
              <w:t xml:space="preserve">Zink </w:t>
            </w:r>
            <w:r>
              <w:rPr>
                <w:b/>
              </w:rPr>
              <w:t>(2007) Measure</w:t>
            </w:r>
            <w:r w:rsidRPr="00621A8B">
              <w:rPr>
                <w:rStyle w:val="FootnoteReference"/>
                <w:b/>
              </w:rPr>
              <w:footnoteReference w:id="5"/>
            </w:r>
          </w:p>
        </w:tc>
        <w:tc>
          <w:tcPr>
            <w:tcW w:w="1922" w:type="dxa"/>
          </w:tcPr>
          <w:p w14:paraId="1C10DAE5" w14:textId="77777777" w:rsidR="00C92458" w:rsidRPr="008F381C" w:rsidRDefault="00C92458" w:rsidP="00C92458">
            <w:r w:rsidRPr="008F381C">
              <w:t>Relationship conflict</w:t>
            </w:r>
          </w:p>
          <w:p w14:paraId="4DAA3278" w14:textId="77777777" w:rsidR="00C92458" w:rsidRPr="008F381C" w:rsidRDefault="00C92458" w:rsidP="00C92458">
            <w:r w:rsidRPr="008F381C">
              <w:t>Perceived safety</w:t>
            </w:r>
          </w:p>
        </w:tc>
        <w:tc>
          <w:tcPr>
            <w:tcW w:w="1403" w:type="dxa"/>
          </w:tcPr>
          <w:p w14:paraId="155F170A" w14:textId="77777777" w:rsidR="00C92458" w:rsidRPr="0026546D" w:rsidRDefault="00C92458" w:rsidP="00C92458">
            <w:pPr>
              <w:rPr>
                <w:b/>
              </w:rPr>
            </w:pPr>
            <w:r w:rsidRPr="0026546D">
              <w:t>Victimization</w:t>
            </w:r>
          </w:p>
        </w:tc>
        <w:tc>
          <w:tcPr>
            <w:tcW w:w="981" w:type="dxa"/>
          </w:tcPr>
          <w:p w14:paraId="7C038E41" w14:textId="77777777" w:rsidR="00C92458" w:rsidRPr="006D4E33" w:rsidRDefault="00C92458" w:rsidP="00C92458">
            <w:r w:rsidRPr="006D4E33">
              <w:t>5</w:t>
            </w:r>
          </w:p>
        </w:tc>
        <w:tc>
          <w:tcPr>
            <w:tcW w:w="1260" w:type="dxa"/>
          </w:tcPr>
          <w:p w14:paraId="0F48744E" w14:textId="270E32B4" w:rsidR="00C92458" w:rsidRPr="006D4E33" w:rsidRDefault="00C92458" w:rsidP="00C92458">
            <w:r>
              <w:t>1 of 1</w:t>
            </w:r>
          </w:p>
        </w:tc>
        <w:tc>
          <w:tcPr>
            <w:tcW w:w="6300" w:type="dxa"/>
          </w:tcPr>
          <w:p w14:paraId="2F755996" w14:textId="2038ADDA" w:rsidR="00C92458" w:rsidRPr="006D4E33" w:rsidRDefault="00C92458" w:rsidP="00C92458">
            <w:r w:rsidRPr="006D4E33">
              <w:t>English-speaking mothers in primary care waiting rooms with &gt; 1 child age 3-13 in a relationship with a steady partner for &gt; 1 year, 60% &lt; high school degree</w:t>
            </w:r>
          </w:p>
        </w:tc>
      </w:tr>
      <w:tr w:rsidR="00C92458" w:rsidRPr="00317750" w14:paraId="4C2A464B" w14:textId="77777777" w:rsidTr="00656649">
        <w:tc>
          <w:tcPr>
            <w:tcW w:w="13806" w:type="dxa"/>
            <w:gridSpan w:val="7"/>
            <w:shd w:val="clear" w:color="auto" w:fill="FDE9D9" w:themeFill="accent6" w:themeFillTint="33"/>
          </w:tcPr>
          <w:p w14:paraId="00F1828F" w14:textId="6F259B19" w:rsidR="00C92458" w:rsidRPr="00317750" w:rsidRDefault="00C92458" w:rsidP="00C92458">
            <w:pPr>
              <w:rPr>
                <w:b/>
              </w:rPr>
            </w:pPr>
            <w:r w:rsidRPr="00317750">
              <w:rPr>
                <w:b/>
              </w:rPr>
              <w:t>Empirically Validated, Behaviorally Specific Tools</w:t>
            </w:r>
            <w:r>
              <w:rPr>
                <w:b/>
              </w:rPr>
              <w:t xml:space="preserve"> or Scales from Larger Measures</w:t>
            </w:r>
            <w:r w:rsidRPr="00317750">
              <w:rPr>
                <w:b/>
              </w:rPr>
              <w:t xml:space="preserve"> (Single Form of IPV)</w:t>
            </w:r>
          </w:p>
        </w:tc>
      </w:tr>
      <w:tr w:rsidR="00C92458" w:rsidRPr="008B1388" w14:paraId="0427470B" w14:textId="77777777" w:rsidTr="00656649">
        <w:trPr>
          <w:gridAfter w:val="1"/>
          <w:wAfter w:w="18" w:type="dxa"/>
        </w:trPr>
        <w:tc>
          <w:tcPr>
            <w:tcW w:w="1922" w:type="dxa"/>
          </w:tcPr>
          <w:p w14:paraId="50D03AE8" w14:textId="77777777" w:rsidR="00C92458" w:rsidRDefault="00C92458" w:rsidP="00C92458">
            <w:pPr>
              <w:rPr>
                <w:b/>
              </w:rPr>
            </w:pPr>
            <w:r>
              <w:rPr>
                <w:b/>
              </w:rPr>
              <w:t>Checklist of Controlling Behaviors</w:t>
            </w:r>
          </w:p>
        </w:tc>
        <w:tc>
          <w:tcPr>
            <w:tcW w:w="1922" w:type="dxa"/>
          </w:tcPr>
          <w:p w14:paraId="5F70BAAF" w14:textId="77777777" w:rsidR="00C92458" w:rsidRDefault="00C92458" w:rsidP="00C92458">
            <w:r>
              <w:t>Coercive control</w:t>
            </w:r>
          </w:p>
        </w:tc>
        <w:tc>
          <w:tcPr>
            <w:tcW w:w="1403" w:type="dxa"/>
          </w:tcPr>
          <w:p w14:paraId="02B6B4B4" w14:textId="77777777" w:rsidR="00C92458" w:rsidRDefault="00C92458" w:rsidP="00C92458">
            <w:r>
              <w:t>Perpetration</w:t>
            </w:r>
          </w:p>
        </w:tc>
        <w:tc>
          <w:tcPr>
            <w:tcW w:w="981" w:type="dxa"/>
          </w:tcPr>
          <w:p w14:paraId="363F0ACC" w14:textId="77777777" w:rsidR="00C92458" w:rsidRDefault="00C92458" w:rsidP="00C92458">
            <w:r>
              <w:t>16</w:t>
            </w:r>
          </w:p>
        </w:tc>
        <w:tc>
          <w:tcPr>
            <w:tcW w:w="1260" w:type="dxa"/>
          </w:tcPr>
          <w:p w14:paraId="07177056" w14:textId="66BBEEFE" w:rsidR="00C92458" w:rsidRDefault="00C92458" w:rsidP="00C92458">
            <w:r>
              <w:t>1 of 1</w:t>
            </w:r>
          </w:p>
        </w:tc>
        <w:tc>
          <w:tcPr>
            <w:tcW w:w="6300" w:type="dxa"/>
          </w:tcPr>
          <w:p w14:paraId="2B8E10CD" w14:textId="6BF3E7FB" w:rsidR="00C92458" w:rsidRDefault="00C92458" w:rsidP="00C92458">
            <w:r>
              <w:t>Male undergraduate, graduate, and professional students</w:t>
            </w:r>
          </w:p>
        </w:tc>
      </w:tr>
      <w:tr w:rsidR="00C92458" w:rsidRPr="008B1388" w14:paraId="7A299A02" w14:textId="77777777" w:rsidTr="00656649">
        <w:trPr>
          <w:gridAfter w:val="1"/>
          <w:wAfter w:w="18" w:type="dxa"/>
        </w:trPr>
        <w:tc>
          <w:tcPr>
            <w:tcW w:w="1922" w:type="dxa"/>
          </w:tcPr>
          <w:p w14:paraId="4196BF5A" w14:textId="150CD6A9" w:rsidR="00C92458" w:rsidRPr="008B1388" w:rsidRDefault="00C92458" w:rsidP="00C92458">
            <w:pPr>
              <w:rPr>
                <w:b/>
              </w:rPr>
            </w:pPr>
            <w:r>
              <w:rPr>
                <w:b/>
              </w:rPr>
              <w:t>Coercive Control Survey – Coercion subscale (Dutton, 2006</w:t>
            </w:r>
          </w:p>
        </w:tc>
        <w:tc>
          <w:tcPr>
            <w:tcW w:w="1922" w:type="dxa"/>
          </w:tcPr>
          <w:p w14:paraId="4F37C66C" w14:textId="71247122" w:rsidR="00C92458" w:rsidRDefault="00C92458" w:rsidP="00C92458">
            <w:r>
              <w:t>Coercive control</w:t>
            </w:r>
          </w:p>
        </w:tc>
        <w:tc>
          <w:tcPr>
            <w:tcW w:w="1403" w:type="dxa"/>
          </w:tcPr>
          <w:p w14:paraId="1E15252E" w14:textId="77777777" w:rsidR="00C92458" w:rsidRDefault="00C92458" w:rsidP="00C92458">
            <w:r>
              <w:t>Victimization</w:t>
            </w:r>
          </w:p>
          <w:p w14:paraId="29C3F833" w14:textId="5A072A24" w:rsidR="00C92458" w:rsidRPr="00195FAE" w:rsidRDefault="00C92458" w:rsidP="00C92458"/>
        </w:tc>
        <w:tc>
          <w:tcPr>
            <w:tcW w:w="981" w:type="dxa"/>
          </w:tcPr>
          <w:p w14:paraId="5E1583A2" w14:textId="2893DDE6" w:rsidR="00C92458" w:rsidRPr="008B1388" w:rsidRDefault="00C92458" w:rsidP="00C92458">
            <w:r>
              <w:t>31</w:t>
            </w:r>
          </w:p>
        </w:tc>
        <w:tc>
          <w:tcPr>
            <w:tcW w:w="1260" w:type="dxa"/>
          </w:tcPr>
          <w:p w14:paraId="77265E25" w14:textId="52CC6AAD" w:rsidR="00C92458" w:rsidRDefault="00C92458" w:rsidP="00C92458">
            <w:r>
              <w:t>1 of 1</w:t>
            </w:r>
          </w:p>
        </w:tc>
        <w:tc>
          <w:tcPr>
            <w:tcW w:w="6300" w:type="dxa"/>
          </w:tcPr>
          <w:p w14:paraId="7A67C626" w14:textId="519FB66D" w:rsidR="00C92458" w:rsidRPr="008B1388" w:rsidRDefault="00C92458" w:rsidP="00C92458">
            <w:r>
              <w:t>Urban men and women &gt; 17 years old</w:t>
            </w:r>
          </w:p>
        </w:tc>
      </w:tr>
      <w:tr w:rsidR="00C92458" w:rsidRPr="008B1388" w14:paraId="3BA4E610" w14:textId="77777777" w:rsidTr="00051AE2">
        <w:trPr>
          <w:gridAfter w:val="1"/>
          <w:wAfter w:w="18" w:type="dxa"/>
        </w:trPr>
        <w:tc>
          <w:tcPr>
            <w:tcW w:w="1922" w:type="dxa"/>
          </w:tcPr>
          <w:p w14:paraId="25FC73B9" w14:textId="1A807BE8" w:rsidR="00C92458" w:rsidRPr="008B1388" w:rsidRDefault="00C92458" w:rsidP="00C92458">
            <w:pPr>
              <w:rPr>
                <w:b/>
              </w:rPr>
            </w:pPr>
            <w:r>
              <w:rPr>
                <w:b/>
              </w:rPr>
              <w:t xml:space="preserve">Multidimensional  </w:t>
            </w:r>
            <w:r w:rsidRPr="00CB40A4">
              <w:rPr>
                <w:b/>
              </w:rPr>
              <w:t xml:space="preserve">Emotional </w:t>
            </w:r>
            <w:r>
              <w:rPr>
                <w:b/>
              </w:rPr>
              <w:t>A</w:t>
            </w:r>
            <w:r w:rsidRPr="00CB40A4">
              <w:rPr>
                <w:b/>
              </w:rPr>
              <w:t xml:space="preserve">buse </w:t>
            </w:r>
            <w:r>
              <w:rPr>
                <w:b/>
              </w:rPr>
              <w:t>Scale</w:t>
            </w:r>
          </w:p>
        </w:tc>
        <w:tc>
          <w:tcPr>
            <w:tcW w:w="1922" w:type="dxa"/>
          </w:tcPr>
          <w:p w14:paraId="54EDDFDC" w14:textId="4E1E3345" w:rsidR="00C92458" w:rsidRDefault="00C92458" w:rsidP="00C92458">
            <w:r>
              <w:t>Emotional abuse</w:t>
            </w:r>
          </w:p>
          <w:p w14:paraId="77A1BC8C" w14:textId="12CB48F0" w:rsidR="00C92458" w:rsidRDefault="00C92458" w:rsidP="00C92458">
            <w:r>
              <w:t>Coercive control</w:t>
            </w:r>
          </w:p>
          <w:p w14:paraId="0E602B01" w14:textId="2B42AC09" w:rsidR="00C92458" w:rsidRDefault="00C92458" w:rsidP="00C92458">
            <w:r>
              <w:t>(Restrictive engulfment, hostile withdrawal, denigration, domination/</w:t>
            </w:r>
          </w:p>
          <w:p w14:paraId="60F059E5" w14:textId="696EB933" w:rsidR="00C92458" w:rsidRPr="008B1388" w:rsidRDefault="00C92458" w:rsidP="00C92458">
            <w:r>
              <w:t>Intimidation)</w:t>
            </w:r>
          </w:p>
        </w:tc>
        <w:tc>
          <w:tcPr>
            <w:tcW w:w="1403" w:type="dxa"/>
          </w:tcPr>
          <w:p w14:paraId="50961C5E" w14:textId="77777777" w:rsidR="00C92458" w:rsidRDefault="00C92458" w:rsidP="00C92458">
            <w:r>
              <w:t xml:space="preserve">Victimization </w:t>
            </w:r>
          </w:p>
          <w:p w14:paraId="7FB59049" w14:textId="6EB03096" w:rsidR="00C92458" w:rsidRPr="008B1388" w:rsidRDefault="00C92458" w:rsidP="00C92458">
            <w:r>
              <w:t>Perpetration</w:t>
            </w:r>
          </w:p>
        </w:tc>
        <w:tc>
          <w:tcPr>
            <w:tcW w:w="981" w:type="dxa"/>
          </w:tcPr>
          <w:p w14:paraId="736D4883" w14:textId="78629230" w:rsidR="00C92458" w:rsidRDefault="00C92458" w:rsidP="00C92458">
            <w:r>
              <w:t>54</w:t>
            </w:r>
          </w:p>
        </w:tc>
        <w:tc>
          <w:tcPr>
            <w:tcW w:w="1260" w:type="dxa"/>
          </w:tcPr>
          <w:p w14:paraId="4283BD81" w14:textId="02661475" w:rsidR="00C92458" w:rsidRDefault="00C92458" w:rsidP="00C92458">
            <w:r>
              <w:t>1 of 1</w:t>
            </w:r>
          </w:p>
        </w:tc>
        <w:tc>
          <w:tcPr>
            <w:tcW w:w="6300" w:type="dxa"/>
          </w:tcPr>
          <w:p w14:paraId="5309D7B4" w14:textId="788F37BE" w:rsidR="00C92458" w:rsidRDefault="00C92458" w:rsidP="00C92458">
            <w:r w:rsidRPr="00CB40A4">
              <w:t>Undergraduate, never married, in current dating relationship</w:t>
            </w:r>
          </w:p>
          <w:p w14:paraId="614F6B2B" w14:textId="77777777" w:rsidR="00C92458" w:rsidRPr="00CB40A4" w:rsidRDefault="00C92458" w:rsidP="00C92458">
            <w:pPr>
              <w:ind w:firstLine="720"/>
            </w:pPr>
          </w:p>
        </w:tc>
      </w:tr>
      <w:tr w:rsidR="00C92458" w:rsidRPr="008B1388" w14:paraId="584CC12F" w14:textId="77777777" w:rsidTr="00051AE2">
        <w:trPr>
          <w:gridAfter w:val="1"/>
          <w:wAfter w:w="18" w:type="dxa"/>
        </w:trPr>
        <w:tc>
          <w:tcPr>
            <w:tcW w:w="1922" w:type="dxa"/>
          </w:tcPr>
          <w:p w14:paraId="193554A2" w14:textId="3D14C74E" w:rsidR="00C92458" w:rsidRDefault="00C92458" w:rsidP="00C92458">
            <w:pPr>
              <w:rPr>
                <w:b/>
              </w:rPr>
            </w:pPr>
            <w:r w:rsidRPr="008B1388">
              <w:rPr>
                <w:b/>
              </w:rPr>
              <w:t>Index of Spouse Abuse (ISA)</w:t>
            </w:r>
            <w:r>
              <w:rPr>
                <w:b/>
              </w:rPr>
              <w:t>- Physical</w:t>
            </w:r>
          </w:p>
        </w:tc>
        <w:tc>
          <w:tcPr>
            <w:tcW w:w="1922" w:type="dxa"/>
          </w:tcPr>
          <w:p w14:paraId="2DFC8945" w14:textId="37D17126" w:rsidR="00C92458" w:rsidRDefault="00C92458" w:rsidP="00C92458">
            <w:r w:rsidRPr="008B1388">
              <w:t xml:space="preserve">Physical violence </w:t>
            </w:r>
          </w:p>
        </w:tc>
        <w:tc>
          <w:tcPr>
            <w:tcW w:w="1403" w:type="dxa"/>
          </w:tcPr>
          <w:p w14:paraId="4C2ADB4E" w14:textId="78EE8383" w:rsidR="00C92458" w:rsidRDefault="00C92458" w:rsidP="00C92458">
            <w:r w:rsidRPr="008B1388">
              <w:t>Victimization</w:t>
            </w:r>
          </w:p>
        </w:tc>
        <w:tc>
          <w:tcPr>
            <w:tcW w:w="981" w:type="dxa"/>
          </w:tcPr>
          <w:p w14:paraId="232C24DE" w14:textId="71382815" w:rsidR="00C92458" w:rsidRDefault="00C92458" w:rsidP="00C92458">
            <w:r>
              <w:t>15</w:t>
            </w:r>
          </w:p>
        </w:tc>
        <w:tc>
          <w:tcPr>
            <w:tcW w:w="1260" w:type="dxa"/>
          </w:tcPr>
          <w:p w14:paraId="6F8F10D8" w14:textId="12669243" w:rsidR="00C92458" w:rsidRDefault="00C92458" w:rsidP="00C92458">
            <w:r>
              <w:t>1 (full ISA not validated)</w:t>
            </w:r>
          </w:p>
        </w:tc>
        <w:tc>
          <w:tcPr>
            <w:tcW w:w="6300" w:type="dxa"/>
          </w:tcPr>
          <w:p w14:paraId="0405C5B9" w14:textId="77777777" w:rsidR="00C92458" w:rsidRDefault="00C92458" w:rsidP="00C92458">
            <w:r>
              <w:t>Women 18-65 years, insured by a managed care organization or Medicaid, who had ever been in an intimate, sexual relationship with a man for &gt; 3 months</w:t>
            </w:r>
          </w:p>
          <w:p w14:paraId="5E861126" w14:textId="6C7EF237" w:rsidR="00C92458" w:rsidRDefault="00C92458" w:rsidP="00C92458">
            <w:r>
              <w:t>&lt; High school: 11%</w:t>
            </w:r>
          </w:p>
        </w:tc>
      </w:tr>
      <w:tr w:rsidR="00C92458" w:rsidRPr="008B1388" w14:paraId="1E8E89C9" w14:textId="77777777" w:rsidTr="00656649">
        <w:trPr>
          <w:gridAfter w:val="1"/>
          <w:wAfter w:w="18" w:type="dxa"/>
        </w:trPr>
        <w:tc>
          <w:tcPr>
            <w:tcW w:w="1922" w:type="dxa"/>
          </w:tcPr>
          <w:p w14:paraId="2E7A6A66" w14:textId="2C402B0E" w:rsidR="00C92458" w:rsidRPr="008B1388" w:rsidRDefault="00D53F96" w:rsidP="00C92458">
            <w:pPr>
              <w:rPr>
                <w:b/>
              </w:rPr>
            </w:pPr>
            <w:hyperlink r:id="rId11" w:history="1">
              <w:r w:rsidR="00C92458" w:rsidRPr="008B1388">
                <w:rPr>
                  <w:b/>
                </w:rPr>
                <w:t>Intimate Justice Scale</w:t>
              </w:r>
            </w:hyperlink>
          </w:p>
        </w:tc>
        <w:tc>
          <w:tcPr>
            <w:tcW w:w="1922" w:type="dxa"/>
          </w:tcPr>
          <w:p w14:paraId="29508B58" w14:textId="7BBC1DEA" w:rsidR="00C92458" w:rsidRDefault="00C92458" w:rsidP="00C92458">
            <w:r>
              <w:t>Coercive control</w:t>
            </w:r>
            <w:r>
              <w:rPr>
                <w:rStyle w:val="FootnoteReference"/>
              </w:rPr>
              <w:footnoteReference w:id="6"/>
            </w:r>
          </w:p>
          <w:p w14:paraId="11FE82F7" w14:textId="77777777" w:rsidR="00C92458" w:rsidRPr="006D4E33" w:rsidRDefault="00C92458" w:rsidP="00C92458">
            <w:r>
              <w:t>(scored to estimate risk of physical violence)</w:t>
            </w:r>
          </w:p>
        </w:tc>
        <w:tc>
          <w:tcPr>
            <w:tcW w:w="1403" w:type="dxa"/>
          </w:tcPr>
          <w:p w14:paraId="6BF308F5" w14:textId="77777777" w:rsidR="00C92458" w:rsidRPr="00195FAE" w:rsidRDefault="00C92458" w:rsidP="00C92458">
            <w:r w:rsidRPr="00195FAE">
              <w:t xml:space="preserve">Victimization </w:t>
            </w:r>
          </w:p>
        </w:tc>
        <w:tc>
          <w:tcPr>
            <w:tcW w:w="981" w:type="dxa"/>
          </w:tcPr>
          <w:p w14:paraId="65AB86ED" w14:textId="77777777" w:rsidR="00C92458" w:rsidRPr="008B1388" w:rsidRDefault="00C92458" w:rsidP="00C92458">
            <w:r w:rsidRPr="008B1388">
              <w:t>15</w:t>
            </w:r>
          </w:p>
        </w:tc>
        <w:tc>
          <w:tcPr>
            <w:tcW w:w="1260" w:type="dxa"/>
          </w:tcPr>
          <w:p w14:paraId="2FF94781" w14:textId="248470AD" w:rsidR="00C92458" w:rsidRPr="008B1388" w:rsidRDefault="00C92458" w:rsidP="00C92458">
            <w:r>
              <w:t>1 of 1</w:t>
            </w:r>
          </w:p>
        </w:tc>
        <w:tc>
          <w:tcPr>
            <w:tcW w:w="6300" w:type="dxa"/>
          </w:tcPr>
          <w:p w14:paraId="00642FE8" w14:textId="15F69686" w:rsidR="00C92458" w:rsidRPr="008B1388" w:rsidRDefault="00C92458" w:rsidP="00C92458">
            <w:r w:rsidRPr="008B1388">
              <w:t>Women &gt; 19 years old; clients in mental health, social service, and medical agencies; in a heterosexual relationship &gt; 1 year; 26% high school degree</w:t>
            </w:r>
          </w:p>
        </w:tc>
      </w:tr>
      <w:tr w:rsidR="00C92458" w:rsidRPr="00317750" w14:paraId="31E201D2" w14:textId="77777777" w:rsidTr="00656649">
        <w:trPr>
          <w:gridAfter w:val="1"/>
          <w:wAfter w:w="18" w:type="dxa"/>
        </w:trPr>
        <w:tc>
          <w:tcPr>
            <w:tcW w:w="1922" w:type="dxa"/>
          </w:tcPr>
          <w:p w14:paraId="46C8F09F" w14:textId="77777777" w:rsidR="00C92458" w:rsidRPr="001A3B66" w:rsidRDefault="00C92458" w:rsidP="00C92458">
            <w:pPr>
              <w:rPr>
                <w:b/>
              </w:rPr>
            </w:pPr>
            <w:r w:rsidRPr="001A3B66">
              <w:rPr>
                <w:b/>
              </w:rPr>
              <w:t>Jellinek Inventory for Assessing Partner Violence</w:t>
            </w:r>
          </w:p>
        </w:tc>
        <w:tc>
          <w:tcPr>
            <w:tcW w:w="1922" w:type="dxa"/>
          </w:tcPr>
          <w:p w14:paraId="25C3CC38" w14:textId="77777777" w:rsidR="00C92458" w:rsidRPr="001A3B66" w:rsidRDefault="00C92458" w:rsidP="00C92458">
            <w:r w:rsidRPr="001A3B66">
              <w:t>Physical violence</w:t>
            </w:r>
          </w:p>
        </w:tc>
        <w:tc>
          <w:tcPr>
            <w:tcW w:w="1403" w:type="dxa"/>
          </w:tcPr>
          <w:p w14:paraId="637E4C9E" w14:textId="77777777" w:rsidR="00C92458" w:rsidRPr="001A3B66" w:rsidRDefault="00C92458" w:rsidP="00C92458">
            <w:r w:rsidRPr="001A3B66">
              <w:t>Victimization Perpetration</w:t>
            </w:r>
          </w:p>
        </w:tc>
        <w:tc>
          <w:tcPr>
            <w:tcW w:w="981" w:type="dxa"/>
          </w:tcPr>
          <w:p w14:paraId="242E8CF9" w14:textId="4BB4857D" w:rsidR="00C92458" w:rsidRDefault="00C92458" w:rsidP="00C92458">
            <w:r>
              <w:t>2</w:t>
            </w:r>
          </w:p>
          <w:p w14:paraId="7F4E4627" w14:textId="28E2EBFF" w:rsidR="00C92458" w:rsidRPr="00317750" w:rsidRDefault="00C92458" w:rsidP="00C92458">
            <w:r>
              <w:t>2</w:t>
            </w:r>
          </w:p>
        </w:tc>
        <w:tc>
          <w:tcPr>
            <w:tcW w:w="1260" w:type="dxa"/>
          </w:tcPr>
          <w:p w14:paraId="6A239C4F" w14:textId="07E36AED" w:rsidR="00C92458" w:rsidRDefault="00C92458" w:rsidP="00C92458">
            <w:r>
              <w:t>1 of 1</w:t>
            </w:r>
          </w:p>
          <w:p w14:paraId="72025F9B" w14:textId="77777777" w:rsidR="00C92458" w:rsidRPr="008F60E3" w:rsidRDefault="00C92458" w:rsidP="00C92458"/>
        </w:tc>
        <w:tc>
          <w:tcPr>
            <w:tcW w:w="6300" w:type="dxa"/>
          </w:tcPr>
          <w:p w14:paraId="78E63090" w14:textId="0938FBE1" w:rsidR="00C92458" w:rsidRPr="00317750" w:rsidRDefault="00C92458" w:rsidP="00C92458">
            <w:r w:rsidRPr="00317750">
              <w:t>Dutch substance abuse treatment patients &gt; 18 years old who met DSM-IV criteria for substance abuse or dependence</w:t>
            </w:r>
          </w:p>
        </w:tc>
      </w:tr>
      <w:tr w:rsidR="00C92458" w:rsidRPr="00317750" w14:paraId="4550E7A8" w14:textId="77777777" w:rsidTr="00656649">
        <w:trPr>
          <w:gridAfter w:val="1"/>
          <w:wAfter w:w="18" w:type="dxa"/>
        </w:trPr>
        <w:tc>
          <w:tcPr>
            <w:tcW w:w="1922" w:type="dxa"/>
          </w:tcPr>
          <w:p w14:paraId="7A0BA873" w14:textId="77777777" w:rsidR="00C92458" w:rsidRPr="00317750" w:rsidRDefault="00C92458" w:rsidP="00C92458">
            <w:r w:rsidRPr="00317750">
              <w:rPr>
                <w:b/>
              </w:rPr>
              <w:t>Partner-Directed Insults Scale</w:t>
            </w:r>
          </w:p>
        </w:tc>
        <w:tc>
          <w:tcPr>
            <w:tcW w:w="1922" w:type="dxa"/>
          </w:tcPr>
          <w:p w14:paraId="2C4A40D6" w14:textId="77777777" w:rsidR="00C92458" w:rsidRPr="00317750" w:rsidRDefault="00C92458" w:rsidP="00C92458">
            <w:r w:rsidRPr="00317750">
              <w:t>Emotional abuse</w:t>
            </w:r>
          </w:p>
          <w:p w14:paraId="37A60B5D" w14:textId="77777777" w:rsidR="00C92458" w:rsidRPr="00317750" w:rsidRDefault="00C92458" w:rsidP="00C92458">
            <w:r w:rsidRPr="00317750">
              <w:t>Controlling behavior</w:t>
            </w:r>
          </w:p>
        </w:tc>
        <w:tc>
          <w:tcPr>
            <w:tcW w:w="1403" w:type="dxa"/>
          </w:tcPr>
          <w:p w14:paraId="780EBC68" w14:textId="77777777" w:rsidR="00C92458" w:rsidRPr="00317750" w:rsidRDefault="00C92458" w:rsidP="00C92458">
            <w:r w:rsidRPr="00317750">
              <w:t>Victimization (women) Perpetration (men)</w:t>
            </w:r>
          </w:p>
        </w:tc>
        <w:tc>
          <w:tcPr>
            <w:tcW w:w="981" w:type="dxa"/>
          </w:tcPr>
          <w:p w14:paraId="685EE8E0" w14:textId="3B9F4EFF" w:rsidR="00C92458" w:rsidRPr="00317750" w:rsidRDefault="00C92458" w:rsidP="00C92458">
            <w:r w:rsidRPr="00317750">
              <w:t>47</w:t>
            </w:r>
          </w:p>
        </w:tc>
        <w:tc>
          <w:tcPr>
            <w:tcW w:w="1260" w:type="dxa"/>
          </w:tcPr>
          <w:p w14:paraId="265FD1FF" w14:textId="3A89C3EA" w:rsidR="00C92458" w:rsidRDefault="00C92458" w:rsidP="00C92458">
            <w:r>
              <w:t>1 of 1</w:t>
            </w:r>
          </w:p>
          <w:p w14:paraId="4F03E3D6" w14:textId="77777777" w:rsidR="00C92458" w:rsidRPr="00CF0D5B" w:rsidRDefault="00C92458" w:rsidP="00C92458"/>
        </w:tc>
        <w:tc>
          <w:tcPr>
            <w:tcW w:w="6300" w:type="dxa"/>
          </w:tcPr>
          <w:p w14:paraId="1C18C666" w14:textId="73307E07" w:rsidR="00C92458" w:rsidRPr="00317750" w:rsidRDefault="00C92458" w:rsidP="00C92458">
            <w:r w:rsidRPr="00317750">
              <w:t>Two student populations:</w:t>
            </w:r>
          </w:p>
          <w:p w14:paraId="7D7FF58B" w14:textId="77777777" w:rsidR="00C92458" w:rsidRPr="00317750" w:rsidRDefault="00C92458" w:rsidP="00C92458">
            <w:pPr>
              <w:pStyle w:val="ListParagraph"/>
              <w:numPr>
                <w:ilvl w:val="0"/>
                <w:numId w:val="10"/>
              </w:numPr>
              <w:ind w:left="288" w:hanging="144"/>
              <w:contextualSpacing/>
              <w:rPr>
                <w:rFonts w:asciiTheme="minorHAnsi" w:hAnsiTheme="minorHAnsi"/>
                <w:sz w:val="22"/>
                <w:szCs w:val="22"/>
              </w:rPr>
            </w:pPr>
            <w:r w:rsidRPr="00317750">
              <w:rPr>
                <w:rFonts w:asciiTheme="minorHAnsi" w:hAnsiTheme="minorHAnsi"/>
                <w:sz w:val="22"/>
                <w:szCs w:val="22"/>
              </w:rPr>
              <w:t>US university students &gt; 18 years old in a committed heterosexual relationship</w:t>
            </w:r>
          </w:p>
          <w:p w14:paraId="30FBC212" w14:textId="77777777" w:rsidR="00C92458" w:rsidRPr="00317750" w:rsidRDefault="00C92458" w:rsidP="00C92458">
            <w:pPr>
              <w:pStyle w:val="ListParagraph"/>
              <w:numPr>
                <w:ilvl w:val="0"/>
                <w:numId w:val="10"/>
              </w:numPr>
              <w:ind w:left="288" w:hanging="144"/>
              <w:contextualSpacing/>
            </w:pPr>
            <w:r w:rsidRPr="00317750">
              <w:rPr>
                <w:rFonts w:asciiTheme="minorHAnsi" w:hAnsiTheme="minorHAnsi"/>
                <w:sz w:val="22"/>
                <w:szCs w:val="22"/>
              </w:rPr>
              <w:t>New Zealand university students</w:t>
            </w:r>
          </w:p>
        </w:tc>
      </w:tr>
      <w:tr w:rsidR="00C92458" w:rsidRPr="00317750" w14:paraId="4314B864" w14:textId="77777777" w:rsidTr="00656649">
        <w:trPr>
          <w:gridAfter w:val="1"/>
          <w:wAfter w:w="18" w:type="dxa"/>
        </w:trPr>
        <w:tc>
          <w:tcPr>
            <w:tcW w:w="1922" w:type="dxa"/>
          </w:tcPr>
          <w:p w14:paraId="4BD3FDEF" w14:textId="63C802EF" w:rsidR="00C92458" w:rsidRPr="00317750" w:rsidRDefault="00C92458" w:rsidP="00C92458">
            <w:pPr>
              <w:rPr>
                <w:b/>
              </w:rPr>
            </w:pPr>
            <w:r>
              <w:rPr>
                <w:b/>
              </w:rPr>
              <w:t>*</w:t>
            </w:r>
            <w:r w:rsidRPr="00317750">
              <w:rPr>
                <w:b/>
              </w:rPr>
              <w:t>Subtle and Overt Scale of Psycho-logical Abuse</w:t>
            </w:r>
          </w:p>
        </w:tc>
        <w:tc>
          <w:tcPr>
            <w:tcW w:w="1922" w:type="dxa"/>
          </w:tcPr>
          <w:p w14:paraId="1EC194DD" w14:textId="77777777" w:rsidR="00C92458" w:rsidRPr="00317750" w:rsidRDefault="00C92458" w:rsidP="00C92458">
            <w:r w:rsidRPr="00317750">
              <w:t>Emotional abuse</w:t>
            </w:r>
          </w:p>
        </w:tc>
        <w:tc>
          <w:tcPr>
            <w:tcW w:w="1403" w:type="dxa"/>
          </w:tcPr>
          <w:p w14:paraId="0378B05D" w14:textId="77777777" w:rsidR="00C92458" w:rsidRPr="00317750" w:rsidRDefault="00C92458" w:rsidP="00C92458">
            <w:r w:rsidRPr="00317750">
              <w:t>Victimization</w:t>
            </w:r>
          </w:p>
        </w:tc>
        <w:tc>
          <w:tcPr>
            <w:tcW w:w="981" w:type="dxa"/>
          </w:tcPr>
          <w:p w14:paraId="48129D9A" w14:textId="77777777" w:rsidR="00C92458" w:rsidRPr="00317750" w:rsidRDefault="00C92458" w:rsidP="00C92458">
            <w:r w:rsidRPr="00317750">
              <w:t>65</w:t>
            </w:r>
          </w:p>
        </w:tc>
        <w:tc>
          <w:tcPr>
            <w:tcW w:w="1260" w:type="dxa"/>
          </w:tcPr>
          <w:p w14:paraId="5E6BC4CD" w14:textId="522DBC3A" w:rsidR="00C92458" w:rsidRPr="00317750" w:rsidRDefault="00C92458" w:rsidP="00C92458">
            <w:r>
              <w:t>1 of 1</w:t>
            </w:r>
          </w:p>
        </w:tc>
        <w:tc>
          <w:tcPr>
            <w:tcW w:w="6300" w:type="dxa"/>
          </w:tcPr>
          <w:p w14:paraId="0D34F12B" w14:textId="4507FC6D" w:rsidR="00C92458" w:rsidRPr="00317750" w:rsidRDefault="00C92458" w:rsidP="00C92458">
            <w:r w:rsidRPr="00317750">
              <w:t>New mothers 18 -40 years old involved in a romantic relationship for at least 6 weeks, 20% &lt; high school degree</w:t>
            </w:r>
          </w:p>
        </w:tc>
      </w:tr>
      <w:tr w:rsidR="00C92458" w:rsidRPr="00317750" w14:paraId="5F58C9A9" w14:textId="77777777" w:rsidTr="00656649">
        <w:trPr>
          <w:gridAfter w:val="1"/>
          <w:wAfter w:w="18" w:type="dxa"/>
        </w:trPr>
        <w:tc>
          <w:tcPr>
            <w:tcW w:w="1922" w:type="dxa"/>
          </w:tcPr>
          <w:p w14:paraId="0CF2AFE5" w14:textId="77777777" w:rsidR="00C92458" w:rsidRPr="00317750" w:rsidRDefault="00C92458" w:rsidP="00C92458">
            <w:pPr>
              <w:rPr>
                <w:b/>
              </w:rPr>
            </w:pPr>
            <w:r w:rsidRPr="00317750">
              <w:rPr>
                <w:b/>
              </w:rPr>
              <w:t>Trauma Quest-ionnaire</w:t>
            </w:r>
          </w:p>
        </w:tc>
        <w:tc>
          <w:tcPr>
            <w:tcW w:w="1922" w:type="dxa"/>
          </w:tcPr>
          <w:p w14:paraId="4D5A91BC" w14:textId="6771EA71" w:rsidR="00C92458" w:rsidRDefault="00C92458" w:rsidP="00C92458">
            <w:r>
              <w:t>Domestic violence</w:t>
            </w:r>
          </w:p>
          <w:p w14:paraId="55529651" w14:textId="67656ABF" w:rsidR="00C92458" w:rsidRPr="00317750" w:rsidRDefault="00C92458" w:rsidP="00C92458">
            <w:r>
              <w:t>Threats of domestic violence</w:t>
            </w:r>
          </w:p>
        </w:tc>
        <w:tc>
          <w:tcPr>
            <w:tcW w:w="1403" w:type="dxa"/>
          </w:tcPr>
          <w:p w14:paraId="5C5D8F1F" w14:textId="77777777" w:rsidR="00C92458" w:rsidRPr="00317750" w:rsidRDefault="00C92458" w:rsidP="00C92458">
            <w:r w:rsidRPr="00317750">
              <w:t>Victimization</w:t>
            </w:r>
          </w:p>
        </w:tc>
        <w:tc>
          <w:tcPr>
            <w:tcW w:w="981" w:type="dxa"/>
          </w:tcPr>
          <w:p w14:paraId="0C486F1B" w14:textId="183BEFAF" w:rsidR="00C92458" w:rsidRPr="00317750" w:rsidRDefault="00C92458" w:rsidP="00C92458">
            <w:r>
              <w:t>2</w:t>
            </w:r>
            <w:r>
              <w:rPr>
                <w:rStyle w:val="FootnoteReference"/>
              </w:rPr>
              <w:footnoteReference w:id="7"/>
            </w:r>
            <w:r>
              <w:t xml:space="preserve"> (single items)</w:t>
            </w:r>
          </w:p>
        </w:tc>
        <w:tc>
          <w:tcPr>
            <w:tcW w:w="1260" w:type="dxa"/>
          </w:tcPr>
          <w:p w14:paraId="62BE1C24" w14:textId="3F9ADD34" w:rsidR="00C92458" w:rsidRPr="00317750" w:rsidRDefault="00C92458" w:rsidP="00C92458">
            <w:r>
              <w:t>1 of 1</w:t>
            </w:r>
          </w:p>
        </w:tc>
        <w:tc>
          <w:tcPr>
            <w:tcW w:w="6300" w:type="dxa"/>
          </w:tcPr>
          <w:p w14:paraId="51DB264A" w14:textId="6769D931" w:rsidR="00C92458" w:rsidRPr="00317750" w:rsidRDefault="00C92458" w:rsidP="00C92458">
            <w:r w:rsidRPr="00317750">
              <w:t>Female veterans seen for medical appointments</w:t>
            </w:r>
          </w:p>
        </w:tc>
      </w:tr>
      <w:tr w:rsidR="00C92458" w:rsidRPr="008B1388" w14:paraId="527ACBEE" w14:textId="77777777" w:rsidTr="00656649">
        <w:trPr>
          <w:gridAfter w:val="1"/>
          <w:wAfter w:w="18" w:type="dxa"/>
        </w:trPr>
        <w:tc>
          <w:tcPr>
            <w:tcW w:w="1922" w:type="dxa"/>
          </w:tcPr>
          <w:p w14:paraId="3D9820B1" w14:textId="6F9BD8BE" w:rsidR="00C92458" w:rsidRDefault="00C92458" w:rsidP="00C92458">
            <w:pPr>
              <w:rPr>
                <w:b/>
              </w:rPr>
            </w:pPr>
            <w:r>
              <w:rPr>
                <w:b/>
                <w:bCs/>
              </w:rPr>
              <w:t>Violence in Adolescents’ Dating Relationships Inventory (VADRI)</w:t>
            </w:r>
          </w:p>
        </w:tc>
        <w:tc>
          <w:tcPr>
            <w:tcW w:w="1922" w:type="dxa"/>
          </w:tcPr>
          <w:p w14:paraId="102B0889" w14:textId="77777777" w:rsidR="00C92458" w:rsidRDefault="00C92458" w:rsidP="00C92458"/>
        </w:tc>
        <w:tc>
          <w:tcPr>
            <w:tcW w:w="1403" w:type="dxa"/>
          </w:tcPr>
          <w:p w14:paraId="48D6EE01" w14:textId="77777777" w:rsidR="00C92458" w:rsidRDefault="00C92458" w:rsidP="00C92458">
            <w:r>
              <w:t>Victimization</w:t>
            </w:r>
          </w:p>
          <w:p w14:paraId="5DF32844" w14:textId="7875754D" w:rsidR="00C92458" w:rsidRDefault="00C92458" w:rsidP="00C92458">
            <w:r>
              <w:t>Perpetration</w:t>
            </w:r>
          </w:p>
        </w:tc>
        <w:tc>
          <w:tcPr>
            <w:tcW w:w="981" w:type="dxa"/>
          </w:tcPr>
          <w:p w14:paraId="4D21FC1D" w14:textId="77777777" w:rsidR="00C92458" w:rsidRDefault="00C92458" w:rsidP="00C92458">
            <w:r>
              <w:t>26</w:t>
            </w:r>
          </w:p>
          <w:p w14:paraId="545C90E5" w14:textId="2BD1C92A" w:rsidR="00C92458" w:rsidRDefault="00C92458" w:rsidP="00C92458">
            <w:r>
              <w:t>26</w:t>
            </w:r>
          </w:p>
        </w:tc>
        <w:tc>
          <w:tcPr>
            <w:tcW w:w="1260" w:type="dxa"/>
          </w:tcPr>
          <w:p w14:paraId="7E2F7302" w14:textId="2A1F27ED" w:rsidR="00C92458" w:rsidRDefault="00C92458" w:rsidP="00C92458">
            <w:r>
              <w:t>1</w:t>
            </w:r>
          </w:p>
        </w:tc>
        <w:tc>
          <w:tcPr>
            <w:tcW w:w="6300" w:type="dxa"/>
          </w:tcPr>
          <w:p w14:paraId="7D5C216A" w14:textId="72D371D4" w:rsidR="00C92458" w:rsidRPr="00656649" w:rsidRDefault="00C92458" w:rsidP="00C92458">
            <w:pPr>
              <w:pStyle w:val="ListParagraph"/>
              <w:numPr>
                <w:ilvl w:val="0"/>
                <w:numId w:val="30"/>
              </w:numPr>
              <w:ind w:left="162" w:hanging="180"/>
              <w:rPr>
                <w:rFonts w:asciiTheme="minorHAnsi" w:hAnsiTheme="minorHAnsi"/>
                <w:sz w:val="20"/>
                <w:szCs w:val="20"/>
              </w:rPr>
            </w:pPr>
            <w:r>
              <w:t>Adolescents from Spanish-speaking countries (Aizpitarte 2015)</w:t>
            </w:r>
          </w:p>
        </w:tc>
      </w:tr>
      <w:tr w:rsidR="00C92458" w:rsidRPr="008B1388" w14:paraId="024347C3" w14:textId="77777777" w:rsidTr="00656649">
        <w:trPr>
          <w:gridAfter w:val="1"/>
          <w:wAfter w:w="18" w:type="dxa"/>
        </w:trPr>
        <w:tc>
          <w:tcPr>
            <w:tcW w:w="1922" w:type="dxa"/>
          </w:tcPr>
          <w:p w14:paraId="31DAC380" w14:textId="073BE6C9" w:rsidR="00C92458" w:rsidRPr="008B1388" w:rsidRDefault="00C92458" w:rsidP="00C92458">
            <w:pPr>
              <w:rPr>
                <w:b/>
              </w:rPr>
            </w:pPr>
            <w:r>
              <w:rPr>
                <w:b/>
              </w:rPr>
              <w:t>Women’s Experiences with Battering (WEB) Scale</w:t>
            </w:r>
          </w:p>
        </w:tc>
        <w:tc>
          <w:tcPr>
            <w:tcW w:w="1922" w:type="dxa"/>
          </w:tcPr>
          <w:p w14:paraId="585930C9" w14:textId="77777777" w:rsidR="00C92458" w:rsidRDefault="00C92458" w:rsidP="00C92458">
            <w:r>
              <w:t>Coercive control</w:t>
            </w:r>
          </w:p>
          <w:p w14:paraId="308AD59A" w14:textId="11482AC5" w:rsidR="00C92458" w:rsidRPr="008F381C" w:rsidRDefault="00C92458" w:rsidP="00C92458"/>
        </w:tc>
        <w:tc>
          <w:tcPr>
            <w:tcW w:w="1403" w:type="dxa"/>
          </w:tcPr>
          <w:p w14:paraId="59312F17" w14:textId="5073A553" w:rsidR="00C92458" w:rsidRPr="008F381C" w:rsidRDefault="00C92458" w:rsidP="00C92458">
            <w:r>
              <w:t>Victimization</w:t>
            </w:r>
          </w:p>
        </w:tc>
        <w:tc>
          <w:tcPr>
            <w:tcW w:w="981" w:type="dxa"/>
          </w:tcPr>
          <w:p w14:paraId="4EE85D65" w14:textId="2F5C43FD" w:rsidR="00C92458" w:rsidRPr="008B1388" w:rsidRDefault="00C92458" w:rsidP="00C92458">
            <w:r>
              <w:t>10</w:t>
            </w:r>
          </w:p>
        </w:tc>
        <w:tc>
          <w:tcPr>
            <w:tcW w:w="1260" w:type="dxa"/>
          </w:tcPr>
          <w:p w14:paraId="26F52991" w14:textId="1991E4F7" w:rsidR="00C92458" w:rsidRDefault="00C92458" w:rsidP="00C92458">
            <w:r>
              <w:t>2 of 2</w:t>
            </w:r>
          </w:p>
        </w:tc>
        <w:tc>
          <w:tcPr>
            <w:tcW w:w="6300" w:type="dxa"/>
          </w:tcPr>
          <w:p w14:paraId="0B44817F" w14:textId="77777777" w:rsidR="00C92458" w:rsidRPr="00656649" w:rsidRDefault="00C92458" w:rsidP="00C92458">
            <w:pPr>
              <w:pStyle w:val="ListParagraph"/>
              <w:numPr>
                <w:ilvl w:val="0"/>
                <w:numId w:val="30"/>
              </w:numPr>
              <w:ind w:left="162" w:hanging="180"/>
              <w:rPr>
                <w:rFonts w:asciiTheme="minorHAnsi" w:hAnsiTheme="minorHAnsi"/>
                <w:sz w:val="20"/>
                <w:szCs w:val="20"/>
              </w:rPr>
            </w:pPr>
            <w:r w:rsidRPr="00656649">
              <w:rPr>
                <w:rFonts w:asciiTheme="minorHAnsi" w:hAnsiTheme="minorHAnsi"/>
                <w:sz w:val="20"/>
                <w:szCs w:val="20"/>
              </w:rPr>
              <w:t xml:space="preserve">Convenience samples of women served by domestic violence programs and women not served by domestic violence programs </w:t>
            </w:r>
          </w:p>
          <w:p w14:paraId="4353D5F1" w14:textId="5D3472AB" w:rsidR="00C92458" w:rsidRPr="008B1388" w:rsidRDefault="00C92458" w:rsidP="00C92458">
            <w:pPr>
              <w:pStyle w:val="ListParagraph"/>
              <w:numPr>
                <w:ilvl w:val="0"/>
                <w:numId w:val="30"/>
              </w:numPr>
              <w:ind w:left="162" w:hanging="180"/>
            </w:pPr>
            <w:r w:rsidRPr="00656649">
              <w:rPr>
                <w:rFonts w:asciiTheme="minorHAnsi" w:hAnsiTheme="minorHAnsi"/>
                <w:sz w:val="20"/>
                <w:szCs w:val="20"/>
              </w:rPr>
              <w:t>Women 18-65 years, insured by a managed care organization or Medicaid, who had ever been in an intimate, sexual relationship with a man for &gt; 3 months</w:t>
            </w:r>
            <w:r>
              <w:t xml:space="preserve"> </w:t>
            </w:r>
          </w:p>
        </w:tc>
      </w:tr>
      <w:tr w:rsidR="00C92458" w:rsidRPr="00317750" w14:paraId="0480452B" w14:textId="77777777" w:rsidTr="00834275">
        <w:tc>
          <w:tcPr>
            <w:tcW w:w="13806" w:type="dxa"/>
            <w:gridSpan w:val="7"/>
            <w:shd w:val="clear" w:color="auto" w:fill="FDE9D9" w:themeFill="accent6" w:themeFillTint="33"/>
          </w:tcPr>
          <w:p w14:paraId="6C3D3DFF" w14:textId="26486CDB" w:rsidR="00C92458" w:rsidRPr="001A3B66" w:rsidRDefault="00C92458" w:rsidP="00C92458">
            <w:pPr>
              <w:rPr>
                <w:b/>
              </w:rPr>
            </w:pPr>
            <w:r w:rsidRPr="001A3B66">
              <w:rPr>
                <w:b/>
              </w:rPr>
              <w:t>Empirically Validated, Risk-Based Tools</w:t>
            </w:r>
          </w:p>
        </w:tc>
      </w:tr>
      <w:tr w:rsidR="00C92458" w:rsidRPr="00317750" w14:paraId="47AE61B6" w14:textId="77777777" w:rsidTr="00656649">
        <w:trPr>
          <w:gridAfter w:val="1"/>
          <w:wAfter w:w="18" w:type="dxa"/>
        </w:trPr>
        <w:tc>
          <w:tcPr>
            <w:tcW w:w="1922" w:type="dxa"/>
          </w:tcPr>
          <w:p w14:paraId="23131761" w14:textId="77777777" w:rsidR="00C92458" w:rsidRPr="00317750" w:rsidRDefault="00C92458" w:rsidP="00C92458">
            <w:pPr>
              <w:rPr>
                <w:b/>
              </w:rPr>
            </w:pPr>
            <w:r w:rsidRPr="00317750">
              <w:rPr>
                <w:b/>
              </w:rPr>
              <w:t xml:space="preserve">Chinese Risk Assessment Tool for Victims </w:t>
            </w:r>
          </w:p>
          <w:p w14:paraId="2E7499E3" w14:textId="77777777" w:rsidR="00C92458" w:rsidRPr="00317750" w:rsidRDefault="00C92458" w:rsidP="00C92458">
            <w:pPr>
              <w:rPr>
                <w:b/>
              </w:rPr>
            </w:pPr>
            <w:r w:rsidRPr="00317750">
              <w:rPr>
                <w:b/>
              </w:rPr>
              <w:t>(CRAT-V)</w:t>
            </w:r>
          </w:p>
        </w:tc>
        <w:tc>
          <w:tcPr>
            <w:tcW w:w="1922" w:type="dxa"/>
          </w:tcPr>
          <w:p w14:paraId="4A407567" w14:textId="77777777" w:rsidR="00C92458" w:rsidRPr="00317750" w:rsidRDefault="00C92458" w:rsidP="00C92458">
            <w:r w:rsidRPr="00317750">
              <w:t>Risk of any IPV</w:t>
            </w:r>
          </w:p>
        </w:tc>
        <w:tc>
          <w:tcPr>
            <w:tcW w:w="1403" w:type="dxa"/>
          </w:tcPr>
          <w:p w14:paraId="25E4C563" w14:textId="77777777" w:rsidR="00C92458" w:rsidRPr="00317750" w:rsidRDefault="00C92458" w:rsidP="00C92458">
            <w:r w:rsidRPr="00317750">
              <w:t>Victimization</w:t>
            </w:r>
          </w:p>
        </w:tc>
        <w:tc>
          <w:tcPr>
            <w:tcW w:w="981" w:type="dxa"/>
          </w:tcPr>
          <w:p w14:paraId="5475400E" w14:textId="189D7AAC" w:rsidR="00C92458" w:rsidRPr="00317750" w:rsidRDefault="00C92458" w:rsidP="00C92458">
            <w:r>
              <w:t>26</w:t>
            </w:r>
            <w:r>
              <w:rPr>
                <w:rStyle w:val="FootnoteReference"/>
              </w:rPr>
              <w:footnoteReference w:id="8"/>
            </w:r>
          </w:p>
        </w:tc>
        <w:tc>
          <w:tcPr>
            <w:tcW w:w="1260" w:type="dxa"/>
          </w:tcPr>
          <w:p w14:paraId="5EF1C8E9" w14:textId="2B030DA2" w:rsidR="00C92458" w:rsidRPr="00317750" w:rsidRDefault="00C92458" w:rsidP="00C92458">
            <w:r>
              <w:t>1 of 1</w:t>
            </w:r>
          </w:p>
        </w:tc>
        <w:tc>
          <w:tcPr>
            <w:tcW w:w="6300" w:type="dxa"/>
          </w:tcPr>
          <w:p w14:paraId="312731CD" w14:textId="577281FE" w:rsidR="00C92458" w:rsidRPr="00317750" w:rsidRDefault="00C92458" w:rsidP="00C92458">
            <w:r w:rsidRPr="00317750">
              <w:t>Women of Chinese ethnicity &gt; 16 years old, married or cohabiting, and able to speak Cantonese, Mandarin, or English</w:t>
            </w:r>
          </w:p>
        </w:tc>
      </w:tr>
      <w:tr w:rsidR="00C92458" w:rsidRPr="00317750" w14:paraId="00735C01" w14:textId="77777777" w:rsidTr="00656649">
        <w:trPr>
          <w:gridAfter w:val="1"/>
          <w:wAfter w:w="18" w:type="dxa"/>
        </w:trPr>
        <w:tc>
          <w:tcPr>
            <w:tcW w:w="1922" w:type="dxa"/>
          </w:tcPr>
          <w:p w14:paraId="07E74D9A" w14:textId="77777777" w:rsidR="00C92458" w:rsidRPr="00317750" w:rsidRDefault="00C92458" w:rsidP="00C92458">
            <w:pPr>
              <w:autoSpaceDE w:val="0"/>
              <w:autoSpaceDN w:val="0"/>
              <w:adjustRightInd w:val="0"/>
              <w:rPr>
                <w:rFonts w:ascii="Courier New" w:hAnsi="Courier New" w:cs="Courier New"/>
                <w:b/>
              </w:rPr>
            </w:pPr>
            <w:r w:rsidRPr="00317750">
              <w:rPr>
                <w:rFonts w:ascii="Calibri" w:hAnsi="Calibri" w:cs="Calibri"/>
                <w:b/>
              </w:rPr>
              <w:t>Chinese Risk Assessment Tool for Perpetrators (CRAT-P)</w:t>
            </w:r>
          </w:p>
        </w:tc>
        <w:tc>
          <w:tcPr>
            <w:tcW w:w="1922" w:type="dxa"/>
          </w:tcPr>
          <w:p w14:paraId="4F98AF30" w14:textId="77777777" w:rsidR="00C92458" w:rsidRPr="00317750" w:rsidRDefault="00C92458" w:rsidP="00C92458">
            <w:r w:rsidRPr="00317750">
              <w:t>Risk of any IPV</w:t>
            </w:r>
          </w:p>
        </w:tc>
        <w:tc>
          <w:tcPr>
            <w:tcW w:w="1403" w:type="dxa"/>
          </w:tcPr>
          <w:p w14:paraId="2F859EA7" w14:textId="77777777" w:rsidR="00C92458" w:rsidRPr="00317750" w:rsidRDefault="00C92458" w:rsidP="00C92458">
            <w:r w:rsidRPr="00317750">
              <w:t>Perpetration</w:t>
            </w:r>
          </w:p>
        </w:tc>
        <w:tc>
          <w:tcPr>
            <w:tcW w:w="981" w:type="dxa"/>
          </w:tcPr>
          <w:p w14:paraId="34243AD2" w14:textId="6C77C750" w:rsidR="00C92458" w:rsidRPr="00317750" w:rsidRDefault="00C92458" w:rsidP="00C92458">
            <w:r w:rsidRPr="00317750">
              <w:t>3</w:t>
            </w:r>
            <w:r>
              <w:t>5</w:t>
            </w:r>
            <w:r>
              <w:rPr>
                <w:rStyle w:val="FootnoteReference"/>
              </w:rPr>
              <w:footnoteReference w:id="9"/>
            </w:r>
          </w:p>
        </w:tc>
        <w:tc>
          <w:tcPr>
            <w:tcW w:w="1260" w:type="dxa"/>
          </w:tcPr>
          <w:p w14:paraId="57E73905" w14:textId="2F2EC72F" w:rsidR="00C92458" w:rsidRPr="00317750" w:rsidRDefault="00C92458" w:rsidP="00C92458">
            <w:r>
              <w:t>1 of 1</w:t>
            </w:r>
          </w:p>
        </w:tc>
        <w:tc>
          <w:tcPr>
            <w:tcW w:w="6300" w:type="dxa"/>
          </w:tcPr>
          <w:p w14:paraId="6CF14F12" w14:textId="7CB5721A" w:rsidR="00C92458" w:rsidRPr="00317750" w:rsidRDefault="00C92458" w:rsidP="00C92458">
            <w:r w:rsidRPr="00317750">
              <w:t>Men of Chinese ethnicity &gt; 16 years old, married or cohabiting, and able to speak Cantonese, Putonghua, or English</w:t>
            </w:r>
          </w:p>
        </w:tc>
      </w:tr>
      <w:tr w:rsidR="00C92458" w:rsidRPr="008B1388" w14:paraId="05A05D78" w14:textId="77777777" w:rsidTr="00656649">
        <w:trPr>
          <w:gridAfter w:val="1"/>
          <w:wAfter w:w="18" w:type="dxa"/>
        </w:trPr>
        <w:tc>
          <w:tcPr>
            <w:tcW w:w="1922" w:type="dxa"/>
          </w:tcPr>
          <w:p w14:paraId="6A3DB7C3" w14:textId="77777777" w:rsidR="00C92458" w:rsidRPr="008B1388" w:rsidRDefault="00D53F96" w:rsidP="00C92458">
            <w:pPr>
              <w:rPr>
                <w:b/>
              </w:rPr>
            </w:pPr>
            <w:hyperlink r:id="rId12" w:history="1">
              <w:r w:rsidR="00C92458" w:rsidRPr="008B1388">
                <w:rPr>
                  <w:b/>
                </w:rPr>
                <w:t>Domestic Violence Screening Instrument – Revised (DVSI-R)</w:t>
              </w:r>
            </w:hyperlink>
          </w:p>
        </w:tc>
        <w:tc>
          <w:tcPr>
            <w:tcW w:w="1922" w:type="dxa"/>
          </w:tcPr>
          <w:p w14:paraId="5CBF9146" w14:textId="77777777" w:rsidR="00C92458" w:rsidRPr="008F381C" w:rsidRDefault="00C92458" w:rsidP="00C92458">
            <w:r w:rsidRPr="008F381C">
              <w:t>Risk of any IPV</w:t>
            </w:r>
          </w:p>
        </w:tc>
        <w:tc>
          <w:tcPr>
            <w:tcW w:w="1403" w:type="dxa"/>
          </w:tcPr>
          <w:p w14:paraId="3C3517AD" w14:textId="77777777" w:rsidR="00C92458" w:rsidRPr="008F381C" w:rsidRDefault="00C92458" w:rsidP="00C92458">
            <w:r w:rsidRPr="008F381C">
              <w:t>Perpetration</w:t>
            </w:r>
          </w:p>
        </w:tc>
        <w:tc>
          <w:tcPr>
            <w:tcW w:w="981" w:type="dxa"/>
          </w:tcPr>
          <w:p w14:paraId="5BDA1B3E" w14:textId="77777777" w:rsidR="00C92458" w:rsidRPr="0026546D" w:rsidRDefault="00C92458" w:rsidP="00C92458">
            <w:r w:rsidRPr="0026546D">
              <w:t>11</w:t>
            </w:r>
          </w:p>
        </w:tc>
        <w:tc>
          <w:tcPr>
            <w:tcW w:w="1260" w:type="dxa"/>
          </w:tcPr>
          <w:p w14:paraId="340B991A" w14:textId="309C2CEB" w:rsidR="00C92458" w:rsidRPr="006D4E33" w:rsidRDefault="00C92458" w:rsidP="00C92458">
            <w:r>
              <w:t>1 of 1</w:t>
            </w:r>
          </w:p>
        </w:tc>
        <w:tc>
          <w:tcPr>
            <w:tcW w:w="6300" w:type="dxa"/>
          </w:tcPr>
          <w:p w14:paraId="5953F9BB" w14:textId="5C834C1B" w:rsidR="00C92458" w:rsidRPr="006D4E33" w:rsidRDefault="00C92458" w:rsidP="00C92458">
            <w:r w:rsidRPr="006D4E33">
              <w:t>Persons &gt; 16 years old convicted of any family violence</w:t>
            </w:r>
          </w:p>
        </w:tc>
      </w:tr>
      <w:tr w:rsidR="00C92458" w:rsidRPr="008B1388" w14:paraId="4D50C4C4" w14:textId="77777777" w:rsidTr="00051AE2">
        <w:trPr>
          <w:gridAfter w:val="1"/>
          <w:wAfter w:w="18" w:type="dxa"/>
        </w:trPr>
        <w:tc>
          <w:tcPr>
            <w:tcW w:w="1922" w:type="dxa"/>
          </w:tcPr>
          <w:p w14:paraId="2A99BC08" w14:textId="62E4A35A" w:rsidR="00C92458" w:rsidRDefault="00C92458" w:rsidP="00C92458">
            <w:r>
              <w:rPr>
                <w:b/>
              </w:rPr>
              <w:t xml:space="preserve">Unnamed </w:t>
            </w:r>
            <w:r w:rsidRPr="008B1388">
              <w:rPr>
                <w:b/>
              </w:rPr>
              <w:t>Datner</w:t>
            </w:r>
            <w:r>
              <w:rPr>
                <w:b/>
              </w:rPr>
              <w:t xml:space="preserve"> (2007) Risk</w:t>
            </w:r>
            <w:r w:rsidRPr="008B1388">
              <w:rPr>
                <w:b/>
              </w:rPr>
              <w:t xml:space="preserve"> </w:t>
            </w:r>
            <w:r>
              <w:rPr>
                <w:b/>
              </w:rPr>
              <w:t>Measure</w:t>
            </w:r>
          </w:p>
        </w:tc>
        <w:tc>
          <w:tcPr>
            <w:tcW w:w="1922" w:type="dxa"/>
          </w:tcPr>
          <w:p w14:paraId="66CF57FE" w14:textId="5D715C6F" w:rsidR="00C92458" w:rsidRPr="008F381C" w:rsidRDefault="00C92458" w:rsidP="00C92458">
            <w:r w:rsidRPr="008B1388">
              <w:t>Physical violence</w:t>
            </w:r>
          </w:p>
        </w:tc>
        <w:tc>
          <w:tcPr>
            <w:tcW w:w="1403" w:type="dxa"/>
          </w:tcPr>
          <w:p w14:paraId="3B6FAA5A" w14:textId="60F4066F" w:rsidR="00C92458" w:rsidRPr="008F381C" w:rsidRDefault="00C92458" w:rsidP="00C92458">
            <w:r w:rsidRPr="008B1388">
              <w:t>Victimization</w:t>
            </w:r>
          </w:p>
        </w:tc>
        <w:tc>
          <w:tcPr>
            <w:tcW w:w="981" w:type="dxa"/>
          </w:tcPr>
          <w:p w14:paraId="45E71AEF" w14:textId="0CA7B0AF" w:rsidR="00C92458" w:rsidRPr="0026546D" w:rsidRDefault="00C92458" w:rsidP="00C92458">
            <w:r>
              <w:t>5</w:t>
            </w:r>
          </w:p>
        </w:tc>
        <w:tc>
          <w:tcPr>
            <w:tcW w:w="1260" w:type="dxa"/>
          </w:tcPr>
          <w:p w14:paraId="4E010D4D" w14:textId="1831F3AE" w:rsidR="00C92458" w:rsidRDefault="00C92458" w:rsidP="00C92458">
            <w:r>
              <w:t>1 of 1</w:t>
            </w:r>
          </w:p>
        </w:tc>
        <w:tc>
          <w:tcPr>
            <w:tcW w:w="6300" w:type="dxa"/>
          </w:tcPr>
          <w:p w14:paraId="196831F2" w14:textId="4F5E2656" w:rsidR="00C92458" w:rsidRPr="006D4E33" w:rsidRDefault="00C92458" w:rsidP="00C92458">
            <w:r w:rsidRPr="008B1388">
              <w:t>Pregnant teens and pregnant adult women</w:t>
            </w:r>
          </w:p>
        </w:tc>
      </w:tr>
    </w:tbl>
    <w:p w14:paraId="0423CFC8" w14:textId="4F391C6F" w:rsidR="009162D6" w:rsidRDefault="009162D6"/>
    <w:p w14:paraId="2C622C45" w14:textId="77777777" w:rsidR="00866DA9" w:rsidRDefault="00866DA9"/>
    <w:tbl>
      <w:tblPr>
        <w:tblStyle w:val="TableGrid"/>
        <w:tblW w:w="14256" w:type="dxa"/>
        <w:tblInd w:w="-113" w:type="dxa"/>
        <w:tblLayout w:type="fixed"/>
        <w:tblLook w:val="04A0" w:firstRow="1" w:lastRow="0" w:firstColumn="1" w:lastColumn="0" w:noHBand="0" w:noVBand="1"/>
      </w:tblPr>
      <w:tblGrid>
        <w:gridCol w:w="1922"/>
        <w:gridCol w:w="1922"/>
        <w:gridCol w:w="1403"/>
        <w:gridCol w:w="981"/>
        <w:gridCol w:w="1260"/>
        <w:gridCol w:w="6750"/>
        <w:gridCol w:w="18"/>
      </w:tblGrid>
      <w:tr w:rsidR="00EC57CF" w:rsidRPr="00317750" w14:paraId="018FCF25" w14:textId="77777777" w:rsidTr="00866DA9">
        <w:tc>
          <w:tcPr>
            <w:tcW w:w="14256" w:type="dxa"/>
            <w:gridSpan w:val="7"/>
            <w:shd w:val="clear" w:color="auto" w:fill="FBD4B4" w:themeFill="accent6" w:themeFillTint="66"/>
          </w:tcPr>
          <w:p w14:paraId="649D4C95" w14:textId="25EBE487" w:rsidR="00EC57CF" w:rsidRPr="001A3B66" w:rsidRDefault="00866DA9" w:rsidP="00866DA9">
            <w:pPr>
              <w:jc w:val="center"/>
              <w:rPr>
                <w:b/>
              </w:rPr>
            </w:pPr>
            <w:r>
              <w:rPr>
                <w:b/>
                <w:sz w:val="24"/>
                <w:szCs w:val="24"/>
              </w:rPr>
              <w:t xml:space="preserve">Other Published, </w:t>
            </w:r>
            <w:r w:rsidR="00EC57CF" w:rsidRPr="00866DA9">
              <w:rPr>
                <w:b/>
                <w:sz w:val="24"/>
                <w:szCs w:val="24"/>
              </w:rPr>
              <w:t xml:space="preserve">Non-Validated Tools Tested with </w:t>
            </w:r>
            <w:r>
              <w:rPr>
                <w:b/>
                <w:sz w:val="24"/>
                <w:szCs w:val="24"/>
              </w:rPr>
              <w:t>Youth</w:t>
            </w:r>
          </w:p>
        </w:tc>
      </w:tr>
      <w:tr w:rsidR="00B038A8" w:rsidRPr="00317750" w14:paraId="75A7F872" w14:textId="77777777" w:rsidTr="00866DA9">
        <w:trPr>
          <w:gridAfter w:val="1"/>
          <w:wAfter w:w="18" w:type="dxa"/>
          <w:trHeight w:val="512"/>
        </w:trPr>
        <w:tc>
          <w:tcPr>
            <w:tcW w:w="1922" w:type="dxa"/>
            <w:shd w:val="clear" w:color="auto" w:fill="FBD4B4" w:themeFill="accent6" w:themeFillTint="66"/>
          </w:tcPr>
          <w:p w14:paraId="153FF3E1" w14:textId="645FF97B" w:rsidR="00B038A8" w:rsidRPr="00317750" w:rsidRDefault="00B038A8" w:rsidP="00866DA9">
            <w:pPr>
              <w:jc w:val="center"/>
              <w:rPr>
                <w:b/>
              </w:rPr>
            </w:pPr>
            <w:r w:rsidRPr="008F381C">
              <w:rPr>
                <w:b/>
              </w:rPr>
              <w:t>TOOL</w:t>
            </w:r>
          </w:p>
        </w:tc>
        <w:tc>
          <w:tcPr>
            <w:tcW w:w="1922" w:type="dxa"/>
            <w:shd w:val="clear" w:color="auto" w:fill="FBD4B4" w:themeFill="accent6" w:themeFillTint="66"/>
          </w:tcPr>
          <w:p w14:paraId="517BBD01" w14:textId="50F2CF5B" w:rsidR="00B038A8" w:rsidRPr="00317750" w:rsidRDefault="00B038A8" w:rsidP="00866DA9">
            <w:pPr>
              <w:jc w:val="center"/>
            </w:pPr>
            <w:r w:rsidRPr="008F381C">
              <w:rPr>
                <w:b/>
              </w:rPr>
              <w:t>FORM(S) OF IPV MEASURED</w:t>
            </w:r>
          </w:p>
        </w:tc>
        <w:tc>
          <w:tcPr>
            <w:tcW w:w="1403" w:type="dxa"/>
            <w:shd w:val="clear" w:color="auto" w:fill="FBD4B4" w:themeFill="accent6" w:themeFillTint="66"/>
          </w:tcPr>
          <w:p w14:paraId="130EA708" w14:textId="0E09B093" w:rsidR="00B038A8" w:rsidRPr="00317750" w:rsidRDefault="00B038A8" w:rsidP="00866DA9">
            <w:pPr>
              <w:jc w:val="center"/>
            </w:pPr>
            <w:r w:rsidRPr="006D4E33">
              <w:rPr>
                <w:b/>
              </w:rPr>
              <w:t>FOCUS</w:t>
            </w:r>
          </w:p>
        </w:tc>
        <w:tc>
          <w:tcPr>
            <w:tcW w:w="981" w:type="dxa"/>
            <w:shd w:val="clear" w:color="auto" w:fill="FBD4B4" w:themeFill="accent6" w:themeFillTint="66"/>
          </w:tcPr>
          <w:p w14:paraId="342AA550" w14:textId="24C7BB11" w:rsidR="00B038A8" w:rsidRPr="00317750" w:rsidRDefault="00B038A8" w:rsidP="00866DA9">
            <w:pPr>
              <w:jc w:val="center"/>
            </w:pPr>
            <w:r w:rsidRPr="006D4E33">
              <w:rPr>
                <w:b/>
              </w:rPr>
              <w:t># OF ITEMS</w:t>
            </w:r>
          </w:p>
        </w:tc>
        <w:tc>
          <w:tcPr>
            <w:tcW w:w="1260" w:type="dxa"/>
            <w:shd w:val="clear" w:color="auto" w:fill="FBD4B4" w:themeFill="accent6" w:themeFillTint="66"/>
          </w:tcPr>
          <w:p w14:paraId="6A820BE0" w14:textId="18A2B8E7" w:rsidR="00B038A8" w:rsidRDefault="00B038A8" w:rsidP="00866DA9">
            <w:pPr>
              <w:jc w:val="center"/>
              <w:rPr>
                <w:b/>
              </w:rPr>
            </w:pPr>
            <w:r>
              <w:rPr>
                <w:b/>
              </w:rPr>
              <w:t>STUDIES</w:t>
            </w:r>
            <w:r>
              <w:rPr>
                <w:rStyle w:val="FootnoteReference"/>
                <w:b/>
              </w:rPr>
              <w:footnoteReference w:id="10"/>
            </w:r>
          </w:p>
        </w:tc>
        <w:tc>
          <w:tcPr>
            <w:tcW w:w="6750" w:type="dxa"/>
            <w:shd w:val="clear" w:color="auto" w:fill="FBD4B4" w:themeFill="accent6" w:themeFillTint="66"/>
          </w:tcPr>
          <w:p w14:paraId="6314CBDF" w14:textId="2DBFAA82" w:rsidR="00B038A8" w:rsidRDefault="00866DA9" w:rsidP="00866DA9">
            <w:pPr>
              <w:jc w:val="center"/>
            </w:pPr>
            <w:r>
              <w:rPr>
                <w:b/>
              </w:rPr>
              <w:t>POPULATION(S) WITH WHICH TESTED</w:t>
            </w:r>
          </w:p>
        </w:tc>
      </w:tr>
      <w:tr w:rsidR="00FA250F" w:rsidRPr="00317750" w14:paraId="5FEA18EA" w14:textId="77777777" w:rsidTr="00221D6D">
        <w:trPr>
          <w:gridAfter w:val="1"/>
          <w:wAfter w:w="18" w:type="dxa"/>
        </w:trPr>
        <w:tc>
          <w:tcPr>
            <w:tcW w:w="1922" w:type="dxa"/>
          </w:tcPr>
          <w:p w14:paraId="5769426A" w14:textId="5F35755F" w:rsidR="00FA250F" w:rsidRPr="00317750" w:rsidRDefault="00FA250F" w:rsidP="00FA250F">
            <w:pPr>
              <w:rPr>
                <w:b/>
              </w:rPr>
            </w:pPr>
            <w:r>
              <w:rPr>
                <w:b/>
              </w:rPr>
              <w:t>Abuse Assessment Screen</w:t>
            </w:r>
            <w:r w:rsidR="008C390E">
              <w:rPr>
                <w:b/>
              </w:rPr>
              <w:t xml:space="preserve"> </w:t>
            </w:r>
            <w:r w:rsidR="00113F2E">
              <w:rPr>
                <w:b/>
              </w:rPr>
              <w:t>Adaptations</w:t>
            </w:r>
          </w:p>
        </w:tc>
        <w:tc>
          <w:tcPr>
            <w:tcW w:w="1922" w:type="dxa"/>
          </w:tcPr>
          <w:p w14:paraId="7A4E9738" w14:textId="77777777" w:rsidR="00B85785" w:rsidRDefault="00FA250F" w:rsidP="00FA250F">
            <w:r>
              <w:t xml:space="preserve">Physical </w:t>
            </w:r>
            <w:r w:rsidR="00B85785">
              <w:t xml:space="preserve">violence </w:t>
            </w:r>
          </w:p>
          <w:p w14:paraId="5CA3C671" w14:textId="77777777" w:rsidR="00FA250F" w:rsidRDefault="00B85785" w:rsidP="00FA250F">
            <w:r>
              <w:t>S</w:t>
            </w:r>
            <w:r w:rsidR="00FA250F">
              <w:t xml:space="preserve">exual </w:t>
            </w:r>
            <w:r>
              <w:t>violence</w:t>
            </w:r>
          </w:p>
          <w:p w14:paraId="7C25B3A5" w14:textId="1DE20F96" w:rsidR="00C121BE" w:rsidRPr="00317750" w:rsidRDefault="00C121BE" w:rsidP="00FA250F">
            <w:r>
              <w:t>(Fear)</w:t>
            </w:r>
          </w:p>
        </w:tc>
        <w:tc>
          <w:tcPr>
            <w:tcW w:w="1403" w:type="dxa"/>
          </w:tcPr>
          <w:p w14:paraId="4D69CAA9" w14:textId="7DD5A8E2" w:rsidR="00FA250F" w:rsidRPr="00317750" w:rsidRDefault="00FA250F" w:rsidP="00FA250F">
            <w:r>
              <w:t>Victimization</w:t>
            </w:r>
          </w:p>
        </w:tc>
        <w:tc>
          <w:tcPr>
            <w:tcW w:w="981" w:type="dxa"/>
          </w:tcPr>
          <w:p w14:paraId="42D0A8B3" w14:textId="77777777" w:rsidR="00FA250F" w:rsidRDefault="00FA250F" w:rsidP="00FA250F">
            <w:r>
              <w:t>3</w:t>
            </w:r>
          </w:p>
          <w:p w14:paraId="3728F7DD" w14:textId="29ED1F60" w:rsidR="00FA250F" w:rsidRDefault="00FA250F" w:rsidP="00FA250F"/>
          <w:p w14:paraId="08D96B7D" w14:textId="73A130CD" w:rsidR="00FA250F" w:rsidRDefault="00FA250F" w:rsidP="00FA250F"/>
          <w:p w14:paraId="09DA0F34" w14:textId="01B5147E" w:rsidR="00FA250F" w:rsidRDefault="00FA250F" w:rsidP="00FA250F">
            <w:r>
              <w:t>3</w:t>
            </w:r>
          </w:p>
          <w:p w14:paraId="48CEF8FA" w14:textId="77777777" w:rsidR="00FA250F" w:rsidRDefault="00FA250F" w:rsidP="00FA250F"/>
          <w:p w14:paraId="7AE72BB2" w14:textId="77777777" w:rsidR="008C390E" w:rsidRDefault="008C390E" w:rsidP="00FA250F"/>
          <w:p w14:paraId="6E9089D6" w14:textId="56439CE7" w:rsidR="00FA250F" w:rsidRPr="00317750" w:rsidRDefault="00FA250F" w:rsidP="00FA250F">
            <w:r>
              <w:t>1</w:t>
            </w:r>
          </w:p>
        </w:tc>
        <w:tc>
          <w:tcPr>
            <w:tcW w:w="1260" w:type="dxa"/>
          </w:tcPr>
          <w:p w14:paraId="2D4C558F" w14:textId="009B30F2" w:rsidR="00FA250F" w:rsidRDefault="00113F2E" w:rsidP="00FA250F">
            <w:r>
              <w:t>NA</w:t>
            </w:r>
          </w:p>
          <w:p w14:paraId="7B2EFCEA" w14:textId="77777777" w:rsidR="00FA250F" w:rsidRDefault="00FA250F" w:rsidP="00FA250F"/>
          <w:p w14:paraId="38A62630" w14:textId="77777777" w:rsidR="00FA250F" w:rsidRDefault="00FA250F" w:rsidP="00FA250F"/>
          <w:p w14:paraId="4E1990F5" w14:textId="60E05449" w:rsidR="00FA250F" w:rsidRDefault="00113F2E" w:rsidP="00FA250F">
            <w:r>
              <w:t>NA</w:t>
            </w:r>
          </w:p>
          <w:p w14:paraId="6CB2B073" w14:textId="77777777" w:rsidR="00FA250F" w:rsidRDefault="00FA250F" w:rsidP="00FA250F"/>
          <w:p w14:paraId="38F4F11A" w14:textId="77777777" w:rsidR="008C390E" w:rsidRDefault="008C390E" w:rsidP="00FA250F"/>
          <w:p w14:paraId="3A04CBC8" w14:textId="6AAF8F57" w:rsidR="00FA250F" w:rsidRDefault="00113F2E" w:rsidP="00FA250F">
            <w:r>
              <w:t>NA</w:t>
            </w:r>
          </w:p>
        </w:tc>
        <w:tc>
          <w:tcPr>
            <w:tcW w:w="6750" w:type="dxa"/>
          </w:tcPr>
          <w:p w14:paraId="1D49D0F0" w14:textId="4341057B" w:rsidR="00FA250F" w:rsidRDefault="00FA250F" w:rsidP="00FA250F">
            <w:r>
              <w:t>English-speaking mothers younger than 18</w:t>
            </w:r>
            <w:r w:rsidR="008C390E">
              <w:t xml:space="preserve"> at conception</w:t>
            </w:r>
            <w:r>
              <w:t xml:space="preserve"> who delivered a live infant and presented to the postpartum unit </w:t>
            </w:r>
            <w:r w:rsidR="008C390E">
              <w:t>at the</w:t>
            </w:r>
            <w:r>
              <w:t xml:space="preserve"> University</w:t>
            </w:r>
            <w:r w:rsidR="008C390E">
              <w:t xml:space="preserve"> of Pennsylvania M</w:t>
            </w:r>
            <w:r>
              <w:t>edica</w:t>
            </w:r>
            <w:r w:rsidR="008C390E">
              <w:t>l C</w:t>
            </w:r>
            <w:r>
              <w:t>enter (Harner, 2004)</w:t>
            </w:r>
          </w:p>
          <w:p w14:paraId="553DB7F1" w14:textId="142C68F1" w:rsidR="00FA250F" w:rsidRDefault="008C390E" w:rsidP="00FA250F">
            <w:r>
              <w:t>Mothers 18 or younger who delivered a healthy infant at the University of Texas Medical Branch—Galveston (Harrykissoon et al., 2002; Wiemann et al., 2000)</w:t>
            </w:r>
          </w:p>
          <w:p w14:paraId="650A8701" w14:textId="16917A4C" w:rsidR="00FA250F" w:rsidRPr="00317750" w:rsidRDefault="00FA250F" w:rsidP="00FA250F">
            <w:r>
              <w:t>Medicaid-eligible women between ages 13 and 40 who initiated maternity care coordination services in a county health department in North Carolina (Covington et al., 1997; 2001)</w:t>
            </w:r>
          </w:p>
        </w:tc>
      </w:tr>
      <w:tr w:rsidR="00B85785" w:rsidRPr="00317750" w14:paraId="061EBC9D" w14:textId="77777777" w:rsidTr="00221D6D">
        <w:trPr>
          <w:gridAfter w:val="1"/>
          <w:wAfter w:w="18" w:type="dxa"/>
        </w:trPr>
        <w:tc>
          <w:tcPr>
            <w:tcW w:w="1922" w:type="dxa"/>
          </w:tcPr>
          <w:p w14:paraId="589B1312" w14:textId="105D8F79" w:rsidR="00B85785" w:rsidRPr="00317750" w:rsidRDefault="00B85785" w:rsidP="00FA250F">
            <w:pPr>
              <w:rPr>
                <w:b/>
              </w:rPr>
            </w:pPr>
            <w:r>
              <w:rPr>
                <w:b/>
              </w:rPr>
              <w:t>Add Health Measure</w:t>
            </w:r>
            <w:r w:rsidR="00201176">
              <w:rPr>
                <w:b/>
              </w:rPr>
              <w:t xml:space="preserve"> (adapted from Conflict Tactics Scales)</w:t>
            </w:r>
          </w:p>
        </w:tc>
        <w:tc>
          <w:tcPr>
            <w:tcW w:w="1922" w:type="dxa"/>
          </w:tcPr>
          <w:p w14:paraId="5AA7A946" w14:textId="77777777" w:rsidR="00B85785" w:rsidRDefault="00E33465" w:rsidP="00FA250F">
            <w:r>
              <w:t>Physical violence</w:t>
            </w:r>
          </w:p>
          <w:p w14:paraId="503782AA" w14:textId="30117A1C" w:rsidR="00E33465" w:rsidRPr="00317750" w:rsidRDefault="00E33465" w:rsidP="00FA250F">
            <w:r>
              <w:t>Emotional abuse</w:t>
            </w:r>
          </w:p>
        </w:tc>
        <w:tc>
          <w:tcPr>
            <w:tcW w:w="1403" w:type="dxa"/>
          </w:tcPr>
          <w:p w14:paraId="7C9C8786" w14:textId="6ECF21CA" w:rsidR="00B85785" w:rsidRPr="00317750" w:rsidRDefault="00B85785" w:rsidP="00FA250F">
            <w:r>
              <w:t>Victimization</w:t>
            </w:r>
          </w:p>
        </w:tc>
        <w:tc>
          <w:tcPr>
            <w:tcW w:w="981" w:type="dxa"/>
          </w:tcPr>
          <w:p w14:paraId="1C0822BB" w14:textId="1C9941AB" w:rsidR="00B85785" w:rsidRPr="00317750" w:rsidRDefault="00B85785" w:rsidP="00FA250F">
            <w:r>
              <w:t>5</w:t>
            </w:r>
          </w:p>
        </w:tc>
        <w:tc>
          <w:tcPr>
            <w:tcW w:w="1260" w:type="dxa"/>
          </w:tcPr>
          <w:p w14:paraId="7F292DEE" w14:textId="342A20EB" w:rsidR="00B85785" w:rsidRDefault="00113F2E" w:rsidP="00FA250F">
            <w:r>
              <w:t>NA</w:t>
            </w:r>
          </w:p>
        </w:tc>
        <w:tc>
          <w:tcPr>
            <w:tcW w:w="6750" w:type="dxa"/>
          </w:tcPr>
          <w:p w14:paraId="69D40708" w14:textId="68737F44" w:rsidR="00B85785" w:rsidRPr="00317750" w:rsidRDefault="00B85785" w:rsidP="00FA250F">
            <w:r>
              <w:t>Nationally representative sample of adolescents in school, aged 11 to 21</w:t>
            </w:r>
          </w:p>
        </w:tc>
      </w:tr>
      <w:tr w:rsidR="007E5FF2" w14:paraId="6378A93D" w14:textId="77777777" w:rsidTr="0092560A">
        <w:trPr>
          <w:gridAfter w:val="1"/>
          <w:wAfter w:w="18" w:type="dxa"/>
          <w:trHeight w:val="341"/>
        </w:trPr>
        <w:tc>
          <w:tcPr>
            <w:tcW w:w="1922" w:type="dxa"/>
          </w:tcPr>
          <w:p w14:paraId="3318BE84" w14:textId="77777777" w:rsidR="007E5FF2" w:rsidRDefault="007E5FF2" w:rsidP="0092560A">
            <w:pPr>
              <w:rPr>
                <w:b/>
                <w:bCs/>
              </w:rPr>
            </w:pPr>
            <w:r>
              <w:rPr>
                <w:b/>
                <w:bCs/>
              </w:rPr>
              <w:t>Attitudes Toward Dating Violence (AMDV)</w:t>
            </w:r>
          </w:p>
        </w:tc>
        <w:tc>
          <w:tcPr>
            <w:tcW w:w="1922" w:type="dxa"/>
          </w:tcPr>
          <w:p w14:paraId="57519788" w14:textId="77777777" w:rsidR="007E5FF2" w:rsidRPr="008F381C" w:rsidRDefault="007E5FF2" w:rsidP="0092560A">
            <w:r w:rsidRPr="00317750">
              <w:t xml:space="preserve">Physical violence Emotional abuse Sexual violence </w:t>
            </w:r>
          </w:p>
        </w:tc>
        <w:tc>
          <w:tcPr>
            <w:tcW w:w="1403" w:type="dxa"/>
          </w:tcPr>
          <w:p w14:paraId="702F247B" w14:textId="77777777" w:rsidR="007E5FF2" w:rsidRDefault="007E5FF2" w:rsidP="0092560A"/>
        </w:tc>
        <w:tc>
          <w:tcPr>
            <w:tcW w:w="981" w:type="dxa"/>
          </w:tcPr>
          <w:p w14:paraId="5B9767FC" w14:textId="77777777" w:rsidR="007E5FF2" w:rsidRDefault="007E5FF2" w:rsidP="0092560A">
            <w:r>
              <w:t>76</w:t>
            </w:r>
          </w:p>
        </w:tc>
        <w:tc>
          <w:tcPr>
            <w:tcW w:w="1260" w:type="dxa"/>
          </w:tcPr>
          <w:p w14:paraId="5A7D1E90" w14:textId="77777777" w:rsidR="007E5FF2" w:rsidRDefault="007E5FF2" w:rsidP="0092560A">
            <w:r>
              <w:t>2</w:t>
            </w:r>
          </w:p>
        </w:tc>
        <w:tc>
          <w:tcPr>
            <w:tcW w:w="6750" w:type="dxa"/>
          </w:tcPr>
          <w:p w14:paraId="0D0A695C" w14:textId="77777777" w:rsidR="007E5FF2" w:rsidRDefault="007E5FF2" w:rsidP="0092560A">
            <w:r>
              <w:t xml:space="preserve">High school students, Canada and Mexico </w:t>
            </w:r>
          </w:p>
        </w:tc>
      </w:tr>
      <w:tr w:rsidR="007E5FF2" w14:paraId="4BD6BA70" w14:textId="77777777" w:rsidTr="0092560A">
        <w:trPr>
          <w:gridAfter w:val="1"/>
          <w:wAfter w:w="18" w:type="dxa"/>
          <w:trHeight w:val="341"/>
        </w:trPr>
        <w:tc>
          <w:tcPr>
            <w:tcW w:w="1922" w:type="dxa"/>
          </w:tcPr>
          <w:p w14:paraId="2701798E" w14:textId="77777777" w:rsidR="007E5FF2" w:rsidRDefault="007E5FF2" w:rsidP="0092560A">
            <w:pPr>
              <w:rPr>
                <w:b/>
                <w:bCs/>
              </w:rPr>
            </w:pPr>
            <w:r>
              <w:rPr>
                <w:b/>
                <w:bCs/>
              </w:rPr>
              <w:t>Attitudes about Aggression in Dating Situations (AADS)</w:t>
            </w:r>
          </w:p>
        </w:tc>
        <w:tc>
          <w:tcPr>
            <w:tcW w:w="1922" w:type="dxa"/>
          </w:tcPr>
          <w:p w14:paraId="7EA101BE" w14:textId="77777777" w:rsidR="007E5FF2" w:rsidRPr="008F381C" w:rsidRDefault="007E5FF2" w:rsidP="0092560A">
            <w:r>
              <w:t>Physical violence</w:t>
            </w:r>
          </w:p>
        </w:tc>
        <w:tc>
          <w:tcPr>
            <w:tcW w:w="1403" w:type="dxa"/>
          </w:tcPr>
          <w:p w14:paraId="01CCC8F8" w14:textId="77777777" w:rsidR="007E5FF2" w:rsidRDefault="007E5FF2" w:rsidP="0092560A">
            <w:r>
              <w:t>Perpetration</w:t>
            </w:r>
          </w:p>
        </w:tc>
        <w:tc>
          <w:tcPr>
            <w:tcW w:w="981" w:type="dxa"/>
          </w:tcPr>
          <w:p w14:paraId="284677C9" w14:textId="77777777" w:rsidR="007E5FF2" w:rsidRDefault="007E5FF2" w:rsidP="0092560A">
            <w:r>
              <w:t>12</w:t>
            </w:r>
          </w:p>
        </w:tc>
        <w:tc>
          <w:tcPr>
            <w:tcW w:w="1260" w:type="dxa"/>
          </w:tcPr>
          <w:p w14:paraId="326E1B83" w14:textId="77777777" w:rsidR="007E5FF2" w:rsidRDefault="007E5FF2" w:rsidP="0092560A">
            <w:r>
              <w:t>2</w:t>
            </w:r>
          </w:p>
        </w:tc>
        <w:tc>
          <w:tcPr>
            <w:tcW w:w="6750" w:type="dxa"/>
          </w:tcPr>
          <w:p w14:paraId="452231A1" w14:textId="67139D7C" w:rsidR="007E5FF2" w:rsidRDefault="007E5FF2" w:rsidP="0092560A">
            <w:r>
              <w:t>High school students, NY and Spain</w:t>
            </w:r>
            <w:r w:rsidR="00DA481D">
              <w:t xml:space="preserve"> (Slep et al 2001)</w:t>
            </w:r>
          </w:p>
        </w:tc>
      </w:tr>
      <w:tr w:rsidR="00FA250F" w:rsidRPr="00317750" w14:paraId="0FC8CD33" w14:textId="77777777" w:rsidTr="00221D6D">
        <w:trPr>
          <w:gridAfter w:val="1"/>
          <w:wAfter w:w="18" w:type="dxa"/>
        </w:trPr>
        <w:tc>
          <w:tcPr>
            <w:tcW w:w="1922" w:type="dxa"/>
          </w:tcPr>
          <w:p w14:paraId="420C7020" w14:textId="77777777" w:rsidR="00FA250F" w:rsidRPr="00317750" w:rsidRDefault="00FA250F" w:rsidP="00FA250F">
            <w:pPr>
              <w:rPr>
                <w:b/>
              </w:rPr>
            </w:pPr>
            <w:r w:rsidRPr="00317750">
              <w:rPr>
                <w:b/>
              </w:rPr>
              <w:t>Conflict in Adolescent Dating Relationships Inventory (CADRI)</w:t>
            </w:r>
          </w:p>
        </w:tc>
        <w:tc>
          <w:tcPr>
            <w:tcW w:w="1922" w:type="dxa"/>
          </w:tcPr>
          <w:p w14:paraId="72365C0E" w14:textId="77777777" w:rsidR="00FA250F" w:rsidRPr="00317750" w:rsidRDefault="00FA250F" w:rsidP="00FA250F">
            <w:r w:rsidRPr="00317750">
              <w:t>Physical violence Emotional abuse Sexual violence Coercive control</w:t>
            </w:r>
          </w:p>
        </w:tc>
        <w:tc>
          <w:tcPr>
            <w:tcW w:w="1403" w:type="dxa"/>
          </w:tcPr>
          <w:p w14:paraId="2A767C86" w14:textId="77777777" w:rsidR="00FA250F" w:rsidRPr="00317750" w:rsidRDefault="00FA250F" w:rsidP="00FA250F">
            <w:r w:rsidRPr="00317750">
              <w:t>Victimization Perpetration</w:t>
            </w:r>
          </w:p>
        </w:tc>
        <w:tc>
          <w:tcPr>
            <w:tcW w:w="981" w:type="dxa"/>
          </w:tcPr>
          <w:p w14:paraId="1E93E8D7" w14:textId="77777777" w:rsidR="00FA250F" w:rsidRPr="00317750" w:rsidRDefault="00FA250F" w:rsidP="00FA250F">
            <w:r w:rsidRPr="00317750">
              <w:t>25</w:t>
            </w:r>
          </w:p>
        </w:tc>
        <w:tc>
          <w:tcPr>
            <w:tcW w:w="1260" w:type="dxa"/>
          </w:tcPr>
          <w:p w14:paraId="714A43CA" w14:textId="4DE3E2B5" w:rsidR="00FA250F" w:rsidRPr="00317750" w:rsidRDefault="007E5FF2" w:rsidP="00FA250F">
            <w:r>
              <w:t>NA</w:t>
            </w:r>
          </w:p>
        </w:tc>
        <w:tc>
          <w:tcPr>
            <w:tcW w:w="6750" w:type="dxa"/>
          </w:tcPr>
          <w:p w14:paraId="2B583083" w14:textId="03D08350" w:rsidR="00FA250F" w:rsidRPr="00317750" w:rsidRDefault="00FA250F" w:rsidP="00FA250F">
            <w:r w:rsidRPr="00317750">
              <w:t>Two youth populations:</w:t>
            </w:r>
          </w:p>
          <w:p w14:paraId="7149D21A" w14:textId="77777777" w:rsidR="00FA250F" w:rsidRPr="00317750" w:rsidRDefault="00FA250F" w:rsidP="00FA250F">
            <w:pPr>
              <w:pStyle w:val="ListParagraph"/>
              <w:numPr>
                <w:ilvl w:val="0"/>
                <w:numId w:val="10"/>
              </w:numPr>
              <w:ind w:left="288" w:hanging="144"/>
              <w:contextualSpacing/>
              <w:rPr>
                <w:rFonts w:asciiTheme="minorHAnsi" w:hAnsiTheme="minorHAnsi"/>
                <w:sz w:val="22"/>
                <w:szCs w:val="22"/>
              </w:rPr>
            </w:pPr>
            <w:r w:rsidRPr="00317750">
              <w:rPr>
                <w:rFonts w:asciiTheme="minorHAnsi" w:hAnsiTheme="minorHAnsi"/>
                <w:sz w:val="22"/>
                <w:szCs w:val="22"/>
              </w:rPr>
              <w:t>Students in 9th to 11th grade</w:t>
            </w:r>
          </w:p>
          <w:p w14:paraId="380E1859" w14:textId="77777777" w:rsidR="00FA250F" w:rsidRPr="00317750" w:rsidRDefault="00FA250F" w:rsidP="00FA250F">
            <w:pPr>
              <w:pStyle w:val="ListParagraph"/>
              <w:numPr>
                <w:ilvl w:val="0"/>
                <w:numId w:val="10"/>
              </w:numPr>
              <w:ind w:left="288" w:hanging="144"/>
              <w:contextualSpacing/>
            </w:pPr>
            <w:r w:rsidRPr="00317750">
              <w:rPr>
                <w:rFonts w:asciiTheme="minorHAnsi" w:hAnsiTheme="minorHAnsi"/>
                <w:sz w:val="22"/>
                <w:szCs w:val="22"/>
              </w:rPr>
              <w:t>Community sample of dating couples, 14-19 years old</w:t>
            </w:r>
          </w:p>
        </w:tc>
      </w:tr>
      <w:tr w:rsidR="008C390E" w:rsidRPr="008B1388" w14:paraId="0B4893F2" w14:textId="77777777" w:rsidTr="00221D6D">
        <w:trPr>
          <w:gridAfter w:val="1"/>
          <w:wAfter w:w="18" w:type="dxa"/>
          <w:trHeight w:val="341"/>
        </w:trPr>
        <w:tc>
          <w:tcPr>
            <w:tcW w:w="1922" w:type="dxa"/>
          </w:tcPr>
          <w:p w14:paraId="6ECB7A76" w14:textId="785BF3BD" w:rsidR="008C390E" w:rsidRPr="00E850E3" w:rsidRDefault="008C390E" w:rsidP="00FA250F">
            <w:pPr>
              <w:rPr>
                <w:b/>
                <w:bCs/>
              </w:rPr>
            </w:pPr>
            <w:r>
              <w:rPr>
                <w:b/>
                <w:bCs/>
              </w:rPr>
              <w:t xml:space="preserve">Conflict Tactics Scales </w:t>
            </w:r>
            <w:r w:rsidR="007E5FF2">
              <w:rPr>
                <w:b/>
                <w:bCs/>
              </w:rPr>
              <w:t>Adaptations (for youth and young adults)</w:t>
            </w:r>
          </w:p>
        </w:tc>
        <w:tc>
          <w:tcPr>
            <w:tcW w:w="1922" w:type="dxa"/>
          </w:tcPr>
          <w:p w14:paraId="0F25F456" w14:textId="627AEDB3" w:rsidR="008C390E" w:rsidRPr="008F381C" w:rsidRDefault="00D5235F" w:rsidP="00FA250F">
            <w:r>
              <w:t>P</w:t>
            </w:r>
            <w:r w:rsidR="008C390E">
              <w:t>hysical</w:t>
            </w:r>
            <w:r>
              <w:t xml:space="preserve"> violence</w:t>
            </w:r>
            <w:r w:rsidR="008C390E">
              <w:t xml:space="preserve"> </w:t>
            </w:r>
            <w:r>
              <w:t>Emotional abuse S</w:t>
            </w:r>
            <w:r w:rsidR="008C390E">
              <w:t xml:space="preserve">exual </w:t>
            </w:r>
            <w:r>
              <w:t>violence</w:t>
            </w:r>
          </w:p>
        </w:tc>
        <w:tc>
          <w:tcPr>
            <w:tcW w:w="1403" w:type="dxa"/>
          </w:tcPr>
          <w:p w14:paraId="4F25447C" w14:textId="77777777" w:rsidR="008C390E" w:rsidRDefault="008C390E" w:rsidP="00FA250F">
            <w:r>
              <w:t>Victimization</w:t>
            </w:r>
          </w:p>
          <w:p w14:paraId="3E1B3746" w14:textId="059B7F23" w:rsidR="00B85785" w:rsidRPr="008F381C" w:rsidRDefault="00B85785" w:rsidP="00FA250F">
            <w:r>
              <w:t>Perpetration</w:t>
            </w:r>
          </w:p>
        </w:tc>
        <w:tc>
          <w:tcPr>
            <w:tcW w:w="981" w:type="dxa"/>
          </w:tcPr>
          <w:p w14:paraId="35243C77" w14:textId="3D872057" w:rsidR="008C390E" w:rsidRPr="00195FAE" w:rsidRDefault="00B85785" w:rsidP="00FA250F">
            <w:r>
              <w:t xml:space="preserve">1 for each type of abuse </w:t>
            </w:r>
            <w:r w:rsidRPr="00B85785">
              <w:rPr>
                <w:sz w:val="18"/>
                <w:szCs w:val="18"/>
              </w:rPr>
              <w:t>(not all</w:t>
            </w:r>
            <w:r w:rsidR="008C390E" w:rsidRPr="00B85785">
              <w:rPr>
                <w:sz w:val="18"/>
                <w:szCs w:val="18"/>
              </w:rPr>
              <w:t xml:space="preserve"> studies assess</w:t>
            </w:r>
            <w:r w:rsidRPr="00B85785">
              <w:rPr>
                <w:sz w:val="18"/>
                <w:szCs w:val="18"/>
              </w:rPr>
              <w:t>ed</w:t>
            </w:r>
            <w:r w:rsidR="008C390E" w:rsidRPr="00B85785">
              <w:rPr>
                <w:sz w:val="18"/>
                <w:szCs w:val="18"/>
              </w:rPr>
              <w:t xml:space="preserve"> </w:t>
            </w:r>
            <w:r w:rsidRPr="00B85785">
              <w:rPr>
                <w:sz w:val="18"/>
                <w:szCs w:val="18"/>
              </w:rPr>
              <w:t xml:space="preserve">emotional </w:t>
            </w:r>
            <w:r>
              <w:rPr>
                <w:sz w:val="18"/>
                <w:szCs w:val="18"/>
              </w:rPr>
              <w:t>abuse)</w:t>
            </w:r>
          </w:p>
        </w:tc>
        <w:tc>
          <w:tcPr>
            <w:tcW w:w="1260" w:type="dxa"/>
          </w:tcPr>
          <w:p w14:paraId="4590AC71" w14:textId="4DF8D05E" w:rsidR="008C390E" w:rsidRDefault="00113F2E" w:rsidP="00FA250F">
            <w:r>
              <w:t>NA</w:t>
            </w:r>
          </w:p>
          <w:p w14:paraId="3ECAFC54" w14:textId="77777777" w:rsidR="00B85785" w:rsidRDefault="00B85785" w:rsidP="00FA250F"/>
          <w:p w14:paraId="737145F3" w14:textId="74F5BEB3" w:rsidR="00B85785" w:rsidRDefault="00113F2E" w:rsidP="00FA250F">
            <w:r>
              <w:t>NA</w:t>
            </w:r>
          </w:p>
          <w:p w14:paraId="47CE39DC" w14:textId="77777777" w:rsidR="00B85785" w:rsidRDefault="00B85785" w:rsidP="00FA250F"/>
          <w:p w14:paraId="258C01BE" w14:textId="77777777" w:rsidR="00B85785" w:rsidRDefault="00B85785" w:rsidP="00FA250F"/>
          <w:p w14:paraId="4A30785F" w14:textId="57644059" w:rsidR="00B85785" w:rsidRDefault="00B85785" w:rsidP="00FA250F"/>
        </w:tc>
        <w:tc>
          <w:tcPr>
            <w:tcW w:w="6750" w:type="dxa"/>
          </w:tcPr>
          <w:p w14:paraId="496C99C0" w14:textId="5A7FC670" w:rsidR="008C390E" w:rsidRDefault="008C390E" w:rsidP="00FA250F">
            <w:r>
              <w:t>Pregnant women aged 14-25 from university affiliated OBGYN clinics that served mostly low-income, minority women</w:t>
            </w:r>
            <w:r w:rsidR="00B85785">
              <w:t xml:space="preserve"> (Agrawal et al., 2014)</w:t>
            </w:r>
          </w:p>
          <w:p w14:paraId="16A7CD47" w14:textId="257FF6A4" w:rsidR="008C390E" w:rsidRDefault="008C390E" w:rsidP="00FA250F">
            <w:r>
              <w:t>Pregnant women aged 14-21</w:t>
            </w:r>
            <w:r w:rsidR="00B85785">
              <w:t xml:space="preserve"> and their romantic partners visiting OBGYN clinics and an ultrasound clinic at 4 university-affiliated hospitals in Connecticut (Gibson et al., 2015; Kershaw et al., 2013; Lewis et al., 2016)</w:t>
            </w:r>
          </w:p>
          <w:p w14:paraId="4086B7DE" w14:textId="2C92CBF9" w:rsidR="00B85785" w:rsidRPr="008B1388" w:rsidRDefault="00B85785" w:rsidP="00FA250F"/>
        </w:tc>
      </w:tr>
      <w:tr w:rsidR="00DA481D" w:rsidRPr="008B1388" w14:paraId="30F4511F" w14:textId="77777777" w:rsidTr="00221D6D">
        <w:trPr>
          <w:gridAfter w:val="1"/>
          <w:wAfter w:w="18" w:type="dxa"/>
          <w:trHeight w:val="341"/>
        </w:trPr>
        <w:tc>
          <w:tcPr>
            <w:tcW w:w="1922" w:type="dxa"/>
          </w:tcPr>
          <w:p w14:paraId="379B519D" w14:textId="7F6DFF3B" w:rsidR="00DA481D" w:rsidRPr="00E850E3" w:rsidRDefault="00DA481D" w:rsidP="00DA481D">
            <w:pPr>
              <w:rPr>
                <w:b/>
                <w:bCs/>
              </w:rPr>
            </w:pPr>
            <w:r>
              <w:rPr>
                <w:b/>
                <w:bCs/>
              </w:rPr>
              <w:t>Fragile Families Study Measure</w:t>
            </w:r>
          </w:p>
        </w:tc>
        <w:tc>
          <w:tcPr>
            <w:tcW w:w="1922" w:type="dxa"/>
          </w:tcPr>
          <w:p w14:paraId="2DE00B9E" w14:textId="77777777" w:rsidR="00DA481D" w:rsidRDefault="00DA481D" w:rsidP="00DA481D">
            <w:r>
              <w:t>Physical violence</w:t>
            </w:r>
          </w:p>
          <w:p w14:paraId="74DC031C" w14:textId="77777777" w:rsidR="00DA481D" w:rsidRDefault="00DA481D" w:rsidP="00DA481D">
            <w:r>
              <w:t>Emotional abuse</w:t>
            </w:r>
          </w:p>
          <w:p w14:paraId="5C96C58F" w14:textId="1AB98BF0" w:rsidR="00DA481D" w:rsidRPr="008F381C" w:rsidRDefault="00DA481D" w:rsidP="00DA481D">
            <w:r>
              <w:t>Coercive control</w:t>
            </w:r>
          </w:p>
        </w:tc>
        <w:tc>
          <w:tcPr>
            <w:tcW w:w="1403" w:type="dxa"/>
          </w:tcPr>
          <w:p w14:paraId="1F25E168" w14:textId="5C4FB468" w:rsidR="00DA481D" w:rsidRPr="008F381C" w:rsidRDefault="00DA481D" w:rsidP="00DA481D">
            <w:r>
              <w:t>Victimization</w:t>
            </w:r>
          </w:p>
        </w:tc>
        <w:tc>
          <w:tcPr>
            <w:tcW w:w="981" w:type="dxa"/>
          </w:tcPr>
          <w:p w14:paraId="0B452030" w14:textId="69F528D6" w:rsidR="00DA481D" w:rsidRPr="00195FAE" w:rsidRDefault="00DA481D" w:rsidP="00DA481D">
            <w:r>
              <w:t>7</w:t>
            </w:r>
          </w:p>
        </w:tc>
        <w:tc>
          <w:tcPr>
            <w:tcW w:w="1260" w:type="dxa"/>
          </w:tcPr>
          <w:p w14:paraId="75F076E6" w14:textId="3DBAA7BC" w:rsidR="00DA481D" w:rsidRDefault="00DA481D" w:rsidP="00DA481D">
            <w:r>
              <w:t>NA</w:t>
            </w:r>
          </w:p>
        </w:tc>
        <w:tc>
          <w:tcPr>
            <w:tcW w:w="6750" w:type="dxa"/>
          </w:tcPr>
          <w:p w14:paraId="250E4EDE" w14:textId="375BCE4D" w:rsidR="00DA481D" w:rsidRPr="008B1388" w:rsidRDefault="00DA481D" w:rsidP="00DA481D">
            <w:r>
              <w:t>Nationally representative survey of non-marital hospital births in 20 large American cities (27% of mothers and 13% of fathers were younger than 20 at enrollment; 5% of mothers were younger than 18)</w:t>
            </w:r>
          </w:p>
        </w:tc>
      </w:tr>
      <w:tr w:rsidR="00DA481D" w:rsidRPr="008B1388" w14:paraId="7BE5E8E3" w14:textId="77777777" w:rsidTr="00221D6D">
        <w:trPr>
          <w:gridAfter w:val="1"/>
          <w:wAfter w:w="18" w:type="dxa"/>
          <w:trHeight w:val="341"/>
        </w:trPr>
        <w:tc>
          <w:tcPr>
            <w:tcW w:w="1922" w:type="dxa"/>
          </w:tcPr>
          <w:p w14:paraId="68185A80" w14:textId="6322FAD5" w:rsidR="00DA481D" w:rsidRPr="00621A8B" w:rsidRDefault="00DA481D" w:rsidP="00DA481D">
            <w:pPr>
              <w:rPr>
                <w:b/>
              </w:rPr>
            </w:pPr>
            <w:r w:rsidRPr="00E850E3">
              <w:rPr>
                <w:b/>
                <w:bCs/>
              </w:rPr>
              <w:t>Victimization in Dating Relationships (Safe Dates)</w:t>
            </w:r>
          </w:p>
        </w:tc>
        <w:tc>
          <w:tcPr>
            <w:tcW w:w="1922" w:type="dxa"/>
          </w:tcPr>
          <w:p w14:paraId="0954E0A2" w14:textId="4FFDA3A8" w:rsidR="00DA481D" w:rsidRPr="008F381C" w:rsidRDefault="00DA481D" w:rsidP="00DA481D">
            <w:r w:rsidRPr="008F381C">
              <w:t>Physical violence</w:t>
            </w:r>
          </w:p>
        </w:tc>
        <w:tc>
          <w:tcPr>
            <w:tcW w:w="1403" w:type="dxa"/>
          </w:tcPr>
          <w:p w14:paraId="2A414248" w14:textId="77777777" w:rsidR="00DA481D" w:rsidRPr="0026546D" w:rsidRDefault="00DA481D" w:rsidP="00DA481D">
            <w:r w:rsidRPr="008F381C">
              <w:t>Victimization</w:t>
            </w:r>
          </w:p>
          <w:p w14:paraId="0F637451" w14:textId="490549B1" w:rsidR="00DA481D" w:rsidRPr="006D4E33" w:rsidRDefault="00DA481D" w:rsidP="00DA481D"/>
        </w:tc>
        <w:tc>
          <w:tcPr>
            <w:tcW w:w="981" w:type="dxa"/>
          </w:tcPr>
          <w:p w14:paraId="7571EEE9" w14:textId="6AE8F15A" w:rsidR="00DA481D" w:rsidRPr="008B1388" w:rsidRDefault="00DA481D" w:rsidP="00DA481D">
            <w:r w:rsidRPr="00195FAE">
              <w:t xml:space="preserve">16 </w:t>
            </w:r>
          </w:p>
        </w:tc>
        <w:tc>
          <w:tcPr>
            <w:tcW w:w="1260" w:type="dxa"/>
          </w:tcPr>
          <w:p w14:paraId="2CF35053" w14:textId="7FDE8210" w:rsidR="00DA481D" w:rsidRPr="008B1388" w:rsidRDefault="00DA481D" w:rsidP="00DA481D">
            <w:r>
              <w:t>NA</w:t>
            </w:r>
          </w:p>
        </w:tc>
        <w:tc>
          <w:tcPr>
            <w:tcW w:w="6750" w:type="dxa"/>
          </w:tcPr>
          <w:p w14:paraId="2EE75649" w14:textId="057FF2AC" w:rsidR="00DA481D" w:rsidRPr="008B1388" w:rsidRDefault="00DA481D" w:rsidP="00DA481D">
            <w:r w:rsidRPr="008B1388">
              <w:t>Middle school aged youth in rural North Carolina</w:t>
            </w:r>
          </w:p>
        </w:tc>
      </w:tr>
      <w:tr w:rsidR="00DA481D" w:rsidRPr="008B1388" w14:paraId="052FC6CD" w14:textId="77777777" w:rsidTr="00221D6D">
        <w:trPr>
          <w:gridAfter w:val="1"/>
          <w:wAfter w:w="18" w:type="dxa"/>
          <w:trHeight w:val="341"/>
        </w:trPr>
        <w:tc>
          <w:tcPr>
            <w:tcW w:w="1922" w:type="dxa"/>
          </w:tcPr>
          <w:p w14:paraId="4AF47245" w14:textId="0D87EA2D" w:rsidR="00DA481D" w:rsidRDefault="00DA481D" w:rsidP="00DA481D">
            <w:r w:rsidRPr="00E850E3">
              <w:rPr>
                <w:b/>
                <w:bCs/>
              </w:rPr>
              <w:t>Perpetration in Dating Relationships (Safe Dates)</w:t>
            </w:r>
          </w:p>
        </w:tc>
        <w:tc>
          <w:tcPr>
            <w:tcW w:w="1922" w:type="dxa"/>
          </w:tcPr>
          <w:p w14:paraId="1ED092E4" w14:textId="322F7D1E" w:rsidR="00DA481D" w:rsidRPr="008F381C" w:rsidRDefault="00DA481D" w:rsidP="00DA481D">
            <w:r w:rsidRPr="008F381C">
              <w:t>Physical violence</w:t>
            </w:r>
          </w:p>
        </w:tc>
        <w:tc>
          <w:tcPr>
            <w:tcW w:w="1403" w:type="dxa"/>
          </w:tcPr>
          <w:p w14:paraId="429FF5CB" w14:textId="62DFA749" w:rsidR="00DA481D" w:rsidRPr="008F381C" w:rsidRDefault="00DA481D" w:rsidP="00DA481D">
            <w:r w:rsidRPr="006D4E33">
              <w:t>Perpetration</w:t>
            </w:r>
          </w:p>
        </w:tc>
        <w:tc>
          <w:tcPr>
            <w:tcW w:w="981" w:type="dxa"/>
          </w:tcPr>
          <w:p w14:paraId="0DA532BC" w14:textId="39218EFC" w:rsidR="00DA481D" w:rsidRPr="00195FAE" w:rsidRDefault="00DA481D" w:rsidP="00DA481D">
            <w:r w:rsidRPr="00195FAE">
              <w:t>16</w:t>
            </w:r>
          </w:p>
        </w:tc>
        <w:tc>
          <w:tcPr>
            <w:tcW w:w="1260" w:type="dxa"/>
          </w:tcPr>
          <w:p w14:paraId="1597FC70" w14:textId="29807E7D" w:rsidR="00DA481D" w:rsidRPr="008B1388" w:rsidRDefault="00DA481D" w:rsidP="00DA481D">
            <w:r>
              <w:t>NA</w:t>
            </w:r>
          </w:p>
        </w:tc>
        <w:tc>
          <w:tcPr>
            <w:tcW w:w="6750" w:type="dxa"/>
          </w:tcPr>
          <w:p w14:paraId="02BC19A0" w14:textId="57772FDD" w:rsidR="00DA481D" w:rsidRPr="008B1388" w:rsidRDefault="00DA481D" w:rsidP="00DA481D">
            <w:r w:rsidRPr="008B1388">
              <w:t>Middle school aged youth in rural North Carolina</w:t>
            </w:r>
          </w:p>
        </w:tc>
      </w:tr>
      <w:tr w:rsidR="00DA481D" w:rsidRPr="008B1388" w14:paraId="20E4AB84" w14:textId="77777777" w:rsidTr="00221D6D">
        <w:trPr>
          <w:gridAfter w:val="1"/>
          <w:wAfter w:w="18" w:type="dxa"/>
          <w:trHeight w:val="341"/>
        </w:trPr>
        <w:tc>
          <w:tcPr>
            <w:tcW w:w="1922" w:type="dxa"/>
          </w:tcPr>
          <w:p w14:paraId="3E243969" w14:textId="0603C63B" w:rsidR="00DA481D" w:rsidRPr="00621A8B" w:rsidRDefault="00DA481D" w:rsidP="00DA481D">
            <w:pPr>
              <w:rPr>
                <w:b/>
              </w:rPr>
            </w:pPr>
            <w:r w:rsidRPr="00E850E3">
              <w:rPr>
                <w:b/>
                <w:bCs/>
              </w:rPr>
              <w:t>Psychological Abuse (Safe Dates)</w:t>
            </w:r>
          </w:p>
        </w:tc>
        <w:tc>
          <w:tcPr>
            <w:tcW w:w="1922" w:type="dxa"/>
          </w:tcPr>
          <w:p w14:paraId="2977BBC0" w14:textId="77777777" w:rsidR="00DA481D" w:rsidRPr="008F381C" w:rsidRDefault="00DA481D" w:rsidP="00DA481D">
            <w:r w:rsidRPr="008F381C">
              <w:t>Emotional abuse</w:t>
            </w:r>
          </w:p>
          <w:p w14:paraId="42D96FFA" w14:textId="5E1F7149" w:rsidR="00DA481D" w:rsidRPr="0026546D" w:rsidRDefault="00DA481D" w:rsidP="00DA481D"/>
        </w:tc>
        <w:tc>
          <w:tcPr>
            <w:tcW w:w="1403" w:type="dxa"/>
          </w:tcPr>
          <w:p w14:paraId="75E51E80" w14:textId="77777777" w:rsidR="00DA481D" w:rsidRPr="006D4E33" w:rsidRDefault="00DA481D" w:rsidP="00DA481D">
            <w:r w:rsidRPr="006D4E33">
              <w:t>Victimization</w:t>
            </w:r>
          </w:p>
          <w:p w14:paraId="48D01DE0" w14:textId="2F985144" w:rsidR="00DA481D" w:rsidRPr="00195FAE" w:rsidRDefault="00DA481D" w:rsidP="00DA481D">
            <w:r w:rsidRPr="00195FAE">
              <w:t>Perpetration</w:t>
            </w:r>
          </w:p>
        </w:tc>
        <w:tc>
          <w:tcPr>
            <w:tcW w:w="981" w:type="dxa"/>
          </w:tcPr>
          <w:p w14:paraId="5864E559" w14:textId="77777777" w:rsidR="00DA481D" w:rsidRDefault="00DA481D" w:rsidP="00DA481D">
            <w:r>
              <w:t>14</w:t>
            </w:r>
          </w:p>
          <w:p w14:paraId="55781310" w14:textId="1DCAB0BF" w:rsidR="00DA481D" w:rsidRPr="008B1388" w:rsidRDefault="00DA481D" w:rsidP="00DA481D">
            <w:r>
              <w:t>14</w:t>
            </w:r>
          </w:p>
        </w:tc>
        <w:tc>
          <w:tcPr>
            <w:tcW w:w="1260" w:type="dxa"/>
          </w:tcPr>
          <w:p w14:paraId="4DEB3E21" w14:textId="4D3AD115" w:rsidR="00DA481D" w:rsidRPr="008B1388" w:rsidRDefault="00DA481D" w:rsidP="00DA481D">
            <w:r>
              <w:t>NA</w:t>
            </w:r>
          </w:p>
        </w:tc>
        <w:tc>
          <w:tcPr>
            <w:tcW w:w="6750" w:type="dxa"/>
          </w:tcPr>
          <w:p w14:paraId="7A8023A7" w14:textId="03EB5FC0" w:rsidR="00DA481D" w:rsidRPr="008B1388" w:rsidRDefault="00DA481D" w:rsidP="00DA481D">
            <w:r w:rsidRPr="008B1388">
              <w:t>Middle school aged youth in rural North Carolina</w:t>
            </w:r>
          </w:p>
        </w:tc>
      </w:tr>
    </w:tbl>
    <w:p w14:paraId="0099858C" w14:textId="546ACB49" w:rsidR="00F5738B" w:rsidRDefault="00F5738B" w:rsidP="00D61B99"/>
    <w:sectPr w:rsidR="00F5738B" w:rsidSect="00D61B99">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BAB041" w14:textId="77777777" w:rsidR="00B85785" w:rsidRDefault="00B85785" w:rsidP="00D829C7">
      <w:pPr>
        <w:spacing w:after="0" w:line="240" w:lineRule="auto"/>
      </w:pPr>
      <w:r>
        <w:separator/>
      </w:r>
    </w:p>
  </w:endnote>
  <w:endnote w:type="continuationSeparator" w:id="0">
    <w:p w14:paraId="787E75A5" w14:textId="77777777" w:rsidR="00B85785" w:rsidRDefault="00B85785" w:rsidP="00D82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kzidenz Grotesk BE XBdCn">
    <w:altName w:val="Akzidenz Grotesk BE XBdC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1394404"/>
      <w:docPartObj>
        <w:docPartGallery w:val="Page Numbers (Bottom of Page)"/>
        <w:docPartUnique/>
      </w:docPartObj>
    </w:sdtPr>
    <w:sdtEndPr>
      <w:rPr>
        <w:noProof/>
      </w:rPr>
    </w:sdtEndPr>
    <w:sdtContent>
      <w:p w14:paraId="48B0D4E2" w14:textId="64ABAF17" w:rsidR="00B85785" w:rsidRDefault="00B85785">
        <w:pPr>
          <w:pStyle w:val="Footer"/>
          <w:jc w:val="center"/>
        </w:pPr>
        <w:r>
          <w:fldChar w:fldCharType="begin"/>
        </w:r>
        <w:r>
          <w:instrText xml:space="preserve"> PAGE   \* MERGEFORMAT </w:instrText>
        </w:r>
        <w:r>
          <w:fldChar w:fldCharType="separate"/>
        </w:r>
        <w:r w:rsidR="00D53F96">
          <w:rPr>
            <w:noProof/>
          </w:rPr>
          <w:t>1</w:t>
        </w:r>
        <w:r>
          <w:rPr>
            <w:noProof/>
          </w:rPr>
          <w:fldChar w:fldCharType="end"/>
        </w:r>
      </w:p>
    </w:sdtContent>
  </w:sdt>
  <w:p w14:paraId="42E3B57F" w14:textId="77777777" w:rsidR="00B85785" w:rsidRDefault="00B857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278DC7" w14:textId="77777777" w:rsidR="00B85785" w:rsidRDefault="00B85785" w:rsidP="00D829C7">
      <w:pPr>
        <w:spacing w:after="0" w:line="240" w:lineRule="auto"/>
      </w:pPr>
      <w:r>
        <w:separator/>
      </w:r>
    </w:p>
  </w:footnote>
  <w:footnote w:type="continuationSeparator" w:id="0">
    <w:p w14:paraId="27A27F9C" w14:textId="77777777" w:rsidR="00B85785" w:rsidRDefault="00B85785" w:rsidP="00D829C7">
      <w:pPr>
        <w:spacing w:after="0" w:line="240" w:lineRule="auto"/>
      </w:pPr>
      <w:r>
        <w:continuationSeparator/>
      </w:r>
    </w:p>
  </w:footnote>
  <w:footnote w:id="1">
    <w:p w14:paraId="5EFBE16F" w14:textId="20FDD0BC" w:rsidR="00B85785" w:rsidRDefault="00B85785" w:rsidP="00D61B99">
      <w:pPr>
        <w:pStyle w:val="FootnoteText"/>
      </w:pPr>
      <w:r>
        <w:rPr>
          <w:rStyle w:val="FootnoteReference"/>
        </w:rPr>
        <w:footnoteRef/>
      </w:r>
      <w:r>
        <w:t xml:space="preserve"> This table includes empirically validated tools, defined as those with a published measure of accuracy or validity (e.g., correlation with another known measure) </w:t>
      </w:r>
      <w:r w:rsidR="005A0BEB">
        <w:t>and</w:t>
      </w:r>
      <w:r>
        <w:t xml:space="preserve"> sensitivity greater than or equal to 50%.  The final section of the table includes additional tools tested in specific populations, which did not meet review criteria for empirical validation based on published studies, but may be of interest to readers due to a lack of empirically validated IPV tools tested in those populations.</w:t>
      </w:r>
    </w:p>
  </w:footnote>
  <w:footnote w:id="2">
    <w:p w14:paraId="438B92FF" w14:textId="46D34DE6" w:rsidR="00B85785" w:rsidRDefault="00B85785">
      <w:pPr>
        <w:pStyle w:val="FootnoteText"/>
      </w:pPr>
      <w:r>
        <w:rPr>
          <w:rStyle w:val="FootnoteReference"/>
        </w:rPr>
        <w:footnoteRef/>
      </w:r>
      <w:r>
        <w:t xml:space="preserve"> # studies meeting criteria/#total # studies with data</w:t>
      </w:r>
    </w:p>
  </w:footnote>
  <w:footnote w:id="3">
    <w:p w14:paraId="749928BC" w14:textId="7ACB173F" w:rsidR="00C92458" w:rsidRDefault="00C92458">
      <w:pPr>
        <w:pStyle w:val="FootnoteText"/>
      </w:pPr>
      <w:r>
        <w:rPr>
          <w:rStyle w:val="FootnoteReference"/>
        </w:rPr>
        <w:footnoteRef/>
      </w:r>
      <w:r>
        <w:t xml:space="preserve"> Shortened and revised from RBRS</w:t>
      </w:r>
    </w:p>
  </w:footnote>
  <w:footnote w:id="4">
    <w:p w14:paraId="008E1F13" w14:textId="77777777" w:rsidR="00C92458" w:rsidRDefault="00C92458">
      <w:pPr>
        <w:pStyle w:val="FootnoteText"/>
      </w:pPr>
      <w:r>
        <w:rPr>
          <w:rStyle w:val="FootnoteReference"/>
        </w:rPr>
        <w:footnoteRef/>
      </w:r>
      <w:r>
        <w:t>Universal Violence Prevention Screen includes 5 single items; 3 of the 5 items had adequate sensitivity</w:t>
      </w:r>
    </w:p>
  </w:footnote>
  <w:footnote w:id="5">
    <w:p w14:paraId="1E299607" w14:textId="082EB097" w:rsidR="00C92458" w:rsidRDefault="00C92458">
      <w:pPr>
        <w:pStyle w:val="FootnoteText"/>
      </w:pPr>
      <w:r>
        <w:rPr>
          <w:rStyle w:val="FootnoteReference"/>
        </w:rPr>
        <w:footnoteRef/>
      </w:r>
      <w:r>
        <w:t xml:space="preserve"> This tool may be of interest to some practitioners because it avoids using graphic language and was designed for use with mothers in front of their children.  However, the sensitivity is very low (46% for the 3-item combination).</w:t>
      </w:r>
    </w:p>
  </w:footnote>
  <w:footnote w:id="6">
    <w:p w14:paraId="7AD49796" w14:textId="6B996F35" w:rsidR="00C92458" w:rsidRDefault="00C92458">
      <w:pPr>
        <w:pStyle w:val="FootnoteText"/>
      </w:pPr>
      <w:r>
        <w:rPr>
          <w:rStyle w:val="FootnoteReference"/>
        </w:rPr>
        <w:footnoteRef/>
      </w:r>
      <w:r>
        <w:t>Author calls it ethical dynamics of couple relationships.</w:t>
      </w:r>
    </w:p>
  </w:footnote>
  <w:footnote w:id="7">
    <w:p w14:paraId="03E96926" w14:textId="24856DCC" w:rsidR="00C92458" w:rsidRDefault="00C92458" w:rsidP="00DE19E1">
      <w:pPr>
        <w:pStyle w:val="FootnoteText"/>
      </w:pPr>
      <w:r>
        <w:rPr>
          <w:rStyle w:val="FootnoteReference"/>
        </w:rPr>
        <w:footnoteRef/>
      </w:r>
      <w:r>
        <w:t xml:space="preserve">There are 10 items on the scale and a composite, each was validated individually and all but the two included here are not IPV. </w:t>
      </w:r>
    </w:p>
  </w:footnote>
  <w:footnote w:id="8">
    <w:p w14:paraId="0BAB4208" w14:textId="12A71916" w:rsidR="00C92458" w:rsidRDefault="00C92458" w:rsidP="0042433C">
      <w:pPr>
        <w:pStyle w:val="FootnoteText"/>
      </w:pPr>
      <w:r>
        <w:rPr>
          <w:rStyle w:val="FootnoteReference"/>
        </w:rPr>
        <w:footnoteRef/>
      </w:r>
      <w:r>
        <w:t xml:space="preserve"> CRAT-V included one factor – sexual abuse history in past year – without a number of items; we’ve considered it to be 1 item.</w:t>
      </w:r>
    </w:p>
  </w:footnote>
  <w:footnote w:id="9">
    <w:p w14:paraId="7307EEA8" w14:textId="53120CE5" w:rsidR="00C92458" w:rsidRDefault="00C92458" w:rsidP="0042433C">
      <w:pPr>
        <w:pStyle w:val="FootnoteText"/>
      </w:pPr>
      <w:r>
        <w:rPr>
          <w:rStyle w:val="FootnoteReference"/>
        </w:rPr>
        <w:footnoteRef/>
      </w:r>
      <w:r>
        <w:t xml:space="preserve"> CRAT-P doesn’t explicitly say that one of the factors – Criminal History – is only 1 item but the text says it is categorical; we’ve considered it to be 1 item. </w:t>
      </w:r>
    </w:p>
  </w:footnote>
  <w:footnote w:id="10">
    <w:p w14:paraId="3D482F8B" w14:textId="443D7491" w:rsidR="00155437" w:rsidRDefault="00B85785">
      <w:r>
        <w:rPr>
          <w:rStyle w:val="FootnoteReference"/>
        </w:rPr>
        <w:footnoteRef/>
      </w:r>
      <w:r>
        <w:t xml:space="preserve"> # studies meeting criteria</w:t>
      </w:r>
      <w:r w:rsidR="00635DA1">
        <w:t>/#total # studies with data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5ABC"/>
    <w:multiLevelType w:val="hybridMultilevel"/>
    <w:tmpl w:val="1C4CF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1B71C9"/>
    <w:multiLevelType w:val="hybridMultilevel"/>
    <w:tmpl w:val="134EF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84210D"/>
    <w:multiLevelType w:val="hybridMultilevel"/>
    <w:tmpl w:val="60C03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706D5F"/>
    <w:multiLevelType w:val="hybridMultilevel"/>
    <w:tmpl w:val="65A60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C43521"/>
    <w:multiLevelType w:val="hybridMultilevel"/>
    <w:tmpl w:val="E61685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34E527D"/>
    <w:multiLevelType w:val="hybridMultilevel"/>
    <w:tmpl w:val="77649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nsid w:val="17474091"/>
    <w:multiLevelType w:val="hybridMultilevel"/>
    <w:tmpl w:val="B3881FB2"/>
    <w:lvl w:ilvl="0" w:tplc="31B0827C">
      <w:start w:val="1"/>
      <w:numFmt w:val="bullet"/>
      <w:lvlText w:val=""/>
      <w:lvlJc w:val="left"/>
      <w:pPr>
        <w:tabs>
          <w:tab w:val="num" w:pos="216"/>
        </w:tabs>
        <w:ind w:left="360" w:hanging="144"/>
      </w:pPr>
      <w:rPr>
        <w:rFonts w:ascii="Symbol" w:hAnsi="Symbol" w:hint="default"/>
        <w:color w:val="auto"/>
      </w:rPr>
    </w:lvl>
    <w:lvl w:ilvl="1" w:tplc="04090003">
      <w:start w:val="1"/>
      <w:numFmt w:val="bullet"/>
      <w:lvlText w:val="o"/>
      <w:lvlJc w:val="left"/>
      <w:pPr>
        <w:tabs>
          <w:tab w:val="num" w:pos="1584"/>
        </w:tabs>
        <w:ind w:left="1584" w:hanging="360"/>
      </w:pPr>
      <w:rPr>
        <w:rFonts w:ascii="Courier New" w:hAnsi="Courier New" w:cs="Courier New" w:hint="default"/>
      </w:rPr>
    </w:lvl>
    <w:lvl w:ilvl="2" w:tplc="04090005">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7">
    <w:nsid w:val="17553B8F"/>
    <w:multiLevelType w:val="hybridMultilevel"/>
    <w:tmpl w:val="55C83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C32C86"/>
    <w:multiLevelType w:val="hybridMultilevel"/>
    <w:tmpl w:val="BDE21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C56ED6"/>
    <w:multiLevelType w:val="hybridMultilevel"/>
    <w:tmpl w:val="61B03AC2"/>
    <w:lvl w:ilvl="0" w:tplc="04090001">
      <w:start w:val="1"/>
      <w:numFmt w:val="bullet"/>
      <w:lvlText w:val=""/>
      <w:lvlJc w:val="left"/>
      <w:pPr>
        <w:tabs>
          <w:tab w:val="num" w:pos="480"/>
        </w:tabs>
        <w:ind w:left="480" w:hanging="360"/>
      </w:pPr>
      <w:rPr>
        <w:rFonts w:ascii="Symbol" w:hAnsi="Symbol" w:hint="default"/>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5">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0">
    <w:nsid w:val="292E7B6C"/>
    <w:multiLevelType w:val="hybridMultilevel"/>
    <w:tmpl w:val="52E8F9D6"/>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1">
    <w:nsid w:val="29B24FBF"/>
    <w:multiLevelType w:val="hybridMultilevel"/>
    <w:tmpl w:val="918077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0F513E"/>
    <w:multiLevelType w:val="hybridMultilevel"/>
    <w:tmpl w:val="026AE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0323AB"/>
    <w:multiLevelType w:val="hybridMultilevel"/>
    <w:tmpl w:val="64CA0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780FA2"/>
    <w:multiLevelType w:val="hybridMultilevel"/>
    <w:tmpl w:val="D4B49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4F70A1"/>
    <w:multiLevelType w:val="hybridMultilevel"/>
    <w:tmpl w:val="32BE2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6D51BD"/>
    <w:multiLevelType w:val="hybridMultilevel"/>
    <w:tmpl w:val="29AAA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557F49"/>
    <w:multiLevelType w:val="hybridMultilevel"/>
    <w:tmpl w:val="F1FC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2F3507"/>
    <w:multiLevelType w:val="hybridMultilevel"/>
    <w:tmpl w:val="21ECD0EA"/>
    <w:lvl w:ilvl="0" w:tplc="31B0827C">
      <w:start w:val="1"/>
      <w:numFmt w:val="bullet"/>
      <w:lvlText w:val=""/>
      <w:lvlJc w:val="left"/>
      <w:pPr>
        <w:tabs>
          <w:tab w:val="num" w:pos="72"/>
        </w:tabs>
        <w:ind w:left="216" w:hanging="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80C441F"/>
    <w:multiLevelType w:val="hybridMultilevel"/>
    <w:tmpl w:val="E61685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D0A412D"/>
    <w:multiLevelType w:val="hybridMultilevel"/>
    <w:tmpl w:val="298AF3C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1">
    <w:nsid w:val="51E50332"/>
    <w:multiLevelType w:val="hybridMultilevel"/>
    <w:tmpl w:val="4378B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5E7891"/>
    <w:multiLevelType w:val="hybridMultilevel"/>
    <w:tmpl w:val="655CED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3D0258A"/>
    <w:multiLevelType w:val="hybridMultilevel"/>
    <w:tmpl w:val="F9EA4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427002"/>
    <w:multiLevelType w:val="hybridMultilevel"/>
    <w:tmpl w:val="A9409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D22FA2"/>
    <w:multiLevelType w:val="hybridMultilevel"/>
    <w:tmpl w:val="28D6E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717CDC"/>
    <w:multiLevelType w:val="hybridMultilevel"/>
    <w:tmpl w:val="9440E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6C38E3"/>
    <w:multiLevelType w:val="hybridMultilevel"/>
    <w:tmpl w:val="3F5034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BF607FD"/>
    <w:multiLevelType w:val="hybridMultilevel"/>
    <w:tmpl w:val="64882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1C4C7F"/>
    <w:multiLevelType w:val="hybridMultilevel"/>
    <w:tmpl w:val="D1AC2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BA5011"/>
    <w:multiLevelType w:val="hybridMultilevel"/>
    <w:tmpl w:val="B4C2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2"/>
  </w:num>
  <w:num w:numId="3">
    <w:abstractNumId w:val="11"/>
  </w:num>
  <w:num w:numId="4">
    <w:abstractNumId w:val="20"/>
  </w:num>
  <w:num w:numId="5">
    <w:abstractNumId w:val="1"/>
  </w:num>
  <w:num w:numId="6">
    <w:abstractNumId w:val="6"/>
  </w:num>
  <w:num w:numId="7">
    <w:abstractNumId w:val="18"/>
  </w:num>
  <w:num w:numId="8">
    <w:abstractNumId w:val="25"/>
  </w:num>
  <w:num w:numId="9">
    <w:abstractNumId w:val="14"/>
  </w:num>
  <w:num w:numId="10">
    <w:abstractNumId w:val="24"/>
  </w:num>
  <w:num w:numId="11">
    <w:abstractNumId w:val="12"/>
  </w:num>
  <w:num w:numId="12">
    <w:abstractNumId w:val="23"/>
  </w:num>
  <w:num w:numId="13">
    <w:abstractNumId w:val="3"/>
  </w:num>
  <w:num w:numId="14">
    <w:abstractNumId w:val="28"/>
  </w:num>
  <w:num w:numId="15">
    <w:abstractNumId w:val="30"/>
  </w:num>
  <w:num w:numId="16">
    <w:abstractNumId w:val="15"/>
  </w:num>
  <w:num w:numId="17">
    <w:abstractNumId w:val="5"/>
  </w:num>
  <w:num w:numId="18">
    <w:abstractNumId w:val="17"/>
  </w:num>
  <w:num w:numId="19">
    <w:abstractNumId w:val="26"/>
  </w:num>
  <w:num w:numId="20">
    <w:abstractNumId w:val="2"/>
  </w:num>
  <w:num w:numId="21">
    <w:abstractNumId w:val="29"/>
  </w:num>
  <w:num w:numId="22">
    <w:abstractNumId w:val="10"/>
  </w:num>
  <w:num w:numId="23">
    <w:abstractNumId w:val="0"/>
  </w:num>
  <w:num w:numId="24">
    <w:abstractNumId w:val="4"/>
  </w:num>
  <w:num w:numId="25">
    <w:abstractNumId w:val="27"/>
  </w:num>
  <w:num w:numId="26">
    <w:abstractNumId w:val="13"/>
  </w:num>
  <w:num w:numId="27">
    <w:abstractNumId w:val="19"/>
  </w:num>
  <w:num w:numId="28">
    <w:abstractNumId w:val="7"/>
  </w:num>
  <w:num w:numId="29">
    <w:abstractNumId w:val="8"/>
  </w:num>
  <w:num w:numId="30">
    <w:abstractNumId w:val="16"/>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57B"/>
    <w:rsid w:val="00006177"/>
    <w:rsid w:val="00014A6B"/>
    <w:rsid w:val="000166FC"/>
    <w:rsid w:val="00016763"/>
    <w:rsid w:val="00021448"/>
    <w:rsid w:val="00021972"/>
    <w:rsid w:val="00027716"/>
    <w:rsid w:val="00051AE2"/>
    <w:rsid w:val="000534D3"/>
    <w:rsid w:val="00054513"/>
    <w:rsid w:val="00054BB3"/>
    <w:rsid w:val="00055107"/>
    <w:rsid w:val="00063B41"/>
    <w:rsid w:val="000723FB"/>
    <w:rsid w:val="00085104"/>
    <w:rsid w:val="000874C5"/>
    <w:rsid w:val="000C4321"/>
    <w:rsid w:val="000F3706"/>
    <w:rsid w:val="000F3C16"/>
    <w:rsid w:val="000F46DD"/>
    <w:rsid w:val="000F68EE"/>
    <w:rsid w:val="0011251F"/>
    <w:rsid w:val="00113F2E"/>
    <w:rsid w:val="001177DA"/>
    <w:rsid w:val="001203FD"/>
    <w:rsid w:val="00120B29"/>
    <w:rsid w:val="001217F0"/>
    <w:rsid w:val="00124E6A"/>
    <w:rsid w:val="001259FE"/>
    <w:rsid w:val="00127030"/>
    <w:rsid w:val="00127B48"/>
    <w:rsid w:val="00144CAA"/>
    <w:rsid w:val="001500F5"/>
    <w:rsid w:val="00153B4E"/>
    <w:rsid w:val="00155437"/>
    <w:rsid w:val="00156F37"/>
    <w:rsid w:val="001578AB"/>
    <w:rsid w:val="001770B2"/>
    <w:rsid w:val="001777A3"/>
    <w:rsid w:val="001857E0"/>
    <w:rsid w:val="00186B54"/>
    <w:rsid w:val="00193B30"/>
    <w:rsid w:val="001944AC"/>
    <w:rsid w:val="00195FAE"/>
    <w:rsid w:val="00197479"/>
    <w:rsid w:val="001A0681"/>
    <w:rsid w:val="001A3B66"/>
    <w:rsid w:val="001B65CE"/>
    <w:rsid w:val="001B6848"/>
    <w:rsid w:val="001C249B"/>
    <w:rsid w:val="001C7B94"/>
    <w:rsid w:val="001D6529"/>
    <w:rsid w:val="001E569F"/>
    <w:rsid w:val="001F1B0B"/>
    <w:rsid w:val="001F3421"/>
    <w:rsid w:val="00201176"/>
    <w:rsid w:val="00201630"/>
    <w:rsid w:val="00201CF1"/>
    <w:rsid w:val="002207BE"/>
    <w:rsid w:val="00221056"/>
    <w:rsid w:val="00221D6D"/>
    <w:rsid w:val="00243914"/>
    <w:rsid w:val="002453AD"/>
    <w:rsid w:val="00250815"/>
    <w:rsid w:val="0026546D"/>
    <w:rsid w:val="00265F34"/>
    <w:rsid w:val="00271505"/>
    <w:rsid w:val="00281408"/>
    <w:rsid w:val="002816E9"/>
    <w:rsid w:val="0028276E"/>
    <w:rsid w:val="0028344F"/>
    <w:rsid w:val="00283B27"/>
    <w:rsid w:val="00284F6B"/>
    <w:rsid w:val="00286C5C"/>
    <w:rsid w:val="002A13B4"/>
    <w:rsid w:val="002A4C5C"/>
    <w:rsid w:val="002C1508"/>
    <w:rsid w:val="002C686C"/>
    <w:rsid w:val="002C6913"/>
    <w:rsid w:val="002C6C7C"/>
    <w:rsid w:val="002C71D2"/>
    <w:rsid w:val="002E057B"/>
    <w:rsid w:val="002E7CCB"/>
    <w:rsid w:val="003032DB"/>
    <w:rsid w:val="0030725C"/>
    <w:rsid w:val="0031297D"/>
    <w:rsid w:val="00317750"/>
    <w:rsid w:val="003212C1"/>
    <w:rsid w:val="0032700F"/>
    <w:rsid w:val="00327E23"/>
    <w:rsid w:val="00331CD1"/>
    <w:rsid w:val="003436E8"/>
    <w:rsid w:val="00345090"/>
    <w:rsid w:val="00354532"/>
    <w:rsid w:val="00357930"/>
    <w:rsid w:val="00360553"/>
    <w:rsid w:val="00375BA7"/>
    <w:rsid w:val="00380D9B"/>
    <w:rsid w:val="0039425B"/>
    <w:rsid w:val="00397727"/>
    <w:rsid w:val="003A11DE"/>
    <w:rsid w:val="003A72D6"/>
    <w:rsid w:val="003B1F59"/>
    <w:rsid w:val="003B2FEB"/>
    <w:rsid w:val="003C449E"/>
    <w:rsid w:val="003C717C"/>
    <w:rsid w:val="003D36D5"/>
    <w:rsid w:val="003D3A6B"/>
    <w:rsid w:val="003D51B4"/>
    <w:rsid w:val="003D5ABE"/>
    <w:rsid w:val="003F481B"/>
    <w:rsid w:val="00416A0F"/>
    <w:rsid w:val="0042068C"/>
    <w:rsid w:val="0042433C"/>
    <w:rsid w:val="00431571"/>
    <w:rsid w:val="00431979"/>
    <w:rsid w:val="00440980"/>
    <w:rsid w:val="00480370"/>
    <w:rsid w:val="00482DA9"/>
    <w:rsid w:val="00486A0D"/>
    <w:rsid w:val="004926D6"/>
    <w:rsid w:val="00497C77"/>
    <w:rsid w:val="004B3FBA"/>
    <w:rsid w:val="004D214D"/>
    <w:rsid w:val="004D39FB"/>
    <w:rsid w:val="004D3A13"/>
    <w:rsid w:val="004D3F62"/>
    <w:rsid w:val="004D7B33"/>
    <w:rsid w:val="004E28BE"/>
    <w:rsid w:val="004F7CAD"/>
    <w:rsid w:val="00500376"/>
    <w:rsid w:val="005052D5"/>
    <w:rsid w:val="00506A9C"/>
    <w:rsid w:val="00507F9E"/>
    <w:rsid w:val="0052034B"/>
    <w:rsid w:val="00520EDD"/>
    <w:rsid w:val="00523A30"/>
    <w:rsid w:val="005314BA"/>
    <w:rsid w:val="005361D9"/>
    <w:rsid w:val="00540BB6"/>
    <w:rsid w:val="005416F5"/>
    <w:rsid w:val="00542F15"/>
    <w:rsid w:val="00545D2B"/>
    <w:rsid w:val="005478AE"/>
    <w:rsid w:val="00550AB7"/>
    <w:rsid w:val="005551B4"/>
    <w:rsid w:val="0057119E"/>
    <w:rsid w:val="00576A7C"/>
    <w:rsid w:val="00581664"/>
    <w:rsid w:val="005A060A"/>
    <w:rsid w:val="005A0BEB"/>
    <w:rsid w:val="005A594D"/>
    <w:rsid w:val="005A7485"/>
    <w:rsid w:val="005D7019"/>
    <w:rsid w:val="005E4986"/>
    <w:rsid w:val="0060299D"/>
    <w:rsid w:val="006037EB"/>
    <w:rsid w:val="00605D38"/>
    <w:rsid w:val="006163BF"/>
    <w:rsid w:val="00620BFA"/>
    <w:rsid w:val="00621A8B"/>
    <w:rsid w:val="00621F16"/>
    <w:rsid w:val="00623A9D"/>
    <w:rsid w:val="00635DA1"/>
    <w:rsid w:val="00651020"/>
    <w:rsid w:val="006523B1"/>
    <w:rsid w:val="00656649"/>
    <w:rsid w:val="006568C0"/>
    <w:rsid w:val="00661589"/>
    <w:rsid w:val="0066767D"/>
    <w:rsid w:val="00682CA9"/>
    <w:rsid w:val="00691D55"/>
    <w:rsid w:val="00691F5E"/>
    <w:rsid w:val="006D24E4"/>
    <w:rsid w:val="006D4E33"/>
    <w:rsid w:val="007215B9"/>
    <w:rsid w:val="0072622A"/>
    <w:rsid w:val="00733A5B"/>
    <w:rsid w:val="00744F23"/>
    <w:rsid w:val="00754B15"/>
    <w:rsid w:val="00773985"/>
    <w:rsid w:val="00781BAA"/>
    <w:rsid w:val="007A07D3"/>
    <w:rsid w:val="007A0C2B"/>
    <w:rsid w:val="007A6816"/>
    <w:rsid w:val="007A6BE1"/>
    <w:rsid w:val="007B33FE"/>
    <w:rsid w:val="007B368D"/>
    <w:rsid w:val="007C6DF2"/>
    <w:rsid w:val="007D1B4B"/>
    <w:rsid w:val="007D6AED"/>
    <w:rsid w:val="007E0A5A"/>
    <w:rsid w:val="007E32BF"/>
    <w:rsid w:val="007E5FF2"/>
    <w:rsid w:val="007E7E03"/>
    <w:rsid w:val="007F1F94"/>
    <w:rsid w:val="007F3412"/>
    <w:rsid w:val="00810411"/>
    <w:rsid w:val="008165B4"/>
    <w:rsid w:val="0081729A"/>
    <w:rsid w:val="008210EA"/>
    <w:rsid w:val="00834275"/>
    <w:rsid w:val="00842A05"/>
    <w:rsid w:val="008526BA"/>
    <w:rsid w:val="00855A41"/>
    <w:rsid w:val="00857F44"/>
    <w:rsid w:val="00866DA9"/>
    <w:rsid w:val="00880146"/>
    <w:rsid w:val="00897F83"/>
    <w:rsid w:val="008A1634"/>
    <w:rsid w:val="008B7839"/>
    <w:rsid w:val="008C390E"/>
    <w:rsid w:val="008C5B6C"/>
    <w:rsid w:val="008E4BA7"/>
    <w:rsid w:val="008E5A2D"/>
    <w:rsid w:val="008F381C"/>
    <w:rsid w:val="008F5A12"/>
    <w:rsid w:val="008F60E3"/>
    <w:rsid w:val="0090215E"/>
    <w:rsid w:val="00902552"/>
    <w:rsid w:val="00903BFE"/>
    <w:rsid w:val="0090539D"/>
    <w:rsid w:val="009162D6"/>
    <w:rsid w:val="00917250"/>
    <w:rsid w:val="00922321"/>
    <w:rsid w:val="009361BA"/>
    <w:rsid w:val="00960764"/>
    <w:rsid w:val="00962FBC"/>
    <w:rsid w:val="00975108"/>
    <w:rsid w:val="009779F2"/>
    <w:rsid w:val="00991D77"/>
    <w:rsid w:val="00996CDC"/>
    <w:rsid w:val="00996FBD"/>
    <w:rsid w:val="009A0C38"/>
    <w:rsid w:val="009A5BD0"/>
    <w:rsid w:val="009A69D8"/>
    <w:rsid w:val="009B3F7A"/>
    <w:rsid w:val="009C51F4"/>
    <w:rsid w:val="009D7957"/>
    <w:rsid w:val="009E04F8"/>
    <w:rsid w:val="009E0F6E"/>
    <w:rsid w:val="009E4060"/>
    <w:rsid w:val="00A04F41"/>
    <w:rsid w:val="00A139CC"/>
    <w:rsid w:val="00A200FC"/>
    <w:rsid w:val="00A21863"/>
    <w:rsid w:val="00A27DCD"/>
    <w:rsid w:val="00A33684"/>
    <w:rsid w:val="00A33B35"/>
    <w:rsid w:val="00A40E40"/>
    <w:rsid w:val="00A41F06"/>
    <w:rsid w:val="00A45140"/>
    <w:rsid w:val="00A50563"/>
    <w:rsid w:val="00A6033B"/>
    <w:rsid w:val="00A77948"/>
    <w:rsid w:val="00A81A04"/>
    <w:rsid w:val="00A90FCC"/>
    <w:rsid w:val="00A96965"/>
    <w:rsid w:val="00AA2E19"/>
    <w:rsid w:val="00AA31D1"/>
    <w:rsid w:val="00AB16AA"/>
    <w:rsid w:val="00AB25E5"/>
    <w:rsid w:val="00AD1F96"/>
    <w:rsid w:val="00AD4834"/>
    <w:rsid w:val="00AD4F2A"/>
    <w:rsid w:val="00AE28F9"/>
    <w:rsid w:val="00AE2B4F"/>
    <w:rsid w:val="00AE3D47"/>
    <w:rsid w:val="00AF61FE"/>
    <w:rsid w:val="00B038A8"/>
    <w:rsid w:val="00B14B9B"/>
    <w:rsid w:val="00B15365"/>
    <w:rsid w:val="00B210DD"/>
    <w:rsid w:val="00B33DBD"/>
    <w:rsid w:val="00B4250F"/>
    <w:rsid w:val="00B45D59"/>
    <w:rsid w:val="00B46EB5"/>
    <w:rsid w:val="00B510A9"/>
    <w:rsid w:val="00B51486"/>
    <w:rsid w:val="00B526C4"/>
    <w:rsid w:val="00B56B9D"/>
    <w:rsid w:val="00B82320"/>
    <w:rsid w:val="00B85785"/>
    <w:rsid w:val="00B9582C"/>
    <w:rsid w:val="00BA0AAB"/>
    <w:rsid w:val="00BA7B97"/>
    <w:rsid w:val="00BC75A7"/>
    <w:rsid w:val="00BD2F9D"/>
    <w:rsid w:val="00BD595D"/>
    <w:rsid w:val="00BE4AF7"/>
    <w:rsid w:val="00C121BE"/>
    <w:rsid w:val="00C244A0"/>
    <w:rsid w:val="00C25597"/>
    <w:rsid w:val="00C37642"/>
    <w:rsid w:val="00C41847"/>
    <w:rsid w:val="00C569E2"/>
    <w:rsid w:val="00C5721A"/>
    <w:rsid w:val="00C62DF7"/>
    <w:rsid w:val="00C63B3D"/>
    <w:rsid w:val="00C73722"/>
    <w:rsid w:val="00C74F88"/>
    <w:rsid w:val="00C92458"/>
    <w:rsid w:val="00C9356D"/>
    <w:rsid w:val="00C93717"/>
    <w:rsid w:val="00CA0DD6"/>
    <w:rsid w:val="00CA2B41"/>
    <w:rsid w:val="00CA2D6C"/>
    <w:rsid w:val="00CA423C"/>
    <w:rsid w:val="00CB0F2B"/>
    <w:rsid w:val="00CB167F"/>
    <w:rsid w:val="00CB40A4"/>
    <w:rsid w:val="00CB6F5C"/>
    <w:rsid w:val="00CC12D2"/>
    <w:rsid w:val="00CC39D1"/>
    <w:rsid w:val="00CD4287"/>
    <w:rsid w:val="00CE10BE"/>
    <w:rsid w:val="00CE5A80"/>
    <w:rsid w:val="00CF0D5B"/>
    <w:rsid w:val="00D012BA"/>
    <w:rsid w:val="00D05F7C"/>
    <w:rsid w:val="00D10E4E"/>
    <w:rsid w:val="00D273AA"/>
    <w:rsid w:val="00D3141C"/>
    <w:rsid w:val="00D36628"/>
    <w:rsid w:val="00D5235F"/>
    <w:rsid w:val="00D53F96"/>
    <w:rsid w:val="00D61B99"/>
    <w:rsid w:val="00D65F57"/>
    <w:rsid w:val="00D7074F"/>
    <w:rsid w:val="00D7725A"/>
    <w:rsid w:val="00D81E66"/>
    <w:rsid w:val="00D829C7"/>
    <w:rsid w:val="00D87169"/>
    <w:rsid w:val="00D92428"/>
    <w:rsid w:val="00D96B76"/>
    <w:rsid w:val="00DA0CF8"/>
    <w:rsid w:val="00DA481D"/>
    <w:rsid w:val="00DA6040"/>
    <w:rsid w:val="00DA7092"/>
    <w:rsid w:val="00DB0F48"/>
    <w:rsid w:val="00DB12DE"/>
    <w:rsid w:val="00DB1C79"/>
    <w:rsid w:val="00DB39C7"/>
    <w:rsid w:val="00DE19E1"/>
    <w:rsid w:val="00DE320C"/>
    <w:rsid w:val="00DF4ABD"/>
    <w:rsid w:val="00DF4FA0"/>
    <w:rsid w:val="00E0210E"/>
    <w:rsid w:val="00E03673"/>
    <w:rsid w:val="00E06AB2"/>
    <w:rsid w:val="00E12690"/>
    <w:rsid w:val="00E169B9"/>
    <w:rsid w:val="00E179FB"/>
    <w:rsid w:val="00E20116"/>
    <w:rsid w:val="00E30A34"/>
    <w:rsid w:val="00E33465"/>
    <w:rsid w:val="00E372BD"/>
    <w:rsid w:val="00E47DAE"/>
    <w:rsid w:val="00E81436"/>
    <w:rsid w:val="00E97B9C"/>
    <w:rsid w:val="00EA1069"/>
    <w:rsid w:val="00EA2DF3"/>
    <w:rsid w:val="00EB2E58"/>
    <w:rsid w:val="00EB754D"/>
    <w:rsid w:val="00EC302F"/>
    <w:rsid w:val="00EC3D9E"/>
    <w:rsid w:val="00EC57CF"/>
    <w:rsid w:val="00ED02EC"/>
    <w:rsid w:val="00ED4BB1"/>
    <w:rsid w:val="00EE073F"/>
    <w:rsid w:val="00EF307F"/>
    <w:rsid w:val="00EF6E93"/>
    <w:rsid w:val="00F02EFF"/>
    <w:rsid w:val="00F038BC"/>
    <w:rsid w:val="00F0603B"/>
    <w:rsid w:val="00F11187"/>
    <w:rsid w:val="00F11976"/>
    <w:rsid w:val="00F164A7"/>
    <w:rsid w:val="00F4135E"/>
    <w:rsid w:val="00F5738B"/>
    <w:rsid w:val="00F604F1"/>
    <w:rsid w:val="00F61986"/>
    <w:rsid w:val="00F62A55"/>
    <w:rsid w:val="00F638A9"/>
    <w:rsid w:val="00F65321"/>
    <w:rsid w:val="00F66E09"/>
    <w:rsid w:val="00F7221D"/>
    <w:rsid w:val="00F77166"/>
    <w:rsid w:val="00F83CED"/>
    <w:rsid w:val="00F93374"/>
    <w:rsid w:val="00FA250F"/>
    <w:rsid w:val="00FA2A98"/>
    <w:rsid w:val="00FB593F"/>
    <w:rsid w:val="00FB7E73"/>
    <w:rsid w:val="00FC30DD"/>
    <w:rsid w:val="00FD240D"/>
    <w:rsid w:val="00FD67D7"/>
    <w:rsid w:val="00FE0375"/>
    <w:rsid w:val="00FE2D3C"/>
    <w:rsid w:val="00FE2F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5E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0B2"/>
    <w:pPr>
      <w:spacing w:after="0" w:line="240" w:lineRule="auto"/>
      <w:ind w:left="72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E073F"/>
    <w:rPr>
      <w:sz w:val="16"/>
      <w:szCs w:val="16"/>
    </w:rPr>
  </w:style>
  <w:style w:type="paragraph" w:styleId="CommentText">
    <w:name w:val="annotation text"/>
    <w:basedOn w:val="Normal"/>
    <w:link w:val="CommentTextChar"/>
    <w:uiPriority w:val="99"/>
    <w:unhideWhenUsed/>
    <w:rsid w:val="00EE073F"/>
    <w:pPr>
      <w:spacing w:after="0" w:line="240" w:lineRule="auto"/>
    </w:pPr>
    <w:rPr>
      <w:sz w:val="20"/>
      <w:szCs w:val="20"/>
    </w:rPr>
  </w:style>
  <w:style w:type="character" w:customStyle="1" w:styleId="CommentTextChar">
    <w:name w:val="Comment Text Char"/>
    <w:basedOn w:val="DefaultParagraphFont"/>
    <w:link w:val="CommentText"/>
    <w:uiPriority w:val="99"/>
    <w:rsid w:val="00EE073F"/>
    <w:rPr>
      <w:sz w:val="20"/>
      <w:szCs w:val="20"/>
    </w:rPr>
  </w:style>
  <w:style w:type="paragraph" w:styleId="BalloonText">
    <w:name w:val="Balloon Text"/>
    <w:basedOn w:val="Normal"/>
    <w:link w:val="BalloonTextChar"/>
    <w:uiPriority w:val="99"/>
    <w:semiHidden/>
    <w:unhideWhenUsed/>
    <w:rsid w:val="00EE0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73F"/>
    <w:rPr>
      <w:rFonts w:ascii="Tahoma" w:hAnsi="Tahoma" w:cs="Tahoma"/>
      <w:sz w:val="16"/>
      <w:szCs w:val="16"/>
    </w:rPr>
  </w:style>
  <w:style w:type="paragraph" w:styleId="FootnoteText">
    <w:name w:val="footnote text"/>
    <w:basedOn w:val="Normal"/>
    <w:link w:val="FootnoteTextChar"/>
    <w:uiPriority w:val="99"/>
    <w:unhideWhenUsed/>
    <w:rsid w:val="00D829C7"/>
    <w:pPr>
      <w:spacing w:after="0" w:line="240" w:lineRule="auto"/>
    </w:pPr>
    <w:rPr>
      <w:sz w:val="20"/>
      <w:szCs w:val="20"/>
    </w:rPr>
  </w:style>
  <w:style w:type="character" w:customStyle="1" w:styleId="FootnoteTextChar">
    <w:name w:val="Footnote Text Char"/>
    <w:basedOn w:val="DefaultParagraphFont"/>
    <w:link w:val="FootnoteText"/>
    <w:uiPriority w:val="99"/>
    <w:rsid w:val="00D829C7"/>
    <w:rPr>
      <w:sz w:val="20"/>
      <w:szCs w:val="20"/>
    </w:rPr>
  </w:style>
  <w:style w:type="character" w:styleId="FootnoteReference">
    <w:name w:val="footnote reference"/>
    <w:basedOn w:val="DefaultParagraphFont"/>
    <w:uiPriority w:val="99"/>
    <w:unhideWhenUsed/>
    <w:rsid w:val="00D829C7"/>
    <w:rPr>
      <w:vertAlign w:val="superscript"/>
    </w:rPr>
  </w:style>
  <w:style w:type="character" w:styleId="Hyperlink">
    <w:name w:val="Hyperlink"/>
    <w:basedOn w:val="DefaultParagraphFont"/>
    <w:uiPriority w:val="99"/>
    <w:unhideWhenUsed/>
    <w:rsid w:val="00D829C7"/>
    <w:rPr>
      <w:color w:val="0000FF"/>
      <w:u w:val="single"/>
    </w:rPr>
  </w:style>
  <w:style w:type="paragraph" w:styleId="CommentSubject">
    <w:name w:val="annotation subject"/>
    <w:basedOn w:val="CommentText"/>
    <w:next w:val="CommentText"/>
    <w:link w:val="CommentSubjectChar"/>
    <w:uiPriority w:val="99"/>
    <w:semiHidden/>
    <w:unhideWhenUsed/>
    <w:rsid w:val="006163BF"/>
    <w:pPr>
      <w:spacing w:after="200"/>
    </w:pPr>
    <w:rPr>
      <w:b/>
      <w:bCs/>
    </w:rPr>
  </w:style>
  <w:style w:type="character" w:customStyle="1" w:styleId="CommentSubjectChar">
    <w:name w:val="Comment Subject Char"/>
    <w:basedOn w:val="CommentTextChar"/>
    <w:link w:val="CommentSubject"/>
    <w:uiPriority w:val="99"/>
    <w:semiHidden/>
    <w:rsid w:val="006163BF"/>
    <w:rPr>
      <w:b/>
      <w:bCs/>
      <w:sz w:val="20"/>
      <w:szCs w:val="20"/>
    </w:rPr>
  </w:style>
  <w:style w:type="table" w:styleId="TableGrid">
    <w:name w:val="Table Grid"/>
    <w:basedOn w:val="TableNormal"/>
    <w:uiPriority w:val="39"/>
    <w:rsid w:val="00DB1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2DE"/>
    <w:pPr>
      <w:spacing w:after="0" w:line="240" w:lineRule="auto"/>
    </w:pPr>
  </w:style>
  <w:style w:type="paragraph" w:styleId="Header">
    <w:name w:val="header"/>
    <w:basedOn w:val="Normal"/>
    <w:link w:val="HeaderChar"/>
    <w:uiPriority w:val="99"/>
    <w:unhideWhenUsed/>
    <w:rsid w:val="007A07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7D3"/>
  </w:style>
  <w:style w:type="paragraph" w:styleId="Footer">
    <w:name w:val="footer"/>
    <w:basedOn w:val="Normal"/>
    <w:link w:val="FooterChar"/>
    <w:uiPriority w:val="99"/>
    <w:unhideWhenUsed/>
    <w:rsid w:val="007A07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7D3"/>
  </w:style>
  <w:style w:type="paragraph" w:styleId="BodyText">
    <w:name w:val="Body Text"/>
    <w:basedOn w:val="Normal"/>
    <w:link w:val="BodyTextChar"/>
    <w:uiPriority w:val="99"/>
    <w:unhideWhenUsed/>
    <w:rsid w:val="009361BA"/>
    <w:pPr>
      <w:spacing w:before="60" w:after="120" w:line="245" w:lineRule="auto"/>
    </w:pPr>
  </w:style>
  <w:style w:type="character" w:customStyle="1" w:styleId="BodyTextChar">
    <w:name w:val="Body Text Char"/>
    <w:basedOn w:val="DefaultParagraphFont"/>
    <w:link w:val="BodyText"/>
    <w:uiPriority w:val="99"/>
    <w:rsid w:val="009361BA"/>
  </w:style>
  <w:style w:type="paragraph" w:customStyle="1" w:styleId="Default">
    <w:name w:val="Default"/>
    <w:rsid w:val="00897F83"/>
    <w:pPr>
      <w:autoSpaceDE w:val="0"/>
      <w:autoSpaceDN w:val="0"/>
      <w:adjustRightInd w:val="0"/>
      <w:spacing w:after="0" w:line="240" w:lineRule="auto"/>
    </w:pPr>
    <w:rPr>
      <w:rFonts w:ascii="Akzidenz Grotesk BE XBdCn" w:hAnsi="Akzidenz Grotesk BE XBdCn" w:cs="Akzidenz Grotesk BE XBdCn"/>
      <w:color w:val="000000"/>
      <w:sz w:val="24"/>
      <w:szCs w:val="24"/>
    </w:rPr>
  </w:style>
  <w:style w:type="character" w:customStyle="1" w:styleId="A2">
    <w:name w:val="A2"/>
    <w:uiPriority w:val="99"/>
    <w:rsid w:val="00897F83"/>
    <w:rPr>
      <w:rFonts w:cs="Akzidenz Grotesk BE XBdCn"/>
      <w:color w:val="000000"/>
      <w:sz w:val="15"/>
      <w:szCs w:val="15"/>
    </w:rPr>
  </w:style>
  <w:style w:type="paragraph" w:styleId="Revision">
    <w:name w:val="Revision"/>
    <w:hidden/>
    <w:uiPriority w:val="99"/>
    <w:semiHidden/>
    <w:rsid w:val="00CA423C"/>
    <w:pPr>
      <w:spacing w:after="0" w:line="240" w:lineRule="auto"/>
    </w:pPr>
  </w:style>
  <w:style w:type="character" w:styleId="FollowedHyperlink">
    <w:name w:val="FollowedHyperlink"/>
    <w:basedOn w:val="DefaultParagraphFont"/>
    <w:uiPriority w:val="99"/>
    <w:semiHidden/>
    <w:unhideWhenUsed/>
    <w:rsid w:val="00286C5C"/>
    <w:rPr>
      <w:color w:val="800080" w:themeColor="followedHyperlink"/>
      <w:u w:val="single"/>
    </w:rPr>
  </w:style>
  <w:style w:type="paragraph" w:styleId="EndnoteText">
    <w:name w:val="endnote text"/>
    <w:basedOn w:val="Normal"/>
    <w:link w:val="EndnoteTextChar"/>
    <w:uiPriority w:val="99"/>
    <w:semiHidden/>
    <w:unhideWhenUsed/>
    <w:rsid w:val="00DE19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E19E1"/>
    <w:rPr>
      <w:sz w:val="20"/>
      <w:szCs w:val="20"/>
    </w:rPr>
  </w:style>
  <w:style w:type="character" w:styleId="EndnoteReference">
    <w:name w:val="endnote reference"/>
    <w:basedOn w:val="DefaultParagraphFont"/>
    <w:uiPriority w:val="99"/>
    <w:semiHidden/>
    <w:unhideWhenUsed/>
    <w:rsid w:val="00DE19E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0B2"/>
    <w:pPr>
      <w:spacing w:after="0" w:line="240" w:lineRule="auto"/>
      <w:ind w:left="72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E073F"/>
    <w:rPr>
      <w:sz w:val="16"/>
      <w:szCs w:val="16"/>
    </w:rPr>
  </w:style>
  <w:style w:type="paragraph" w:styleId="CommentText">
    <w:name w:val="annotation text"/>
    <w:basedOn w:val="Normal"/>
    <w:link w:val="CommentTextChar"/>
    <w:uiPriority w:val="99"/>
    <w:unhideWhenUsed/>
    <w:rsid w:val="00EE073F"/>
    <w:pPr>
      <w:spacing w:after="0" w:line="240" w:lineRule="auto"/>
    </w:pPr>
    <w:rPr>
      <w:sz w:val="20"/>
      <w:szCs w:val="20"/>
    </w:rPr>
  </w:style>
  <w:style w:type="character" w:customStyle="1" w:styleId="CommentTextChar">
    <w:name w:val="Comment Text Char"/>
    <w:basedOn w:val="DefaultParagraphFont"/>
    <w:link w:val="CommentText"/>
    <w:uiPriority w:val="99"/>
    <w:rsid w:val="00EE073F"/>
    <w:rPr>
      <w:sz w:val="20"/>
      <w:szCs w:val="20"/>
    </w:rPr>
  </w:style>
  <w:style w:type="paragraph" w:styleId="BalloonText">
    <w:name w:val="Balloon Text"/>
    <w:basedOn w:val="Normal"/>
    <w:link w:val="BalloonTextChar"/>
    <w:uiPriority w:val="99"/>
    <w:semiHidden/>
    <w:unhideWhenUsed/>
    <w:rsid w:val="00EE0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73F"/>
    <w:rPr>
      <w:rFonts w:ascii="Tahoma" w:hAnsi="Tahoma" w:cs="Tahoma"/>
      <w:sz w:val="16"/>
      <w:szCs w:val="16"/>
    </w:rPr>
  </w:style>
  <w:style w:type="paragraph" w:styleId="FootnoteText">
    <w:name w:val="footnote text"/>
    <w:basedOn w:val="Normal"/>
    <w:link w:val="FootnoteTextChar"/>
    <w:uiPriority w:val="99"/>
    <w:unhideWhenUsed/>
    <w:rsid w:val="00D829C7"/>
    <w:pPr>
      <w:spacing w:after="0" w:line="240" w:lineRule="auto"/>
    </w:pPr>
    <w:rPr>
      <w:sz w:val="20"/>
      <w:szCs w:val="20"/>
    </w:rPr>
  </w:style>
  <w:style w:type="character" w:customStyle="1" w:styleId="FootnoteTextChar">
    <w:name w:val="Footnote Text Char"/>
    <w:basedOn w:val="DefaultParagraphFont"/>
    <w:link w:val="FootnoteText"/>
    <w:uiPriority w:val="99"/>
    <w:rsid w:val="00D829C7"/>
    <w:rPr>
      <w:sz w:val="20"/>
      <w:szCs w:val="20"/>
    </w:rPr>
  </w:style>
  <w:style w:type="character" w:styleId="FootnoteReference">
    <w:name w:val="footnote reference"/>
    <w:basedOn w:val="DefaultParagraphFont"/>
    <w:uiPriority w:val="99"/>
    <w:unhideWhenUsed/>
    <w:rsid w:val="00D829C7"/>
    <w:rPr>
      <w:vertAlign w:val="superscript"/>
    </w:rPr>
  </w:style>
  <w:style w:type="character" w:styleId="Hyperlink">
    <w:name w:val="Hyperlink"/>
    <w:basedOn w:val="DefaultParagraphFont"/>
    <w:uiPriority w:val="99"/>
    <w:unhideWhenUsed/>
    <w:rsid w:val="00D829C7"/>
    <w:rPr>
      <w:color w:val="0000FF"/>
      <w:u w:val="single"/>
    </w:rPr>
  </w:style>
  <w:style w:type="paragraph" w:styleId="CommentSubject">
    <w:name w:val="annotation subject"/>
    <w:basedOn w:val="CommentText"/>
    <w:next w:val="CommentText"/>
    <w:link w:val="CommentSubjectChar"/>
    <w:uiPriority w:val="99"/>
    <w:semiHidden/>
    <w:unhideWhenUsed/>
    <w:rsid w:val="006163BF"/>
    <w:pPr>
      <w:spacing w:after="200"/>
    </w:pPr>
    <w:rPr>
      <w:b/>
      <w:bCs/>
    </w:rPr>
  </w:style>
  <w:style w:type="character" w:customStyle="1" w:styleId="CommentSubjectChar">
    <w:name w:val="Comment Subject Char"/>
    <w:basedOn w:val="CommentTextChar"/>
    <w:link w:val="CommentSubject"/>
    <w:uiPriority w:val="99"/>
    <w:semiHidden/>
    <w:rsid w:val="006163BF"/>
    <w:rPr>
      <w:b/>
      <w:bCs/>
      <w:sz w:val="20"/>
      <w:szCs w:val="20"/>
    </w:rPr>
  </w:style>
  <w:style w:type="table" w:styleId="TableGrid">
    <w:name w:val="Table Grid"/>
    <w:basedOn w:val="TableNormal"/>
    <w:uiPriority w:val="39"/>
    <w:rsid w:val="00DB1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2DE"/>
    <w:pPr>
      <w:spacing w:after="0" w:line="240" w:lineRule="auto"/>
    </w:pPr>
  </w:style>
  <w:style w:type="paragraph" w:styleId="Header">
    <w:name w:val="header"/>
    <w:basedOn w:val="Normal"/>
    <w:link w:val="HeaderChar"/>
    <w:uiPriority w:val="99"/>
    <w:unhideWhenUsed/>
    <w:rsid w:val="007A07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7D3"/>
  </w:style>
  <w:style w:type="paragraph" w:styleId="Footer">
    <w:name w:val="footer"/>
    <w:basedOn w:val="Normal"/>
    <w:link w:val="FooterChar"/>
    <w:uiPriority w:val="99"/>
    <w:unhideWhenUsed/>
    <w:rsid w:val="007A07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7D3"/>
  </w:style>
  <w:style w:type="paragraph" w:styleId="BodyText">
    <w:name w:val="Body Text"/>
    <w:basedOn w:val="Normal"/>
    <w:link w:val="BodyTextChar"/>
    <w:uiPriority w:val="99"/>
    <w:unhideWhenUsed/>
    <w:rsid w:val="009361BA"/>
    <w:pPr>
      <w:spacing w:before="60" w:after="120" w:line="245" w:lineRule="auto"/>
    </w:pPr>
  </w:style>
  <w:style w:type="character" w:customStyle="1" w:styleId="BodyTextChar">
    <w:name w:val="Body Text Char"/>
    <w:basedOn w:val="DefaultParagraphFont"/>
    <w:link w:val="BodyText"/>
    <w:uiPriority w:val="99"/>
    <w:rsid w:val="009361BA"/>
  </w:style>
  <w:style w:type="paragraph" w:customStyle="1" w:styleId="Default">
    <w:name w:val="Default"/>
    <w:rsid w:val="00897F83"/>
    <w:pPr>
      <w:autoSpaceDE w:val="0"/>
      <w:autoSpaceDN w:val="0"/>
      <w:adjustRightInd w:val="0"/>
      <w:spacing w:after="0" w:line="240" w:lineRule="auto"/>
    </w:pPr>
    <w:rPr>
      <w:rFonts w:ascii="Akzidenz Grotesk BE XBdCn" w:hAnsi="Akzidenz Grotesk BE XBdCn" w:cs="Akzidenz Grotesk BE XBdCn"/>
      <w:color w:val="000000"/>
      <w:sz w:val="24"/>
      <w:szCs w:val="24"/>
    </w:rPr>
  </w:style>
  <w:style w:type="character" w:customStyle="1" w:styleId="A2">
    <w:name w:val="A2"/>
    <w:uiPriority w:val="99"/>
    <w:rsid w:val="00897F83"/>
    <w:rPr>
      <w:rFonts w:cs="Akzidenz Grotesk BE XBdCn"/>
      <w:color w:val="000000"/>
      <w:sz w:val="15"/>
      <w:szCs w:val="15"/>
    </w:rPr>
  </w:style>
  <w:style w:type="paragraph" w:styleId="Revision">
    <w:name w:val="Revision"/>
    <w:hidden/>
    <w:uiPriority w:val="99"/>
    <w:semiHidden/>
    <w:rsid w:val="00CA423C"/>
    <w:pPr>
      <w:spacing w:after="0" w:line="240" w:lineRule="auto"/>
    </w:pPr>
  </w:style>
  <w:style w:type="character" w:styleId="FollowedHyperlink">
    <w:name w:val="FollowedHyperlink"/>
    <w:basedOn w:val="DefaultParagraphFont"/>
    <w:uiPriority w:val="99"/>
    <w:semiHidden/>
    <w:unhideWhenUsed/>
    <w:rsid w:val="00286C5C"/>
    <w:rPr>
      <w:color w:val="800080" w:themeColor="followedHyperlink"/>
      <w:u w:val="single"/>
    </w:rPr>
  </w:style>
  <w:style w:type="paragraph" w:styleId="EndnoteText">
    <w:name w:val="endnote text"/>
    <w:basedOn w:val="Normal"/>
    <w:link w:val="EndnoteTextChar"/>
    <w:uiPriority w:val="99"/>
    <w:semiHidden/>
    <w:unhideWhenUsed/>
    <w:rsid w:val="00DE19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E19E1"/>
    <w:rPr>
      <w:sz w:val="20"/>
      <w:szCs w:val="20"/>
    </w:rPr>
  </w:style>
  <w:style w:type="character" w:styleId="EndnoteReference">
    <w:name w:val="endnote reference"/>
    <w:basedOn w:val="DefaultParagraphFont"/>
    <w:uiPriority w:val="99"/>
    <w:semiHidden/>
    <w:unhideWhenUsed/>
    <w:rsid w:val="00DE19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294384">
      <w:bodyDiv w:val="1"/>
      <w:marLeft w:val="0"/>
      <w:marRight w:val="0"/>
      <w:marTop w:val="0"/>
      <w:marBottom w:val="0"/>
      <w:divBdr>
        <w:top w:val="none" w:sz="0" w:space="0" w:color="auto"/>
        <w:left w:val="none" w:sz="0" w:space="0" w:color="auto"/>
        <w:bottom w:val="none" w:sz="0" w:space="0" w:color="auto"/>
        <w:right w:val="none" w:sz="0" w:space="0" w:color="auto"/>
      </w:divBdr>
    </w:div>
    <w:div w:id="258098929">
      <w:bodyDiv w:val="1"/>
      <w:marLeft w:val="0"/>
      <w:marRight w:val="0"/>
      <w:marTop w:val="0"/>
      <w:marBottom w:val="0"/>
      <w:divBdr>
        <w:top w:val="none" w:sz="0" w:space="0" w:color="auto"/>
        <w:left w:val="none" w:sz="0" w:space="0" w:color="auto"/>
        <w:bottom w:val="none" w:sz="0" w:space="0" w:color="auto"/>
        <w:right w:val="none" w:sz="0" w:space="0" w:color="auto"/>
      </w:divBdr>
    </w:div>
    <w:div w:id="317005964">
      <w:bodyDiv w:val="1"/>
      <w:marLeft w:val="0"/>
      <w:marRight w:val="0"/>
      <w:marTop w:val="0"/>
      <w:marBottom w:val="0"/>
      <w:divBdr>
        <w:top w:val="none" w:sz="0" w:space="0" w:color="auto"/>
        <w:left w:val="none" w:sz="0" w:space="0" w:color="auto"/>
        <w:bottom w:val="none" w:sz="0" w:space="0" w:color="auto"/>
        <w:right w:val="none" w:sz="0" w:space="0" w:color="auto"/>
      </w:divBdr>
    </w:div>
    <w:div w:id="365181922">
      <w:bodyDiv w:val="1"/>
      <w:marLeft w:val="0"/>
      <w:marRight w:val="0"/>
      <w:marTop w:val="0"/>
      <w:marBottom w:val="0"/>
      <w:divBdr>
        <w:top w:val="none" w:sz="0" w:space="0" w:color="auto"/>
        <w:left w:val="none" w:sz="0" w:space="0" w:color="auto"/>
        <w:bottom w:val="none" w:sz="0" w:space="0" w:color="auto"/>
        <w:right w:val="none" w:sz="0" w:space="0" w:color="auto"/>
      </w:divBdr>
    </w:div>
    <w:div w:id="397367161">
      <w:bodyDiv w:val="1"/>
      <w:marLeft w:val="0"/>
      <w:marRight w:val="0"/>
      <w:marTop w:val="0"/>
      <w:marBottom w:val="0"/>
      <w:divBdr>
        <w:top w:val="none" w:sz="0" w:space="0" w:color="auto"/>
        <w:left w:val="none" w:sz="0" w:space="0" w:color="auto"/>
        <w:bottom w:val="none" w:sz="0" w:space="0" w:color="auto"/>
        <w:right w:val="none" w:sz="0" w:space="0" w:color="auto"/>
      </w:divBdr>
    </w:div>
    <w:div w:id="449007624">
      <w:bodyDiv w:val="1"/>
      <w:marLeft w:val="0"/>
      <w:marRight w:val="0"/>
      <w:marTop w:val="0"/>
      <w:marBottom w:val="0"/>
      <w:divBdr>
        <w:top w:val="none" w:sz="0" w:space="0" w:color="auto"/>
        <w:left w:val="none" w:sz="0" w:space="0" w:color="auto"/>
        <w:bottom w:val="none" w:sz="0" w:space="0" w:color="auto"/>
        <w:right w:val="none" w:sz="0" w:space="0" w:color="auto"/>
      </w:divBdr>
    </w:div>
    <w:div w:id="481116934">
      <w:bodyDiv w:val="1"/>
      <w:marLeft w:val="0"/>
      <w:marRight w:val="0"/>
      <w:marTop w:val="0"/>
      <w:marBottom w:val="0"/>
      <w:divBdr>
        <w:top w:val="none" w:sz="0" w:space="0" w:color="auto"/>
        <w:left w:val="none" w:sz="0" w:space="0" w:color="auto"/>
        <w:bottom w:val="none" w:sz="0" w:space="0" w:color="auto"/>
        <w:right w:val="none" w:sz="0" w:space="0" w:color="auto"/>
      </w:divBdr>
    </w:div>
    <w:div w:id="499585935">
      <w:bodyDiv w:val="1"/>
      <w:marLeft w:val="0"/>
      <w:marRight w:val="0"/>
      <w:marTop w:val="0"/>
      <w:marBottom w:val="0"/>
      <w:divBdr>
        <w:top w:val="none" w:sz="0" w:space="0" w:color="auto"/>
        <w:left w:val="none" w:sz="0" w:space="0" w:color="auto"/>
        <w:bottom w:val="none" w:sz="0" w:space="0" w:color="auto"/>
        <w:right w:val="none" w:sz="0" w:space="0" w:color="auto"/>
      </w:divBdr>
    </w:div>
    <w:div w:id="533931049">
      <w:bodyDiv w:val="1"/>
      <w:marLeft w:val="0"/>
      <w:marRight w:val="0"/>
      <w:marTop w:val="0"/>
      <w:marBottom w:val="0"/>
      <w:divBdr>
        <w:top w:val="none" w:sz="0" w:space="0" w:color="auto"/>
        <w:left w:val="none" w:sz="0" w:space="0" w:color="auto"/>
        <w:bottom w:val="none" w:sz="0" w:space="0" w:color="auto"/>
        <w:right w:val="none" w:sz="0" w:space="0" w:color="auto"/>
      </w:divBdr>
    </w:div>
    <w:div w:id="589392080">
      <w:bodyDiv w:val="1"/>
      <w:marLeft w:val="0"/>
      <w:marRight w:val="0"/>
      <w:marTop w:val="0"/>
      <w:marBottom w:val="0"/>
      <w:divBdr>
        <w:top w:val="none" w:sz="0" w:space="0" w:color="auto"/>
        <w:left w:val="none" w:sz="0" w:space="0" w:color="auto"/>
        <w:bottom w:val="none" w:sz="0" w:space="0" w:color="auto"/>
        <w:right w:val="none" w:sz="0" w:space="0" w:color="auto"/>
      </w:divBdr>
    </w:div>
    <w:div w:id="602223216">
      <w:bodyDiv w:val="1"/>
      <w:marLeft w:val="0"/>
      <w:marRight w:val="0"/>
      <w:marTop w:val="0"/>
      <w:marBottom w:val="0"/>
      <w:divBdr>
        <w:top w:val="none" w:sz="0" w:space="0" w:color="auto"/>
        <w:left w:val="none" w:sz="0" w:space="0" w:color="auto"/>
        <w:bottom w:val="none" w:sz="0" w:space="0" w:color="auto"/>
        <w:right w:val="none" w:sz="0" w:space="0" w:color="auto"/>
      </w:divBdr>
    </w:div>
    <w:div w:id="689188618">
      <w:bodyDiv w:val="1"/>
      <w:marLeft w:val="0"/>
      <w:marRight w:val="0"/>
      <w:marTop w:val="0"/>
      <w:marBottom w:val="0"/>
      <w:divBdr>
        <w:top w:val="none" w:sz="0" w:space="0" w:color="auto"/>
        <w:left w:val="none" w:sz="0" w:space="0" w:color="auto"/>
        <w:bottom w:val="none" w:sz="0" w:space="0" w:color="auto"/>
        <w:right w:val="none" w:sz="0" w:space="0" w:color="auto"/>
      </w:divBdr>
    </w:div>
    <w:div w:id="828011609">
      <w:bodyDiv w:val="1"/>
      <w:marLeft w:val="0"/>
      <w:marRight w:val="0"/>
      <w:marTop w:val="0"/>
      <w:marBottom w:val="0"/>
      <w:divBdr>
        <w:top w:val="none" w:sz="0" w:space="0" w:color="auto"/>
        <w:left w:val="none" w:sz="0" w:space="0" w:color="auto"/>
        <w:bottom w:val="none" w:sz="0" w:space="0" w:color="auto"/>
        <w:right w:val="none" w:sz="0" w:space="0" w:color="auto"/>
      </w:divBdr>
    </w:div>
    <w:div w:id="839926527">
      <w:bodyDiv w:val="1"/>
      <w:marLeft w:val="0"/>
      <w:marRight w:val="0"/>
      <w:marTop w:val="0"/>
      <w:marBottom w:val="0"/>
      <w:divBdr>
        <w:top w:val="none" w:sz="0" w:space="0" w:color="auto"/>
        <w:left w:val="none" w:sz="0" w:space="0" w:color="auto"/>
        <w:bottom w:val="none" w:sz="0" w:space="0" w:color="auto"/>
        <w:right w:val="none" w:sz="0" w:space="0" w:color="auto"/>
      </w:divBdr>
    </w:div>
    <w:div w:id="857083488">
      <w:bodyDiv w:val="1"/>
      <w:marLeft w:val="0"/>
      <w:marRight w:val="0"/>
      <w:marTop w:val="0"/>
      <w:marBottom w:val="0"/>
      <w:divBdr>
        <w:top w:val="none" w:sz="0" w:space="0" w:color="auto"/>
        <w:left w:val="none" w:sz="0" w:space="0" w:color="auto"/>
        <w:bottom w:val="none" w:sz="0" w:space="0" w:color="auto"/>
        <w:right w:val="none" w:sz="0" w:space="0" w:color="auto"/>
      </w:divBdr>
    </w:div>
    <w:div w:id="893589380">
      <w:bodyDiv w:val="1"/>
      <w:marLeft w:val="0"/>
      <w:marRight w:val="0"/>
      <w:marTop w:val="0"/>
      <w:marBottom w:val="0"/>
      <w:divBdr>
        <w:top w:val="none" w:sz="0" w:space="0" w:color="auto"/>
        <w:left w:val="none" w:sz="0" w:space="0" w:color="auto"/>
        <w:bottom w:val="none" w:sz="0" w:space="0" w:color="auto"/>
        <w:right w:val="none" w:sz="0" w:space="0" w:color="auto"/>
      </w:divBdr>
    </w:div>
    <w:div w:id="957569579">
      <w:bodyDiv w:val="1"/>
      <w:marLeft w:val="0"/>
      <w:marRight w:val="0"/>
      <w:marTop w:val="0"/>
      <w:marBottom w:val="0"/>
      <w:divBdr>
        <w:top w:val="none" w:sz="0" w:space="0" w:color="auto"/>
        <w:left w:val="none" w:sz="0" w:space="0" w:color="auto"/>
        <w:bottom w:val="none" w:sz="0" w:space="0" w:color="auto"/>
        <w:right w:val="none" w:sz="0" w:space="0" w:color="auto"/>
      </w:divBdr>
    </w:div>
    <w:div w:id="1036006512">
      <w:bodyDiv w:val="1"/>
      <w:marLeft w:val="0"/>
      <w:marRight w:val="0"/>
      <w:marTop w:val="0"/>
      <w:marBottom w:val="0"/>
      <w:divBdr>
        <w:top w:val="none" w:sz="0" w:space="0" w:color="auto"/>
        <w:left w:val="none" w:sz="0" w:space="0" w:color="auto"/>
        <w:bottom w:val="none" w:sz="0" w:space="0" w:color="auto"/>
        <w:right w:val="none" w:sz="0" w:space="0" w:color="auto"/>
      </w:divBdr>
    </w:div>
    <w:div w:id="1037664121">
      <w:bodyDiv w:val="1"/>
      <w:marLeft w:val="0"/>
      <w:marRight w:val="0"/>
      <w:marTop w:val="0"/>
      <w:marBottom w:val="0"/>
      <w:divBdr>
        <w:top w:val="none" w:sz="0" w:space="0" w:color="auto"/>
        <w:left w:val="none" w:sz="0" w:space="0" w:color="auto"/>
        <w:bottom w:val="none" w:sz="0" w:space="0" w:color="auto"/>
        <w:right w:val="none" w:sz="0" w:space="0" w:color="auto"/>
      </w:divBdr>
    </w:div>
    <w:div w:id="1041322823">
      <w:bodyDiv w:val="1"/>
      <w:marLeft w:val="0"/>
      <w:marRight w:val="0"/>
      <w:marTop w:val="0"/>
      <w:marBottom w:val="0"/>
      <w:divBdr>
        <w:top w:val="none" w:sz="0" w:space="0" w:color="auto"/>
        <w:left w:val="none" w:sz="0" w:space="0" w:color="auto"/>
        <w:bottom w:val="none" w:sz="0" w:space="0" w:color="auto"/>
        <w:right w:val="none" w:sz="0" w:space="0" w:color="auto"/>
      </w:divBdr>
    </w:div>
    <w:div w:id="1065299026">
      <w:bodyDiv w:val="1"/>
      <w:marLeft w:val="0"/>
      <w:marRight w:val="0"/>
      <w:marTop w:val="0"/>
      <w:marBottom w:val="0"/>
      <w:divBdr>
        <w:top w:val="none" w:sz="0" w:space="0" w:color="auto"/>
        <w:left w:val="none" w:sz="0" w:space="0" w:color="auto"/>
        <w:bottom w:val="none" w:sz="0" w:space="0" w:color="auto"/>
        <w:right w:val="none" w:sz="0" w:space="0" w:color="auto"/>
      </w:divBdr>
    </w:div>
    <w:div w:id="1066877651">
      <w:bodyDiv w:val="1"/>
      <w:marLeft w:val="0"/>
      <w:marRight w:val="0"/>
      <w:marTop w:val="0"/>
      <w:marBottom w:val="0"/>
      <w:divBdr>
        <w:top w:val="none" w:sz="0" w:space="0" w:color="auto"/>
        <w:left w:val="none" w:sz="0" w:space="0" w:color="auto"/>
        <w:bottom w:val="none" w:sz="0" w:space="0" w:color="auto"/>
        <w:right w:val="none" w:sz="0" w:space="0" w:color="auto"/>
      </w:divBdr>
    </w:div>
    <w:div w:id="1070538866">
      <w:bodyDiv w:val="1"/>
      <w:marLeft w:val="0"/>
      <w:marRight w:val="0"/>
      <w:marTop w:val="0"/>
      <w:marBottom w:val="0"/>
      <w:divBdr>
        <w:top w:val="none" w:sz="0" w:space="0" w:color="auto"/>
        <w:left w:val="none" w:sz="0" w:space="0" w:color="auto"/>
        <w:bottom w:val="none" w:sz="0" w:space="0" w:color="auto"/>
        <w:right w:val="none" w:sz="0" w:space="0" w:color="auto"/>
      </w:divBdr>
    </w:div>
    <w:div w:id="1073549549">
      <w:bodyDiv w:val="1"/>
      <w:marLeft w:val="0"/>
      <w:marRight w:val="0"/>
      <w:marTop w:val="0"/>
      <w:marBottom w:val="0"/>
      <w:divBdr>
        <w:top w:val="none" w:sz="0" w:space="0" w:color="auto"/>
        <w:left w:val="none" w:sz="0" w:space="0" w:color="auto"/>
        <w:bottom w:val="none" w:sz="0" w:space="0" w:color="auto"/>
        <w:right w:val="none" w:sz="0" w:space="0" w:color="auto"/>
      </w:divBdr>
    </w:div>
    <w:div w:id="1121535308">
      <w:bodyDiv w:val="1"/>
      <w:marLeft w:val="0"/>
      <w:marRight w:val="0"/>
      <w:marTop w:val="0"/>
      <w:marBottom w:val="0"/>
      <w:divBdr>
        <w:top w:val="none" w:sz="0" w:space="0" w:color="auto"/>
        <w:left w:val="none" w:sz="0" w:space="0" w:color="auto"/>
        <w:bottom w:val="none" w:sz="0" w:space="0" w:color="auto"/>
        <w:right w:val="none" w:sz="0" w:space="0" w:color="auto"/>
      </w:divBdr>
    </w:div>
    <w:div w:id="1195844150">
      <w:bodyDiv w:val="1"/>
      <w:marLeft w:val="0"/>
      <w:marRight w:val="0"/>
      <w:marTop w:val="0"/>
      <w:marBottom w:val="0"/>
      <w:divBdr>
        <w:top w:val="none" w:sz="0" w:space="0" w:color="auto"/>
        <w:left w:val="none" w:sz="0" w:space="0" w:color="auto"/>
        <w:bottom w:val="none" w:sz="0" w:space="0" w:color="auto"/>
        <w:right w:val="none" w:sz="0" w:space="0" w:color="auto"/>
      </w:divBdr>
    </w:div>
    <w:div w:id="1209806441">
      <w:bodyDiv w:val="1"/>
      <w:marLeft w:val="0"/>
      <w:marRight w:val="0"/>
      <w:marTop w:val="0"/>
      <w:marBottom w:val="0"/>
      <w:divBdr>
        <w:top w:val="none" w:sz="0" w:space="0" w:color="auto"/>
        <w:left w:val="none" w:sz="0" w:space="0" w:color="auto"/>
        <w:bottom w:val="none" w:sz="0" w:space="0" w:color="auto"/>
        <w:right w:val="none" w:sz="0" w:space="0" w:color="auto"/>
      </w:divBdr>
    </w:div>
    <w:div w:id="1314795577">
      <w:bodyDiv w:val="1"/>
      <w:marLeft w:val="0"/>
      <w:marRight w:val="0"/>
      <w:marTop w:val="0"/>
      <w:marBottom w:val="0"/>
      <w:divBdr>
        <w:top w:val="none" w:sz="0" w:space="0" w:color="auto"/>
        <w:left w:val="none" w:sz="0" w:space="0" w:color="auto"/>
        <w:bottom w:val="none" w:sz="0" w:space="0" w:color="auto"/>
        <w:right w:val="none" w:sz="0" w:space="0" w:color="auto"/>
      </w:divBdr>
    </w:div>
    <w:div w:id="1349864989">
      <w:bodyDiv w:val="1"/>
      <w:marLeft w:val="0"/>
      <w:marRight w:val="0"/>
      <w:marTop w:val="0"/>
      <w:marBottom w:val="0"/>
      <w:divBdr>
        <w:top w:val="none" w:sz="0" w:space="0" w:color="auto"/>
        <w:left w:val="none" w:sz="0" w:space="0" w:color="auto"/>
        <w:bottom w:val="none" w:sz="0" w:space="0" w:color="auto"/>
        <w:right w:val="none" w:sz="0" w:space="0" w:color="auto"/>
      </w:divBdr>
    </w:div>
    <w:div w:id="1421834697">
      <w:bodyDiv w:val="1"/>
      <w:marLeft w:val="0"/>
      <w:marRight w:val="0"/>
      <w:marTop w:val="0"/>
      <w:marBottom w:val="0"/>
      <w:divBdr>
        <w:top w:val="none" w:sz="0" w:space="0" w:color="auto"/>
        <w:left w:val="none" w:sz="0" w:space="0" w:color="auto"/>
        <w:bottom w:val="none" w:sz="0" w:space="0" w:color="auto"/>
        <w:right w:val="none" w:sz="0" w:space="0" w:color="auto"/>
      </w:divBdr>
    </w:div>
    <w:div w:id="1456172207">
      <w:bodyDiv w:val="1"/>
      <w:marLeft w:val="0"/>
      <w:marRight w:val="0"/>
      <w:marTop w:val="0"/>
      <w:marBottom w:val="0"/>
      <w:divBdr>
        <w:top w:val="none" w:sz="0" w:space="0" w:color="auto"/>
        <w:left w:val="none" w:sz="0" w:space="0" w:color="auto"/>
        <w:bottom w:val="none" w:sz="0" w:space="0" w:color="auto"/>
        <w:right w:val="none" w:sz="0" w:space="0" w:color="auto"/>
      </w:divBdr>
    </w:div>
    <w:div w:id="1489201221">
      <w:bodyDiv w:val="1"/>
      <w:marLeft w:val="0"/>
      <w:marRight w:val="0"/>
      <w:marTop w:val="0"/>
      <w:marBottom w:val="0"/>
      <w:divBdr>
        <w:top w:val="none" w:sz="0" w:space="0" w:color="auto"/>
        <w:left w:val="none" w:sz="0" w:space="0" w:color="auto"/>
        <w:bottom w:val="none" w:sz="0" w:space="0" w:color="auto"/>
        <w:right w:val="none" w:sz="0" w:space="0" w:color="auto"/>
      </w:divBdr>
    </w:div>
    <w:div w:id="1616054977">
      <w:bodyDiv w:val="1"/>
      <w:marLeft w:val="0"/>
      <w:marRight w:val="0"/>
      <w:marTop w:val="0"/>
      <w:marBottom w:val="0"/>
      <w:divBdr>
        <w:top w:val="none" w:sz="0" w:space="0" w:color="auto"/>
        <w:left w:val="none" w:sz="0" w:space="0" w:color="auto"/>
        <w:bottom w:val="none" w:sz="0" w:space="0" w:color="auto"/>
        <w:right w:val="none" w:sz="0" w:space="0" w:color="auto"/>
      </w:divBdr>
    </w:div>
    <w:div w:id="1702827667">
      <w:bodyDiv w:val="1"/>
      <w:marLeft w:val="0"/>
      <w:marRight w:val="0"/>
      <w:marTop w:val="0"/>
      <w:marBottom w:val="0"/>
      <w:divBdr>
        <w:top w:val="none" w:sz="0" w:space="0" w:color="auto"/>
        <w:left w:val="none" w:sz="0" w:space="0" w:color="auto"/>
        <w:bottom w:val="none" w:sz="0" w:space="0" w:color="auto"/>
        <w:right w:val="none" w:sz="0" w:space="0" w:color="auto"/>
      </w:divBdr>
    </w:div>
    <w:div w:id="1752039760">
      <w:bodyDiv w:val="1"/>
      <w:marLeft w:val="0"/>
      <w:marRight w:val="0"/>
      <w:marTop w:val="0"/>
      <w:marBottom w:val="0"/>
      <w:divBdr>
        <w:top w:val="none" w:sz="0" w:space="0" w:color="auto"/>
        <w:left w:val="none" w:sz="0" w:space="0" w:color="auto"/>
        <w:bottom w:val="none" w:sz="0" w:space="0" w:color="auto"/>
        <w:right w:val="none" w:sz="0" w:space="0" w:color="auto"/>
      </w:divBdr>
    </w:div>
    <w:div w:id="1752309958">
      <w:bodyDiv w:val="1"/>
      <w:marLeft w:val="0"/>
      <w:marRight w:val="0"/>
      <w:marTop w:val="0"/>
      <w:marBottom w:val="0"/>
      <w:divBdr>
        <w:top w:val="none" w:sz="0" w:space="0" w:color="auto"/>
        <w:left w:val="none" w:sz="0" w:space="0" w:color="auto"/>
        <w:bottom w:val="none" w:sz="0" w:space="0" w:color="auto"/>
        <w:right w:val="none" w:sz="0" w:space="0" w:color="auto"/>
      </w:divBdr>
    </w:div>
    <w:div w:id="1775903280">
      <w:bodyDiv w:val="1"/>
      <w:marLeft w:val="0"/>
      <w:marRight w:val="0"/>
      <w:marTop w:val="0"/>
      <w:marBottom w:val="0"/>
      <w:divBdr>
        <w:top w:val="none" w:sz="0" w:space="0" w:color="auto"/>
        <w:left w:val="none" w:sz="0" w:space="0" w:color="auto"/>
        <w:bottom w:val="none" w:sz="0" w:space="0" w:color="auto"/>
        <w:right w:val="none" w:sz="0" w:space="0" w:color="auto"/>
      </w:divBdr>
    </w:div>
    <w:div w:id="1824814380">
      <w:bodyDiv w:val="1"/>
      <w:marLeft w:val="0"/>
      <w:marRight w:val="0"/>
      <w:marTop w:val="0"/>
      <w:marBottom w:val="0"/>
      <w:divBdr>
        <w:top w:val="none" w:sz="0" w:space="0" w:color="auto"/>
        <w:left w:val="none" w:sz="0" w:space="0" w:color="auto"/>
        <w:bottom w:val="none" w:sz="0" w:space="0" w:color="auto"/>
        <w:right w:val="none" w:sz="0" w:space="0" w:color="auto"/>
      </w:divBdr>
    </w:div>
    <w:div w:id="1832216203">
      <w:bodyDiv w:val="1"/>
      <w:marLeft w:val="0"/>
      <w:marRight w:val="0"/>
      <w:marTop w:val="0"/>
      <w:marBottom w:val="0"/>
      <w:divBdr>
        <w:top w:val="none" w:sz="0" w:space="0" w:color="auto"/>
        <w:left w:val="none" w:sz="0" w:space="0" w:color="auto"/>
        <w:bottom w:val="none" w:sz="0" w:space="0" w:color="auto"/>
        <w:right w:val="none" w:sz="0" w:space="0" w:color="auto"/>
      </w:divBdr>
    </w:div>
    <w:div w:id="1918518098">
      <w:bodyDiv w:val="1"/>
      <w:marLeft w:val="0"/>
      <w:marRight w:val="0"/>
      <w:marTop w:val="0"/>
      <w:marBottom w:val="0"/>
      <w:divBdr>
        <w:top w:val="none" w:sz="0" w:space="0" w:color="auto"/>
        <w:left w:val="none" w:sz="0" w:space="0" w:color="auto"/>
        <w:bottom w:val="none" w:sz="0" w:space="0" w:color="auto"/>
        <w:right w:val="none" w:sz="0" w:space="0" w:color="auto"/>
      </w:divBdr>
    </w:div>
    <w:div w:id="1953316765">
      <w:bodyDiv w:val="1"/>
      <w:marLeft w:val="0"/>
      <w:marRight w:val="0"/>
      <w:marTop w:val="0"/>
      <w:marBottom w:val="0"/>
      <w:divBdr>
        <w:top w:val="none" w:sz="0" w:space="0" w:color="auto"/>
        <w:left w:val="none" w:sz="0" w:space="0" w:color="auto"/>
        <w:bottom w:val="none" w:sz="0" w:space="0" w:color="auto"/>
        <w:right w:val="none" w:sz="0" w:space="0" w:color="auto"/>
      </w:divBdr>
    </w:div>
    <w:div w:id="1972665959">
      <w:bodyDiv w:val="1"/>
      <w:marLeft w:val="0"/>
      <w:marRight w:val="0"/>
      <w:marTop w:val="0"/>
      <w:marBottom w:val="0"/>
      <w:divBdr>
        <w:top w:val="none" w:sz="0" w:space="0" w:color="auto"/>
        <w:left w:val="none" w:sz="0" w:space="0" w:color="auto"/>
        <w:bottom w:val="none" w:sz="0" w:space="0" w:color="auto"/>
        <w:right w:val="none" w:sz="0" w:space="0" w:color="auto"/>
      </w:divBdr>
    </w:div>
    <w:div w:id="2037271208">
      <w:bodyDiv w:val="1"/>
      <w:marLeft w:val="0"/>
      <w:marRight w:val="0"/>
      <w:marTop w:val="0"/>
      <w:marBottom w:val="0"/>
      <w:divBdr>
        <w:top w:val="none" w:sz="0" w:space="0" w:color="auto"/>
        <w:left w:val="none" w:sz="0" w:space="0" w:color="auto"/>
        <w:bottom w:val="none" w:sz="0" w:space="0" w:color="auto"/>
        <w:right w:val="none" w:sz="0" w:space="0" w:color="auto"/>
      </w:divBdr>
    </w:div>
    <w:div w:id="204297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tmckay\Desktop\Review%20of%20IPV%20Risk%20Assessment%20Tools%202012.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wevents.byu.edu/Handouts/Intimate%20Justice%20Scale_Dr.%20Bradford.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dc.gov/violenceprevention/pdf/ipv/ipvandsvscreening.pdf" TargetMode="External"/><Relationship Id="rId4" Type="http://schemas.microsoft.com/office/2007/relationships/stylesWithEffects" Target="stylesWithEffects.xml"/><Relationship Id="rId9" Type="http://schemas.openxmlformats.org/officeDocument/2006/relationships/hyperlink" Target="file:///\\rtimas04\hser\Project\0212050%20Chartbook\039_OPRE_RIVIR\Literatur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F88AD-0EB5-4E16-9D25-84F06251A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1952</Words>
  <Characters>11132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Tasseli McKay</dc:creator>
  <cp:lastModifiedBy>SYSTEM</cp:lastModifiedBy>
  <cp:revision>2</cp:revision>
  <dcterms:created xsi:type="dcterms:W3CDTF">2017-10-16T13:19:00Z</dcterms:created>
  <dcterms:modified xsi:type="dcterms:W3CDTF">2017-10-16T13:19:00Z</dcterms:modified>
</cp:coreProperties>
</file>