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28E" w:rsidRPr="00F3128E" w:rsidRDefault="00F3128E" w:rsidP="00F3128E">
      <w:pPr>
        <w:spacing w:after="0" w:line="240" w:lineRule="auto"/>
        <w:outlineLvl w:val="2"/>
        <w:rPr>
          <w:rFonts w:ascii="Roboto Slab" w:eastAsia="Times New Roman" w:hAnsi="Roboto Slab" w:cs="Arial"/>
          <w:b/>
          <w:bCs/>
          <w:color w:val="575757"/>
          <w:spacing w:val="30"/>
          <w:sz w:val="39"/>
          <w:szCs w:val="39"/>
        </w:rPr>
      </w:pPr>
      <w:bookmarkStart w:id="0" w:name="_GoBack"/>
      <w:bookmarkEnd w:id="0"/>
      <w:r w:rsidRPr="00F3128E">
        <w:rPr>
          <w:rFonts w:ascii="Roboto Slab" w:eastAsia="Times New Roman" w:hAnsi="Roboto Slab" w:cs="Arial"/>
          <w:b/>
          <w:bCs/>
          <w:color w:val="575757"/>
          <w:spacing w:val="30"/>
          <w:sz w:val="39"/>
          <w:szCs w:val="39"/>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F3128E" w:rsidRPr="00F3128E">
        <w:trPr>
          <w:tblCellSpacing w:w="15" w:type="dxa"/>
          <w:jc w:val="center"/>
        </w:trPr>
        <w:tc>
          <w:tcPr>
            <w:tcW w:w="0" w:type="auto"/>
            <w:hideMark/>
          </w:tcPr>
          <w:p w:rsidR="00F3128E" w:rsidRPr="00F3128E" w:rsidRDefault="00F3128E" w:rsidP="00F3128E">
            <w:pPr>
              <w:spacing w:before="100" w:beforeAutospacing="1" w:after="100" w:afterAutospacing="1" w:line="240" w:lineRule="auto"/>
              <w:rPr>
                <w:rFonts w:ascii="Arial" w:eastAsia="Times New Roman" w:hAnsi="Arial" w:cs="Arial"/>
                <w:b/>
                <w:bCs/>
                <w:color w:val="575757"/>
                <w:spacing w:val="15"/>
                <w:sz w:val="27"/>
                <w:szCs w:val="27"/>
              </w:rPr>
            </w:pPr>
            <w:r w:rsidRPr="00F3128E">
              <w:rPr>
                <w:rFonts w:ascii="Arial" w:eastAsia="Times New Roman" w:hAnsi="Arial" w:cs="Arial"/>
                <w:b/>
                <w:bCs/>
                <w:color w:val="575757"/>
                <w:spacing w:val="15"/>
                <w:sz w:val="27"/>
                <w:szCs w:val="27"/>
              </w:rPr>
              <w:t>e-CFR data is current as of November 16, 2017</w:t>
            </w:r>
          </w:p>
        </w:tc>
      </w:tr>
    </w:tbl>
    <w:p w:rsidR="00F3128E" w:rsidRPr="00F3128E" w:rsidRDefault="00F3128E" w:rsidP="00F3128E">
      <w:pPr>
        <w:spacing w:after="0" w:line="240" w:lineRule="auto"/>
        <w:jc w:val="center"/>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241"/>
      </w:tblGrid>
      <w:tr w:rsidR="00F3128E" w:rsidRPr="00F3128E">
        <w:trPr>
          <w:tblCellSpacing w:w="15" w:type="dxa"/>
          <w:jc w:val="center"/>
        </w:trPr>
        <w:tc>
          <w:tcPr>
            <w:tcW w:w="0" w:type="auto"/>
            <w:hideMark/>
          </w:tcPr>
          <w:p w:rsidR="00F3128E" w:rsidRPr="00F3128E" w:rsidRDefault="00E81154" w:rsidP="00F3128E">
            <w:pPr>
              <w:spacing w:before="200" w:after="100" w:afterAutospacing="1" w:line="240" w:lineRule="auto"/>
              <w:rPr>
                <w:rFonts w:ascii="Arial" w:eastAsia="Times New Roman" w:hAnsi="Arial" w:cs="Arial"/>
                <w:sz w:val="20"/>
                <w:szCs w:val="20"/>
              </w:rPr>
            </w:pPr>
            <w:hyperlink r:id="rId5" w:history="1">
              <w:r w:rsidR="00F3128E" w:rsidRPr="00F3128E">
                <w:rPr>
                  <w:rFonts w:ascii="Arial" w:eastAsia="Times New Roman" w:hAnsi="Arial" w:cs="Arial"/>
                  <w:color w:val="4278B6"/>
                  <w:sz w:val="17"/>
                  <w:szCs w:val="17"/>
                </w:rPr>
                <w:t>Title 29</w:t>
              </w:r>
            </w:hyperlink>
            <w:r w:rsidR="00F3128E" w:rsidRPr="00F3128E">
              <w:rPr>
                <w:rFonts w:ascii="Arial" w:eastAsia="Times New Roman" w:hAnsi="Arial" w:cs="Arial"/>
                <w:sz w:val="20"/>
                <w:szCs w:val="20"/>
              </w:rPr>
              <w:t xml:space="preserve"> → </w:t>
            </w:r>
            <w:hyperlink r:id="rId6" w:history="1">
              <w:r w:rsidR="00F3128E" w:rsidRPr="00F3128E">
                <w:rPr>
                  <w:rFonts w:ascii="Arial" w:eastAsia="Times New Roman" w:hAnsi="Arial" w:cs="Arial"/>
                  <w:color w:val="4278B6"/>
                  <w:sz w:val="17"/>
                  <w:szCs w:val="17"/>
                </w:rPr>
                <w:t>Subtitle B</w:t>
              </w:r>
            </w:hyperlink>
            <w:r w:rsidR="00F3128E" w:rsidRPr="00F3128E">
              <w:rPr>
                <w:rFonts w:ascii="Arial" w:eastAsia="Times New Roman" w:hAnsi="Arial" w:cs="Arial"/>
                <w:sz w:val="20"/>
                <w:szCs w:val="20"/>
              </w:rPr>
              <w:t xml:space="preserve"> → </w:t>
            </w:r>
            <w:hyperlink r:id="rId7" w:history="1">
              <w:r w:rsidR="00F3128E" w:rsidRPr="00F3128E">
                <w:rPr>
                  <w:rFonts w:ascii="Arial" w:eastAsia="Times New Roman" w:hAnsi="Arial" w:cs="Arial"/>
                  <w:color w:val="4278B6"/>
                  <w:sz w:val="17"/>
                  <w:szCs w:val="17"/>
                </w:rPr>
                <w:t>Chapter XVII</w:t>
              </w:r>
            </w:hyperlink>
            <w:r w:rsidR="00F3128E" w:rsidRPr="00F3128E">
              <w:rPr>
                <w:rFonts w:ascii="Arial" w:eastAsia="Times New Roman" w:hAnsi="Arial" w:cs="Arial"/>
                <w:sz w:val="20"/>
                <w:szCs w:val="20"/>
              </w:rPr>
              <w:t xml:space="preserve"> → </w:t>
            </w:r>
            <w:hyperlink r:id="rId8" w:history="1">
              <w:r w:rsidR="00F3128E" w:rsidRPr="00F3128E">
                <w:rPr>
                  <w:rFonts w:ascii="Arial" w:eastAsia="Times New Roman" w:hAnsi="Arial" w:cs="Arial"/>
                  <w:color w:val="4278B6"/>
                  <w:sz w:val="17"/>
                  <w:szCs w:val="17"/>
                </w:rPr>
                <w:t>Part 1926</w:t>
              </w:r>
            </w:hyperlink>
            <w:r w:rsidR="00F3128E" w:rsidRPr="00F3128E">
              <w:rPr>
                <w:rFonts w:ascii="Arial" w:eastAsia="Times New Roman" w:hAnsi="Arial" w:cs="Arial"/>
                <w:sz w:val="20"/>
                <w:szCs w:val="20"/>
              </w:rPr>
              <w:t xml:space="preserve"> → </w:t>
            </w:r>
            <w:hyperlink r:id="rId9" w:history="1">
              <w:r w:rsidR="00F3128E" w:rsidRPr="00F3128E">
                <w:rPr>
                  <w:rFonts w:ascii="Arial" w:eastAsia="Times New Roman" w:hAnsi="Arial" w:cs="Arial"/>
                  <w:color w:val="4278B6"/>
                  <w:sz w:val="17"/>
                  <w:szCs w:val="17"/>
                </w:rPr>
                <w:t>Subpart D</w:t>
              </w:r>
            </w:hyperlink>
            <w:r w:rsidR="00F3128E" w:rsidRPr="00F3128E">
              <w:rPr>
                <w:rFonts w:ascii="Arial" w:eastAsia="Times New Roman" w:hAnsi="Arial" w:cs="Arial"/>
                <w:sz w:val="20"/>
                <w:szCs w:val="20"/>
              </w:rPr>
              <w:t xml:space="preserve"> → §1926.50</w:t>
            </w:r>
          </w:p>
          <w:p w:rsidR="00F3128E" w:rsidRPr="00F3128E" w:rsidRDefault="00E81154" w:rsidP="00F3128E">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noshade="t" o:hr="t" fillcolor="black" stroked="f"/>
              </w:pict>
            </w:r>
          </w:p>
        </w:tc>
      </w:tr>
    </w:tbl>
    <w:p w:rsidR="00F3128E" w:rsidRPr="00F3128E" w:rsidRDefault="00F3128E" w:rsidP="00F3128E">
      <w:pPr>
        <w:spacing w:before="200" w:after="100" w:afterAutospacing="1" w:line="240" w:lineRule="auto"/>
        <w:rPr>
          <w:rFonts w:ascii="Arial" w:eastAsia="Times New Roman" w:hAnsi="Arial" w:cs="Arial"/>
          <w:sz w:val="20"/>
          <w:szCs w:val="20"/>
        </w:rPr>
      </w:pPr>
      <w:r w:rsidRPr="00F3128E">
        <w:rPr>
          <w:rFonts w:ascii="Arial" w:eastAsia="Times New Roman" w:hAnsi="Arial" w:cs="Arial"/>
          <w:sz w:val="20"/>
          <w:szCs w:val="20"/>
        </w:rPr>
        <w:t xml:space="preserve">Title 29: Labor </w:t>
      </w:r>
      <w:r w:rsidRPr="00F3128E">
        <w:rPr>
          <w:rFonts w:ascii="Arial" w:eastAsia="Times New Roman" w:hAnsi="Arial" w:cs="Arial"/>
          <w:sz w:val="20"/>
          <w:szCs w:val="20"/>
        </w:rPr>
        <w:br/>
      </w:r>
      <w:hyperlink r:id="rId10" w:history="1">
        <w:r w:rsidRPr="00F3128E">
          <w:rPr>
            <w:rFonts w:ascii="Arial" w:eastAsia="Times New Roman" w:hAnsi="Arial" w:cs="Arial"/>
            <w:color w:val="4278B6"/>
            <w:sz w:val="17"/>
            <w:szCs w:val="17"/>
          </w:rPr>
          <w:t>PART 1926—SAFETY AND HEALTH REGULATIONS FOR CONSTRUCTION</w:t>
        </w:r>
      </w:hyperlink>
      <w:r w:rsidRPr="00F3128E">
        <w:rPr>
          <w:rFonts w:ascii="Arial" w:eastAsia="Times New Roman" w:hAnsi="Arial" w:cs="Arial"/>
          <w:sz w:val="20"/>
          <w:szCs w:val="20"/>
        </w:rPr>
        <w:t xml:space="preserve"> </w:t>
      </w:r>
      <w:r w:rsidRPr="00F3128E">
        <w:rPr>
          <w:rFonts w:ascii="Arial" w:eastAsia="Times New Roman" w:hAnsi="Arial" w:cs="Arial"/>
          <w:sz w:val="20"/>
          <w:szCs w:val="20"/>
        </w:rPr>
        <w:br/>
      </w:r>
      <w:hyperlink r:id="rId11" w:history="1">
        <w:r w:rsidRPr="00F3128E">
          <w:rPr>
            <w:rFonts w:ascii="Arial" w:eastAsia="Times New Roman" w:hAnsi="Arial" w:cs="Arial"/>
            <w:color w:val="4278B6"/>
            <w:sz w:val="17"/>
            <w:szCs w:val="17"/>
          </w:rPr>
          <w:t>Subpart D—Occupational Health and Environmental Controls</w:t>
        </w:r>
      </w:hyperlink>
      <w:r w:rsidRPr="00F3128E">
        <w:rPr>
          <w:rFonts w:ascii="Arial" w:eastAsia="Times New Roman" w:hAnsi="Arial" w:cs="Arial"/>
          <w:sz w:val="20"/>
          <w:szCs w:val="20"/>
        </w:rPr>
        <w:t xml:space="preserve"> </w:t>
      </w:r>
    </w:p>
    <w:p w:rsidR="00F3128E" w:rsidRPr="00F3128E" w:rsidRDefault="00E81154" w:rsidP="00F3128E">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6" style="width:0;height:1.5pt" o:hralign="center" o:hrstd="t" o:hr="t" fillcolor="#a0a0a0" stroked="f"/>
        </w:pict>
      </w:r>
    </w:p>
    <w:p w:rsidR="00F3128E" w:rsidRPr="00F3128E" w:rsidRDefault="00F3128E" w:rsidP="00F3128E">
      <w:pPr>
        <w:spacing w:before="200" w:after="100" w:line="240" w:lineRule="auto"/>
        <w:outlineLvl w:val="1"/>
        <w:rPr>
          <w:rFonts w:ascii="Arial" w:eastAsia="Times New Roman" w:hAnsi="Arial" w:cs="Arial"/>
          <w:b/>
          <w:bCs/>
          <w:sz w:val="20"/>
          <w:szCs w:val="20"/>
        </w:rPr>
      </w:pPr>
      <w:bookmarkStart w:id="1" w:name="_top"/>
      <w:bookmarkEnd w:id="1"/>
      <w:r w:rsidRPr="00F3128E">
        <w:rPr>
          <w:rFonts w:ascii="Arial" w:eastAsia="Times New Roman" w:hAnsi="Arial" w:cs="Arial"/>
          <w:b/>
          <w:bCs/>
          <w:sz w:val="20"/>
          <w:szCs w:val="20"/>
        </w:rPr>
        <w:t>§1926.50   Medical services and first aid.</w:t>
      </w:r>
    </w:p>
    <w:p w:rsidR="00F3128E" w:rsidRPr="00F3128E" w:rsidRDefault="00F3128E" w:rsidP="00F3128E">
      <w:pPr>
        <w:spacing w:before="100" w:beforeAutospacing="1" w:after="100" w:afterAutospacing="1" w:line="240" w:lineRule="auto"/>
        <w:ind w:firstLine="480"/>
        <w:jc w:val="center"/>
        <w:rPr>
          <w:rFonts w:ascii="Arial" w:eastAsia="Times New Roman" w:hAnsi="Arial" w:cs="Arial"/>
          <w:sz w:val="20"/>
          <w:szCs w:val="20"/>
        </w:rPr>
      </w:pPr>
      <w:r w:rsidRPr="00F3128E">
        <w:rPr>
          <w:rFonts w:ascii="Arial" w:eastAsia="Times New Roman" w:hAnsi="Arial" w:cs="Arial"/>
          <w:sz w:val="20"/>
          <w:szCs w:val="20"/>
        </w:rPr>
        <w:t>(a) The employer shall insure the availability of medical personnel for advice and consultation on matters of occupational health.</w:t>
      </w:r>
    </w:p>
    <w:p w:rsidR="00F3128E" w:rsidRPr="00F3128E" w:rsidRDefault="00F3128E" w:rsidP="00F3128E">
      <w:pPr>
        <w:spacing w:before="100" w:beforeAutospacing="1" w:after="100" w:afterAutospacing="1" w:line="240" w:lineRule="auto"/>
        <w:ind w:firstLine="480"/>
        <w:jc w:val="center"/>
        <w:rPr>
          <w:rFonts w:ascii="Arial" w:eastAsia="Times New Roman" w:hAnsi="Arial" w:cs="Arial"/>
          <w:sz w:val="20"/>
          <w:szCs w:val="20"/>
        </w:rPr>
      </w:pPr>
      <w:r w:rsidRPr="00F3128E">
        <w:rPr>
          <w:rFonts w:ascii="Arial" w:eastAsia="Times New Roman" w:hAnsi="Arial" w:cs="Arial"/>
          <w:sz w:val="20"/>
          <w:szCs w:val="20"/>
        </w:rPr>
        <w:t>(b) Provisions shall be made prior to commencement of the project for prompt medical attention in case of serious injury.</w:t>
      </w:r>
    </w:p>
    <w:p w:rsidR="00F3128E" w:rsidRPr="00F3128E" w:rsidRDefault="00F3128E" w:rsidP="00F3128E">
      <w:pPr>
        <w:spacing w:before="100" w:beforeAutospacing="1" w:after="100" w:afterAutospacing="1" w:line="240" w:lineRule="auto"/>
        <w:ind w:firstLine="480"/>
        <w:jc w:val="center"/>
        <w:rPr>
          <w:rFonts w:ascii="Arial" w:eastAsia="Times New Roman" w:hAnsi="Arial" w:cs="Arial"/>
          <w:sz w:val="20"/>
          <w:szCs w:val="20"/>
        </w:rPr>
      </w:pPr>
      <w:r w:rsidRPr="00F3128E">
        <w:rPr>
          <w:rFonts w:ascii="Arial" w:eastAsia="Times New Roman" w:hAnsi="Arial" w:cs="Arial"/>
          <w:sz w:val="20"/>
          <w:szCs w:val="20"/>
        </w:rPr>
        <w:t>(c) In the absence of an infirmary, clinic, hospital, or physician, that is reasonably accessible in terms of time and distance to the worksite, which is available for the treatment of injured employees, a person who has a valid certificate in first-aid training from the U.S. Bureau of Mines, the American Red Cross, or equivalent training that can be verified by documentary evidence, shall be available at the worksite to render first aid.</w:t>
      </w:r>
    </w:p>
    <w:p w:rsidR="00F3128E" w:rsidRPr="00F3128E" w:rsidRDefault="00F3128E" w:rsidP="00F3128E">
      <w:pPr>
        <w:spacing w:before="100" w:beforeAutospacing="1" w:after="100" w:afterAutospacing="1" w:line="240" w:lineRule="auto"/>
        <w:ind w:firstLine="480"/>
        <w:jc w:val="center"/>
        <w:rPr>
          <w:rFonts w:ascii="Arial" w:eastAsia="Times New Roman" w:hAnsi="Arial" w:cs="Arial"/>
          <w:sz w:val="20"/>
          <w:szCs w:val="20"/>
        </w:rPr>
      </w:pPr>
      <w:r w:rsidRPr="00F3128E">
        <w:rPr>
          <w:rFonts w:ascii="Arial" w:eastAsia="Times New Roman" w:hAnsi="Arial" w:cs="Arial"/>
          <w:sz w:val="20"/>
          <w:szCs w:val="20"/>
        </w:rPr>
        <w:t>(d)(1) First aid supplies shall be easily accessible when required.</w:t>
      </w:r>
    </w:p>
    <w:p w:rsidR="00F3128E" w:rsidRPr="00F3128E" w:rsidRDefault="00F3128E" w:rsidP="00F3128E">
      <w:pPr>
        <w:spacing w:before="100" w:beforeAutospacing="1" w:after="100" w:afterAutospacing="1" w:line="240" w:lineRule="auto"/>
        <w:ind w:firstLine="480"/>
        <w:jc w:val="center"/>
        <w:rPr>
          <w:rFonts w:ascii="Arial" w:eastAsia="Times New Roman" w:hAnsi="Arial" w:cs="Arial"/>
          <w:sz w:val="20"/>
          <w:szCs w:val="20"/>
        </w:rPr>
      </w:pPr>
      <w:r w:rsidRPr="00F3128E">
        <w:rPr>
          <w:rFonts w:ascii="Arial" w:eastAsia="Times New Roman" w:hAnsi="Arial" w:cs="Arial"/>
          <w:sz w:val="20"/>
          <w:szCs w:val="20"/>
        </w:rPr>
        <w:t>(2) The contents of the first aid kit shall be placed in a weatherproof container with individual sealed packages for each type of item, and shall be checked by the employer before being sent out on each job and at least weekly on each job to ensure that the expended items are replaced.</w:t>
      </w:r>
    </w:p>
    <w:p w:rsidR="00F3128E" w:rsidRPr="00F3128E" w:rsidRDefault="00F3128E" w:rsidP="00F3128E">
      <w:pPr>
        <w:spacing w:before="100" w:beforeAutospacing="1" w:after="100" w:afterAutospacing="1" w:line="240" w:lineRule="auto"/>
        <w:ind w:firstLine="480"/>
        <w:jc w:val="center"/>
        <w:rPr>
          <w:rFonts w:ascii="Arial" w:eastAsia="Times New Roman" w:hAnsi="Arial" w:cs="Arial"/>
          <w:sz w:val="20"/>
          <w:szCs w:val="20"/>
        </w:rPr>
      </w:pPr>
      <w:r w:rsidRPr="00F3128E">
        <w:rPr>
          <w:rFonts w:ascii="Arial" w:eastAsia="Times New Roman" w:hAnsi="Arial" w:cs="Arial"/>
          <w:sz w:val="20"/>
          <w:szCs w:val="20"/>
        </w:rPr>
        <w:t>(e) Proper equipment for prompt transportation of the injured person to a physician or hospital, or a communication system for contacting necessary ambulance service, shall be provided.</w:t>
      </w:r>
    </w:p>
    <w:p w:rsidR="00F3128E" w:rsidRPr="00F3128E" w:rsidRDefault="00F3128E" w:rsidP="00F3128E">
      <w:pPr>
        <w:spacing w:before="100" w:beforeAutospacing="1" w:after="100" w:afterAutospacing="1" w:line="240" w:lineRule="auto"/>
        <w:ind w:firstLine="480"/>
        <w:jc w:val="center"/>
        <w:rPr>
          <w:rFonts w:ascii="Arial" w:eastAsia="Times New Roman" w:hAnsi="Arial" w:cs="Arial"/>
          <w:sz w:val="20"/>
          <w:szCs w:val="20"/>
        </w:rPr>
      </w:pPr>
      <w:r w:rsidRPr="00F3128E">
        <w:rPr>
          <w:rFonts w:ascii="Arial" w:eastAsia="Times New Roman" w:hAnsi="Arial" w:cs="Arial"/>
          <w:sz w:val="20"/>
          <w:szCs w:val="20"/>
        </w:rPr>
        <w:t>(f) In areas where 911 is not available, the telephone numbers of the physicians, hospitals, or ambulances shall be conspicuously posted.</w:t>
      </w:r>
    </w:p>
    <w:p w:rsidR="00F3128E" w:rsidRPr="00F3128E" w:rsidRDefault="00F3128E" w:rsidP="00F3128E">
      <w:pPr>
        <w:spacing w:before="100" w:beforeAutospacing="1" w:after="100" w:afterAutospacing="1" w:line="240" w:lineRule="auto"/>
        <w:ind w:firstLine="480"/>
        <w:jc w:val="center"/>
        <w:rPr>
          <w:rFonts w:ascii="Arial" w:eastAsia="Times New Roman" w:hAnsi="Arial" w:cs="Arial"/>
          <w:sz w:val="20"/>
          <w:szCs w:val="20"/>
        </w:rPr>
      </w:pPr>
      <w:r w:rsidRPr="00F3128E">
        <w:rPr>
          <w:rFonts w:ascii="Arial" w:eastAsia="Times New Roman" w:hAnsi="Arial" w:cs="Arial"/>
          <w:sz w:val="20"/>
          <w:szCs w:val="20"/>
        </w:rPr>
        <w:t>(g) Where the eyes or body of any person may be exposed to injurious corrosive materials, suitable facilities for quick drenching or flushing of the eyes and body shall be provided within the work area for immediate emergency use.</w:t>
      </w:r>
    </w:p>
    <w:p w:rsidR="00F3128E" w:rsidRPr="00F3128E" w:rsidRDefault="00F3128E" w:rsidP="00F3128E">
      <w:pPr>
        <w:spacing w:before="200" w:after="100" w:line="240" w:lineRule="auto"/>
        <w:jc w:val="center"/>
        <w:outlineLvl w:val="0"/>
        <w:rPr>
          <w:rFonts w:ascii="Arial" w:eastAsia="Times New Roman" w:hAnsi="Arial" w:cs="Arial"/>
          <w:smallCaps/>
          <w:kern w:val="36"/>
          <w:sz w:val="20"/>
          <w:szCs w:val="20"/>
        </w:rPr>
      </w:pPr>
      <w:r w:rsidRPr="00F3128E">
        <w:rPr>
          <w:rFonts w:ascii="Arial" w:eastAsia="Times New Roman" w:hAnsi="Arial" w:cs="Arial"/>
          <w:smallCaps/>
          <w:kern w:val="36"/>
          <w:sz w:val="20"/>
          <w:szCs w:val="20"/>
        </w:rPr>
        <w:t>Appendix A to §1926.50—First aid Kits (Non-Mandatory)</w:t>
      </w:r>
    </w:p>
    <w:p w:rsidR="00F3128E" w:rsidRPr="00F3128E" w:rsidRDefault="00F3128E" w:rsidP="00F3128E">
      <w:pPr>
        <w:spacing w:before="100" w:beforeAutospacing="1" w:after="100" w:afterAutospacing="1" w:line="240" w:lineRule="auto"/>
        <w:ind w:firstLine="480"/>
        <w:jc w:val="center"/>
        <w:rPr>
          <w:rFonts w:ascii="Arial" w:eastAsia="Times New Roman" w:hAnsi="Arial" w:cs="Arial"/>
          <w:sz w:val="18"/>
          <w:szCs w:val="18"/>
        </w:rPr>
      </w:pPr>
      <w:r w:rsidRPr="00F3128E">
        <w:rPr>
          <w:rFonts w:ascii="Arial" w:eastAsia="Times New Roman" w:hAnsi="Arial" w:cs="Arial"/>
          <w:sz w:val="18"/>
          <w:szCs w:val="18"/>
        </w:rPr>
        <w:t>First aid supplies are required to be easily accessible under paragraph §1926.50(d)(1). An example of the minimal contents of a generic first aid kit is described in American National Standard (ANSI) Z308.1-1978 “Minimum Requirements for Industrial Unit-Type First-aid Kits”. The contents of the kit listed in the ANSI standard should be adequate for small work sites. When larger operations or multiple operations are being conducted at the same location, employers should determine the need for additional first aid kits at the worksite, additional types of first aid equipment and supplies and additional quantities and types of supplies and equipment in the first aid kits.</w:t>
      </w:r>
    </w:p>
    <w:p w:rsidR="00F3128E" w:rsidRPr="00F3128E" w:rsidRDefault="00F3128E" w:rsidP="00F3128E">
      <w:pPr>
        <w:spacing w:before="100" w:beforeAutospacing="1" w:after="100" w:afterAutospacing="1" w:line="240" w:lineRule="auto"/>
        <w:ind w:firstLine="480"/>
        <w:jc w:val="center"/>
        <w:rPr>
          <w:rFonts w:ascii="Arial" w:eastAsia="Times New Roman" w:hAnsi="Arial" w:cs="Arial"/>
          <w:sz w:val="18"/>
          <w:szCs w:val="18"/>
        </w:rPr>
      </w:pPr>
      <w:r w:rsidRPr="00F3128E">
        <w:rPr>
          <w:rFonts w:ascii="Arial" w:eastAsia="Times New Roman" w:hAnsi="Arial" w:cs="Arial"/>
          <w:sz w:val="18"/>
          <w:szCs w:val="18"/>
        </w:rPr>
        <w:lastRenderedPageBreak/>
        <w:t>In a similar fashion, employers who have unique or changing first-aid needs in their workplace may need to enhance their first-aid kits. The employer can use the OSHA 300 log, OSHA 301 log, or other reports to identify these unique problems. Consultation from the local fire/rescue department, appropriate medical professional, or local emergency room may be helpful to employers in these circumstances. By assessing the specific needs of their workplace, employers can ensure that reasonably anticipated supplies are available. Employers should assess the specific needs of their worksite periodically and augment the first aid kit appropriately.</w:t>
      </w:r>
    </w:p>
    <w:p w:rsidR="00F3128E" w:rsidRPr="00F3128E" w:rsidRDefault="00F3128E" w:rsidP="00F3128E">
      <w:pPr>
        <w:spacing w:before="100" w:beforeAutospacing="1" w:after="100" w:afterAutospacing="1" w:line="240" w:lineRule="auto"/>
        <w:ind w:firstLine="480"/>
        <w:jc w:val="center"/>
        <w:rPr>
          <w:rFonts w:ascii="Arial" w:eastAsia="Times New Roman" w:hAnsi="Arial" w:cs="Arial"/>
          <w:sz w:val="18"/>
          <w:szCs w:val="18"/>
        </w:rPr>
      </w:pPr>
      <w:r w:rsidRPr="00F3128E">
        <w:rPr>
          <w:rFonts w:ascii="Arial" w:eastAsia="Times New Roman" w:hAnsi="Arial" w:cs="Arial"/>
          <w:sz w:val="18"/>
          <w:szCs w:val="18"/>
        </w:rPr>
        <w:t>If it is reasonably anticipated employees will be exposed to blood or other potentially infectious materials while using first-aid supplies, employers should provide personal protective equipment (PPE). Appropriate PPE includes gloves, gowns, face shields, masks and eye protection (see “Occupational Exposure to Blood borne Pathogens”, 29 CFR 1910.1030(d)(3)) (56 FR 64175).</w:t>
      </w:r>
    </w:p>
    <w:p w:rsidR="00F3128E" w:rsidRPr="00F3128E" w:rsidRDefault="00F3128E" w:rsidP="00F3128E">
      <w:pPr>
        <w:spacing w:before="200" w:after="100" w:afterAutospacing="1" w:line="240" w:lineRule="auto"/>
        <w:rPr>
          <w:rFonts w:ascii="Arial" w:eastAsia="Times New Roman" w:hAnsi="Arial" w:cs="Arial"/>
          <w:sz w:val="18"/>
          <w:szCs w:val="18"/>
        </w:rPr>
      </w:pPr>
      <w:r w:rsidRPr="00F3128E">
        <w:rPr>
          <w:rFonts w:ascii="Arial" w:eastAsia="Times New Roman" w:hAnsi="Arial" w:cs="Arial"/>
          <w:sz w:val="18"/>
          <w:szCs w:val="18"/>
        </w:rPr>
        <w:t>[44 FR 8577, Feb. 9, 1979; 44 FR 20940, Apr. 6, 1979, as amended at 49 FR 18295, Apr. 30, 1984; 58 FR 35084, June 30, 1993; 61 FR 5510, Feb. 13, 1996; 63 FR 33469, June 18, 1998; 76 FR 80740, Dec. 27, 2011]</w:t>
      </w: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F3128E" w:rsidRPr="00F3128E">
        <w:trPr>
          <w:tblCellSpacing w:w="15" w:type="dxa"/>
          <w:jc w:val="center"/>
        </w:trPr>
        <w:tc>
          <w:tcPr>
            <w:tcW w:w="0" w:type="auto"/>
            <w:hideMark/>
          </w:tcPr>
          <w:p w:rsidR="00F3128E" w:rsidRPr="00F3128E" w:rsidRDefault="00E81154" w:rsidP="00F3128E">
            <w:pPr>
              <w:spacing w:before="200" w:after="100" w:afterAutospacing="1" w:line="240" w:lineRule="auto"/>
              <w:rPr>
                <w:rFonts w:ascii="Arial" w:eastAsia="Times New Roman" w:hAnsi="Arial" w:cs="Arial"/>
                <w:sz w:val="20"/>
                <w:szCs w:val="20"/>
              </w:rPr>
            </w:pPr>
            <w:hyperlink r:id="rId12" w:anchor="quest11" w:history="1">
              <w:r w:rsidR="00F3128E" w:rsidRPr="00F3128E">
                <w:rPr>
                  <w:rFonts w:ascii="Arial" w:eastAsia="Times New Roman" w:hAnsi="Arial" w:cs="Arial"/>
                  <w:color w:val="4278B6"/>
                  <w:sz w:val="17"/>
                  <w:szCs w:val="17"/>
                </w:rPr>
                <w:t>Need assistance?</w:t>
              </w:r>
            </w:hyperlink>
          </w:p>
        </w:tc>
      </w:tr>
    </w:tbl>
    <w:p w:rsidR="001D1A10" w:rsidRDefault="001D1A10"/>
    <w:sectPr w:rsidR="001D1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Slab">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28E"/>
    <w:rsid w:val="001D1A10"/>
    <w:rsid w:val="00E81154"/>
    <w:rsid w:val="00F3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128E"/>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F3128E"/>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F3128E"/>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28E"/>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F3128E"/>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F3128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3128E"/>
    <w:rPr>
      <w:rFonts w:ascii="Arial" w:hAnsi="Arial" w:cs="Arial" w:hint="default"/>
      <w:strike w:val="0"/>
      <w:dstrike w:val="0"/>
      <w:color w:val="4278B6"/>
      <w:sz w:val="17"/>
      <w:szCs w:val="17"/>
      <w:u w:val="none"/>
      <w:effect w:val="none"/>
    </w:rPr>
  </w:style>
  <w:style w:type="paragraph" w:styleId="NormalWeb">
    <w:name w:val="Normal (Web)"/>
    <w:basedOn w:val="Normal"/>
    <w:uiPriority w:val="99"/>
    <w:semiHidden/>
    <w:unhideWhenUsed/>
    <w:rsid w:val="00F3128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F3128E"/>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fp">
    <w:name w:val="fp"/>
    <w:basedOn w:val="Normal"/>
    <w:rsid w:val="00F3128E"/>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F3128E"/>
    <w:pPr>
      <w:spacing w:before="200" w:after="100" w:afterAutospacing="1" w:line="240" w:lineRule="auto"/>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128E"/>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F3128E"/>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F3128E"/>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28E"/>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F3128E"/>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F3128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3128E"/>
    <w:rPr>
      <w:rFonts w:ascii="Arial" w:hAnsi="Arial" w:cs="Arial" w:hint="default"/>
      <w:strike w:val="0"/>
      <w:dstrike w:val="0"/>
      <w:color w:val="4278B6"/>
      <w:sz w:val="17"/>
      <w:szCs w:val="17"/>
      <w:u w:val="none"/>
      <w:effect w:val="none"/>
    </w:rPr>
  </w:style>
  <w:style w:type="paragraph" w:styleId="NormalWeb">
    <w:name w:val="Normal (Web)"/>
    <w:basedOn w:val="Normal"/>
    <w:uiPriority w:val="99"/>
    <w:semiHidden/>
    <w:unhideWhenUsed/>
    <w:rsid w:val="00F3128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F3128E"/>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fp">
    <w:name w:val="fp"/>
    <w:basedOn w:val="Normal"/>
    <w:rsid w:val="00F3128E"/>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F3128E"/>
    <w:pPr>
      <w:spacing w:before="200" w:after="100" w:afterAutospacing="1"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432505">
      <w:bodyDiv w:val="1"/>
      <w:marLeft w:val="0"/>
      <w:marRight w:val="0"/>
      <w:marTop w:val="30"/>
      <w:marBottom w:val="750"/>
      <w:divBdr>
        <w:top w:val="none" w:sz="0" w:space="0" w:color="auto"/>
        <w:left w:val="none" w:sz="0" w:space="0" w:color="auto"/>
        <w:bottom w:val="none" w:sz="0" w:space="0" w:color="auto"/>
        <w:right w:val="none" w:sz="0" w:space="0" w:color="auto"/>
      </w:divBdr>
      <w:divsChild>
        <w:div w:id="1741633297">
          <w:marLeft w:val="0"/>
          <w:marRight w:val="0"/>
          <w:marTop w:val="0"/>
          <w:marBottom w:val="0"/>
          <w:divBdr>
            <w:top w:val="none" w:sz="0" w:space="0" w:color="auto"/>
            <w:left w:val="none" w:sz="0" w:space="0" w:color="auto"/>
            <w:bottom w:val="none" w:sz="0" w:space="0" w:color="auto"/>
            <w:right w:val="none" w:sz="0" w:space="0" w:color="auto"/>
          </w:divBdr>
        </w:div>
        <w:div w:id="744030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b9ec8e688f9b6f793d0fb578e99ed755&amp;mc=true&amp;n=pt29.8.1926&amp;r=PART&amp;ty=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gi-bin/text-idx?gp=&amp;SID=b9ec8e688f9b6f793d0fb578e99ed755&amp;mc=true&amp;tpl=/ecfrbrowse/Title29/29chapterXVII.tpl" TargetMode="External"/><Relationship Id="rId12" Type="http://schemas.openxmlformats.org/officeDocument/2006/relationships/hyperlink" Target="https://www.ecfr.gov/cgi-bin/ECFR?SID=b9ec8e688f9b6f793d0fb578e99ed755&amp;mc=true&amp;page=faq"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cfr.gov/cgi-bin/text-idx?gp=&amp;SID=b9ec8e688f9b6f793d0fb578e99ed755&amp;mc=true&amp;tpl=/ecfrbrowse/Title29/29subtitleB.tpl" TargetMode="External"/><Relationship Id="rId11" Type="http://schemas.openxmlformats.org/officeDocument/2006/relationships/hyperlink" Target="https://www.ecfr.gov/cgi-bin/retrieveECFR?gp=&amp;SID=b9ec8e688f9b6f793d0fb578e99ed755&amp;mc=true&amp;n=sp29.8.1926.d&amp;r=SUBPART&amp;ty=HTML" TargetMode="External"/><Relationship Id="rId5" Type="http://schemas.openxmlformats.org/officeDocument/2006/relationships/hyperlink" Target="https://www.ecfr.gov/cgi-bin/text-idx?gp=&amp;SID=b9ec8e688f9b6f793d0fb578e99ed755&amp;mc=true&amp;tpl=/ecfrbrowse/Title29/29tab_02.tpl" TargetMode="External"/><Relationship Id="rId10" Type="http://schemas.openxmlformats.org/officeDocument/2006/relationships/hyperlink" Target="https://www.ecfr.gov/cgi-bin/retrieveECFR?gp=&amp;SID=b9ec8e688f9b6f793d0fb578e99ed755&amp;mc=true&amp;n=pt29.8.1926&amp;r=PART&amp;ty=HTML" TargetMode="External"/><Relationship Id="rId4" Type="http://schemas.openxmlformats.org/officeDocument/2006/relationships/webSettings" Target="webSettings.xml"/><Relationship Id="rId9" Type="http://schemas.openxmlformats.org/officeDocument/2006/relationships/hyperlink" Target="https://www.ecfr.gov/cgi-bin/retrieveECFR?gp=&amp;SID=b9ec8e688f9b6f793d0fb578e99ed755&amp;mc=true&amp;n=sp29.8.1926.d&amp;r=SUBPART&amp;t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SYSTEM</cp:lastModifiedBy>
  <cp:revision>2</cp:revision>
  <dcterms:created xsi:type="dcterms:W3CDTF">2017-11-18T21:46:00Z</dcterms:created>
  <dcterms:modified xsi:type="dcterms:W3CDTF">2017-11-18T21:46:00Z</dcterms:modified>
</cp:coreProperties>
</file>