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36EC1" w14:textId="77777777" w:rsidR="003C061D" w:rsidRPr="00B77579" w:rsidRDefault="003C061D" w:rsidP="00097222">
      <w:pPr>
        <w:pStyle w:val="Captio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bookmarkStart w:id="0" w:name="_GoBack"/>
      <w:bookmarkEnd w:id="0"/>
      <w:r w:rsidRPr="00B77579">
        <w:t>SUPPORTING STATEMENT FOR</w:t>
      </w:r>
    </w:p>
    <w:p w14:paraId="5F218EFA" w14:textId="77777777" w:rsidR="00F020A6" w:rsidRPr="00B77579" w:rsidRDefault="003C061D" w:rsidP="00097222">
      <w:pPr>
        <w:widowControl/>
        <w:jc w:val="center"/>
        <w:rPr>
          <w:b/>
          <w:bCs/>
          <w:color w:val="000000"/>
        </w:rPr>
      </w:pPr>
      <w:r w:rsidRPr="00B77579">
        <w:rPr>
          <w:b/>
          <w:bCs/>
          <w:color w:val="000000"/>
        </w:rPr>
        <w:t>PAPERWORK REDUCTION ACT SUBMISSIONS</w:t>
      </w:r>
    </w:p>
    <w:p w14:paraId="08BA0F9E" w14:textId="72B6C5B7" w:rsidR="000E4A65" w:rsidRPr="00B77579" w:rsidRDefault="00097222" w:rsidP="00097222">
      <w:pPr>
        <w:widowControl/>
        <w:jc w:val="center"/>
        <w:rPr>
          <w:b/>
          <w:bCs/>
          <w:caps/>
          <w:color w:val="000000"/>
        </w:rPr>
      </w:pPr>
      <w:r w:rsidRPr="00B77579">
        <w:rPr>
          <w:b/>
          <w:bCs/>
          <w:caps/>
          <w:color w:val="000000"/>
        </w:rPr>
        <w:t>Performance Reports for MSHA Grants</w:t>
      </w:r>
      <w:r w:rsidR="0026224A">
        <w:rPr>
          <w:b/>
          <w:bCs/>
          <w:caps/>
          <w:color w:val="000000"/>
        </w:rPr>
        <w:t xml:space="preserve"> </w:t>
      </w:r>
    </w:p>
    <w:p w14:paraId="071C5D2B" w14:textId="77777777" w:rsidR="00097222" w:rsidRPr="00B77579" w:rsidRDefault="00097222" w:rsidP="00CC7F1A">
      <w:pPr>
        <w:widowControl/>
        <w:rPr>
          <w:b/>
          <w:bCs/>
          <w:color w:val="000000"/>
        </w:rPr>
      </w:pPr>
    </w:p>
    <w:p w14:paraId="502F1A6D" w14:textId="0D64AD61" w:rsidR="00097222" w:rsidRPr="00B77579" w:rsidRDefault="00097222" w:rsidP="00CC7F1A">
      <w:pPr>
        <w:widowControl/>
        <w:rPr>
          <w:b/>
          <w:bCs/>
          <w:color w:val="000000"/>
        </w:rPr>
      </w:pPr>
      <w:r w:rsidRPr="00B77579">
        <w:rPr>
          <w:b/>
          <w:bCs/>
          <w:color w:val="000000"/>
        </w:rPr>
        <w:t>Information Collection Title:</w:t>
      </w:r>
      <w:r w:rsidRPr="00B77579">
        <w:t xml:space="preserve"> </w:t>
      </w:r>
      <w:r w:rsidRPr="00B77579">
        <w:rPr>
          <w:bCs/>
          <w:color w:val="000000"/>
        </w:rPr>
        <w:t>Performance Reports for MSHA Grants</w:t>
      </w:r>
      <w:r w:rsidR="00CD2588">
        <w:rPr>
          <w:bCs/>
          <w:color w:val="000000"/>
        </w:rPr>
        <w:t xml:space="preserve"> </w:t>
      </w:r>
    </w:p>
    <w:p w14:paraId="450510F6" w14:textId="77777777" w:rsidR="00097222" w:rsidRPr="00B77579" w:rsidRDefault="00097222" w:rsidP="00CC7F1A">
      <w:pPr>
        <w:widowControl/>
        <w:rPr>
          <w:b/>
          <w:bCs/>
          <w:color w:val="000000"/>
        </w:rPr>
      </w:pPr>
    </w:p>
    <w:p w14:paraId="72C78BC0" w14:textId="4797B0CC" w:rsidR="00861DA8" w:rsidRPr="00B77579" w:rsidRDefault="1F0F7660" w:rsidP="1F0F7660">
      <w:pPr>
        <w:widowControl/>
        <w:rPr>
          <w:color w:val="000000" w:themeColor="text1"/>
        </w:rPr>
      </w:pPr>
      <w:r w:rsidRPr="00B77579">
        <w:rPr>
          <w:b/>
          <w:bCs/>
          <w:color w:val="000000" w:themeColor="text1"/>
        </w:rPr>
        <w:t xml:space="preserve">Collection Instrument(s): </w:t>
      </w:r>
      <w:r w:rsidRPr="00B77579">
        <w:t>MSHA Performance Report Narratives and MSHA Form</w:t>
      </w:r>
      <w:r w:rsidR="006633AC">
        <w:t xml:space="preserve"> 5000-50,  </w:t>
      </w:r>
      <w:r w:rsidRPr="00B77579">
        <w:t xml:space="preserve">MSHA State Grant Program Performance Report </w:t>
      </w:r>
    </w:p>
    <w:p w14:paraId="328F79F7" w14:textId="77777777" w:rsidR="00861DA8" w:rsidRPr="00B77579" w:rsidRDefault="00861DA8" w:rsidP="00CC7F1A">
      <w:pPr>
        <w:widowControl/>
        <w:rPr>
          <w:b/>
          <w:bCs/>
          <w:i/>
          <w:color w:val="000000"/>
        </w:rPr>
      </w:pPr>
    </w:p>
    <w:p w14:paraId="79F45372" w14:textId="47F08596" w:rsidR="00681D10" w:rsidRPr="00B77579" w:rsidRDefault="00681D10" w:rsidP="00CC7F1A">
      <w:pPr>
        <w:widowControl/>
        <w:rPr>
          <w:bCs/>
          <w:color w:val="000000"/>
        </w:rPr>
      </w:pPr>
      <w:r w:rsidRPr="00B77579">
        <w:rPr>
          <w:b/>
          <w:bCs/>
          <w:color w:val="000000"/>
        </w:rPr>
        <w:t>Authority:</w:t>
      </w:r>
      <w:r w:rsidRPr="00B77579">
        <w:rPr>
          <w:b/>
          <w:bCs/>
          <w:i/>
          <w:color w:val="000000"/>
        </w:rPr>
        <w:t xml:space="preserve"> </w:t>
      </w:r>
      <w:r w:rsidR="00A85245" w:rsidRPr="00B77579">
        <w:rPr>
          <w:bCs/>
          <w:color w:val="000000"/>
        </w:rPr>
        <w:t>Section</w:t>
      </w:r>
      <w:r w:rsidR="006D06C8">
        <w:rPr>
          <w:bCs/>
          <w:color w:val="000000"/>
        </w:rPr>
        <w:t xml:space="preserve"> </w:t>
      </w:r>
      <w:r w:rsidR="00A85245" w:rsidRPr="00B77579">
        <w:rPr>
          <w:bCs/>
          <w:color w:val="000000"/>
        </w:rPr>
        <w:t>503 of the Federal Mine Safety and Health Act of 1977, Public Law 95-164</w:t>
      </w:r>
    </w:p>
    <w:p w14:paraId="65E50277" w14:textId="77777777" w:rsidR="00DB3045" w:rsidRPr="00B77579" w:rsidRDefault="00DB3045" w:rsidP="00CC7F1A">
      <w:pPr>
        <w:widowControl/>
        <w:rPr>
          <w:bCs/>
          <w:color w:val="000000"/>
        </w:rPr>
      </w:pPr>
    </w:p>
    <w:p w14:paraId="278471BE" w14:textId="77777777" w:rsidR="00681D10" w:rsidRPr="00B77579" w:rsidRDefault="00681D10" w:rsidP="00CC7F1A">
      <w:pPr>
        <w:widowControl/>
        <w:rPr>
          <w:b/>
          <w:bCs/>
          <w:i/>
          <w:color w:val="000000"/>
        </w:rPr>
      </w:pPr>
    </w:p>
    <w:p w14:paraId="7360DB59" w14:textId="77777777" w:rsidR="00681D10" w:rsidRPr="00B77579" w:rsidRDefault="00681D10" w:rsidP="00CC7F1A">
      <w:pPr>
        <w:widowControl/>
        <w:rPr>
          <w:b/>
          <w:bCs/>
          <w:i/>
          <w:color w:val="000000"/>
        </w:rPr>
      </w:pPr>
    </w:p>
    <w:p w14:paraId="0B3735F1" w14:textId="77777777" w:rsidR="000E4A65" w:rsidRPr="00B77579" w:rsidRDefault="00343088" w:rsidP="00CC7F1A">
      <w:pPr>
        <w:widowControl/>
        <w:rPr>
          <w:b/>
          <w:bCs/>
          <w:i/>
          <w:color w:val="000000"/>
        </w:rPr>
      </w:pPr>
      <w:r w:rsidRPr="00B77579">
        <w:rPr>
          <w:b/>
          <w:bCs/>
          <w:i/>
          <w:color w:val="000000"/>
        </w:rPr>
        <w:t xml:space="preserve">Part </w:t>
      </w:r>
      <w:r w:rsidR="000E4A65" w:rsidRPr="00B77579">
        <w:rPr>
          <w:b/>
          <w:bCs/>
          <w:i/>
          <w:color w:val="000000"/>
        </w:rPr>
        <w:t>A.  Justification</w:t>
      </w:r>
    </w:p>
    <w:p w14:paraId="7A546300" w14:textId="77777777" w:rsidR="003C061D" w:rsidRPr="00B77579" w:rsidRDefault="003C061D" w:rsidP="00CC7F1A">
      <w:pPr>
        <w:widowControl/>
        <w:rPr>
          <w:b/>
          <w:bCs/>
          <w:color w:val="000000"/>
        </w:rPr>
      </w:pPr>
    </w:p>
    <w:p w14:paraId="1EA62A42" w14:textId="77777777" w:rsidR="003C061D" w:rsidRPr="00B77579" w:rsidRDefault="003C061D" w:rsidP="00CC7F1A">
      <w:pPr>
        <w:widowControl/>
        <w:numPr>
          <w:ilvl w:val="0"/>
          <w:numId w:val="11"/>
        </w:numPr>
        <w:rPr>
          <w:b/>
          <w:bCs/>
          <w:color w:val="000000"/>
        </w:rPr>
      </w:pPr>
      <w:r w:rsidRPr="00B77579">
        <w:rPr>
          <w:b/>
          <w:bCs/>
          <w:color w:val="000000"/>
        </w:rPr>
        <w:t>Explain the circumstances that make the collection of information necessary. Identify any legal or administrative requirements that necessitate the collection</w:t>
      </w:r>
      <w:r w:rsidR="00A67F9D" w:rsidRPr="00B77579">
        <w:rPr>
          <w:b/>
          <w:bCs/>
          <w:color w:val="000000"/>
        </w:rPr>
        <w:t xml:space="preserve">. </w:t>
      </w:r>
      <w:r w:rsidRPr="00B77579">
        <w:rPr>
          <w:b/>
          <w:bCs/>
          <w:color w:val="000000"/>
        </w:rPr>
        <w:t>Describe the practical utility of the collection, including proposed and actual use</w:t>
      </w:r>
      <w:r w:rsidR="00A67F9D" w:rsidRPr="00B77579">
        <w:rPr>
          <w:b/>
          <w:bCs/>
          <w:color w:val="000000"/>
        </w:rPr>
        <w:t xml:space="preserve">. </w:t>
      </w:r>
      <w:r w:rsidRPr="00B77579">
        <w:rPr>
          <w:b/>
          <w:bCs/>
          <w:color w:val="000000"/>
        </w:rPr>
        <w:t>Attach a copy of the appropriate section of each statute and regulation mandating or authorizing the collection of information.</w:t>
      </w:r>
    </w:p>
    <w:p w14:paraId="47CA42E5" w14:textId="77777777" w:rsidR="003C061D" w:rsidRPr="00B77579" w:rsidRDefault="003C061D" w:rsidP="00CC7F1A">
      <w:pPr>
        <w:widowControl/>
        <w:rPr>
          <w:color w:val="000000"/>
        </w:rPr>
      </w:pPr>
    </w:p>
    <w:p w14:paraId="2B3CCBAA" w14:textId="65E60364" w:rsidR="009C532C" w:rsidRPr="00B77579" w:rsidRDefault="5504840C" w:rsidP="5504840C">
      <w:pPr>
        <w:widowControl/>
        <w:rPr>
          <w:color w:val="000000" w:themeColor="text1"/>
        </w:rPr>
      </w:pPr>
      <w:r w:rsidRPr="00B77579">
        <w:rPr>
          <w:color w:val="000000" w:themeColor="text1"/>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AA6C67">
        <w:rPr>
          <w:color w:val="000000" w:themeColor="text1"/>
        </w:rPr>
        <w:t>s</w:t>
      </w:r>
      <w:r w:rsidR="00434A95" w:rsidRPr="00B77579">
        <w:rPr>
          <w:color w:val="000000" w:themeColor="text1"/>
        </w:rPr>
        <w:t>ec</w:t>
      </w:r>
      <w:r w:rsidR="00AA6C67">
        <w:rPr>
          <w:color w:val="000000" w:themeColor="text1"/>
        </w:rPr>
        <w:t>tion</w:t>
      </w:r>
      <w:r w:rsidRPr="00B77579">
        <w:rPr>
          <w:color w:val="000000" w:themeColor="text1"/>
        </w:rPr>
        <w:t xml:space="preserve"> 101(a) of the Mine Act, 30 U.S.C. 811 authorizes the Secretary</w:t>
      </w:r>
      <w:r w:rsidR="00434A95" w:rsidRPr="00B77579">
        <w:rPr>
          <w:color w:val="000000" w:themeColor="text1"/>
        </w:rPr>
        <w:t xml:space="preserve"> of Labor (Secretary)</w:t>
      </w:r>
      <w:r w:rsidRPr="00B77579">
        <w:rPr>
          <w:color w:val="000000" w:themeColor="text1"/>
        </w:rPr>
        <w:t xml:space="preserve"> to develop, promulgate, and revise as may be appropriate, improved mandatory health or safety standards for the protection of life and prevention of injuries in coal and metal and nonmetal mines.</w:t>
      </w:r>
    </w:p>
    <w:p w14:paraId="136961F1" w14:textId="77777777" w:rsidR="009C532C" w:rsidRPr="00B77579" w:rsidRDefault="009C532C" w:rsidP="0019744D">
      <w:pPr>
        <w:widowControl/>
        <w:rPr>
          <w:color w:val="000000"/>
        </w:rPr>
      </w:pPr>
    </w:p>
    <w:p w14:paraId="65FB538B" w14:textId="78E30D3E" w:rsidR="00C84B57" w:rsidRPr="00B77579" w:rsidRDefault="00F053ED" w:rsidP="0019744D">
      <w:pPr>
        <w:widowControl/>
        <w:rPr>
          <w:color w:val="000000"/>
        </w:rPr>
      </w:pPr>
      <w:r w:rsidRPr="00B77579">
        <w:rPr>
          <w:color w:val="000000"/>
        </w:rPr>
        <w:t>MSHA is requesting approval of a new information collection for</w:t>
      </w:r>
      <w:r w:rsidR="00AA541B">
        <w:rPr>
          <w:color w:val="000000"/>
        </w:rPr>
        <w:t xml:space="preserve"> all our</w:t>
      </w:r>
      <w:r w:rsidRPr="00B77579">
        <w:rPr>
          <w:color w:val="000000"/>
        </w:rPr>
        <w:t xml:space="preserve"> </w:t>
      </w:r>
      <w:r w:rsidR="00434A95" w:rsidRPr="00B77579">
        <w:rPr>
          <w:color w:val="000000"/>
        </w:rPr>
        <w:t xml:space="preserve"> </w:t>
      </w:r>
      <w:r w:rsidRPr="00B77579">
        <w:rPr>
          <w:color w:val="000000"/>
        </w:rPr>
        <w:t xml:space="preserve">grant </w:t>
      </w:r>
      <w:r w:rsidR="00AA541B" w:rsidRPr="00B77579">
        <w:rPr>
          <w:color w:val="000000"/>
        </w:rPr>
        <w:t xml:space="preserve">reporting </w:t>
      </w:r>
      <w:r w:rsidRPr="00B77579">
        <w:rPr>
          <w:color w:val="000000"/>
        </w:rPr>
        <w:t xml:space="preserve">requirements.  </w:t>
      </w:r>
      <w:r w:rsidR="0019744D" w:rsidRPr="00B77579">
        <w:rPr>
          <w:color w:val="000000"/>
        </w:rPr>
        <w:t xml:space="preserve">One of </w:t>
      </w:r>
      <w:r w:rsidR="00925879" w:rsidRPr="00B77579">
        <w:rPr>
          <w:color w:val="000000"/>
        </w:rPr>
        <w:t xml:space="preserve">MSHA’s </w:t>
      </w:r>
      <w:r w:rsidR="0019744D" w:rsidRPr="00B77579">
        <w:rPr>
          <w:color w:val="000000"/>
        </w:rPr>
        <w:t xml:space="preserve">strategic goals is to “improve workplace safety and health” through the strategic objective “secure safe and healthy workplaces, particularly in high-risk industries.”  MSHA’s goal in accomplishing this objective is to “prevent death, disease, and injury from mining and promote safe and healthful workplaces for the Nation’s miners.”  Under </w:t>
      </w:r>
      <w:r w:rsidR="009961F3" w:rsidRPr="00B77579">
        <w:rPr>
          <w:color w:val="000000"/>
        </w:rPr>
        <w:t>S</w:t>
      </w:r>
      <w:r w:rsidR="00434A95" w:rsidRPr="00B77579">
        <w:rPr>
          <w:color w:val="000000"/>
        </w:rPr>
        <w:t xml:space="preserve">ec. </w:t>
      </w:r>
      <w:r w:rsidR="0019744D" w:rsidRPr="00B77579">
        <w:rPr>
          <w:color w:val="000000"/>
        </w:rPr>
        <w:t xml:space="preserve">503 of the </w:t>
      </w:r>
      <w:r w:rsidR="00434A95" w:rsidRPr="00B77579">
        <w:rPr>
          <w:color w:val="000000"/>
        </w:rPr>
        <w:t>Mine Act</w:t>
      </w:r>
      <w:r w:rsidR="0019744D" w:rsidRPr="00B77579">
        <w:rPr>
          <w:color w:val="000000"/>
        </w:rPr>
        <w:t>, as amended, the Secretary</w:t>
      </w:r>
      <w:r w:rsidR="00434A95" w:rsidRPr="00B77579">
        <w:rPr>
          <w:color w:val="000000"/>
        </w:rPr>
        <w:t xml:space="preserve"> </w:t>
      </w:r>
      <w:r w:rsidR="0019744D" w:rsidRPr="00B77579">
        <w:rPr>
          <w:color w:val="000000"/>
        </w:rPr>
        <w:t>may award grants to States to assist in developing and enforcing State mining laws and regulations, to improve State workers’ compensation and mining occupational disease laws and programs, and to improve safety and health conditions in the Nation’s mines through Federal-State coordination and cooperation.</w:t>
      </w:r>
      <w:r w:rsidR="00F576CD">
        <w:rPr>
          <w:color w:val="000000"/>
        </w:rPr>
        <w:t xml:space="preserve">  </w:t>
      </w:r>
    </w:p>
    <w:p w14:paraId="154BBDBB" w14:textId="77777777" w:rsidR="0080557E" w:rsidRPr="00B77579" w:rsidRDefault="0080557E" w:rsidP="00C84B57">
      <w:pPr>
        <w:widowControl/>
        <w:rPr>
          <w:color w:val="000000"/>
        </w:rPr>
      </w:pPr>
    </w:p>
    <w:p w14:paraId="2FECBBE7" w14:textId="4EE8DCBD" w:rsidR="00681D10" w:rsidRPr="00B77579" w:rsidRDefault="00434A95">
      <w:pPr>
        <w:widowControl/>
        <w:rPr>
          <w:color w:val="000000"/>
        </w:rPr>
      </w:pPr>
      <w:r w:rsidRPr="00B77579">
        <w:rPr>
          <w:color w:val="000000"/>
        </w:rPr>
        <w:t xml:space="preserve">Therefore, </w:t>
      </w:r>
      <w:r w:rsidR="00C84B57" w:rsidRPr="00B77579">
        <w:rPr>
          <w:color w:val="000000"/>
        </w:rPr>
        <w:t xml:space="preserve">MSHA seeks </w:t>
      </w:r>
      <w:r w:rsidRPr="00B77579">
        <w:rPr>
          <w:color w:val="000000"/>
        </w:rPr>
        <w:t xml:space="preserve">the </w:t>
      </w:r>
      <w:r w:rsidR="00C84B57" w:rsidRPr="00B77579">
        <w:rPr>
          <w:color w:val="000000"/>
        </w:rPr>
        <w:t>O</w:t>
      </w:r>
      <w:r w:rsidRPr="00B77579">
        <w:rPr>
          <w:color w:val="000000"/>
        </w:rPr>
        <w:t xml:space="preserve">ffice of </w:t>
      </w:r>
      <w:r w:rsidR="00C84B57" w:rsidRPr="00B77579">
        <w:rPr>
          <w:color w:val="000000"/>
        </w:rPr>
        <w:t>M</w:t>
      </w:r>
      <w:r w:rsidRPr="00B77579">
        <w:rPr>
          <w:color w:val="000000"/>
        </w:rPr>
        <w:t xml:space="preserve">anagement and </w:t>
      </w:r>
      <w:r w:rsidR="00C84B57" w:rsidRPr="00B77579">
        <w:rPr>
          <w:color w:val="000000"/>
        </w:rPr>
        <w:t>B</w:t>
      </w:r>
      <w:r w:rsidRPr="00B77579">
        <w:rPr>
          <w:color w:val="000000"/>
        </w:rPr>
        <w:t>udget’s (OMB)</w:t>
      </w:r>
      <w:r w:rsidR="00C84B57" w:rsidRPr="00B77579">
        <w:rPr>
          <w:color w:val="000000"/>
        </w:rPr>
        <w:t xml:space="preserve"> clearance of the information collections </w:t>
      </w:r>
      <w:r w:rsidR="00925879" w:rsidRPr="00B77579">
        <w:rPr>
          <w:color w:val="000000"/>
        </w:rPr>
        <w:t>the Department of Labor (</w:t>
      </w:r>
      <w:r w:rsidR="00410B6F" w:rsidRPr="00B77579">
        <w:rPr>
          <w:color w:val="000000"/>
        </w:rPr>
        <w:t>DOL</w:t>
      </w:r>
      <w:r w:rsidR="00925879" w:rsidRPr="00B77579">
        <w:rPr>
          <w:color w:val="000000"/>
        </w:rPr>
        <w:t>)</w:t>
      </w:r>
      <w:r w:rsidR="00410B6F" w:rsidRPr="00B77579">
        <w:rPr>
          <w:color w:val="000000"/>
        </w:rPr>
        <w:t xml:space="preserve"> </w:t>
      </w:r>
      <w:r w:rsidR="00C84B57" w:rsidRPr="00B77579">
        <w:rPr>
          <w:color w:val="000000"/>
        </w:rPr>
        <w:t xml:space="preserve">requires to carry out </w:t>
      </w:r>
      <w:r w:rsidR="009961F3" w:rsidRPr="00B77579">
        <w:rPr>
          <w:color w:val="000000"/>
        </w:rPr>
        <w:t>its grant</w:t>
      </w:r>
      <w:r w:rsidR="00C84B57" w:rsidRPr="00B77579">
        <w:rPr>
          <w:color w:val="000000"/>
        </w:rPr>
        <w:t xml:space="preserve"> programs</w:t>
      </w:r>
      <w:r w:rsidR="00142FE1" w:rsidRPr="00B77579">
        <w:rPr>
          <w:color w:val="000000"/>
        </w:rPr>
        <w:t xml:space="preserve"> through MSHA</w:t>
      </w:r>
      <w:r w:rsidR="00C84B57" w:rsidRPr="00B77579">
        <w:rPr>
          <w:color w:val="000000"/>
        </w:rPr>
        <w:t xml:space="preserve">.  </w:t>
      </w:r>
      <w:r w:rsidR="0059643D" w:rsidRPr="00B77579">
        <w:rPr>
          <w:color w:val="000000"/>
        </w:rPr>
        <w:t xml:space="preserve">This information collection covers the performance reporting </w:t>
      </w:r>
      <w:r w:rsidR="007E34CF">
        <w:rPr>
          <w:color w:val="000000"/>
        </w:rPr>
        <w:t>to</w:t>
      </w:r>
      <w:r w:rsidR="007E34CF" w:rsidRPr="00B77579">
        <w:rPr>
          <w:color w:val="000000"/>
        </w:rPr>
        <w:t xml:space="preserve"> </w:t>
      </w:r>
      <w:r w:rsidR="0059643D" w:rsidRPr="00B77579">
        <w:rPr>
          <w:color w:val="000000"/>
        </w:rPr>
        <w:t>MSHA</w:t>
      </w:r>
      <w:r w:rsidR="00A85245" w:rsidRPr="00B77579">
        <w:rPr>
          <w:color w:val="000000"/>
        </w:rPr>
        <w:t>.</w:t>
      </w:r>
      <w:r w:rsidR="00C84B57" w:rsidRPr="00B77579">
        <w:rPr>
          <w:color w:val="000000"/>
        </w:rPr>
        <w:t xml:space="preserve">  </w:t>
      </w:r>
      <w:r w:rsidR="00C84B57" w:rsidRPr="00B77579">
        <w:rPr>
          <w:color w:val="000000"/>
        </w:rPr>
        <w:lastRenderedPageBreak/>
        <w:t>MSHA is seeking</w:t>
      </w:r>
      <w:r w:rsidR="00681D10" w:rsidRPr="00B77579">
        <w:rPr>
          <w:color w:val="000000"/>
        </w:rPr>
        <w:t xml:space="preserve"> </w:t>
      </w:r>
      <w:r w:rsidR="00C84B57" w:rsidRPr="00B77579">
        <w:rPr>
          <w:color w:val="000000"/>
        </w:rPr>
        <w:t xml:space="preserve">to transfer its </w:t>
      </w:r>
      <w:r w:rsidR="009C532C" w:rsidRPr="00B77579">
        <w:rPr>
          <w:color w:val="000000"/>
        </w:rPr>
        <w:t>DOL</w:t>
      </w:r>
      <w:r w:rsidR="009961F3" w:rsidRPr="00B77579">
        <w:rPr>
          <w:color w:val="000000"/>
        </w:rPr>
        <w:t>-</w:t>
      </w:r>
      <w:r w:rsidR="00410B6F" w:rsidRPr="00B77579">
        <w:rPr>
          <w:color w:val="000000"/>
        </w:rPr>
        <w:t xml:space="preserve">approved </w:t>
      </w:r>
      <w:r w:rsidR="00C84B57" w:rsidRPr="00B77579">
        <w:rPr>
          <w:color w:val="000000"/>
        </w:rPr>
        <w:t xml:space="preserve">burden on the </w:t>
      </w:r>
      <w:r w:rsidR="00A85245" w:rsidRPr="00B77579">
        <w:rPr>
          <w:color w:val="000000"/>
        </w:rPr>
        <w:t xml:space="preserve">Narrative Reports </w:t>
      </w:r>
      <w:r w:rsidR="009C532C" w:rsidRPr="00B77579">
        <w:rPr>
          <w:color w:val="000000"/>
        </w:rPr>
        <w:t xml:space="preserve">under OMB </w:t>
      </w:r>
      <w:r w:rsidR="00A85245" w:rsidRPr="00B77579">
        <w:rPr>
          <w:color w:val="000000"/>
        </w:rPr>
        <w:t>N</w:t>
      </w:r>
      <w:r w:rsidR="009C532C" w:rsidRPr="00B77579">
        <w:rPr>
          <w:color w:val="000000"/>
        </w:rPr>
        <w:t xml:space="preserve">o. </w:t>
      </w:r>
      <w:r w:rsidR="00A85245" w:rsidRPr="00B77579">
        <w:rPr>
          <w:color w:val="000000"/>
        </w:rPr>
        <w:t xml:space="preserve">1225-0086 </w:t>
      </w:r>
      <w:r w:rsidR="00C84B57" w:rsidRPr="00B77579">
        <w:rPr>
          <w:color w:val="000000"/>
        </w:rPr>
        <w:t xml:space="preserve">to </w:t>
      </w:r>
      <w:r w:rsidR="00C45D98">
        <w:rPr>
          <w:color w:val="000000"/>
        </w:rPr>
        <w:t xml:space="preserve">this </w:t>
      </w:r>
      <w:r w:rsidR="00E972F7">
        <w:rPr>
          <w:color w:val="000000"/>
        </w:rPr>
        <w:t xml:space="preserve">new </w:t>
      </w:r>
      <w:r w:rsidR="00E972F7" w:rsidRPr="00B77579">
        <w:rPr>
          <w:color w:val="000000"/>
        </w:rPr>
        <w:t>MSHA</w:t>
      </w:r>
      <w:r w:rsidR="00C84B57" w:rsidRPr="00B77579">
        <w:rPr>
          <w:color w:val="000000"/>
        </w:rPr>
        <w:t xml:space="preserve"> </w:t>
      </w:r>
      <w:r w:rsidR="0019744D" w:rsidRPr="00B77579">
        <w:rPr>
          <w:color w:val="000000"/>
        </w:rPr>
        <w:t>information</w:t>
      </w:r>
      <w:r w:rsidR="00C84B57" w:rsidRPr="00B77579">
        <w:rPr>
          <w:color w:val="000000"/>
        </w:rPr>
        <w:t xml:space="preserve"> collection.  </w:t>
      </w:r>
    </w:p>
    <w:p w14:paraId="7F94386C" w14:textId="77777777" w:rsidR="00882ECE" w:rsidRPr="00B77579" w:rsidRDefault="00882ECE">
      <w:pPr>
        <w:widowControl/>
        <w:rPr>
          <w:color w:val="000000"/>
        </w:rPr>
      </w:pPr>
    </w:p>
    <w:p w14:paraId="0504DEF4" w14:textId="583CDD95" w:rsidR="00F053ED" w:rsidRPr="00B77579" w:rsidRDefault="00F053ED" w:rsidP="00882ECE">
      <w:pPr>
        <w:widowControl/>
        <w:rPr>
          <w:color w:val="000000"/>
        </w:rPr>
      </w:pPr>
      <w:r w:rsidRPr="00B77579">
        <w:rPr>
          <w:color w:val="000000"/>
        </w:rPr>
        <w:t xml:space="preserve">Grantees are required by DOL regulations to submit project and final reports, as described below.  Grantees are also required to submit final reports no later than 90 days after the end of the grant period. </w:t>
      </w:r>
      <w:r w:rsidR="0008452F">
        <w:rPr>
          <w:color w:val="000000"/>
        </w:rPr>
        <w:t xml:space="preserve"> </w:t>
      </w:r>
    </w:p>
    <w:p w14:paraId="652FEA21" w14:textId="77777777" w:rsidR="00882ECE" w:rsidRPr="00B77579" w:rsidRDefault="00882ECE" w:rsidP="00882ECE">
      <w:pPr>
        <w:widowControl/>
        <w:rPr>
          <w:color w:val="000000"/>
        </w:rPr>
      </w:pPr>
      <w:r w:rsidRPr="00B77579">
        <w:rPr>
          <w:color w:val="000000"/>
        </w:rPr>
        <w:t xml:space="preserve"> </w:t>
      </w:r>
    </w:p>
    <w:p w14:paraId="47EBC8A3" w14:textId="56692396" w:rsidR="0008452F" w:rsidRDefault="00882ECE" w:rsidP="005C62A2">
      <w:pPr>
        <w:widowControl/>
        <w:rPr>
          <w:color w:val="000000" w:themeColor="text1"/>
        </w:rPr>
      </w:pPr>
      <w:r w:rsidRPr="00B77579">
        <w:rPr>
          <w:b/>
          <w:color w:val="000000"/>
        </w:rPr>
        <w:t>Technical Project Reports</w:t>
      </w:r>
      <w:r w:rsidR="00D52672">
        <w:rPr>
          <w:b/>
          <w:color w:val="000000"/>
        </w:rPr>
        <w:t xml:space="preserve">:  </w:t>
      </w:r>
      <w:r w:rsidR="4845B6A5" w:rsidRPr="00B77579">
        <w:rPr>
          <w:color w:val="000000" w:themeColor="text1"/>
        </w:rPr>
        <w:t xml:space="preserve">A grantee submits a technical project report to MSHA no later than 30 days after quarterly deadlines.  </w:t>
      </w:r>
      <w:r w:rsidR="005C62A2" w:rsidRPr="005C62A2">
        <w:rPr>
          <w:color w:val="000000" w:themeColor="text1"/>
        </w:rPr>
        <w:t xml:space="preserve">Technical reports provide both quantitative and qualitative information.  </w:t>
      </w:r>
    </w:p>
    <w:p w14:paraId="77B56706" w14:textId="77777777" w:rsidR="0008452F" w:rsidRDefault="0008452F" w:rsidP="005C62A2">
      <w:pPr>
        <w:widowControl/>
        <w:rPr>
          <w:color w:val="000000" w:themeColor="text1"/>
        </w:rPr>
      </w:pPr>
    </w:p>
    <w:p w14:paraId="46AC94FB" w14:textId="488A259C" w:rsidR="005C62A2" w:rsidRPr="005C62A2" w:rsidRDefault="0008452F" w:rsidP="005C62A2">
      <w:pPr>
        <w:widowControl/>
        <w:rPr>
          <w:color w:val="000000" w:themeColor="text1"/>
        </w:rPr>
      </w:pPr>
      <w:r w:rsidRPr="00510C62">
        <w:rPr>
          <w:b/>
          <w:color w:val="000000" w:themeColor="text1"/>
        </w:rPr>
        <w:t>Narrative Reports</w:t>
      </w:r>
      <w:r>
        <w:rPr>
          <w:color w:val="000000" w:themeColor="text1"/>
        </w:rPr>
        <w:t xml:space="preserve">:  </w:t>
      </w:r>
      <w:r w:rsidR="005C62A2" w:rsidRPr="005C62A2">
        <w:rPr>
          <w:color w:val="000000" w:themeColor="text1"/>
        </w:rPr>
        <w:t xml:space="preserve">The narrative reports will contain the following information for the preceding three-month period:  </w:t>
      </w:r>
    </w:p>
    <w:p w14:paraId="65DC4489" w14:textId="77777777" w:rsidR="005C62A2" w:rsidRPr="005C62A2" w:rsidRDefault="005C62A2" w:rsidP="005C62A2">
      <w:pPr>
        <w:widowControl/>
        <w:rPr>
          <w:color w:val="000000" w:themeColor="text1"/>
        </w:rPr>
      </w:pPr>
    </w:p>
    <w:p w14:paraId="4E3E366D" w14:textId="77777777" w:rsidR="005C62A2" w:rsidRPr="005C62A2" w:rsidRDefault="005C62A2" w:rsidP="005C62A2">
      <w:pPr>
        <w:widowControl/>
        <w:rPr>
          <w:color w:val="000000" w:themeColor="text1"/>
        </w:rPr>
      </w:pPr>
      <w:r w:rsidRPr="005C62A2">
        <w:rPr>
          <w:color w:val="000000" w:themeColor="text1"/>
        </w:rPr>
        <w:t>(a)     A comparison of actual accomplishments to the objectives established for the period.</w:t>
      </w:r>
    </w:p>
    <w:p w14:paraId="43BADAB3" w14:textId="77777777" w:rsidR="005C62A2" w:rsidRPr="005C62A2" w:rsidRDefault="005C62A2" w:rsidP="005C62A2">
      <w:pPr>
        <w:widowControl/>
        <w:rPr>
          <w:color w:val="000000" w:themeColor="text1"/>
        </w:rPr>
      </w:pPr>
      <w:r w:rsidRPr="005C62A2">
        <w:rPr>
          <w:color w:val="000000" w:themeColor="text1"/>
        </w:rPr>
        <w:t>(b)     Reasons for any objectives not met.</w:t>
      </w:r>
    </w:p>
    <w:p w14:paraId="7264DC77" w14:textId="77777777" w:rsidR="005C62A2" w:rsidRPr="005C62A2" w:rsidRDefault="005C62A2" w:rsidP="005C62A2">
      <w:pPr>
        <w:widowControl/>
        <w:rPr>
          <w:color w:val="000000" w:themeColor="text1"/>
        </w:rPr>
      </w:pPr>
      <w:r w:rsidRPr="005C62A2">
        <w:rPr>
          <w:color w:val="000000" w:themeColor="text1"/>
        </w:rPr>
        <w:t xml:space="preserve">(c)     Description of any significant developments or problems affecting the organization’s ability to accomplish the work. </w:t>
      </w:r>
    </w:p>
    <w:p w14:paraId="226AC076" w14:textId="77777777" w:rsidR="005C62A2" w:rsidRPr="005C62A2" w:rsidRDefault="005C62A2" w:rsidP="005C62A2">
      <w:pPr>
        <w:widowControl/>
        <w:rPr>
          <w:color w:val="000000" w:themeColor="text1"/>
        </w:rPr>
      </w:pPr>
      <w:r w:rsidRPr="005C62A2">
        <w:rPr>
          <w:color w:val="000000" w:themeColor="text1"/>
        </w:rPr>
        <w:t>(d)     An evaluation of the impact or results of the program's activities.</w:t>
      </w:r>
    </w:p>
    <w:p w14:paraId="4000F24C" w14:textId="77777777" w:rsidR="005C62A2" w:rsidRDefault="005C62A2" w:rsidP="005C62A2">
      <w:pPr>
        <w:widowControl/>
        <w:rPr>
          <w:color w:val="000000" w:themeColor="text1"/>
        </w:rPr>
      </w:pPr>
      <w:r w:rsidRPr="005C62A2">
        <w:rPr>
          <w:color w:val="000000" w:themeColor="text1"/>
        </w:rPr>
        <w:t>(e)     The performance data required by Form 5000-50</w:t>
      </w:r>
    </w:p>
    <w:p w14:paraId="1FB2C16F" w14:textId="77777777" w:rsidR="005C62A2" w:rsidRDefault="005C62A2" w:rsidP="005C62A2">
      <w:pPr>
        <w:widowControl/>
        <w:rPr>
          <w:color w:val="000000" w:themeColor="text1"/>
        </w:rPr>
      </w:pPr>
    </w:p>
    <w:p w14:paraId="158A7E75" w14:textId="7939F987" w:rsidR="0008452F" w:rsidRDefault="0008452F" w:rsidP="005C62A2">
      <w:pPr>
        <w:widowControl/>
        <w:rPr>
          <w:color w:val="000000" w:themeColor="text1"/>
        </w:rPr>
      </w:pPr>
      <w:r>
        <w:rPr>
          <w:color w:val="000000" w:themeColor="text1"/>
        </w:rPr>
        <w:t xml:space="preserve">The narrative report is </w:t>
      </w:r>
      <w:r w:rsidRPr="0008452F">
        <w:rPr>
          <w:color w:val="000000" w:themeColor="text1"/>
        </w:rPr>
        <w:t>a summary and submitted in open free format of the applicant’s choice.  The same 5000-50 form is used from grant to grant and recipient to recipient.  The narrative they submit summarizes the 5000-50.  The required content of the narrative is specified in the FOA</w:t>
      </w:r>
      <w:r>
        <w:rPr>
          <w:color w:val="000000" w:themeColor="text1"/>
        </w:rPr>
        <w:t xml:space="preserve"> </w:t>
      </w:r>
      <w:r w:rsidRPr="0008452F">
        <w:rPr>
          <w:color w:val="000000" w:themeColor="text1"/>
        </w:rPr>
        <w:t xml:space="preserve"> and does not change in subsequent award years.</w:t>
      </w:r>
    </w:p>
    <w:p w14:paraId="3EDB745C" w14:textId="77777777" w:rsidR="0008452F" w:rsidRDefault="0008452F" w:rsidP="005C62A2">
      <w:pPr>
        <w:widowControl/>
        <w:rPr>
          <w:color w:val="000000" w:themeColor="text1"/>
        </w:rPr>
      </w:pPr>
    </w:p>
    <w:p w14:paraId="6BB7AA29" w14:textId="49222B14" w:rsidR="00882ECE" w:rsidRPr="00B77579" w:rsidRDefault="4845B6A5" w:rsidP="005C62A2">
      <w:pPr>
        <w:widowControl/>
        <w:rPr>
          <w:color w:val="000000" w:themeColor="text1"/>
        </w:rPr>
      </w:pPr>
      <w:r w:rsidRPr="00B77579">
        <w:rPr>
          <w:color w:val="000000" w:themeColor="text1"/>
        </w:rPr>
        <w:t>This includes the current grant progress against the overall grant goals.  Between reporting dates, the grantee informs MSHA of significant developments or problems affecting the organization's ability to accomplish the work</w:t>
      </w:r>
      <w:r w:rsidR="00816CCF">
        <w:rPr>
          <w:color w:val="000000" w:themeColor="text1"/>
        </w:rPr>
        <w:t xml:space="preserve">.  </w:t>
      </w:r>
      <w:r w:rsidRPr="00B77579">
        <w:rPr>
          <w:color w:val="000000" w:themeColor="text1"/>
        </w:rPr>
        <w:t xml:space="preserve"> </w:t>
      </w:r>
    </w:p>
    <w:p w14:paraId="09CCFCE0" w14:textId="77777777" w:rsidR="00142FE1" w:rsidRPr="00B77579" w:rsidRDefault="00142FE1" w:rsidP="5504840C">
      <w:pPr>
        <w:widowControl/>
        <w:rPr>
          <w:color w:val="000000" w:themeColor="text1"/>
        </w:rPr>
      </w:pPr>
    </w:p>
    <w:p w14:paraId="16BD2C5B" w14:textId="6C83FBDD" w:rsidR="00882ECE" w:rsidRPr="00B77579" w:rsidRDefault="00882ECE" w:rsidP="00D52672">
      <w:pPr>
        <w:widowControl/>
        <w:rPr>
          <w:color w:val="000000" w:themeColor="text1"/>
        </w:rPr>
      </w:pPr>
      <w:r w:rsidRPr="00B77579">
        <w:rPr>
          <w:b/>
          <w:color w:val="000000"/>
        </w:rPr>
        <w:t>Final Reports</w:t>
      </w:r>
      <w:r w:rsidR="00D52672">
        <w:rPr>
          <w:b/>
          <w:color w:val="000000"/>
        </w:rPr>
        <w:t xml:space="preserve">:  </w:t>
      </w:r>
      <w:r w:rsidR="4845B6A5" w:rsidRPr="00B77579">
        <w:rPr>
          <w:color w:val="000000" w:themeColor="text1"/>
        </w:rPr>
        <w:t>At the end of the grant period, each grantee provides a project summary of its technical project reports, an evaluation report, and a close-out financial report.  These final reports are due no later than 90 days after the end of the 12-month performance period.</w:t>
      </w:r>
    </w:p>
    <w:p w14:paraId="4BC01B36" w14:textId="1E6230A4" w:rsidR="003C061D" w:rsidRPr="00B77579" w:rsidRDefault="00C84B57" w:rsidP="00D52672">
      <w:pPr>
        <w:widowControl/>
        <w:pBdr>
          <w:top w:val="nil"/>
          <w:left w:val="nil"/>
          <w:bottom w:val="nil"/>
          <w:right w:val="nil"/>
          <w:between w:val="nil"/>
          <w:bar w:val="nil"/>
        </w:pBdr>
        <w:autoSpaceDE/>
        <w:autoSpaceDN/>
        <w:adjustRightInd/>
        <w:spacing w:line="300" w:lineRule="exact"/>
        <w:rPr>
          <w:color w:val="000000"/>
        </w:rPr>
      </w:pPr>
      <w:r w:rsidRPr="00B77579">
        <w:rPr>
          <w:rFonts w:eastAsia="Verdana"/>
          <w:color w:val="000000"/>
          <w:u w:color="000000"/>
          <w:bdr w:val="nil"/>
        </w:rPr>
        <w:tab/>
      </w:r>
    </w:p>
    <w:p w14:paraId="3C24561C" w14:textId="77777777" w:rsidR="009D1343" w:rsidRPr="00B77579" w:rsidRDefault="009D1343" w:rsidP="00CC7F1A">
      <w:pPr>
        <w:widowControl/>
        <w:numPr>
          <w:ilvl w:val="0"/>
          <w:numId w:val="11"/>
        </w:numPr>
        <w:tabs>
          <w:tab w:val="left" w:pos="360"/>
        </w:tabs>
        <w:rPr>
          <w:b/>
          <w:bCs/>
          <w:color w:val="000000"/>
        </w:rPr>
      </w:pPr>
      <w:r w:rsidRPr="00B77579">
        <w:rPr>
          <w:b/>
          <w:bCs/>
          <w:color w:val="000000"/>
        </w:rPr>
        <w:t>Indicate how, by whom, and for what purpose the information is to be used</w:t>
      </w:r>
      <w:r w:rsidR="00A67F9D" w:rsidRPr="00B77579">
        <w:rPr>
          <w:b/>
          <w:bCs/>
          <w:color w:val="000000"/>
        </w:rPr>
        <w:t xml:space="preserve">. </w:t>
      </w:r>
      <w:r w:rsidR="00F053ED" w:rsidRPr="00B77579">
        <w:rPr>
          <w:b/>
          <w:bCs/>
          <w:color w:val="000000"/>
        </w:rPr>
        <w:t xml:space="preserve"> </w:t>
      </w:r>
      <w:r w:rsidRPr="00B77579">
        <w:rPr>
          <w:b/>
          <w:bCs/>
          <w:color w:val="000000"/>
        </w:rPr>
        <w:t>Except for a new collection, indicate the actual use the agency has made of the information received from the current collection.</w:t>
      </w:r>
    </w:p>
    <w:p w14:paraId="7E7DE7B1" w14:textId="77777777" w:rsidR="009D1343" w:rsidRPr="00B77579" w:rsidRDefault="009D1343" w:rsidP="00CC7F1A">
      <w:pPr>
        <w:widowControl/>
        <w:rPr>
          <w:b/>
          <w:bCs/>
          <w:color w:val="000000"/>
        </w:rPr>
      </w:pPr>
    </w:p>
    <w:p w14:paraId="7FBADB9D" w14:textId="19F951D0" w:rsidR="00FC39C3" w:rsidRDefault="00FC39C3" w:rsidP="00CC7F1A">
      <w:pPr>
        <w:widowControl/>
        <w:rPr>
          <w:color w:val="000000"/>
        </w:rPr>
      </w:pPr>
      <w:r w:rsidRPr="00B77579">
        <w:rPr>
          <w:color w:val="000000"/>
        </w:rPr>
        <w:t>MSHA uses the information collected</w:t>
      </w:r>
      <w:r w:rsidR="006D06C8">
        <w:rPr>
          <w:color w:val="000000"/>
        </w:rPr>
        <w:t xml:space="preserve"> to</w:t>
      </w:r>
      <w:r w:rsidR="005C62A2" w:rsidRPr="005C62A2">
        <w:t xml:space="preserve"> </w:t>
      </w:r>
      <w:r w:rsidR="005C62A2" w:rsidRPr="005C62A2">
        <w:rPr>
          <w:color w:val="000000"/>
        </w:rPr>
        <w:t>prepare its annual budget plans and its annual performance reports.</w:t>
      </w:r>
      <w:r w:rsidR="006D06C8">
        <w:rPr>
          <w:color w:val="000000"/>
        </w:rPr>
        <w:t xml:space="preserve"> </w:t>
      </w:r>
      <w:r w:rsidR="005C62A2">
        <w:rPr>
          <w:color w:val="000000"/>
        </w:rPr>
        <w:t xml:space="preserve">and </w:t>
      </w:r>
      <w:r w:rsidRPr="00FC39C3">
        <w:rPr>
          <w:color w:val="000000"/>
        </w:rPr>
        <w:t xml:space="preserve"> determine </w:t>
      </w:r>
      <w:r w:rsidR="00DA64FD">
        <w:rPr>
          <w:color w:val="000000"/>
        </w:rPr>
        <w:t xml:space="preserve">if </w:t>
      </w:r>
      <w:r w:rsidRPr="00FC39C3">
        <w:rPr>
          <w:color w:val="000000"/>
        </w:rPr>
        <w:t xml:space="preserve">the grantee's work effort is accomplished.  </w:t>
      </w:r>
      <w:r w:rsidR="00816CCF" w:rsidRPr="00816CCF">
        <w:rPr>
          <w:color w:val="000000"/>
        </w:rPr>
        <w:t xml:space="preserve">While the technical reports provide the information that is needed to report on </w:t>
      </w:r>
      <w:r w:rsidR="00816CCF">
        <w:rPr>
          <w:color w:val="000000"/>
        </w:rPr>
        <w:t xml:space="preserve">the numbers of miners </w:t>
      </w:r>
      <w:r w:rsidR="00816CCF">
        <w:rPr>
          <w:color w:val="000000"/>
        </w:rPr>
        <w:lastRenderedPageBreak/>
        <w:t>trained, t</w:t>
      </w:r>
      <w:r w:rsidR="00816CCF" w:rsidRPr="00816CCF">
        <w:rPr>
          <w:color w:val="000000"/>
        </w:rPr>
        <w:t xml:space="preserve">he narratives provide an overall assessment and an evaluation of the training that was provided. </w:t>
      </w:r>
      <w:r w:rsidR="00816CCF">
        <w:rPr>
          <w:color w:val="000000"/>
        </w:rPr>
        <w:t xml:space="preserve"> </w:t>
      </w:r>
      <w:r w:rsidRPr="00FC39C3">
        <w:rPr>
          <w:color w:val="000000"/>
        </w:rPr>
        <w:t xml:space="preserve">The information is useful to </w:t>
      </w:r>
      <w:r>
        <w:rPr>
          <w:color w:val="000000"/>
        </w:rPr>
        <w:t>MSHA</w:t>
      </w:r>
      <w:r w:rsidRPr="00FC39C3">
        <w:rPr>
          <w:color w:val="000000"/>
        </w:rPr>
        <w:t xml:space="preserve"> for the annual OMB report to the Senate and to present fact sheets for the Assistant Secretary of Labor for MSHA.  </w:t>
      </w:r>
      <w:r w:rsidR="00DA64FD">
        <w:rPr>
          <w:color w:val="000000"/>
        </w:rPr>
        <w:t xml:space="preserve">This information has been </w:t>
      </w:r>
      <w:r w:rsidRPr="00FC39C3">
        <w:rPr>
          <w:color w:val="000000"/>
        </w:rPr>
        <w:t>report</w:t>
      </w:r>
      <w:r w:rsidR="00DA64FD">
        <w:rPr>
          <w:color w:val="000000"/>
        </w:rPr>
        <w:t>ed</w:t>
      </w:r>
      <w:r w:rsidRPr="00FC39C3">
        <w:rPr>
          <w:color w:val="000000"/>
        </w:rPr>
        <w:t xml:space="preserve"> to the </w:t>
      </w:r>
      <w:r w:rsidR="007E34CF">
        <w:rPr>
          <w:color w:val="000000"/>
        </w:rPr>
        <w:t xml:space="preserve">DOL </w:t>
      </w:r>
      <w:r w:rsidRPr="00FC39C3">
        <w:rPr>
          <w:color w:val="000000"/>
        </w:rPr>
        <w:t xml:space="preserve">Secretary for </w:t>
      </w:r>
      <w:r w:rsidR="007C2E55">
        <w:rPr>
          <w:color w:val="000000"/>
        </w:rPr>
        <w:t>W</w:t>
      </w:r>
      <w:r w:rsidRPr="00FC39C3">
        <w:rPr>
          <w:color w:val="000000"/>
        </w:rPr>
        <w:t xml:space="preserve">hite </w:t>
      </w:r>
      <w:r w:rsidR="007C2E55">
        <w:rPr>
          <w:color w:val="000000"/>
        </w:rPr>
        <w:t>H</w:t>
      </w:r>
      <w:r w:rsidRPr="00FC39C3">
        <w:rPr>
          <w:color w:val="000000"/>
        </w:rPr>
        <w:t>ouse events and conferences.</w:t>
      </w:r>
    </w:p>
    <w:p w14:paraId="3F962C7E" w14:textId="77777777" w:rsidR="008A58C1" w:rsidRDefault="008A58C1" w:rsidP="00CC7F1A">
      <w:pPr>
        <w:widowControl/>
        <w:rPr>
          <w:color w:val="000000"/>
        </w:rPr>
      </w:pPr>
    </w:p>
    <w:p w14:paraId="7DF08445" w14:textId="5B8543C2" w:rsidR="009C532C" w:rsidRDefault="008A58C1" w:rsidP="00CC7F1A">
      <w:pPr>
        <w:widowControl/>
        <w:rPr>
          <w:color w:val="000000"/>
        </w:rPr>
      </w:pPr>
      <w:r w:rsidRPr="008A58C1">
        <w:rPr>
          <w:color w:val="000000"/>
        </w:rPr>
        <w:t xml:space="preserve">MSHA has received information </w:t>
      </w:r>
      <w:r>
        <w:rPr>
          <w:color w:val="000000"/>
        </w:rPr>
        <w:t xml:space="preserve">in the past </w:t>
      </w:r>
      <w:r w:rsidRPr="008A58C1">
        <w:rPr>
          <w:color w:val="000000"/>
        </w:rPr>
        <w:t xml:space="preserve">from the State Governments, Public and State Controlled institutions of higher education and a Native American tribal government. </w:t>
      </w:r>
      <w:r w:rsidR="00266E4E">
        <w:rPr>
          <w:color w:val="000000"/>
        </w:rPr>
        <w:t xml:space="preserve"> The </w:t>
      </w:r>
      <w:r w:rsidR="00B2093A">
        <w:rPr>
          <w:color w:val="000000"/>
        </w:rPr>
        <w:t xml:space="preserve">grantees make up the </w:t>
      </w:r>
      <w:r w:rsidR="00266E4E">
        <w:rPr>
          <w:color w:val="000000"/>
        </w:rPr>
        <w:t>60 respondents for this information collection request (ICR)</w:t>
      </w:r>
      <w:r w:rsidR="00B2093A">
        <w:rPr>
          <w:color w:val="000000"/>
        </w:rPr>
        <w:t xml:space="preserve">.  Grantees </w:t>
      </w:r>
      <w:r w:rsidR="0018532D">
        <w:rPr>
          <w:color w:val="000000"/>
        </w:rPr>
        <w:t xml:space="preserve">for </w:t>
      </w:r>
      <w:r w:rsidRPr="008A58C1">
        <w:rPr>
          <w:color w:val="000000"/>
        </w:rPr>
        <w:t xml:space="preserve">the State Grant </w:t>
      </w:r>
      <w:r w:rsidR="00266E4E">
        <w:rPr>
          <w:color w:val="000000"/>
        </w:rPr>
        <w:t>includes all 50 states</w:t>
      </w:r>
      <w:r w:rsidRPr="008A58C1">
        <w:rPr>
          <w:color w:val="000000"/>
        </w:rPr>
        <w:t xml:space="preserve">, the District of Columbia, the Commonwealth of Puerto Rico, the Virgin Islands, American Samoa, Guam, and the Commonwealth of the Mariana Islands.  </w:t>
      </w:r>
      <w:r>
        <w:rPr>
          <w:color w:val="000000"/>
        </w:rPr>
        <w:t xml:space="preserve">MSHA anticipates </w:t>
      </w:r>
      <w:r w:rsidR="00266E4E">
        <w:rPr>
          <w:color w:val="000000"/>
        </w:rPr>
        <w:t>receiving</w:t>
      </w:r>
      <w:r>
        <w:rPr>
          <w:color w:val="000000"/>
        </w:rPr>
        <w:t xml:space="preserve"> </w:t>
      </w:r>
      <w:r w:rsidR="00AA6C67">
        <w:rPr>
          <w:color w:val="000000"/>
        </w:rPr>
        <w:t xml:space="preserve">information </w:t>
      </w:r>
      <w:r w:rsidRPr="008A58C1">
        <w:rPr>
          <w:color w:val="000000"/>
        </w:rPr>
        <w:t>from American Samoa, Guam and the Commonwealth of the Mariana Islands</w:t>
      </w:r>
      <w:r>
        <w:rPr>
          <w:color w:val="000000"/>
        </w:rPr>
        <w:t xml:space="preserve"> as well</w:t>
      </w:r>
      <w:r w:rsidRPr="008A58C1">
        <w:rPr>
          <w:color w:val="000000"/>
        </w:rPr>
        <w:t>.</w:t>
      </w:r>
      <w:r>
        <w:rPr>
          <w:color w:val="000000"/>
        </w:rPr>
        <w:t xml:space="preserve">  </w:t>
      </w:r>
    </w:p>
    <w:p w14:paraId="6260E241" w14:textId="77777777" w:rsidR="006D06C8" w:rsidRPr="00B77579" w:rsidRDefault="006D06C8" w:rsidP="00CC7F1A">
      <w:pPr>
        <w:widowControl/>
        <w:rPr>
          <w:color w:val="000000"/>
        </w:rPr>
      </w:pPr>
    </w:p>
    <w:p w14:paraId="4D5EFFBE" w14:textId="77777777" w:rsidR="009D1343" w:rsidRPr="00B77579" w:rsidRDefault="009D1343" w:rsidP="00CC7F1A">
      <w:pPr>
        <w:widowControl/>
        <w:tabs>
          <w:tab w:val="left" w:pos="360"/>
        </w:tabs>
        <w:ind w:left="360" w:hanging="360"/>
        <w:rPr>
          <w:color w:val="000000"/>
        </w:rPr>
      </w:pPr>
      <w:r w:rsidRPr="00B77579">
        <w:rPr>
          <w:b/>
          <w:color w:val="000000"/>
        </w:rPr>
        <w:t>3.</w:t>
      </w:r>
      <w:r w:rsidR="00D9329E" w:rsidRPr="00B77579">
        <w:rPr>
          <w:b/>
          <w:color w:val="000000"/>
        </w:rPr>
        <w:tab/>
      </w:r>
      <w:r w:rsidRPr="00B77579">
        <w:rPr>
          <w:b/>
          <w:bCs/>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67F9D" w:rsidRPr="00B77579">
        <w:rPr>
          <w:b/>
          <w:bCs/>
          <w:color w:val="000000"/>
        </w:rPr>
        <w:t xml:space="preserve">. </w:t>
      </w:r>
      <w:r w:rsidR="00EC2EC7" w:rsidRPr="00B77579">
        <w:rPr>
          <w:b/>
          <w:bCs/>
          <w:color w:val="000000"/>
        </w:rPr>
        <w:t xml:space="preserve"> </w:t>
      </w:r>
      <w:r w:rsidRPr="00B77579">
        <w:rPr>
          <w:b/>
          <w:bCs/>
          <w:color w:val="000000"/>
        </w:rPr>
        <w:t>Also, describe any consideration of using information technology to reduce burdens.</w:t>
      </w:r>
    </w:p>
    <w:p w14:paraId="4F71FA08" w14:textId="77777777" w:rsidR="009D1343" w:rsidRPr="00B77579" w:rsidRDefault="009D1343" w:rsidP="00CC7F1A">
      <w:pPr>
        <w:widowControl/>
        <w:rPr>
          <w:color w:val="000000"/>
        </w:rPr>
      </w:pPr>
    </w:p>
    <w:p w14:paraId="29714719" w14:textId="042EA887" w:rsidR="009D1343" w:rsidRPr="00B77579" w:rsidRDefault="5504840C" w:rsidP="5504840C">
      <w:pPr>
        <w:widowControl/>
        <w:rPr>
          <w:color w:val="000000" w:themeColor="text1"/>
        </w:rPr>
      </w:pPr>
      <w:r w:rsidRPr="00B77579">
        <w:t xml:space="preserve">MSHA receives </w:t>
      </w:r>
      <w:r w:rsidR="000C7161">
        <w:t xml:space="preserve">initial </w:t>
      </w:r>
      <w:r w:rsidR="002B68A1" w:rsidRPr="00B77579">
        <w:t>applications</w:t>
      </w:r>
      <w:r w:rsidRPr="00B77579">
        <w:t xml:space="preserve"> via the government-wide e-grants initiative </w:t>
      </w:r>
      <w:r w:rsidR="00343CC5" w:rsidRPr="00B77579">
        <w:t>(</w:t>
      </w:r>
      <w:r w:rsidRPr="00B77579">
        <w:t xml:space="preserve">Grants.gov) located on the Internet at </w:t>
      </w:r>
      <w:hyperlink r:id="rId9">
        <w:r w:rsidRPr="00B77579">
          <w:rPr>
            <w:rStyle w:val="Hyperlink"/>
            <w:color w:val="auto"/>
          </w:rPr>
          <w:t>http://www.grants.gov</w:t>
        </w:r>
      </w:hyperlink>
      <w:r w:rsidR="00343CC5" w:rsidRPr="00B77579">
        <w:rPr>
          <w:rStyle w:val="Hyperlink"/>
          <w:color w:val="auto"/>
          <w:u w:val="none"/>
        </w:rPr>
        <w:t xml:space="preserve">.  </w:t>
      </w:r>
      <w:r w:rsidR="000A6C84" w:rsidRPr="000A6C84">
        <w:t xml:space="preserve"> </w:t>
      </w:r>
      <w:r w:rsidR="000A6C84">
        <w:t xml:space="preserve">The </w:t>
      </w:r>
      <w:r w:rsidR="000A6C84" w:rsidRPr="000A6C84">
        <w:rPr>
          <w:rStyle w:val="Hyperlink"/>
          <w:color w:val="auto"/>
          <w:u w:val="none"/>
        </w:rPr>
        <w:t>OMB control number that covers the application collection</w:t>
      </w:r>
      <w:r w:rsidR="000A6C84">
        <w:rPr>
          <w:rStyle w:val="Hyperlink"/>
          <w:color w:val="auto"/>
          <w:u w:val="none"/>
        </w:rPr>
        <w:t xml:space="preserve"> is 1225-0086.  </w:t>
      </w:r>
      <w:r w:rsidR="007E34CF">
        <w:rPr>
          <w:rStyle w:val="Hyperlink"/>
          <w:color w:val="auto"/>
          <w:u w:val="none"/>
        </w:rPr>
        <w:t xml:space="preserve">The grant performance reports are collected via an Excel spreadsheet.  </w:t>
      </w:r>
      <w:r w:rsidR="009D19AE">
        <w:rPr>
          <w:rStyle w:val="Hyperlink"/>
          <w:color w:val="auto"/>
          <w:u w:val="none"/>
        </w:rPr>
        <w:t>Grantees</w:t>
      </w:r>
      <w:r w:rsidRPr="00B77579">
        <w:rPr>
          <w:rStyle w:val="Hyperlink"/>
          <w:color w:val="auto"/>
          <w:u w:val="none"/>
        </w:rPr>
        <w:t xml:space="preserve"> complete approximately </w:t>
      </w:r>
      <w:r w:rsidR="002928F3">
        <w:rPr>
          <w:rStyle w:val="Hyperlink"/>
          <w:color w:val="auto"/>
          <w:u w:val="none"/>
        </w:rPr>
        <w:t>100</w:t>
      </w:r>
      <w:r w:rsidR="00E329FE">
        <w:rPr>
          <w:rStyle w:val="Hyperlink"/>
          <w:color w:val="auto"/>
          <w:u w:val="none"/>
        </w:rPr>
        <w:t xml:space="preserve"> percent</w:t>
      </w:r>
      <w:r w:rsidR="00533A21" w:rsidRPr="00B77579">
        <w:rPr>
          <w:rStyle w:val="Hyperlink"/>
          <w:color w:val="auto"/>
          <w:u w:val="none"/>
        </w:rPr>
        <w:t xml:space="preserve"> </w:t>
      </w:r>
      <w:r w:rsidR="0063410B" w:rsidRPr="00B77579">
        <w:rPr>
          <w:rStyle w:val="Hyperlink"/>
          <w:color w:val="auto"/>
          <w:u w:val="none"/>
        </w:rPr>
        <w:t xml:space="preserve">of grant </w:t>
      </w:r>
      <w:r w:rsidR="00A3039D">
        <w:rPr>
          <w:rStyle w:val="Hyperlink"/>
          <w:color w:val="auto"/>
          <w:u w:val="none"/>
        </w:rPr>
        <w:t>performance reports</w:t>
      </w:r>
      <w:r w:rsidR="00343CC5" w:rsidRPr="00B77579">
        <w:rPr>
          <w:rStyle w:val="Hyperlink"/>
          <w:color w:val="auto"/>
          <w:u w:val="none"/>
        </w:rPr>
        <w:t xml:space="preserve"> </w:t>
      </w:r>
      <w:r w:rsidRPr="00B77579">
        <w:rPr>
          <w:rStyle w:val="Hyperlink"/>
          <w:color w:val="auto"/>
          <w:u w:val="none"/>
        </w:rPr>
        <w:t>by electronic means</w:t>
      </w:r>
      <w:r w:rsidR="000C7161">
        <w:rPr>
          <w:rStyle w:val="Hyperlink"/>
          <w:color w:val="auto"/>
          <w:u w:val="none"/>
        </w:rPr>
        <w:t>, sending them via email</w:t>
      </w:r>
      <w:r w:rsidRPr="00B77579">
        <w:t>.</w:t>
      </w:r>
    </w:p>
    <w:p w14:paraId="11C12AA5" w14:textId="77777777" w:rsidR="009D1343" w:rsidRPr="00B77579" w:rsidRDefault="009D1343" w:rsidP="00CC7F1A">
      <w:pPr>
        <w:widowControl/>
        <w:rPr>
          <w:color w:val="000000"/>
        </w:rPr>
      </w:pPr>
    </w:p>
    <w:p w14:paraId="3A17981B" w14:textId="77777777" w:rsidR="003C061D" w:rsidRPr="00B77579" w:rsidRDefault="009D1343" w:rsidP="00CC7F1A">
      <w:pPr>
        <w:widowControl/>
        <w:tabs>
          <w:tab w:val="left" w:pos="360"/>
        </w:tabs>
        <w:ind w:left="360" w:hanging="360"/>
        <w:rPr>
          <w:b/>
          <w:bCs/>
          <w:color w:val="000000"/>
        </w:rPr>
      </w:pPr>
      <w:r w:rsidRPr="00B77579">
        <w:rPr>
          <w:b/>
          <w:color w:val="000000"/>
        </w:rPr>
        <w:t>4.</w:t>
      </w:r>
      <w:r w:rsidR="00261476" w:rsidRPr="00B77579">
        <w:rPr>
          <w:b/>
          <w:color w:val="000000"/>
        </w:rPr>
        <w:tab/>
      </w:r>
      <w:r w:rsidR="003C061D" w:rsidRPr="00B77579">
        <w:rPr>
          <w:b/>
          <w:bCs/>
          <w:color w:val="000000"/>
        </w:rPr>
        <w:t>Describe efforts to identify duplication</w:t>
      </w:r>
      <w:r w:rsidR="00A67F9D" w:rsidRPr="00B77579">
        <w:rPr>
          <w:b/>
          <w:bCs/>
          <w:color w:val="000000"/>
        </w:rPr>
        <w:t xml:space="preserve">. </w:t>
      </w:r>
      <w:r w:rsidR="003C061D" w:rsidRPr="00B77579">
        <w:rPr>
          <w:b/>
          <w:bCs/>
          <w:color w:val="000000"/>
        </w:rPr>
        <w:t xml:space="preserve">Show specifically why any similar information already available cannot be used or modified for use for the purposes described in Item </w:t>
      </w:r>
      <w:r w:rsidRPr="00B77579">
        <w:rPr>
          <w:b/>
          <w:bCs/>
          <w:color w:val="000000"/>
        </w:rPr>
        <w:t>2</w:t>
      </w:r>
      <w:r w:rsidR="003C061D" w:rsidRPr="00B77579">
        <w:rPr>
          <w:b/>
          <w:bCs/>
          <w:color w:val="000000"/>
        </w:rPr>
        <w:t xml:space="preserve"> above.</w:t>
      </w:r>
    </w:p>
    <w:p w14:paraId="420C54A0" w14:textId="77777777" w:rsidR="003C061D" w:rsidRPr="00B77579" w:rsidRDefault="003C061D" w:rsidP="00CC7F1A">
      <w:pPr>
        <w:widowControl/>
        <w:rPr>
          <w:b/>
          <w:bCs/>
          <w:color w:val="000000"/>
        </w:rPr>
      </w:pPr>
    </w:p>
    <w:p w14:paraId="71E0F002" w14:textId="1722A4B9" w:rsidR="003C061D" w:rsidRPr="00B77579" w:rsidRDefault="008E4B4F" w:rsidP="00CC7F1A">
      <w:pPr>
        <w:widowControl/>
        <w:rPr>
          <w:b/>
          <w:bCs/>
          <w:color w:val="000000"/>
        </w:rPr>
      </w:pPr>
      <w:r>
        <w:rPr>
          <w:color w:val="000000"/>
        </w:rPr>
        <w:t>The information collected in p</w:t>
      </w:r>
      <w:r w:rsidRPr="008E4B4F">
        <w:rPr>
          <w:color w:val="000000"/>
        </w:rPr>
        <w:t xml:space="preserve">erformance </w:t>
      </w:r>
      <w:r>
        <w:rPr>
          <w:color w:val="000000"/>
        </w:rPr>
        <w:t>r</w:t>
      </w:r>
      <w:r w:rsidRPr="008E4B4F">
        <w:rPr>
          <w:color w:val="000000"/>
        </w:rPr>
        <w:t xml:space="preserve">eports for MSHA </w:t>
      </w:r>
      <w:r>
        <w:rPr>
          <w:color w:val="000000"/>
        </w:rPr>
        <w:t>g</w:t>
      </w:r>
      <w:r w:rsidRPr="008E4B4F">
        <w:rPr>
          <w:color w:val="000000"/>
        </w:rPr>
        <w:t xml:space="preserve">rants </w:t>
      </w:r>
      <w:r w:rsidR="003C061D" w:rsidRPr="00B77579">
        <w:rPr>
          <w:color w:val="000000"/>
        </w:rPr>
        <w:t>is unique to each grant; therefore, it is not duplicated in any other source.</w:t>
      </w:r>
      <w:r w:rsidR="003C061D" w:rsidRPr="00B77579">
        <w:rPr>
          <w:b/>
          <w:bCs/>
          <w:color w:val="000000"/>
        </w:rPr>
        <w:t xml:space="preserve"> </w:t>
      </w:r>
      <w:r w:rsidR="00F020A6" w:rsidRPr="00B77579">
        <w:rPr>
          <w:b/>
          <w:bCs/>
          <w:color w:val="000000"/>
        </w:rPr>
        <w:t xml:space="preserve"> </w:t>
      </w:r>
      <w:r w:rsidR="003C061D" w:rsidRPr="00B77579">
        <w:rPr>
          <w:color w:val="000000"/>
        </w:rPr>
        <w:t xml:space="preserve">As applicable, </w:t>
      </w:r>
      <w:r w:rsidR="0069557E" w:rsidRPr="00B77579">
        <w:rPr>
          <w:color w:val="000000"/>
        </w:rPr>
        <w:t>MSHA</w:t>
      </w:r>
      <w:r w:rsidR="003C061D" w:rsidRPr="00B77579">
        <w:rPr>
          <w:color w:val="000000"/>
        </w:rPr>
        <w:t xml:space="preserve"> utilizes currently approved standard forms and will not duplicate information collected on these forms.</w:t>
      </w:r>
      <w:r w:rsidR="005E10CA" w:rsidRPr="00B77579">
        <w:rPr>
          <w:color w:val="000000"/>
        </w:rPr>
        <w:t xml:space="preserve">  </w:t>
      </w:r>
    </w:p>
    <w:p w14:paraId="2759E38F" w14:textId="77777777" w:rsidR="003C061D" w:rsidRPr="00B77579" w:rsidRDefault="003C061D" w:rsidP="00CC7F1A">
      <w:pPr>
        <w:widowControl/>
        <w:rPr>
          <w:color w:val="000000"/>
        </w:rPr>
      </w:pPr>
    </w:p>
    <w:p w14:paraId="17B9F652" w14:textId="77777777" w:rsidR="003C061D" w:rsidRPr="00B77579" w:rsidRDefault="00806341" w:rsidP="00CC7F1A">
      <w:pPr>
        <w:widowControl/>
        <w:tabs>
          <w:tab w:val="left" w:pos="360"/>
        </w:tabs>
        <w:ind w:left="360" w:hanging="360"/>
        <w:rPr>
          <w:b/>
          <w:bCs/>
          <w:color w:val="000000"/>
        </w:rPr>
      </w:pPr>
      <w:r w:rsidRPr="00B77579">
        <w:rPr>
          <w:b/>
          <w:bCs/>
          <w:color w:val="000000"/>
        </w:rPr>
        <w:t>5.</w:t>
      </w:r>
      <w:r w:rsidR="00261476" w:rsidRPr="00B77579">
        <w:rPr>
          <w:b/>
          <w:bCs/>
          <w:color w:val="000000"/>
        </w:rPr>
        <w:tab/>
      </w:r>
      <w:r w:rsidR="003C061D" w:rsidRPr="00B77579">
        <w:rPr>
          <w:b/>
          <w:bCs/>
          <w:color w:val="000000"/>
        </w:rPr>
        <w:t>If the collection of information impacts small businesses or other small entities, describe any methods used to minimize burden</w:t>
      </w:r>
      <w:r w:rsidR="00A67F9D" w:rsidRPr="00B77579">
        <w:rPr>
          <w:b/>
          <w:bCs/>
          <w:color w:val="000000"/>
        </w:rPr>
        <w:t xml:space="preserve">. </w:t>
      </w:r>
      <w:r w:rsidR="003C061D" w:rsidRPr="00B77579">
        <w:rPr>
          <w:b/>
          <w:bCs/>
          <w:color w:val="000000"/>
        </w:rPr>
        <w:t>Describe how the collection reduces, to the extent practicable and appropriate, the burden on all persons, including small entities, providing information.</w:t>
      </w:r>
    </w:p>
    <w:p w14:paraId="11C5A1FD" w14:textId="77777777" w:rsidR="003C061D" w:rsidRPr="00B77579" w:rsidRDefault="003C061D" w:rsidP="00CC7F1A">
      <w:pPr>
        <w:widowControl/>
        <w:rPr>
          <w:color w:val="000000"/>
        </w:rPr>
      </w:pPr>
    </w:p>
    <w:p w14:paraId="1487456B" w14:textId="0DC2B3BC" w:rsidR="003C061D" w:rsidRPr="00B77579" w:rsidRDefault="003C061D" w:rsidP="00CC7F1A">
      <w:pPr>
        <w:widowControl/>
        <w:rPr>
          <w:color w:val="000000"/>
        </w:rPr>
      </w:pPr>
      <w:r w:rsidRPr="00B77579">
        <w:rPr>
          <w:color w:val="000000"/>
        </w:rPr>
        <w:t>This information collection request does not have a significant economic impact on a substantial number of small entities</w:t>
      </w:r>
      <w:r w:rsidR="00A67F9D" w:rsidRPr="00B77579">
        <w:rPr>
          <w:color w:val="000000"/>
        </w:rPr>
        <w:t xml:space="preserve">. </w:t>
      </w:r>
      <w:r w:rsidRPr="00B77579">
        <w:rPr>
          <w:color w:val="000000"/>
        </w:rPr>
        <w:t xml:space="preserve">To limit the burden imposed on respondents, </w:t>
      </w:r>
      <w:r w:rsidR="005E10CA" w:rsidRPr="00B77579">
        <w:rPr>
          <w:color w:val="000000"/>
        </w:rPr>
        <w:t>MSHA</w:t>
      </w:r>
      <w:r w:rsidRPr="00B77579">
        <w:rPr>
          <w:color w:val="000000"/>
        </w:rPr>
        <w:t xml:space="preserve"> r</w:t>
      </w:r>
      <w:r w:rsidR="00C60475">
        <w:rPr>
          <w:color w:val="000000"/>
        </w:rPr>
        <w:t xml:space="preserve">equires the minimum information. </w:t>
      </w:r>
    </w:p>
    <w:p w14:paraId="1AE98914" w14:textId="77777777" w:rsidR="003C061D" w:rsidRPr="00B77579" w:rsidRDefault="003C061D" w:rsidP="00CC7F1A">
      <w:pPr>
        <w:widowControl/>
        <w:rPr>
          <w:b/>
          <w:bCs/>
          <w:color w:val="000000"/>
        </w:rPr>
      </w:pPr>
    </w:p>
    <w:p w14:paraId="73D02B45" w14:textId="1BCFF084" w:rsidR="00C00090" w:rsidRPr="00B77579" w:rsidRDefault="00F020A6" w:rsidP="00CC7F1A">
      <w:pPr>
        <w:widowControl/>
        <w:rPr>
          <w:color w:val="000000"/>
        </w:rPr>
      </w:pPr>
      <w:r w:rsidRPr="00B77579">
        <w:rPr>
          <w:color w:val="000000"/>
        </w:rPr>
        <w:t>MSHA</w:t>
      </w:r>
      <w:r w:rsidR="002B68A1" w:rsidRPr="00B77579">
        <w:rPr>
          <w:color w:val="000000"/>
        </w:rPr>
        <w:t xml:space="preserve"> has </w:t>
      </w:r>
      <w:r w:rsidR="003C061D" w:rsidRPr="00B77579">
        <w:rPr>
          <w:color w:val="000000"/>
        </w:rPr>
        <w:t>existing structures and re</w:t>
      </w:r>
      <w:r w:rsidR="004E6FD6">
        <w:rPr>
          <w:color w:val="000000"/>
        </w:rPr>
        <w:t xml:space="preserve">sources in place for </w:t>
      </w:r>
      <w:r w:rsidR="003C061D" w:rsidRPr="00B77579">
        <w:rPr>
          <w:color w:val="000000"/>
        </w:rPr>
        <w:t xml:space="preserve">managing grants.  </w:t>
      </w:r>
    </w:p>
    <w:p w14:paraId="6560D3DF" w14:textId="77777777" w:rsidR="00C00090" w:rsidRPr="00B77579" w:rsidRDefault="00C00090" w:rsidP="00CC7F1A">
      <w:pPr>
        <w:widowControl/>
        <w:rPr>
          <w:color w:val="000000"/>
        </w:rPr>
      </w:pPr>
    </w:p>
    <w:p w14:paraId="2A17B106" w14:textId="77777777" w:rsidR="003C061D" w:rsidRPr="00B77579" w:rsidRDefault="00806341" w:rsidP="00CC7F1A">
      <w:pPr>
        <w:widowControl/>
        <w:tabs>
          <w:tab w:val="left" w:pos="360"/>
        </w:tabs>
        <w:ind w:left="360" w:hanging="360"/>
        <w:rPr>
          <w:b/>
          <w:bCs/>
          <w:color w:val="000000"/>
        </w:rPr>
      </w:pPr>
      <w:r w:rsidRPr="00B77579">
        <w:rPr>
          <w:b/>
          <w:bCs/>
          <w:color w:val="000000"/>
        </w:rPr>
        <w:t>6.</w:t>
      </w:r>
      <w:r w:rsidR="00261476" w:rsidRPr="00B77579">
        <w:rPr>
          <w:b/>
          <w:bCs/>
          <w:color w:val="000000"/>
        </w:rPr>
        <w:tab/>
      </w:r>
      <w:r w:rsidR="003C061D" w:rsidRPr="00B77579">
        <w:rPr>
          <w:b/>
          <w:bCs/>
          <w:color w:val="000000"/>
        </w:rPr>
        <w:t>Describe the consequence to Federal program or policy activities if the collection is not conducted or is conducted less frequently, as well as any technical or legal obstacles to reducing the burden.</w:t>
      </w:r>
    </w:p>
    <w:p w14:paraId="2F34D313" w14:textId="77777777" w:rsidR="003C061D" w:rsidRPr="00B77579" w:rsidRDefault="003C061D" w:rsidP="00CC7F1A">
      <w:pPr>
        <w:widowControl/>
        <w:rPr>
          <w:color w:val="000000"/>
        </w:rPr>
      </w:pPr>
    </w:p>
    <w:p w14:paraId="0925D731" w14:textId="53B6068C" w:rsidR="003C061D" w:rsidRPr="00B77579" w:rsidRDefault="00F020A6" w:rsidP="00251F45">
      <w:pPr>
        <w:widowControl/>
        <w:rPr>
          <w:color w:val="000000"/>
        </w:rPr>
      </w:pPr>
      <w:r w:rsidRPr="00B77579">
        <w:rPr>
          <w:color w:val="000000"/>
        </w:rPr>
        <w:t>MSHA</w:t>
      </w:r>
      <w:r w:rsidR="003C061D" w:rsidRPr="00B77579">
        <w:rPr>
          <w:color w:val="000000"/>
        </w:rPr>
        <w:t xml:space="preserve"> activities </w:t>
      </w:r>
      <w:r w:rsidR="00E64985" w:rsidRPr="00B77579">
        <w:rPr>
          <w:color w:val="000000"/>
        </w:rPr>
        <w:t xml:space="preserve">regarding grants </w:t>
      </w:r>
      <w:r w:rsidR="003C061D" w:rsidRPr="00B77579">
        <w:rPr>
          <w:color w:val="000000"/>
        </w:rPr>
        <w:t xml:space="preserve">would be significantly hindered if it were not able to collect the information required to evaluate </w:t>
      </w:r>
      <w:r w:rsidR="00C60475">
        <w:rPr>
          <w:color w:val="000000"/>
        </w:rPr>
        <w:t>the grantees’</w:t>
      </w:r>
      <w:r w:rsidR="00BA04C2">
        <w:rPr>
          <w:color w:val="000000"/>
        </w:rPr>
        <w:t xml:space="preserve"> </w:t>
      </w:r>
      <w:r w:rsidR="00C60475">
        <w:rPr>
          <w:color w:val="000000"/>
        </w:rPr>
        <w:t>activities</w:t>
      </w:r>
      <w:r w:rsidR="003C061D" w:rsidRPr="00B77579">
        <w:rPr>
          <w:color w:val="000000"/>
        </w:rPr>
        <w:t>.</w:t>
      </w:r>
      <w:r w:rsidR="00251F45" w:rsidRPr="00251F45">
        <w:t xml:space="preserve"> </w:t>
      </w:r>
      <w:r w:rsidR="00251F45">
        <w:t xml:space="preserve"> </w:t>
      </w:r>
      <w:r w:rsidR="00251F45" w:rsidRPr="00251F45">
        <w:rPr>
          <w:color w:val="000000"/>
        </w:rPr>
        <w:t>MSHA would not have the information on the type of service that the grantee is providing</w:t>
      </w:r>
      <w:r w:rsidR="00251F45">
        <w:rPr>
          <w:color w:val="000000"/>
        </w:rPr>
        <w:t>,</w:t>
      </w:r>
      <w:r w:rsidR="00251F45" w:rsidRPr="00251F45">
        <w:rPr>
          <w:color w:val="000000"/>
        </w:rPr>
        <w:t xml:space="preserve"> and would not have a record of the number of miners trained under this grant program.</w:t>
      </w:r>
      <w:r w:rsidR="00251F45">
        <w:rPr>
          <w:color w:val="000000"/>
        </w:rPr>
        <w:t xml:space="preserve">  </w:t>
      </w:r>
      <w:r w:rsidR="00251F45" w:rsidRPr="00251F45">
        <w:rPr>
          <w:color w:val="000000"/>
        </w:rPr>
        <w:t>MSHA may elect to withhold funding if information is not received.</w:t>
      </w:r>
      <w:r w:rsidR="00251F45">
        <w:rPr>
          <w:color w:val="000000"/>
        </w:rPr>
        <w:t xml:space="preserve">  </w:t>
      </w:r>
    </w:p>
    <w:p w14:paraId="02177E37" w14:textId="77777777" w:rsidR="003C061D" w:rsidRPr="00B77579" w:rsidRDefault="003C061D" w:rsidP="00CC7F1A">
      <w:pPr>
        <w:widowControl/>
        <w:rPr>
          <w:color w:val="000000"/>
        </w:rPr>
      </w:pPr>
    </w:p>
    <w:p w14:paraId="6AFF304B" w14:textId="77777777" w:rsidR="003C061D" w:rsidRPr="00B77579" w:rsidRDefault="00806341" w:rsidP="00CC7F1A">
      <w:pPr>
        <w:widowControl/>
        <w:tabs>
          <w:tab w:val="left" w:pos="360"/>
        </w:tabs>
        <w:ind w:left="360" w:hanging="360"/>
        <w:rPr>
          <w:b/>
          <w:bCs/>
          <w:color w:val="000000"/>
        </w:rPr>
      </w:pPr>
      <w:r w:rsidRPr="00B77579">
        <w:rPr>
          <w:b/>
          <w:bCs/>
          <w:color w:val="000000"/>
        </w:rPr>
        <w:t>7.</w:t>
      </w:r>
      <w:r w:rsidR="00B3072C" w:rsidRPr="00B77579">
        <w:rPr>
          <w:b/>
          <w:bCs/>
          <w:color w:val="000000"/>
        </w:rPr>
        <w:tab/>
      </w:r>
      <w:r w:rsidR="003C061D" w:rsidRPr="00B77579">
        <w:rPr>
          <w:b/>
          <w:bCs/>
          <w:color w:val="000000"/>
        </w:rPr>
        <w:t>Explain any special circumstances that would cause an information collection to be conducted in a manner:</w:t>
      </w:r>
    </w:p>
    <w:p w14:paraId="4C1F19DE" w14:textId="77777777" w:rsidR="003C061D" w:rsidRPr="00B77579" w:rsidRDefault="003C061D" w:rsidP="00CC7F1A">
      <w:pPr>
        <w:widowControl/>
        <w:rPr>
          <w:b/>
          <w:bCs/>
          <w:color w:val="000000"/>
        </w:rPr>
      </w:pPr>
    </w:p>
    <w:p w14:paraId="40941E7D" w14:textId="77777777" w:rsidR="005D2308" w:rsidRPr="00510C62" w:rsidRDefault="003C061D" w:rsidP="00B441A1">
      <w:pPr>
        <w:widowControl/>
        <w:numPr>
          <w:ilvl w:val="0"/>
          <w:numId w:val="18"/>
        </w:numPr>
        <w:rPr>
          <w:bCs/>
          <w:color w:val="000000"/>
        </w:rPr>
      </w:pPr>
      <w:r w:rsidRPr="00B77579">
        <w:rPr>
          <w:b/>
          <w:bCs/>
          <w:color w:val="000000"/>
        </w:rPr>
        <w:t>requiring respondents to report information to the agency more often than quarterly;</w:t>
      </w:r>
      <w:r w:rsidR="00B441A1">
        <w:rPr>
          <w:b/>
          <w:bCs/>
          <w:color w:val="000000"/>
        </w:rPr>
        <w:t xml:space="preserve">   </w:t>
      </w:r>
    </w:p>
    <w:p w14:paraId="02E0DA97" w14:textId="36590526" w:rsidR="003C061D" w:rsidRPr="00510C62" w:rsidRDefault="00867C73" w:rsidP="00510C62">
      <w:pPr>
        <w:widowControl/>
        <w:ind w:left="720"/>
        <w:rPr>
          <w:bCs/>
          <w:color w:val="000000"/>
        </w:rPr>
      </w:pPr>
      <w:r w:rsidRPr="00867C73">
        <w:rPr>
          <w:bCs/>
          <w:color w:val="000000"/>
        </w:rPr>
        <w:t xml:space="preserve">No special circumstances apply.  </w:t>
      </w:r>
      <w:r w:rsidR="00D0784A" w:rsidRPr="00A8242E">
        <w:rPr>
          <w:bCs/>
          <w:color w:val="000000"/>
        </w:rPr>
        <w:t>No single report would be submitted more often than quarterly.</w:t>
      </w:r>
      <w:r w:rsidR="00D0784A">
        <w:rPr>
          <w:bCs/>
          <w:color w:val="000000"/>
        </w:rPr>
        <w:t xml:space="preserve">  </w:t>
      </w:r>
      <w:r w:rsidR="00B441A1" w:rsidRPr="00510C62">
        <w:rPr>
          <w:bCs/>
          <w:color w:val="000000"/>
        </w:rPr>
        <w:t xml:space="preserve">This requires one response each quarter plus one end of year report that summaries each of the quarterly reports.  </w:t>
      </w:r>
    </w:p>
    <w:p w14:paraId="46D7CFCD" w14:textId="77777777" w:rsidR="003C061D" w:rsidRPr="00B77579" w:rsidRDefault="003C061D" w:rsidP="00CC7F1A">
      <w:pPr>
        <w:widowControl/>
        <w:rPr>
          <w:b/>
          <w:bCs/>
          <w:color w:val="000000"/>
        </w:rPr>
      </w:pPr>
    </w:p>
    <w:p w14:paraId="70275692" w14:textId="77777777" w:rsidR="003C061D" w:rsidRPr="00B77579" w:rsidRDefault="003C061D" w:rsidP="00CC7F1A">
      <w:pPr>
        <w:widowControl/>
        <w:numPr>
          <w:ilvl w:val="0"/>
          <w:numId w:val="18"/>
        </w:numPr>
        <w:tabs>
          <w:tab w:val="clear" w:pos="720"/>
        </w:tabs>
        <w:rPr>
          <w:b/>
          <w:bCs/>
          <w:color w:val="000000"/>
        </w:rPr>
      </w:pPr>
      <w:r w:rsidRPr="00B77579">
        <w:rPr>
          <w:b/>
          <w:bCs/>
          <w:color w:val="000000"/>
        </w:rPr>
        <w:t>requiring respondents to prepare a written response to a collection of information in fewer than 30 days after receipt of it;</w:t>
      </w:r>
    </w:p>
    <w:p w14:paraId="7B7CF372" w14:textId="77777777" w:rsidR="003C061D" w:rsidRPr="00B77579" w:rsidRDefault="003C061D" w:rsidP="00CC7F1A">
      <w:pPr>
        <w:widowControl/>
        <w:rPr>
          <w:b/>
          <w:bCs/>
          <w:color w:val="000000"/>
        </w:rPr>
      </w:pPr>
    </w:p>
    <w:p w14:paraId="781A794A" w14:textId="77777777" w:rsidR="003C061D" w:rsidRPr="00B77579" w:rsidRDefault="003C061D" w:rsidP="00CC7F1A">
      <w:pPr>
        <w:widowControl/>
        <w:numPr>
          <w:ilvl w:val="0"/>
          <w:numId w:val="18"/>
        </w:numPr>
        <w:tabs>
          <w:tab w:val="clear" w:pos="720"/>
        </w:tabs>
        <w:rPr>
          <w:b/>
          <w:bCs/>
          <w:color w:val="000000"/>
        </w:rPr>
      </w:pPr>
      <w:r w:rsidRPr="00B77579">
        <w:rPr>
          <w:b/>
          <w:bCs/>
          <w:color w:val="000000"/>
        </w:rPr>
        <w:t>requiring respondents to submit more than an original and two copies of any document;</w:t>
      </w:r>
    </w:p>
    <w:p w14:paraId="5CA3AEFE" w14:textId="77777777" w:rsidR="003C061D" w:rsidRPr="00B77579" w:rsidRDefault="003C061D" w:rsidP="00CC7F1A">
      <w:pPr>
        <w:widowControl/>
        <w:rPr>
          <w:b/>
          <w:bCs/>
          <w:color w:val="000000"/>
        </w:rPr>
      </w:pPr>
    </w:p>
    <w:p w14:paraId="6AA8BFA4" w14:textId="77777777" w:rsidR="003C061D" w:rsidRPr="00B77579" w:rsidRDefault="003C061D" w:rsidP="00CC7F1A">
      <w:pPr>
        <w:widowControl/>
        <w:numPr>
          <w:ilvl w:val="0"/>
          <w:numId w:val="18"/>
        </w:numPr>
        <w:tabs>
          <w:tab w:val="clear" w:pos="720"/>
        </w:tabs>
        <w:rPr>
          <w:b/>
          <w:bCs/>
          <w:color w:val="000000"/>
        </w:rPr>
      </w:pPr>
      <w:r w:rsidRPr="00B77579">
        <w:rPr>
          <w:b/>
          <w:bCs/>
          <w:color w:val="000000"/>
        </w:rPr>
        <w:t>requiring respondents to retain records, other than health, medical, government contract, grant-in-aid, or tax records for more than three years;</w:t>
      </w:r>
    </w:p>
    <w:p w14:paraId="6FFD693F" w14:textId="77777777" w:rsidR="003C061D" w:rsidRPr="00B77579" w:rsidRDefault="003C061D" w:rsidP="00CC7F1A">
      <w:pPr>
        <w:widowControl/>
        <w:rPr>
          <w:b/>
          <w:bCs/>
          <w:color w:val="000000"/>
        </w:rPr>
      </w:pPr>
    </w:p>
    <w:p w14:paraId="73C20106" w14:textId="77777777" w:rsidR="003C061D" w:rsidRPr="00B77579" w:rsidRDefault="003C061D" w:rsidP="00CC7F1A">
      <w:pPr>
        <w:widowControl/>
        <w:numPr>
          <w:ilvl w:val="0"/>
          <w:numId w:val="18"/>
        </w:numPr>
        <w:tabs>
          <w:tab w:val="clear" w:pos="720"/>
        </w:tabs>
        <w:rPr>
          <w:b/>
          <w:bCs/>
          <w:color w:val="000000"/>
        </w:rPr>
      </w:pPr>
      <w:r w:rsidRPr="00B77579">
        <w:rPr>
          <w:b/>
          <w:bCs/>
          <w:color w:val="000000"/>
        </w:rPr>
        <w:t>in connection with a statistical survey, that is not designed to produce valid and reliable results that can be generalized to the universe of study;</w:t>
      </w:r>
    </w:p>
    <w:p w14:paraId="7C0A27AE" w14:textId="77777777" w:rsidR="003C061D" w:rsidRPr="00B77579" w:rsidRDefault="003C061D" w:rsidP="00CC7F1A">
      <w:pPr>
        <w:widowControl/>
        <w:rPr>
          <w:b/>
          <w:bCs/>
          <w:color w:val="000000"/>
        </w:rPr>
      </w:pPr>
    </w:p>
    <w:p w14:paraId="6F18758D" w14:textId="77777777" w:rsidR="003C061D" w:rsidRPr="00B77579" w:rsidRDefault="003C061D" w:rsidP="00CC7F1A">
      <w:pPr>
        <w:widowControl/>
        <w:numPr>
          <w:ilvl w:val="0"/>
          <w:numId w:val="18"/>
        </w:numPr>
        <w:tabs>
          <w:tab w:val="clear" w:pos="720"/>
        </w:tabs>
        <w:rPr>
          <w:b/>
          <w:bCs/>
          <w:color w:val="000000"/>
        </w:rPr>
      </w:pPr>
      <w:r w:rsidRPr="00B77579">
        <w:rPr>
          <w:b/>
          <w:bCs/>
          <w:color w:val="000000"/>
        </w:rPr>
        <w:t>requiring the use of a statistical data classification that has not been reviewed and approved by OMB;</w:t>
      </w:r>
    </w:p>
    <w:p w14:paraId="14EB7A3F" w14:textId="77777777" w:rsidR="003C061D" w:rsidRPr="00B77579" w:rsidRDefault="003C061D" w:rsidP="00CC7F1A">
      <w:pPr>
        <w:widowControl/>
        <w:rPr>
          <w:b/>
          <w:bCs/>
          <w:color w:val="000000"/>
        </w:rPr>
      </w:pPr>
    </w:p>
    <w:p w14:paraId="4A23620A" w14:textId="77777777" w:rsidR="003C061D" w:rsidRPr="00B77579" w:rsidRDefault="003C061D" w:rsidP="00CC7F1A">
      <w:pPr>
        <w:widowControl/>
        <w:numPr>
          <w:ilvl w:val="0"/>
          <w:numId w:val="18"/>
        </w:numPr>
        <w:tabs>
          <w:tab w:val="clear" w:pos="720"/>
        </w:tabs>
        <w:rPr>
          <w:b/>
          <w:bCs/>
          <w:color w:val="000000"/>
        </w:rPr>
      </w:pPr>
      <w:r w:rsidRPr="00B77579">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0759189" w14:textId="77777777" w:rsidR="003C061D" w:rsidRPr="00B77579" w:rsidRDefault="003C061D" w:rsidP="00CC7F1A">
      <w:pPr>
        <w:widowControl/>
        <w:rPr>
          <w:b/>
          <w:bCs/>
          <w:color w:val="000000"/>
        </w:rPr>
      </w:pPr>
    </w:p>
    <w:p w14:paraId="189C53CD" w14:textId="77777777" w:rsidR="003C061D" w:rsidRPr="00B77579" w:rsidRDefault="003C061D" w:rsidP="00CC7F1A">
      <w:pPr>
        <w:widowControl/>
        <w:numPr>
          <w:ilvl w:val="0"/>
          <w:numId w:val="17"/>
        </w:numPr>
        <w:tabs>
          <w:tab w:val="clear" w:pos="720"/>
        </w:tabs>
        <w:rPr>
          <w:b/>
          <w:bCs/>
          <w:color w:val="000000"/>
        </w:rPr>
      </w:pPr>
      <w:r w:rsidRPr="00B77579">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
    <w:p w14:paraId="45D9C3B2" w14:textId="77777777" w:rsidR="003C061D" w:rsidRPr="00B77579" w:rsidRDefault="003C061D" w:rsidP="00CC7F1A">
      <w:pPr>
        <w:widowControl/>
        <w:rPr>
          <w:color w:val="000000"/>
        </w:rPr>
      </w:pPr>
    </w:p>
    <w:p w14:paraId="067B74CE" w14:textId="71ACFBE1" w:rsidR="003C061D" w:rsidRPr="00B77579" w:rsidRDefault="005E10CA" w:rsidP="00CC7F1A">
      <w:pPr>
        <w:widowControl/>
        <w:rPr>
          <w:color w:val="000000"/>
        </w:rPr>
      </w:pPr>
      <w:r w:rsidRPr="00B77579">
        <w:rPr>
          <w:color w:val="000000"/>
        </w:rPr>
        <w:t>MSHA</w:t>
      </w:r>
      <w:r w:rsidR="003C061D" w:rsidRPr="00B77579">
        <w:rPr>
          <w:color w:val="000000"/>
        </w:rPr>
        <w:t xml:space="preserve"> will ensure that all collections of information contained in its </w:t>
      </w:r>
      <w:r w:rsidR="008E4B4F">
        <w:rPr>
          <w:color w:val="000000"/>
        </w:rPr>
        <w:t>p</w:t>
      </w:r>
      <w:r w:rsidR="008E4B4F" w:rsidRPr="008E4B4F">
        <w:rPr>
          <w:color w:val="000000"/>
        </w:rPr>
        <w:t xml:space="preserve">erformance </w:t>
      </w:r>
      <w:r w:rsidR="008E4B4F">
        <w:rPr>
          <w:color w:val="000000"/>
        </w:rPr>
        <w:t>r</w:t>
      </w:r>
      <w:r w:rsidR="008E4B4F" w:rsidRPr="008E4B4F">
        <w:rPr>
          <w:color w:val="000000"/>
        </w:rPr>
        <w:t xml:space="preserve">eports for MSHA </w:t>
      </w:r>
      <w:r w:rsidR="008E4B4F">
        <w:rPr>
          <w:color w:val="000000"/>
        </w:rPr>
        <w:t>g</w:t>
      </w:r>
      <w:r w:rsidR="008E4B4F" w:rsidRPr="008E4B4F">
        <w:rPr>
          <w:color w:val="000000"/>
        </w:rPr>
        <w:t>rants</w:t>
      </w:r>
      <w:r w:rsidR="003C061D" w:rsidRPr="00B77579">
        <w:rPr>
          <w:color w:val="000000"/>
        </w:rPr>
        <w:t xml:space="preserve"> comply with 5 </w:t>
      </w:r>
      <w:r w:rsidR="002D6AAF" w:rsidRPr="00B77579">
        <w:rPr>
          <w:color w:val="000000"/>
        </w:rPr>
        <w:t xml:space="preserve">CFR </w:t>
      </w:r>
      <w:r w:rsidR="00BD14B7" w:rsidRPr="00B77579">
        <w:rPr>
          <w:color w:val="000000"/>
        </w:rPr>
        <w:t>1</w:t>
      </w:r>
      <w:r w:rsidR="003C061D" w:rsidRPr="00B77579">
        <w:rPr>
          <w:color w:val="000000"/>
        </w:rPr>
        <w:t>320.5.</w:t>
      </w:r>
    </w:p>
    <w:p w14:paraId="6DD30DC7" w14:textId="77777777" w:rsidR="003C061D" w:rsidRPr="00B77579" w:rsidRDefault="003C061D" w:rsidP="00CC7F1A">
      <w:pPr>
        <w:widowControl/>
        <w:rPr>
          <w:color w:val="000000"/>
        </w:rPr>
      </w:pPr>
    </w:p>
    <w:p w14:paraId="4AED46D8" w14:textId="77777777" w:rsidR="003C061D" w:rsidRPr="00B77579" w:rsidRDefault="00806341" w:rsidP="00CC7F1A">
      <w:pPr>
        <w:widowControl/>
        <w:tabs>
          <w:tab w:val="left" w:pos="360"/>
        </w:tabs>
        <w:ind w:left="360" w:hanging="360"/>
        <w:rPr>
          <w:b/>
          <w:bCs/>
          <w:color w:val="000000"/>
        </w:rPr>
      </w:pPr>
      <w:r w:rsidRPr="00B77579">
        <w:rPr>
          <w:b/>
          <w:bCs/>
          <w:color w:val="000000"/>
        </w:rPr>
        <w:t>8.</w:t>
      </w:r>
      <w:r w:rsidR="00B3072C" w:rsidRPr="00B77579">
        <w:rPr>
          <w:b/>
          <w:bCs/>
          <w:color w:val="000000"/>
        </w:rPr>
        <w:tab/>
      </w:r>
      <w:r w:rsidR="003C061D" w:rsidRPr="00B77579">
        <w:rPr>
          <w:b/>
          <w:bCs/>
          <w:color w:val="000000"/>
        </w:rPr>
        <w:t xml:space="preserve">If applicable, provide a copy and identify the date and page number of publication in the Federal Register of the agency's notice, required by 5 </w:t>
      </w:r>
      <w:r w:rsidR="00FC1C1D" w:rsidRPr="00B77579">
        <w:rPr>
          <w:b/>
          <w:bCs/>
          <w:color w:val="000000"/>
        </w:rPr>
        <w:t>CFR</w:t>
      </w:r>
      <w:r w:rsidR="003C061D" w:rsidRPr="00B77579">
        <w:rPr>
          <w:b/>
          <w:bCs/>
          <w:color w:val="000000"/>
        </w:rPr>
        <w:t xml:space="preserve"> </w:t>
      </w:r>
      <w:r w:rsidR="00FC1C1D" w:rsidRPr="00B77579">
        <w:rPr>
          <w:b/>
          <w:bCs/>
          <w:color w:val="000000"/>
        </w:rPr>
        <w:t>Section</w:t>
      </w:r>
      <w:r w:rsidR="003C061D" w:rsidRPr="00B77579">
        <w:rPr>
          <w:b/>
          <w:bCs/>
          <w:color w:val="000000"/>
        </w:rPr>
        <w:t xml:space="preserve"> 1320.8(d), soliciting comments on the information collection prior to submission to OMB</w:t>
      </w:r>
      <w:r w:rsidR="00A67F9D" w:rsidRPr="00B77579">
        <w:rPr>
          <w:b/>
          <w:bCs/>
          <w:color w:val="000000"/>
        </w:rPr>
        <w:t xml:space="preserve">. </w:t>
      </w:r>
      <w:r w:rsidR="003C061D" w:rsidRPr="00B77579">
        <w:rPr>
          <w:b/>
          <w:bCs/>
          <w:color w:val="000000"/>
        </w:rPr>
        <w:t>Summarize public comments received in response to that notice and describe actions taken by the agency in response to these comments</w:t>
      </w:r>
      <w:r w:rsidR="00A67F9D" w:rsidRPr="00B77579">
        <w:rPr>
          <w:b/>
          <w:bCs/>
          <w:color w:val="000000"/>
        </w:rPr>
        <w:t xml:space="preserve">. </w:t>
      </w:r>
      <w:r w:rsidR="003C061D" w:rsidRPr="00B77579">
        <w:rPr>
          <w:b/>
          <w:bCs/>
          <w:color w:val="000000"/>
        </w:rPr>
        <w:t>Specifically address comments received on cost and hour burden.</w:t>
      </w:r>
    </w:p>
    <w:p w14:paraId="23239581" w14:textId="77777777" w:rsidR="003C061D" w:rsidRPr="00B77579" w:rsidRDefault="003C061D" w:rsidP="00CC7F1A">
      <w:pPr>
        <w:widowControl/>
        <w:rPr>
          <w:b/>
          <w:bCs/>
          <w:color w:val="000000"/>
        </w:rPr>
      </w:pPr>
    </w:p>
    <w:p w14:paraId="07050715" w14:textId="77777777" w:rsidR="003C061D" w:rsidRPr="00B77579" w:rsidRDefault="003C061D" w:rsidP="00CC7F1A">
      <w:pPr>
        <w:widowControl/>
        <w:numPr>
          <w:ilvl w:val="1"/>
          <w:numId w:val="13"/>
        </w:numPr>
        <w:tabs>
          <w:tab w:val="clear" w:pos="1440"/>
        </w:tabs>
        <w:ind w:left="720"/>
        <w:rPr>
          <w:b/>
          <w:bCs/>
          <w:color w:val="000000"/>
        </w:rPr>
      </w:pPr>
      <w:r w:rsidRPr="00B77579">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88CCD9A" w14:textId="77777777" w:rsidR="003C061D" w:rsidRPr="00B77579" w:rsidRDefault="003C061D" w:rsidP="00CC7F1A">
      <w:pPr>
        <w:widowControl/>
        <w:ind w:left="720"/>
        <w:rPr>
          <w:b/>
          <w:bCs/>
          <w:color w:val="000000"/>
        </w:rPr>
      </w:pPr>
    </w:p>
    <w:p w14:paraId="53FDB3D7" w14:textId="77777777" w:rsidR="003C061D" w:rsidRPr="00B77579" w:rsidRDefault="003C061D" w:rsidP="00CC7F1A">
      <w:pPr>
        <w:widowControl/>
        <w:numPr>
          <w:ilvl w:val="1"/>
          <w:numId w:val="13"/>
        </w:numPr>
        <w:tabs>
          <w:tab w:val="clear" w:pos="1440"/>
        </w:tabs>
        <w:ind w:left="720"/>
        <w:rPr>
          <w:b/>
          <w:bCs/>
          <w:color w:val="000000"/>
        </w:rPr>
      </w:pPr>
      <w:r w:rsidRPr="00B77579">
        <w:rPr>
          <w:b/>
          <w:bCs/>
          <w:color w:val="000000"/>
        </w:rPr>
        <w:t>Consultation with representatives of those from whom information is to be obtained or those who must compile records should occur at least once every 3 years</w:t>
      </w:r>
      <w:r w:rsidR="00EE649C" w:rsidRPr="00B77579">
        <w:rPr>
          <w:b/>
          <w:bCs/>
          <w:color w:val="000000"/>
        </w:rPr>
        <w:t>—</w:t>
      </w:r>
      <w:r w:rsidRPr="00B77579">
        <w:rPr>
          <w:b/>
          <w:bCs/>
          <w:color w:val="000000"/>
        </w:rPr>
        <w:t>even if the collection of information activity is the same as in prior periods</w:t>
      </w:r>
      <w:r w:rsidR="00A67F9D" w:rsidRPr="00B77579">
        <w:rPr>
          <w:b/>
          <w:bCs/>
          <w:color w:val="000000"/>
        </w:rPr>
        <w:t xml:space="preserve">. </w:t>
      </w:r>
      <w:r w:rsidRPr="00B77579">
        <w:rPr>
          <w:b/>
          <w:bCs/>
          <w:color w:val="000000"/>
        </w:rPr>
        <w:t>There may be circumstances that may preclude consultation in a specific situation</w:t>
      </w:r>
      <w:r w:rsidR="00A67F9D" w:rsidRPr="00B77579">
        <w:rPr>
          <w:b/>
          <w:bCs/>
          <w:color w:val="000000"/>
        </w:rPr>
        <w:t xml:space="preserve">. </w:t>
      </w:r>
      <w:r w:rsidRPr="00B77579">
        <w:rPr>
          <w:b/>
          <w:bCs/>
          <w:color w:val="000000"/>
        </w:rPr>
        <w:t>These circumstances should be explained.</w:t>
      </w:r>
    </w:p>
    <w:p w14:paraId="78075AE2" w14:textId="77777777" w:rsidR="003C061D" w:rsidRPr="00B77579" w:rsidRDefault="003C061D" w:rsidP="00CC7F1A">
      <w:pPr>
        <w:widowControl/>
        <w:rPr>
          <w:color w:val="000000"/>
        </w:rPr>
      </w:pPr>
    </w:p>
    <w:p w14:paraId="14806F5F" w14:textId="4051A207" w:rsidR="005E10CA" w:rsidRDefault="00FF27EB" w:rsidP="00CC7F1A">
      <w:pPr>
        <w:widowControl/>
        <w:rPr>
          <w:color w:val="000000"/>
        </w:rPr>
      </w:pPr>
      <w:r w:rsidRPr="00FF27EB">
        <w:rPr>
          <w:color w:val="000000"/>
        </w:rPr>
        <w:t xml:space="preserve">MSHA published a 60-day Federal Register notice on </w:t>
      </w:r>
      <w:r>
        <w:rPr>
          <w:color w:val="000000"/>
        </w:rPr>
        <w:t>June 12</w:t>
      </w:r>
      <w:r w:rsidRPr="00FF27EB">
        <w:rPr>
          <w:color w:val="000000"/>
        </w:rPr>
        <w:t xml:space="preserve">, 2017 (82 FR </w:t>
      </w:r>
      <w:r>
        <w:rPr>
          <w:color w:val="000000"/>
        </w:rPr>
        <w:t>26951</w:t>
      </w:r>
      <w:r w:rsidRPr="00FF27EB">
        <w:rPr>
          <w:color w:val="000000"/>
        </w:rPr>
        <w:t xml:space="preserve">).  MSHA received no public comments.  </w:t>
      </w:r>
    </w:p>
    <w:p w14:paraId="669F3F7C" w14:textId="77777777" w:rsidR="00FF27EB" w:rsidRPr="00B77579" w:rsidRDefault="00FF27EB" w:rsidP="00CC7F1A">
      <w:pPr>
        <w:widowControl/>
        <w:rPr>
          <w:color w:val="000000"/>
        </w:rPr>
      </w:pPr>
    </w:p>
    <w:p w14:paraId="22ED0115" w14:textId="77777777" w:rsidR="003C061D" w:rsidRPr="00B77579" w:rsidRDefault="00806341" w:rsidP="00CC7F1A">
      <w:pPr>
        <w:widowControl/>
        <w:tabs>
          <w:tab w:val="left" w:pos="360"/>
        </w:tabs>
        <w:ind w:left="360" w:hanging="360"/>
        <w:rPr>
          <w:b/>
          <w:bCs/>
          <w:color w:val="000000"/>
        </w:rPr>
      </w:pPr>
      <w:r w:rsidRPr="00B77579">
        <w:rPr>
          <w:b/>
          <w:bCs/>
          <w:color w:val="000000"/>
        </w:rPr>
        <w:t>9.</w:t>
      </w:r>
      <w:r w:rsidR="005607F8" w:rsidRPr="00B77579">
        <w:rPr>
          <w:b/>
          <w:bCs/>
          <w:color w:val="000000"/>
        </w:rPr>
        <w:tab/>
      </w:r>
      <w:r w:rsidR="003C061D" w:rsidRPr="00B77579">
        <w:rPr>
          <w:b/>
          <w:bCs/>
          <w:color w:val="000000"/>
        </w:rPr>
        <w:t>Explain any decision to provide any payment or gift to respondents, other than remuneration of contractors or grantees.</w:t>
      </w:r>
    </w:p>
    <w:p w14:paraId="3B2DA26C" w14:textId="77777777" w:rsidR="003C061D" w:rsidRPr="00B77579" w:rsidRDefault="003C061D" w:rsidP="00CC7F1A">
      <w:pPr>
        <w:widowControl/>
        <w:rPr>
          <w:color w:val="000000"/>
        </w:rPr>
      </w:pPr>
    </w:p>
    <w:p w14:paraId="603F48BA" w14:textId="77777777" w:rsidR="003C061D" w:rsidRPr="00B77579" w:rsidRDefault="0069557E" w:rsidP="00CC7F1A">
      <w:pPr>
        <w:widowControl/>
        <w:rPr>
          <w:color w:val="000000"/>
        </w:rPr>
      </w:pPr>
      <w:r w:rsidRPr="00B77579">
        <w:rPr>
          <w:color w:val="000000"/>
        </w:rPr>
        <w:t>MSHA</w:t>
      </w:r>
      <w:r w:rsidR="003C061D" w:rsidRPr="00B77579">
        <w:rPr>
          <w:color w:val="000000"/>
        </w:rPr>
        <w:t xml:space="preserve"> </w:t>
      </w:r>
      <w:r w:rsidR="00DB7401" w:rsidRPr="00B77579">
        <w:rPr>
          <w:color w:val="000000"/>
        </w:rPr>
        <w:t>does</w:t>
      </w:r>
      <w:r w:rsidR="003C061D" w:rsidRPr="00B77579">
        <w:rPr>
          <w:color w:val="000000"/>
        </w:rPr>
        <w:t xml:space="preserve"> not provide any payment or gift to respondents</w:t>
      </w:r>
      <w:r w:rsidR="00DB7401" w:rsidRPr="00B77579">
        <w:rPr>
          <w:color w:val="000000"/>
        </w:rPr>
        <w:t xml:space="preserve"> in connection with this </w:t>
      </w:r>
      <w:r w:rsidR="002B68A1" w:rsidRPr="00B77579">
        <w:rPr>
          <w:color w:val="000000"/>
        </w:rPr>
        <w:t>Information Collection Request</w:t>
      </w:r>
      <w:r w:rsidR="003C061D" w:rsidRPr="00B77579">
        <w:rPr>
          <w:color w:val="000000"/>
        </w:rPr>
        <w:t>.</w:t>
      </w:r>
    </w:p>
    <w:p w14:paraId="7BAF5627" w14:textId="77777777" w:rsidR="003C061D" w:rsidRPr="00B77579" w:rsidRDefault="003C061D" w:rsidP="00CC7F1A">
      <w:pPr>
        <w:widowControl/>
        <w:rPr>
          <w:color w:val="000000"/>
        </w:rPr>
      </w:pPr>
    </w:p>
    <w:p w14:paraId="429A4405" w14:textId="77777777" w:rsidR="003C061D" w:rsidRPr="00B77579" w:rsidRDefault="00806341" w:rsidP="00CC7F1A">
      <w:pPr>
        <w:widowControl/>
        <w:tabs>
          <w:tab w:val="left" w:pos="360"/>
        </w:tabs>
        <w:ind w:left="360" w:hanging="360"/>
        <w:rPr>
          <w:b/>
          <w:bCs/>
          <w:color w:val="000000"/>
        </w:rPr>
      </w:pPr>
      <w:r w:rsidRPr="00B77579">
        <w:rPr>
          <w:b/>
          <w:bCs/>
          <w:color w:val="000000"/>
        </w:rPr>
        <w:t>10.</w:t>
      </w:r>
      <w:r w:rsidR="005607F8" w:rsidRPr="00B77579">
        <w:rPr>
          <w:b/>
          <w:bCs/>
          <w:color w:val="000000"/>
        </w:rPr>
        <w:tab/>
      </w:r>
      <w:r w:rsidR="003C061D" w:rsidRPr="00B77579">
        <w:rPr>
          <w:b/>
          <w:bCs/>
          <w:color w:val="000000"/>
        </w:rPr>
        <w:t>Describe any assurance of confidentiality provided to respondents and the basis for the assurance in statute, regulation, or agency policy.</w:t>
      </w:r>
    </w:p>
    <w:p w14:paraId="3A0CD7E5" w14:textId="77777777" w:rsidR="003C061D" w:rsidRPr="00B77579" w:rsidRDefault="003C061D" w:rsidP="00CC7F1A">
      <w:pPr>
        <w:widowControl/>
        <w:rPr>
          <w:color w:val="000000"/>
        </w:rPr>
      </w:pPr>
    </w:p>
    <w:p w14:paraId="137EB766" w14:textId="3BEFE3C5" w:rsidR="00525FA1" w:rsidRPr="00B77579" w:rsidRDefault="0069557E" w:rsidP="00CC7F1A">
      <w:pPr>
        <w:widowControl/>
        <w:rPr>
          <w:color w:val="000000"/>
        </w:rPr>
      </w:pPr>
      <w:r w:rsidRPr="00B77579">
        <w:rPr>
          <w:color w:val="000000"/>
        </w:rPr>
        <w:t>MSHA</w:t>
      </w:r>
      <w:r w:rsidR="003C061D" w:rsidRPr="00B77579">
        <w:rPr>
          <w:color w:val="000000"/>
        </w:rPr>
        <w:t xml:space="preserve"> makes no assurance of confidentiality to those responding</w:t>
      </w:r>
      <w:r w:rsidR="000A6C84">
        <w:rPr>
          <w:color w:val="000000"/>
        </w:rPr>
        <w:t xml:space="preserve">. </w:t>
      </w:r>
    </w:p>
    <w:p w14:paraId="6F56A00A" w14:textId="77777777" w:rsidR="00525FA1" w:rsidRPr="00B77579" w:rsidRDefault="00525FA1" w:rsidP="00CC7F1A">
      <w:pPr>
        <w:widowControl/>
        <w:rPr>
          <w:color w:val="000000"/>
        </w:rPr>
      </w:pPr>
    </w:p>
    <w:p w14:paraId="7B0FA9AE" w14:textId="77777777" w:rsidR="003C061D" w:rsidRPr="00B77579" w:rsidRDefault="003C061D" w:rsidP="00CC7F1A">
      <w:pPr>
        <w:widowControl/>
        <w:numPr>
          <w:ilvl w:val="0"/>
          <w:numId w:val="13"/>
        </w:numPr>
        <w:tabs>
          <w:tab w:val="clear" w:pos="450"/>
          <w:tab w:val="left" w:pos="360"/>
        </w:tabs>
        <w:ind w:left="360"/>
        <w:rPr>
          <w:b/>
          <w:bCs/>
          <w:color w:val="000000"/>
        </w:rPr>
      </w:pPr>
      <w:r w:rsidRPr="00B77579">
        <w:rPr>
          <w:b/>
          <w:bCs/>
          <w:color w:val="000000"/>
        </w:rPr>
        <w:t>Provide additional justification for any questions of a sensitive nature, such as sexual behavior and attitudes, religious beliefs, and other matters that are commonly considered private</w:t>
      </w:r>
      <w:r w:rsidR="00A67F9D" w:rsidRPr="00B77579">
        <w:rPr>
          <w:b/>
          <w:bCs/>
          <w:color w:val="000000"/>
        </w:rPr>
        <w:t xml:space="preserve">. </w:t>
      </w:r>
      <w:r w:rsidR="00324AFE" w:rsidRPr="00B77579">
        <w:rPr>
          <w:b/>
          <w:bCs/>
          <w:color w:val="000000"/>
        </w:rPr>
        <w:t xml:space="preserve"> </w:t>
      </w:r>
      <w:r w:rsidRPr="00B77579">
        <w:rPr>
          <w:b/>
          <w:bCs/>
          <w:color w:val="00000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6872FF1" w14:textId="77777777" w:rsidR="003C061D" w:rsidRPr="00B77579" w:rsidRDefault="003C061D" w:rsidP="00CC7F1A">
      <w:pPr>
        <w:widowControl/>
        <w:rPr>
          <w:color w:val="000000"/>
        </w:rPr>
      </w:pPr>
    </w:p>
    <w:p w14:paraId="5F4AA375" w14:textId="16C0C81F" w:rsidR="003C061D" w:rsidRPr="00B77579" w:rsidRDefault="000C7161" w:rsidP="00CC7F1A">
      <w:pPr>
        <w:widowControl/>
        <w:rPr>
          <w:color w:val="000000"/>
        </w:rPr>
      </w:pPr>
      <w:r>
        <w:rPr>
          <w:color w:val="000000"/>
        </w:rPr>
        <w:t>R</w:t>
      </w:r>
      <w:r w:rsidR="003C061D" w:rsidRPr="00B77579">
        <w:rPr>
          <w:color w:val="000000"/>
        </w:rPr>
        <w:t xml:space="preserve">eporting requirements </w:t>
      </w:r>
      <w:r w:rsidR="00DA64FD">
        <w:rPr>
          <w:color w:val="000000"/>
        </w:rPr>
        <w:t xml:space="preserve">in the performance reports </w:t>
      </w:r>
      <w:r w:rsidR="003C061D" w:rsidRPr="00B77579">
        <w:rPr>
          <w:color w:val="000000"/>
        </w:rPr>
        <w:t>do not ask questions of a sensitive nature.</w:t>
      </w:r>
    </w:p>
    <w:p w14:paraId="2DF453A6" w14:textId="77777777" w:rsidR="003C061D" w:rsidRPr="00B77579" w:rsidRDefault="003C061D" w:rsidP="00CC7F1A">
      <w:pPr>
        <w:widowControl/>
        <w:rPr>
          <w:color w:val="000000"/>
        </w:rPr>
      </w:pPr>
    </w:p>
    <w:p w14:paraId="19A6B15A" w14:textId="77777777" w:rsidR="003C061D" w:rsidRPr="00B77579" w:rsidRDefault="003C061D" w:rsidP="00CC7F1A">
      <w:pPr>
        <w:widowControl/>
        <w:numPr>
          <w:ilvl w:val="0"/>
          <w:numId w:val="13"/>
        </w:numPr>
        <w:tabs>
          <w:tab w:val="clear" w:pos="450"/>
          <w:tab w:val="left" w:pos="360"/>
        </w:tabs>
        <w:ind w:left="360"/>
        <w:rPr>
          <w:b/>
          <w:bCs/>
          <w:color w:val="000000"/>
        </w:rPr>
      </w:pPr>
      <w:r w:rsidRPr="00B77579">
        <w:rPr>
          <w:b/>
          <w:bCs/>
          <w:color w:val="000000"/>
        </w:rPr>
        <w:t>Provide estimates of the hour burden of the collection of information</w:t>
      </w:r>
      <w:r w:rsidR="00A67F9D" w:rsidRPr="00B77579">
        <w:rPr>
          <w:b/>
          <w:bCs/>
          <w:color w:val="000000"/>
        </w:rPr>
        <w:t xml:space="preserve">. </w:t>
      </w:r>
      <w:r w:rsidRPr="00B77579">
        <w:rPr>
          <w:b/>
          <w:bCs/>
          <w:color w:val="000000"/>
        </w:rPr>
        <w:t>The statement should:</w:t>
      </w:r>
    </w:p>
    <w:p w14:paraId="5D73E91C" w14:textId="77777777" w:rsidR="003C061D" w:rsidRPr="00B77579" w:rsidRDefault="003C061D" w:rsidP="00CC7F1A">
      <w:pPr>
        <w:widowControl/>
        <w:rPr>
          <w:b/>
          <w:bCs/>
          <w:color w:val="000000"/>
        </w:rPr>
      </w:pPr>
    </w:p>
    <w:p w14:paraId="576394FB" w14:textId="77777777" w:rsidR="003C061D" w:rsidRPr="00B77579" w:rsidRDefault="003C061D" w:rsidP="00CC7F1A">
      <w:pPr>
        <w:widowControl/>
        <w:numPr>
          <w:ilvl w:val="0"/>
          <w:numId w:val="15"/>
        </w:numPr>
        <w:tabs>
          <w:tab w:val="clear" w:pos="720"/>
        </w:tabs>
        <w:rPr>
          <w:b/>
          <w:bCs/>
          <w:color w:val="000000"/>
        </w:rPr>
      </w:pPr>
      <w:r w:rsidRPr="00B77579">
        <w:rPr>
          <w:b/>
          <w:bCs/>
          <w:color w:val="000000"/>
        </w:rPr>
        <w:t>Indicate the number of respondents, frequency of response, annual hour burden, and an explanation of how the burden was estimated</w:t>
      </w:r>
      <w:r w:rsidR="00A67F9D" w:rsidRPr="00B77579">
        <w:rPr>
          <w:b/>
          <w:bCs/>
          <w:color w:val="000000"/>
        </w:rPr>
        <w:t xml:space="preserve">. </w:t>
      </w:r>
      <w:r w:rsidRPr="00B77579">
        <w:rPr>
          <w:b/>
          <w:bCs/>
          <w:color w:val="000000"/>
        </w:rPr>
        <w:t>Unless directed to do so, agencies should not conduct special surveys to obtain information on which to base hour burden estimates</w:t>
      </w:r>
      <w:r w:rsidR="00A67F9D" w:rsidRPr="00B77579">
        <w:rPr>
          <w:b/>
          <w:bCs/>
          <w:color w:val="000000"/>
        </w:rPr>
        <w:t xml:space="preserve">. </w:t>
      </w:r>
      <w:r w:rsidRPr="00B77579">
        <w:rPr>
          <w:b/>
          <w:bCs/>
          <w:color w:val="000000"/>
        </w:rPr>
        <w:t>Consultation with a sample (fewer than 10) of potential respondents is desirable</w:t>
      </w:r>
      <w:r w:rsidR="00A67F9D" w:rsidRPr="00B77579">
        <w:rPr>
          <w:b/>
          <w:bCs/>
          <w:color w:val="000000"/>
        </w:rPr>
        <w:t xml:space="preserve">. </w:t>
      </w:r>
      <w:r w:rsidRPr="00B77579">
        <w:rPr>
          <w:b/>
          <w:bCs/>
          <w:color w:val="000000"/>
        </w:rPr>
        <w:t>If the hour burden on respondents is expected to vary widely because of differences in activity, size, or complexity, show the range of estimated hour burden, and explain the reasons for the variance</w:t>
      </w:r>
      <w:r w:rsidR="00A67F9D" w:rsidRPr="00B77579">
        <w:rPr>
          <w:b/>
          <w:bCs/>
          <w:color w:val="000000"/>
        </w:rPr>
        <w:t xml:space="preserve">. </w:t>
      </w:r>
      <w:r w:rsidRPr="00B77579">
        <w:rPr>
          <w:b/>
          <w:bCs/>
          <w:color w:val="000000"/>
        </w:rPr>
        <w:t>Generally, estimates should not include burden hours for customary and usual business practices.</w:t>
      </w:r>
    </w:p>
    <w:p w14:paraId="01E386C3" w14:textId="77777777" w:rsidR="003C061D" w:rsidRPr="00B77579" w:rsidRDefault="003C061D" w:rsidP="00CC7F1A">
      <w:pPr>
        <w:widowControl/>
        <w:rPr>
          <w:b/>
          <w:bCs/>
          <w:color w:val="000000"/>
        </w:rPr>
      </w:pPr>
    </w:p>
    <w:p w14:paraId="3397E288" w14:textId="77777777" w:rsidR="003C061D" w:rsidRPr="00B77579" w:rsidRDefault="003C061D" w:rsidP="00CC7F1A">
      <w:pPr>
        <w:widowControl/>
        <w:numPr>
          <w:ilvl w:val="0"/>
          <w:numId w:val="15"/>
        </w:numPr>
        <w:tabs>
          <w:tab w:val="clear" w:pos="720"/>
        </w:tabs>
        <w:rPr>
          <w:b/>
          <w:bCs/>
          <w:color w:val="000000"/>
        </w:rPr>
      </w:pPr>
      <w:r w:rsidRPr="00B77579">
        <w:rPr>
          <w:b/>
          <w:bCs/>
          <w:color w:val="000000"/>
        </w:rPr>
        <w:t>If this request for approval covers more than one form, provide separate hour burden estimates for each form and aggregate the hour burdens.</w:t>
      </w:r>
    </w:p>
    <w:p w14:paraId="1BAFCEA3" w14:textId="77777777" w:rsidR="003C061D" w:rsidRPr="00B77579" w:rsidRDefault="003C061D" w:rsidP="00CC7F1A">
      <w:pPr>
        <w:widowControl/>
        <w:rPr>
          <w:b/>
          <w:bCs/>
          <w:color w:val="000000"/>
        </w:rPr>
      </w:pPr>
    </w:p>
    <w:p w14:paraId="22AD2C6F" w14:textId="77777777" w:rsidR="003C061D" w:rsidRPr="00B77579" w:rsidRDefault="003C061D" w:rsidP="00CC7F1A">
      <w:pPr>
        <w:widowControl/>
        <w:numPr>
          <w:ilvl w:val="0"/>
          <w:numId w:val="15"/>
        </w:numPr>
        <w:tabs>
          <w:tab w:val="clear" w:pos="720"/>
        </w:tabs>
        <w:rPr>
          <w:b/>
          <w:bCs/>
          <w:color w:val="000000"/>
        </w:rPr>
      </w:pPr>
      <w:r w:rsidRPr="00B77579">
        <w:rPr>
          <w:b/>
          <w:bCs/>
          <w:color w:val="000000"/>
        </w:rPr>
        <w:t>Provide estimates of annualized cost to respondents for the hour burdens for collections of information, identifying and using appropriate wage rate categories</w:t>
      </w:r>
      <w:r w:rsidR="00A67F9D" w:rsidRPr="00B77579">
        <w:rPr>
          <w:b/>
          <w:bCs/>
          <w:color w:val="000000"/>
        </w:rPr>
        <w:t xml:space="preserve">. </w:t>
      </w:r>
      <w:r w:rsidRPr="00B77579">
        <w:rPr>
          <w:b/>
          <w:bCs/>
          <w:color w:val="000000"/>
        </w:rPr>
        <w:t>The cost of contracting out or paying outside parties for information collection activities should not be included here</w:t>
      </w:r>
      <w:r w:rsidR="00A67F9D" w:rsidRPr="00B77579">
        <w:rPr>
          <w:b/>
          <w:bCs/>
          <w:color w:val="000000"/>
        </w:rPr>
        <w:t xml:space="preserve">. </w:t>
      </w:r>
      <w:r w:rsidRPr="00B77579">
        <w:rPr>
          <w:b/>
          <w:bCs/>
          <w:color w:val="000000"/>
        </w:rPr>
        <w:t>Instead, this cost should be included in Item 1</w:t>
      </w:r>
      <w:r w:rsidR="001E178D" w:rsidRPr="00B77579">
        <w:rPr>
          <w:b/>
          <w:bCs/>
          <w:color w:val="000000"/>
        </w:rPr>
        <w:t>3</w:t>
      </w:r>
      <w:r w:rsidRPr="00B77579">
        <w:rPr>
          <w:b/>
          <w:bCs/>
          <w:color w:val="000000"/>
        </w:rPr>
        <w:t>.</w:t>
      </w:r>
    </w:p>
    <w:p w14:paraId="7F9BCB2B" w14:textId="77777777" w:rsidR="003C061D" w:rsidRPr="00B77579" w:rsidRDefault="003C061D" w:rsidP="00CC7F1A">
      <w:pPr>
        <w:widowControl/>
      </w:pPr>
    </w:p>
    <w:p w14:paraId="3BB7C41B" w14:textId="134AED2F" w:rsidR="008F695D" w:rsidRPr="00B77579" w:rsidRDefault="00F053ED" w:rsidP="008F695D">
      <w:pPr>
        <w:pStyle w:val="Default"/>
        <w:widowControl/>
        <w:rPr>
          <w:snapToGrid w:val="0"/>
        </w:rPr>
      </w:pPr>
      <w:r w:rsidRPr="00B77579">
        <w:t xml:space="preserve">Grantees are required by DOL regulations to submit project and final reports, as described below.  Grantees are also required to submit final </w:t>
      </w:r>
      <w:r w:rsidR="00BA04C2">
        <w:t xml:space="preserve">technical </w:t>
      </w:r>
      <w:r w:rsidRPr="00B77579">
        <w:t>reports no later than 90 days aft</w:t>
      </w:r>
      <w:r w:rsidR="008F695D" w:rsidRPr="00B77579">
        <w:t xml:space="preserve">er the end of the grant period.  </w:t>
      </w:r>
      <w:r w:rsidR="008F695D" w:rsidRPr="00B77579">
        <w:rPr>
          <w:snapToGrid w:val="0"/>
        </w:rPr>
        <w:t>All hourly wages for estimating hour burden costs are from Bureau of Labor Statistics (BLS), Occupational Employment Statistics (OES) May 2015 survey.</w:t>
      </w:r>
      <w:r w:rsidR="008F695D" w:rsidRPr="00B77579">
        <w:rPr>
          <w:snapToGrid w:val="0"/>
          <w:vertAlign w:val="superscript"/>
        </w:rPr>
        <w:footnoteReference w:id="1"/>
      </w:r>
      <w:r w:rsidR="008F695D" w:rsidRPr="00B77579">
        <w:rPr>
          <w:snapToGrid w:val="0"/>
        </w:rPr>
        <w:t xml:space="preserve">  </w:t>
      </w:r>
    </w:p>
    <w:p w14:paraId="589AD343" w14:textId="236E0293" w:rsidR="008F695D" w:rsidRPr="00B77579" w:rsidRDefault="008F695D" w:rsidP="00F053ED">
      <w:pPr>
        <w:widowControl/>
      </w:pPr>
    </w:p>
    <w:p w14:paraId="735A99BC" w14:textId="77777777" w:rsidR="00F053ED" w:rsidRPr="00B77579" w:rsidRDefault="00F053ED" w:rsidP="00F053ED">
      <w:pPr>
        <w:widowControl/>
        <w:rPr>
          <w:b/>
        </w:rPr>
      </w:pPr>
    </w:p>
    <w:p w14:paraId="4CC48012" w14:textId="77777777" w:rsidR="00F053ED" w:rsidRPr="00B77579" w:rsidRDefault="00F053ED" w:rsidP="00F053ED">
      <w:pPr>
        <w:widowControl/>
        <w:rPr>
          <w:b/>
        </w:rPr>
      </w:pPr>
      <w:r w:rsidRPr="00B77579">
        <w:rPr>
          <w:b/>
        </w:rPr>
        <w:t>(a)</w:t>
      </w:r>
      <w:r w:rsidR="009961F3" w:rsidRPr="00B77579">
        <w:rPr>
          <w:b/>
        </w:rPr>
        <w:tab/>
      </w:r>
      <w:r w:rsidRPr="00B77579">
        <w:rPr>
          <w:b/>
        </w:rPr>
        <w:t>Technical Project Reports</w:t>
      </w:r>
    </w:p>
    <w:p w14:paraId="643DED53" w14:textId="77777777" w:rsidR="009961F3" w:rsidRPr="00B77579" w:rsidRDefault="009961F3" w:rsidP="002B68A1">
      <w:pPr>
        <w:widowControl/>
        <w:ind w:left="630"/>
      </w:pPr>
    </w:p>
    <w:p w14:paraId="28B95E45" w14:textId="71513D2D" w:rsidR="00F053ED" w:rsidRPr="00B77579" w:rsidRDefault="4845B6A5" w:rsidP="002B68A1">
      <w:pPr>
        <w:widowControl/>
        <w:ind w:left="720"/>
      </w:pPr>
      <w:r w:rsidRPr="00B77579">
        <w:t xml:space="preserve">A grantee submits a technical project report to MSHA no later than 30 days after set quarterly deadlines </w:t>
      </w:r>
      <w:r w:rsidR="008E4B4F">
        <w:t>for the report narratives</w:t>
      </w:r>
      <w:r w:rsidRPr="00B77579">
        <w:t>.  Technical project reports provide both quantitative and qualitative information and a narrative assessment of performance for the preceding three-month period.  This includes the current grant progress against the overall grant goals.  Between reporting dates, the grantee informs MSHA of significant developments or problems affecting the organization's ability to accomplish the work</w:t>
      </w:r>
      <w:r w:rsidR="00AA541B">
        <w:t>.</w:t>
      </w:r>
    </w:p>
    <w:p w14:paraId="1B52C969" w14:textId="77777777" w:rsidR="009961F3" w:rsidRPr="00B77579" w:rsidRDefault="009961F3" w:rsidP="002B68A1">
      <w:pPr>
        <w:widowControl/>
        <w:ind w:left="630"/>
      </w:pPr>
    </w:p>
    <w:p w14:paraId="372A375E" w14:textId="77777777" w:rsidR="009961F3" w:rsidRPr="00B77579" w:rsidRDefault="00F053ED" w:rsidP="00F053ED">
      <w:pPr>
        <w:widowControl/>
        <w:rPr>
          <w:b/>
        </w:rPr>
      </w:pPr>
      <w:r w:rsidRPr="00B77579">
        <w:rPr>
          <w:b/>
        </w:rPr>
        <w:t>(b)</w:t>
      </w:r>
      <w:r w:rsidR="009961F3" w:rsidRPr="00B77579">
        <w:rPr>
          <w:b/>
        </w:rPr>
        <w:tab/>
      </w:r>
      <w:r w:rsidRPr="00B77579">
        <w:rPr>
          <w:b/>
        </w:rPr>
        <w:t>Final Reports</w:t>
      </w:r>
    </w:p>
    <w:p w14:paraId="47DB9ACA" w14:textId="77777777" w:rsidR="009961F3" w:rsidRPr="00B77579" w:rsidRDefault="009961F3" w:rsidP="00F053ED">
      <w:pPr>
        <w:widowControl/>
      </w:pPr>
    </w:p>
    <w:p w14:paraId="2082D30B" w14:textId="77777777" w:rsidR="003B4548" w:rsidRDefault="4845B6A5" w:rsidP="003B4548">
      <w:pPr>
        <w:widowControl/>
        <w:ind w:left="720"/>
      </w:pPr>
      <w:r w:rsidRPr="00B77579">
        <w:t>At the end of the grant period, each grantee provides a project summary of its technical project reports, an evaluation report, and a close-out financial report.  These final reports are due no later than 90 days after the end of the 12-month performance period.</w:t>
      </w:r>
    </w:p>
    <w:p w14:paraId="1CF2F481" w14:textId="77777777" w:rsidR="003B4548" w:rsidRDefault="003B4548" w:rsidP="003B4548">
      <w:pPr>
        <w:widowControl/>
        <w:ind w:left="720"/>
      </w:pPr>
    </w:p>
    <w:p w14:paraId="14E4701B" w14:textId="77777777" w:rsidR="003B4548" w:rsidRDefault="003B4548" w:rsidP="003B4548">
      <w:pPr>
        <w:widowControl/>
        <w:ind w:left="720"/>
      </w:pPr>
    </w:p>
    <w:p w14:paraId="3A540CFC" w14:textId="334DD82A" w:rsidR="009961F3" w:rsidRPr="00B77579" w:rsidRDefault="003B4548" w:rsidP="00386E9E">
      <w:pPr>
        <w:widowControl/>
        <w:ind w:left="720"/>
      </w:pPr>
      <w:r>
        <w:t>MSHA estimates it takes an average of 750 working hours to prepare and submit the performance report narratives and a form that summarizes the performance reports, MSHA Form 5000-50, MSHA State Grant Program Performance Report.  For purposes of this information collection request, MSHA estimates that a professional earning $52.34 per hour will prepare a grant performance report.  Therefore, the burden for these reporting activities is as follows using average response times:</w:t>
      </w:r>
    </w:p>
    <w:tbl>
      <w:tblPr>
        <w:tblStyle w:val="TableGrid"/>
        <w:tblpPr w:leftFromText="180" w:rightFromText="180" w:vertAnchor="page" w:horzAnchor="margin" w:tblpY="3853"/>
        <w:tblW w:w="10435" w:type="dxa"/>
        <w:tblLayout w:type="fixed"/>
        <w:tblLook w:val="04A0" w:firstRow="1" w:lastRow="0" w:firstColumn="1" w:lastColumn="0" w:noHBand="0" w:noVBand="1"/>
      </w:tblPr>
      <w:tblGrid>
        <w:gridCol w:w="1615"/>
        <w:gridCol w:w="1440"/>
        <w:gridCol w:w="1350"/>
        <w:gridCol w:w="1283"/>
        <w:gridCol w:w="1170"/>
        <w:gridCol w:w="1170"/>
        <w:gridCol w:w="1170"/>
        <w:gridCol w:w="1237"/>
      </w:tblGrid>
      <w:tr w:rsidR="003B4548" w:rsidRPr="00E972F7" w14:paraId="07FAEFF4" w14:textId="77777777" w:rsidTr="003B4548">
        <w:trPr>
          <w:trHeight w:val="1067"/>
        </w:trPr>
        <w:tc>
          <w:tcPr>
            <w:tcW w:w="1615" w:type="dxa"/>
          </w:tcPr>
          <w:p w14:paraId="65D19048" w14:textId="77777777" w:rsidR="003B4548" w:rsidRPr="00E972F7" w:rsidRDefault="003B4548" w:rsidP="003B4548">
            <w:pPr>
              <w:widowControl/>
              <w:autoSpaceDE/>
              <w:autoSpaceDN/>
              <w:adjustRightInd/>
              <w:rPr>
                <w:i/>
                <w:sz w:val="22"/>
                <w:szCs w:val="22"/>
              </w:rPr>
            </w:pPr>
            <w:r w:rsidRPr="00E972F7">
              <w:rPr>
                <w:i/>
                <w:sz w:val="22"/>
                <w:szCs w:val="22"/>
              </w:rPr>
              <w:t>Form/</w:t>
            </w:r>
          </w:p>
          <w:p w14:paraId="3398F652" w14:textId="77777777" w:rsidR="003B4548" w:rsidRPr="00E972F7" w:rsidRDefault="003B4548" w:rsidP="003B4548">
            <w:pPr>
              <w:widowControl/>
              <w:autoSpaceDE/>
              <w:autoSpaceDN/>
              <w:adjustRightInd/>
              <w:rPr>
                <w:i/>
                <w:sz w:val="22"/>
                <w:szCs w:val="22"/>
              </w:rPr>
            </w:pPr>
            <w:r w:rsidRPr="00E972F7">
              <w:rPr>
                <w:i/>
                <w:sz w:val="22"/>
                <w:szCs w:val="22"/>
              </w:rPr>
              <w:t>Type of Respondent</w:t>
            </w:r>
          </w:p>
        </w:tc>
        <w:tc>
          <w:tcPr>
            <w:tcW w:w="1440" w:type="dxa"/>
          </w:tcPr>
          <w:p w14:paraId="0E2E6B4E" w14:textId="77777777" w:rsidR="003B4548" w:rsidRDefault="003B4548" w:rsidP="003B4548">
            <w:pPr>
              <w:widowControl/>
              <w:autoSpaceDE/>
              <w:autoSpaceDN/>
              <w:adjustRightInd/>
              <w:rPr>
                <w:i/>
                <w:sz w:val="22"/>
                <w:szCs w:val="22"/>
              </w:rPr>
            </w:pPr>
            <w:r w:rsidRPr="00E972F7">
              <w:rPr>
                <w:i/>
                <w:sz w:val="22"/>
                <w:szCs w:val="22"/>
              </w:rPr>
              <w:t xml:space="preserve">No. of </w:t>
            </w:r>
          </w:p>
          <w:p w14:paraId="25D735B3" w14:textId="77777777" w:rsidR="003B4548" w:rsidRPr="00E972F7" w:rsidRDefault="003B4548" w:rsidP="003B4548">
            <w:pPr>
              <w:widowControl/>
              <w:autoSpaceDE/>
              <w:autoSpaceDN/>
              <w:adjustRightInd/>
              <w:rPr>
                <w:i/>
                <w:sz w:val="22"/>
                <w:szCs w:val="22"/>
              </w:rPr>
            </w:pPr>
            <w:r w:rsidRPr="00E972F7">
              <w:rPr>
                <w:i/>
                <w:sz w:val="22"/>
                <w:szCs w:val="22"/>
              </w:rPr>
              <w:t>Respondents</w:t>
            </w:r>
          </w:p>
        </w:tc>
        <w:tc>
          <w:tcPr>
            <w:tcW w:w="1350" w:type="dxa"/>
          </w:tcPr>
          <w:p w14:paraId="4C33EDDE" w14:textId="77777777" w:rsidR="003B4548" w:rsidRPr="00E972F7" w:rsidRDefault="003B4548" w:rsidP="003B4548">
            <w:pPr>
              <w:widowControl/>
              <w:autoSpaceDE/>
              <w:autoSpaceDN/>
              <w:adjustRightInd/>
              <w:rPr>
                <w:i/>
                <w:sz w:val="22"/>
                <w:szCs w:val="22"/>
              </w:rPr>
            </w:pPr>
            <w:r w:rsidRPr="00E972F7">
              <w:rPr>
                <w:i/>
                <w:sz w:val="22"/>
                <w:szCs w:val="22"/>
              </w:rPr>
              <w:t>No. of Responses per Respondent</w:t>
            </w:r>
          </w:p>
        </w:tc>
        <w:tc>
          <w:tcPr>
            <w:tcW w:w="1283" w:type="dxa"/>
          </w:tcPr>
          <w:p w14:paraId="7F392F51" w14:textId="77777777" w:rsidR="003B4548" w:rsidRPr="00E972F7" w:rsidRDefault="003B4548" w:rsidP="003B4548">
            <w:pPr>
              <w:widowControl/>
              <w:autoSpaceDE/>
              <w:autoSpaceDN/>
              <w:adjustRightInd/>
              <w:rPr>
                <w:i/>
                <w:sz w:val="22"/>
                <w:szCs w:val="22"/>
              </w:rPr>
            </w:pPr>
            <w:r w:rsidRPr="00E972F7">
              <w:rPr>
                <w:i/>
                <w:sz w:val="22"/>
                <w:szCs w:val="22"/>
              </w:rPr>
              <w:t>Total Number of Responses</w:t>
            </w:r>
          </w:p>
        </w:tc>
        <w:tc>
          <w:tcPr>
            <w:tcW w:w="1170" w:type="dxa"/>
          </w:tcPr>
          <w:p w14:paraId="4FD9362E" w14:textId="77777777" w:rsidR="003B4548" w:rsidRPr="00E972F7" w:rsidRDefault="003B4548" w:rsidP="003B4548">
            <w:pPr>
              <w:widowControl/>
              <w:autoSpaceDE/>
              <w:autoSpaceDN/>
              <w:adjustRightInd/>
              <w:rPr>
                <w:i/>
                <w:sz w:val="22"/>
                <w:szCs w:val="22"/>
              </w:rPr>
            </w:pPr>
            <w:r w:rsidRPr="00E972F7">
              <w:rPr>
                <w:i/>
                <w:sz w:val="22"/>
                <w:szCs w:val="22"/>
              </w:rPr>
              <w:t>Avg. Burden per Response</w:t>
            </w:r>
          </w:p>
          <w:p w14:paraId="5B005102" w14:textId="77777777" w:rsidR="003B4548" w:rsidRPr="00E972F7" w:rsidRDefault="003B4548" w:rsidP="003B4548">
            <w:pPr>
              <w:widowControl/>
              <w:autoSpaceDE/>
              <w:autoSpaceDN/>
              <w:adjustRightInd/>
              <w:rPr>
                <w:i/>
                <w:sz w:val="22"/>
                <w:szCs w:val="22"/>
              </w:rPr>
            </w:pPr>
            <w:r w:rsidRPr="00E972F7">
              <w:rPr>
                <w:i/>
                <w:sz w:val="22"/>
                <w:szCs w:val="22"/>
              </w:rPr>
              <w:t>(In hrs.)</w:t>
            </w:r>
          </w:p>
        </w:tc>
        <w:tc>
          <w:tcPr>
            <w:tcW w:w="1170" w:type="dxa"/>
          </w:tcPr>
          <w:p w14:paraId="3630B2D0" w14:textId="77777777" w:rsidR="003B4548" w:rsidRPr="00E972F7" w:rsidRDefault="003B4548" w:rsidP="003B4548">
            <w:pPr>
              <w:widowControl/>
              <w:autoSpaceDE/>
              <w:autoSpaceDN/>
              <w:adjustRightInd/>
              <w:rPr>
                <w:i/>
                <w:sz w:val="22"/>
                <w:szCs w:val="22"/>
              </w:rPr>
            </w:pPr>
            <w:r w:rsidRPr="00E972F7">
              <w:rPr>
                <w:i/>
                <w:sz w:val="22"/>
                <w:szCs w:val="22"/>
              </w:rPr>
              <w:t>Total Burden</w:t>
            </w:r>
          </w:p>
          <w:p w14:paraId="05489D6C" w14:textId="77777777" w:rsidR="003B4548" w:rsidRPr="00E972F7" w:rsidRDefault="003B4548" w:rsidP="003B4548">
            <w:pPr>
              <w:widowControl/>
              <w:autoSpaceDE/>
              <w:autoSpaceDN/>
              <w:adjustRightInd/>
              <w:rPr>
                <w:i/>
                <w:sz w:val="22"/>
                <w:szCs w:val="22"/>
              </w:rPr>
            </w:pPr>
            <w:r w:rsidRPr="00E972F7">
              <w:rPr>
                <w:i/>
                <w:sz w:val="22"/>
                <w:szCs w:val="22"/>
              </w:rPr>
              <w:t xml:space="preserve">Hours </w:t>
            </w:r>
          </w:p>
        </w:tc>
        <w:tc>
          <w:tcPr>
            <w:tcW w:w="1170" w:type="dxa"/>
          </w:tcPr>
          <w:p w14:paraId="4DCBF321" w14:textId="77777777" w:rsidR="003B4548" w:rsidRPr="00E972F7" w:rsidRDefault="003B4548" w:rsidP="003B4548">
            <w:pPr>
              <w:widowControl/>
              <w:autoSpaceDE/>
              <w:autoSpaceDN/>
              <w:adjustRightInd/>
              <w:rPr>
                <w:i/>
                <w:sz w:val="22"/>
                <w:szCs w:val="22"/>
              </w:rPr>
            </w:pPr>
            <w:r w:rsidRPr="00E972F7">
              <w:rPr>
                <w:i/>
                <w:sz w:val="22"/>
                <w:szCs w:val="22"/>
              </w:rPr>
              <w:t xml:space="preserve">Avg. Hourly Wage </w:t>
            </w:r>
          </w:p>
        </w:tc>
        <w:tc>
          <w:tcPr>
            <w:tcW w:w="1237" w:type="dxa"/>
          </w:tcPr>
          <w:p w14:paraId="243B09FD" w14:textId="77777777" w:rsidR="003B4548" w:rsidRPr="00E972F7" w:rsidRDefault="003B4548" w:rsidP="003B4548">
            <w:pPr>
              <w:widowControl/>
              <w:autoSpaceDE/>
              <w:autoSpaceDN/>
              <w:adjustRightInd/>
              <w:rPr>
                <w:i/>
                <w:sz w:val="22"/>
                <w:szCs w:val="22"/>
              </w:rPr>
            </w:pPr>
            <w:r w:rsidRPr="00E972F7">
              <w:rPr>
                <w:i/>
                <w:sz w:val="22"/>
                <w:szCs w:val="22"/>
              </w:rPr>
              <w:t>Total Burden Costs</w:t>
            </w:r>
          </w:p>
        </w:tc>
      </w:tr>
      <w:tr w:rsidR="003B4548" w:rsidRPr="00E972F7" w14:paraId="73F23910" w14:textId="77777777" w:rsidTr="003B4548">
        <w:tc>
          <w:tcPr>
            <w:tcW w:w="1615" w:type="dxa"/>
          </w:tcPr>
          <w:p w14:paraId="40D40A3B" w14:textId="77777777" w:rsidR="003B4548" w:rsidRPr="00E972F7" w:rsidRDefault="003B4548" w:rsidP="003B4548">
            <w:pPr>
              <w:widowControl/>
              <w:autoSpaceDE/>
              <w:autoSpaceDN/>
              <w:adjustRightInd/>
              <w:rPr>
                <w:i/>
                <w:sz w:val="22"/>
                <w:szCs w:val="22"/>
              </w:rPr>
            </w:pPr>
            <w:r>
              <w:rPr>
                <w:i/>
                <w:sz w:val="22"/>
                <w:szCs w:val="22"/>
              </w:rPr>
              <w:t>MSHA Form 5000-50</w:t>
            </w:r>
          </w:p>
        </w:tc>
        <w:tc>
          <w:tcPr>
            <w:tcW w:w="1440" w:type="dxa"/>
          </w:tcPr>
          <w:p w14:paraId="219941D1" w14:textId="77777777" w:rsidR="003B4548" w:rsidRPr="00E972F7" w:rsidRDefault="003B4548" w:rsidP="003B4548">
            <w:pPr>
              <w:widowControl/>
              <w:autoSpaceDE/>
              <w:autoSpaceDN/>
              <w:adjustRightInd/>
              <w:rPr>
                <w:i/>
                <w:sz w:val="22"/>
                <w:szCs w:val="22"/>
              </w:rPr>
            </w:pPr>
            <w:r>
              <w:rPr>
                <w:i/>
                <w:sz w:val="22"/>
                <w:szCs w:val="22"/>
              </w:rPr>
              <w:t>60</w:t>
            </w:r>
          </w:p>
        </w:tc>
        <w:tc>
          <w:tcPr>
            <w:tcW w:w="1350" w:type="dxa"/>
          </w:tcPr>
          <w:p w14:paraId="0F7EB43D" w14:textId="77777777" w:rsidR="003B4548" w:rsidRPr="00E972F7" w:rsidRDefault="003B4548" w:rsidP="003B4548">
            <w:pPr>
              <w:widowControl/>
              <w:autoSpaceDE/>
              <w:autoSpaceDN/>
              <w:adjustRightInd/>
              <w:rPr>
                <w:i/>
                <w:sz w:val="22"/>
                <w:szCs w:val="22"/>
              </w:rPr>
            </w:pPr>
            <w:r>
              <w:rPr>
                <w:i/>
                <w:sz w:val="22"/>
                <w:szCs w:val="22"/>
              </w:rPr>
              <w:t>5</w:t>
            </w:r>
          </w:p>
        </w:tc>
        <w:tc>
          <w:tcPr>
            <w:tcW w:w="1283" w:type="dxa"/>
          </w:tcPr>
          <w:p w14:paraId="0AD53C50" w14:textId="77777777" w:rsidR="003B4548" w:rsidRPr="00E972F7" w:rsidRDefault="003B4548" w:rsidP="003B4548">
            <w:pPr>
              <w:widowControl/>
              <w:autoSpaceDE/>
              <w:autoSpaceDN/>
              <w:adjustRightInd/>
              <w:rPr>
                <w:i/>
                <w:sz w:val="22"/>
                <w:szCs w:val="22"/>
              </w:rPr>
            </w:pPr>
            <w:r>
              <w:rPr>
                <w:i/>
                <w:sz w:val="22"/>
                <w:szCs w:val="22"/>
              </w:rPr>
              <w:t>300</w:t>
            </w:r>
          </w:p>
        </w:tc>
        <w:tc>
          <w:tcPr>
            <w:tcW w:w="1170" w:type="dxa"/>
          </w:tcPr>
          <w:p w14:paraId="31778CB9" w14:textId="77777777" w:rsidR="003B4548" w:rsidRPr="00E972F7" w:rsidRDefault="003B4548" w:rsidP="003B4548">
            <w:pPr>
              <w:widowControl/>
              <w:autoSpaceDE/>
              <w:autoSpaceDN/>
              <w:adjustRightInd/>
              <w:rPr>
                <w:i/>
                <w:sz w:val="22"/>
                <w:szCs w:val="22"/>
              </w:rPr>
            </w:pPr>
            <w:r>
              <w:rPr>
                <w:i/>
                <w:sz w:val="22"/>
                <w:szCs w:val="22"/>
              </w:rPr>
              <w:t>2.5</w:t>
            </w:r>
          </w:p>
        </w:tc>
        <w:tc>
          <w:tcPr>
            <w:tcW w:w="1170" w:type="dxa"/>
          </w:tcPr>
          <w:p w14:paraId="525E6FDF" w14:textId="77777777" w:rsidR="003B4548" w:rsidRPr="00E972F7" w:rsidRDefault="003B4548" w:rsidP="003B4548">
            <w:pPr>
              <w:widowControl/>
              <w:autoSpaceDE/>
              <w:autoSpaceDN/>
              <w:adjustRightInd/>
              <w:rPr>
                <w:i/>
                <w:sz w:val="22"/>
                <w:szCs w:val="22"/>
              </w:rPr>
            </w:pPr>
            <w:r>
              <w:rPr>
                <w:i/>
                <w:sz w:val="22"/>
                <w:szCs w:val="22"/>
              </w:rPr>
              <w:t>750</w:t>
            </w:r>
          </w:p>
        </w:tc>
        <w:tc>
          <w:tcPr>
            <w:tcW w:w="1170" w:type="dxa"/>
          </w:tcPr>
          <w:p w14:paraId="0BF68F9D" w14:textId="77777777" w:rsidR="003B4548" w:rsidRPr="00E972F7" w:rsidRDefault="003B4548" w:rsidP="003B4548">
            <w:pPr>
              <w:widowControl/>
              <w:autoSpaceDE/>
              <w:autoSpaceDN/>
              <w:adjustRightInd/>
              <w:rPr>
                <w:i/>
                <w:sz w:val="22"/>
                <w:szCs w:val="22"/>
              </w:rPr>
            </w:pPr>
            <w:r>
              <w:rPr>
                <w:i/>
                <w:sz w:val="22"/>
                <w:szCs w:val="22"/>
              </w:rPr>
              <w:t>$52.34</w:t>
            </w:r>
          </w:p>
        </w:tc>
        <w:tc>
          <w:tcPr>
            <w:tcW w:w="1237" w:type="dxa"/>
          </w:tcPr>
          <w:p w14:paraId="0CF02619" w14:textId="77777777" w:rsidR="003B4548" w:rsidRPr="00E972F7" w:rsidRDefault="003B4548" w:rsidP="003B4548">
            <w:pPr>
              <w:widowControl/>
              <w:autoSpaceDE/>
              <w:autoSpaceDN/>
              <w:adjustRightInd/>
              <w:rPr>
                <w:i/>
                <w:sz w:val="22"/>
                <w:szCs w:val="22"/>
              </w:rPr>
            </w:pPr>
            <w:r>
              <w:rPr>
                <w:i/>
                <w:sz w:val="22"/>
                <w:szCs w:val="22"/>
              </w:rPr>
              <w:t>$34,255</w:t>
            </w:r>
          </w:p>
        </w:tc>
      </w:tr>
    </w:tbl>
    <w:p w14:paraId="39B6ADE9" w14:textId="77777777" w:rsidR="005E6509" w:rsidRPr="00B77579" w:rsidRDefault="005E6509" w:rsidP="005E6509">
      <w:pPr>
        <w:widowControl/>
        <w:rPr>
          <w:color w:val="FF0000"/>
        </w:rPr>
      </w:pPr>
    </w:p>
    <w:p w14:paraId="668F203C" w14:textId="2B1EA45C" w:rsidR="005E6509" w:rsidRPr="00B77579" w:rsidRDefault="005E6509" w:rsidP="005E6509">
      <w:pPr>
        <w:widowControl/>
      </w:pPr>
    </w:p>
    <w:p w14:paraId="18FB5FB6" w14:textId="77777777" w:rsidR="003B4548" w:rsidRDefault="003B4548" w:rsidP="008E49D0">
      <w:pPr>
        <w:widowControl/>
        <w:tabs>
          <w:tab w:val="left" w:pos="360"/>
        </w:tabs>
        <w:ind w:left="360" w:hanging="360"/>
        <w:rPr>
          <w:b/>
          <w:bCs/>
          <w:color w:val="000000"/>
        </w:rPr>
      </w:pPr>
    </w:p>
    <w:p w14:paraId="6D795DBB" w14:textId="717E6526" w:rsidR="003C061D" w:rsidRPr="00B77579" w:rsidRDefault="001E178D" w:rsidP="008E49D0">
      <w:pPr>
        <w:widowControl/>
        <w:tabs>
          <w:tab w:val="left" w:pos="360"/>
        </w:tabs>
        <w:ind w:left="360" w:hanging="360"/>
        <w:rPr>
          <w:b/>
          <w:bCs/>
          <w:color w:val="000000"/>
        </w:rPr>
      </w:pPr>
      <w:r w:rsidRPr="00B77579">
        <w:rPr>
          <w:b/>
          <w:bCs/>
          <w:color w:val="000000"/>
        </w:rPr>
        <w:t>13</w:t>
      </w:r>
      <w:r w:rsidR="008E49D0" w:rsidRPr="00B77579">
        <w:rPr>
          <w:b/>
          <w:bCs/>
          <w:color w:val="000000"/>
        </w:rPr>
        <w:t>.</w:t>
      </w:r>
      <w:r w:rsidR="008E49D0" w:rsidRPr="00B77579">
        <w:rPr>
          <w:b/>
          <w:bCs/>
          <w:color w:val="000000"/>
        </w:rPr>
        <w:tab/>
      </w:r>
      <w:r w:rsidR="003C061D" w:rsidRPr="00B77579">
        <w:rPr>
          <w:b/>
          <w:bCs/>
          <w:color w:val="000000"/>
        </w:rPr>
        <w:t>Provide an estimate of the total annual cost burden to respondents or recordkeepers resulting from the collection of information</w:t>
      </w:r>
      <w:r w:rsidR="00A67F9D" w:rsidRPr="00B77579">
        <w:rPr>
          <w:b/>
          <w:bCs/>
          <w:color w:val="000000"/>
        </w:rPr>
        <w:t xml:space="preserve">. </w:t>
      </w:r>
      <w:r w:rsidR="003C061D" w:rsidRPr="00B77579">
        <w:rPr>
          <w:b/>
          <w:bCs/>
          <w:color w:val="000000"/>
        </w:rPr>
        <w:t>(Do not include the cost of any hour burden shown in Items 1</w:t>
      </w:r>
      <w:r w:rsidRPr="00B77579">
        <w:rPr>
          <w:b/>
          <w:bCs/>
          <w:color w:val="000000"/>
        </w:rPr>
        <w:t>2</w:t>
      </w:r>
      <w:r w:rsidR="003C061D" w:rsidRPr="00B77579">
        <w:rPr>
          <w:b/>
          <w:bCs/>
          <w:color w:val="000000"/>
        </w:rPr>
        <w:t xml:space="preserve"> and 1</w:t>
      </w:r>
      <w:r w:rsidRPr="00B77579">
        <w:rPr>
          <w:b/>
          <w:bCs/>
          <w:color w:val="000000"/>
        </w:rPr>
        <w:t>4</w:t>
      </w:r>
      <w:r w:rsidR="003C061D" w:rsidRPr="00B77579">
        <w:rPr>
          <w:b/>
          <w:bCs/>
          <w:color w:val="000000"/>
        </w:rPr>
        <w:t>).</w:t>
      </w:r>
    </w:p>
    <w:p w14:paraId="4BC00085" w14:textId="77777777" w:rsidR="003C061D" w:rsidRPr="00B77579" w:rsidRDefault="003C061D" w:rsidP="00CC7F1A">
      <w:pPr>
        <w:widowControl/>
        <w:rPr>
          <w:color w:val="000000"/>
        </w:rPr>
      </w:pPr>
    </w:p>
    <w:p w14:paraId="05218052" w14:textId="77777777" w:rsidR="003C061D" w:rsidRPr="00B77579" w:rsidRDefault="003C061D" w:rsidP="00CC7F1A">
      <w:pPr>
        <w:widowControl/>
        <w:numPr>
          <w:ilvl w:val="0"/>
          <w:numId w:val="16"/>
        </w:numPr>
        <w:tabs>
          <w:tab w:val="clear" w:pos="720"/>
        </w:tabs>
        <w:rPr>
          <w:b/>
          <w:bCs/>
          <w:color w:val="000000"/>
        </w:rPr>
      </w:pPr>
      <w:r w:rsidRPr="00B77579">
        <w:rPr>
          <w:b/>
          <w:bCs/>
          <w:color w:val="000000"/>
        </w:rPr>
        <w:t>The cost estimate should be split into two components:  (a) a total capital and start-up cost component (annualized over its expected useful life); and (b) a total operation and maintenance and purchase of services component</w:t>
      </w:r>
      <w:r w:rsidR="00A67F9D" w:rsidRPr="00B77579">
        <w:rPr>
          <w:b/>
          <w:bCs/>
          <w:color w:val="000000"/>
        </w:rPr>
        <w:t xml:space="preserve">. </w:t>
      </w:r>
      <w:r w:rsidRPr="00B77579">
        <w:rPr>
          <w:b/>
          <w:bCs/>
          <w:color w:val="000000"/>
        </w:rPr>
        <w:t>The estimates should take into account costs associated with generating, maintaining, and disclosing or providing the information</w:t>
      </w:r>
      <w:r w:rsidR="00A67F9D" w:rsidRPr="00B77579">
        <w:rPr>
          <w:b/>
          <w:bCs/>
          <w:color w:val="000000"/>
        </w:rPr>
        <w:t xml:space="preserve">. </w:t>
      </w:r>
      <w:r w:rsidRPr="00B77579">
        <w:rPr>
          <w:b/>
          <w:bCs/>
          <w:color w:val="000000"/>
        </w:rPr>
        <w:t>Include descriptions of methods used to estimate major cost factors including system and technology acquisition, expected useful life of capital equipment, the discount rate(s), and the time period over which costs will be incurred</w:t>
      </w:r>
      <w:r w:rsidR="00A67F9D" w:rsidRPr="00B77579">
        <w:rPr>
          <w:b/>
          <w:bCs/>
          <w:color w:val="000000"/>
        </w:rPr>
        <w:t xml:space="preserve">. </w:t>
      </w:r>
      <w:r w:rsidRPr="00B77579">
        <w:rPr>
          <w:b/>
          <w:bCs/>
          <w:color w:val="000000"/>
        </w:rPr>
        <w:t>Capital and start-up costs include, among other items, preparations for collecting information such as purchasing computers and software; monitoring, sampling, drilling and testing equipment; and record storage facilities.</w:t>
      </w:r>
    </w:p>
    <w:p w14:paraId="14F4EB12" w14:textId="77777777" w:rsidR="003C061D" w:rsidRPr="00B77579" w:rsidRDefault="003C061D" w:rsidP="00CC7F1A">
      <w:pPr>
        <w:widowControl/>
        <w:rPr>
          <w:b/>
          <w:bCs/>
          <w:color w:val="000000"/>
        </w:rPr>
      </w:pPr>
    </w:p>
    <w:p w14:paraId="384DE534" w14:textId="77777777" w:rsidR="003C061D" w:rsidRPr="00B77579" w:rsidRDefault="003C061D" w:rsidP="00CC7F1A">
      <w:pPr>
        <w:widowControl/>
        <w:numPr>
          <w:ilvl w:val="0"/>
          <w:numId w:val="16"/>
        </w:numPr>
        <w:tabs>
          <w:tab w:val="clear" w:pos="720"/>
        </w:tabs>
        <w:rPr>
          <w:b/>
          <w:bCs/>
          <w:color w:val="000000"/>
        </w:rPr>
      </w:pPr>
      <w:r w:rsidRPr="00B77579">
        <w:rPr>
          <w:b/>
          <w:bCs/>
          <w:color w:val="000000"/>
        </w:rPr>
        <w:t>If cost estimates are expected to vary widely, agencies should present ranges of cost burdens and explain the reasons for the variance</w:t>
      </w:r>
      <w:r w:rsidR="00A67F9D" w:rsidRPr="00B77579">
        <w:rPr>
          <w:b/>
          <w:bCs/>
          <w:color w:val="000000"/>
        </w:rPr>
        <w:t xml:space="preserve">. </w:t>
      </w:r>
      <w:r w:rsidRPr="00B77579">
        <w:rPr>
          <w:b/>
          <w:bCs/>
          <w:color w:val="000000"/>
        </w:rPr>
        <w:t>The cost of purchasing or contracting out information collection services should be a part of this cost burden estimate</w:t>
      </w:r>
      <w:r w:rsidR="00A67F9D" w:rsidRPr="00B77579">
        <w:rPr>
          <w:b/>
          <w:bCs/>
          <w:color w:val="000000"/>
        </w:rPr>
        <w:t xml:space="preserve">. </w:t>
      </w:r>
      <w:r w:rsidRPr="00B77579">
        <w:rPr>
          <w:b/>
          <w:bCs/>
          <w:color w:val="00000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55A2E73" w14:textId="77777777" w:rsidR="00C04722" w:rsidRPr="00B77579" w:rsidRDefault="00C04722" w:rsidP="00C04722">
      <w:pPr>
        <w:widowControl/>
        <w:rPr>
          <w:b/>
          <w:bCs/>
          <w:color w:val="000000"/>
        </w:rPr>
      </w:pPr>
    </w:p>
    <w:p w14:paraId="5644FE6D" w14:textId="77777777" w:rsidR="003C061D" w:rsidRPr="00B77579" w:rsidRDefault="003C061D" w:rsidP="00CC7F1A">
      <w:pPr>
        <w:widowControl/>
        <w:numPr>
          <w:ilvl w:val="0"/>
          <w:numId w:val="16"/>
        </w:numPr>
        <w:tabs>
          <w:tab w:val="clear" w:pos="720"/>
        </w:tabs>
        <w:rPr>
          <w:b/>
          <w:bCs/>
          <w:color w:val="000000"/>
        </w:rPr>
      </w:pPr>
      <w:r w:rsidRPr="00B77579">
        <w:rPr>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3BA4855" w14:textId="77777777" w:rsidR="003C061D" w:rsidRPr="00B77579" w:rsidRDefault="003C061D" w:rsidP="00CC7F1A">
      <w:pPr>
        <w:widowControl/>
        <w:rPr>
          <w:color w:val="000000"/>
        </w:rPr>
      </w:pPr>
    </w:p>
    <w:p w14:paraId="2F926758" w14:textId="68D9FDA1" w:rsidR="003C061D" w:rsidRPr="00B77579" w:rsidRDefault="00A23795" w:rsidP="00CC7F1A">
      <w:pPr>
        <w:widowControl/>
        <w:rPr>
          <w:color w:val="000000"/>
        </w:rPr>
      </w:pPr>
      <w:r w:rsidRPr="00A23795">
        <w:rPr>
          <w:color w:val="000000"/>
        </w:rPr>
        <w:t xml:space="preserve">The Agency estimates that </w:t>
      </w:r>
      <w:r w:rsidR="00350ADA">
        <w:rPr>
          <w:color w:val="000000"/>
        </w:rPr>
        <w:t>10</w:t>
      </w:r>
      <w:r w:rsidRPr="00A23795">
        <w:rPr>
          <w:color w:val="000000"/>
        </w:rPr>
        <w:t>0</w:t>
      </w:r>
      <w:r w:rsidR="00E329FE">
        <w:rPr>
          <w:color w:val="000000"/>
        </w:rPr>
        <w:t xml:space="preserve"> percent</w:t>
      </w:r>
      <w:r w:rsidRPr="00A23795">
        <w:rPr>
          <w:color w:val="000000"/>
        </w:rPr>
        <w:t xml:space="preserve"> of the reports are sent electronically with no </w:t>
      </w:r>
      <w:r w:rsidR="00B1728F" w:rsidRPr="00A23795">
        <w:rPr>
          <w:color w:val="000000"/>
        </w:rPr>
        <w:t>additional</w:t>
      </w:r>
      <w:r w:rsidRPr="00A23795">
        <w:rPr>
          <w:color w:val="000000"/>
        </w:rPr>
        <w:t xml:space="preserve"> costs</w:t>
      </w:r>
      <w:r w:rsidR="00350ADA">
        <w:rPr>
          <w:color w:val="000000"/>
        </w:rPr>
        <w:t>.  However approximately 10 percent</w:t>
      </w:r>
      <w:r w:rsidRPr="00A23795">
        <w:rPr>
          <w:color w:val="000000"/>
        </w:rPr>
        <w:t xml:space="preserve"> </w:t>
      </w:r>
      <w:r w:rsidR="00350ADA">
        <w:rPr>
          <w:color w:val="000000"/>
        </w:rPr>
        <w:t>of g</w:t>
      </w:r>
      <w:r w:rsidR="009D19AE" w:rsidRPr="009D19AE">
        <w:rPr>
          <w:color w:val="000000"/>
        </w:rPr>
        <w:t>rantees</w:t>
      </w:r>
      <w:r w:rsidRPr="00A23795">
        <w:rPr>
          <w:color w:val="000000"/>
        </w:rPr>
        <w:t xml:space="preserve"> will </w:t>
      </w:r>
      <w:r w:rsidR="00122864">
        <w:rPr>
          <w:color w:val="000000"/>
        </w:rPr>
        <w:t xml:space="preserve">chose to additionally </w:t>
      </w:r>
      <w:r w:rsidRPr="00A23795">
        <w:rPr>
          <w:color w:val="000000"/>
        </w:rPr>
        <w:t xml:space="preserve">send the reports (30 reports) manually </w:t>
      </w:r>
      <w:r w:rsidR="00350ADA">
        <w:rPr>
          <w:color w:val="000000"/>
        </w:rPr>
        <w:t xml:space="preserve">as a duplicate send </w:t>
      </w:r>
      <w:r w:rsidRPr="00A23795">
        <w:rPr>
          <w:color w:val="000000"/>
        </w:rPr>
        <w:t>for a cost of $1.75 per report.  MSHA estimates that, on average, each report is 5 pages, copy costs are $0.15 per page, and postage is $1 per report for a total of $1.75 per manual report.  The total manual submission cost is $53 ($1.75 x 30 rounded to nearest dollar).</w:t>
      </w:r>
    </w:p>
    <w:p w14:paraId="6E692259" w14:textId="77777777" w:rsidR="003C061D" w:rsidRPr="00B77579" w:rsidRDefault="003C061D" w:rsidP="00CC7F1A">
      <w:pPr>
        <w:widowControl/>
        <w:rPr>
          <w:color w:val="000000"/>
        </w:rPr>
      </w:pPr>
    </w:p>
    <w:p w14:paraId="7C015B66" w14:textId="77777777" w:rsidR="003C061D" w:rsidRPr="00B77579" w:rsidRDefault="001E178D" w:rsidP="00584209">
      <w:pPr>
        <w:widowControl/>
        <w:tabs>
          <w:tab w:val="left" w:pos="360"/>
        </w:tabs>
        <w:ind w:left="360" w:hanging="360"/>
        <w:rPr>
          <w:color w:val="000000"/>
        </w:rPr>
      </w:pPr>
      <w:r w:rsidRPr="00B77579">
        <w:rPr>
          <w:b/>
          <w:bCs/>
          <w:color w:val="000000"/>
        </w:rPr>
        <w:t>14</w:t>
      </w:r>
      <w:r w:rsidR="00244E05" w:rsidRPr="00B77579">
        <w:rPr>
          <w:b/>
          <w:bCs/>
          <w:color w:val="000000"/>
        </w:rPr>
        <w:t xml:space="preserve">. </w:t>
      </w:r>
      <w:r w:rsidR="003C061D" w:rsidRPr="00B77579">
        <w:rPr>
          <w:b/>
          <w:bCs/>
          <w:color w:val="000000"/>
        </w:rPr>
        <w:t>Provide estimates of annualized cost to the Federal government</w:t>
      </w:r>
      <w:r w:rsidR="00A67F9D" w:rsidRPr="00B77579">
        <w:rPr>
          <w:b/>
          <w:bCs/>
          <w:color w:val="000000"/>
        </w:rPr>
        <w:t xml:space="preserve">. </w:t>
      </w:r>
      <w:r w:rsidR="003C061D" w:rsidRPr="00B77579">
        <w:rPr>
          <w:b/>
          <w:bCs/>
          <w:color w:val="00000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A67F9D" w:rsidRPr="00B77579">
        <w:rPr>
          <w:b/>
          <w:bCs/>
          <w:color w:val="000000"/>
        </w:rPr>
        <w:t xml:space="preserve">. </w:t>
      </w:r>
      <w:r w:rsidR="003C061D" w:rsidRPr="00B77579">
        <w:rPr>
          <w:b/>
          <w:bCs/>
          <w:color w:val="000000"/>
        </w:rPr>
        <w:t>Agencies also may aggregate cost estimates from Items 17, 18, and 19 in a single table.</w:t>
      </w:r>
    </w:p>
    <w:p w14:paraId="52F5F7E2" w14:textId="77777777" w:rsidR="003C061D" w:rsidRPr="00B77579" w:rsidRDefault="003C061D" w:rsidP="00CC7F1A">
      <w:pPr>
        <w:widowControl/>
        <w:rPr>
          <w:color w:val="000000"/>
        </w:rPr>
      </w:pPr>
    </w:p>
    <w:p w14:paraId="27477A9C" w14:textId="1E6A4554" w:rsidR="008C573B" w:rsidRPr="00B77579" w:rsidRDefault="0069557E" w:rsidP="00CC7F1A">
      <w:pPr>
        <w:widowControl/>
        <w:rPr>
          <w:color w:val="000000"/>
        </w:rPr>
      </w:pPr>
      <w:r w:rsidRPr="00B77579">
        <w:rPr>
          <w:color w:val="000000"/>
        </w:rPr>
        <w:t>MSHA</w:t>
      </w:r>
      <w:r w:rsidR="008C573B" w:rsidRPr="00B77579">
        <w:rPr>
          <w:color w:val="000000"/>
        </w:rPr>
        <w:t xml:space="preserve"> incurs no unique start-up or operational and maintenance costs as a result of the collections of information contained in </w:t>
      </w:r>
      <w:r w:rsidR="008E4B4F">
        <w:rPr>
          <w:color w:val="000000"/>
        </w:rPr>
        <w:t>performance reports</w:t>
      </w:r>
      <w:r w:rsidR="00A00443" w:rsidRPr="00B77579">
        <w:rPr>
          <w:color w:val="000000"/>
        </w:rPr>
        <w:t>.</w:t>
      </w:r>
    </w:p>
    <w:p w14:paraId="02E2A087" w14:textId="77777777" w:rsidR="001A4A08" w:rsidRPr="00B77579" w:rsidRDefault="001A4A08" w:rsidP="00CC7F1A">
      <w:pPr>
        <w:widowControl/>
        <w:rPr>
          <w:color w:val="000000"/>
        </w:rPr>
      </w:pPr>
    </w:p>
    <w:p w14:paraId="4BA31C9B" w14:textId="77777777" w:rsidR="003C061D" w:rsidRPr="00B77579" w:rsidRDefault="00806341" w:rsidP="00584209">
      <w:pPr>
        <w:widowControl/>
        <w:tabs>
          <w:tab w:val="left" w:pos="360"/>
        </w:tabs>
        <w:ind w:left="360" w:hanging="360"/>
        <w:rPr>
          <w:b/>
          <w:bCs/>
          <w:color w:val="000000"/>
        </w:rPr>
      </w:pPr>
      <w:r w:rsidRPr="00B77579">
        <w:rPr>
          <w:b/>
          <w:bCs/>
          <w:color w:val="000000"/>
        </w:rPr>
        <w:t xml:space="preserve">15.  </w:t>
      </w:r>
      <w:r w:rsidR="003C061D" w:rsidRPr="00B77579">
        <w:rPr>
          <w:b/>
          <w:bCs/>
          <w:color w:val="000000"/>
        </w:rPr>
        <w:t>Explain the reasons for any program changes or adjustments reporting in Items 1</w:t>
      </w:r>
      <w:r w:rsidR="001A4A08" w:rsidRPr="00B77579">
        <w:rPr>
          <w:b/>
          <w:bCs/>
          <w:color w:val="000000"/>
        </w:rPr>
        <w:t>2</w:t>
      </w:r>
      <w:r w:rsidR="003C061D" w:rsidRPr="00B77579">
        <w:rPr>
          <w:b/>
          <w:bCs/>
          <w:color w:val="000000"/>
        </w:rPr>
        <w:t xml:space="preserve"> or 1</w:t>
      </w:r>
      <w:r w:rsidR="001A4A08" w:rsidRPr="00B77579">
        <w:rPr>
          <w:b/>
          <w:bCs/>
          <w:color w:val="000000"/>
        </w:rPr>
        <w:t>3</w:t>
      </w:r>
      <w:r w:rsidR="003C061D" w:rsidRPr="00B77579">
        <w:rPr>
          <w:b/>
          <w:bCs/>
          <w:color w:val="000000"/>
        </w:rPr>
        <w:t>.</w:t>
      </w:r>
    </w:p>
    <w:p w14:paraId="2A3C8D41" w14:textId="77777777" w:rsidR="003C061D" w:rsidRPr="00B77579" w:rsidRDefault="003C061D" w:rsidP="00584209">
      <w:pPr>
        <w:widowControl/>
        <w:tabs>
          <w:tab w:val="left" w:pos="360"/>
        </w:tabs>
        <w:ind w:left="360" w:hanging="360"/>
        <w:rPr>
          <w:color w:val="000000"/>
        </w:rPr>
      </w:pPr>
    </w:p>
    <w:p w14:paraId="40BB9CB2" w14:textId="65F2C146" w:rsidR="003C061D" w:rsidRPr="00B77579" w:rsidRDefault="005B7B5D" w:rsidP="00CC7F1A">
      <w:pPr>
        <w:widowControl/>
        <w:rPr>
          <w:color w:val="000000"/>
        </w:rPr>
      </w:pPr>
      <w:r w:rsidRPr="00B77579">
        <w:rPr>
          <w:color w:val="000000"/>
        </w:rPr>
        <w:t>This is a new information collection</w:t>
      </w:r>
      <w:r w:rsidR="00D51869">
        <w:rPr>
          <w:color w:val="000000"/>
        </w:rPr>
        <w:t xml:space="preserve">. </w:t>
      </w:r>
      <w:r w:rsidRPr="00B77579">
        <w:rPr>
          <w:color w:val="000000"/>
        </w:rPr>
        <w:t xml:space="preserve"> </w:t>
      </w:r>
    </w:p>
    <w:p w14:paraId="13AD13FB" w14:textId="77777777" w:rsidR="005B7B5D" w:rsidRPr="00B77579" w:rsidRDefault="005B7B5D" w:rsidP="00CC7F1A">
      <w:pPr>
        <w:widowControl/>
        <w:rPr>
          <w:color w:val="000000"/>
        </w:rPr>
      </w:pPr>
    </w:p>
    <w:p w14:paraId="672AA7C5" w14:textId="77777777" w:rsidR="003C061D" w:rsidRPr="00B77579" w:rsidRDefault="00806341" w:rsidP="00CC7F1A">
      <w:pPr>
        <w:widowControl/>
        <w:rPr>
          <w:b/>
          <w:bCs/>
          <w:color w:val="000000"/>
        </w:rPr>
      </w:pPr>
      <w:r w:rsidRPr="00B77579">
        <w:rPr>
          <w:b/>
          <w:bCs/>
          <w:color w:val="000000"/>
        </w:rPr>
        <w:t xml:space="preserve">16.  </w:t>
      </w:r>
      <w:r w:rsidR="003C061D" w:rsidRPr="00B77579">
        <w:rPr>
          <w:b/>
          <w:bCs/>
          <w:color w:val="000000"/>
        </w:rPr>
        <w:t>For collections of information in which results will be published, outline plans for tabulation, and publication</w:t>
      </w:r>
      <w:r w:rsidR="00A67F9D" w:rsidRPr="00B77579">
        <w:rPr>
          <w:b/>
          <w:bCs/>
          <w:color w:val="000000"/>
        </w:rPr>
        <w:t xml:space="preserve">. </w:t>
      </w:r>
      <w:r w:rsidR="003C061D" w:rsidRPr="00B77579">
        <w:rPr>
          <w:b/>
          <w:bCs/>
          <w:color w:val="000000"/>
        </w:rPr>
        <w:t>Address any complex analytical techniques that will be used</w:t>
      </w:r>
      <w:r w:rsidR="00A67F9D" w:rsidRPr="00B77579">
        <w:rPr>
          <w:b/>
          <w:bCs/>
          <w:color w:val="000000"/>
        </w:rPr>
        <w:t xml:space="preserve">. </w:t>
      </w:r>
      <w:r w:rsidR="003C061D" w:rsidRPr="00B77579">
        <w:rPr>
          <w:b/>
          <w:bCs/>
          <w:color w:val="000000"/>
        </w:rPr>
        <w:t>Provide the time schedule for the entire project, including beginning and ending dates of the collection of information, completion of report, publication dates, and other actions.</w:t>
      </w:r>
    </w:p>
    <w:p w14:paraId="085829CD" w14:textId="77777777" w:rsidR="003C061D" w:rsidRPr="00B77579" w:rsidRDefault="003C061D" w:rsidP="00CC7F1A">
      <w:pPr>
        <w:widowControl/>
        <w:rPr>
          <w:color w:val="000000"/>
        </w:rPr>
      </w:pPr>
    </w:p>
    <w:p w14:paraId="360CA76E" w14:textId="4BF5E8A1" w:rsidR="003C061D" w:rsidRPr="00B77579" w:rsidRDefault="0069557E" w:rsidP="00CC7F1A">
      <w:pPr>
        <w:widowControl/>
        <w:rPr>
          <w:color w:val="000000"/>
        </w:rPr>
      </w:pPr>
      <w:r w:rsidRPr="00B77579">
        <w:rPr>
          <w:color w:val="000000"/>
        </w:rPr>
        <w:t>MSHA</w:t>
      </w:r>
      <w:r w:rsidR="003C061D" w:rsidRPr="00B77579">
        <w:rPr>
          <w:color w:val="000000"/>
        </w:rPr>
        <w:t xml:space="preserve"> has no plans to publish the information collected in associated with </w:t>
      </w:r>
      <w:r w:rsidR="008E4B4F">
        <w:rPr>
          <w:color w:val="000000"/>
        </w:rPr>
        <w:t>performance reports</w:t>
      </w:r>
      <w:r w:rsidR="00BA04C2">
        <w:rPr>
          <w:color w:val="000000"/>
        </w:rPr>
        <w:t>.</w:t>
      </w:r>
    </w:p>
    <w:p w14:paraId="23BD3B33" w14:textId="77777777" w:rsidR="003C061D" w:rsidRPr="00B77579" w:rsidRDefault="003C061D" w:rsidP="00CC7F1A">
      <w:pPr>
        <w:widowControl/>
        <w:rPr>
          <w:color w:val="000000"/>
        </w:rPr>
      </w:pPr>
    </w:p>
    <w:p w14:paraId="27E877C3" w14:textId="77777777" w:rsidR="003C061D" w:rsidRPr="00B77579" w:rsidRDefault="00806341" w:rsidP="00CC7F1A">
      <w:pPr>
        <w:widowControl/>
        <w:rPr>
          <w:color w:val="000000"/>
        </w:rPr>
      </w:pPr>
      <w:r w:rsidRPr="00B77579">
        <w:rPr>
          <w:b/>
          <w:bCs/>
          <w:color w:val="000000"/>
        </w:rPr>
        <w:t xml:space="preserve">17.  </w:t>
      </w:r>
      <w:r w:rsidR="003C061D" w:rsidRPr="00B77579">
        <w:rPr>
          <w:b/>
          <w:bCs/>
          <w:color w:val="000000"/>
        </w:rPr>
        <w:t>If seeking approval to not display the expiration date for OMB approval of the information collection, explain the reasons that display would be inappropriate.</w:t>
      </w:r>
    </w:p>
    <w:p w14:paraId="7225663D" w14:textId="77777777" w:rsidR="003C061D" w:rsidRPr="00B77579" w:rsidRDefault="003C061D" w:rsidP="00CC7F1A">
      <w:pPr>
        <w:widowControl/>
        <w:rPr>
          <w:color w:val="000000"/>
        </w:rPr>
      </w:pPr>
    </w:p>
    <w:p w14:paraId="3B8537A9" w14:textId="77777777" w:rsidR="008A4370" w:rsidRPr="00B77579" w:rsidRDefault="008A4370" w:rsidP="00CC7F1A">
      <w:pPr>
        <w:widowControl/>
        <w:rPr>
          <w:color w:val="000000"/>
        </w:rPr>
      </w:pPr>
      <w:r w:rsidRPr="00B77579">
        <w:rPr>
          <w:color w:val="000000"/>
        </w:rPr>
        <w:t xml:space="preserve">In accordance with 5 CFR 1320.8 (d), MSHA will publish the proposed information collection requirements in the </w:t>
      </w:r>
      <w:r w:rsidRPr="00B77579">
        <w:rPr>
          <w:i/>
          <w:color w:val="000000"/>
        </w:rPr>
        <w:t>Federal Register</w:t>
      </w:r>
      <w:r w:rsidRPr="00B77579">
        <w:rPr>
          <w:color w:val="000000"/>
        </w:rPr>
        <w:t>, notifying the public that these information collection requirements are being reviewed in accordance with the Paperwork Reduction Act of 1995, and giving interested persons 60 days to submit comments.</w:t>
      </w:r>
    </w:p>
    <w:p w14:paraId="623FEAF9" w14:textId="77777777" w:rsidR="008A4370" w:rsidRPr="00B77579" w:rsidRDefault="008A4370" w:rsidP="00CC7F1A">
      <w:pPr>
        <w:widowControl/>
        <w:rPr>
          <w:color w:val="000000"/>
        </w:rPr>
      </w:pPr>
    </w:p>
    <w:p w14:paraId="6DA18EC6" w14:textId="12C174F7" w:rsidR="003C061D" w:rsidRPr="00B77579" w:rsidRDefault="00F020A6" w:rsidP="00CC7F1A">
      <w:pPr>
        <w:widowControl/>
        <w:rPr>
          <w:color w:val="000000"/>
        </w:rPr>
      </w:pPr>
      <w:r w:rsidRPr="00B77579">
        <w:rPr>
          <w:color w:val="000000"/>
        </w:rPr>
        <w:t>MSHA</w:t>
      </w:r>
      <w:r w:rsidR="003C061D" w:rsidRPr="00B77579">
        <w:rPr>
          <w:color w:val="000000"/>
        </w:rPr>
        <w:t xml:space="preserve"> will publish the OMB contro</w:t>
      </w:r>
      <w:r w:rsidR="008E4B4F">
        <w:rPr>
          <w:color w:val="000000"/>
        </w:rPr>
        <w:t xml:space="preserve">l number and expiration date in the </w:t>
      </w:r>
      <w:r w:rsidR="003C061D" w:rsidRPr="00B77579">
        <w:rPr>
          <w:i/>
          <w:color w:val="000000"/>
        </w:rPr>
        <w:t>Federal Register</w:t>
      </w:r>
      <w:r w:rsidR="003C061D" w:rsidRPr="00B77579">
        <w:rPr>
          <w:color w:val="000000"/>
        </w:rPr>
        <w:t xml:space="preserve"> a</w:t>
      </w:r>
      <w:r w:rsidR="008E4B4F">
        <w:rPr>
          <w:color w:val="000000"/>
        </w:rPr>
        <w:t>nd on MSHA Form 5000-50</w:t>
      </w:r>
      <w:r w:rsidR="003C061D" w:rsidRPr="00B77579">
        <w:rPr>
          <w:color w:val="000000"/>
        </w:rPr>
        <w:t>.</w:t>
      </w:r>
    </w:p>
    <w:p w14:paraId="7E2F0852" w14:textId="77777777" w:rsidR="003C061D" w:rsidRPr="00B77579" w:rsidRDefault="003C061D" w:rsidP="00CC7F1A">
      <w:pPr>
        <w:widowControl/>
        <w:rPr>
          <w:color w:val="000000"/>
        </w:rPr>
      </w:pPr>
    </w:p>
    <w:p w14:paraId="75F96509" w14:textId="77777777" w:rsidR="003C061D" w:rsidRPr="00B77579" w:rsidRDefault="001E178D" w:rsidP="00CC7F1A">
      <w:pPr>
        <w:widowControl/>
        <w:rPr>
          <w:b/>
          <w:bCs/>
          <w:color w:val="000000"/>
        </w:rPr>
      </w:pPr>
      <w:r w:rsidRPr="00B77579">
        <w:rPr>
          <w:b/>
          <w:bCs/>
          <w:color w:val="000000"/>
        </w:rPr>
        <w:t>18</w:t>
      </w:r>
      <w:r w:rsidR="00806341" w:rsidRPr="00B77579">
        <w:rPr>
          <w:b/>
          <w:bCs/>
          <w:color w:val="000000"/>
        </w:rPr>
        <w:t xml:space="preserve">. </w:t>
      </w:r>
      <w:r w:rsidRPr="00B77579">
        <w:rPr>
          <w:b/>
          <w:bCs/>
          <w:color w:val="000000"/>
        </w:rPr>
        <w:t xml:space="preserve"> </w:t>
      </w:r>
      <w:r w:rsidR="003C061D" w:rsidRPr="00B77579">
        <w:rPr>
          <w:b/>
          <w:bCs/>
          <w:color w:val="000000"/>
        </w:rPr>
        <w:t>Explain each exception to the certification statement identified in the "Certification for Paperwork Reduction Act Submission.</w:t>
      </w:r>
      <w:r w:rsidR="001A4A08" w:rsidRPr="00B77579">
        <w:rPr>
          <w:b/>
          <w:bCs/>
          <w:color w:val="000000"/>
        </w:rPr>
        <w:t>”</w:t>
      </w:r>
    </w:p>
    <w:p w14:paraId="6DF4B1E2" w14:textId="77777777" w:rsidR="003C061D" w:rsidRPr="00B77579" w:rsidRDefault="003C061D" w:rsidP="00CC7F1A">
      <w:pPr>
        <w:widowControl/>
        <w:rPr>
          <w:color w:val="000000"/>
        </w:rPr>
      </w:pPr>
    </w:p>
    <w:p w14:paraId="3AAF5C36" w14:textId="77777777" w:rsidR="003C061D" w:rsidRPr="00B77579" w:rsidRDefault="00F020A6" w:rsidP="00CC7F1A">
      <w:pPr>
        <w:widowControl/>
        <w:rPr>
          <w:color w:val="000000"/>
        </w:rPr>
      </w:pPr>
      <w:r w:rsidRPr="00B77579">
        <w:rPr>
          <w:color w:val="000000"/>
        </w:rPr>
        <w:t>MSHA</w:t>
      </w:r>
      <w:r w:rsidR="003C061D" w:rsidRPr="00B77579">
        <w:rPr>
          <w:color w:val="000000"/>
        </w:rPr>
        <w:t xml:space="preserve"> is not seeking an exception to the certification statement.</w:t>
      </w:r>
    </w:p>
    <w:p w14:paraId="7DAECD16" w14:textId="77777777" w:rsidR="003C061D" w:rsidRPr="00B77579" w:rsidRDefault="003C061D" w:rsidP="000B69BE">
      <w:pPr>
        <w:widowControl/>
        <w:rPr>
          <w:color w:val="000000"/>
        </w:rPr>
      </w:pPr>
    </w:p>
    <w:p w14:paraId="50323D1D" w14:textId="77777777" w:rsidR="001A4A08" w:rsidRPr="00B77579" w:rsidRDefault="001A4A08" w:rsidP="000B69BE">
      <w:pPr>
        <w:widowControl/>
        <w:rPr>
          <w:color w:val="000000"/>
        </w:rPr>
      </w:pPr>
    </w:p>
    <w:p w14:paraId="47266CFB" w14:textId="77777777" w:rsidR="000D2D3A" w:rsidRPr="00B77579" w:rsidRDefault="000D2D3A" w:rsidP="000B69BE">
      <w:pPr>
        <w:widowControl/>
        <w:rPr>
          <w:b/>
          <w:bCs/>
          <w:i/>
          <w:color w:val="000000"/>
        </w:rPr>
      </w:pPr>
      <w:r w:rsidRPr="00B77579">
        <w:rPr>
          <w:b/>
          <w:bCs/>
          <w:i/>
          <w:color w:val="000000"/>
        </w:rPr>
        <w:t xml:space="preserve">Part </w:t>
      </w:r>
      <w:r w:rsidR="00495F62" w:rsidRPr="00B77579">
        <w:rPr>
          <w:b/>
          <w:bCs/>
          <w:i/>
          <w:color w:val="000000"/>
        </w:rPr>
        <w:t>B.  Statistical Methods</w:t>
      </w:r>
    </w:p>
    <w:p w14:paraId="49B0D9A2" w14:textId="77777777" w:rsidR="000D2D3A" w:rsidRPr="00B77579" w:rsidRDefault="000D2D3A" w:rsidP="000B69BE">
      <w:pPr>
        <w:widowControl/>
        <w:rPr>
          <w:color w:val="000000"/>
        </w:rPr>
      </w:pPr>
    </w:p>
    <w:p w14:paraId="7C1B9A44" w14:textId="77777777" w:rsidR="000D2D3A" w:rsidRPr="00B77579" w:rsidRDefault="000D2D3A" w:rsidP="000B69BE">
      <w:pPr>
        <w:widowControl/>
        <w:rPr>
          <w:color w:val="000000"/>
        </w:rPr>
      </w:pPr>
      <w:r w:rsidRPr="00B77579">
        <w:rPr>
          <w:color w:val="000000"/>
        </w:rPr>
        <w:t>This information collection does not employ statistical methods.</w:t>
      </w:r>
    </w:p>
    <w:sectPr w:rsidR="000D2D3A" w:rsidRPr="00B77579">
      <w:headerReference w:type="default" r:id="rId10"/>
      <w:footerReference w:type="even"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BDC50" w14:textId="77777777" w:rsidR="00A35196" w:rsidRDefault="00A35196">
      <w:r>
        <w:separator/>
      </w:r>
    </w:p>
  </w:endnote>
  <w:endnote w:type="continuationSeparator" w:id="0">
    <w:p w14:paraId="17A8715A" w14:textId="77777777" w:rsidR="00A35196" w:rsidRDefault="00A3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1FADE" w14:textId="77777777" w:rsidR="003C061D" w:rsidRDefault="003C06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BCC51E" w14:textId="77777777" w:rsidR="003C061D" w:rsidRDefault="003C06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FC196" w14:textId="623B36F6" w:rsidR="003C061D" w:rsidRDefault="003C06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7761">
      <w:rPr>
        <w:rStyle w:val="PageNumber"/>
        <w:noProof/>
      </w:rPr>
      <w:t>1</w:t>
    </w:r>
    <w:r>
      <w:rPr>
        <w:rStyle w:val="PageNumber"/>
      </w:rPr>
      <w:fldChar w:fldCharType="end"/>
    </w:r>
  </w:p>
  <w:p w14:paraId="0A244691" w14:textId="77777777" w:rsidR="003C061D" w:rsidRDefault="003C061D">
    <w:pPr>
      <w:pStyle w:val="Footer"/>
    </w:pPr>
    <w: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7175F" w14:textId="77777777" w:rsidR="00A35196" w:rsidRDefault="00A35196">
      <w:r>
        <w:separator/>
      </w:r>
    </w:p>
  </w:footnote>
  <w:footnote w:type="continuationSeparator" w:id="0">
    <w:p w14:paraId="04514AD1" w14:textId="77777777" w:rsidR="00A35196" w:rsidRDefault="00A35196">
      <w:r>
        <w:continuationSeparator/>
      </w:r>
    </w:p>
  </w:footnote>
  <w:footnote w:id="1">
    <w:p w14:paraId="13EB165B" w14:textId="325F0CFF" w:rsidR="008F695D" w:rsidRPr="000345FE" w:rsidRDefault="008F695D" w:rsidP="008F695D">
      <w:pPr>
        <w:pStyle w:val="FootnoteText"/>
      </w:pPr>
      <w:r w:rsidRPr="000345FE">
        <w:rPr>
          <w:rStyle w:val="FootnoteReference"/>
          <w:vertAlign w:val="superscript"/>
        </w:rPr>
        <w:footnoteRef/>
      </w:r>
      <w:r w:rsidRPr="000345FE">
        <w:t xml:space="preserve"> Options for obtaining OES data are available at item “E3.  How to get OES data.  What are the different ways to obtain OES estimates from this website?” at </w:t>
      </w:r>
      <w:hyperlink r:id="rId1" w:history="1">
        <w:r w:rsidR="00186D51" w:rsidRPr="00186D51">
          <w:rPr>
            <w:rStyle w:val="Hyperlink"/>
          </w:rPr>
          <w:t>https://www.bls.gov/oes/oes_ques.htm</w:t>
        </w:r>
      </w:hyperlink>
      <w:r w:rsidR="0080632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B2FC" w14:textId="77777777" w:rsidR="00F93146" w:rsidRDefault="00097222">
    <w:pPr>
      <w:pStyle w:val="Header"/>
      <w:rPr>
        <w:b/>
      </w:rPr>
    </w:pPr>
    <w:r>
      <w:rPr>
        <w:b/>
      </w:rPr>
      <w:t>Performance Reports for MSHA Grants</w:t>
    </w:r>
  </w:p>
  <w:p w14:paraId="1228690D" w14:textId="1C4EDECF" w:rsidR="00A75151" w:rsidRDefault="00F020A6">
    <w:pPr>
      <w:pStyle w:val="Header"/>
      <w:rPr>
        <w:b/>
      </w:rPr>
    </w:pPr>
    <w:r>
      <w:rPr>
        <w:b/>
      </w:rPr>
      <w:t>1219-0NEW</w:t>
    </w:r>
  </w:p>
  <w:p w14:paraId="3228FD21" w14:textId="0CEF31D4" w:rsidR="00A75151" w:rsidRDefault="00510C62">
    <w:pPr>
      <w:pStyle w:val="Header"/>
      <w:rPr>
        <w:b/>
      </w:rPr>
    </w:pPr>
    <w:r>
      <w:rPr>
        <w:b/>
      </w:rPr>
      <w:t>9-</w:t>
    </w:r>
    <w:r w:rsidR="003B4548">
      <w:rPr>
        <w:b/>
      </w:rPr>
      <w:t>2018</w:t>
    </w:r>
  </w:p>
  <w:p w14:paraId="35C9A63D" w14:textId="77777777" w:rsidR="003C061D" w:rsidRDefault="003C061D">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DEC954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pPr>
        <w:tabs>
          <w:tab w:val="num" w:pos="1440"/>
        </w:tabs>
        <w:ind w:left="1440" w:hanging="720"/>
      </w:pPr>
      <w:rPr>
        <w:rFonts w:ascii="Courier New" w:hAnsi="Courier New" w:cs="Courier New"/>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44A39DC"/>
    <w:multiLevelType w:val="hybridMultilevel"/>
    <w:tmpl w:val="B516A114"/>
    <w:lvl w:ilvl="0" w:tplc="EDA8D8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5A178E"/>
    <w:multiLevelType w:val="hybridMultilevel"/>
    <w:tmpl w:val="89888CB8"/>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9536A0"/>
    <w:multiLevelType w:val="hybridMultilevel"/>
    <w:tmpl w:val="BB3458FA"/>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BA3451"/>
    <w:multiLevelType w:val="hybridMultilevel"/>
    <w:tmpl w:val="8B082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7F5008"/>
    <w:multiLevelType w:val="hybridMultilevel"/>
    <w:tmpl w:val="0FFA521A"/>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DD470F"/>
    <w:multiLevelType w:val="hybridMultilevel"/>
    <w:tmpl w:val="B3C6234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E546A0"/>
    <w:multiLevelType w:val="hybridMultilevel"/>
    <w:tmpl w:val="40BE20EC"/>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03C46DF"/>
    <w:multiLevelType w:val="hybridMultilevel"/>
    <w:tmpl w:val="0B36532A"/>
    <w:lvl w:ilvl="0" w:tplc="5348732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220E2E"/>
    <w:multiLevelType w:val="hybridMultilevel"/>
    <w:tmpl w:val="6A4EA5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7BD7F25"/>
    <w:multiLevelType w:val="hybridMultilevel"/>
    <w:tmpl w:val="0B2AC0E8"/>
    <w:lvl w:ilvl="0" w:tplc="B81A4B46">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DE37A98"/>
    <w:multiLevelType w:val="hybridMultilevel"/>
    <w:tmpl w:val="DEE2119E"/>
    <w:lvl w:ilvl="0" w:tplc="780CD01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D51AE8"/>
    <w:multiLevelType w:val="hybridMultilevel"/>
    <w:tmpl w:val="EE1AF3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B5D73BD"/>
    <w:multiLevelType w:val="hybridMultilevel"/>
    <w:tmpl w:val="B5C27A24"/>
    <w:lvl w:ilvl="0" w:tplc="412A52A4">
      <w:start w:val="3"/>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75121C"/>
    <w:multiLevelType w:val="hybridMultilevel"/>
    <w:tmpl w:val="E272CEF0"/>
    <w:lvl w:ilvl="0" w:tplc="071CFA3A">
      <w:start w:val="10"/>
      <w:numFmt w:val="decimal"/>
      <w:lvlText w:val="%1."/>
      <w:lvlJc w:val="left"/>
      <w:pPr>
        <w:tabs>
          <w:tab w:val="num" w:pos="450"/>
        </w:tabs>
        <w:ind w:left="450" w:hanging="360"/>
      </w:pPr>
      <w:rPr>
        <w:rFonts w:hint="default"/>
        <w:b/>
        <w:i w:val="0"/>
      </w:rPr>
    </w:lvl>
    <w:lvl w:ilvl="1" w:tplc="B81A4B46">
      <w:start w:val="1"/>
      <w:numFmt w:val="bullet"/>
      <w:lvlText w:val=""/>
      <w:lvlJc w:val="left"/>
      <w:pPr>
        <w:tabs>
          <w:tab w:val="num" w:pos="1440"/>
        </w:tabs>
        <w:ind w:left="1440" w:hanging="360"/>
      </w:pPr>
      <w:rPr>
        <w:rFonts w:ascii="Symbol" w:hAnsi="Symbol"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BE430A7"/>
    <w:multiLevelType w:val="hybridMultilevel"/>
    <w:tmpl w:val="46104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C4E1CA1"/>
    <w:multiLevelType w:val="hybridMultilevel"/>
    <w:tmpl w:val="E314F2F4"/>
    <w:lvl w:ilvl="0" w:tplc="B81A4B4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FDB4072"/>
    <w:multiLevelType w:val="hybridMultilevel"/>
    <w:tmpl w:val="440E1F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2880" w:hanging="720"/>
        </w:pPr>
        <w:rPr>
          <w:rFonts w:ascii="Wingdings" w:hAnsi="Wingdings" w:hint="default"/>
        </w:rPr>
      </w:lvl>
    </w:lvlOverride>
  </w:num>
  <w:num w:numId="4">
    <w:abstractNumId w:val="11"/>
  </w:num>
  <w:num w:numId="5">
    <w:abstractNumId w:val="7"/>
  </w:num>
  <w:num w:numId="6">
    <w:abstractNumId w:val="12"/>
  </w:num>
  <w:num w:numId="7">
    <w:abstractNumId w:val="15"/>
  </w:num>
  <w:num w:numId="8">
    <w:abstractNumId w:val="13"/>
  </w:num>
  <w:num w:numId="9">
    <w:abstractNumId w:val="18"/>
  </w:num>
  <w:num w:numId="10">
    <w:abstractNumId w:val="14"/>
  </w:num>
  <w:num w:numId="11">
    <w:abstractNumId w:val="4"/>
  </w:num>
  <w:num w:numId="12">
    <w:abstractNumId w:val="16"/>
  </w:num>
  <w:num w:numId="13">
    <w:abstractNumId w:val="17"/>
  </w:num>
  <w:num w:numId="14">
    <w:abstractNumId w:val="8"/>
  </w:num>
  <w:num w:numId="15">
    <w:abstractNumId w:val="5"/>
  </w:num>
  <w:num w:numId="16">
    <w:abstractNumId w:val="10"/>
  </w:num>
  <w:num w:numId="17">
    <w:abstractNumId w:val="6"/>
  </w:num>
  <w:num w:numId="18">
    <w:abstractNumId w:val="19"/>
  </w:num>
  <w:num w:numId="19">
    <w:abstractNumId w:val="2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1D"/>
    <w:rsid w:val="000345FE"/>
    <w:rsid w:val="00054A1B"/>
    <w:rsid w:val="00060818"/>
    <w:rsid w:val="0008452F"/>
    <w:rsid w:val="00091611"/>
    <w:rsid w:val="00093FB8"/>
    <w:rsid w:val="00097222"/>
    <w:rsid w:val="000A2C9F"/>
    <w:rsid w:val="000A6C84"/>
    <w:rsid w:val="000B69BE"/>
    <w:rsid w:val="000B736D"/>
    <w:rsid w:val="000C7161"/>
    <w:rsid w:val="000D2D3A"/>
    <w:rsid w:val="000E4A65"/>
    <w:rsid w:val="001007D5"/>
    <w:rsid w:val="00116BF7"/>
    <w:rsid w:val="00122864"/>
    <w:rsid w:val="0012565D"/>
    <w:rsid w:val="00131226"/>
    <w:rsid w:val="00142FE1"/>
    <w:rsid w:val="00163918"/>
    <w:rsid w:val="0018532D"/>
    <w:rsid w:val="00186D51"/>
    <w:rsid w:val="0019744D"/>
    <w:rsid w:val="001A4A08"/>
    <w:rsid w:val="001B2326"/>
    <w:rsid w:val="001B6C97"/>
    <w:rsid w:val="001C270E"/>
    <w:rsid w:val="001D18E9"/>
    <w:rsid w:val="001D2520"/>
    <w:rsid w:val="001E178D"/>
    <w:rsid w:val="001E61C0"/>
    <w:rsid w:val="001E6E6B"/>
    <w:rsid w:val="001F624D"/>
    <w:rsid w:val="002022D6"/>
    <w:rsid w:val="00204762"/>
    <w:rsid w:val="0021320B"/>
    <w:rsid w:val="00217D68"/>
    <w:rsid w:val="002362DC"/>
    <w:rsid w:val="00244E05"/>
    <w:rsid w:val="00251F45"/>
    <w:rsid w:val="00251FA3"/>
    <w:rsid w:val="00252220"/>
    <w:rsid w:val="0025451A"/>
    <w:rsid w:val="00255176"/>
    <w:rsid w:val="00255C06"/>
    <w:rsid w:val="00261476"/>
    <w:rsid w:val="0026224A"/>
    <w:rsid w:val="00262C3F"/>
    <w:rsid w:val="00266E4E"/>
    <w:rsid w:val="00270ED3"/>
    <w:rsid w:val="002807C1"/>
    <w:rsid w:val="002928F3"/>
    <w:rsid w:val="002966BE"/>
    <w:rsid w:val="002A221F"/>
    <w:rsid w:val="002B68A1"/>
    <w:rsid w:val="002C1EA7"/>
    <w:rsid w:val="002C58DB"/>
    <w:rsid w:val="002D6AAF"/>
    <w:rsid w:val="002E6400"/>
    <w:rsid w:val="002F3CD7"/>
    <w:rsid w:val="002F6EFF"/>
    <w:rsid w:val="002F7CAE"/>
    <w:rsid w:val="003026B7"/>
    <w:rsid w:val="003046A7"/>
    <w:rsid w:val="0031116D"/>
    <w:rsid w:val="00312AAA"/>
    <w:rsid w:val="0032492F"/>
    <w:rsid w:val="00324AFE"/>
    <w:rsid w:val="00332FBF"/>
    <w:rsid w:val="003426A3"/>
    <w:rsid w:val="00343088"/>
    <w:rsid w:val="00343CC5"/>
    <w:rsid w:val="00350ADA"/>
    <w:rsid w:val="00386E9E"/>
    <w:rsid w:val="00393ACF"/>
    <w:rsid w:val="003A0629"/>
    <w:rsid w:val="003A09A7"/>
    <w:rsid w:val="003A1B6F"/>
    <w:rsid w:val="003B4548"/>
    <w:rsid w:val="003C061D"/>
    <w:rsid w:val="00410B6F"/>
    <w:rsid w:val="00413935"/>
    <w:rsid w:val="0041710B"/>
    <w:rsid w:val="00425677"/>
    <w:rsid w:val="00434A95"/>
    <w:rsid w:val="004414CE"/>
    <w:rsid w:val="00443C95"/>
    <w:rsid w:val="004455E8"/>
    <w:rsid w:val="00470F92"/>
    <w:rsid w:val="00483AC5"/>
    <w:rsid w:val="00495F62"/>
    <w:rsid w:val="00496985"/>
    <w:rsid w:val="004A1AED"/>
    <w:rsid w:val="004E6FD6"/>
    <w:rsid w:val="00510C62"/>
    <w:rsid w:val="00516700"/>
    <w:rsid w:val="00525FA1"/>
    <w:rsid w:val="00527224"/>
    <w:rsid w:val="00531DC7"/>
    <w:rsid w:val="00533A21"/>
    <w:rsid w:val="00535854"/>
    <w:rsid w:val="00546080"/>
    <w:rsid w:val="00550477"/>
    <w:rsid w:val="00551A2A"/>
    <w:rsid w:val="005604AC"/>
    <w:rsid w:val="005605C4"/>
    <w:rsid w:val="005607F8"/>
    <w:rsid w:val="00560B85"/>
    <w:rsid w:val="00565F16"/>
    <w:rsid w:val="00584209"/>
    <w:rsid w:val="00590D0A"/>
    <w:rsid w:val="0059643D"/>
    <w:rsid w:val="005B7B5D"/>
    <w:rsid w:val="005C62A2"/>
    <w:rsid w:val="005D2308"/>
    <w:rsid w:val="005E10CA"/>
    <w:rsid w:val="005E6509"/>
    <w:rsid w:val="005F2388"/>
    <w:rsid w:val="005F4DAD"/>
    <w:rsid w:val="005F6F8E"/>
    <w:rsid w:val="006019C4"/>
    <w:rsid w:val="00607D0F"/>
    <w:rsid w:val="006275D7"/>
    <w:rsid w:val="006302D5"/>
    <w:rsid w:val="00633FD3"/>
    <w:rsid w:val="0063410B"/>
    <w:rsid w:val="00654728"/>
    <w:rsid w:val="00661932"/>
    <w:rsid w:val="006633AC"/>
    <w:rsid w:val="006659E8"/>
    <w:rsid w:val="006703D7"/>
    <w:rsid w:val="006718BE"/>
    <w:rsid w:val="00681D10"/>
    <w:rsid w:val="0068214B"/>
    <w:rsid w:val="0069557E"/>
    <w:rsid w:val="006A611E"/>
    <w:rsid w:val="006D06C8"/>
    <w:rsid w:val="006D0730"/>
    <w:rsid w:val="006E53D9"/>
    <w:rsid w:val="006E63B8"/>
    <w:rsid w:val="0070718C"/>
    <w:rsid w:val="0073596F"/>
    <w:rsid w:val="0073667D"/>
    <w:rsid w:val="00736982"/>
    <w:rsid w:val="007471A7"/>
    <w:rsid w:val="007551A7"/>
    <w:rsid w:val="007567E6"/>
    <w:rsid w:val="00760663"/>
    <w:rsid w:val="0078513A"/>
    <w:rsid w:val="007C2E55"/>
    <w:rsid w:val="007D7BC7"/>
    <w:rsid w:val="007E34CF"/>
    <w:rsid w:val="0080557E"/>
    <w:rsid w:val="0080632E"/>
    <w:rsid w:val="00806341"/>
    <w:rsid w:val="00816CCF"/>
    <w:rsid w:val="00826D1D"/>
    <w:rsid w:val="00836FFF"/>
    <w:rsid w:val="00837CF5"/>
    <w:rsid w:val="00840CD4"/>
    <w:rsid w:val="008426B2"/>
    <w:rsid w:val="00861D2B"/>
    <w:rsid w:val="00861DA8"/>
    <w:rsid w:val="00864CF6"/>
    <w:rsid w:val="00867C73"/>
    <w:rsid w:val="00882E68"/>
    <w:rsid w:val="00882ECE"/>
    <w:rsid w:val="008A1614"/>
    <w:rsid w:val="008A4370"/>
    <w:rsid w:val="008A58C1"/>
    <w:rsid w:val="008C573B"/>
    <w:rsid w:val="008D5CF6"/>
    <w:rsid w:val="008D7761"/>
    <w:rsid w:val="008E49D0"/>
    <w:rsid w:val="008E4B4F"/>
    <w:rsid w:val="008F04DD"/>
    <w:rsid w:val="008F313E"/>
    <w:rsid w:val="008F695D"/>
    <w:rsid w:val="009133D3"/>
    <w:rsid w:val="00913BA3"/>
    <w:rsid w:val="00915FBC"/>
    <w:rsid w:val="00925604"/>
    <w:rsid w:val="00925879"/>
    <w:rsid w:val="009323A5"/>
    <w:rsid w:val="00935045"/>
    <w:rsid w:val="00946837"/>
    <w:rsid w:val="0097009B"/>
    <w:rsid w:val="00977A3A"/>
    <w:rsid w:val="009961F3"/>
    <w:rsid w:val="009B47AD"/>
    <w:rsid w:val="009C36C8"/>
    <w:rsid w:val="009C532C"/>
    <w:rsid w:val="009C69D5"/>
    <w:rsid w:val="009C77DD"/>
    <w:rsid w:val="009D1343"/>
    <w:rsid w:val="009D19AE"/>
    <w:rsid w:val="009E6283"/>
    <w:rsid w:val="009F1ABE"/>
    <w:rsid w:val="00A00443"/>
    <w:rsid w:val="00A23795"/>
    <w:rsid w:val="00A3039D"/>
    <w:rsid w:val="00A35196"/>
    <w:rsid w:val="00A37945"/>
    <w:rsid w:val="00A67F9D"/>
    <w:rsid w:val="00A702E5"/>
    <w:rsid w:val="00A7079D"/>
    <w:rsid w:val="00A75151"/>
    <w:rsid w:val="00A85245"/>
    <w:rsid w:val="00A971BC"/>
    <w:rsid w:val="00AA32EA"/>
    <w:rsid w:val="00AA541B"/>
    <w:rsid w:val="00AA6C67"/>
    <w:rsid w:val="00AC2E90"/>
    <w:rsid w:val="00AD55D2"/>
    <w:rsid w:val="00AD6010"/>
    <w:rsid w:val="00AF42FB"/>
    <w:rsid w:val="00AF7EA6"/>
    <w:rsid w:val="00B10338"/>
    <w:rsid w:val="00B1728F"/>
    <w:rsid w:val="00B2093A"/>
    <w:rsid w:val="00B3072C"/>
    <w:rsid w:val="00B441A1"/>
    <w:rsid w:val="00B54B59"/>
    <w:rsid w:val="00B643B5"/>
    <w:rsid w:val="00B67D2A"/>
    <w:rsid w:val="00B77579"/>
    <w:rsid w:val="00BA04C2"/>
    <w:rsid w:val="00BA4AA4"/>
    <w:rsid w:val="00BC542E"/>
    <w:rsid w:val="00BD14B7"/>
    <w:rsid w:val="00C00090"/>
    <w:rsid w:val="00C04722"/>
    <w:rsid w:val="00C36DDF"/>
    <w:rsid w:val="00C42632"/>
    <w:rsid w:val="00C4268F"/>
    <w:rsid w:val="00C432BE"/>
    <w:rsid w:val="00C45D98"/>
    <w:rsid w:val="00C60475"/>
    <w:rsid w:val="00C66DBC"/>
    <w:rsid w:val="00C67E3F"/>
    <w:rsid w:val="00C71617"/>
    <w:rsid w:val="00C762E7"/>
    <w:rsid w:val="00C83222"/>
    <w:rsid w:val="00C84B57"/>
    <w:rsid w:val="00C9154D"/>
    <w:rsid w:val="00C91956"/>
    <w:rsid w:val="00C93674"/>
    <w:rsid w:val="00C97661"/>
    <w:rsid w:val="00CA5EEB"/>
    <w:rsid w:val="00CA7290"/>
    <w:rsid w:val="00CB0F15"/>
    <w:rsid w:val="00CC530B"/>
    <w:rsid w:val="00CC7F1A"/>
    <w:rsid w:val="00CD2588"/>
    <w:rsid w:val="00CD3744"/>
    <w:rsid w:val="00D0784A"/>
    <w:rsid w:val="00D45B4B"/>
    <w:rsid w:val="00D46C32"/>
    <w:rsid w:val="00D51869"/>
    <w:rsid w:val="00D52672"/>
    <w:rsid w:val="00D645EC"/>
    <w:rsid w:val="00D71E22"/>
    <w:rsid w:val="00D84233"/>
    <w:rsid w:val="00D9329E"/>
    <w:rsid w:val="00DA0227"/>
    <w:rsid w:val="00DA64FD"/>
    <w:rsid w:val="00DA6CDB"/>
    <w:rsid w:val="00DB3045"/>
    <w:rsid w:val="00DB7401"/>
    <w:rsid w:val="00DD4F8A"/>
    <w:rsid w:val="00DD75AA"/>
    <w:rsid w:val="00DE4057"/>
    <w:rsid w:val="00E02103"/>
    <w:rsid w:val="00E04138"/>
    <w:rsid w:val="00E316C8"/>
    <w:rsid w:val="00E329FE"/>
    <w:rsid w:val="00E61A26"/>
    <w:rsid w:val="00E64985"/>
    <w:rsid w:val="00E774BF"/>
    <w:rsid w:val="00E84C06"/>
    <w:rsid w:val="00E92092"/>
    <w:rsid w:val="00E95EC3"/>
    <w:rsid w:val="00E972F7"/>
    <w:rsid w:val="00EA4767"/>
    <w:rsid w:val="00EC2EC7"/>
    <w:rsid w:val="00EE649C"/>
    <w:rsid w:val="00EF2CCF"/>
    <w:rsid w:val="00F020A6"/>
    <w:rsid w:val="00F053ED"/>
    <w:rsid w:val="00F060C5"/>
    <w:rsid w:val="00F10433"/>
    <w:rsid w:val="00F11E69"/>
    <w:rsid w:val="00F33DDD"/>
    <w:rsid w:val="00F56F26"/>
    <w:rsid w:val="00F576CD"/>
    <w:rsid w:val="00F84315"/>
    <w:rsid w:val="00F93146"/>
    <w:rsid w:val="00F93B1B"/>
    <w:rsid w:val="00FC1C1D"/>
    <w:rsid w:val="00FC2C30"/>
    <w:rsid w:val="00FC39C3"/>
    <w:rsid w:val="00FC45A7"/>
    <w:rsid w:val="00FE2268"/>
    <w:rsid w:val="00FF27EB"/>
    <w:rsid w:val="1F0F7660"/>
    <w:rsid w:val="4845B6A5"/>
    <w:rsid w:val="55048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AA3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0"/>
      <w:szCs w:val="2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pPr>
      <w:numPr>
        <w:ilvl w:val="1"/>
        <w:numId w:val="2"/>
      </w:numPr>
      <w:ind w:left="1440" w:hanging="720"/>
      <w:outlineLvl w:val="1"/>
    </w:pPr>
  </w:style>
  <w:style w:type="paragraph" w:customStyle="1" w:styleId="Level1">
    <w:name w:val="Level 1"/>
    <w:basedOn w:val="Normal"/>
    <w:pPr>
      <w:ind w:left="2880" w:hanging="720"/>
    </w:p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character" w:styleId="PageNumber">
    <w:name w:val="page number"/>
    <w:basedOn w:val="DefaultParagraphFont"/>
  </w:style>
  <w:style w:type="paragraph" w:styleId="Caption">
    <w:name w:val="caption"/>
    <w:basedOn w:val="Normal"/>
    <w:next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szCs w:val="20"/>
    </w:rPr>
  </w:style>
  <w:style w:type="character" w:styleId="Hyperlink">
    <w:name w:val="Hyperlink"/>
    <w:rsid w:val="008C573B"/>
    <w:rPr>
      <w:color w:val="0000FF"/>
      <w:u w:val="single"/>
    </w:rPr>
  </w:style>
  <w:style w:type="paragraph" w:styleId="BalloonText">
    <w:name w:val="Balloon Text"/>
    <w:basedOn w:val="Normal"/>
    <w:semiHidden/>
    <w:rsid w:val="00244E05"/>
    <w:rPr>
      <w:rFonts w:ascii="Tahoma" w:hAnsi="Tahoma" w:cs="Tahoma"/>
      <w:sz w:val="16"/>
      <w:szCs w:val="16"/>
    </w:rPr>
  </w:style>
  <w:style w:type="character" w:customStyle="1" w:styleId="FooterChar">
    <w:name w:val="Footer Char"/>
    <w:link w:val="Footer"/>
    <w:uiPriority w:val="99"/>
    <w:rsid w:val="002022D6"/>
    <w:rPr>
      <w:sz w:val="24"/>
      <w:szCs w:val="24"/>
    </w:rPr>
  </w:style>
  <w:style w:type="paragraph" w:styleId="ListParagraph">
    <w:name w:val="List Paragraph"/>
    <w:basedOn w:val="Normal"/>
    <w:uiPriority w:val="34"/>
    <w:qFormat/>
    <w:rsid w:val="005F6F8E"/>
    <w:pPr>
      <w:ind w:left="720"/>
    </w:pPr>
  </w:style>
  <w:style w:type="character" w:styleId="CommentReference">
    <w:name w:val="annotation reference"/>
    <w:basedOn w:val="DefaultParagraphFont"/>
    <w:rsid w:val="00434A95"/>
    <w:rPr>
      <w:sz w:val="16"/>
      <w:szCs w:val="16"/>
    </w:rPr>
  </w:style>
  <w:style w:type="paragraph" w:styleId="CommentText">
    <w:name w:val="annotation text"/>
    <w:basedOn w:val="Normal"/>
    <w:link w:val="CommentTextChar"/>
    <w:rsid w:val="00434A95"/>
    <w:rPr>
      <w:sz w:val="20"/>
      <w:szCs w:val="20"/>
    </w:rPr>
  </w:style>
  <w:style w:type="character" w:customStyle="1" w:styleId="CommentTextChar">
    <w:name w:val="Comment Text Char"/>
    <w:basedOn w:val="DefaultParagraphFont"/>
    <w:link w:val="CommentText"/>
    <w:rsid w:val="00434A95"/>
  </w:style>
  <w:style w:type="paragraph" w:styleId="CommentSubject">
    <w:name w:val="annotation subject"/>
    <w:basedOn w:val="CommentText"/>
    <w:next w:val="CommentText"/>
    <w:link w:val="CommentSubjectChar"/>
    <w:rsid w:val="00434A95"/>
    <w:rPr>
      <w:b/>
      <w:bCs/>
    </w:rPr>
  </w:style>
  <w:style w:type="character" w:customStyle="1" w:styleId="CommentSubjectChar">
    <w:name w:val="Comment Subject Char"/>
    <w:basedOn w:val="CommentTextChar"/>
    <w:link w:val="CommentSubject"/>
    <w:rsid w:val="00434A95"/>
    <w:rPr>
      <w:b/>
      <w:bCs/>
    </w:rPr>
  </w:style>
  <w:style w:type="paragraph" w:styleId="FootnoteText">
    <w:name w:val="footnote text"/>
    <w:basedOn w:val="Normal"/>
    <w:link w:val="FootnoteTextChar"/>
    <w:rsid w:val="008F695D"/>
    <w:rPr>
      <w:sz w:val="20"/>
      <w:szCs w:val="20"/>
    </w:rPr>
  </w:style>
  <w:style w:type="character" w:customStyle="1" w:styleId="FootnoteTextChar">
    <w:name w:val="Footnote Text Char"/>
    <w:basedOn w:val="DefaultParagraphFont"/>
    <w:link w:val="FootnoteText"/>
    <w:rsid w:val="008F695D"/>
  </w:style>
  <w:style w:type="paragraph" w:customStyle="1" w:styleId="Default">
    <w:name w:val="Default"/>
    <w:rsid w:val="008F695D"/>
    <w:pPr>
      <w:widowControl w:val="0"/>
      <w:autoSpaceDE w:val="0"/>
      <w:autoSpaceDN w:val="0"/>
      <w:adjustRightInd w:val="0"/>
    </w:pPr>
    <w:rPr>
      <w:color w:val="000000"/>
      <w:sz w:val="24"/>
      <w:szCs w:val="24"/>
    </w:rPr>
  </w:style>
  <w:style w:type="character" w:styleId="FollowedHyperlink">
    <w:name w:val="FollowedHyperlink"/>
    <w:basedOn w:val="DefaultParagraphFont"/>
    <w:rsid w:val="00270ED3"/>
    <w:rPr>
      <w:color w:val="800080" w:themeColor="followedHyperlink"/>
      <w:u w:val="single"/>
    </w:rPr>
  </w:style>
  <w:style w:type="table" w:styleId="TableGrid">
    <w:name w:val="Table Grid"/>
    <w:basedOn w:val="TableNormal"/>
    <w:uiPriority w:val="59"/>
    <w:rsid w:val="00E972F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0"/>
      <w:szCs w:val="2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pPr>
      <w:numPr>
        <w:ilvl w:val="1"/>
        <w:numId w:val="2"/>
      </w:numPr>
      <w:ind w:left="1440" w:hanging="720"/>
      <w:outlineLvl w:val="1"/>
    </w:pPr>
  </w:style>
  <w:style w:type="paragraph" w:customStyle="1" w:styleId="Level1">
    <w:name w:val="Level 1"/>
    <w:basedOn w:val="Normal"/>
    <w:pPr>
      <w:ind w:left="2880" w:hanging="720"/>
    </w:p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character" w:styleId="PageNumber">
    <w:name w:val="page number"/>
    <w:basedOn w:val="DefaultParagraphFont"/>
  </w:style>
  <w:style w:type="paragraph" w:styleId="Caption">
    <w:name w:val="caption"/>
    <w:basedOn w:val="Normal"/>
    <w:next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szCs w:val="20"/>
    </w:rPr>
  </w:style>
  <w:style w:type="character" w:styleId="Hyperlink">
    <w:name w:val="Hyperlink"/>
    <w:rsid w:val="008C573B"/>
    <w:rPr>
      <w:color w:val="0000FF"/>
      <w:u w:val="single"/>
    </w:rPr>
  </w:style>
  <w:style w:type="paragraph" w:styleId="BalloonText">
    <w:name w:val="Balloon Text"/>
    <w:basedOn w:val="Normal"/>
    <w:semiHidden/>
    <w:rsid w:val="00244E05"/>
    <w:rPr>
      <w:rFonts w:ascii="Tahoma" w:hAnsi="Tahoma" w:cs="Tahoma"/>
      <w:sz w:val="16"/>
      <w:szCs w:val="16"/>
    </w:rPr>
  </w:style>
  <w:style w:type="character" w:customStyle="1" w:styleId="FooterChar">
    <w:name w:val="Footer Char"/>
    <w:link w:val="Footer"/>
    <w:uiPriority w:val="99"/>
    <w:rsid w:val="002022D6"/>
    <w:rPr>
      <w:sz w:val="24"/>
      <w:szCs w:val="24"/>
    </w:rPr>
  </w:style>
  <w:style w:type="paragraph" w:styleId="ListParagraph">
    <w:name w:val="List Paragraph"/>
    <w:basedOn w:val="Normal"/>
    <w:uiPriority w:val="34"/>
    <w:qFormat/>
    <w:rsid w:val="005F6F8E"/>
    <w:pPr>
      <w:ind w:left="720"/>
    </w:pPr>
  </w:style>
  <w:style w:type="character" w:styleId="CommentReference">
    <w:name w:val="annotation reference"/>
    <w:basedOn w:val="DefaultParagraphFont"/>
    <w:rsid w:val="00434A95"/>
    <w:rPr>
      <w:sz w:val="16"/>
      <w:szCs w:val="16"/>
    </w:rPr>
  </w:style>
  <w:style w:type="paragraph" w:styleId="CommentText">
    <w:name w:val="annotation text"/>
    <w:basedOn w:val="Normal"/>
    <w:link w:val="CommentTextChar"/>
    <w:rsid w:val="00434A95"/>
    <w:rPr>
      <w:sz w:val="20"/>
      <w:szCs w:val="20"/>
    </w:rPr>
  </w:style>
  <w:style w:type="character" w:customStyle="1" w:styleId="CommentTextChar">
    <w:name w:val="Comment Text Char"/>
    <w:basedOn w:val="DefaultParagraphFont"/>
    <w:link w:val="CommentText"/>
    <w:rsid w:val="00434A95"/>
  </w:style>
  <w:style w:type="paragraph" w:styleId="CommentSubject">
    <w:name w:val="annotation subject"/>
    <w:basedOn w:val="CommentText"/>
    <w:next w:val="CommentText"/>
    <w:link w:val="CommentSubjectChar"/>
    <w:rsid w:val="00434A95"/>
    <w:rPr>
      <w:b/>
      <w:bCs/>
    </w:rPr>
  </w:style>
  <w:style w:type="character" w:customStyle="1" w:styleId="CommentSubjectChar">
    <w:name w:val="Comment Subject Char"/>
    <w:basedOn w:val="CommentTextChar"/>
    <w:link w:val="CommentSubject"/>
    <w:rsid w:val="00434A95"/>
    <w:rPr>
      <w:b/>
      <w:bCs/>
    </w:rPr>
  </w:style>
  <w:style w:type="paragraph" w:styleId="FootnoteText">
    <w:name w:val="footnote text"/>
    <w:basedOn w:val="Normal"/>
    <w:link w:val="FootnoteTextChar"/>
    <w:rsid w:val="008F695D"/>
    <w:rPr>
      <w:sz w:val="20"/>
      <w:szCs w:val="20"/>
    </w:rPr>
  </w:style>
  <w:style w:type="character" w:customStyle="1" w:styleId="FootnoteTextChar">
    <w:name w:val="Footnote Text Char"/>
    <w:basedOn w:val="DefaultParagraphFont"/>
    <w:link w:val="FootnoteText"/>
    <w:rsid w:val="008F695D"/>
  </w:style>
  <w:style w:type="paragraph" w:customStyle="1" w:styleId="Default">
    <w:name w:val="Default"/>
    <w:rsid w:val="008F695D"/>
    <w:pPr>
      <w:widowControl w:val="0"/>
      <w:autoSpaceDE w:val="0"/>
      <w:autoSpaceDN w:val="0"/>
      <w:adjustRightInd w:val="0"/>
    </w:pPr>
    <w:rPr>
      <w:color w:val="000000"/>
      <w:sz w:val="24"/>
      <w:szCs w:val="24"/>
    </w:rPr>
  </w:style>
  <w:style w:type="character" w:styleId="FollowedHyperlink">
    <w:name w:val="FollowedHyperlink"/>
    <w:basedOn w:val="DefaultParagraphFont"/>
    <w:rsid w:val="00270ED3"/>
    <w:rPr>
      <w:color w:val="800080" w:themeColor="followedHyperlink"/>
      <w:u w:val="single"/>
    </w:rPr>
  </w:style>
  <w:style w:type="table" w:styleId="TableGrid">
    <w:name w:val="Table Grid"/>
    <w:basedOn w:val="TableNormal"/>
    <w:uiPriority w:val="59"/>
    <w:rsid w:val="00E972F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84327">
      <w:bodyDiv w:val="1"/>
      <w:marLeft w:val="0"/>
      <w:marRight w:val="0"/>
      <w:marTop w:val="0"/>
      <w:marBottom w:val="0"/>
      <w:divBdr>
        <w:top w:val="none" w:sz="0" w:space="0" w:color="auto"/>
        <w:left w:val="none" w:sz="0" w:space="0" w:color="auto"/>
        <w:bottom w:val="none" w:sz="0" w:space="0" w:color="auto"/>
        <w:right w:val="none" w:sz="0" w:space="0" w:color="auto"/>
      </w:divBdr>
    </w:div>
    <w:div w:id="544489168">
      <w:bodyDiv w:val="1"/>
      <w:marLeft w:val="0"/>
      <w:marRight w:val="0"/>
      <w:marTop w:val="0"/>
      <w:marBottom w:val="0"/>
      <w:divBdr>
        <w:top w:val="none" w:sz="0" w:space="0" w:color="auto"/>
        <w:left w:val="none" w:sz="0" w:space="0" w:color="auto"/>
        <w:bottom w:val="none" w:sz="0" w:space="0" w:color="auto"/>
        <w:right w:val="none" w:sz="0" w:space="0" w:color="auto"/>
      </w:divBdr>
    </w:div>
    <w:div w:id="914625476">
      <w:bodyDiv w:val="1"/>
      <w:marLeft w:val="0"/>
      <w:marRight w:val="0"/>
      <w:marTop w:val="0"/>
      <w:marBottom w:val="0"/>
      <w:divBdr>
        <w:top w:val="none" w:sz="0" w:space="0" w:color="auto"/>
        <w:left w:val="none" w:sz="0" w:space="0" w:color="auto"/>
        <w:bottom w:val="none" w:sz="0" w:space="0" w:color="auto"/>
        <w:right w:val="none" w:sz="0" w:space="0" w:color="auto"/>
      </w:divBdr>
    </w:div>
    <w:div w:id="1118061155">
      <w:bodyDiv w:val="1"/>
      <w:marLeft w:val="0"/>
      <w:marRight w:val="0"/>
      <w:marTop w:val="0"/>
      <w:marBottom w:val="0"/>
      <w:divBdr>
        <w:top w:val="none" w:sz="0" w:space="0" w:color="auto"/>
        <w:left w:val="none" w:sz="0" w:space="0" w:color="auto"/>
        <w:bottom w:val="none" w:sz="0" w:space="0" w:color="auto"/>
        <w:right w:val="none" w:sz="0" w:space="0" w:color="auto"/>
      </w:divBdr>
    </w:div>
    <w:div w:id="1352681220">
      <w:bodyDiv w:val="1"/>
      <w:marLeft w:val="0"/>
      <w:marRight w:val="0"/>
      <w:marTop w:val="0"/>
      <w:marBottom w:val="0"/>
      <w:divBdr>
        <w:top w:val="none" w:sz="0" w:space="0" w:color="auto"/>
        <w:left w:val="none" w:sz="0" w:space="0" w:color="auto"/>
        <w:bottom w:val="none" w:sz="0" w:space="0" w:color="auto"/>
        <w:right w:val="none" w:sz="0" w:space="0" w:color="auto"/>
      </w:divBdr>
    </w:div>
    <w:div w:id="1465007505">
      <w:bodyDiv w:val="1"/>
      <w:marLeft w:val="0"/>
      <w:marRight w:val="0"/>
      <w:marTop w:val="0"/>
      <w:marBottom w:val="0"/>
      <w:divBdr>
        <w:top w:val="none" w:sz="0" w:space="0" w:color="auto"/>
        <w:left w:val="none" w:sz="0" w:space="0" w:color="auto"/>
        <w:bottom w:val="none" w:sz="0" w:space="0" w:color="auto"/>
        <w:right w:val="none" w:sz="0" w:space="0" w:color="auto"/>
      </w:divBdr>
    </w:div>
    <w:div w:id="16660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88357-306D-4162-8620-D8F629A7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SGA ICR</vt:lpstr>
    </vt:vector>
  </TitlesOfParts>
  <Manager>D. King</Manager>
  <Company>U.S. Dept of Labor</Company>
  <LinksUpToDate>false</LinksUpToDate>
  <CharactersWithSpaces>19933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SGA ICR</dc:title>
  <dc:subject>PRA</dc:subject>
  <dc:creator>king-darrin</dc:creator>
  <cp:lastModifiedBy>SYSTEM</cp:lastModifiedBy>
  <cp:revision>2</cp:revision>
  <cp:lastPrinted>2018-05-30T16:07:00Z</cp:lastPrinted>
  <dcterms:created xsi:type="dcterms:W3CDTF">2018-09-26T15:26:00Z</dcterms:created>
  <dcterms:modified xsi:type="dcterms:W3CDTF">2018-09-26T15:26:00Z</dcterms:modified>
</cp:coreProperties>
</file>