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05" w:rsidRDefault="00521205">
      <w:pPr>
        <w:tabs>
          <w:tab w:val="right" w:pos="10080"/>
        </w:tabs>
        <w:jc w:val="right"/>
        <w:rPr>
          <w:rFonts w:ascii="Arial" w:hAnsi="Arial"/>
          <w:sz w:val="18"/>
        </w:rPr>
      </w:pPr>
      <w:bookmarkStart w:id="0" w:name="_GoBack"/>
      <w:bookmarkEnd w:id="0"/>
      <w:r>
        <w:rPr>
          <w:rFonts w:ascii="Arial" w:hAnsi="Arial"/>
          <w:i/>
          <w:sz w:val="18"/>
        </w:rPr>
        <w:t>Data reported on this form will be held in confidence.</w:t>
      </w:r>
      <w:r>
        <w:rPr>
          <w:rFonts w:ascii="Arial" w:hAnsi="Arial"/>
          <w:sz w:val="18"/>
        </w:rPr>
        <w:t xml:space="preserve">                            Form Approved: OMB No. 1505-0014</w:t>
      </w:r>
    </w:p>
    <w:p w:rsidR="00521205" w:rsidRDefault="00521205">
      <w:pPr>
        <w:tabs>
          <w:tab w:val="right" w:pos="10080"/>
        </w:tabs>
        <w:jc w:val="right"/>
        <w:rPr>
          <w:rFonts w:ascii="Arial" w:hAnsi="Arial"/>
          <w:sz w:val="18"/>
        </w:rPr>
      </w:pPr>
      <w:r>
        <w:rPr>
          <w:rFonts w:ascii="Arial" w:hAnsi="Arial"/>
          <w:sz w:val="18"/>
        </w:rPr>
        <w:t xml:space="preserve">     </w:t>
      </w:r>
      <w:r>
        <w:rPr>
          <w:rFonts w:ascii="Arial" w:hAnsi="Arial"/>
          <w:i/>
          <w:sz w:val="18"/>
        </w:rPr>
        <w:t>(See Section A of the Instructions.)</w:t>
      </w:r>
      <w:r>
        <w:rPr>
          <w:rFonts w:ascii="Arial" w:hAnsi="Arial"/>
          <w:sz w:val="18"/>
        </w:rPr>
        <w:t xml:space="preserve">                                                     Estimated average burden: 8 hours</w:t>
      </w:r>
    </w:p>
    <w:p w:rsidR="00521205" w:rsidRDefault="00521205">
      <w:pPr>
        <w:tabs>
          <w:tab w:val="right" w:pos="10080"/>
        </w:tabs>
        <w:jc w:val="right"/>
        <w:rPr>
          <w:rFonts w:ascii="Arial" w:hAnsi="Arial"/>
          <w:color w:val="FF0000"/>
          <w:sz w:val="18"/>
          <w:u w:val="single"/>
        </w:rPr>
      </w:pPr>
      <w:r>
        <w:rPr>
          <w:rFonts w:ascii="Arial" w:hAnsi="Arial"/>
          <w:sz w:val="18"/>
        </w:rPr>
        <w:t>Foreign Currency Form FC-3, expires 2/</w:t>
      </w:r>
      <w:r w:rsidR="006E5EF6">
        <w:rPr>
          <w:rFonts w:ascii="Arial" w:hAnsi="Arial"/>
          <w:sz w:val="18"/>
        </w:rPr>
        <w:t>28</w:t>
      </w:r>
      <w:r>
        <w:rPr>
          <w:rFonts w:ascii="Arial" w:hAnsi="Arial"/>
          <w:sz w:val="18"/>
        </w:rPr>
        <w:t>/20</w:t>
      </w:r>
      <w:r w:rsidR="006E5EF6">
        <w:rPr>
          <w:rFonts w:ascii="Arial" w:hAnsi="Arial"/>
          <w:sz w:val="18"/>
        </w:rPr>
        <w:t>1</w:t>
      </w:r>
      <w:r w:rsidR="00443AE4">
        <w:rPr>
          <w:rFonts w:ascii="Arial" w:hAnsi="Arial"/>
          <w:sz w:val="18"/>
        </w:rPr>
        <w:t>3</w:t>
      </w:r>
      <w:r>
        <w:rPr>
          <w:rFonts w:ascii="Arial" w:hAnsi="Arial"/>
          <w:sz w:val="18"/>
        </w:rPr>
        <w:t xml:space="preserve"> </w:t>
      </w:r>
    </w:p>
    <w:p w:rsidR="00521205" w:rsidRDefault="00521205">
      <w:pPr>
        <w:tabs>
          <w:tab w:val="right" w:pos="10080"/>
        </w:tabs>
        <w:jc w:val="right"/>
        <w:rPr>
          <w:rFonts w:ascii="Arial" w:hAnsi="Arial"/>
          <w:sz w:val="18"/>
        </w:rPr>
      </w:pPr>
      <w:smartTag w:uri="urn:schemas-microsoft-com:office:smarttags" w:element="country-region">
        <w:smartTag w:uri="urn:schemas-microsoft-com:office:smarttags" w:element="place">
          <w:r>
            <w:rPr>
              <w:rFonts w:ascii="Arial" w:hAnsi="Arial"/>
              <w:sz w:val="18"/>
            </w:rPr>
            <w:t>U.S.</w:t>
          </w:r>
        </w:smartTag>
      </w:smartTag>
      <w:r>
        <w:rPr>
          <w:rFonts w:ascii="Arial" w:hAnsi="Arial"/>
          <w:sz w:val="18"/>
        </w:rPr>
        <w:t xml:space="preserve"> Department of the Treasury</w:t>
      </w:r>
    </w:p>
    <w:p w:rsidR="00521205" w:rsidRDefault="00521205">
      <w:pPr>
        <w:tabs>
          <w:tab w:val="right" w:pos="10080"/>
        </w:tabs>
        <w:jc w:val="both"/>
        <w:rPr>
          <w:rFonts w:ascii="Arial" w:hAnsi="Arial"/>
          <w:sz w:val="28"/>
        </w:rPr>
      </w:pPr>
    </w:p>
    <w:p w:rsidR="00521205" w:rsidRDefault="00521205">
      <w:pPr>
        <w:pStyle w:val="Heading1"/>
        <w:rPr>
          <w:b w:val="0"/>
          <w:sz w:val="40"/>
        </w:rPr>
      </w:pPr>
    </w:p>
    <w:p w:rsidR="00521205" w:rsidRDefault="00521205"/>
    <w:p w:rsidR="00521205" w:rsidRDefault="00521205">
      <w:pPr>
        <w:tabs>
          <w:tab w:val="center" w:pos="5040"/>
        </w:tabs>
        <w:spacing w:line="275" w:lineRule="auto"/>
        <w:jc w:val="center"/>
        <w:rPr>
          <w:rFonts w:ascii="Arial" w:hAnsi="Arial"/>
          <w:b/>
          <w:sz w:val="16"/>
        </w:rPr>
      </w:pPr>
      <w:r>
        <w:rPr>
          <w:rFonts w:ascii="Arial" w:hAnsi="Arial"/>
          <w:b/>
          <w:sz w:val="34"/>
        </w:rPr>
        <w:t>QUARTERLY CONSOLIDATED FOREIGN CURRENCY REPORT</w:t>
      </w:r>
    </w:p>
    <w:p w:rsidR="00521205" w:rsidRDefault="00521205">
      <w:pPr>
        <w:tabs>
          <w:tab w:val="center" w:pos="5040"/>
        </w:tabs>
        <w:spacing w:line="275" w:lineRule="auto"/>
        <w:jc w:val="both"/>
        <w:rPr>
          <w:rFonts w:ascii="Arial" w:hAnsi="Arial"/>
          <w:sz w:val="16"/>
        </w:rPr>
      </w:pPr>
    </w:p>
    <w:p w:rsidR="00521205" w:rsidRDefault="00521205">
      <w:pPr>
        <w:framePr w:w="8685" w:h="753" w:hRule="exact" w:hSpace="14" w:vSpace="14" w:wrap="auto" w:vAnchor="text" w:hAnchor="page" w:x="1919" w:y="694"/>
        <w:pBdr>
          <w:top w:val="single" w:sz="6" w:space="0" w:color="FFFFFF"/>
          <w:left w:val="single" w:sz="6" w:space="0" w:color="FFFFFF"/>
          <w:bottom w:val="single" w:sz="6" w:space="0" w:color="FFFFFF"/>
          <w:right w:val="single" w:sz="6" w:space="0" w:color="FFFFFF"/>
        </w:pBdr>
        <w:shd w:val="solid" w:color="000000" w:fill="FFFFFF"/>
        <w:tabs>
          <w:tab w:val="center"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b/>
          <w:sz w:val="4"/>
        </w:rPr>
      </w:pPr>
    </w:p>
    <w:p w:rsidR="00521205" w:rsidRDefault="00521205">
      <w:pPr>
        <w:framePr w:w="8685" w:h="753" w:hRule="exact" w:hSpace="14" w:vSpace="14" w:wrap="auto" w:vAnchor="text" w:hAnchor="page" w:x="1919" w:y="694"/>
        <w:pBdr>
          <w:top w:val="single" w:sz="6" w:space="0" w:color="FFFFFF"/>
          <w:left w:val="single" w:sz="6" w:space="0" w:color="FFFFFF"/>
          <w:bottom w:val="single" w:sz="6" w:space="0" w:color="FFFFFF"/>
          <w:right w:val="single" w:sz="6" w:space="0" w:color="FFFFFF"/>
        </w:pBdr>
        <w:shd w:val="solid" w:color="000000" w:fill="FFFFFF"/>
        <w:tabs>
          <w:tab w:val="center"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b/>
          <w:sz w:val="4"/>
        </w:rPr>
      </w:pPr>
    </w:p>
    <w:p w:rsidR="00521205" w:rsidRDefault="00521205">
      <w:pPr>
        <w:framePr w:w="8685" w:h="753" w:hRule="exact" w:hSpace="14" w:vSpace="14" w:wrap="auto" w:vAnchor="text" w:hAnchor="page" w:x="1919" w:y="694"/>
        <w:pBdr>
          <w:top w:val="single" w:sz="6" w:space="0" w:color="FFFFFF"/>
          <w:left w:val="single" w:sz="6" w:space="0" w:color="FFFFFF"/>
          <w:bottom w:val="single" w:sz="6" w:space="0" w:color="FFFFFF"/>
          <w:right w:val="single" w:sz="6" w:space="0" w:color="FFFFFF"/>
        </w:pBdr>
        <w:shd w:val="solid" w:color="000000" w:fill="FFFFFF"/>
        <w:tabs>
          <w:tab w:val="center"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b/>
          <w:sz w:val="4"/>
        </w:rPr>
      </w:pPr>
    </w:p>
    <w:p w:rsidR="00521205" w:rsidRDefault="00C10012">
      <w:pPr>
        <w:framePr w:w="8685" w:h="753" w:hRule="exact" w:hSpace="14" w:vSpace="14" w:wrap="auto" w:vAnchor="text" w:hAnchor="page" w:x="1919" w:y="694"/>
        <w:pBdr>
          <w:top w:val="single" w:sz="6" w:space="0" w:color="FFFFFF"/>
          <w:left w:val="single" w:sz="6" w:space="0" w:color="FFFFFF"/>
          <w:bottom w:val="single" w:sz="6" w:space="0" w:color="FFFFFF"/>
          <w:right w:val="single" w:sz="6" w:space="0" w:color="FFFFFF"/>
        </w:pBdr>
        <w:shd w:val="solid" w:color="000000" w:fill="FFFFFF"/>
        <w:tabs>
          <w:tab w:val="center"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b/>
          <w:color w:val="FFFFFF"/>
        </w:rPr>
      </w:pPr>
      <w:r>
        <w:rPr>
          <w:rFonts w:ascii="Arial" w:hAnsi="Arial"/>
          <w:b/>
          <w:color w:val="FFFFFF"/>
        </w:rPr>
        <w:fldChar w:fldCharType="begin"/>
      </w:r>
      <w:r w:rsidR="00521205">
        <w:rPr>
          <w:rFonts w:ascii="Arial" w:hAnsi="Arial"/>
          <w:b/>
          <w:color w:val="FFFFFF"/>
        </w:rPr>
        <w:instrText>ADVANCE \d5</w:instrText>
      </w:r>
      <w:r>
        <w:rPr>
          <w:rFonts w:ascii="Arial" w:hAnsi="Arial"/>
          <w:b/>
          <w:color w:val="FFFFFF"/>
        </w:rPr>
        <w:fldChar w:fldCharType="end"/>
      </w:r>
      <w:r w:rsidR="00521205">
        <w:rPr>
          <w:rFonts w:ascii="Arial" w:hAnsi="Arial"/>
          <w:b/>
          <w:color w:val="FFFFFF"/>
          <w:sz w:val="36"/>
        </w:rPr>
        <w:t>G E N E R A L    I N S T R U C T I O N S</w:t>
      </w:r>
    </w:p>
    <w:p w:rsidR="00521205" w:rsidRDefault="00521205">
      <w:pPr>
        <w:pStyle w:val="Caption"/>
      </w:pPr>
      <w:r>
        <w:t>TREASURY FOREIGN CURRENCY FORM FC-3</w:t>
      </w:r>
    </w:p>
    <w:p w:rsidR="00521205" w:rsidRDefault="00521205">
      <w:pPr>
        <w:spacing w:line="275" w:lineRule="auto"/>
        <w:jc w:val="both"/>
        <w:rPr>
          <w:rFonts w:ascii="Arial" w:hAnsi="Arial"/>
          <w:sz w:val="26"/>
        </w:r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both"/>
        <w:rPr>
          <w:rFonts w:ascii="Arial" w:hAnsi="Arial"/>
          <w:b/>
          <w:smallCaps/>
          <w:sz w:val="26"/>
        </w:r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both"/>
        <w:rPr>
          <w:rFonts w:ascii="Arial" w:hAnsi="Arial"/>
          <w:b/>
          <w:smallCaps/>
          <w:sz w:val="26"/>
        </w:rPr>
        <w:sectPr w:rsidR="00521205">
          <w:endnotePr>
            <w:numFmt w:val="decimal"/>
          </w:endnotePr>
          <w:type w:val="continuous"/>
          <w:pgSz w:w="12240" w:h="15840"/>
          <w:pgMar w:top="864" w:right="1800" w:bottom="1296" w:left="1800" w:header="720" w:footer="1440" w:gutter="0"/>
          <w:paperSrc w:first="48" w:other="48"/>
          <w:cols w:space="720"/>
          <w:noEndnote/>
        </w:sectPr>
      </w:pPr>
    </w:p>
    <w:p w:rsidR="00521205" w:rsidRDefault="00521205">
      <w:pPr>
        <w:pStyle w:val="Heading2"/>
        <w:rPr>
          <w:sz w:val="36"/>
        </w:rPr>
      </w:pPr>
      <w:r>
        <w:rPr>
          <w:sz w:val="36"/>
        </w:rPr>
        <w:lastRenderedPageBreak/>
        <w:t>A.</w:t>
      </w:r>
      <w:r>
        <w:rPr>
          <w:sz w:val="36"/>
        </w:rPr>
        <w:tab/>
        <w:t>Introduction</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r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rPr>
        <w:sectPr w:rsidR="00521205">
          <w:headerReference w:type="default" r:id="rId8"/>
          <w:endnotePr>
            <w:numFmt w:val="decimal"/>
          </w:endnotePr>
          <w:type w:val="continuous"/>
          <w:pgSz w:w="12240" w:h="15840"/>
          <w:pgMar w:top="864" w:right="1800" w:bottom="1296" w:left="1800" w:header="720" w:footer="1440" w:gutter="0"/>
          <w:paperSrc w:first="48" w:other="48"/>
          <w:cols w:space="720"/>
          <w:noEndnote/>
        </w:sectPr>
      </w:pPr>
    </w:p>
    <w:p w:rsidR="00521205" w:rsidRDefault="00521205">
      <w:pPr>
        <w:pStyle w:val="BodyText"/>
      </w:pPr>
      <w:r>
        <w:lastRenderedPageBreak/>
        <w:t>This report collects quarterly, consolidated data on foreign exchange contracts and foreign currency denominated assets and liabilities of foreign exchange market participants.  Data should be provided in millions of units of each specified currency.  Filing is required by law (31 U.S.C. 5315; 31 C.F.R. 128, Subpart C).  Failure to report can result in a civil penalty up to $10,000 (31 U.S.C. 5321(a)(3), 31 C.F.R. 128.4(c)).</w:t>
      </w:r>
      <w:r w:rsidR="00C10012">
        <w:fldChar w:fldCharType="begin"/>
      </w:r>
      <w:r>
        <w:instrText>ADVANCE \d7</w:instrText>
      </w:r>
      <w:r w:rsidR="00C10012">
        <w:fldChar w:fldCharType="end"/>
      </w:r>
    </w:p>
    <w:p w:rsidR="00521205" w:rsidRDefault="00521205">
      <w:pPr>
        <w:pStyle w:val="BodyText2"/>
      </w:pPr>
      <w:r>
        <w:t>Reported data will be held in confidence by the Depart</w:t>
      </w:r>
      <w:r>
        <w:softHyphen/>
        <w:t>ment of the Treasury and Federal Reserve Banks acting as fiscal agents of the Treasury.  Data reported by individ</w:t>
      </w:r>
      <w:r>
        <w:softHyphen/>
        <w:t>ual banks and firms will not be published or otherwise publicly disclosed.  Aggregate data may be published or disclosed in ways that will not reveal the amounts reported by any one institution.  The data of individual reporters may be provided to other Federal agencies insofar as authorized by the Paperwork Reduction Act (44 U.S.C. 3501 et seq.).</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931953">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sectPr w:rsidR="00521205">
          <w:endnotePr>
            <w:numFmt w:val="decimal"/>
          </w:endnotePr>
          <w:type w:val="continuous"/>
          <w:pgSz w:w="12240" w:h="15840"/>
          <w:pgMar w:top="864" w:right="1800" w:bottom="1296" w:left="1800" w:header="720" w:footer="1440" w:gutter="0"/>
          <w:paperSrc w:first="48" w:other="48"/>
          <w:cols w:space="720"/>
          <w:noEndnote/>
        </w:sectPr>
      </w:pPr>
      <w:r>
        <w:rPr>
          <w:rFonts w:ascii="Arial Narrow" w:hAnsi="Arial Narrow"/>
          <w:b/>
          <w:i/>
          <w:sz w:val="22"/>
        </w:rPr>
        <w:t>Paperwork Reduction Act Notice:</w:t>
      </w:r>
      <w:r>
        <w:rPr>
          <w:rFonts w:ascii="Arial Narrow" w:hAnsi="Arial Narrow"/>
          <w:sz w:val="22"/>
        </w:rPr>
        <w:t xml:space="preserve"> The estimated average burden associat</w:t>
      </w:r>
      <w:r>
        <w:rPr>
          <w:rFonts w:ascii="Arial Narrow" w:hAnsi="Arial Narrow"/>
          <w:sz w:val="22"/>
        </w:rPr>
        <w:softHyphen/>
        <w:t xml:space="preserve">ed with this collection of information is eight hours per respondent.  </w:t>
      </w:r>
      <w:r w:rsidR="00521205">
        <w:rPr>
          <w:rFonts w:ascii="Arial Narrow" w:hAnsi="Arial Narrow"/>
          <w:sz w:val="22"/>
        </w:rPr>
        <w:t>Comments concerning the accuracy of this estimate and suggestions for reducing the burden should be directed to the Office of Information Resources Manage</w:t>
      </w:r>
      <w:r w:rsidR="00521205">
        <w:rPr>
          <w:rFonts w:ascii="Arial Narrow" w:hAnsi="Arial Narrow"/>
          <w:sz w:val="22"/>
        </w:rPr>
        <w:softHyphen/>
        <w:t xml:space="preserve">ment, Room 2110, </w:t>
      </w:r>
      <w:smartTag w:uri="urn:schemas-microsoft-com:office:smarttags" w:element="address">
        <w:smartTag w:uri="urn:schemas-microsoft-com:office:smarttags" w:element="Street">
          <w:r w:rsidR="00521205">
            <w:rPr>
              <w:rFonts w:ascii="Arial Narrow" w:hAnsi="Arial Narrow"/>
              <w:sz w:val="22"/>
            </w:rPr>
            <w:t>1425 New York Ave., NW</w:t>
          </w:r>
        </w:smartTag>
        <w:r w:rsidR="00521205">
          <w:rPr>
            <w:rFonts w:ascii="Arial Narrow" w:hAnsi="Arial Narrow"/>
            <w:sz w:val="22"/>
          </w:rPr>
          <w:t xml:space="preserve">, </w:t>
        </w:r>
        <w:smartTag w:uri="urn:schemas-microsoft-com:office:smarttags" w:element="City">
          <w:r w:rsidR="00521205">
            <w:rPr>
              <w:rFonts w:ascii="Arial Narrow" w:hAnsi="Arial Narrow"/>
              <w:sz w:val="22"/>
            </w:rPr>
            <w:t>Washington</w:t>
          </w:r>
        </w:smartTag>
        <w:r w:rsidR="00521205">
          <w:rPr>
            <w:rFonts w:ascii="Arial Narrow" w:hAnsi="Arial Narrow"/>
            <w:sz w:val="22"/>
          </w:rPr>
          <w:t xml:space="preserve">, </w:t>
        </w:r>
        <w:smartTag w:uri="urn:schemas-microsoft-com:office:smarttags" w:element="State">
          <w:r w:rsidR="00521205">
            <w:rPr>
              <w:rFonts w:ascii="Arial Narrow" w:hAnsi="Arial Narrow"/>
              <w:sz w:val="22"/>
            </w:rPr>
            <w:t>DC</w:t>
          </w:r>
        </w:smartTag>
        <w:r w:rsidR="00521205">
          <w:rPr>
            <w:rFonts w:ascii="Arial Narrow" w:hAnsi="Arial Narrow"/>
            <w:sz w:val="22"/>
          </w:rPr>
          <w:t xml:space="preserve"> </w:t>
        </w:r>
        <w:smartTag w:uri="urn:schemas-microsoft-com:office:smarttags" w:element="PostalCode">
          <w:r w:rsidR="00521205">
            <w:rPr>
              <w:rFonts w:ascii="Arial Narrow" w:hAnsi="Arial Narrow"/>
              <w:sz w:val="22"/>
            </w:rPr>
            <w:t>20220</w:t>
          </w:r>
        </w:smartTag>
      </w:smartTag>
      <w:r w:rsidR="00521205">
        <w:rPr>
          <w:rFonts w:ascii="Arial Narrow" w:hAnsi="Arial Narrow"/>
          <w:sz w:val="22"/>
        </w:rPr>
        <w:t>, and the Office of Management and Budget, Paperwork Reduction Project (1505-0010), Wash</w:t>
      </w:r>
      <w:r w:rsidR="00521205">
        <w:rPr>
          <w:rFonts w:ascii="Arial Narrow" w:hAnsi="Arial Narrow"/>
          <w:sz w:val="22"/>
        </w:rPr>
        <w:softHyphen/>
        <w:t>ington, DC 20503.</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04"/>
        <w:jc w:val="both"/>
        <w:rPr>
          <w:rFonts w:ascii="Arial" w:hAnsi="Arial"/>
          <w:b/>
          <w:smallCaps/>
          <w:sz w:val="36"/>
        </w:rPr>
      </w:pPr>
      <w:r>
        <w:rPr>
          <w:rFonts w:ascii="Arial" w:hAnsi="Arial"/>
          <w:b/>
          <w:sz w:val="36"/>
        </w:rPr>
        <w:t xml:space="preserve">B.  </w:t>
      </w:r>
      <w:r>
        <w:rPr>
          <w:rFonts w:ascii="Arial" w:hAnsi="Arial"/>
          <w:b/>
          <w:smallCaps/>
          <w:sz w:val="36"/>
        </w:rPr>
        <w:t xml:space="preserve">Who Must Report </w:t>
      </w: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04"/>
        <w:jc w:val="both"/>
        <w:rPr>
          <w:rFonts w:ascii="Arial Narrow" w:hAnsi="Arial Narrow"/>
          <w:sz w:val="22"/>
        </w:rPr>
        <w:sectPr w:rsidR="00521205">
          <w:endnotePr>
            <w:numFmt w:val="decimal"/>
          </w:endnotePr>
          <w:type w:val="continuous"/>
          <w:pgSz w:w="12240" w:h="15840" w:code="1"/>
          <w:pgMar w:top="864" w:right="1800" w:bottom="1296" w:left="1800" w:header="864" w:footer="1440" w:gutter="0"/>
          <w:paperSrc w:first="48" w:other="48"/>
          <w:cols w:space="720"/>
          <w:noEndnote/>
        </w:sectPr>
      </w:pP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04"/>
        <w:rPr>
          <w:rFonts w:ascii="Arial Narrow" w:hAnsi="Arial Narrow"/>
          <w:sz w:val="22"/>
        </w:rPr>
      </w:pPr>
    </w:p>
    <w:p w:rsidR="00521205" w:rsidRDefault="00521205">
      <w:pPr>
        <w:pStyle w:val="BodyText2"/>
      </w:pPr>
      <w:r>
        <w:t>This report must be filed by each foreign exchange market participant that had more than $5 billion equivalent in foreign exchange contracts on the last business day of any calendar quarter during the previous year (March, June, September, or December) calculated using then prevailing ex</w:t>
      </w:r>
      <w:r>
        <w:softHyphen/>
        <w:t>change rates.  Such contracts include the amounts of foreign exchange spot contracts bought and sold, foreign exchange forward contracts bought and sold, foreign exchange futures bought and sold, plus one half of the notional amount of foreign exchange options (that is, foreign exchange options bought and sold divided by two).</w:t>
      </w:r>
      <w:r w:rsidR="008A3A9E">
        <w:t xml:space="preserve"> </w:t>
      </w:r>
      <w:r w:rsidR="00486BE8">
        <w:t xml:space="preserve">The </w:t>
      </w:r>
      <w:r w:rsidR="008A3A9E">
        <w:rPr>
          <w:color w:val="FF0000"/>
        </w:rPr>
        <w:t xml:space="preserve"> calculati</w:t>
      </w:r>
      <w:r w:rsidR="00486BE8">
        <w:rPr>
          <w:color w:val="FF0000"/>
        </w:rPr>
        <w:t xml:space="preserve">on of </w:t>
      </w:r>
      <w:r w:rsidR="008A3A9E">
        <w:rPr>
          <w:color w:val="FF0000"/>
        </w:rPr>
        <w:t>exposure against the Form FC-3 reporting threshold should include  foreign exchange contracts</w:t>
      </w:r>
      <w:r w:rsidR="00486BE8">
        <w:rPr>
          <w:color w:val="FF0000"/>
        </w:rPr>
        <w:t xml:space="preserve"> in all currencies and </w:t>
      </w:r>
      <w:r w:rsidR="008A3A9E">
        <w:rPr>
          <w:color w:val="FF0000"/>
        </w:rPr>
        <w:t xml:space="preserve"> should not be limited to contracts in the indicated currencies on the Form FC-3.</w:t>
      </w: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pStyle w:val="BodyText"/>
        <w:tabs>
          <w:tab w:val="clear" w:pos="540"/>
          <w:tab w:val="clear" w:pos="900"/>
        </w:tabs>
      </w:pPr>
      <w:r>
        <w:lastRenderedPageBreak/>
        <w:t>Institutions required to report include banks, bank holding companies and depository institutions in the United States; the agencies, branches, and subsidiar</w:t>
      </w:r>
      <w:r>
        <w:softHyphen/>
        <w:t>ies located in the United States of foreign banks and banking institutions; nonfinancial corporations; nonprofit institutions; brokers; dealers; mutual fund, foreign exchange, and hedge fund managers; and other entities located in the United States, whether sole proprietorships, partnerships, groups, associations, syndicates, trusts, or corporations, including the U.S. branches and subsidiaries of foreign nonbanking concerns.  Subsidiaries -- including banks, Edge Acts, and nonbanks -- should be consolidated with the parent.  Exemptions from filing this report are given to major market participants with foreign exchange contracts of $50 billion equivalent or more that file the Monthly Consolidated Foreign Currency Report FC-2.</w:t>
      </w: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b/>
          <w:sz w:val="22"/>
        </w:rPr>
      </w:pPr>
      <w:r>
        <w:rPr>
          <w:rFonts w:ascii="Arial Narrow" w:hAnsi="Arial Narrow"/>
          <w:sz w:val="22"/>
        </w:rPr>
        <w:t xml:space="preserve">The subsidiaries and branches in the </w:t>
      </w:r>
      <w:smartTag w:uri="urn:schemas-microsoft-com:office:smarttags" w:element="country-region">
        <w:smartTag w:uri="urn:schemas-microsoft-com:office:smarttags" w:element="place">
          <w:r>
            <w:rPr>
              <w:rFonts w:ascii="Arial Narrow" w:hAnsi="Arial Narrow"/>
              <w:sz w:val="22"/>
            </w:rPr>
            <w:t>United States</w:t>
          </w:r>
        </w:smartTag>
      </w:smartTag>
      <w:r>
        <w:rPr>
          <w:rFonts w:ascii="Arial Narrow" w:hAnsi="Arial Narrow"/>
          <w:sz w:val="22"/>
        </w:rPr>
        <w:t xml:space="preserve"> of any foreign bank or foreign institution must report if their combined foreign exchange contracts as listed above exceed the exemption level.  </w:t>
      </w:r>
      <w:r>
        <w:rPr>
          <w:rFonts w:ascii="Arial Narrow" w:hAnsi="Arial Narrow"/>
          <w:b/>
          <w:sz w:val="22"/>
        </w:rPr>
        <w:t xml:space="preserve">However, </w:t>
      </w:r>
      <w:smartTag w:uri="urn:schemas-microsoft-com:office:smarttags" w:element="country-region">
        <w:smartTag w:uri="urn:schemas-microsoft-com:office:smarttags" w:element="place">
          <w:r>
            <w:rPr>
              <w:rFonts w:ascii="Arial Narrow" w:hAnsi="Arial Narrow"/>
              <w:b/>
              <w:sz w:val="22"/>
            </w:rPr>
            <w:t>U.S.</w:t>
          </w:r>
        </w:smartTag>
      </w:smartTag>
      <w:r>
        <w:rPr>
          <w:rFonts w:ascii="Arial Narrow" w:hAnsi="Arial Narrow"/>
          <w:b/>
          <w:sz w:val="22"/>
        </w:rPr>
        <w:t xml:space="preserve"> subsidiaries of foreign entities should file only for offices located in the </w:t>
      </w:r>
      <w:smartTag w:uri="urn:schemas-microsoft-com:office:smarttags" w:element="country-region">
        <w:smartTag w:uri="urn:schemas-microsoft-com:office:smarttags" w:element="place">
          <w:r>
            <w:rPr>
              <w:rFonts w:ascii="Arial Narrow" w:hAnsi="Arial Narrow"/>
              <w:b/>
              <w:sz w:val="22"/>
            </w:rPr>
            <w:t>United States</w:t>
          </w:r>
        </w:smartTag>
      </w:smartTag>
      <w:r>
        <w:rPr>
          <w:rFonts w:ascii="Arial Narrow" w:hAnsi="Arial Narrow"/>
          <w:b/>
          <w:sz w:val="22"/>
        </w:rPr>
        <w:t>, not for their foreign parents.</w:t>
      </w: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b/>
          <w:sz w:val="22"/>
        </w:rPr>
      </w:pP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sectPr w:rsidR="00521205">
          <w:endnotePr>
            <w:numFmt w:val="decimal"/>
          </w:endnotePr>
          <w:type w:val="continuous"/>
          <w:pgSz w:w="12240" w:h="15840" w:code="1"/>
          <w:pgMar w:top="864" w:right="1800" w:bottom="1296" w:left="1800" w:header="864" w:footer="1440" w:gutter="0"/>
          <w:paperSrc w:first="48" w:other="48"/>
          <w:cols w:space="720"/>
          <w:noEndnote/>
        </w:sectPr>
      </w:pP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sectPr w:rsidR="00521205">
          <w:endnotePr>
            <w:numFmt w:val="decimal"/>
          </w:endnotePr>
          <w:type w:val="continuous"/>
          <w:pgSz w:w="12240" w:h="15840"/>
          <w:pgMar w:top="864" w:right="1800" w:bottom="1296" w:left="1800" w:header="864" w:footer="1440" w:gutter="0"/>
          <w:paperSrc w:first="48" w:other="48"/>
          <w:cols w:space="720"/>
          <w:noEndnote/>
        </w:sectPr>
      </w:pPr>
      <w:r>
        <w:rPr>
          <w:rFonts w:ascii="Arial Narrow" w:hAnsi="Arial Narrow"/>
          <w:sz w:val="22"/>
        </w:rPr>
        <w:lastRenderedPageBreak/>
        <w:t xml:space="preserve">Except for foreign branches and agencies that have offices in different Federal Reserve districts, only one report should be filed by any institution.  Institutions may choose to report at the level of the bank unless the holding company's foreign currency commitments, including those of its subsidiary banks, exceed those of the bank or banks by more than 2 percent.  If this is the case, the holding company </w:t>
      </w:r>
      <w:r w:rsidR="00931953">
        <w:rPr>
          <w:rFonts w:ascii="Arial Narrow" w:hAnsi="Arial Narrow"/>
          <w:sz w:val="22"/>
        </w:rPr>
        <w:t>must report</w:t>
      </w:r>
      <w:r>
        <w:rPr>
          <w:rFonts w:ascii="Arial Narrow" w:hAnsi="Arial Narrow"/>
          <w:sz w:val="22"/>
        </w:rPr>
        <w:t>.</w:t>
      </w: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Narrow" w:hAnsi="Arial Narrow"/>
          <w:sz w:val="22"/>
        </w:rPr>
      </w:pPr>
    </w:p>
    <w:p w:rsidR="00521205" w:rsidRDefault="00521205">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b/>
          <w:smallCaps/>
          <w:sz w:val="22"/>
        </w:rPr>
        <w:sectPr w:rsidR="00521205">
          <w:endnotePr>
            <w:numFmt w:val="decimal"/>
          </w:endnotePr>
          <w:type w:val="continuous"/>
          <w:pgSz w:w="12240" w:h="15840"/>
          <w:pgMar w:top="864" w:right="1800" w:bottom="1296" w:left="1800" w:header="864" w:footer="1440" w:gutter="0"/>
          <w:paperSrc w:first="48" w:other="48"/>
          <w:cols w:space="720"/>
          <w:noEndnote/>
        </w:sectPr>
      </w:pPr>
    </w:p>
    <w:p w:rsidR="00521205" w:rsidRDefault="00521205">
      <w:pPr>
        <w:numPr>
          <w:ilvl w:val="0"/>
          <w:numId w:val="3"/>
        </w:numPr>
        <w:tabs>
          <w:tab w:val="left" w:pos="-720"/>
          <w:tab w:val="left" w:pos="0"/>
          <w:tab w:val="left" w:pos="31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b/>
          <w:smallCaps/>
          <w:sz w:val="36"/>
        </w:rPr>
      </w:pPr>
      <w:r>
        <w:rPr>
          <w:rFonts w:ascii="Arial Narrow" w:hAnsi="Arial Narrow"/>
          <w:b/>
          <w:smallCaps/>
          <w:sz w:val="33"/>
        </w:rPr>
        <w:lastRenderedPageBreak/>
        <w:t xml:space="preserve">  </w:t>
      </w:r>
      <w:r>
        <w:rPr>
          <w:rFonts w:ascii="Arial" w:hAnsi="Arial"/>
          <w:b/>
          <w:smallCaps/>
          <w:sz w:val="36"/>
        </w:rPr>
        <w:t>Filing the Reports</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sectPr w:rsidR="00521205">
          <w:endnotePr>
            <w:numFmt w:val="decimal"/>
          </w:endnotePr>
          <w:type w:val="continuous"/>
          <w:pgSz w:w="12240" w:h="15840"/>
          <w:pgMar w:top="864" w:right="1800" w:bottom="1296" w:left="1800" w:header="720" w:footer="1440" w:gutter="0"/>
          <w:paperSrc w:first="48" w:other="48"/>
          <w:cols w:space="720"/>
          <w:noEndnote/>
        </w:sect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432"/>
        <w:rPr>
          <w:rFonts w:ascii="Arial Narrow" w:hAnsi="Arial Narrow"/>
          <w:sz w:val="22"/>
        </w:rPr>
        <w:sectPr w:rsidR="00521205">
          <w:endnotePr>
            <w:numFmt w:val="decimal"/>
          </w:endnotePr>
          <w:type w:val="continuous"/>
          <w:pgSz w:w="12240" w:h="15840"/>
          <w:pgMar w:top="864" w:right="1800" w:bottom="1296" w:left="1800" w:header="720" w:footer="1440" w:gutter="0"/>
          <w:paperSrc w:first="48" w:other="48"/>
          <w:cols w:space="720"/>
          <w:noEndnote/>
        </w:sectPr>
      </w:pPr>
      <w:r>
        <w:rPr>
          <w:rFonts w:ascii="Arial Narrow" w:hAnsi="Arial Narrow"/>
          <w:sz w:val="22"/>
        </w:rPr>
        <w:lastRenderedPageBreak/>
        <w:t xml:space="preserve"> </w:t>
      </w:r>
      <w:r w:rsidR="00C10012">
        <w:rPr>
          <w:rFonts w:ascii="Arial Narrow" w:hAnsi="Arial Narrow"/>
          <w:sz w:val="22"/>
        </w:rPr>
        <w:fldChar w:fldCharType="begin"/>
      </w:r>
      <w:r>
        <w:rPr>
          <w:rFonts w:ascii="Arial Narrow" w:hAnsi="Arial Narrow"/>
          <w:sz w:val="22"/>
        </w:rPr>
        <w:instrText>ADVANCE \u3</w:instrText>
      </w:r>
      <w:r w:rsidR="00C10012">
        <w:rPr>
          <w:rFonts w:ascii="Arial Narrow" w:hAnsi="Arial Narrow"/>
          <w:sz w:val="22"/>
        </w:rPr>
        <w:fldChar w:fldCharType="end"/>
      </w:r>
      <w:r>
        <w:rPr>
          <w:rFonts w:ascii="Arial Narrow" w:hAnsi="Arial Narrow"/>
          <w:sz w:val="22"/>
        </w:rPr>
        <w:t xml:space="preserve"> </w:t>
      </w:r>
    </w:p>
    <w:p w:rsidR="00521205" w:rsidRDefault="00521205" w:rsidP="008A3A9E">
      <w:pPr>
        <w:numPr>
          <w:ilvl w:val="0"/>
          <w:numId w:val="5"/>
        </w:num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r>
        <w:rPr>
          <w:rFonts w:ascii="Arial Narrow" w:hAnsi="Arial Narrow"/>
          <w:sz w:val="22"/>
        </w:rPr>
        <w:lastRenderedPageBreak/>
        <w:t xml:space="preserve">This report should be completed </w:t>
      </w:r>
      <w:r>
        <w:rPr>
          <w:rFonts w:ascii="Arial Narrow" w:hAnsi="Arial Narrow"/>
          <w:i/>
          <w:sz w:val="22"/>
        </w:rPr>
        <w:t xml:space="preserve">as </w:t>
      </w:r>
      <w:r w:rsidR="00931953">
        <w:rPr>
          <w:rFonts w:ascii="Arial Narrow" w:hAnsi="Arial Narrow"/>
          <w:i/>
          <w:sz w:val="22"/>
        </w:rPr>
        <w:t xml:space="preserve">of </w:t>
      </w:r>
      <w:r w:rsidR="00931953">
        <w:rPr>
          <w:rFonts w:ascii="Arial Narrow" w:hAnsi="Arial Narrow"/>
          <w:sz w:val="22"/>
        </w:rPr>
        <w:t>the</w:t>
      </w:r>
      <w:r>
        <w:rPr>
          <w:rFonts w:ascii="Arial Narrow" w:hAnsi="Arial Narrow"/>
          <w:sz w:val="22"/>
        </w:rPr>
        <w:t xml:space="preserve"> last business day of each calendar quarter (March, June, September, and December) and filed within 45 calendar days. </w:t>
      </w:r>
      <w:r w:rsidR="008A3A9E" w:rsidRPr="008A3A9E">
        <w:rPr>
          <w:rFonts w:ascii="Arial Narrow" w:hAnsi="Arial Narrow"/>
          <w:sz w:val="22"/>
        </w:rPr>
        <w:t>The reporter is required to file the Form FC-</w:t>
      </w:r>
      <w:r w:rsidR="008A3A9E">
        <w:rPr>
          <w:rFonts w:ascii="Arial Narrow" w:hAnsi="Arial Narrow"/>
          <w:sz w:val="22"/>
        </w:rPr>
        <w:t>3</w:t>
      </w:r>
      <w:r w:rsidR="008A3A9E" w:rsidRPr="008A3A9E">
        <w:rPr>
          <w:rFonts w:ascii="Arial Narrow" w:hAnsi="Arial Narrow"/>
          <w:sz w:val="22"/>
        </w:rPr>
        <w:t xml:space="preserve"> until the reporter’s contracts have remained below the reporting threshold for all four quarters of a calendar year.</w:t>
      </w:r>
      <w:r>
        <w:rPr>
          <w:rFonts w:ascii="Arial Narrow" w:hAnsi="Arial Narrow"/>
          <w:sz w:val="22"/>
        </w:rPr>
        <w:t xml:space="preserve"> </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numPr>
          <w:ilvl w:val="0"/>
          <w:numId w:val="5"/>
        </w:num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1" w:hanging="331"/>
        <w:rPr>
          <w:rFonts w:ascii="Arial Narrow" w:hAnsi="Arial Narrow"/>
          <w:sz w:val="22"/>
        </w:rPr>
      </w:pPr>
      <w:r>
        <w:rPr>
          <w:rFonts w:ascii="Arial Narrow" w:hAnsi="Arial Narrow"/>
          <w:sz w:val="22"/>
        </w:rPr>
        <w:t xml:space="preserve">The Federal Reserve acts as the collecting and processing agent for this report for the U.S. Department of the Treasury.  Banking institutions including foreign branches and agencies and bank holding companies should submit this report to the Federal Reserve Bank in whose district they are located.  Nonbanks should file with the Federal Reserve Bank of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xml:space="preserve"> (FRBNY).</w:t>
      </w:r>
      <w:r w:rsidR="00C10012">
        <w:rPr>
          <w:rFonts w:ascii="Arial Narrow" w:hAnsi="Arial Narrow"/>
          <w:sz w:val="22"/>
        </w:rPr>
        <w:fldChar w:fldCharType="begin"/>
      </w:r>
      <w:r>
        <w:rPr>
          <w:rFonts w:ascii="Arial Narrow" w:hAnsi="Arial Narrow"/>
          <w:sz w:val="22"/>
        </w:rPr>
        <w:instrText>ADVANCE \d3</w:instrText>
      </w:r>
      <w:r w:rsidR="00C10012">
        <w:rPr>
          <w:rFonts w:ascii="Arial Narrow" w:hAnsi="Arial Narrow"/>
          <w:sz w:val="22"/>
        </w:rPr>
        <w:fldChar w:fldCharType="end"/>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AF642D" w:rsidRDefault="00521205">
      <w:pPr>
        <w:numPr>
          <w:ilvl w:val="0"/>
          <w:numId w:val="5"/>
        </w:numPr>
        <w:tabs>
          <w:tab w:val="left" w:pos="-720"/>
          <w:tab w:val="left" w:pos="0"/>
          <w:tab w:val="left" w:pos="312"/>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Arial Narrow" w:hAnsi="Arial Narrow"/>
          <w:sz w:val="22"/>
        </w:rPr>
      </w:pPr>
      <w:r>
        <w:rPr>
          <w:rFonts w:ascii="Arial Narrow" w:hAnsi="Arial Narrow"/>
          <w:sz w:val="22"/>
        </w:rPr>
        <w:t xml:space="preserve">The report should be filed on a fully consolidated basis.  Reporters whose top-tier parent is located in the United States should include data for all domestic and foreign offices.  </w:t>
      </w:r>
      <w:r w:rsidR="00AA060B">
        <w:rPr>
          <w:rFonts w:ascii="Arial Narrow" w:hAnsi="Arial Narrow"/>
          <w:sz w:val="22"/>
        </w:rPr>
        <w:t xml:space="preserve">To facilitate reporting, data need not be collected from those offices and subsidiaries that have </w:t>
      </w:r>
      <w:r w:rsidR="00AA060B">
        <w:rPr>
          <w:rFonts w:ascii="Arial Narrow" w:hAnsi="Arial Narrow"/>
          <w:i/>
          <w:sz w:val="22"/>
        </w:rPr>
        <w:t>immaterial</w:t>
      </w:r>
      <w:r w:rsidR="00AA060B">
        <w:rPr>
          <w:rFonts w:ascii="Arial Narrow" w:hAnsi="Arial Narrow"/>
          <w:sz w:val="22"/>
        </w:rPr>
        <w:t xml:space="preserve"> positions.  The amounts reported must reflect the operations of offices which are responsible for at least 90 percent of all foreign currency positions defined as the sum of the absolute gross par or notional value of all foreign exchange spot and derivative contracts in its</w:t>
      </w:r>
      <w:r w:rsidR="00AA060B">
        <w:rPr>
          <w:rFonts w:ascii="Arial Narrow" w:hAnsi="Arial Narrow"/>
          <w:color w:val="FF0000"/>
          <w:sz w:val="22"/>
        </w:rPr>
        <w:t xml:space="preserve"> </w:t>
      </w:r>
      <w:r w:rsidR="00AA060B">
        <w:rPr>
          <w:rFonts w:ascii="Arial Narrow" w:hAnsi="Arial Narrow"/>
          <w:sz w:val="22"/>
        </w:rPr>
        <w:t>global foreign exchange operations.  For a foreign institution with operations in the United States, the amounts reported by one or more of its affiliates must reflect at least 90 percent of all of its positions in the United States as defined above.  In the event you need to change the way you consolidate for this report or the offices whose activities are included, notify your Federal Reserve Bank in advance.</w:t>
      </w:r>
    </w:p>
    <w:p w:rsidR="00AF642D" w:rsidRDefault="00AF642D">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7"/>
        <w:rPr>
          <w:rFonts w:ascii="Arial Narrow" w:hAnsi="Arial Narrow"/>
          <w:sz w:val="22"/>
        </w:r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numPr>
          <w:ilvl w:val="0"/>
          <w:numId w:val="5"/>
        </w:num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hanging="288"/>
        <w:rPr>
          <w:rFonts w:ascii="Arial Narrow" w:hAnsi="Arial Narrow"/>
          <w:sz w:val="22"/>
        </w:rPr>
      </w:pPr>
      <w:r>
        <w:rPr>
          <w:rFonts w:ascii="Arial Narrow" w:hAnsi="Arial Narrow"/>
          <w:sz w:val="22"/>
        </w:rPr>
        <w:t>All contracts should be reported on a gross basis</w:t>
      </w:r>
      <w:r w:rsidR="00AA060B">
        <w:rPr>
          <w:rFonts w:ascii="Arial Narrow" w:hAnsi="Arial Narrow"/>
          <w:sz w:val="22"/>
        </w:rPr>
        <w:t>, that is, c</w:t>
      </w:r>
      <w:r>
        <w:rPr>
          <w:rFonts w:ascii="Arial Narrow" w:hAnsi="Arial Narrow"/>
          <w:sz w:val="22"/>
        </w:rPr>
        <w:t>ontracts with the same customer, including those netted by bilateral or multilateral master netting agreements, are to be reported gross.  Contracts with</w:t>
      </w:r>
      <w:r>
        <w:rPr>
          <w:rFonts w:ascii="Arial Narrow" w:hAnsi="Arial Narrow"/>
          <w:color w:val="FF0000"/>
          <w:sz w:val="22"/>
        </w:rPr>
        <w:t xml:space="preserve"> </w:t>
      </w:r>
      <w:r>
        <w:rPr>
          <w:rFonts w:ascii="Arial Narrow" w:hAnsi="Arial Narrow"/>
          <w:sz w:val="22"/>
        </w:rPr>
        <w:t xml:space="preserve">affiliates should </w:t>
      </w:r>
      <w:r w:rsidR="00AA060B">
        <w:rPr>
          <w:rFonts w:ascii="Arial Narrow" w:hAnsi="Arial Narrow"/>
          <w:sz w:val="22"/>
        </w:rPr>
        <w:t xml:space="preserve">also </w:t>
      </w:r>
      <w:r>
        <w:rPr>
          <w:rFonts w:ascii="Arial Narrow" w:hAnsi="Arial Narrow"/>
          <w:sz w:val="22"/>
        </w:rPr>
        <w:t xml:space="preserve">be reported gross.   However, exclude intra-office trades between desks or departments within the same reporter (e.g. transactions between two trading "desks" at the same location).  </w:t>
      </w:r>
      <w:r w:rsidR="00AA060B">
        <w:rPr>
          <w:rFonts w:ascii="Arial Narrow" w:hAnsi="Arial Narrow"/>
          <w:sz w:val="22"/>
        </w:rPr>
        <w:t>[</w:t>
      </w:r>
      <w:r>
        <w:rPr>
          <w:rFonts w:ascii="Arial Narrow" w:hAnsi="Arial Narrow"/>
          <w:sz w:val="22"/>
        </w:rPr>
        <w:t xml:space="preserve">Also exclude any off-market transactions between unconsolidated offices such as those used </w:t>
      </w:r>
      <w:r>
        <w:rPr>
          <w:rFonts w:ascii="Arial Narrow" w:hAnsi="Arial Narrow"/>
          <w:sz w:val="22"/>
        </w:rPr>
        <w:lastRenderedPageBreak/>
        <w:t>to transfer the management of foreign currency exposure from a sales office to a trading operation.</w:t>
      </w:r>
      <w:r w:rsidR="00AA060B">
        <w:rPr>
          <w:rFonts w:ascii="Arial Narrow" w:hAnsi="Arial Narrow"/>
          <w:sz w:val="22"/>
        </w:rPr>
        <w:t>]</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12" w:hanging="312"/>
        <w:rPr>
          <w:rFonts w:ascii="Arial Narrow" w:hAnsi="Arial Narrow"/>
          <w:sz w:val="22"/>
        </w:rPr>
      </w:pPr>
      <w:r>
        <w:rPr>
          <w:rFonts w:ascii="Arial Narrow" w:hAnsi="Arial Narrow"/>
          <w:sz w:val="22"/>
        </w:rPr>
        <w:t xml:space="preserve"> 5.</w:t>
      </w:r>
      <w:r>
        <w:rPr>
          <w:rFonts w:ascii="Arial Narrow" w:hAnsi="Arial Narrow"/>
          <w:sz w:val="22"/>
        </w:rPr>
        <w:tab/>
        <w:t>Include foreign exchange contracts used for hedging.</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12" w:hanging="312"/>
        <w:rPr>
          <w:rFonts w:ascii="Arial Narrow" w:hAnsi="Arial Narrow"/>
          <w:sz w:val="22"/>
        </w:rPr>
      </w:pPr>
      <w:r>
        <w:rPr>
          <w:rFonts w:ascii="Arial Narrow" w:hAnsi="Arial Narrow"/>
          <w:sz w:val="22"/>
        </w:rPr>
        <w:t xml:space="preserve"> 6.</w:t>
      </w:r>
      <w:r>
        <w:rPr>
          <w:rFonts w:ascii="Arial Narrow" w:hAnsi="Arial Narrow"/>
          <w:sz w:val="22"/>
        </w:rPr>
        <w:tab/>
        <w:t xml:space="preserve">Report </w:t>
      </w:r>
      <w:r>
        <w:rPr>
          <w:rFonts w:ascii="Arial Narrow" w:hAnsi="Arial Narrow"/>
          <w:b/>
          <w:sz w:val="22"/>
        </w:rPr>
        <w:t>both</w:t>
      </w:r>
      <w:r>
        <w:rPr>
          <w:rFonts w:ascii="Arial Narrow" w:hAnsi="Arial Narrow"/>
          <w:sz w:val="22"/>
        </w:rPr>
        <w:t xml:space="preserve"> sides of foreign exchange transactions involving the report’s specified currencies.  For example, for a trade involving the purchase of U.S. dollars against the sale of Euros, report the dollar side in row one and the Euros in row two. </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p>
    <w:p w:rsidR="00521205" w:rsidRDefault="00521205">
      <w:pPr>
        <w:numPr>
          <w:ilvl w:val="0"/>
          <w:numId w:val="8"/>
        </w:numPr>
        <w:tabs>
          <w:tab w:val="left" w:pos="-720"/>
          <w:tab w:val="left" w:pos="0"/>
          <w:tab w:val="left" w:pos="31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r>
        <w:rPr>
          <w:rFonts w:ascii="Arial Narrow" w:hAnsi="Arial Narrow"/>
          <w:color w:val="000000"/>
          <w:sz w:val="22"/>
        </w:rPr>
        <w:t>Report all amounts in the indicated currency.</w:t>
      </w:r>
      <w:r>
        <w:rPr>
          <w:rFonts w:ascii="Arial Narrow" w:hAnsi="Arial Narrow"/>
          <w:sz w:val="22"/>
        </w:rPr>
        <w:t xml:space="preserve"> </w:t>
      </w:r>
    </w:p>
    <w:p w:rsidR="00521205" w:rsidRDefault="00521205">
      <w:pPr>
        <w:tabs>
          <w:tab w:val="left" w:pos="-720"/>
          <w:tab w:val="left" w:pos="0"/>
          <w:tab w:val="left" w:pos="31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p>
    <w:p w:rsidR="00521205" w:rsidRDefault="00521205">
      <w:pPr>
        <w:numPr>
          <w:ilvl w:val="0"/>
          <w:numId w:val="8"/>
        </w:num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r>
        <w:rPr>
          <w:rFonts w:ascii="Arial Narrow" w:hAnsi="Arial Narrow"/>
          <w:sz w:val="22"/>
        </w:rPr>
        <w:t>If the aggregate notional amount of options purchased and sold (</w:t>
      </w:r>
      <w:r>
        <w:rPr>
          <w:rFonts w:ascii="Arial Narrow" w:hAnsi="Arial Narrow"/>
          <w:i/>
          <w:sz w:val="22"/>
        </w:rPr>
        <w:t>written)</w:t>
      </w:r>
      <w:r>
        <w:rPr>
          <w:rFonts w:ascii="Arial Narrow" w:hAnsi="Arial Narrow"/>
          <w:sz w:val="22"/>
        </w:rPr>
        <w:t xml:space="preserve"> in all currencies is in excess of U.S.</w:t>
      </w:r>
      <w:r w:rsidR="00AA060B">
        <w:rPr>
          <w:rFonts w:ascii="Arial Narrow" w:hAnsi="Arial Narrow"/>
          <w:sz w:val="22"/>
        </w:rPr>
        <w:t xml:space="preserve"> </w:t>
      </w:r>
      <w:r>
        <w:rPr>
          <w:rFonts w:ascii="Arial Narrow" w:hAnsi="Arial Narrow"/>
          <w:sz w:val="22"/>
        </w:rPr>
        <w:t>$500 million, you are required to complete the Options Addendum.</w:t>
      </w:r>
    </w:p>
    <w:p w:rsidR="00521205" w:rsidRDefault="00521205">
      <w:pPr>
        <w:tabs>
          <w:tab w:val="left" w:pos="-720"/>
          <w:tab w:val="left" w:pos="0"/>
          <w:tab w:val="left" w:pos="31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p>
    <w:p w:rsidR="00521205" w:rsidRDefault="00521205">
      <w:pPr>
        <w:numPr>
          <w:ilvl w:val="0"/>
          <w:numId w:val="8"/>
        </w:num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r>
        <w:rPr>
          <w:rFonts w:ascii="Arial Narrow" w:hAnsi="Arial Narrow"/>
          <w:sz w:val="22"/>
        </w:rPr>
        <w:t xml:space="preserve">The reports are to be submitted </w:t>
      </w:r>
      <w:r w:rsidR="00931953">
        <w:rPr>
          <w:rFonts w:ascii="Arial Narrow" w:hAnsi="Arial Narrow"/>
          <w:sz w:val="22"/>
        </w:rPr>
        <w:t>using the Federal Reserve’s</w:t>
      </w:r>
      <w:r w:rsidR="00443AE4">
        <w:rPr>
          <w:rFonts w:ascii="Arial Narrow" w:hAnsi="Arial Narrow"/>
          <w:sz w:val="22"/>
        </w:rPr>
        <w:t xml:space="preserve"> Internet Electronic Submission System (IESUB) or </w:t>
      </w:r>
      <w:r>
        <w:rPr>
          <w:rFonts w:ascii="Arial Narrow" w:hAnsi="Arial Narrow"/>
          <w:sz w:val="22"/>
        </w:rPr>
        <w:t>on the forms provided by your Federal Reserve Bank.  Reports must be clear and legible</w:t>
      </w:r>
      <w:r w:rsidR="00AA060B">
        <w:rPr>
          <w:rFonts w:ascii="Arial Narrow" w:hAnsi="Arial Narrow"/>
          <w:sz w:val="22"/>
        </w:rPr>
        <w:t>.</w:t>
      </w:r>
      <w:r>
        <w:rPr>
          <w:rFonts w:ascii="Arial Narrow" w:hAnsi="Arial Narrow"/>
          <w:sz w:val="22"/>
        </w:rPr>
        <w:t xml:space="preserve"> </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Narrow" w:hAnsi="Arial Narrow"/>
          <w:sz w:val="22"/>
        </w:rPr>
        <w:sectPr w:rsidR="00521205">
          <w:endnotePr>
            <w:numFmt w:val="decimal"/>
          </w:endnotePr>
          <w:type w:val="continuous"/>
          <w:pgSz w:w="12240" w:h="15840"/>
          <w:pgMar w:top="864" w:right="1800" w:bottom="1296" w:left="1800" w:header="720" w:footer="1440" w:gutter="0"/>
          <w:paperSrc w:first="7" w:other="7"/>
          <w:cols w:space="720"/>
          <w:noEndnote/>
        </w:sect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p>
    <w:p w:rsidR="00521205" w:rsidRDefault="00521205">
      <w:pPr>
        <w:pStyle w:val="Heading3"/>
      </w:pPr>
      <w:r>
        <w:t>D.  Review of Data</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sectPr w:rsidR="00521205">
          <w:endnotePr>
            <w:numFmt w:val="decimal"/>
          </w:endnotePr>
          <w:type w:val="continuous"/>
          <w:pgSz w:w="12240" w:h="15840"/>
          <w:pgMar w:top="864" w:right="1800" w:bottom="1296" w:left="1800" w:header="864" w:footer="1440" w:gutter="0"/>
          <w:paperSrc w:first="600" w:other="600"/>
          <w:cols w:space="720"/>
          <w:noEndnote/>
        </w:sectPr>
      </w:pPr>
    </w:p>
    <w:p w:rsidR="00521205" w:rsidRDefault="00521205">
      <w:pPr>
        <w:pStyle w:val="BodyText3"/>
      </w:pPr>
      <w:r>
        <w:t>Data submitted on Form FC-3 are reviewed by Federal Reserve staff.  A reporter may be called to explain changes in the data.  In some cases, the reporter may be asked to submit revised reports.  Revised reports must be signed by an authorized officer.</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sectPr w:rsidR="00521205">
          <w:endnotePr>
            <w:numFmt w:val="decimal"/>
          </w:endnotePr>
          <w:type w:val="continuous"/>
          <w:pgSz w:w="12240" w:h="15840"/>
          <w:pgMar w:top="864" w:right="1800" w:bottom="1296" w:left="1800" w:header="864" w:footer="1440" w:gutter="0"/>
          <w:paperSrc w:first="600" w:other="600"/>
          <w:cols w:space="720"/>
          <w:noEndnote/>
        </w:sect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p>
    <w:p w:rsidR="00521205" w:rsidRDefault="00521205">
      <w:pPr>
        <w:pStyle w:val="Heading3"/>
      </w:pPr>
      <w:r>
        <w:t>E.  Definitions</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u w:val="single"/>
        </w:rPr>
        <w:sectPr w:rsidR="00521205">
          <w:endnotePr>
            <w:numFmt w:val="decimal"/>
          </w:endnotePr>
          <w:type w:val="continuous"/>
          <w:pgSz w:w="12240" w:h="15840"/>
          <w:pgMar w:top="864" w:right="1800" w:bottom="1296" w:left="1800" w:header="864" w:footer="1440" w:gutter="0"/>
          <w:paperSrc w:first="600" w:other="600"/>
          <w:cols w:space="720"/>
          <w:noEndnote/>
        </w:sect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smartTag w:uri="urn:schemas-microsoft-com:office:smarttags" w:element="country-region">
        <w:smartTag w:uri="urn:schemas-microsoft-com:office:smarttags" w:element="place">
          <w:r>
            <w:rPr>
              <w:rFonts w:ascii="Arial Narrow" w:hAnsi="Arial Narrow"/>
              <w:sz w:val="22"/>
              <w:u w:val="single"/>
            </w:rPr>
            <w:t>United States</w:t>
          </w:r>
        </w:smartTag>
      </w:smartTag>
      <w:r>
        <w:rPr>
          <w:rFonts w:ascii="Arial Narrow" w:hAnsi="Arial Narrow"/>
          <w:sz w:val="22"/>
          <w:u w:val="single"/>
        </w:rPr>
        <w:t>.</w:t>
      </w:r>
      <w:r>
        <w:rPr>
          <w:rFonts w:ascii="Arial Narrow" w:hAnsi="Arial Narrow"/>
          <w:sz w:val="22"/>
        </w:rPr>
        <w:t xml:space="preserve">   The term "</w:t>
      </w:r>
      <w:smartTag w:uri="urn:schemas-microsoft-com:office:smarttags" w:element="country-region">
        <w:smartTag w:uri="urn:schemas-microsoft-com:office:smarttags" w:element="place">
          <w:r>
            <w:rPr>
              <w:rFonts w:ascii="Arial Narrow" w:hAnsi="Arial Narrow"/>
              <w:sz w:val="22"/>
            </w:rPr>
            <w:t>United States</w:t>
          </w:r>
        </w:smartTag>
      </w:smartTag>
      <w:r>
        <w:rPr>
          <w:rFonts w:ascii="Arial Narrow" w:hAnsi="Arial Narrow"/>
          <w:sz w:val="22"/>
        </w:rPr>
        <w:t xml:space="preserve">" means the States of the </w:t>
      </w:r>
      <w:smartTag w:uri="urn:schemas-microsoft-com:office:smarttags" w:element="country-region">
        <w:smartTag w:uri="urn:schemas-microsoft-com:office:smarttags" w:element="place">
          <w:r>
            <w:rPr>
              <w:rFonts w:ascii="Arial Narrow" w:hAnsi="Arial Narrow"/>
              <w:sz w:val="22"/>
            </w:rPr>
            <w:t>United States</w:t>
          </w:r>
        </w:smartTag>
      </w:smartTag>
      <w:r>
        <w:rPr>
          <w:rFonts w:ascii="Arial Narrow" w:hAnsi="Arial Narrow"/>
          <w:sz w:val="22"/>
        </w:rPr>
        <w:t xml:space="preserve">, the </w:t>
      </w:r>
      <w:smartTag w:uri="urn:schemas-microsoft-com:office:smarttags" w:element="State">
        <w:smartTag w:uri="urn:schemas-microsoft-com:office:smarttags" w:element="place">
          <w:r>
            <w:rPr>
              <w:rFonts w:ascii="Arial Narrow" w:hAnsi="Arial Narrow"/>
              <w:sz w:val="22"/>
            </w:rPr>
            <w:t>District of Columbia</w:t>
          </w:r>
        </w:smartTag>
      </w:smartTag>
      <w:r>
        <w:rPr>
          <w:rFonts w:ascii="Arial Narrow" w:hAnsi="Arial Narrow"/>
          <w:sz w:val="22"/>
        </w:rPr>
        <w:t xml:space="preserve">, the </w:t>
      </w:r>
      <w:smartTag w:uri="urn:schemas-microsoft-com:office:smarttags" w:element="place">
        <w:smartTag w:uri="urn:schemas-microsoft-com:office:smarttags" w:element="PlaceType">
          <w:r>
            <w:rPr>
              <w:rFonts w:ascii="Arial Narrow" w:hAnsi="Arial Narrow"/>
              <w:sz w:val="22"/>
            </w:rPr>
            <w:t>Commonwealth</w:t>
          </w:r>
        </w:smartTag>
        <w:r>
          <w:rPr>
            <w:rFonts w:ascii="Arial Narrow" w:hAnsi="Arial Narrow"/>
            <w:sz w:val="22"/>
          </w:rPr>
          <w:t xml:space="preserve"> of </w:t>
        </w:r>
        <w:smartTag w:uri="urn:schemas-microsoft-com:office:smarttags" w:element="PlaceName">
          <w:r>
            <w:rPr>
              <w:rFonts w:ascii="Arial Narrow" w:hAnsi="Arial Narrow"/>
              <w:sz w:val="22"/>
            </w:rPr>
            <w:t>Puerto Rico</w:t>
          </w:r>
        </w:smartTag>
      </w:smartTag>
      <w:r>
        <w:rPr>
          <w:rFonts w:ascii="Arial Narrow" w:hAnsi="Arial Narrow"/>
          <w:sz w:val="22"/>
        </w:rPr>
        <w:t>, the Common</w:t>
      </w:r>
      <w:r>
        <w:rPr>
          <w:rFonts w:ascii="Arial Narrow" w:hAnsi="Arial Narrow"/>
          <w:sz w:val="22"/>
        </w:rPr>
        <w:softHyphen/>
        <w:t xml:space="preserve">wealth of the </w:t>
      </w:r>
      <w:smartTag w:uri="urn:schemas-microsoft-com:office:smarttags" w:element="place">
        <w:r>
          <w:rPr>
            <w:rFonts w:ascii="Arial Narrow" w:hAnsi="Arial Narrow"/>
            <w:sz w:val="22"/>
          </w:rPr>
          <w:t>Northern Mariana Islands</w:t>
        </w:r>
      </w:smartTag>
      <w:r>
        <w:rPr>
          <w:rFonts w:ascii="Arial Narrow" w:hAnsi="Arial Narrow"/>
          <w:sz w:val="22"/>
        </w:rPr>
        <w:t xml:space="preserve">, and the following: </w:t>
      </w:r>
      <w:smartTag w:uri="urn:schemas-microsoft-com:office:smarttags" w:element="State">
        <w:smartTag w:uri="urn:schemas-microsoft-com:office:smarttags" w:element="place">
          <w:r>
            <w:rPr>
              <w:rFonts w:ascii="Arial Narrow" w:hAnsi="Arial Narrow"/>
              <w:sz w:val="22"/>
            </w:rPr>
            <w:t>American Samoa</w:t>
          </w:r>
        </w:smartTag>
      </w:smartTag>
      <w:r>
        <w:rPr>
          <w:rFonts w:ascii="Arial Narrow" w:hAnsi="Arial Narrow"/>
          <w:sz w:val="22"/>
        </w:rPr>
        <w:t xml:space="preserve">, </w:t>
      </w:r>
      <w:smartTag w:uri="urn:schemas-microsoft-com:office:smarttags" w:element="place">
        <w:r>
          <w:rPr>
            <w:rFonts w:ascii="Arial Narrow" w:hAnsi="Arial Narrow"/>
            <w:sz w:val="22"/>
          </w:rPr>
          <w:t>Guam</w:t>
        </w:r>
      </w:smartTag>
      <w:r>
        <w:rPr>
          <w:rFonts w:ascii="Arial Narrow" w:hAnsi="Arial Narrow"/>
          <w:sz w:val="22"/>
        </w:rPr>
        <w:t xml:space="preserve">, Johnston Atoll, </w:t>
      </w:r>
      <w:smartTag w:uri="urn:schemas-microsoft-com:office:smarttags" w:element="place">
        <w:smartTag w:uri="urn:schemas-microsoft-com:office:smarttags" w:element="PlaceName">
          <w:r>
            <w:rPr>
              <w:rFonts w:ascii="Arial Narrow" w:hAnsi="Arial Narrow"/>
              <w:sz w:val="22"/>
            </w:rPr>
            <w:t>Midway</w:t>
          </w:r>
        </w:smartTag>
        <w:r>
          <w:rPr>
            <w:rFonts w:ascii="Arial Narrow" w:hAnsi="Arial Narrow"/>
            <w:sz w:val="22"/>
          </w:rPr>
          <w:t xml:space="preserve"> </w:t>
        </w:r>
        <w:smartTag w:uri="urn:schemas-microsoft-com:office:smarttags" w:element="PlaceType">
          <w:r>
            <w:rPr>
              <w:rFonts w:ascii="Arial Narrow" w:hAnsi="Arial Narrow"/>
              <w:sz w:val="22"/>
            </w:rPr>
            <w:t>Island</w:t>
          </w:r>
        </w:smartTag>
      </w:smartTag>
      <w:r>
        <w:rPr>
          <w:rFonts w:ascii="Arial Narrow" w:hAnsi="Arial Narrow"/>
          <w:sz w:val="22"/>
        </w:rPr>
        <w:t xml:space="preserve">, the U.S. Virgin Islands, and </w:t>
      </w:r>
      <w:smartTag w:uri="urn:schemas-microsoft-com:office:smarttags" w:element="place">
        <w:r>
          <w:rPr>
            <w:rFonts w:ascii="Arial Narrow" w:hAnsi="Arial Narrow"/>
            <w:sz w:val="22"/>
          </w:rPr>
          <w:t>Wake Island</w:t>
        </w:r>
      </w:smartTag>
      <w:r>
        <w:rPr>
          <w:rFonts w:ascii="Arial Narrow" w:hAnsi="Arial Narrow"/>
          <w:sz w:val="22"/>
        </w:rPr>
        <w:t>.</w:t>
      </w:r>
      <w:r w:rsidR="00C10012">
        <w:rPr>
          <w:rFonts w:ascii="Arial Narrow" w:hAnsi="Arial Narrow"/>
          <w:sz w:val="22"/>
        </w:rPr>
        <w:fldChar w:fldCharType="begin"/>
      </w:r>
      <w:r>
        <w:rPr>
          <w:rFonts w:ascii="Arial Narrow" w:hAnsi="Arial Narrow"/>
          <w:sz w:val="22"/>
        </w:rPr>
        <w:instrText>ADVANCE \d3</w:instrText>
      </w:r>
      <w:r w:rsidR="00C10012">
        <w:rPr>
          <w:rFonts w:ascii="Arial Narrow" w:hAnsi="Arial Narrow"/>
          <w:sz w:val="22"/>
        </w:rPr>
        <w:fldChar w:fldCharType="end"/>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r>
        <w:rPr>
          <w:rFonts w:ascii="Arial Narrow" w:hAnsi="Arial Narrow"/>
          <w:sz w:val="22"/>
          <w:u w:val="single"/>
        </w:rPr>
        <w:t>Specified currencies.</w:t>
      </w:r>
      <w:r>
        <w:rPr>
          <w:rFonts w:ascii="Arial Narrow" w:hAnsi="Arial Narrow"/>
          <w:sz w:val="22"/>
        </w:rPr>
        <w:t xml:space="preserve">  "Specified currencies" are the six currencies heading columns on the front of Form FC-1: U.S. dollars, Euros, Swiss francs, </w:t>
      </w:r>
      <w:smartTag w:uri="urn:schemas-microsoft-com:office:smarttags" w:element="country-region">
        <w:smartTag w:uri="urn:schemas-microsoft-com:office:smarttags" w:element="place">
          <w:r>
            <w:rPr>
              <w:rFonts w:ascii="Arial Narrow" w:hAnsi="Arial Narrow"/>
              <w:sz w:val="22"/>
            </w:rPr>
            <w:t>U.K.</w:t>
          </w:r>
        </w:smartTag>
      </w:smartTag>
      <w:r>
        <w:rPr>
          <w:rFonts w:ascii="Arial Narrow" w:hAnsi="Arial Narrow"/>
          <w:sz w:val="22"/>
        </w:rPr>
        <w:t xml:space="preserve"> pounds, Japanese yen, and Canadian dollars.  Please note: every ex</w:t>
      </w:r>
      <w:r>
        <w:rPr>
          <w:rFonts w:ascii="Arial Narrow" w:hAnsi="Arial Narrow"/>
          <w:sz w:val="22"/>
        </w:rPr>
        <w:softHyphen/>
        <w:t>change contract involves two currencies.  If one is a specified currency, it should be reported.  If both are specified currencies, then the currency amounts should be included in both of the appropri</w:t>
      </w:r>
      <w:r>
        <w:rPr>
          <w:rFonts w:ascii="Arial Narrow" w:hAnsi="Arial Narrow"/>
          <w:sz w:val="22"/>
        </w:rPr>
        <w:softHyphen/>
        <w:t>ate col</w:t>
      </w:r>
      <w:r>
        <w:rPr>
          <w:rFonts w:ascii="Arial Narrow" w:hAnsi="Arial Narrow"/>
          <w:sz w:val="22"/>
        </w:rPr>
        <w:softHyphen/>
        <w:t xml:space="preserve">umns.  </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sz w:val="22"/>
        </w:rPr>
        <w:sectPr w:rsidR="00521205">
          <w:endnotePr>
            <w:numFmt w:val="decimal"/>
          </w:endnotePr>
          <w:type w:val="continuous"/>
          <w:pgSz w:w="12240" w:h="15840" w:code="1"/>
          <w:pgMar w:top="864" w:right="1800" w:bottom="1296" w:left="1800" w:header="864" w:footer="1440" w:gutter="0"/>
          <w:paperSrc w:first="7" w:other="7"/>
          <w:cols w:space="720"/>
          <w:noEndnote/>
        </w:sect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p>
    <w:p w:rsidR="00521205" w:rsidRDefault="00521205">
      <w:pPr>
        <w:pStyle w:val="Heading3"/>
      </w:pPr>
      <w:r>
        <w:t>F.  Rounding</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r>
        <w:rPr>
          <w:rFonts w:ascii="Arial Narrow" w:hAnsi="Arial Narrow"/>
          <w:sz w:val="22"/>
        </w:rPr>
        <w:t>All entries should be rounded to the nearest million units; do not use decimals.</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pPr>
      <w:r>
        <w:rPr>
          <w:rFonts w:ascii="Arial Narrow" w:hAnsi="Arial Narrow"/>
          <w:sz w:val="22"/>
        </w:rPr>
        <w:br w:type="page"/>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Narrow" w:hAnsi="Arial Narrow"/>
          <w:sz w:val="22"/>
        </w:rPr>
        <w:sectPr w:rsidR="00521205">
          <w:endnotePr>
            <w:numFmt w:val="decimal"/>
          </w:endnotePr>
          <w:type w:val="continuous"/>
          <w:pgSz w:w="12240" w:h="15840"/>
          <w:pgMar w:top="864" w:right="1800" w:bottom="1440" w:left="1800" w:header="864" w:footer="1440" w:gutter="0"/>
          <w:paperSrc w:first="7" w:other="7"/>
          <w:cols w:space="720"/>
          <w:noEndnote/>
        </w:sectPr>
      </w:pPr>
    </w:p>
    <w:p w:rsidR="00521205" w:rsidRDefault="00521205">
      <w:pPr>
        <w:framePr w:w="8519" w:h="772" w:hRule="exact" w:hSpace="14" w:vSpace="14" w:wrap="auto" w:vAnchor="text" w:hAnchor="page" w:x="2063" w:y="146"/>
        <w:pBdr>
          <w:top w:val="single" w:sz="6" w:space="0" w:color="FFFFFF"/>
          <w:left w:val="single" w:sz="6" w:space="0" w:color="FFFFFF"/>
          <w:bottom w:val="single" w:sz="6" w:space="0" w:color="FFFFFF"/>
          <w:right w:val="single" w:sz="6" w:space="0" w:color="FFFFFF"/>
        </w:pBdr>
        <w:shd w:val="solid" w:color="000000" w:fill="FFFFFF"/>
        <w:tabs>
          <w:tab w:val="center" w:pos="5040"/>
          <w:tab w:val="left" w:pos="5760"/>
          <w:tab w:val="left" w:pos="6480"/>
          <w:tab w:val="left" w:pos="7200"/>
          <w:tab w:val="left" w:pos="7920"/>
          <w:tab w:val="left" w:pos="8640"/>
          <w:tab w:val="left" w:pos="9360"/>
          <w:tab w:val="left" w:pos="10080"/>
          <w:tab w:val="left" w:pos="10800"/>
          <w:tab w:val="left" w:pos="11520"/>
          <w:tab w:val="left" w:pos="12240"/>
        </w:tabs>
        <w:rPr>
          <w:rFonts w:ascii="Arial Narrow" w:hAnsi="Arial Narrow"/>
          <w:b/>
          <w:color w:val="FFFFFF"/>
          <w:sz w:val="4"/>
        </w:rPr>
      </w:pPr>
      <w:r>
        <w:rPr>
          <w:rFonts w:ascii="Arial Narrow" w:hAnsi="Arial Narrow"/>
          <w:b/>
          <w:color w:val="FFFFFF"/>
          <w:sz w:val="22"/>
        </w:rPr>
        <w:tab/>
      </w:r>
    </w:p>
    <w:p w:rsidR="00521205" w:rsidRDefault="00C10012">
      <w:pPr>
        <w:framePr w:w="8519" w:h="772" w:hRule="exact" w:hSpace="14" w:vSpace="14" w:wrap="auto" w:vAnchor="text" w:hAnchor="page" w:x="2063" w:y="146"/>
        <w:pBdr>
          <w:top w:val="single" w:sz="6" w:space="0" w:color="FFFFFF"/>
          <w:left w:val="single" w:sz="6" w:space="0" w:color="FFFFFF"/>
          <w:bottom w:val="single" w:sz="6" w:space="0" w:color="FFFFFF"/>
          <w:right w:val="single" w:sz="6" w:space="0" w:color="FFFFFF"/>
        </w:pBdr>
        <w:shd w:val="solid" w:color="000000" w:fill="FFFFFF"/>
        <w:tabs>
          <w:tab w:val="center"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b/>
          <w:color w:val="FFFFFF"/>
          <w:sz w:val="36"/>
        </w:rPr>
      </w:pPr>
      <w:r>
        <w:rPr>
          <w:rFonts w:ascii="Arial" w:hAnsi="Arial"/>
          <w:b/>
          <w:color w:val="FFFFFF"/>
          <w:sz w:val="36"/>
        </w:rPr>
        <w:fldChar w:fldCharType="begin"/>
      </w:r>
      <w:r w:rsidR="00521205">
        <w:rPr>
          <w:rFonts w:ascii="Arial" w:hAnsi="Arial"/>
          <w:b/>
          <w:color w:val="FFFFFF"/>
          <w:sz w:val="36"/>
        </w:rPr>
        <w:instrText>ADVANCE \d5</w:instrText>
      </w:r>
      <w:r>
        <w:rPr>
          <w:rFonts w:ascii="Arial" w:hAnsi="Arial"/>
          <w:b/>
          <w:color w:val="FFFFFF"/>
          <w:sz w:val="36"/>
        </w:rPr>
        <w:fldChar w:fldCharType="end"/>
      </w:r>
      <w:r w:rsidR="00521205">
        <w:rPr>
          <w:rFonts w:ascii="Arial" w:hAnsi="Arial"/>
          <w:b/>
          <w:color w:val="FFFFFF"/>
          <w:sz w:val="36"/>
        </w:rPr>
        <w:t>S P E C I F I C    I N S T R U C T I O N S</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mallCaps/>
          <w:sz w:val="36"/>
        </w:r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numPr>
          <w:ilvl w:val="0"/>
          <w:numId w:val="7"/>
        </w:num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r>
        <w:rPr>
          <w:rFonts w:ascii="Arial Narrow" w:hAnsi="Arial Narrow"/>
          <w:b/>
          <w:sz w:val="22"/>
        </w:rPr>
        <w:t xml:space="preserve"> Foreign Exchange Contracts Purchased </w:t>
      </w:r>
      <w:r>
        <w:rPr>
          <w:rFonts w:ascii="Arial Narrow" w:hAnsi="Arial Narrow"/>
          <w:sz w:val="22"/>
        </w:rPr>
        <w:t>(excluding futures contracts)</w:t>
      </w:r>
      <w:r>
        <w:rPr>
          <w:rFonts w:ascii="Arial Narrow" w:hAnsi="Arial Narrow"/>
          <w:b/>
          <w:sz w:val="22"/>
        </w:rPr>
        <w:t>.</w:t>
      </w:r>
      <w:r>
        <w:rPr>
          <w:rFonts w:ascii="Arial Narrow" w:hAnsi="Arial Narrow"/>
          <w:sz w:val="22"/>
        </w:rPr>
        <w:t xml:space="preserve">  Report in this row the </w:t>
      </w:r>
      <w:r w:rsidR="006F3D25">
        <w:rPr>
          <w:rFonts w:ascii="Arial Narrow" w:hAnsi="Arial Narrow"/>
          <w:sz w:val="22"/>
        </w:rPr>
        <w:t xml:space="preserve">notional </w:t>
      </w:r>
      <w:r>
        <w:rPr>
          <w:rFonts w:ascii="Arial Narrow" w:hAnsi="Arial Narrow"/>
          <w:sz w:val="22"/>
        </w:rPr>
        <w:t xml:space="preserve">amounts of foreign exchange that the reporter has contracted to receive.  </w:t>
      </w:r>
      <w:r w:rsidR="00AA060B">
        <w:rPr>
          <w:rFonts w:ascii="Arial Narrow" w:hAnsi="Arial Narrow"/>
          <w:sz w:val="22"/>
        </w:rPr>
        <w:t>Include</w:t>
      </w:r>
      <w:r>
        <w:rPr>
          <w:rFonts w:ascii="Arial Narrow" w:hAnsi="Arial Narrow"/>
          <w:sz w:val="22"/>
        </w:rPr>
        <w:t xml:space="preserve"> amounts due on unsettled spot, forward, and swap contracts.  Report the </w:t>
      </w:r>
      <w:r w:rsidR="00AA060B">
        <w:rPr>
          <w:rFonts w:ascii="Arial Narrow" w:hAnsi="Arial Narrow"/>
          <w:sz w:val="22"/>
        </w:rPr>
        <w:t>notional</w:t>
      </w:r>
      <w:r>
        <w:rPr>
          <w:rFonts w:ascii="Arial Narrow" w:hAnsi="Arial Narrow"/>
          <w:sz w:val="22"/>
        </w:rPr>
        <w:t xml:space="preserve"> amounts of swaps that are to be exchanged</w:t>
      </w:r>
      <w:r w:rsidR="00443AE4">
        <w:rPr>
          <w:rFonts w:ascii="Arial Narrow" w:hAnsi="Arial Narrow"/>
          <w:sz w:val="22"/>
        </w:rPr>
        <w:t xml:space="preserve"> including cr</w:t>
      </w:r>
      <w:r w:rsidR="00AA060B">
        <w:rPr>
          <w:rFonts w:ascii="Arial Narrow" w:hAnsi="Arial Narrow"/>
          <w:sz w:val="22"/>
        </w:rPr>
        <w:t>o</w:t>
      </w:r>
      <w:r w:rsidR="00443AE4">
        <w:rPr>
          <w:rFonts w:ascii="Arial Narrow" w:hAnsi="Arial Narrow"/>
          <w:sz w:val="22"/>
        </w:rPr>
        <w:t>ss-currency interest rate swaps</w:t>
      </w:r>
      <w:r>
        <w:rPr>
          <w:rFonts w:ascii="Arial Narrow" w:hAnsi="Arial Narrow"/>
          <w:sz w:val="22"/>
        </w:rPr>
        <w:t>.  Report the far leg and the near leg if it has not settled.  Do not report the notional amount of swaps where there is not an exchange of principal.</w:t>
      </w:r>
    </w:p>
    <w:p w:rsidR="00521205" w:rsidRDefault="00521205">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Narrow" w:hAnsi="Arial Narrow"/>
          <w:b/>
          <w:sz w:val="22"/>
        </w:rPr>
      </w:pPr>
    </w:p>
    <w:p w:rsidR="00521205" w:rsidRDefault="00521205">
      <w:pPr>
        <w:numPr>
          <w:ilvl w:val="0"/>
          <w:numId w:val="7"/>
        </w:num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r>
        <w:rPr>
          <w:rFonts w:ascii="Arial Narrow" w:hAnsi="Arial Narrow"/>
          <w:sz w:val="22"/>
        </w:rPr>
        <w:t xml:space="preserve"> </w:t>
      </w:r>
      <w:r>
        <w:rPr>
          <w:rFonts w:ascii="Arial Narrow" w:hAnsi="Arial Narrow"/>
          <w:b/>
          <w:sz w:val="22"/>
        </w:rPr>
        <w:t xml:space="preserve">Foreign Exchange Contracts Sold </w:t>
      </w:r>
      <w:r>
        <w:rPr>
          <w:rFonts w:ascii="Arial Narrow" w:hAnsi="Arial Narrow"/>
          <w:sz w:val="22"/>
        </w:rPr>
        <w:t>(excluding futures contracts)</w:t>
      </w:r>
      <w:r>
        <w:rPr>
          <w:rFonts w:ascii="Arial Narrow" w:hAnsi="Arial Narrow"/>
          <w:b/>
          <w:sz w:val="22"/>
        </w:rPr>
        <w:t>.</w:t>
      </w:r>
      <w:r>
        <w:rPr>
          <w:rFonts w:ascii="Arial Narrow" w:hAnsi="Arial Narrow"/>
          <w:sz w:val="22"/>
        </w:rPr>
        <w:t xml:space="preserve">  Report in this row the </w:t>
      </w:r>
      <w:r w:rsidR="006F3D25">
        <w:rPr>
          <w:rFonts w:ascii="Arial Narrow" w:hAnsi="Arial Narrow"/>
          <w:sz w:val="22"/>
        </w:rPr>
        <w:t xml:space="preserve">notional </w:t>
      </w:r>
      <w:r>
        <w:rPr>
          <w:rFonts w:ascii="Arial Narrow" w:hAnsi="Arial Narrow"/>
          <w:sz w:val="22"/>
        </w:rPr>
        <w:t xml:space="preserve">amounts of foreign exchange that the reporter has contracted to deliver.  Include amounts due on unsettled spot, forward, and swap contracts.  Report the </w:t>
      </w:r>
      <w:r w:rsidR="00AA060B">
        <w:rPr>
          <w:rFonts w:ascii="Arial Narrow" w:hAnsi="Arial Narrow"/>
          <w:sz w:val="22"/>
        </w:rPr>
        <w:t>notional</w:t>
      </w:r>
      <w:r>
        <w:rPr>
          <w:rFonts w:ascii="Arial Narrow" w:hAnsi="Arial Narrow"/>
          <w:sz w:val="22"/>
        </w:rPr>
        <w:t xml:space="preserve"> amounts of swaps that are to be exchanged.   See instructions for Row 1 for details of reporting swaps</w:t>
      </w:r>
      <w:r>
        <w:rPr>
          <w:rFonts w:ascii="Arial Narrow" w:hAnsi="Arial Narrow"/>
          <w:color w:val="FF0000"/>
          <w:sz w:val="22"/>
        </w:rPr>
        <w:t>.</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numPr>
          <w:ilvl w:val="0"/>
          <w:numId w:val="7"/>
        </w:num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r>
        <w:rPr>
          <w:rFonts w:ascii="Arial Narrow" w:hAnsi="Arial Narrow"/>
          <w:b/>
          <w:sz w:val="22"/>
        </w:rPr>
        <w:t>Foreign Exchange Futures Purchased.</w:t>
      </w:r>
      <w:r>
        <w:rPr>
          <w:rFonts w:ascii="Arial Narrow" w:hAnsi="Arial Narrow"/>
          <w:sz w:val="22"/>
        </w:rPr>
        <w:t xml:space="preserve">  Report in this row </w:t>
      </w:r>
      <w:r w:rsidR="006F3D25">
        <w:rPr>
          <w:rFonts w:ascii="Arial Narrow" w:hAnsi="Arial Narrow"/>
          <w:sz w:val="22"/>
        </w:rPr>
        <w:t>the notional</w:t>
      </w:r>
      <w:r w:rsidR="008D18A2">
        <w:rPr>
          <w:rFonts w:ascii="Arial Narrow" w:hAnsi="Arial Narrow"/>
          <w:sz w:val="22"/>
        </w:rPr>
        <w:t xml:space="preserve"> value of all purchases </w:t>
      </w:r>
      <w:r>
        <w:rPr>
          <w:rFonts w:ascii="Arial Narrow" w:hAnsi="Arial Narrow"/>
          <w:sz w:val="22"/>
        </w:rPr>
        <w:t xml:space="preserve">of contracts traded on organized exchanges calling for receipt of foreign currency at a fixed date.  </w:t>
      </w:r>
      <w:r w:rsidR="008D18A2" w:rsidRPr="007134E8">
        <w:rPr>
          <w:rFonts w:ascii="Arial Narrow" w:hAnsi="Arial Narrow"/>
          <w:sz w:val="22"/>
          <w:szCs w:val="22"/>
        </w:rPr>
        <w:t xml:space="preserve">Futures contracts liquidated through offset should be reported net.  Offset is the liquidating of a purchase of futures through the sale of an equal number of contracts of the same delivery month on the same underlying instrument on the same exchange, or the covering of a short sale of futures through the purchase of an equal number of contracts of the same delivery month on the same underlying instrument on the same exchange.  </w:t>
      </w:r>
      <w:r>
        <w:rPr>
          <w:rFonts w:ascii="Arial Narrow" w:hAnsi="Arial Narrow"/>
          <w:sz w:val="22"/>
        </w:rPr>
        <w:t>For example, if you have contracts on the CME to buy 100 million in 30-day Japanese yen and sell 50 million in 30-day Japanese yen, include 50 million in Row 3.</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b/>
          <w:sz w:val="22"/>
        </w:rPr>
      </w:pPr>
    </w:p>
    <w:p w:rsidR="00521205" w:rsidRDefault="00521205">
      <w:pPr>
        <w:numPr>
          <w:ilvl w:val="0"/>
          <w:numId w:val="7"/>
        </w:num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r>
        <w:rPr>
          <w:rFonts w:ascii="Arial Narrow" w:hAnsi="Arial Narrow"/>
          <w:b/>
          <w:sz w:val="22"/>
        </w:rPr>
        <w:t>Foreign Exchange Futures Sold.</w:t>
      </w:r>
      <w:r>
        <w:rPr>
          <w:rFonts w:ascii="Arial Narrow" w:hAnsi="Arial Narrow"/>
          <w:sz w:val="22"/>
        </w:rPr>
        <w:t xml:space="preserve">  Report in this row </w:t>
      </w:r>
      <w:r w:rsidR="008D18A2">
        <w:rPr>
          <w:rFonts w:ascii="Arial Narrow" w:hAnsi="Arial Narrow"/>
          <w:sz w:val="22"/>
        </w:rPr>
        <w:t xml:space="preserve">the </w:t>
      </w:r>
      <w:r w:rsidR="006F3D25">
        <w:rPr>
          <w:rFonts w:ascii="Arial Narrow" w:hAnsi="Arial Narrow"/>
          <w:sz w:val="22"/>
        </w:rPr>
        <w:t>notional</w:t>
      </w:r>
      <w:r w:rsidR="008D18A2">
        <w:rPr>
          <w:rFonts w:ascii="Arial Narrow" w:hAnsi="Arial Narrow"/>
          <w:sz w:val="22"/>
        </w:rPr>
        <w:t xml:space="preserve"> value of </w:t>
      </w:r>
      <w:r>
        <w:rPr>
          <w:rFonts w:ascii="Arial Narrow" w:hAnsi="Arial Narrow"/>
          <w:sz w:val="22"/>
        </w:rPr>
        <w:t xml:space="preserve">all sales of contracts traded on organized exchanges calling for delivery of foreign currency at a fixed date.  </w:t>
      </w:r>
      <w:r w:rsidR="008D18A2">
        <w:rPr>
          <w:rFonts w:ascii="Arial Narrow" w:hAnsi="Arial Narrow"/>
          <w:sz w:val="22"/>
        </w:rPr>
        <w:t xml:space="preserve">See instructions for row 3 above for the net reporting of futures liquidated through offset.  </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2" w:hanging="312"/>
        <w:rPr>
          <w:rFonts w:ascii="Arial Narrow" w:hAnsi="Arial Narrow"/>
          <w:sz w:val="22"/>
        </w:rPr>
      </w:pPr>
      <w:r>
        <w:rPr>
          <w:rFonts w:ascii="Arial Narrow" w:hAnsi="Arial Narrow"/>
          <w:sz w:val="22"/>
        </w:rPr>
        <w:t>5.</w:t>
      </w:r>
      <w:r>
        <w:rPr>
          <w:rFonts w:ascii="Arial Narrow" w:hAnsi="Arial Narrow"/>
          <w:sz w:val="22"/>
        </w:rPr>
        <w:tab/>
      </w:r>
      <w:r>
        <w:rPr>
          <w:rFonts w:ascii="Arial Narrow" w:hAnsi="Arial Narrow"/>
          <w:b/>
          <w:sz w:val="22"/>
        </w:rPr>
        <w:t>Foreign Currency Denominated Assets.</w:t>
      </w:r>
      <w:r>
        <w:rPr>
          <w:rFonts w:ascii="Arial Narrow" w:hAnsi="Arial Narrow"/>
          <w:sz w:val="22"/>
        </w:rPr>
        <w:t xml:space="preserve">  Report in this row all assets denominated in the specified foreign currencies</w:t>
      </w:r>
      <w:r w:rsidR="008D18A2">
        <w:rPr>
          <w:rFonts w:ascii="Arial Narrow" w:hAnsi="Arial Narrow"/>
          <w:sz w:val="22"/>
        </w:rPr>
        <w:t xml:space="preserve"> in accordance with U.S. Generally Accepted Accounting Principles (GAAP)</w:t>
      </w:r>
      <w:r>
        <w:rPr>
          <w:rFonts w:ascii="Arial Narrow" w:hAnsi="Arial Narrow"/>
          <w:sz w:val="22"/>
        </w:rPr>
        <w:t>.  Include currency balances due from banks and other depository institutions; securities; loans; discounted notes; and other foreign currency-denominated assets.   Exclude foreign exchange contracts for which delivery has not been taken included in items 1 – 4.</w:t>
      </w: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2" w:hanging="312"/>
        <w:rPr>
          <w:rFonts w:ascii="Arial Narrow" w:hAnsi="Arial Narrow"/>
          <w:sz w:val="22"/>
        </w:rPr>
        <w:sectPr w:rsidR="00521205">
          <w:endnotePr>
            <w:numFmt w:val="decimal"/>
          </w:endnotePr>
          <w:type w:val="continuous"/>
          <w:pgSz w:w="12240" w:h="15840"/>
          <w:pgMar w:top="864" w:right="1800" w:bottom="1296" w:left="1800" w:header="720" w:footer="1440" w:gutter="0"/>
          <w:paperSrc w:first="48" w:other="48"/>
          <w:cols w:space="720"/>
          <w:noEndnote/>
        </w:sectPr>
      </w:pPr>
      <w:r>
        <w:rPr>
          <w:rFonts w:ascii="Arial Narrow" w:hAnsi="Arial Narrow"/>
          <w:sz w:val="22"/>
        </w:rPr>
        <w:t>6.</w:t>
      </w:r>
      <w:r>
        <w:rPr>
          <w:rFonts w:ascii="Arial Narrow" w:hAnsi="Arial Narrow"/>
          <w:sz w:val="22"/>
        </w:rPr>
        <w:tab/>
      </w:r>
      <w:r>
        <w:rPr>
          <w:rFonts w:ascii="Arial Narrow" w:hAnsi="Arial Narrow"/>
          <w:b/>
          <w:sz w:val="22"/>
        </w:rPr>
        <w:t>Foreign Currency Denominated Liabilities.</w:t>
      </w:r>
      <w:r>
        <w:rPr>
          <w:rFonts w:ascii="Arial Narrow" w:hAnsi="Arial Narrow"/>
          <w:sz w:val="22"/>
        </w:rPr>
        <w:t xml:space="preserve">  Report in this row all liabilities denominated in the specified foreign currencies</w:t>
      </w:r>
      <w:r w:rsidR="008D18A2">
        <w:rPr>
          <w:rFonts w:ascii="Arial Narrow" w:hAnsi="Arial Narrow"/>
          <w:sz w:val="22"/>
        </w:rPr>
        <w:t xml:space="preserve"> in accordance with U.S. Generally Accepted Accounting Principles (GAAP)</w:t>
      </w:r>
      <w:r>
        <w:rPr>
          <w:rFonts w:ascii="Arial Narrow" w:hAnsi="Arial Narrow"/>
          <w:sz w:val="22"/>
        </w:rPr>
        <w:t>.  Include, for example, borrowings; overdrafts; securities issued; acceptances outstanding; deferred payment letters of credit outstanding; balances due to banks; and other foreign currency-denominated liabilities.  Exclude foreign exchange contracts for which delivery has not been made included in items 1 – 4.</w:t>
      </w: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1"/>
        <w:rPr>
          <w:rFonts w:ascii="Arial Narrow" w:hAnsi="Arial Narrow"/>
          <w:sz w:val="22"/>
        </w:rPr>
      </w:pPr>
    </w:p>
    <w:p w:rsidR="00521205" w:rsidRDefault="00521205">
      <w:pPr>
        <w:pStyle w:val="BodyTextIndent"/>
      </w:pPr>
      <w:r>
        <w:t xml:space="preserve">The net foreign currency exposure on interest flows in each specified currency should be reported in row 5 or 6, depending whether it represents a net asset (receivable) or liability (payable) position.  This amount should include accrued foreign currency interest receivable or payable for deposits, loans and securities. </w:t>
      </w: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pStyle w:val="Heading4"/>
      </w:pPr>
      <w:r>
        <w:t>RELATING TO THE OPTIONS ADDENDUM</w:t>
      </w: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r>
        <w:rPr>
          <w:rFonts w:ascii="Arial Narrow" w:hAnsi="Arial Narrow"/>
          <w:sz w:val="22"/>
        </w:rPr>
        <w:t xml:space="preserve">This addendum should be completed by those entities with an aggregate notional principal amount of options </w:t>
      </w:r>
      <w:r>
        <w:rPr>
          <w:rFonts w:ascii="Arial Narrow" w:hAnsi="Arial Narrow"/>
          <w:b/>
          <w:i/>
          <w:sz w:val="22"/>
        </w:rPr>
        <w:t>purchased and sold (written)</w:t>
      </w:r>
      <w:r>
        <w:rPr>
          <w:rFonts w:ascii="Arial Narrow" w:hAnsi="Arial Narrow"/>
          <w:sz w:val="22"/>
        </w:rPr>
        <w:t xml:space="preserve"> in all currencies exceeding U.S. $500 million.  For rows 1 through 4, report the notional principal of options for that item.</w:t>
      </w: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r>
        <w:rPr>
          <w:rFonts w:ascii="Arial Narrow" w:hAnsi="Arial Narrow"/>
          <w:sz w:val="22"/>
        </w:rPr>
        <w:t xml:space="preserve">Foreign currency options between specified currencies should be reported twice.  For example, the currency amounts of a Japanese yen call option against the sale of U.S. dollars should be reported in columns 1 and 5.  A Swiss franc put against the purchase of </w:t>
      </w:r>
      <w:smartTag w:uri="urn:schemas-microsoft-com:office:smarttags" w:element="country-region">
        <w:smartTag w:uri="urn:schemas-microsoft-com:office:smarttags" w:element="place">
          <w:r>
            <w:rPr>
              <w:rFonts w:ascii="Arial Narrow" w:hAnsi="Arial Narrow"/>
              <w:sz w:val="22"/>
            </w:rPr>
            <w:t>U.K.</w:t>
          </w:r>
        </w:smartTag>
      </w:smartTag>
      <w:r>
        <w:rPr>
          <w:rFonts w:ascii="Arial Narrow" w:hAnsi="Arial Narrow"/>
          <w:sz w:val="22"/>
        </w:rPr>
        <w:t xml:space="preserve"> pounds should be included in columns 3 and 4.</w:t>
      </w: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2" w:hanging="312"/>
        <w:rPr>
          <w:rFonts w:ascii="Arial Narrow" w:hAnsi="Arial Narrow"/>
          <w:sz w:val="22"/>
        </w:rPr>
      </w:pPr>
      <w:r>
        <w:rPr>
          <w:rFonts w:ascii="Arial Narrow" w:hAnsi="Arial Narrow"/>
          <w:sz w:val="22"/>
        </w:rPr>
        <w:t>1.</w:t>
      </w:r>
      <w:r>
        <w:rPr>
          <w:rFonts w:ascii="Arial Narrow" w:hAnsi="Arial Narrow"/>
          <w:sz w:val="22"/>
        </w:rPr>
        <w:tab/>
      </w:r>
      <w:r>
        <w:rPr>
          <w:rFonts w:ascii="Arial Narrow" w:hAnsi="Arial Narrow"/>
          <w:b/>
          <w:sz w:val="22"/>
        </w:rPr>
        <w:t>Put Options Written.</w:t>
      </w:r>
      <w:r>
        <w:rPr>
          <w:rFonts w:ascii="Arial Narrow" w:hAnsi="Arial Narrow"/>
          <w:sz w:val="22"/>
        </w:rPr>
        <w:t xml:space="preserve">  Report the notional value of the foreign currency position that the reporter is obligated to buy under option contracts at the option of the other party.</w:t>
      </w: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numPr>
          <w:ilvl w:val="0"/>
          <w:numId w:val="11"/>
        </w:num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r>
        <w:rPr>
          <w:rFonts w:ascii="Arial Narrow" w:hAnsi="Arial Narrow"/>
          <w:b/>
          <w:sz w:val="22"/>
        </w:rPr>
        <w:t xml:space="preserve">Call Options Written. </w:t>
      </w:r>
      <w:r>
        <w:rPr>
          <w:rFonts w:ascii="Arial Narrow" w:hAnsi="Arial Narrow"/>
          <w:sz w:val="22"/>
        </w:rPr>
        <w:t xml:space="preserve"> Report the notional value of the foreign currency position that the reporter is obligated to sell under option contracts at the option of the other party.</w:t>
      </w: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2" w:hanging="312"/>
        <w:rPr>
          <w:rFonts w:ascii="Arial Narrow" w:hAnsi="Arial Narrow"/>
          <w:sz w:val="22"/>
        </w:rPr>
        <w:sectPr w:rsidR="00521205">
          <w:endnotePr>
            <w:numFmt w:val="decimal"/>
          </w:endnotePr>
          <w:type w:val="continuous"/>
          <w:pgSz w:w="12240" w:h="15840"/>
          <w:pgMar w:top="864" w:right="1800" w:bottom="1296" w:left="1800" w:header="720" w:footer="1440" w:gutter="0"/>
          <w:paperSrc w:first="48" w:other="48"/>
          <w:cols w:space="720"/>
          <w:noEndnote/>
        </w:sectPr>
      </w:pP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2" w:hanging="312"/>
        <w:rPr>
          <w:rFonts w:ascii="Arial Narrow" w:hAnsi="Arial Narrow"/>
          <w:sz w:val="22"/>
        </w:rPr>
      </w:pPr>
      <w:r>
        <w:rPr>
          <w:rFonts w:ascii="Arial Narrow" w:hAnsi="Arial Narrow"/>
          <w:sz w:val="22"/>
        </w:rPr>
        <w:t>3.</w:t>
      </w:r>
      <w:r>
        <w:rPr>
          <w:rFonts w:ascii="Arial Narrow" w:hAnsi="Arial Narrow"/>
          <w:sz w:val="22"/>
        </w:rPr>
        <w:tab/>
      </w:r>
      <w:r>
        <w:rPr>
          <w:rFonts w:ascii="Arial Narrow" w:hAnsi="Arial Narrow"/>
          <w:b/>
          <w:sz w:val="22"/>
        </w:rPr>
        <w:t>Call Options Purchased.</w:t>
      </w:r>
      <w:r>
        <w:rPr>
          <w:rFonts w:ascii="Arial Narrow" w:hAnsi="Arial Narrow"/>
          <w:sz w:val="22"/>
        </w:rPr>
        <w:t xml:space="preserve">  Report the notional value of the foreign currency position where the reporter has acquired an option to purchase and the other party to the contract is obligated to sell the instrument if the reporter exercises the option.</w:t>
      </w: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2" w:hanging="312"/>
        <w:rPr>
          <w:rFonts w:ascii="Arial Narrow" w:hAnsi="Arial Narrow"/>
          <w:sz w:val="22"/>
        </w:rPr>
      </w:pPr>
      <w:r>
        <w:rPr>
          <w:rFonts w:ascii="Arial Narrow" w:hAnsi="Arial Narrow"/>
          <w:sz w:val="22"/>
        </w:rPr>
        <w:t>4.</w:t>
      </w:r>
      <w:r>
        <w:rPr>
          <w:rFonts w:ascii="Arial Narrow" w:hAnsi="Arial Narrow"/>
          <w:sz w:val="22"/>
        </w:rPr>
        <w:tab/>
      </w:r>
      <w:r>
        <w:rPr>
          <w:rFonts w:ascii="Arial Narrow" w:hAnsi="Arial Narrow"/>
          <w:b/>
          <w:sz w:val="22"/>
        </w:rPr>
        <w:t>Put Options Purchased.</w:t>
      </w:r>
      <w:r>
        <w:rPr>
          <w:rFonts w:ascii="Arial Narrow" w:hAnsi="Arial Narrow"/>
          <w:sz w:val="22"/>
        </w:rPr>
        <w:t xml:space="preserve">  Report the notional value of the foreign currency position where the reporter has acquired an option to sell and the other party to the contract is obligated to buy the instrument if the reporter exercises the option.</w:t>
      </w: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7" w:hanging="317"/>
        <w:rPr>
          <w:rFonts w:ascii="Arial Narrow" w:hAnsi="Arial Narrow"/>
          <w:sz w:val="22"/>
        </w:rPr>
        <w:sectPr w:rsidR="00521205">
          <w:endnotePr>
            <w:numFmt w:val="decimal"/>
          </w:endnotePr>
          <w:type w:val="continuous"/>
          <w:pgSz w:w="12240" w:h="15840"/>
          <w:pgMar w:top="864" w:right="1800" w:bottom="1296" w:left="1800" w:header="720" w:footer="1440" w:gutter="0"/>
          <w:paperSrc w:first="48" w:other="48"/>
          <w:cols w:space="720"/>
          <w:noEndnote/>
        </w:sectPr>
      </w:pPr>
      <w:r>
        <w:rPr>
          <w:rFonts w:ascii="Arial Narrow" w:hAnsi="Arial Narrow"/>
          <w:sz w:val="22"/>
        </w:rPr>
        <w:t>5.</w:t>
      </w:r>
      <w:r>
        <w:rPr>
          <w:rFonts w:ascii="Arial Narrow" w:hAnsi="Arial Narrow"/>
          <w:sz w:val="22"/>
        </w:rPr>
        <w:tab/>
      </w:r>
      <w:r w:rsidR="00C10012" w:rsidRPr="00C10012">
        <w:rPr>
          <w:rFonts w:ascii="Arial Narrow" w:hAnsi="Arial Narrow" w:cs="Arial"/>
          <w:b/>
          <w:sz w:val="22"/>
        </w:rPr>
        <w:t>Fair Value of Options above</w:t>
      </w:r>
      <w:r w:rsidRPr="004C7E97">
        <w:rPr>
          <w:rFonts w:ascii="Arial Narrow" w:hAnsi="Arial Narrow" w:cs="Arial"/>
          <w:sz w:val="22"/>
        </w:rPr>
        <w:t xml:space="preserve">.  </w:t>
      </w:r>
      <w:r w:rsidRPr="004C7E97">
        <w:rPr>
          <w:rFonts w:ascii="Arial Narrow" w:hAnsi="Arial Narrow" w:cs="Arial"/>
          <w:sz w:val="22"/>
          <w:szCs w:val="22"/>
        </w:rPr>
        <w:t xml:space="preserve">Report the </w:t>
      </w:r>
      <w:r w:rsidR="004C7E97" w:rsidRPr="004C7E97">
        <w:rPr>
          <w:rFonts w:ascii="Arial Narrow" w:hAnsi="Arial Narrow" w:cs="Arial"/>
          <w:sz w:val="22"/>
          <w:szCs w:val="22"/>
        </w:rPr>
        <w:t>fair value</w:t>
      </w:r>
      <w:r w:rsidRPr="004C7E97">
        <w:rPr>
          <w:rFonts w:ascii="Arial Narrow" w:hAnsi="Arial Narrow" w:cs="Arial"/>
          <w:sz w:val="22"/>
          <w:szCs w:val="22"/>
        </w:rPr>
        <w:t xml:space="preserve"> </w:t>
      </w:r>
      <w:r w:rsidR="00C10012" w:rsidRPr="00C10012">
        <w:rPr>
          <w:rFonts w:ascii="Arial Narrow" w:hAnsi="Arial Narrow" w:cs="Arial"/>
          <w:sz w:val="22"/>
          <w:szCs w:val="22"/>
        </w:rPr>
        <w:t xml:space="preserve">of the options reported in the four preceding rows.  Report the fair value of all currency option contracts, written and purchased, for each specified currency.  </w:t>
      </w:r>
      <w:r w:rsidRPr="004C7E97">
        <w:rPr>
          <w:rFonts w:ascii="Arial Narrow" w:hAnsi="Arial Narrow" w:cs="Arial"/>
          <w:sz w:val="22"/>
          <w:szCs w:val="22"/>
        </w:rPr>
        <w:t>Indicate a net short position by parentheses.</w:t>
      </w:r>
    </w:p>
    <w:p w:rsidR="00521205" w:rsidRDefault="00521205">
      <w:pPr>
        <w:tabs>
          <w:tab w:val="left" w:pos="-720"/>
          <w:tab w:val="left" w:pos="0"/>
          <w:tab w:val="left" w:pos="31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sz w:val="22"/>
        </w:rPr>
      </w:pPr>
    </w:p>
    <w:sectPr w:rsidR="00521205" w:rsidSect="00C6139D">
      <w:endnotePr>
        <w:numFmt w:val="decimal"/>
      </w:endnotePr>
      <w:type w:val="continuous"/>
      <w:pgSz w:w="12240" w:h="15840"/>
      <w:pgMar w:top="864" w:right="1800" w:bottom="1296" w:left="1800" w:header="720" w:footer="1440" w:gutter="0"/>
      <w:paperSrc w:first="48" w:other="4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366" w:rsidRDefault="00355366" w:rsidP="00AA060B">
      <w:r>
        <w:separator/>
      </w:r>
    </w:p>
  </w:endnote>
  <w:endnote w:type="continuationSeparator" w:id="0">
    <w:p w:rsidR="00355366" w:rsidRDefault="00355366" w:rsidP="00AA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366" w:rsidRDefault="00355366" w:rsidP="00AA060B">
      <w:r>
        <w:separator/>
      </w:r>
    </w:p>
  </w:footnote>
  <w:footnote w:type="continuationSeparator" w:id="0">
    <w:p w:rsidR="00355366" w:rsidRDefault="00355366" w:rsidP="00AA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6" w:rsidRDefault="005B4A86">
    <w:pPr>
      <w:tabs>
        <w:tab w:val="right" w:pos="10080"/>
      </w:tabs>
      <w:jc w:val="right"/>
      <w:rPr>
        <w:rFonts w:ascii="Arial" w:hAnsi="Arial"/>
        <w:sz w:val="20"/>
      </w:rPr>
    </w:pPr>
    <w:r>
      <w:rPr>
        <w:rFonts w:ascii="Arial" w:hAnsi="Arial"/>
        <w:sz w:val="20"/>
      </w:rPr>
      <w:t xml:space="preserve">Instructions for Foreign Currency Form FC-3 - Page </w:t>
    </w:r>
    <w:r w:rsidR="00C10012">
      <w:rPr>
        <w:rFonts w:ascii="Arial" w:hAnsi="Arial"/>
        <w:sz w:val="20"/>
      </w:rPr>
      <w:fldChar w:fldCharType="begin"/>
    </w:r>
    <w:r>
      <w:rPr>
        <w:rFonts w:ascii="Arial" w:hAnsi="Arial"/>
        <w:sz w:val="20"/>
      </w:rPr>
      <w:instrText xml:space="preserve">PAGE </w:instrText>
    </w:r>
    <w:r w:rsidR="00C10012">
      <w:rPr>
        <w:rFonts w:ascii="Arial" w:hAnsi="Arial"/>
        <w:sz w:val="20"/>
      </w:rPr>
      <w:fldChar w:fldCharType="separate"/>
    </w:r>
    <w:r w:rsidR="00580336">
      <w:rPr>
        <w:rFonts w:ascii="Arial" w:hAnsi="Arial"/>
        <w:noProof/>
        <w:sz w:val="20"/>
      </w:rPr>
      <w:t>2</w:t>
    </w:r>
    <w:r w:rsidR="00C10012">
      <w:rPr>
        <w:rFonts w:ascii="Arial" w:hAnsi="Arial"/>
        <w:sz w:val="20"/>
      </w:rPr>
      <w:fldChar w:fldCharType="end"/>
    </w:r>
    <w:r>
      <w:rPr>
        <w:rFonts w:ascii="Arial" w:hAnsi="Arial"/>
        <w:sz w:val="20"/>
      </w:rPr>
      <w:t xml:space="preserve"> of 5 </w:t>
    </w:r>
  </w:p>
  <w:p w:rsidR="005B4A86" w:rsidRDefault="005B4A86">
    <w:pPr>
      <w:spacing w:line="240" w:lineRule="exact"/>
    </w:pPr>
  </w:p>
  <w:p w:rsidR="005B4A86" w:rsidRDefault="005B4A8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86D"/>
    <w:multiLevelType w:val="singleLevel"/>
    <w:tmpl w:val="46B4CB10"/>
    <w:lvl w:ilvl="0">
      <w:start w:val="5"/>
      <w:numFmt w:val="upperLetter"/>
      <w:lvlText w:val="%1."/>
      <w:lvlJc w:val="left"/>
      <w:pPr>
        <w:tabs>
          <w:tab w:val="num" w:pos="540"/>
        </w:tabs>
        <w:ind w:left="540" w:hanging="540"/>
      </w:pPr>
      <w:rPr>
        <w:rFonts w:hint="default"/>
        <w:b/>
        <w:sz w:val="33"/>
      </w:rPr>
    </w:lvl>
  </w:abstractNum>
  <w:abstractNum w:abstractNumId="1">
    <w:nsid w:val="03270D2E"/>
    <w:multiLevelType w:val="singleLevel"/>
    <w:tmpl w:val="BD6ECC46"/>
    <w:lvl w:ilvl="0">
      <w:start w:val="8"/>
      <w:numFmt w:val="decimal"/>
      <w:lvlText w:val="%1."/>
      <w:lvlJc w:val="left"/>
      <w:pPr>
        <w:tabs>
          <w:tab w:val="num" w:pos="405"/>
        </w:tabs>
        <w:ind w:left="405" w:hanging="360"/>
      </w:pPr>
      <w:rPr>
        <w:rFonts w:hint="default"/>
      </w:rPr>
    </w:lvl>
  </w:abstractNum>
  <w:abstractNum w:abstractNumId="2">
    <w:nsid w:val="08251D0F"/>
    <w:multiLevelType w:val="singleLevel"/>
    <w:tmpl w:val="A5728658"/>
    <w:lvl w:ilvl="0">
      <w:start w:val="7"/>
      <w:numFmt w:val="decimal"/>
      <w:lvlText w:val="%1."/>
      <w:lvlJc w:val="left"/>
      <w:pPr>
        <w:tabs>
          <w:tab w:val="num" w:pos="360"/>
        </w:tabs>
        <w:ind w:left="360" w:hanging="360"/>
      </w:pPr>
      <w:rPr>
        <w:rFonts w:hint="default"/>
      </w:rPr>
    </w:lvl>
  </w:abstractNum>
  <w:abstractNum w:abstractNumId="3">
    <w:nsid w:val="0A9114E7"/>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3AE3111"/>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nsid w:val="1CE826BC"/>
    <w:multiLevelType w:val="singleLevel"/>
    <w:tmpl w:val="42D67882"/>
    <w:lvl w:ilvl="0">
      <w:start w:val="2"/>
      <w:numFmt w:val="decimal"/>
      <w:lvlText w:val="%1."/>
      <w:lvlJc w:val="left"/>
      <w:pPr>
        <w:tabs>
          <w:tab w:val="num" w:pos="360"/>
        </w:tabs>
        <w:ind w:left="360" w:hanging="360"/>
      </w:pPr>
      <w:rPr>
        <w:rFonts w:hint="default"/>
      </w:rPr>
    </w:lvl>
  </w:abstractNum>
  <w:abstractNum w:abstractNumId="6">
    <w:nsid w:val="369C2B1A"/>
    <w:multiLevelType w:val="singleLevel"/>
    <w:tmpl w:val="94340E76"/>
    <w:lvl w:ilvl="0">
      <w:start w:val="2"/>
      <w:numFmt w:val="decimal"/>
      <w:lvlText w:val="%1."/>
      <w:lvlJc w:val="left"/>
      <w:pPr>
        <w:tabs>
          <w:tab w:val="num" w:pos="480"/>
        </w:tabs>
        <w:ind w:left="480" w:hanging="360"/>
      </w:pPr>
      <w:rPr>
        <w:rFonts w:hint="default"/>
      </w:rPr>
    </w:lvl>
  </w:abstractNum>
  <w:abstractNum w:abstractNumId="7">
    <w:nsid w:val="613913D9"/>
    <w:multiLevelType w:val="singleLevel"/>
    <w:tmpl w:val="0409000F"/>
    <w:lvl w:ilvl="0">
      <w:start w:val="3"/>
      <w:numFmt w:val="decimal"/>
      <w:lvlText w:val="%1."/>
      <w:lvlJc w:val="left"/>
      <w:pPr>
        <w:tabs>
          <w:tab w:val="num" w:pos="360"/>
        </w:tabs>
        <w:ind w:left="360" w:hanging="360"/>
      </w:pPr>
      <w:rPr>
        <w:rFonts w:hint="default"/>
      </w:rPr>
    </w:lvl>
  </w:abstractNum>
  <w:abstractNum w:abstractNumId="8">
    <w:nsid w:val="631D165C"/>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68B82887"/>
    <w:multiLevelType w:val="singleLevel"/>
    <w:tmpl w:val="0409000F"/>
    <w:lvl w:ilvl="0">
      <w:start w:val="7"/>
      <w:numFmt w:val="decimal"/>
      <w:lvlText w:val="%1."/>
      <w:lvlJc w:val="left"/>
      <w:pPr>
        <w:tabs>
          <w:tab w:val="num" w:pos="360"/>
        </w:tabs>
        <w:ind w:left="360" w:hanging="360"/>
      </w:pPr>
      <w:rPr>
        <w:rFonts w:hint="default"/>
      </w:rPr>
    </w:lvl>
  </w:abstractNum>
  <w:abstractNum w:abstractNumId="10">
    <w:nsid w:val="74757E37"/>
    <w:multiLevelType w:val="singleLevel"/>
    <w:tmpl w:val="0409000F"/>
    <w:lvl w:ilvl="0">
      <w:start w:val="1"/>
      <w:numFmt w:val="decimal"/>
      <w:lvlText w:val="%1."/>
      <w:lvlJc w:val="left"/>
      <w:pPr>
        <w:ind w:left="720" w:hanging="360"/>
      </w:pPr>
    </w:lvl>
  </w:abstractNum>
  <w:num w:numId="1">
    <w:abstractNumId w:val="6"/>
  </w:num>
  <w:num w:numId="2">
    <w:abstractNumId w:val="0"/>
  </w:num>
  <w:num w:numId="3">
    <w:abstractNumId w:val="4"/>
  </w:num>
  <w:num w:numId="4">
    <w:abstractNumId w:val="10"/>
  </w:num>
  <w:num w:numId="5">
    <w:abstractNumId w:val="10"/>
  </w:num>
  <w:num w:numId="6">
    <w:abstractNumId w:val="9"/>
  </w:num>
  <w:num w:numId="7">
    <w:abstractNumId w:val="3"/>
  </w:num>
  <w:num w:numId="8">
    <w:abstractNumId w:val="2"/>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1E"/>
    <w:rsid w:val="0007240C"/>
    <w:rsid w:val="00355366"/>
    <w:rsid w:val="00443AE4"/>
    <w:rsid w:val="00486BE8"/>
    <w:rsid w:val="004C7E97"/>
    <w:rsid w:val="00521205"/>
    <w:rsid w:val="00580336"/>
    <w:rsid w:val="005B4A86"/>
    <w:rsid w:val="005F75AC"/>
    <w:rsid w:val="006E5EF6"/>
    <w:rsid w:val="006F3D25"/>
    <w:rsid w:val="008A3A9E"/>
    <w:rsid w:val="008B37EC"/>
    <w:rsid w:val="008D18A2"/>
    <w:rsid w:val="00931953"/>
    <w:rsid w:val="009F76A9"/>
    <w:rsid w:val="00A8347D"/>
    <w:rsid w:val="00A9324A"/>
    <w:rsid w:val="00AA060B"/>
    <w:rsid w:val="00AF3F84"/>
    <w:rsid w:val="00AF642D"/>
    <w:rsid w:val="00C10012"/>
    <w:rsid w:val="00C6139D"/>
    <w:rsid w:val="00DB48D9"/>
    <w:rsid w:val="00DC3989"/>
    <w:rsid w:val="00E86EE4"/>
    <w:rsid w:val="00F9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9D"/>
    <w:pPr>
      <w:widowControl w:val="0"/>
    </w:pPr>
    <w:rPr>
      <w:rFonts w:ascii="Courier New" w:hAnsi="Courier New"/>
      <w:snapToGrid w:val="0"/>
      <w:sz w:val="24"/>
    </w:rPr>
  </w:style>
  <w:style w:type="paragraph" w:styleId="Heading1">
    <w:name w:val="heading 1"/>
    <w:basedOn w:val="Normal"/>
    <w:next w:val="Normal"/>
    <w:qFormat/>
    <w:rsid w:val="00C6139D"/>
    <w:pPr>
      <w:keepNext/>
      <w:jc w:val="center"/>
      <w:outlineLvl w:val="0"/>
    </w:pPr>
    <w:rPr>
      <w:rFonts w:ascii="Arial" w:hAnsi="Arial"/>
      <w:b/>
      <w:sz w:val="36"/>
    </w:rPr>
  </w:style>
  <w:style w:type="paragraph" w:styleId="Heading2">
    <w:name w:val="heading 2"/>
    <w:basedOn w:val="Normal"/>
    <w:next w:val="Normal"/>
    <w:qFormat/>
    <w:rsid w:val="00C6139D"/>
    <w:pPr>
      <w:keepNext/>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4" w:lineRule="auto"/>
      <w:jc w:val="both"/>
      <w:outlineLvl w:val="1"/>
    </w:pPr>
    <w:rPr>
      <w:rFonts w:ascii="Arial" w:hAnsi="Arial"/>
      <w:b/>
      <w:smallCaps/>
      <w:sz w:val="33"/>
    </w:rPr>
  </w:style>
  <w:style w:type="paragraph" w:styleId="Heading3">
    <w:name w:val="heading 3"/>
    <w:basedOn w:val="Normal"/>
    <w:next w:val="Normal"/>
    <w:qFormat/>
    <w:rsid w:val="00C6139D"/>
    <w:pPr>
      <w:keepNext/>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2"/>
    </w:pPr>
    <w:rPr>
      <w:rFonts w:ascii="Arial" w:hAnsi="Arial"/>
      <w:b/>
      <w:smallCaps/>
      <w:sz w:val="36"/>
    </w:rPr>
  </w:style>
  <w:style w:type="paragraph" w:styleId="Heading4">
    <w:name w:val="heading 4"/>
    <w:basedOn w:val="Normal"/>
    <w:next w:val="Normal"/>
    <w:qFormat/>
    <w:rsid w:val="00C6139D"/>
    <w:pPr>
      <w:keepNext/>
      <w:tabs>
        <w:tab w:val="center" w:pos="5040"/>
        <w:tab w:val="left" w:pos="5760"/>
        <w:tab w:val="left" w:pos="6480"/>
        <w:tab w:val="left" w:pos="7200"/>
        <w:tab w:val="left" w:pos="7920"/>
        <w:tab w:val="left" w:pos="8640"/>
        <w:tab w:val="left" w:pos="9360"/>
        <w:tab w:val="left" w:pos="10080"/>
      </w:tabs>
      <w:jc w:val="center"/>
      <w:outlineLvl w:val="3"/>
    </w:pPr>
    <w:rPr>
      <w:rFonts w:ascii="Arial Narrow" w:hAnsi="Arial Narrow"/>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6139D"/>
  </w:style>
  <w:style w:type="paragraph" w:styleId="Caption">
    <w:name w:val="caption"/>
    <w:basedOn w:val="Normal"/>
    <w:next w:val="Normal"/>
    <w:qFormat/>
    <w:rsid w:val="00C6139D"/>
    <w:pPr>
      <w:tabs>
        <w:tab w:val="center" w:pos="5040"/>
      </w:tabs>
      <w:spacing w:line="275" w:lineRule="auto"/>
      <w:jc w:val="center"/>
    </w:pPr>
    <w:rPr>
      <w:rFonts w:ascii="Arial" w:hAnsi="Arial"/>
      <w:b/>
      <w:sz w:val="28"/>
    </w:rPr>
  </w:style>
  <w:style w:type="paragraph" w:styleId="BodyTextIndent2">
    <w:name w:val="Body Text Indent 2"/>
    <w:basedOn w:val="Normal"/>
    <w:rsid w:val="00C6139D"/>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52" w:lineRule="auto"/>
      <w:ind w:left="360"/>
    </w:pPr>
    <w:rPr>
      <w:rFonts w:ascii="Arial Narrow" w:hAnsi="Arial Narrow"/>
      <w:sz w:val="22"/>
    </w:rPr>
  </w:style>
  <w:style w:type="paragraph" w:styleId="BodyTextIndent">
    <w:name w:val="Body Text Indent"/>
    <w:basedOn w:val="Normal"/>
    <w:rsid w:val="00C6139D"/>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1"/>
    </w:pPr>
    <w:rPr>
      <w:rFonts w:ascii="Arial Narrow" w:hAnsi="Arial Narrow"/>
      <w:sz w:val="22"/>
    </w:rPr>
  </w:style>
  <w:style w:type="paragraph" w:styleId="Header">
    <w:name w:val="header"/>
    <w:basedOn w:val="Normal"/>
    <w:rsid w:val="00C6139D"/>
    <w:pPr>
      <w:tabs>
        <w:tab w:val="center" w:pos="4320"/>
        <w:tab w:val="right" w:pos="8640"/>
      </w:tabs>
    </w:pPr>
  </w:style>
  <w:style w:type="paragraph" w:styleId="Footer">
    <w:name w:val="footer"/>
    <w:basedOn w:val="Normal"/>
    <w:rsid w:val="00C6139D"/>
    <w:pPr>
      <w:tabs>
        <w:tab w:val="center" w:pos="4320"/>
        <w:tab w:val="right" w:pos="8640"/>
      </w:tabs>
    </w:pPr>
  </w:style>
  <w:style w:type="paragraph" w:styleId="BodyText">
    <w:name w:val="Body Text"/>
    <w:basedOn w:val="Normal"/>
    <w:rsid w:val="00C6139D"/>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Narrow" w:hAnsi="Arial Narrow"/>
      <w:sz w:val="22"/>
    </w:rPr>
  </w:style>
  <w:style w:type="paragraph" w:styleId="BodyText2">
    <w:name w:val="Body Text 2"/>
    <w:basedOn w:val="Normal"/>
    <w:rsid w:val="00C6139D"/>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04"/>
    </w:pPr>
    <w:rPr>
      <w:rFonts w:ascii="Arial Narrow" w:hAnsi="Arial Narrow"/>
      <w:sz w:val="22"/>
    </w:rPr>
  </w:style>
  <w:style w:type="paragraph" w:styleId="BodyText3">
    <w:name w:val="Body Text 3"/>
    <w:basedOn w:val="Normal"/>
    <w:rsid w:val="00C6139D"/>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Pr>
      <w:rFonts w:ascii="Arial Narrow" w:hAnsi="Arial Narrow"/>
      <w:sz w:val="22"/>
    </w:rPr>
  </w:style>
  <w:style w:type="paragraph" w:styleId="BalloonText">
    <w:name w:val="Balloon Text"/>
    <w:basedOn w:val="Normal"/>
    <w:link w:val="BalloonTextChar"/>
    <w:uiPriority w:val="99"/>
    <w:semiHidden/>
    <w:unhideWhenUsed/>
    <w:rsid w:val="00AA060B"/>
    <w:rPr>
      <w:rFonts w:ascii="Tahoma" w:hAnsi="Tahoma" w:cs="Tahoma"/>
      <w:sz w:val="16"/>
      <w:szCs w:val="16"/>
    </w:rPr>
  </w:style>
  <w:style w:type="character" w:customStyle="1" w:styleId="BalloonTextChar">
    <w:name w:val="Balloon Text Char"/>
    <w:basedOn w:val="DefaultParagraphFont"/>
    <w:link w:val="BalloonText"/>
    <w:uiPriority w:val="99"/>
    <w:semiHidden/>
    <w:rsid w:val="00AA060B"/>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9D"/>
    <w:pPr>
      <w:widowControl w:val="0"/>
    </w:pPr>
    <w:rPr>
      <w:rFonts w:ascii="Courier New" w:hAnsi="Courier New"/>
      <w:snapToGrid w:val="0"/>
      <w:sz w:val="24"/>
    </w:rPr>
  </w:style>
  <w:style w:type="paragraph" w:styleId="Heading1">
    <w:name w:val="heading 1"/>
    <w:basedOn w:val="Normal"/>
    <w:next w:val="Normal"/>
    <w:qFormat/>
    <w:rsid w:val="00C6139D"/>
    <w:pPr>
      <w:keepNext/>
      <w:jc w:val="center"/>
      <w:outlineLvl w:val="0"/>
    </w:pPr>
    <w:rPr>
      <w:rFonts w:ascii="Arial" w:hAnsi="Arial"/>
      <w:b/>
      <w:sz w:val="36"/>
    </w:rPr>
  </w:style>
  <w:style w:type="paragraph" w:styleId="Heading2">
    <w:name w:val="heading 2"/>
    <w:basedOn w:val="Normal"/>
    <w:next w:val="Normal"/>
    <w:qFormat/>
    <w:rsid w:val="00C6139D"/>
    <w:pPr>
      <w:keepNext/>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4" w:lineRule="auto"/>
      <w:jc w:val="both"/>
      <w:outlineLvl w:val="1"/>
    </w:pPr>
    <w:rPr>
      <w:rFonts w:ascii="Arial" w:hAnsi="Arial"/>
      <w:b/>
      <w:smallCaps/>
      <w:sz w:val="33"/>
    </w:rPr>
  </w:style>
  <w:style w:type="paragraph" w:styleId="Heading3">
    <w:name w:val="heading 3"/>
    <w:basedOn w:val="Normal"/>
    <w:next w:val="Normal"/>
    <w:qFormat/>
    <w:rsid w:val="00C6139D"/>
    <w:pPr>
      <w:keepNext/>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2"/>
    </w:pPr>
    <w:rPr>
      <w:rFonts w:ascii="Arial" w:hAnsi="Arial"/>
      <w:b/>
      <w:smallCaps/>
      <w:sz w:val="36"/>
    </w:rPr>
  </w:style>
  <w:style w:type="paragraph" w:styleId="Heading4">
    <w:name w:val="heading 4"/>
    <w:basedOn w:val="Normal"/>
    <w:next w:val="Normal"/>
    <w:qFormat/>
    <w:rsid w:val="00C6139D"/>
    <w:pPr>
      <w:keepNext/>
      <w:tabs>
        <w:tab w:val="center" w:pos="5040"/>
        <w:tab w:val="left" w:pos="5760"/>
        <w:tab w:val="left" w:pos="6480"/>
        <w:tab w:val="left" w:pos="7200"/>
        <w:tab w:val="left" w:pos="7920"/>
        <w:tab w:val="left" w:pos="8640"/>
        <w:tab w:val="left" w:pos="9360"/>
        <w:tab w:val="left" w:pos="10080"/>
      </w:tabs>
      <w:jc w:val="center"/>
      <w:outlineLvl w:val="3"/>
    </w:pPr>
    <w:rPr>
      <w:rFonts w:ascii="Arial Narrow" w:hAnsi="Arial Narrow"/>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6139D"/>
  </w:style>
  <w:style w:type="paragraph" w:styleId="Caption">
    <w:name w:val="caption"/>
    <w:basedOn w:val="Normal"/>
    <w:next w:val="Normal"/>
    <w:qFormat/>
    <w:rsid w:val="00C6139D"/>
    <w:pPr>
      <w:tabs>
        <w:tab w:val="center" w:pos="5040"/>
      </w:tabs>
      <w:spacing w:line="275" w:lineRule="auto"/>
      <w:jc w:val="center"/>
    </w:pPr>
    <w:rPr>
      <w:rFonts w:ascii="Arial" w:hAnsi="Arial"/>
      <w:b/>
      <w:sz w:val="28"/>
    </w:rPr>
  </w:style>
  <w:style w:type="paragraph" w:styleId="BodyTextIndent2">
    <w:name w:val="Body Text Indent 2"/>
    <w:basedOn w:val="Normal"/>
    <w:rsid w:val="00C6139D"/>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52" w:lineRule="auto"/>
      <w:ind w:left="360"/>
    </w:pPr>
    <w:rPr>
      <w:rFonts w:ascii="Arial Narrow" w:hAnsi="Arial Narrow"/>
      <w:sz w:val="22"/>
    </w:rPr>
  </w:style>
  <w:style w:type="paragraph" w:styleId="BodyTextIndent">
    <w:name w:val="Body Text Indent"/>
    <w:basedOn w:val="Normal"/>
    <w:rsid w:val="00C6139D"/>
    <w:pPr>
      <w:tabs>
        <w:tab w:val="left" w:pos="-720"/>
        <w:tab w:val="left" w:pos="0"/>
        <w:tab w:val="left" w:pos="324"/>
        <w:tab w:val="left" w:pos="3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1"/>
    </w:pPr>
    <w:rPr>
      <w:rFonts w:ascii="Arial Narrow" w:hAnsi="Arial Narrow"/>
      <w:sz w:val="22"/>
    </w:rPr>
  </w:style>
  <w:style w:type="paragraph" w:styleId="Header">
    <w:name w:val="header"/>
    <w:basedOn w:val="Normal"/>
    <w:rsid w:val="00C6139D"/>
    <w:pPr>
      <w:tabs>
        <w:tab w:val="center" w:pos="4320"/>
        <w:tab w:val="right" w:pos="8640"/>
      </w:tabs>
    </w:pPr>
  </w:style>
  <w:style w:type="paragraph" w:styleId="Footer">
    <w:name w:val="footer"/>
    <w:basedOn w:val="Normal"/>
    <w:rsid w:val="00C6139D"/>
    <w:pPr>
      <w:tabs>
        <w:tab w:val="center" w:pos="4320"/>
        <w:tab w:val="right" w:pos="8640"/>
      </w:tabs>
    </w:pPr>
  </w:style>
  <w:style w:type="paragraph" w:styleId="BodyText">
    <w:name w:val="Body Text"/>
    <w:basedOn w:val="Normal"/>
    <w:rsid w:val="00C6139D"/>
    <w:pPr>
      <w:tabs>
        <w:tab w:val="left" w:pos="-720"/>
        <w:tab w:val="left" w:pos="0"/>
        <w:tab w:val="left" w:pos="312"/>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Narrow" w:hAnsi="Arial Narrow"/>
      <w:sz w:val="22"/>
    </w:rPr>
  </w:style>
  <w:style w:type="paragraph" w:styleId="BodyText2">
    <w:name w:val="Body Text 2"/>
    <w:basedOn w:val="Normal"/>
    <w:rsid w:val="00C6139D"/>
    <w:pPr>
      <w:tabs>
        <w:tab w:val="left" w:pos="-720"/>
        <w:tab w:val="left" w:pos="0"/>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04"/>
    </w:pPr>
    <w:rPr>
      <w:rFonts w:ascii="Arial Narrow" w:hAnsi="Arial Narrow"/>
      <w:sz w:val="22"/>
    </w:rPr>
  </w:style>
  <w:style w:type="paragraph" w:styleId="BodyText3">
    <w:name w:val="Body Text 3"/>
    <w:basedOn w:val="Normal"/>
    <w:rsid w:val="00C6139D"/>
    <w:pPr>
      <w:tabs>
        <w:tab w:val="left" w:pos="-720"/>
        <w:tab w:val="left" w:pos="0"/>
        <w:tab w:val="left" w:pos="3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Pr>
      <w:rFonts w:ascii="Arial Narrow" w:hAnsi="Arial Narrow"/>
      <w:sz w:val="22"/>
    </w:rPr>
  </w:style>
  <w:style w:type="paragraph" w:styleId="BalloonText">
    <w:name w:val="Balloon Text"/>
    <w:basedOn w:val="Normal"/>
    <w:link w:val="BalloonTextChar"/>
    <w:uiPriority w:val="99"/>
    <w:semiHidden/>
    <w:unhideWhenUsed/>
    <w:rsid w:val="00AA060B"/>
    <w:rPr>
      <w:rFonts w:ascii="Tahoma" w:hAnsi="Tahoma" w:cs="Tahoma"/>
      <w:sz w:val="16"/>
      <w:szCs w:val="16"/>
    </w:rPr>
  </w:style>
  <w:style w:type="character" w:customStyle="1" w:styleId="BalloonTextChar">
    <w:name w:val="Balloon Text Char"/>
    <w:basedOn w:val="DefaultParagraphFont"/>
    <w:link w:val="BalloonText"/>
    <w:uiPriority w:val="99"/>
    <w:semiHidden/>
    <w:rsid w:val="00AA060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Data reported on this form will be held in confidence</vt:lpstr>
    </vt:vector>
  </TitlesOfParts>
  <Company>FRBNY</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reported on this form will be held in confidence</dc:title>
  <dc:creator>FRBNY</dc:creator>
  <cp:lastModifiedBy>SYSTEM</cp:lastModifiedBy>
  <cp:revision>2</cp:revision>
  <cp:lastPrinted>2010-02-19T00:16:00Z</cp:lastPrinted>
  <dcterms:created xsi:type="dcterms:W3CDTF">2017-11-30T01:39:00Z</dcterms:created>
  <dcterms:modified xsi:type="dcterms:W3CDTF">2017-11-30T01:39:00Z</dcterms:modified>
</cp:coreProperties>
</file>