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D507DC4" w14:textId="77777777" w:rsidR="00AF1157" w:rsidRPr="007A5D4B" w:rsidRDefault="00AF1157" w:rsidP="00D73D2D">
      <w:pPr>
        <w:suppressAutoHyphens/>
        <w:jc w:val="center"/>
        <w:rPr>
          <w:rFonts w:ascii="Arial" w:hAnsi="Arial" w:cs="Arial"/>
          <w:b/>
          <w:sz w:val="22"/>
          <w:szCs w:val="22"/>
        </w:rPr>
      </w:pPr>
    </w:p>
    <w:p w14:paraId="33F57EC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7A5D4B" w:rsidRDefault="00AF1157" w:rsidP="00D73D2D">
      <w:pPr>
        <w:suppressAutoHyphens/>
        <w:jc w:val="center"/>
        <w:rPr>
          <w:rFonts w:ascii="Arial" w:hAnsi="Arial" w:cs="Arial"/>
          <w:b/>
          <w:sz w:val="22"/>
          <w:szCs w:val="22"/>
        </w:rPr>
      </w:pPr>
    </w:p>
    <w:p w14:paraId="33FB140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23B6E76" w14:textId="77777777" w:rsidR="00AF1157" w:rsidRPr="007A5D4B" w:rsidRDefault="00AF1157" w:rsidP="00D73D2D">
      <w:pPr>
        <w:suppressAutoHyphens/>
        <w:jc w:val="center"/>
        <w:rPr>
          <w:rFonts w:ascii="Arial" w:hAnsi="Arial" w:cs="Arial"/>
          <w:b/>
          <w:sz w:val="22"/>
          <w:szCs w:val="22"/>
        </w:rPr>
      </w:pPr>
    </w:p>
    <w:p w14:paraId="7D09879F" w14:textId="23D60C5D" w:rsidR="00AF1157" w:rsidRPr="00D71976" w:rsidRDefault="00AF1157" w:rsidP="00D73D2D">
      <w:pPr>
        <w:suppressAutoHyphens/>
        <w:jc w:val="center"/>
        <w:rPr>
          <w:rFonts w:ascii="Arial" w:hAnsi="Arial" w:cs="Arial"/>
          <w:b/>
          <w:sz w:val="22"/>
          <w:szCs w:val="22"/>
        </w:rPr>
      </w:pPr>
      <w:r w:rsidRPr="00D71976">
        <w:rPr>
          <w:rFonts w:ascii="Arial" w:hAnsi="Arial" w:cs="Arial"/>
          <w:b/>
          <w:sz w:val="22"/>
          <w:szCs w:val="22"/>
        </w:rPr>
        <w:t>OMB Control Number 1513</w:t>
      </w:r>
      <w:r w:rsidR="00D73D2D" w:rsidRPr="00D71976">
        <w:rPr>
          <w:rFonts w:ascii="Arial" w:hAnsi="Arial" w:cs="Arial"/>
          <w:b/>
          <w:sz w:val="22"/>
          <w:szCs w:val="22"/>
        </w:rPr>
        <w:t>–</w:t>
      </w:r>
      <w:r w:rsidR="00D71976" w:rsidRPr="00D71976">
        <w:rPr>
          <w:rFonts w:ascii="Arial" w:hAnsi="Arial" w:cs="Arial"/>
          <w:b/>
          <w:sz w:val="22"/>
          <w:szCs w:val="22"/>
        </w:rPr>
        <w:t>0033</w:t>
      </w:r>
      <w:r w:rsidR="00987432" w:rsidRPr="00D71976">
        <w:rPr>
          <w:rFonts w:ascii="Arial" w:hAnsi="Arial" w:cs="Arial"/>
          <w:b/>
          <w:sz w:val="22"/>
          <w:szCs w:val="22"/>
        </w:rPr>
        <w:t xml:space="preserve"> </w:t>
      </w:r>
    </w:p>
    <w:p w14:paraId="71A4C809" w14:textId="77777777" w:rsidR="00AF1157" w:rsidRPr="00D71976" w:rsidRDefault="00AF1157" w:rsidP="00D73D2D">
      <w:pPr>
        <w:suppressAutoHyphens/>
        <w:rPr>
          <w:rFonts w:ascii="Arial" w:hAnsi="Arial" w:cs="Arial"/>
          <w:sz w:val="22"/>
          <w:szCs w:val="22"/>
        </w:rPr>
      </w:pPr>
    </w:p>
    <w:p w14:paraId="599AE30D" w14:textId="77777777" w:rsidR="00D73D2D" w:rsidRPr="00D71976" w:rsidRDefault="00D73D2D" w:rsidP="00D73D2D">
      <w:pPr>
        <w:suppressAutoHyphens/>
        <w:rPr>
          <w:rFonts w:ascii="Arial" w:hAnsi="Arial" w:cs="Arial"/>
          <w:sz w:val="22"/>
          <w:szCs w:val="22"/>
        </w:rPr>
      </w:pPr>
    </w:p>
    <w:p w14:paraId="26054536" w14:textId="77777777" w:rsidR="00E86B1B" w:rsidRPr="00D71976" w:rsidRDefault="00E86B1B" w:rsidP="00D73D2D">
      <w:pPr>
        <w:suppressAutoHyphens/>
        <w:rPr>
          <w:rFonts w:ascii="Arial" w:hAnsi="Arial" w:cs="Arial"/>
          <w:sz w:val="22"/>
          <w:szCs w:val="22"/>
          <w:u w:val="single"/>
        </w:rPr>
      </w:pPr>
      <w:r w:rsidRPr="00D71976">
        <w:rPr>
          <w:rFonts w:ascii="Arial" w:hAnsi="Arial" w:cs="Arial"/>
          <w:sz w:val="22"/>
          <w:szCs w:val="22"/>
          <w:u w:val="single"/>
        </w:rPr>
        <w:t xml:space="preserve">Information Collection Request Title: </w:t>
      </w:r>
    </w:p>
    <w:p w14:paraId="333CFA24" w14:textId="77777777" w:rsidR="00E86B1B" w:rsidRPr="00D71976" w:rsidRDefault="00E86B1B" w:rsidP="00D73D2D">
      <w:pPr>
        <w:suppressAutoHyphens/>
        <w:rPr>
          <w:rFonts w:ascii="Arial" w:hAnsi="Arial" w:cs="Arial"/>
          <w:sz w:val="22"/>
          <w:szCs w:val="22"/>
          <w:u w:val="single"/>
        </w:rPr>
      </w:pPr>
    </w:p>
    <w:p w14:paraId="45550288" w14:textId="0E8FDDDF" w:rsidR="009A6532" w:rsidRPr="00D71976" w:rsidRDefault="00D71976" w:rsidP="009A6532">
      <w:pPr>
        <w:rPr>
          <w:rFonts w:ascii="Arial" w:hAnsi="Arial" w:cs="Arial"/>
          <w:sz w:val="22"/>
          <w:szCs w:val="22"/>
        </w:rPr>
      </w:pPr>
      <w:r w:rsidRPr="00D71976">
        <w:rPr>
          <w:rFonts w:ascii="Arial" w:hAnsi="Arial" w:cs="Arial"/>
          <w:sz w:val="22"/>
          <w:szCs w:val="22"/>
        </w:rPr>
        <w:t xml:space="preserve">Report—Manufacturer of Tobacco Products or Cigarette Papers and Tubes; Report—Manufacturer of Processed Tobacco. </w:t>
      </w:r>
      <w:r w:rsidR="009A6532" w:rsidRPr="00D71976">
        <w:rPr>
          <w:rFonts w:ascii="Arial" w:hAnsi="Arial" w:cs="Arial"/>
          <w:sz w:val="22"/>
          <w:szCs w:val="22"/>
        </w:rPr>
        <w:t xml:space="preserve"> </w:t>
      </w:r>
    </w:p>
    <w:p w14:paraId="694EF1DF" w14:textId="77777777" w:rsidR="00E86B1B" w:rsidRPr="00D71976" w:rsidRDefault="00E86B1B" w:rsidP="009A6532">
      <w:pPr>
        <w:rPr>
          <w:rFonts w:ascii="Arial" w:hAnsi="Arial" w:cs="Arial"/>
          <w:sz w:val="22"/>
          <w:szCs w:val="22"/>
        </w:rPr>
      </w:pPr>
    </w:p>
    <w:p w14:paraId="14A1E962" w14:textId="77777777" w:rsidR="00E86B1B" w:rsidRPr="00D71976" w:rsidRDefault="00E86B1B" w:rsidP="009A6532">
      <w:pPr>
        <w:rPr>
          <w:rFonts w:ascii="Arial" w:hAnsi="Arial" w:cs="Arial"/>
          <w:sz w:val="22"/>
          <w:szCs w:val="22"/>
          <w:u w:val="single"/>
        </w:rPr>
      </w:pPr>
      <w:r w:rsidRPr="00D71976">
        <w:rPr>
          <w:rFonts w:ascii="Arial" w:hAnsi="Arial" w:cs="Arial"/>
          <w:sz w:val="22"/>
          <w:szCs w:val="22"/>
          <w:u w:val="single"/>
        </w:rPr>
        <w:t xml:space="preserve">Information Collections Issued </w:t>
      </w:r>
      <w:r w:rsidR="00250066" w:rsidRPr="00D71976">
        <w:rPr>
          <w:rFonts w:ascii="Arial" w:hAnsi="Arial" w:cs="Arial"/>
          <w:sz w:val="22"/>
          <w:szCs w:val="22"/>
          <w:u w:val="single"/>
        </w:rPr>
        <w:t>u</w:t>
      </w:r>
      <w:r w:rsidRPr="00D71976">
        <w:rPr>
          <w:rFonts w:ascii="Arial" w:hAnsi="Arial" w:cs="Arial"/>
          <w:sz w:val="22"/>
          <w:szCs w:val="22"/>
          <w:u w:val="single"/>
        </w:rPr>
        <w:t xml:space="preserve">nder this Title: </w:t>
      </w:r>
    </w:p>
    <w:p w14:paraId="22830143" w14:textId="77777777" w:rsidR="009A6532" w:rsidRPr="00D71976" w:rsidRDefault="009A6532" w:rsidP="009A6532">
      <w:pPr>
        <w:ind w:firstLine="360"/>
        <w:rPr>
          <w:rFonts w:ascii="Arial" w:hAnsi="Arial" w:cs="Arial"/>
          <w:sz w:val="22"/>
          <w:szCs w:val="22"/>
        </w:rPr>
      </w:pPr>
    </w:p>
    <w:p w14:paraId="16D424B5" w14:textId="7BE13A6A" w:rsidR="00CC2DE7" w:rsidRPr="00D71976" w:rsidRDefault="00D71976" w:rsidP="00D71976">
      <w:pPr>
        <w:numPr>
          <w:ilvl w:val="0"/>
          <w:numId w:val="4"/>
        </w:numPr>
        <w:rPr>
          <w:rFonts w:ascii="Arial" w:hAnsi="Arial" w:cs="Arial"/>
          <w:sz w:val="22"/>
          <w:szCs w:val="22"/>
        </w:rPr>
      </w:pPr>
      <w:r w:rsidRPr="00D71976">
        <w:rPr>
          <w:rFonts w:ascii="Arial" w:hAnsi="Arial" w:cs="Arial"/>
          <w:sz w:val="22"/>
          <w:szCs w:val="22"/>
        </w:rPr>
        <w:t xml:space="preserve">TTB F 5210.5, Report—Manufacturer of Tobacco Products or Cigarette Papers and Tubes. </w:t>
      </w:r>
    </w:p>
    <w:p w14:paraId="63910486" w14:textId="60686B49" w:rsidR="00AF1157" w:rsidRPr="00D71976" w:rsidRDefault="00D71976" w:rsidP="003A4DFA">
      <w:pPr>
        <w:numPr>
          <w:ilvl w:val="0"/>
          <w:numId w:val="4"/>
        </w:numPr>
        <w:tabs>
          <w:tab w:val="left" w:pos="360"/>
        </w:tabs>
        <w:spacing w:before="80"/>
        <w:rPr>
          <w:rFonts w:ascii="Arial" w:hAnsi="Arial" w:cs="Arial"/>
          <w:sz w:val="22"/>
          <w:szCs w:val="22"/>
        </w:rPr>
      </w:pPr>
      <w:r w:rsidRPr="00D71976">
        <w:rPr>
          <w:rFonts w:ascii="Arial" w:hAnsi="Arial" w:cs="Arial"/>
          <w:sz w:val="22"/>
          <w:szCs w:val="22"/>
        </w:rPr>
        <w:t xml:space="preserve">TTB F 5250.1, Report—Manufacturer of Processed Tobacco. </w:t>
      </w:r>
    </w:p>
    <w:p w14:paraId="4D67818A" w14:textId="77777777" w:rsidR="00AF1157" w:rsidRPr="00D71976" w:rsidRDefault="00AF1157" w:rsidP="00D73D2D">
      <w:pPr>
        <w:suppressAutoHyphens/>
        <w:rPr>
          <w:rFonts w:ascii="Arial" w:hAnsi="Arial" w:cs="Arial"/>
          <w:sz w:val="22"/>
          <w:szCs w:val="22"/>
        </w:rPr>
      </w:pPr>
    </w:p>
    <w:p w14:paraId="16E16473" w14:textId="77777777" w:rsidR="00D73D2D" w:rsidRPr="007A5D4B" w:rsidRDefault="00D73D2D" w:rsidP="00D73D2D">
      <w:pPr>
        <w:suppressAutoHyphens/>
        <w:rPr>
          <w:rFonts w:ascii="Arial" w:hAnsi="Arial" w:cs="Arial"/>
          <w:sz w:val="22"/>
          <w:szCs w:val="22"/>
        </w:rPr>
      </w:pPr>
    </w:p>
    <w:p w14:paraId="5FD7570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D9B8B0C" w14:textId="77777777" w:rsidR="00AF1157" w:rsidRPr="00DC3E21" w:rsidRDefault="00D73D2D" w:rsidP="00D73D2D">
      <w:pPr>
        <w:tabs>
          <w:tab w:val="left" w:pos="360"/>
        </w:tabs>
        <w:suppressAutoHyphens/>
        <w:rPr>
          <w:rFonts w:ascii="Arial" w:hAnsi="Arial" w:cs="Arial"/>
          <w:i/>
          <w:sz w:val="22"/>
          <w:szCs w:val="22"/>
        </w:rPr>
      </w:pPr>
      <w:r w:rsidRPr="00DC3E21">
        <w:rPr>
          <w:rFonts w:ascii="Arial" w:hAnsi="Arial" w:cs="Arial"/>
          <w:i/>
          <w:sz w:val="22"/>
          <w:szCs w:val="22"/>
        </w:rPr>
        <w:t xml:space="preserve">1.  </w:t>
      </w:r>
      <w:r w:rsidR="00AF1157" w:rsidRPr="00DC3E21">
        <w:rPr>
          <w:rFonts w:ascii="Arial" w:hAnsi="Arial" w:cs="Arial"/>
          <w:i/>
          <w:sz w:val="22"/>
          <w:szCs w:val="22"/>
        </w:rPr>
        <w:t>What are the circumstances that make this collection of information necessary</w:t>
      </w:r>
      <w:r w:rsidRPr="00DC3E21">
        <w:rPr>
          <w:rFonts w:ascii="Arial" w:hAnsi="Arial" w:cs="Arial"/>
          <w:i/>
          <w:sz w:val="22"/>
          <w:szCs w:val="22"/>
        </w:rPr>
        <w:t>,</w:t>
      </w:r>
      <w:r w:rsidR="00AF1157" w:rsidRPr="00DC3E21">
        <w:rPr>
          <w:rFonts w:ascii="Arial" w:hAnsi="Arial" w:cs="Arial"/>
          <w:i/>
          <w:sz w:val="22"/>
          <w:szCs w:val="22"/>
        </w:rPr>
        <w:t xml:space="preserve"> and what legal or administrative requirements necessitate the collection?</w:t>
      </w:r>
      <w:r w:rsidR="005E4F99" w:rsidRPr="00DC3E21">
        <w:rPr>
          <w:rFonts w:ascii="Arial" w:hAnsi="Arial" w:cs="Arial"/>
          <w:i/>
          <w:sz w:val="22"/>
          <w:szCs w:val="22"/>
        </w:rPr>
        <w:t xml:space="preserve">  Also </w:t>
      </w:r>
      <w:r w:rsidRPr="00DC3E21">
        <w:rPr>
          <w:rFonts w:ascii="Arial" w:hAnsi="Arial" w:cs="Arial"/>
          <w:i/>
          <w:sz w:val="22"/>
          <w:szCs w:val="22"/>
        </w:rPr>
        <w:t xml:space="preserve">align </w:t>
      </w:r>
      <w:r w:rsidR="005E4F99" w:rsidRPr="00DC3E21">
        <w:rPr>
          <w:rFonts w:ascii="Arial" w:hAnsi="Arial" w:cs="Arial"/>
          <w:i/>
          <w:sz w:val="22"/>
          <w:szCs w:val="22"/>
        </w:rPr>
        <w:t xml:space="preserve">the information collection to </w:t>
      </w:r>
      <w:r w:rsidR="00074898" w:rsidRPr="00DC3E21">
        <w:rPr>
          <w:rFonts w:ascii="Arial" w:hAnsi="Arial" w:cs="Arial"/>
          <w:i/>
          <w:sz w:val="22"/>
          <w:szCs w:val="22"/>
        </w:rPr>
        <w:t>TTB</w:t>
      </w:r>
      <w:r w:rsidRPr="00DC3E21">
        <w:rPr>
          <w:rFonts w:ascii="Arial" w:hAnsi="Arial" w:cs="Arial"/>
          <w:i/>
          <w:sz w:val="22"/>
          <w:szCs w:val="22"/>
        </w:rPr>
        <w:t>’s</w:t>
      </w:r>
      <w:r w:rsidR="00074898" w:rsidRPr="00DC3E21">
        <w:rPr>
          <w:rFonts w:ascii="Arial" w:hAnsi="Arial" w:cs="Arial"/>
          <w:i/>
          <w:sz w:val="22"/>
          <w:szCs w:val="22"/>
        </w:rPr>
        <w:t xml:space="preserve"> </w:t>
      </w:r>
      <w:r w:rsidR="005E4F99" w:rsidRPr="00DC3E21">
        <w:rPr>
          <w:rFonts w:ascii="Arial" w:hAnsi="Arial" w:cs="Arial"/>
          <w:i/>
          <w:sz w:val="22"/>
          <w:szCs w:val="22"/>
        </w:rPr>
        <w:t>Line of Business/Sub-function and IT Investment, if one is used.</w:t>
      </w:r>
      <w:r w:rsidRPr="00DC3E21">
        <w:rPr>
          <w:rFonts w:ascii="Arial" w:hAnsi="Arial" w:cs="Arial"/>
          <w:i/>
          <w:sz w:val="22"/>
          <w:szCs w:val="22"/>
        </w:rPr>
        <w:t xml:space="preserve"> </w:t>
      </w:r>
    </w:p>
    <w:p w14:paraId="43320966" w14:textId="77777777" w:rsidR="00AF1157" w:rsidRPr="00DC3E21" w:rsidRDefault="00AF1157" w:rsidP="008B146B">
      <w:pPr>
        <w:ind w:left="360"/>
        <w:rPr>
          <w:rFonts w:ascii="Arial" w:hAnsi="Arial" w:cs="Arial"/>
          <w:sz w:val="22"/>
          <w:szCs w:val="22"/>
        </w:rPr>
      </w:pPr>
    </w:p>
    <w:p w14:paraId="18A89286" w14:textId="77777777" w:rsidR="003A4DFA" w:rsidRPr="00DC3E21" w:rsidRDefault="00B06EE5" w:rsidP="003A4DFA">
      <w:pPr>
        <w:ind w:left="360"/>
        <w:rPr>
          <w:rFonts w:ascii="Arial" w:hAnsi="Arial" w:cs="Arial"/>
          <w:sz w:val="22"/>
          <w:szCs w:val="22"/>
        </w:rPr>
      </w:pPr>
      <w:r w:rsidRPr="00DC3E21">
        <w:rPr>
          <w:rFonts w:ascii="Arial" w:hAnsi="Arial" w:cs="Arial"/>
          <w:sz w:val="22"/>
          <w:szCs w:val="22"/>
        </w:rPr>
        <w:t>The Alcohol and Tobacco Tax and Trade Bureau (TTB) administers</w:t>
      </w:r>
      <w:r w:rsidR="003A4DFA" w:rsidRPr="00DC3E21">
        <w:rPr>
          <w:rFonts w:ascii="Arial" w:hAnsi="Arial" w:cs="Arial"/>
          <w:sz w:val="22"/>
          <w:szCs w:val="22"/>
        </w:rPr>
        <w:t xml:space="preserve"> chapter 51 (distilled spirits, wine</w:t>
      </w:r>
      <w:r w:rsidR="000B6799" w:rsidRPr="00DC3E21">
        <w:rPr>
          <w:rFonts w:ascii="Arial" w:hAnsi="Arial" w:cs="Arial"/>
          <w:sz w:val="22"/>
          <w:szCs w:val="22"/>
        </w:rPr>
        <w:t>,</w:t>
      </w:r>
      <w:r w:rsidR="003A4DFA" w:rsidRPr="00DC3E21">
        <w:rPr>
          <w:rFonts w:ascii="Arial" w:hAnsi="Arial" w:cs="Arial"/>
          <w:sz w:val="22"/>
          <w:szCs w:val="22"/>
        </w:rPr>
        <w:t xml:space="preserve"> and beer), chapter 52 (tobacco products</w:t>
      </w:r>
      <w:r w:rsidR="000B6799" w:rsidRPr="00DC3E21">
        <w:rPr>
          <w:rFonts w:ascii="Arial" w:hAnsi="Arial" w:cs="Arial"/>
          <w:sz w:val="22"/>
          <w:szCs w:val="22"/>
        </w:rPr>
        <w:t>, processed tobacco,</w:t>
      </w:r>
      <w:r w:rsidR="003A4DFA" w:rsidRPr="00DC3E21">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DC3E21">
        <w:rPr>
          <w:rFonts w:ascii="Arial" w:hAnsi="Arial" w:cs="Arial"/>
          <w:sz w:val="22"/>
          <w:szCs w:val="22"/>
        </w:rPr>
        <w:t>y Act of 2002, as codified at 6 </w:t>
      </w:r>
      <w:r w:rsidR="003A4DFA" w:rsidRPr="00DC3E21">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19EF5200" w14:textId="77777777" w:rsidR="00D71976" w:rsidRPr="00DC3E21" w:rsidRDefault="00D71976" w:rsidP="000B6799">
      <w:pPr>
        <w:ind w:left="360"/>
        <w:rPr>
          <w:rFonts w:ascii="Arial" w:hAnsi="Arial" w:cs="Arial"/>
          <w:sz w:val="22"/>
          <w:szCs w:val="22"/>
        </w:rPr>
      </w:pPr>
    </w:p>
    <w:p w14:paraId="6B6F32F8" w14:textId="256D652E" w:rsidR="003120C7" w:rsidRPr="00DC3E21" w:rsidRDefault="003120C7" w:rsidP="000B6799">
      <w:pPr>
        <w:ind w:left="360"/>
        <w:rPr>
          <w:rFonts w:ascii="Arial" w:hAnsi="Arial" w:cs="Arial"/>
          <w:sz w:val="22"/>
          <w:szCs w:val="22"/>
        </w:rPr>
      </w:pPr>
      <w:r w:rsidRPr="00DC3E21">
        <w:rPr>
          <w:rFonts w:ascii="Arial" w:hAnsi="Arial" w:cs="Arial"/>
          <w:sz w:val="22"/>
          <w:szCs w:val="22"/>
        </w:rPr>
        <w:t xml:space="preserve">The IRC at 26 U.S.C. 5722 requires every manufacturer of tobacco products, cigarette papers and tubes, and processed tobacco to make reports containing such information, in such form, at such times, and for such periods as the Secretary of the Treasury shall by regulation prescribe. </w:t>
      </w:r>
    </w:p>
    <w:p w14:paraId="2B112409" w14:textId="77777777" w:rsidR="003120C7" w:rsidRPr="00DC3E21" w:rsidRDefault="003120C7" w:rsidP="000B6799">
      <w:pPr>
        <w:ind w:left="360"/>
        <w:rPr>
          <w:rFonts w:ascii="Arial" w:hAnsi="Arial" w:cs="Arial"/>
          <w:sz w:val="22"/>
          <w:szCs w:val="22"/>
        </w:rPr>
      </w:pPr>
    </w:p>
    <w:p w14:paraId="0D50EC0A" w14:textId="48EFF46C" w:rsidR="0079281F" w:rsidRPr="00DC3E21" w:rsidRDefault="00103F5E" w:rsidP="000B6799">
      <w:pPr>
        <w:ind w:left="360"/>
        <w:rPr>
          <w:rFonts w:ascii="Arial" w:hAnsi="Arial" w:cs="Arial"/>
          <w:sz w:val="22"/>
          <w:szCs w:val="22"/>
        </w:rPr>
      </w:pPr>
      <w:r w:rsidRPr="00DC3E21">
        <w:rPr>
          <w:rFonts w:ascii="Arial" w:hAnsi="Arial" w:cs="Arial"/>
          <w:sz w:val="22"/>
          <w:szCs w:val="22"/>
        </w:rPr>
        <w:t>Under this authority, the TTB tobacco regulations at 27 CFR 40.202</w:t>
      </w:r>
      <w:r w:rsidR="0079281F" w:rsidRPr="00DC3E21">
        <w:rPr>
          <w:rFonts w:ascii="Arial" w:hAnsi="Arial" w:cs="Arial"/>
          <w:sz w:val="22"/>
          <w:szCs w:val="22"/>
        </w:rPr>
        <w:t xml:space="preserve"> and 40.422 require, respectively, manufacturers of tobacco products and manufacturers of cigarette papers and tubes to submit a monthly report to TTB using form TTB F 5210.5 showing all such articles manufactured, received, removed</w:t>
      </w:r>
      <w:r w:rsidR="00CD232E">
        <w:rPr>
          <w:rFonts w:ascii="Arial" w:hAnsi="Arial" w:cs="Arial"/>
          <w:sz w:val="22"/>
          <w:szCs w:val="22"/>
        </w:rPr>
        <w:t xml:space="preserve"> subject to tax</w:t>
      </w:r>
      <w:r w:rsidR="0079281F" w:rsidRPr="00DC3E21">
        <w:rPr>
          <w:rFonts w:ascii="Arial" w:hAnsi="Arial" w:cs="Arial"/>
          <w:sz w:val="22"/>
          <w:szCs w:val="22"/>
        </w:rPr>
        <w:t>,</w:t>
      </w:r>
      <w:r w:rsidR="00CD232E">
        <w:rPr>
          <w:rFonts w:ascii="Arial" w:hAnsi="Arial" w:cs="Arial"/>
          <w:sz w:val="22"/>
          <w:szCs w:val="22"/>
        </w:rPr>
        <w:t xml:space="preserve"> removed without payment of tax,</w:t>
      </w:r>
      <w:r w:rsidR="0079281F" w:rsidRPr="00DC3E21">
        <w:rPr>
          <w:rFonts w:ascii="Arial" w:hAnsi="Arial" w:cs="Arial"/>
          <w:sz w:val="22"/>
          <w:szCs w:val="22"/>
        </w:rPr>
        <w:t xml:space="preserve"> lost or destroyed, and on hand at the beginning and end of the </w:t>
      </w:r>
      <w:r w:rsidR="00DC3E21" w:rsidRPr="00DC3E21">
        <w:rPr>
          <w:rFonts w:ascii="Arial" w:hAnsi="Arial" w:cs="Arial"/>
          <w:sz w:val="22"/>
          <w:szCs w:val="22"/>
        </w:rPr>
        <w:t xml:space="preserve">reported </w:t>
      </w:r>
      <w:r w:rsidR="0079281F" w:rsidRPr="00DC3E21">
        <w:rPr>
          <w:rFonts w:ascii="Arial" w:hAnsi="Arial" w:cs="Arial"/>
          <w:sz w:val="22"/>
          <w:szCs w:val="22"/>
        </w:rPr>
        <w:t xml:space="preserve">month.  In addition, 27 CFR 40.522 requires manufacturers of processed tobacco to submit a monthly report to TTB using form TTB F 5250.1 showing the processed tobacco manufactured, received, removed, </w:t>
      </w:r>
      <w:r w:rsidR="00DC3E21" w:rsidRPr="00DC3E21">
        <w:rPr>
          <w:rFonts w:ascii="Arial" w:hAnsi="Arial" w:cs="Arial"/>
          <w:sz w:val="22"/>
          <w:szCs w:val="22"/>
        </w:rPr>
        <w:t>used, transferred, exported, destroyed</w:t>
      </w:r>
      <w:r w:rsidR="00C83B74">
        <w:rPr>
          <w:rFonts w:ascii="Arial" w:hAnsi="Arial" w:cs="Arial"/>
          <w:sz w:val="22"/>
          <w:szCs w:val="22"/>
        </w:rPr>
        <w:t xml:space="preserve">, </w:t>
      </w:r>
      <w:r w:rsidR="00C83B74" w:rsidRPr="00DC3E21">
        <w:rPr>
          <w:rFonts w:ascii="Arial" w:hAnsi="Arial" w:cs="Arial"/>
          <w:sz w:val="22"/>
          <w:szCs w:val="22"/>
        </w:rPr>
        <w:t>and on hand at the beginning and end of the reported month</w:t>
      </w:r>
      <w:r w:rsidR="00DC3E21" w:rsidRPr="00DC3E21">
        <w:rPr>
          <w:rFonts w:ascii="Arial" w:hAnsi="Arial" w:cs="Arial"/>
          <w:sz w:val="22"/>
          <w:szCs w:val="22"/>
        </w:rPr>
        <w:t>.</w:t>
      </w:r>
      <w:r w:rsidR="00C83B74">
        <w:rPr>
          <w:rFonts w:ascii="Arial" w:hAnsi="Arial" w:cs="Arial"/>
          <w:sz w:val="22"/>
          <w:szCs w:val="22"/>
        </w:rPr>
        <w:t xml:space="preserve"> </w:t>
      </w:r>
    </w:p>
    <w:p w14:paraId="4F99C2FC" w14:textId="77777777" w:rsidR="00DC3E21" w:rsidRPr="00DC3E21" w:rsidRDefault="00DC3E21" w:rsidP="000B6799">
      <w:pPr>
        <w:ind w:left="360"/>
        <w:rPr>
          <w:rFonts w:ascii="Arial" w:hAnsi="Arial" w:cs="Arial"/>
          <w:sz w:val="22"/>
          <w:szCs w:val="22"/>
        </w:rPr>
      </w:pPr>
    </w:p>
    <w:p w14:paraId="0225E200" w14:textId="46779A86" w:rsidR="00103F5E" w:rsidRPr="00DC3E21" w:rsidRDefault="00DC3E21" w:rsidP="000B6799">
      <w:pPr>
        <w:ind w:left="360"/>
        <w:rPr>
          <w:rFonts w:ascii="Arial" w:hAnsi="Arial" w:cs="Arial"/>
          <w:sz w:val="22"/>
          <w:szCs w:val="22"/>
        </w:rPr>
      </w:pPr>
      <w:r w:rsidRPr="00DC3E21">
        <w:rPr>
          <w:rFonts w:ascii="Arial" w:hAnsi="Arial" w:cs="Arial"/>
          <w:sz w:val="22"/>
          <w:szCs w:val="22"/>
        </w:rPr>
        <w:lastRenderedPageBreak/>
        <w:t xml:space="preserve">This information is necessary to protect the revenue.  </w:t>
      </w:r>
      <w:r w:rsidR="00103F5E" w:rsidRPr="00DC3E21">
        <w:rPr>
          <w:rFonts w:ascii="Arial" w:hAnsi="Arial" w:cs="Arial"/>
          <w:sz w:val="22"/>
          <w:szCs w:val="22"/>
        </w:rPr>
        <w:t xml:space="preserve">TTB uses the collected information to </w:t>
      </w:r>
      <w:r w:rsidRPr="00DC3E21">
        <w:rPr>
          <w:rFonts w:ascii="Arial" w:hAnsi="Arial" w:cs="Arial"/>
          <w:sz w:val="22"/>
          <w:szCs w:val="22"/>
        </w:rPr>
        <w:t xml:space="preserve">detect diversion of taxable articles and processed tobacco (which is not taxed) into the illicit market, and to </w:t>
      </w:r>
      <w:r w:rsidR="00103F5E" w:rsidRPr="00DC3E21">
        <w:rPr>
          <w:rFonts w:ascii="Arial" w:hAnsi="Arial" w:cs="Arial"/>
          <w:sz w:val="22"/>
          <w:szCs w:val="22"/>
        </w:rPr>
        <w:t>ensure that Federal excise taxes have been properly paid</w:t>
      </w:r>
      <w:r w:rsidRPr="00DC3E21">
        <w:rPr>
          <w:rFonts w:ascii="Arial" w:hAnsi="Arial" w:cs="Arial"/>
          <w:sz w:val="22"/>
          <w:szCs w:val="22"/>
        </w:rPr>
        <w:t xml:space="preserve"> and </w:t>
      </w:r>
      <w:r w:rsidR="00103F5E" w:rsidRPr="00DC3E21">
        <w:rPr>
          <w:rFonts w:ascii="Arial" w:hAnsi="Arial" w:cs="Arial"/>
          <w:sz w:val="22"/>
          <w:szCs w:val="22"/>
        </w:rPr>
        <w:t>that manufacturers are in compliance with applicable Federal law and regulations.</w:t>
      </w:r>
      <w:r w:rsidRPr="00DC3E21">
        <w:rPr>
          <w:rFonts w:ascii="Arial" w:hAnsi="Arial" w:cs="Arial"/>
          <w:sz w:val="22"/>
          <w:szCs w:val="22"/>
        </w:rPr>
        <w:t xml:space="preserve"> </w:t>
      </w:r>
    </w:p>
    <w:p w14:paraId="3B50D869" w14:textId="77777777" w:rsidR="00B06EE5" w:rsidRPr="00DC3E21" w:rsidRDefault="00B06EE5" w:rsidP="00987432">
      <w:pPr>
        <w:ind w:left="360"/>
        <w:rPr>
          <w:rFonts w:ascii="Arial" w:hAnsi="Arial" w:cs="Arial"/>
          <w:sz w:val="22"/>
          <w:szCs w:val="22"/>
        </w:rPr>
      </w:pPr>
    </w:p>
    <w:p w14:paraId="278AFEB3" w14:textId="77777777" w:rsidR="005E4F99" w:rsidRPr="00DC3E21" w:rsidRDefault="005E4F99" w:rsidP="00987432">
      <w:pPr>
        <w:suppressAutoHyphens/>
        <w:ind w:left="360"/>
        <w:rPr>
          <w:rFonts w:ascii="Arial" w:hAnsi="Arial" w:cs="Arial"/>
          <w:sz w:val="22"/>
          <w:szCs w:val="22"/>
        </w:rPr>
      </w:pPr>
      <w:r w:rsidRPr="00DC3E21">
        <w:rPr>
          <w:rFonts w:ascii="Arial" w:hAnsi="Arial" w:cs="Arial"/>
          <w:sz w:val="22"/>
          <w:szCs w:val="22"/>
        </w:rPr>
        <w:t>Th</w:t>
      </w:r>
      <w:r w:rsidR="00095F53" w:rsidRPr="00DC3E21">
        <w:rPr>
          <w:rFonts w:ascii="Arial" w:hAnsi="Arial" w:cs="Arial"/>
          <w:sz w:val="22"/>
          <w:szCs w:val="22"/>
        </w:rPr>
        <w:t>is</w:t>
      </w:r>
      <w:r w:rsidRPr="00DC3E21">
        <w:rPr>
          <w:rFonts w:ascii="Arial" w:hAnsi="Arial" w:cs="Arial"/>
          <w:sz w:val="22"/>
          <w:szCs w:val="22"/>
        </w:rPr>
        <w:t xml:space="preserve"> information collection is aligned with</w:t>
      </w:r>
      <w:r w:rsidR="00D73D2D" w:rsidRPr="00DC3E21">
        <w:rPr>
          <w:rFonts w:ascii="Arial" w:hAnsi="Arial" w:cs="Arial"/>
          <w:sz w:val="22"/>
          <w:szCs w:val="22"/>
        </w:rPr>
        <w:t xml:space="preserve"> –– </w:t>
      </w:r>
    </w:p>
    <w:p w14:paraId="1A59E89B" w14:textId="18B3DB15" w:rsidR="00ED4A03" w:rsidRPr="00DC3E21" w:rsidRDefault="00ED4A03" w:rsidP="00987432">
      <w:pPr>
        <w:numPr>
          <w:ilvl w:val="0"/>
          <w:numId w:val="1"/>
        </w:numPr>
        <w:suppressAutoHyphens/>
        <w:spacing w:before="80"/>
        <w:ind w:left="1080"/>
        <w:rPr>
          <w:rFonts w:ascii="Arial" w:hAnsi="Arial" w:cs="Arial"/>
          <w:sz w:val="22"/>
          <w:szCs w:val="22"/>
        </w:rPr>
      </w:pPr>
      <w:r w:rsidRPr="00DC3E21">
        <w:rPr>
          <w:rFonts w:ascii="Arial" w:hAnsi="Arial" w:cs="Arial"/>
          <w:sz w:val="22"/>
          <w:szCs w:val="22"/>
        </w:rPr>
        <w:t xml:space="preserve">Line of Business/Sub-function:  </w:t>
      </w:r>
      <w:r w:rsidR="00DC3E21" w:rsidRPr="00DC3E21">
        <w:rPr>
          <w:rFonts w:ascii="Arial" w:hAnsi="Arial" w:cs="Arial"/>
          <w:sz w:val="22"/>
          <w:szCs w:val="22"/>
        </w:rPr>
        <w:t>General Government/Taxation Management.</w:t>
      </w:r>
      <w:r w:rsidRPr="00DC3E21">
        <w:rPr>
          <w:rFonts w:ascii="Arial" w:hAnsi="Arial" w:cs="Arial"/>
          <w:sz w:val="22"/>
          <w:szCs w:val="22"/>
        </w:rPr>
        <w:t xml:space="preserve"> </w:t>
      </w:r>
    </w:p>
    <w:p w14:paraId="063D320B" w14:textId="6304F873" w:rsidR="005E4F99" w:rsidRPr="00DC3E21" w:rsidRDefault="00ED4A03" w:rsidP="00987432">
      <w:pPr>
        <w:numPr>
          <w:ilvl w:val="0"/>
          <w:numId w:val="1"/>
        </w:numPr>
        <w:suppressAutoHyphens/>
        <w:spacing w:before="80"/>
        <w:ind w:left="1080"/>
        <w:rPr>
          <w:rFonts w:ascii="Arial" w:hAnsi="Arial" w:cs="Arial"/>
          <w:sz w:val="22"/>
          <w:szCs w:val="22"/>
        </w:rPr>
      </w:pPr>
      <w:r w:rsidRPr="00DC3E21">
        <w:rPr>
          <w:rFonts w:ascii="Arial" w:hAnsi="Arial" w:cs="Arial"/>
          <w:sz w:val="22"/>
          <w:szCs w:val="22"/>
        </w:rPr>
        <w:t xml:space="preserve">IT Investment:  </w:t>
      </w:r>
      <w:r w:rsidR="00DC3E21" w:rsidRPr="00DC3E21">
        <w:rPr>
          <w:rFonts w:ascii="Arial" w:hAnsi="Arial" w:cs="Arial"/>
          <w:sz w:val="22"/>
          <w:szCs w:val="22"/>
        </w:rPr>
        <w:t xml:space="preserve">Tax Major Application System. </w:t>
      </w:r>
    </w:p>
    <w:p w14:paraId="74B57828" w14:textId="77777777" w:rsidR="005E4F99" w:rsidRPr="00090251" w:rsidRDefault="005E4F99" w:rsidP="00D73D2D">
      <w:pPr>
        <w:suppressAutoHyphens/>
        <w:rPr>
          <w:rFonts w:ascii="Arial" w:hAnsi="Arial" w:cs="Arial"/>
          <w:sz w:val="36"/>
          <w:szCs w:val="36"/>
        </w:rPr>
      </w:pPr>
    </w:p>
    <w:p w14:paraId="70CF7E28"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327A676" w14:textId="77777777" w:rsidR="00AF1157" w:rsidRDefault="00AF1157" w:rsidP="000329F4">
      <w:pPr>
        <w:suppressAutoHyphens/>
        <w:ind w:left="360"/>
        <w:rPr>
          <w:rFonts w:ascii="Arial" w:hAnsi="Arial" w:cs="Arial"/>
          <w:sz w:val="22"/>
          <w:szCs w:val="22"/>
        </w:rPr>
      </w:pPr>
    </w:p>
    <w:p w14:paraId="49422B4C" w14:textId="7A25ABB7" w:rsidR="005309FE" w:rsidRDefault="00DC3E21" w:rsidP="00DC3E21">
      <w:pPr>
        <w:suppressAutoHyphens/>
        <w:ind w:left="360"/>
        <w:rPr>
          <w:rFonts w:ascii="Arial" w:hAnsi="Arial" w:cs="Arial"/>
          <w:sz w:val="22"/>
          <w:szCs w:val="22"/>
        </w:rPr>
      </w:pPr>
      <w:r w:rsidRPr="00DC3E21">
        <w:rPr>
          <w:rFonts w:ascii="Arial" w:hAnsi="Arial" w:cs="Arial"/>
          <w:sz w:val="22"/>
          <w:szCs w:val="22"/>
        </w:rPr>
        <w:t>TTB</w:t>
      </w:r>
      <w:r w:rsidR="005309FE">
        <w:rPr>
          <w:rFonts w:ascii="Arial" w:hAnsi="Arial" w:cs="Arial"/>
          <w:sz w:val="22"/>
          <w:szCs w:val="22"/>
        </w:rPr>
        <w:t xml:space="preserve"> uses the information collected on these monthly tobacco reports </w:t>
      </w:r>
      <w:r w:rsidRPr="00DC3E21">
        <w:rPr>
          <w:rFonts w:ascii="Arial" w:hAnsi="Arial" w:cs="Arial"/>
          <w:sz w:val="22"/>
          <w:szCs w:val="22"/>
        </w:rPr>
        <w:t>to ensure that</w:t>
      </w:r>
      <w:r>
        <w:rPr>
          <w:rFonts w:ascii="Arial" w:hAnsi="Arial" w:cs="Arial"/>
          <w:sz w:val="22"/>
          <w:szCs w:val="22"/>
        </w:rPr>
        <w:t xml:space="preserve"> </w:t>
      </w:r>
      <w:r w:rsidRPr="00DC3E21">
        <w:rPr>
          <w:rFonts w:ascii="Arial" w:hAnsi="Arial" w:cs="Arial"/>
          <w:sz w:val="22"/>
          <w:szCs w:val="22"/>
        </w:rPr>
        <w:t>manufacturers conduct their operations in a manner that protects the revenue and</w:t>
      </w:r>
      <w:r>
        <w:rPr>
          <w:rFonts w:ascii="Arial" w:hAnsi="Arial" w:cs="Arial"/>
          <w:sz w:val="22"/>
          <w:szCs w:val="22"/>
        </w:rPr>
        <w:t xml:space="preserve"> </w:t>
      </w:r>
      <w:r w:rsidRPr="00DC3E21">
        <w:rPr>
          <w:rFonts w:ascii="Arial" w:hAnsi="Arial" w:cs="Arial"/>
          <w:sz w:val="22"/>
          <w:szCs w:val="22"/>
        </w:rPr>
        <w:t xml:space="preserve">is in compliance with </w:t>
      </w:r>
      <w:r>
        <w:rPr>
          <w:rFonts w:ascii="Arial" w:hAnsi="Arial" w:cs="Arial"/>
          <w:sz w:val="22"/>
          <w:szCs w:val="22"/>
        </w:rPr>
        <w:t xml:space="preserve">Federal law and the TTB </w:t>
      </w:r>
      <w:r w:rsidR="005309FE">
        <w:rPr>
          <w:rFonts w:ascii="Arial" w:hAnsi="Arial" w:cs="Arial"/>
          <w:sz w:val="22"/>
          <w:szCs w:val="22"/>
        </w:rPr>
        <w:t xml:space="preserve">regulations. </w:t>
      </w:r>
    </w:p>
    <w:p w14:paraId="02D1D53E" w14:textId="77777777" w:rsidR="005309FE" w:rsidRDefault="005309FE" w:rsidP="00DC3E21">
      <w:pPr>
        <w:suppressAutoHyphens/>
        <w:ind w:left="360"/>
        <w:rPr>
          <w:rFonts w:ascii="Arial" w:hAnsi="Arial" w:cs="Arial"/>
          <w:sz w:val="22"/>
          <w:szCs w:val="22"/>
        </w:rPr>
      </w:pPr>
    </w:p>
    <w:p w14:paraId="50FFC769" w14:textId="04A7235D" w:rsidR="00DC3E21" w:rsidRDefault="005309FE" w:rsidP="00DC3E21">
      <w:pPr>
        <w:suppressAutoHyphens/>
        <w:ind w:left="360"/>
        <w:rPr>
          <w:rFonts w:ascii="Arial" w:hAnsi="Arial" w:cs="Arial"/>
          <w:sz w:val="22"/>
          <w:szCs w:val="22"/>
        </w:rPr>
      </w:pPr>
      <w:r>
        <w:rPr>
          <w:rFonts w:ascii="Arial" w:hAnsi="Arial" w:cs="Arial"/>
          <w:sz w:val="22"/>
          <w:szCs w:val="22"/>
        </w:rPr>
        <w:t xml:space="preserve">TTB compares the information collected on </w:t>
      </w:r>
      <w:r w:rsidR="00DC3E21" w:rsidRPr="00DC3E21">
        <w:rPr>
          <w:rFonts w:ascii="Arial" w:hAnsi="Arial" w:cs="Arial"/>
          <w:sz w:val="22"/>
          <w:szCs w:val="22"/>
        </w:rPr>
        <w:t xml:space="preserve">TTB F 5210.5 with </w:t>
      </w:r>
      <w:r w:rsidR="00DC3E21">
        <w:rPr>
          <w:rFonts w:ascii="Arial" w:hAnsi="Arial" w:cs="Arial"/>
          <w:sz w:val="22"/>
          <w:szCs w:val="22"/>
        </w:rPr>
        <w:t xml:space="preserve">tobacco products and cigarette papers and tubes </w:t>
      </w:r>
      <w:r w:rsidR="00DC3E21" w:rsidRPr="00DC3E21">
        <w:rPr>
          <w:rFonts w:ascii="Arial" w:hAnsi="Arial" w:cs="Arial"/>
          <w:sz w:val="22"/>
          <w:szCs w:val="22"/>
        </w:rPr>
        <w:t xml:space="preserve">manufacturers’ tax returns to ensure proper payment of </w:t>
      </w:r>
      <w:r>
        <w:rPr>
          <w:rFonts w:ascii="Arial" w:hAnsi="Arial" w:cs="Arial"/>
          <w:sz w:val="22"/>
          <w:szCs w:val="22"/>
        </w:rPr>
        <w:t xml:space="preserve">the applicable excise </w:t>
      </w:r>
      <w:r w:rsidR="00DC3E21" w:rsidRPr="00DC3E21">
        <w:rPr>
          <w:rFonts w:ascii="Arial" w:hAnsi="Arial" w:cs="Arial"/>
          <w:sz w:val="22"/>
          <w:szCs w:val="22"/>
        </w:rPr>
        <w:t xml:space="preserve">tax.  TTB </w:t>
      </w:r>
      <w:r>
        <w:rPr>
          <w:rFonts w:ascii="Arial" w:hAnsi="Arial" w:cs="Arial"/>
          <w:sz w:val="22"/>
          <w:szCs w:val="22"/>
        </w:rPr>
        <w:t xml:space="preserve">also </w:t>
      </w:r>
      <w:r w:rsidR="00DC3E21" w:rsidRPr="00DC3E21">
        <w:rPr>
          <w:rFonts w:ascii="Arial" w:hAnsi="Arial" w:cs="Arial"/>
          <w:sz w:val="22"/>
          <w:szCs w:val="22"/>
        </w:rPr>
        <w:t xml:space="preserve">examines and verifies entries so that unusual activities, errors, and omissions may be identified.  For example, TTB personnel </w:t>
      </w:r>
      <w:r w:rsidR="00DC3E21">
        <w:rPr>
          <w:rFonts w:ascii="Arial" w:hAnsi="Arial" w:cs="Arial"/>
          <w:sz w:val="22"/>
          <w:szCs w:val="22"/>
        </w:rPr>
        <w:t xml:space="preserve">may </w:t>
      </w:r>
      <w:r w:rsidR="007D0191">
        <w:rPr>
          <w:rFonts w:ascii="Arial" w:hAnsi="Arial" w:cs="Arial"/>
          <w:sz w:val="22"/>
          <w:szCs w:val="22"/>
        </w:rPr>
        <w:t xml:space="preserve">compare </w:t>
      </w:r>
      <w:r>
        <w:rPr>
          <w:rFonts w:ascii="Arial" w:hAnsi="Arial" w:cs="Arial"/>
          <w:sz w:val="22"/>
          <w:szCs w:val="22"/>
        </w:rPr>
        <w:t xml:space="preserve">a </w:t>
      </w:r>
      <w:r w:rsidR="001B19E1">
        <w:rPr>
          <w:rFonts w:ascii="Arial" w:hAnsi="Arial" w:cs="Arial"/>
          <w:sz w:val="22"/>
          <w:szCs w:val="22"/>
        </w:rPr>
        <w:t xml:space="preserve">monthly </w:t>
      </w:r>
      <w:r>
        <w:rPr>
          <w:rFonts w:ascii="Arial" w:hAnsi="Arial" w:cs="Arial"/>
          <w:sz w:val="22"/>
          <w:szCs w:val="22"/>
        </w:rPr>
        <w:t>report</w:t>
      </w:r>
      <w:r w:rsidR="007D0191">
        <w:rPr>
          <w:rFonts w:ascii="Arial" w:hAnsi="Arial" w:cs="Arial"/>
          <w:sz w:val="22"/>
          <w:szCs w:val="22"/>
        </w:rPr>
        <w:t xml:space="preserve"> to</w:t>
      </w:r>
      <w:r>
        <w:rPr>
          <w:rFonts w:ascii="Arial" w:hAnsi="Arial" w:cs="Arial"/>
          <w:sz w:val="22"/>
          <w:szCs w:val="22"/>
        </w:rPr>
        <w:t xml:space="preserve"> </w:t>
      </w:r>
      <w:r w:rsidR="001B19E1">
        <w:rPr>
          <w:rFonts w:ascii="Arial" w:hAnsi="Arial" w:cs="Arial"/>
          <w:sz w:val="22"/>
          <w:szCs w:val="22"/>
        </w:rPr>
        <w:t xml:space="preserve">a manufacturer’s </w:t>
      </w:r>
      <w:r w:rsidR="00DC3E21" w:rsidRPr="00DC3E21">
        <w:rPr>
          <w:rFonts w:ascii="Arial" w:hAnsi="Arial" w:cs="Arial"/>
          <w:sz w:val="22"/>
          <w:szCs w:val="22"/>
        </w:rPr>
        <w:t xml:space="preserve">on-hand inventory </w:t>
      </w:r>
      <w:r w:rsidR="007D0191">
        <w:rPr>
          <w:rFonts w:ascii="Arial" w:hAnsi="Arial" w:cs="Arial"/>
          <w:sz w:val="22"/>
          <w:szCs w:val="22"/>
        </w:rPr>
        <w:t>records to verify the reported information</w:t>
      </w:r>
      <w:r>
        <w:rPr>
          <w:rFonts w:ascii="Arial" w:hAnsi="Arial" w:cs="Arial"/>
          <w:sz w:val="22"/>
          <w:szCs w:val="22"/>
        </w:rPr>
        <w:t xml:space="preserve">, </w:t>
      </w:r>
      <w:r w:rsidR="007D0191">
        <w:rPr>
          <w:rFonts w:ascii="Arial" w:hAnsi="Arial" w:cs="Arial"/>
          <w:sz w:val="22"/>
          <w:szCs w:val="22"/>
        </w:rPr>
        <w:t>including</w:t>
      </w:r>
      <w:r w:rsidR="00DC3E21" w:rsidRPr="00DC3E21">
        <w:rPr>
          <w:rFonts w:ascii="Arial" w:hAnsi="Arial" w:cs="Arial"/>
          <w:sz w:val="22"/>
          <w:szCs w:val="22"/>
        </w:rPr>
        <w:t xml:space="preserve"> the accuracy of additions and computations, </w:t>
      </w:r>
      <w:r>
        <w:rPr>
          <w:rFonts w:ascii="Arial" w:hAnsi="Arial" w:cs="Arial"/>
          <w:sz w:val="22"/>
          <w:szCs w:val="22"/>
        </w:rPr>
        <w:t xml:space="preserve">and may verify </w:t>
      </w:r>
      <w:r w:rsidR="00DC3E21" w:rsidRPr="00DC3E21">
        <w:rPr>
          <w:rFonts w:ascii="Arial" w:hAnsi="Arial" w:cs="Arial"/>
          <w:sz w:val="22"/>
          <w:szCs w:val="22"/>
        </w:rPr>
        <w:t>that the bond required of al</w:t>
      </w:r>
      <w:r>
        <w:rPr>
          <w:rFonts w:ascii="Arial" w:hAnsi="Arial" w:cs="Arial"/>
          <w:sz w:val="22"/>
          <w:szCs w:val="22"/>
        </w:rPr>
        <w:t xml:space="preserve">l such manufacturers is sufficient. </w:t>
      </w:r>
    </w:p>
    <w:p w14:paraId="1B73A995" w14:textId="77777777" w:rsidR="00DC3E21" w:rsidRDefault="00DC3E21" w:rsidP="00DC3E21">
      <w:pPr>
        <w:suppressAutoHyphens/>
        <w:ind w:left="360"/>
        <w:rPr>
          <w:rFonts w:ascii="Arial" w:hAnsi="Arial" w:cs="Arial"/>
          <w:sz w:val="22"/>
          <w:szCs w:val="22"/>
        </w:rPr>
      </w:pPr>
    </w:p>
    <w:p w14:paraId="50BC4B5D" w14:textId="72B8B83D" w:rsidR="00DC3E21" w:rsidRDefault="00DC3E21" w:rsidP="00DC3E21">
      <w:pPr>
        <w:suppressAutoHyphens/>
        <w:ind w:left="360"/>
        <w:rPr>
          <w:rFonts w:ascii="Arial" w:hAnsi="Arial" w:cs="Arial"/>
          <w:sz w:val="22"/>
          <w:szCs w:val="22"/>
        </w:rPr>
      </w:pPr>
      <w:r>
        <w:rPr>
          <w:rFonts w:ascii="Arial" w:hAnsi="Arial" w:cs="Arial"/>
          <w:sz w:val="22"/>
          <w:szCs w:val="22"/>
        </w:rPr>
        <w:t>Because processed tobacco is not taxed, TTB us</w:t>
      </w:r>
      <w:r w:rsidR="005309FE">
        <w:rPr>
          <w:rFonts w:ascii="Arial" w:hAnsi="Arial" w:cs="Arial"/>
          <w:sz w:val="22"/>
          <w:szCs w:val="22"/>
        </w:rPr>
        <w:t>es</w:t>
      </w:r>
      <w:r>
        <w:rPr>
          <w:rFonts w:ascii="Arial" w:hAnsi="Arial" w:cs="Arial"/>
          <w:sz w:val="22"/>
          <w:szCs w:val="22"/>
        </w:rPr>
        <w:t xml:space="preserve"> the information collected from processed tobacco manufacturers on </w:t>
      </w:r>
      <w:r w:rsidRPr="00DC3E21">
        <w:rPr>
          <w:rFonts w:ascii="Arial" w:hAnsi="Arial" w:cs="Arial"/>
          <w:sz w:val="22"/>
          <w:szCs w:val="22"/>
        </w:rPr>
        <w:t xml:space="preserve">TTB F 5250.1 to prevent </w:t>
      </w:r>
      <w:r w:rsidR="005309FE">
        <w:rPr>
          <w:rFonts w:ascii="Arial" w:hAnsi="Arial" w:cs="Arial"/>
          <w:sz w:val="22"/>
          <w:szCs w:val="22"/>
        </w:rPr>
        <w:t xml:space="preserve">and detect </w:t>
      </w:r>
      <w:r w:rsidRPr="00DC3E21">
        <w:rPr>
          <w:rFonts w:ascii="Arial" w:hAnsi="Arial" w:cs="Arial"/>
          <w:sz w:val="22"/>
          <w:szCs w:val="22"/>
        </w:rPr>
        <w:t xml:space="preserve">the diversion of materials used for making </w:t>
      </w:r>
      <w:r w:rsidR="005309FE">
        <w:rPr>
          <w:rFonts w:ascii="Arial" w:hAnsi="Arial" w:cs="Arial"/>
          <w:sz w:val="22"/>
          <w:szCs w:val="22"/>
        </w:rPr>
        <w:t xml:space="preserve">taxable </w:t>
      </w:r>
      <w:r w:rsidRPr="00DC3E21">
        <w:rPr>
          <w:rFonts w:ascii="Arial" w:hAnsi="Arial" w:cs="Arial"/>
          <w:sz w:val="22"/>
          <w:szCs w:val="22"/>
        </w:rPr>
        <w:t>tobacco products to illegal manufacturers.</w:t>
      </w:r>
      <w:r w:rsidR="005309FE">
        <w:rPr>
          <w:rFonts w:ascii="Arial" w:hAnsi="Arial" w:cs="Arial"/>
          <w:sz w:val="22"/>
          <w:szCs w:val="22"/>
        </w:rPr>
        <w:t xml:space="preserve"> </w:t>
      </w:r>
    </w:p>
    <w:p w14:paraId="79749486" w14:textId="77777777" w:rsidR="00AF1157" w:rsidRPr="00090251" w:rsidRDefault="00AF1157" w:rsidP="00D73D2D">
      <w:pPr>
        <w:ind w:left="576" w:hanging="576"/>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D73D2D">
      <w:pPr>
        <w:suppressAutoHyphens/>
        <w:rPr>
          <w:rFonts w:ascii="Arial" w:hAnsi="Arial" w:cs="Arial"/>
          <w:sz w:val="22"/>
          <w:szCs w:val="22"/>
        </w:rPr>
      </w:pPr>
    </w:p>
    <w:p w14:paraId="1A20E085" w14:textId="77777777" w:rsidR="00F10C50" w:rsidRPr="005309FE" w:rsidRDefault="00F10C50" w:rsidP="00AA3F8F">
      <w:pPr>
        <w:tabs>
          <w:tab w:val="left" w:pos="8496"/>
        </w:tabs>
        <w:suppressAutoHyphens/>
        <w:spacing w:line="240" w:lineRule="atLeast"/>
        <w:ind w:left="360"/>
        <w:rPr>
          <w:rFonts w:ascii="Arial" w:hAnsi="Arial" w:cs="Arial"/>
          <w:sz w:val="22"/>
          <w:szCs w:val="22"/>
        </w:rPr>
      </w:pPr>
      <w:r w:rsidRPr="005309FE">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14:paraId="7A51FF8B" w14:textId="77777777" w:rsidR="00F10C50" w:rsidRPr="005309FE" w:rsidRDefault="00F10C50" w:rsidP="00AA3F8F">
      <w:pPr>
        <w:tabs>
          <w:tab w:val="left" w:pos="8496"/>
        </w:tabs>
        <w:suppressAutoHyphens/>
        <w:spacing w:line="240" w:lineRule="atLeast"/>
        <w:ind w:left="360"/>
        <w:rPr>
          <w:rFonts w:ascii="Arial" w:hAnsi="Arial" w:cs="Arial"/>
          <w:sz w:val="22"/>
          <w:szCs w:val="22"/>
        </w:rPr>
      </w:pPr>
    </w:p>
    <w:p w14:paraId="338103DB" w14:textId="3BF2DE14" w:rsidR="005309FE" w:rsidRPr="005309FE" w:rsidRDefault="005309FE" w:rsidP="00AA3F8F">
      <w:pPr>
        <w:tabs>
          <w:tab w:val="left" w:pos="8496"/>
        </w:tabs>
        <w:suppressAutoHyphens/>
        <w:spacing w:line="240" w:lineRule="atLeast"/>
        <w:ind w:left="360"/>
        <w:rPr>
          <w:rFonts w:ascii="Arial" w:hAnsi="Arial" w:cs="Arial"/>
          <w:sz w:val="22"/>
          <w:szCs w:val="22"/>
        </w:rPr>
      </w:pPr>
      <w:r w:rsidRPr="005309FE">
        <w:rPr>
          <w:rFonts w:ascii="Arial" w:hAnsi="Arial" w:cs="Arial"/>
          <w:sz w:val="22"/>
          <w:szCs w:val="22"/>
        </w:rPr>
        <w:t xml:space="preserve">Currently, TTB provides an electronic means for submitting monthly reports filed on TTB F 5210.5 and TTB F 5250.1 through the Pay.gov website (see </w:t>
      </w:r>
      <w:hyperlink r:id="rId8" w:history="1">
        <w:r w:rsidRPr="005309FE">
          <w:rPr>
            <w:rStyle w:val="Hyperlink"/>
            <w:rFonts w:ascii="Arial" w:hAnsi="Arial" w:cs="Arial"/>
            <w:sz w:val="22"/>
            <w:szCs w:val="22"/>
          </w:rPr>
          <w:t>https://www.pay.gov/public/home</w:t>
        </w:r>
      </w:hyperlink>
      <w:r w:rsidRPr="005309FE">
        <w:rPr>
          <w:rFonts w:ascii="Arial" w:hAnsi="Arial" w:cs="Arial"/>
          <w:sz w:val="22"/>
          <w:szCs w:val="22"/>
        </w:rPr>
        <w:t xml:space="preserve">). </w:t>
      </w:r>
    </w:p>
    <w:p w14:paraId="4CBF6B8A" w14:textId="77777777" w:rsidR="00AF1157" w:rsidRPr="00090251" w:rsidRDefault="00AF1157" w:rsidP="00D73D2D">
      <w:pPr>
        <w:suppressAutoHyphens/>
        <w:rPr>
          <w:rFonts w:ascii="Arial" w:hAnsi="Arial" w:cs="Arial"/>
          <w:sz w:val="36"/>
          <w:szCs w:val="36"/>
        </w:rPr>
      </w:pPr>
    </w:p>
    <w:p w14:paraId="668D767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D73D2D">
      <w:pPr>
        <w:suppressAutoHyphens/>
        <w:ind w:left="480" w:hanging="480"/>
        <w:rPr>
          <w:rFonts w:ascii="Arial" w:hAnsi="Arial" w:cs="Arial"/>
          <w:sz w:val="22"/>
          <w:szCs w:val="22"/>
        </w:rPr>
      </w:pPr>
    </w:p>
    <w:p w14:paraId="1B96DABF" w14:textId="1B046CB2" w:rsidR="00D414AB" w:rsidRDefault="005309FE" w:rsidP="00D50640">
      <w:pPr>
        <w:ind w:left="360"/>
        <w:rPr>
          <w:rFonts w:ascii="Arial" w:hAnsi="Arial" w:cs="Arial"/>
          <w:sz w:val="22"/>
          <w:szCs w:val="22"/>
          <w:highlight w:val="yellow"/>
        </w:rPr>
      </w:pPr>
      <w:r w:rsidRPr="005309FE">
        <w:rPr>
          <w:rFonts w:ascii="Arial" w:hAnsi="Arial" w:cs="Arial"/>
          <w:sz w:val="22"/>
          <w:szCs w:val="22"/>
        </w:rPr>
        <w:t xml:space="preserve">TTB F 5210.5 and TTB F 5250.1 collect information that is pertinent to each respondent and applicable to their specific </w:t>
      </w:r>
      <w:r w:rsidR="0049375D">
        <w:rPr>
          <w:rFonts w:ascii="Arial" w:hAnsi="Arial" w:cs="Arial"/>
          <w:sz w:val="22"/>
          <w:szCs w:val="22"/>
        </w:rPr>
        <w:t xml:space="preserve">monthly </w:t>
      </w:r>
      <w:r w:rsidRPr="005309FE">
        <w:rPr>
          <w:rFonts w:ascii="Arial" w:hAnsi="Arial" w:cs="Arial"/>
          <w:sz w:val="22"/>
          <w:szCs w:val="22"/>
        </w:rPr>
        <w:t xml:space="preserve">operations.  As far as </w:t>
      </w:r>
      <w:r>
        <w:rPr>
          <w:rFonts w:ascii="Arial" w:hAnsi="Arial" w:cs="Arial"/>
          <w:sz w:val="22"/>
          <w:szCs w:val="22"/>
        </w:rPr>
        <w:t xml:space="preserve">TTB </w:t>
      </w:r>
      <w:r w:rsidRPr="005309FE">
        <w:rPr>
          <w:rFonts w:ascii="Arial" w:hAnsi="Arial" w:cs="Arial"/>
          <w:sz w:val="22"/>
          <w:szCs w:val="22"/>
        </w:rPr>
        <w:t>can determine, similar information is not available elsewhere.</w:t>
      </w:r>
      <w:r>
        <w:rPr>
          <w:rFonts w:ascii="Arial" w:hAnsi="Arial" w:cs="Arial"/>
          <w:sz w:val="22"/>
          <w:szCs w:val="22"/>
        </w:rPr>
        <w:t xml:space="preserve"> </w:t>
      </w:r>
    </w:p>
    <w:p w14:paraId="66D13F28" w14:textId="77777777" w:rsidR="007A5D4B" w:rsidRPr="00090251" w:rsidRDefault="007A5D4B" w:rsidP="007A5D4B">
      <w:pPr>
        <w:suppressAutoHyphens/>
        <w:rPr>
          <w:rFonts w:ascii="Arial" w:hAnsi="Arial" w:cs="Arial"/>
          <w:sz w:val="36"/>
          <w:szCs w:val="36"/>
        </w:rPr>
      </w:pPr>
    </w:p>
    <w:p w14:paraId="0470C68A" w14:textId="6FA27109" w:rsidR="00AF1157" w:rsidRPr="007A5D4B" w:rsidRDefault="005309FE" w:rsidP="00D73D2D">
      <w:pPr>
        <w:suppressAutoHyphens/>
        <w:rPr>
          <w:rFonts w:ascii="Arial" w:hAnsi="Arial" w:cs="Arial"/>
          <w:i/>
          <w:sz w:val="22"/>
          <w:szCs w:val="22"/>
        </w:rPr>
      </w:pPr>
      <w:r>
        <w:rPr>
          <w:rFonts w:ascii="Arial" w:hAnsi="Arial" w:cs="Arial"/>
          <w:i/>
          <w:sz w:val="22"/>
          <w:szCs w:val="22"/>
        </w:rPr>
        <w:br w:type="page"/>
      </w:r>
      <w:r w:rsidR="007A5D4B" w:rsidRPr="007A5D4B">
        <w:rPr>
          <w:rFonts w:ascii="Arial" w:hAnsi="Arial" w:cs="Arial"/>
          <w:i/>
          <w:sz w:val="22"/>
          <w:szCs w:val="22"/>
        </w:rPr>
        <w:lastRenderedPageBreak/>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007A5D4B"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5602F38B" w14:textId="56FB5294" w:rsidR="00D66EF8" w:rsidRDefault="00D66EF8" w:rsidP="00D66EF8">
      <w:pPr>
        <w:ind w:left="360"/>
        <w:rPr>
          <w:rFonts w:ascii="Arial" w:hAnsi="Arial" w:cs="Arial"/>
          <w:sz w:val="22"/>
          <w:szCs w:val="22"/>
        </w:rPr>
      </w:pPr>
      <w:r>
        <w:rPr>
          <w:rFonts w:ascii="Arial" w:hAnsi="Arial" w:cs="Arial"/>
          <w:sz w:val="22"/>
          <w:szCs w:val="22"/>
        </w:rPr>
        <w:t>Under the authority of the IRC at 26 U.S.C. 5722 and the TTB tobacco regulations, a</w:t>
      </w:r>
      <w:r w:rsidRPr="00D66EF8">
        <w:rPr>
          <w:rFonts w:ascii="Arial" w:hAnsi="Arial" w:cs="Arial"/>
          <w:sz w:val="22"/>
          <w:szCs w:val="22"/>
        </w:rPr>
        <w:t xml:space="preserve">ll </w:t>
      </w:r>
      <w:r w:rsidR="007C4A31">
        <w:rPr>
          <w:rFonts w:ascii="Arial" w:hAnsi="Arial" w:cs="Arial"/>
          <w:sz w:val="22"/>
          <w:szCs w:val="22"/>
        </w:rPr>
        <w:t xml:space="preserve">entities, </w:t>
      </w:r>
      <w:r w:rsidRPr="00D66EF8">
        <w:rPr>
          <w:rFonts w:ascii="Arial" w:hAnsi="Arial" w:cs="Arial"/>
          <w:sz w:val="22"/>
          <w:szCs w:val="22"/>
        </w:rPr>
        <w:t xml:space="preserve">regardless of size, </w:t>
      </w:r>
      <w:r>
        <w:rPr>
          <w:rFonts w:ascii="Arial" w:hAnsi="Arial" w:cs="Arial"/>
          <w:sz w:val="22"/>
          <w:szCs w:val="22"/>
        </w:rPr>
        <w:t xml:space="preserve">are required to </w:t>
      </w:r>
      <w:r w:rsidRPr="00D66EF8">
        <w:rPr>
          <w:rFonts w:ascii="Arial" w:hAnsi="Arial" w:cs="Arial"/>
          <w:sz w:val="22"/>
          <w:szCs w:val="22"/>
        </w:rPr>
        <w:t>complete th</w:t>
      </w:r>
      <w:r>
        <w:rPr>
          <w:rFonts w:ascii="Arial" w:hAnsi="Arial" w:cs="Arial"/>
          <w:sz w:val="22"/>
          <w:szCs w:val="22"/>
        </w:rPr>
        <w:t xml:space="preserve">e appropriate monthly report on TTB F 5210.5 or TTB F 5250.1.  </w:t>
      </w:r>
      <w:r w:rsidR="0004708F" w:rsidRPr="00853E85">
        <w:rPr>
          <w:rFonts w:ascii="Arial" w:hAnsi="Arial" w:cs="Arial"/>
          <w:sz w:val="22"/>
          <w:szCs w:val="22"/>
        </w:rPr>
        <w:t>Waiver or reduction of this requirement, simply because the respondent's business is small, could</w:t>
      </w:r>
      <w:r>
        <w:rPr>
          <w:rFonts w:ascii="Arial" w:hAnsi="Arial" w:cs="Arial"/>
          <w:sz w:val="22"/>
          <w:szCs w:val="22"/>
        </w:rPr>
        <w:t xml:space="preserve"> jeopardize the revenue and cause diversion to go undetected.  </w:t>
      </w:r>
      <w:r w:rsidR="007C4A31">
        <w:rPr>
          <w:rFonts w:ascii="Arial" w:hAnsi="Arial" w:cs="Arial"/>
          <w:sz w:val="22"/>
          <w:szCs w:val="22"/>
        </w:rPr>
        <w:t xml:space="preserve">In addition, TTB believes that these monthly report forms collect the </w:t>
      </w:r>
      <w:r w:rsidRPr="00D66EF8">
        <w:rPr>
          <w:rFonts w:ascii="Arial" w:hAnsi="Arial" w:cs="Arial"/>
          <w:sz w:val="22"/>
          <w:szCs w:val="22"/>
        </w:rPr>
        <w:t>minimum information necessary</w:t>
      </w:r>
      <w:r w:rsidR="007C4A31">
        <w:rPr>
          <w:rFonts w:ascii="Arial" w:hAnsi="Arial" w:cs="Arial"/>
          <w:sz w:val="22"/>
          <w:szCs w:val="22"/>
        </w:rPr>
        <w:t xml:space="preserve"> and do not have a significant impact on a substantial number of small businesses or other entities. </w:t>
      </w:r>
    </w:p>
    <w:p w14:paraId="3CF6F4CC" w14:textId="77777777" w:rsidR="007A5D4B" w:rsidRPr="00090251" w:rsidRDefault="007A5D4B" w:rsidP="007A5D4B">
      <w:pPr>
        <w:suppressAutoHyphens/>
        <w:rPr>
          <w:rFonts w:ascii="Arial" w:hAnsi="Arial" w:cs="Arial"/>
          <w:sz w:val="36"/>
          <w:szCs w:val="36"/>
        </w:rPr>
      </w:pPr>
    </w:p>
    <w:p w14:paraId="6919FC0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7A5D4B" w:rsidRDefault="00AF1157" w:rsidP="00D73D2D">
      <w:pPr>
        <w:suppressAutoHyphens/>
        <w:ind w:left="480" w:hanging="480"/>
        <w:rPr>
          <w:rFonts w:ascii="Arial" w:hAnsi="Arial" w:cs="Arial"/>
          <w:sz w:val="22"/>
          <w:szCs w:val="22"/>
        </w:rPr>
      </w:pPr>
    </w:p>
    <w:p w14:paraId="6C555C03" w14:textId="239CA79E" w:rsidR="007C4A31" w:rsidRDefault="007C4A31" w:rsidP="00CA07BF">
      <w:pPr>
        <w:ind w:left="360"/>
        <w:rPr>
          <w:rFonts w:ascii="Arial" w:hAnsi="Arial" w:cs="Arial"/>
          <w:sz w:val="22"/>
          <w:szCs w:val="22"/>
        </w:rPr>
      </w:pPr>
      <w:r w:rsidRPr="007C4A31">
        <w:rPr>
          <w:rFonts w:ascii="Arial" w:hAnsi="Arial" w:cs="Arial"/>
          <w:sz w:val="22"/>
          <w:szCs w:val="22"/>
        </w:rPr>
        <w:t>If TTB were not able to collect th</w:t>
      </w:r>
      <w:r>
        <w:rPr>
          <w:rFonts w:ascii="Arial" w:hAnsi="Arial" w:cs="Arial"/>
          <w:sz w:val="22"/>
          <w:szCs w:val="22"/>
        </w:rPr>
        <w:t xml:space="preserve">e tobacco-related </w:t>
      </w:r>
      <w:r w:rsidRPr="007C4A31">
        <w:rPr>
          <w:rFonts w:ascii="Arial" w:hAnsi="Arial" w:cs="Arial"/>
          <w:sz w:val="22"/>
          <w:szCs w:val="22"/>
        </w:rPr>
        <w:t>information</w:t>
      </w:r>
      <w:r>
        <w:rPr>
          <w:rFonts w:ascii="Arial" w:hAnsi="Arial" w:cs="Arial"/>
          <w:sz w:val="22"/>
          <w:szCs w:val="22"/>
        </w:rPr>
        <w:t xml:space="preserve"> required on TTB F 5210.5 and TTB F 5250.1, or if the information were collected less frequently, the Bureau would not be able to </w:t>
      </w:r>
      <w:r w:rsidRPr="007C4A31">
        <w:rPr>
          <w:rFonts w:ascii="Arial" w:hAnsi="Arial" w:cs="Arial"/>
          <w:sz w:val="22"/>
          <w:szCs w:val="22"/>
        </w:rPr>
        <w:t>fulfill its obligation to protect the revenue</w:t>
      </w:r>
      <w:r>
        <w:rPr>
          <w:rFonts w:ascii="Arial" w:hAnsi="Arial" w:cs="Arial"/>
          <w:sz w:val="22"/>
          <w:szCs w:val="22"/>
        </w:rPr>
        <w:t xml:space="preserve">, </w:t>
      </w:r>
      <w:r w:rsidRPr="007C4A31">
        <w:rPr>
          <w:rFonts w:ascii="Arial" w:hAnsi="Arial" w:cs="Arial"/>
          <w:sz w:val="22"/>
          <w:szCs w:val="22"/>
        </w:rPr>
        <w:t>ensure compliance with Federal law</w:t>
      </w:r>
      <w:r>
        <w:rPr>
          <w:rFonts w:ascii="Arial" w:hAnsi="Arial" w:cs="Arial"/>
          <w:sz w:val="22"/>
          <w:szCs w:val="22"/>
        </w:rPr>
        <w:t>s</w:t>
      </w:r>
      <w:r w:rsidRPr="007C4A31">
        <w:rPr>
          <w:rFonts w:ascii="Arial" w:hAnsi="Arial" w:cs="Arial"/>
          <w:sz w:val="22"/>
          <w:szCs w:val="22"/>
        </w:rPr>
        <w:t xml:space="preserve"> and regulations</w:t>
      </w:r>
      <w:r>
        <w:rPr>
          <w:rFonts w:ascii="Arial" w:hAnsi="Arial" w:cs="Arial"/>
          <w:sz w:val="22"/>
          <w:szCs w:val="22"/>
        </w:rPr>
        <w:t xml:space="preserve">, and prevent and </w:t>
      </w:r>
      <w:r w:rsidRPr="007C4A31">
        <w:rPr>
          <w:rFonts w:ascii="Arial" w:hAnsi="Arial" w:cs="Arial"/>
          <w:sz w:val="22"/>
          <w:szCs w:val="22"/>
        </w:rPr>
        <w:t>detect diversion</w:t>
      </w:r>
      <w:r>
        <w:rPr>
          <w:rFonts w:ascii="Arial" w:hAnsi="Arial" w:cs="Arial"/>
          <w:sz w:val="22"/>
          <w:szCs w:val="22"/>
        </w:rPr>
        <w:t xml:space="preserve">. </w:t>
      </w:r>
    </w:p>
    <w:p w14:paraId="5C230D69" w14:textId="77777777" w:rsidR="007A5D4B" w:rsidRPr="00090251" w:rsidRDefault="007A5D4B" w:rsidP="007A5D4B">
      <w:pPr>
        <w:suppressAutoHyphens/>
        <w:rPr>
          <w:rFonts w:ascii="Arial" w:hAnsi="Arial" w:cs="Arial"/>
          <w:sz w:val="36"/>
          <w:szCs w:val="36"/>
        </w:rPr>
      </w:pPr>
    </w:p>
    <w:p w14:paraId="47C650EE"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1E1BA7DC" w14:textId="77777777" w:rsidR="00101DE7" w:rsidRPr="007A5D4B" w:rsidRDefault="00101DE7" w:rsidP="00D73D2D">
      <w:pPr>
        <w:rPr>
          <w:rFonts w:ascii="Arial" w:hAnsi="Arial" w:cs="Arial"/>
          <w:sz w:val="22"/>
          <w:szCs w:val="22"/>
        </w:rPr>
      </w:pPr>
    </w:p>
    <w:p w14:paraId="2CD80E07"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779EEFDE" w14:textId="77777777" w:rsidR="00EC4FC3" w:rsidRPr="000B6799"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36B969E9" w14:textId="79345727" w:rsidR="003E52AC" w:rsidRDefault="003E52AC" w:rsidP="004D086A">
      <w:pPr>
        <w:ind w:left="360"/>
        <w:rPr>
          <w:rFonts w:ascii="Arial" w:hAnsi="Arial" w:cs="Arial"/>
          <w:sz w:val="22"/>
          <w:szCs w:val="22"/>
        </w:rPr>
      </w:pPr>
      <w:r w:rsidRPr="003E52AC">
        <w:rPr>
          <w:rFonts w:ascii="Arial" w:hAnsi="Arial" w:cs="Arial"/>
          <w:sz w:val="22"/>
          <w:szCs w:val="22"/>
        </w:rPr>
        <w:t xml:space="preserve">To solicit comments from the general public, TTB published a “60-day” comment request notice for this information collection in the Federal Register on September 11, 2017, at 82 FR 42722.  TTB received one comment in response, filed by the Smith Moore Leatherwood law firm on behalf of John Middleton Co., Philip Morris USA Inc., Sherman’s 1400 Broadway N.Y.C., LLC, U.S. Smokeless Tobacco Company LLC, and U.S. Smokeless Tobacco Products LLC (collectively, the “Companies”). </w:t>
      </w:r>
    </w:p>
    <w:p w14:paraId="44DD9DE2" w14:textId="77777777" w:rsidR="003E52AC" w:rsidRDefault="003E52AC" w:rsidP="004D086A">
      <w:pPr>
        <w:ind w:left="360"/>
        <w:rPr>
          <w:rFonts w:ascii="Arial" w:hAnsi="Arial" w:cs="Arial"/>
          <w:sz w:val="22"/>
          <w:szCs w:val="22"/>
        </w:rPr>
      </w:pPr>
    </w:p>
    <w:p w14:paraId="6758CEBA" w14:textId="25A655BF" w:rsidR="003E52AC" w:rsidRDefault="003E52AC" w:rsidP="004D086A">
      <w:pPr>
        <w:ind w:left="360"/>
        <w:rPr>
          <w:rFonts w:ascii="Arial" w:hAnsi="Arial" w:cs="Arial"/>
          <w:sz w:val="22"/>
          <w:szCs w:val="22"/>
        </w:rPr>
      </w:pPr>
      <w:r w:rsidRPr="003E52AC">
        <w:rPr>
          <w:rFonts w:ascii="Arial" w:hAnsi="Arial" w:cs="Arial"/>
          <w:sz w:val="22"/>
          <w:szCs w:val="22"/>
        </w:rPr>
        <w:t>The Companies state that, when an error is discovered in the information reported on a prior monthly report (TTB F</w:t>
      </w:r>
      <w:r>
        <w:rPr>
          <w:rFonts w:ascii="Arial" w:hAnsi="Arial" w:cs="Arial"/>
          <w:sz w:val="22"/>
          <w:szCs w:val="22"/>
        </w:rPr>
        <w:t> </w:t>
      </w:r>
      <w:r w:rsidRPr="003E52AC">
        <w:rPr>
          <w:rFonts w:ascii="Arial" w:hAnsi="Arial" w:cs="Arial"/>
          <w:sz w:val="22"/>
          <w:szCs w:val="22"/>
        </w:rPr>
        <w:t>5210.5), the monthly report bearing the original error and all subsequently-submitted TTB F 5210.5s must be amended.  By comparison, for semimonthly tax returns (TTB F</w:t>
      </w:r>
      <w:r>
        <w:rPr>
          <w:rFonts w:ascii="Arial" w:hAnsi="Arial" w:cs="Arial"/>
          <w:sz w:val="22"/>
          <w:szCs w:val="22"/>
        </w:rPr>
        <w:t> </w:t>
      </w:r>
      <w:r w:rsidRPr="003E52AC">
        <w:rPr>
          <w:rFonts w:ascii="Arial" w:hAnsi="Arial" w:cs="Arial"/>
          <w:sz w:val="22"/>
          <w:szCs w:val="22"/>
        </w:rPr>
        <w:t>5000.24), if an adjustment needs to be made to account for a discrepancy on a prior tax return, the adjustment can be made on the current tax return without amending the prior tax returns, regardless of when the discrepancy originally occurred.  The Companies request that TTB evaluate TTB F</w:t>
      </w:r>
      <w:r>
        <w:rPr>
          <w:rFonts w:ascii="Arial" w:hAnsi="Arial" w:cs="Arial"/>
          <w:sz w:val="22"/>
          <w:szCs w:val="22"/>
        </w:rPr>
        <w:t> </w:t>
      </w:r>
      <w:r w:rsidRPr="003E52AC">
        <w:rPr>
          <w:rFonts w:ascii="Arial" w:hAnsi="Arial" w:cs="Arial"/>
          <w:sz w:val="22"/>
          <w:szCs w:val="22"/>
        </w:rPr>
        <w:t>5210.5 and the process associated with it, and either revise the form and/or amend the use of the form in a manner that would allow any report adjustments to be processed in a more efficient manner.  Specifically, the Companies request that a manufacturer be allowed to show any necessary adjustments to its monthly reports on the TTB F</w:t>
      </w:r>
      <w:r>
        <w:rPr>
          <w:rFonts w:ascii="Arial" w:hAnsi="Arial" w:cs="Arial"/>
          <w:sz w:val="22"/>
          <w:szCs w:val="22"/>
        </w:rPr>
        <w:t> </w:t>
      </w:r>
      <w:r w:rsidRPr="003E52AC">
        <w:rPr>
          <w:rFonts w:ascii="Arial" w:hAnsi="Arial" w:cs="Arial"/>
          <w:sz w:val="22"/>
          <w:szCs w:val="22"/>
        </w:rPr>
        <w:t xml:space="preserve">5210.5 submitted for the month in which the need for the adjustment(s) is discovered.  TTB will consider this issue and potential changes to the form and/or filing procedures at a later date. </w:t>
      </w:r>
    </w:p>
    <w:p w14:paraId="4945B3F9" w14:textId="37D4697C" w:rsidR="00734B25" w:rsidRPr="00090251" w:rsidRDefault="00734B25" w:rsidP="00D73D2D">
      <w:pPr>
        <w:suppressAutoHyphens/>
        <w:rPr>
          <w:rFonts w:ascii="Arial" w:hAnsi="Arial" w:cs="Arial"/>
          <w:sz w:val="36"/>
          <w:szCs w:val="36"/>
        </w:rPr>
      </w:pPr>
    </w:p>
    <w:p w14:paraId="12163E9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36C16DE4" w14:textId="77777777" w:rsidR="00E51AD7" w:rsidRDefault="00E51AD7" w:rsidP="004D086A">
      <w:pPr>
        <w:ind w:left="360"/>
        <w:rPr>
          <w:rFonts w:ascii="Arial" w:hAnsi="Arial" w:cs="Arial"/>
          <w:sz w:val="22"/>
          <w:szCs w:val="22"/>
        </w:rPr>
      </w:pPr>
      <w:r w:rsidRPr="00853E85">
        <w:rPr>
          <w:rFonts w:ascii="Arial" w:hAnsi="Arial" w:cs="Arial"/>
          <w:sz w:val="22"/>
          <w:szCs w:val="22"/>
        </w:rPr>
        <w:t>No specific assurance of confidentiality is provided on this form.  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TTB maintains these records in secure file </w:t>
      </w:r>
      <w:r w:rsidR="00853E85" w:rsidRPr="00E05779">
        <w:rPr>
          <w:rFonts w:ascii="Arial" w:hAnsi="Arial" w:cs="Arial"/>
          <w:sz w:val="22"/>
          <w:szCs w:val="22"/>
        </w:rPr>
        <w:t>rooms and computer systems with controlled access.</w:t>
      </w:r>
      <w:r w:rsidR="00853E85">
        <w:rPr>
          <w:rFonts w:ascii="Arial" w:hAnsi="Arial" w:cs="Arial"/>
          <w:sz w:val="22"/>
          <w:szCs w:val="22"/>
        </w:rPr>
        <w:t xml:space="preserve"> </w:t>
      </w:r>
    </w:p>
    <w:p w14:paraId="137E028E" w14:textId="77777777" w:rsidR="00AF1157" w:rsidRPr="00A5320B" w:rsidRDefault="00AF1157" w:rsidP="00D73D2D">
      <w:pPr>
        <w:suppressAutoHyphens/>
        <w:rPr>
          <w:rFonts w:ascii="Arial" w:hAnsi="Arial" w:cs="Arial"/>
          <w:sz w:val="36"/>
          <w:szCs w:val="36"/>
        </w:rPr>
      </w:pPr>
    </w:p>
    <w:p w14:paraId="6434C5B2"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965E7F" w:rsidRDefault="00A201BF" w:rsidP="00A201BF">
      <w:pPr>
        <w:rPr>
          <w:rFonts w:ascii="Arial" w:hAnsi="Arial" w:cs="Arial"/>
          <w:i/>
          <w:sz w:val="22"/>
          <w:szCs w:val="22"/>
        </w:rPr>
      </w:pPr>
    </w:p>
    <w:p w14:paraId="31F12CE1" w14:textId="7C6F5B13" w:rsidR="00A201BF" w:rsidRDefault="00A201BF" w:rsidP="00A201BF">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contains no questions of a sensitive nature. </w:t>
      </w:r>
      <w:r w:rsidR="003E52AC">
        <w:rPr>
          <w:rFonts w:ascii="Arial" w:hAnsi="Arial" w:cs="Arial"/>
          <w:sz w:val="22"/>
          <w:szCs w:val="22"/>
        </w:rPr>
        <w:t xml:space="preserve"> However, this information does collection personally identifiable information in an electronic system.  As such, </w:t>
      </w:r>
      <w:r w:rsidR="00611ADD">
        <w:rPr>
          <w:rFonts w:ascii="Arial" w:hAnsi="Arial" w:cs="Arial"/>
          <w:sz w:val="22"/>
          <w:szCs w:val="22"/>
        </w:rPr>
        <w:t xml:space="preserve">TTB F 5210.5 and TTB F 5250.1 </w:t>
      </w:r>
      <w:r w:rsidR="008E59EF">
        <w:rPr>
          <w:rFonts w:ascii="Arial" w:hAnsi="Arial" w:cs="Arial"/>
          <w:sz w:val="22"/>
          <w:szCs w:val="22"/>
        </w:rPr>
        <w:t>contain Privacy Act statement</w:t>
      </w:r>
      <w:r w:rsidR="00611ADD">
        <w:rPr>
          <w:rFonts w:ascii="Arial" w:hAnsi="Arial" w:cs="Arial"/>
          <w:sz w:val="22"/>
          <w:szCs w:val="22"/>
        </w:rPr>
        <w:t>s,</w:t>
      </w:r>
      <w:r w:rsidR="008E59EF">
        <w:rPr>
          <w:rFonts w:ascii="Arial" w:hAnsi="Arial" w:cs="Arial"/>
          <w:sz w:val="22"/>
          <w:szCs w:val="22"/>
        </w:rPr>
        <w:t xml:space="preserve"> and TTB has conducted </w:t>
      </w:r>
      <w:r w:rsidR="003E52AC">
        <w:rPr>
          <w:rFonts w:ascii="Arial" w:hAnsi="Arial" w:cs="Arial"/>
          <w:sz w:val="22"/>
          <w:szCs w:val="22"/>
        </w:rPr>
        <w:t>a</w:t>
      </w:r>
      <w:r w:rsidRPr="00DF60A0">
        <w:rPr>
          <w:rFonts w:ascii="Arial" w:hAnsi="Arial" w:cs="Arial"/>
          <w:sz w:val="22"/>
          <w:szCs w:val="22"/>
        </w:rPr>
        <w:t xml:space="preserve"> Privacy Impact Assessment (PIA) </w:t>
      </w:r>
      <w:r w:rsidR="008E59EF">
        <w:rPr>
          <w:rFonts w:ascii="Arial" w:hAnsi="Arial" w:cs="Arial"/>
          <w:sz w:val="22"/>
          <w:szCs w:val="22"/>
        </w:rPr>
        <w:t>f</w:t>
      </w:r>
      <w:r w:rsidRPr="00DF60A0">
        <w:rPr>
          <w:rFonts w:ascii="Arial" w:hAnsi="Arial" w:cs="Arial"/>
          <w:sz w:val="22"/>
          <w:szCs w:val="22"/>
        </w:rPr>
        <w:t xml:space="preserve">or information collected under this request as part of </w:t>
      </w:r>
      <w:r w:rsidRPr="00833885">
        <w:rPr>
          <w:rFonts w:ascii="Arial" w:hAnsi="Arial" w:cs="Arial"/>
          <w:sz w:val="22"/>
          <w:szCs w:val="22"/>
        </w:rPr>
        <w:t>the Tax Major Application System</w:t>
      </w:r>
      <w:r w:rsidR="008E59EF">
        <w:rPr>
          <w:rFonts w:ascii="Arial" w:hAnsi="Arial" w:cs="Arial"/>
          <w:sz w:val="22"/>
          <w:szCs w:val="22"/>
        </w:rPr>
        <w:t>.  TTB has issued a</w:t>
      </w:r>
      <w:r w:rsidRPr="00833885">
        <w:rPr>
          <w:rFonts w:ascii="Arial" w:hAnsi="Arial" w:cs="Arial"/>
          <w:sz w:val="22"/>
          <w:szCs w:val="22"/>
        </w:rPr>
        <w:t xml:space="preserve"> Privacy Act System of Records notice (SORN) for th</w:t>
      </w:r>
      <w:r w:rsidR="008E59EF">
        <w:rPr>
          <w:rFonts w:ascii="Arial" w:hAnsi="Arial" w:cs="Arial"/>
          <w:sz w:val="22"/>
          <w:szCs w:val="22"/>
        </w:rPr>
        <w:t>at</w:t>
      </w:r>
      <w:r w:rsidRPr="00833885">
        <w:rPr>
          <w:rFonts w:ascii="Arial" w:hAnsi="Arial" w:cs="Arial"/>
          <w:sz w:val="22"/>
          <w:szCs w:val="22"/>
        </w:rPr>
        <w:t xml:space="preserve"> system under TTB .001-Regulatory Enforcement Record System</w:t>
      </w:r>
      <w:r w:rsidR="008E59EF">
        <w:rPr>
          <w:rFonts w:ascii="Arial" w:hAnsi="Arial" w:cs="Arial"/>
          <w:sz w:val="22"/>
          <w:szCs w:val="22"/>
        </w:rPr>
        <w:t>,</w:t>
      </w:r>
      <w:r w:rsidRPr="00833885">
        <w:rPr>
          <w:rFonts w:ascii="Arial" w:hAnsi="Arial" w:cs="Arial"/>
          <w:sz w:val="22"/>
          <w:szCs w:val="22"/>
        </w:rPr>
        <w:t xml:space="preserve"> </w:t>
      </w:r>
      <w:r w:rsidR="008E59EF">
        <w:rPr>
          <w:rFonts w:ascii="Arial" w:hAnsi="Arial" w:cs="Arial"/>
          <w:sz w:val="22"/>
          <w:szCs w:val="22"/>
        </w:rPr>
        <w:t xml:space="preserve">which was </w:t>
      </w:r>
      <w:r w:rsidRPr="00833885">
        <w:rPr>
          <w:rFonts w:ascii="Arial" w:hAnsi="Arial" w:cs="Arial"/>
          <w:sz w:val="22"/>
          <w:szCs w:val="22"/>
        </w:rPr>
        <w:t xml:space="preserve">published in the Federal Register on </w:t>
      </w:r>
      <w:r w:rsidR="00E05779" w:rsidRPr="00833885">
        <w:rPr>
          <w:rFonts w:ascii="Arial" w:hAnsi="Arial" w:cs="Arial"/>
          <w:sz w:val="22"/>
          <w:szCs w:val="22"/>
        </w:rPr>
        <w:t>January</w:t>
      </w:r>
      <w:r w:rsidR="00E05779">
        <w:rPr>
          <w:rFonts w:ascii="Arial" w:hAnsi="Arial" w:cs="Arial"/>
          <w:sz w:val="22"/>
          <w:szCs w:val="22"/>
        </w:rPr>
        <w:t xml:space="preserve"> 28, 2015, at 80 FR 4637</w:t>
      </w:r>
      <w:r w:rsidRPr="00DF60A0">
        <w:rPr>
          <w:rFonts w:ascii="Arial" w:hAnsi="Arial" w:cs="Arial"/>
          <w:sz w:val="22"/>
          <w:szCs w:val="22"/>
        </w:rPr>
        <w:t>.</w:t>
      </w:r>
      <w:r w:rsidR="00A5167D">
        <w:rPr>
          <w:rFonts w:ascii="Arial" w:hAnsi="Arial" w:cs="Arial"/>
          <w:sz w:val="22"/>
          <w:szCs w:val="22"/>
        </w:rPr>
        <w:t xml:space="preserve"> </w:t>
      </w:r>
      <w:r w:rsidRPr="00DF60A0">
        <w:rPr>
          <w:rFonts w:ascii="Arial" w:hAnsi="Arial" w:cs="Arial"/>
          <w:sz w:val="22"/>
          <w:szCs w:val="22"/>
        </w:rPr>
        <w:t xml:space="preserve"> </w:t>
      </w:r>
      <w:r w:rsidRPr="003869AD">
        <w:rPr>
          <w:rFonts w:ascii="Arial" w:hAnsi="Arial" w:cs="Arial"/>
          <w:sz w:val="22"/>
          <w:szCs w:val="22"/>
        </w:rPr>
        <w:t xml:space="preserve">TTB’s PIAs are available on the TTB website at </w:t>
      </w:r>
      <w:hyperlink r:id="rId9" w:history="1">
        <w:r w:rsidRPr="00972DAE">
          <w:rPr>
            <w:rStyle w:val="Hyperlink"/>
            <w:rFonts w:ascii="Arial" w:hAnsi="Arial" w:cs="Arial"/>
            <w:sz w:val="22"/>
            <w:szCs w:val="22"/>
          </w:rPr>
          <w:t>http://www.ttb.gov/foia/pia.shtml</w:t>
        </w:r>
      </w:hyperlink>
      <w:r>
        <w:rPr>
          <w:rFonts w:ascii="Arial" w:hAnsi="Arial" w:cs="Arial"/>
          <w:sz w:val="22"/>
          <w:szCs w:val="22"/>
        </w:rPr>
        <w:t xml:space="preserve">. </w:t>
      </w:r>
    </w:p>
    <w:p w14:paraId="7CA14CAE" w14:textId="77777777" w:rsidR="00A201BF" w:rsidRPr="00A5320B" w:rsidRDefault="00A201BF" w:rsidP="00D73D2D">
      <w:pPr>
        <w:suppressAutoHyphens/>
        <w:rPr>
          <w:rFonts w:ascii="Arial" w:hAnsi="Arial" w:cs="Arial"/>
          <w:sz w:val="36"/>
          <w:szCs w:val="36"/>
        </w:rPr>
      </w:pPr>
    </w:p>
    <w:p w14:paraId="5307B67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9EF7B19" w14:textId="77777777" w:rsidR="00AF1157" w:rsidRPr="007A5D4B" w:rsidRDefault="00AF1157" w:rsidP="00D73D2D">
      <w:pPr>
        <w:suppressAutoHyphens/>
        <w:rPr>
          <w:rFonts w:ascii="Arial" w:hAnsi="Arial" w:cs="Arial"/>
          <w:sz w:val="22"/>
          <w:szCs w:val="22"/>
        </w:rPr>
      </w:pPr>
    </w:p>
    <w:p w14:paraId="20A130D4" w14:textId="2EC0DC69" w:rsidR="00323394" w:rsidRDefault="00967A7E" w:rsidP="00E56E11">
      <w:pPr>
        <w:ind w:left="360"/>
        <w:rPr>
          <w:rFonts w:ascii="Arial" w:hAnsi="Arial" w:cs="Arial"/>
          <w:sz w:val="22"/>
          <w:szCs w:val="22"/>
        </w:rPr>
      </w:pPr>
      <w:r w:rsidRPr="00323394">
        <w:rPr>
          <w:rFonts w:ascii="Arial" w:hAnsi="Arial" w:cs="Arial"/>
          <w:sz w:val="22"/>
          <w:szCs w:val="22"/>
        </w:rPr>
        <w:t xml:space="preserve">Based on data from TTB’s National Revenue Center, which processes the forms associated with this information collection request, TTB currently regulates 200 manufacturers of tobacco products, 5 manufacturers of cigarette papers and tubes, and 30 manufacturers of processed tobacco, each of which is required to file </w:t>
      </w:r>
      <w:r w:rsidR="00323394" w:rsidRPr="00323394">
        <w:rPr>
          <w:rFonts w:ascii="Arial" w:hAnsi="Arial" w:cs="Arial"/>
          <w:sz w:val="22"/>
          <w:szCs w:val="22"/>
        </w:rPr>
        <w:t>12 monthly reports per year.  TTB also estimates that each reports requires 1 hour to compile and submit, resulting in 12 hours of annual burden per respondent.</w:t>
      </w:r>
      <w:r w:rsidR="003F0909">
        <w:rPr>
          <w:rFonts w:ascii="Arial" w:hAnsi="Arial" w:cs="Arial"/>
          <w:sz w:val="22"/>
          <w:szCs w:val="22"/>
        </w:rPr>
        <w:t xml:space="preserve"> </w:t>
      </w:r>
    </w:p>
    <w:p w14:paraId="04EA865E" w14:textId="77777777" w:rsidR="00323394" w:rsidRDefault="00323394" w:rsidP="00E56E11">
      <w:pPr>
        <w:ind w:left="360"/>
        <w:rPr>
          <w:rFonts w:ascii="Arial" w:hAnsi="Arial" w:cs="Arial"/>
          <w:sz w:val="22"/>
          <w:szCs w:val="22"/>
        </w:rPr>
      </w:pPr>
    </w:p>
    <w:p w14:paraId="070EE59D" w14:textId="3FBFF0B6" w:rsidR="00E05779" w:rsidRPr="00323394" w:rsidRDefault="00323394" w:rsidP="00E56E11">
      <w:pPr>
        <w:ind w:left="360"/>
        <w:rPr>
          <w:rFonts w:ascii="Arial" w:hAnsi="Arial" w:cs="Arial"/>
          <w:sz w:val="22"/>
          <w:szCs w:val="22"/>
        </w:rPr>
      </w:pPr>
      <w:r w:rsidRPr="00323394">
        <w:rPr>
          <w:rFonts w:ascii="Arial" w:hAnsi="Arial" w:cs="Arial"/>
          <w:sz w:val="22"/>
          <w:szCs w:val="22"/>
        </w:rPr>
        <w:t>Given the numbers of annual respondents, responses, and per-respondent burden hours</w:t>
      </w:r>
      <w:r>
        <w:rPr>
          <w:rFonts w:ascii="Arial" w:hAnsi="Arial" w:cs="Arial"/>
          <w:sz w:val="22"/>
          <w:szCs w:val="22"/>
        </w:rPr>
        <w:t xml:space="preserve"> listed above</w:t>
      </w:r>
      <w:r w:rsidRPr="00323394">
        <w:rPr>
          <w:rFonts w:ascii="Arial" w:hAnsi="Arial" w:cs="Arial"/>
          <w:sz w:val="22"/>
          <w:szCs w:val="22"/>
        </w:rPr>
        <w:t>,</w:t>
      </w:r>
      <w:r w:rsidR="00967A7E" w:rsidRPr="00323394">
        <w:rPr>
          <w:rFonts w:ascii="Arial" w:hAnsi="Arial" w:cs="Arial"/>
          <w:sz w:val="22"/>
          <w:szCs w:val="22"/>
        </w:rPr>
        <w:t xml:space="preserve"> TTB estimates the </w:t>
      </w:r>
      <w:r w:rsidRPr="00323394">
        <w:rPr>
          <w:rFonts w:ascii="Arial" w:hAnsi="Arial" w:cs="Arial"/>
          <w:sz w:val="22"/>
          <w:szCs w:val="22"/>
        </w:rPr>
        <w:t xml:space="preserve">annual </w:t>
      </w:r>
      <w:r w:rsidR="00967A7E" w:rsidRPr="00323394">
        <w:rPr>
          <w:rFonts w:ascii="Arial" w:hAnsi="Arial" w:cs="Arial"/>
          <w:sz w:val="22"/>
          <w:szCs w:val="22"/>
        </w:rPr>
        <w:t xml:space="preserve">burden associated with this information collection request as follows: </w:t>
      </w:r>
    </w:p>
    <w:p w14:paraId="37DE73BB" w14:textId="53C2B8AD" w:rsidR="003E52AC" w:rsidRDefault="003E52AC">
      <w:pPr>
        <w:rPr>
          <w:rFonts w:ascii="Arial" w:hAnsi="Arial" w:cs="Arial"/>
          <w:sz w:val="22"/>
          <w:szCs w:val="22"/>
        </w:rPr>
      </w:pPr>
      <w:r>
        <w:rPr>
          <w:rFonts w:ascii="Arial" w:hAnsi="Arial" w:cs="Arial"/>
          <w:sz w:val="22"/>
          <w:szCs w:val="22"/>
        </w:rPr>
        <w:br w:type="page"/>
      </w:r>
    </w:p>
    <w:p w14:paraId="7033A7C0" w14:textId="77777777" w:rsidR="00967A7E" w:rsidRPr="00323394" w:rsidRDefault="00967A7E" w:rsidP="00E56E11">
      <w:pPr>
        <w:ind w:left="360"/>
        <w:rPr>
          <w:rFonts w:ascii="Arial" w:hAnsi="Arial" w:cs="Arial"/>
          <w:sz w:val="22"/>
          <w:szCs w:val="22"/>
        </w:rPr>
      </w:pPr>
    </w:p>
    <w:tbl>
      <w:tblPr>
        <w:tblStyle w:val="TableGrid"/>
        <w:tblW w:w="8352" w:type="dxa"/>
        <w:jc w:val="center"/>
        <w:tblCellMar>
          <w:left w:w="14" w:type="dxa"/>
          <w:right w:w="14" w:type="dxa"/>
        </w:tblCellMar>
        <w:tblLook w:val="04A0" w:firstRow="1" w:lastRow="0" w:firstColumn="1" w:lastColumn="0" w:noHBand="0" w:noVBand="1"/>
      </w:tblPr>
      <w:tblGrid>
        <w:gridCol w:w="2088"/>
        <w:gridCol w:w="2088"/>
        <w:gridCol w:w="2088"/>
        <w:gridCol w:w="2088"/>
      </w:tblGrid>
      <w:tr w:rsidR="00323394" w:rsidRPr="00323394" w14:paraId="3A2BEE5F" w14:textId="77777777" w:rsidTr="00323394">
        <w:trPr>
          <w:trHeight w:val="576"/>
          <w:jc w:val="center"/>
        </w:trPr>
        <w:tc>
          <w:tcPr>
            <w:tcW w:w="1440" w:type="dxa"/>
            <w:vAlign w:val="center"/>
          </w:tcPr>
          <w:p w14:paraId="449926E6" w14:textId="77777777" w:rsidR="00323394" w:rsidRPr="00323394" w:rsidRDefault="00323394" w:rsidP="00E56E11">
            <w:pPr>
              <w:rPr>
                <w:rFonts w:ascii="Arial" w:hAnsi="Arial" w:cs="Arial"/>
                <w:sz w:val="22"/>
                <w:szCs w:val="22"/>
              </w:rPr>
            </w:pPr>
          </w:p>
        </w:tc>
        <w:tc>
          <w:tcPr>
            <w:tcW w:w="1440" w:type="dxa"/>
            <w:vAlign w:val="center"/>
          </w:tcPr>
          <w:p w14:paraId="427625EA" w14:textId="2C7E3DE4" w:rsidR="00323394" w:rsidRPr="00323394" w:rsidRDefault="00323394" w:rsidP="00323394">
            <w:pPr>
              <w:jc w:val="center"/>
              <w:rPr>
                <w:rFonts w:ascii="Arial" w:hAnsi="Arial" w:cs="Arial"/>
                <w:b/>
                <w:sz w:val="22"/>
                <w:szCs w:val="22"/>
              </w:rPr>
            </w:pPr>
            <w:r w:rsidRPr="00323394">
              <w:rPr>
                <w:rFonts w:ascii="Arial" w:hAnsi="Arial" w:cs="Arial"/>
                <w:b/>
                <w:sz w:val="22"/>
                <w:szCs w:val="22"/>
              </w:rPr>
              <w:t>Respondents</w:t>
            </w:r>
          </w:p>
        </w:tc>
        <w:tc>
          <w:tcPr>
            <w:tcW w:w="1440" w:type="dxa"/>
            <w:vAlign w:val="center"/>
          </w:tcPr>
          <w:p w14:paraId="49994C1D" w14:textId="4BCA20AF" w:rsidR="00323394" w:rsidRPr="00323394" w:rsidRDefault="00323394" w:rsidP="00323394">
            <w:pPr>
              <w:jc w:val="center"/>
              <w:rPr>
                <w:rFonts w:ascii="Arial" w:hAnsi="Arial" w:cs="Arial"/>
                <w:b/>
                <w:sz w:val="22"/>
                <w:szCs w:val="22"/>
              </w:rPr>
            </w:pPr>
            <w:r w:rsidRPr="00323394">
              <w:rPr>
                <w:rFonts w:ascii="Arial" w:hAnsi="Arial" w:cs="Arial"/>
                <w:b/>
                <w:sz w:val="22"/>
                <w:szCs w:val="22"/>
              </w:rPr>
              <w:t>Responses</w:t>
            </w:r>
          </w:p>
        </w:tc>
        <w:tc>
          <w:tcPr>
            <w:tcW w:w="1440" w:type="dxa"/>
            <w:vAlign w:val="center"/>
          </w:tcPr>
          <w:p w14:paraId="26310237" w14:textId="7C7E2109" w:rsidR="00323394" w:rsidRPr="00323394" w:rsidRDefault="00323394" w:rsidP="00323394">
            <w:pPr>
              <w:jc w:val="center"/>
              <w:rPr>
                <w:rFonts w:ascii="Arial" w:hAnsi="Arial" w:cs="Arial"/>
                <w:b/>
                <w:sz w:val="22"/>
                <w:szCs w:val="22"/>
              </w:rPr>
            </w:pPr>
            <w:r w:rsidRPr="00323394">
              <w:rPr>
                <w:rFonts w:ascii="Arial" w:hAnsi="Arial" w:cs="Arial"/>
                <w:b/>
                <w:sz w:val="22"/>
                <w:szCs w:val="22"/>
              </w:rPr>
              <w:t>Total Annual Burden Hours</w:t>
            </w:r>
          </w:p>
        </w:tc>
      </w:tr>
      <w:tr w:rsidR="00323394" w:rsidRPr="00323394" w14:paraId="13D97017" w14:textId="77777777" w:rsidTr="00323394">
        <w:trPr>
          <w:trHeight w:val="576"/>
          <w:jc w:val="center"/>
        </w:trPr>
        <w:tc>
          <w:tcPr>
            <w:tcW w:w="1440" w:type="dxa"/>
            <w:vAlign w:val="center"/>
          </w:tcPr>
          <w:p w14:paraId="4264768C" w14:textId="2454B01E" w:rsidR="00323394" w:rsidRPr="00323394" w:rsidRDefault="00323394" w:rsidP="00323394">
            <w:pPr>
              <w:jc w:val="center"/>
              <w:rPr>
                <w:rFonts w:ascii="Arial" w:hAnsi="Arial" w:cs="Arial"/>
                <w:sz w:val="22"/>
                <w:szCs w:val="22"/>
              </w:rPr>
            </w:pPr>
            <w:r w:rsidRPr="00323394">
              <w:rPr>
                <w:rFonts w:ascii="Arial" w:hAnsi="Arial" w:cs="Arial"/>
                <w:sz w:val="22"/>
                <w:szCs w:val="22"/>
              </w:rPr>
              <w:t>TTB F 5210.5</w:t>
            </w:r>
          </w:p>
        </w:tc>
        <w:tc>
          <w:tcPr>
            <w:tcW w:w="1440" w:type="dxa"/>
            <w:vAlign w:val="center"/>
          </w:tcPr>
          <w:p w14:paraId="2324B001" w14:textId="71E891E2" w:rsidR="00323394" w:rsidRPr="00323394" w:rsidRDefault="00323394" w:rsidP="00323394">
            <w:pPr>
              <w:jc w:val="center"/>
              <w:rPr>
                <w:rFonts w:ascii="Arial" w:hAnsi="Arial" w:cs="Arial"/>
                <w:sz w:val="22"/>
                <w:szCs w:val="22"/>
              </w:rPr>
            </w:pPr>
            <w:r>
              <w:rPr>
                <w:rFonts w:ascii="Arial" w:hAnsi="Arial" w:cs="Arial"/>
                <w:sz w:val="22"/>
                <w:szCs w:val="22"/>
              </w:rPr>
              <w:t>205</w:t>
            </w:r>
          </w:p>
        </w:tc>
        <w:tc>
          <w:tcPr>
            <w:tcW w:w="1440" w:type="dxa"/>
            <w:vAlign w:val="center"/>
          </w:tcPr>
          <w:p w14:paraId="5180D35B" w14:textId="023175F4" w:rsidR="00323394" w:rsidRPr="00323394" w:rsidRDefault="00323394" w:rsidP="00323394">
            <w:pPr>
              <w:jc w:val="center"/>
              <w:rPr>
                <w:rFonts w:ascii="Arial" w:hAnsi="Arial" w:cs="Arial"/>
                <w:sz w:val="22"/>
                <w:szCs w:val="22"/>
              </w:rPr>
            </w:pPr>
            <w:r>
              <w:rPr>
                <w:rFonts w:ascii="Arial" w:hAnsi="Arial" w:cs="Arial"/>
                <w:sz w:val="22"/>
                <w:szCs w:val="22"/>
              </w:rPr>
              <w:t>2,460</w:t>
            </w:r>
          </w:p>
        </w:tc>
        <w:tc>
          <w:tcPr>
            <w:tcW w:w="1440" w:type="dxa"/>
            <w:vAlign w:val="center"/>
          </w:tcPr>
          <w:p w14:paraId="684E49CB" w14:textId="3E86C604" w:rsidR="00323394" w:rsidRPr="00323394" w:rsidRDefault="00323394" w:rsidP="00323394">
            <w:pPr>
              <w:jc w:val="center"/>
              <w:rPr>
                <w:rFonts w:ascii="Arial" w:hAnsi="Arial" w:cs="Arial"/>
                <w:sz w:val="22"/>
                <w:szCs w:val="22"/>
              </w:rPr>
            </w:pPr>
            <w:r>
              <w:rPr>
                <w:rFonts w:ascii="Arial" w:hAnsi="Arial" w:cs="Arial"/>
                <w:sz w:val="22"/>
                <w:szCs w:val="22"/>
              </w:rPr>
              <w:t>2,460</w:t>
            </w:r>
          </w:p>
        </w:tc>
      </w:tr>
      <w:tr w:rsidR="00323394" w:rsidRPr="00323394" w14:paraId="5CDE9BB7" w14:textId="77777777" w:rsidTr="00323394">
        <w:trPr>
          <w:trHeight w:val="576"/>
          <w:jc w:val="center"/>
        </w:trPr>
        <w:tc>
          <w:tcPr>
            <w:tcW w:w="1440" w:type="dxa"/>
            <w:vAlign w:val="center"/>
          </w:tcPr>
          <w:p w14:paraId="17ADE62B" w14:textId="5FF540DE" w:rsidR="00323394" w:rsidRPr="00323394" w:rsidRDefault="00323394" w:rsidP="00323394">
            <w:pPr>
              <w:jc w:val="center"/>
              <w:rPr>
                <w:rFonts w:ascii="Arial" w:hAnsi="Arial" w:cs="Arial"/>
                <w:sz w:val="22"/>
                <w:szCs w:val="22"/>
              </w:rPr>
            </w:pPr>
            <w:r w:rsidRPr="00323394">
              <w:rPr>
                <w:rFonts w:ascii="Arial" w:hAnsi="Arial" w:cs="Arial"/>
                <w:sz w:val="22"/>
                <w:szCs w:val="22"/>
              </w:rPr>
              <w:t>TTB F 5250.1</w:t>
            </w:r>
          </w:p>
        </w:tc>
        <w:tc>
          <w:tcPr>
            <w:tcW w:w="1440" w:type="dxa"/>
            <w:vAlign w:val="center"/>
          </w:tcPr>
          <w:p w14:paraId="0563C1DD" w14:textId="53676005" w:rsidR="00323394" w:rsidRPr="00323394" w:rsidRDefault="00323394" w:rsidP="00323394">
            <w:pPr>
              <w:jc w:val="center"/>
              <w:rPr>
                <w:rFonts w:ascii="Arial" w:hAnsi="Arial" w:cs="Arial"/>
                <w:sz w:val="22"/>
                <w:szCs w:val="22"/>
              </w:rPr>
            </w:pPr>
            <w:r>
              <w:rPr>
                <w:rFonts w:ascii="Arial" w:hAnsi="Arial" w:cs="Arial"/>
                <w:sz w:val="22"/>
                <w:szCs w:val="22"/>
              </w:rPr>
              <w:t>30</w:t>
            </w:r>
          </w:p>
        </w:tc>
        <w:tc>
          <w:tcPr>
            <w:tcW w:w="1440" w:type="dxa"/>
            <w:vAlign w:val="center"/>
          </w:tcPr>
          <w:p w14:paraId="5F10DE46" w14:textId="3FDB851F" w:rsidR="00323394" w:rsidRPr="00323394" w:rsidRDefault="00323394" w:rsidP="00323394">
            <w:pPr>
              <w:jc w:val="center"/>
              <w:rPr>
                <w:rFonts w:ascii="Arial" w:hAnsi="Arial" w:cs="Arial"/>
                <w:sz w:val="22"/>
                <w:szCs w:val="22"/>
              </w:rPr>
            </w:pPr>
            <w:r>
              <w:rPr>
                <w:rFonts w:ascii="Arial" w:hAnsi="Arial" w:cs="Arial"/>
                <w:sz w:val="22"/>
                <w:szCs w:val="22"/>
              </w:rPr>
              <w:t>360</w:t>
            </w:r>
          </w:p>
        </w:tc>
        <w:tc>
          <w:tcPr>
            <w:tcW w:w="1440" w:type="dxa"/>
            <w:vAlign w:val="center"/>
          </w:tcPr>
          <w:p w14:paraId="285FFB09" w14:textId="638EBFEA" w:rsidR="00323394" w:rsidRPr="00323394" w:rsidRDefault="00323394" w:rsidP="00323394">
            <w:pPr>
              <w:jc w:val="center"/>
              <w:rPr>
                <w:rFonts w:ascii="Arial" w:hAnsi="Arial" w:cs="Arial"/>
                <w:sz w:val="22"/>
                <w:szCs w:val="22"/>
              </w:rPr>
            </w:pPr>
            <w:r>
              <w:rPr>
                <w:rFonts w:ascii="Arial" w:hAnsi="Arial" w:cs="Arial"/>
                <w:sz w:val="22"/>
                <w:szCs w:val="22"/>
              </w:rPr>
              <w:t>360</w:t>
            </w:r>
          </w:p>
        </w:tc>
      </w:tr>
      <w:tr w:rsidR="00323394" w:rsidRPr="00323394" w14:paraId="452D26A0" w14:textId="77777777" w:rsidTr="00323394">
        <w:trPr>
          <w:trHeight w:val="576"/>
          <w:jc w:val="center"/>
        </w:trPr>
        <w:tc>
          <w:tcPr>
            <w:tcW w:w="1440" w:type="dxa"/>
            <w:vAlign w:val="center"/>
          </w:tcPr>
          <w:p w14:paraId="6308B41D" w14:textId="47DFDB30" w:rsidR="00323394" w:rsidRPr="00323394" w:rsidRDefault="00323394" w:rsidP="00323394">
            <w:pPr>
              <w:jc w:val="center"/>
              <w:rPr>
                <w:rFonts w:ascii="Arial" w:hAnsi="Arial" w:cs="Arial"/>
                <w:b/>
                <w:sz w:val="22"/>
                <w:szCs w:val="22"/>
              </w:rPr>
            </w:pPr>
            <w:r w:rsidRPr="00323394">
              <w:rPr>
                <w:rFonts w:ascii="Arial" w:hAnsi="Arial" w:cs="Arial"/>
                <w:b/>
                <w:sz w:val="22"/>
                <w:szCs w:val="22"/>
              </w:rPr>
              <w:t>TOTAL</w:t>
            </w:r>
          </w:p>
        </w:tc>
        <w:tc>
          <w:tcPr>
            <w:tcW w:w="1440" w:type="dxa"/>
            <w:vAlign w:val="center"/>
          </w:tcPr>
          <w:p w14:paraId="5FF2A74E" w14:textId="7665630C" w:rsidR="00323394" w:rsidRPr="00323394" w:rsidRDefault="00323394" w:rsidP="00323394">
            <w:pPr>
              <w:jc w:val="center"/>
              <w:rPr>
                <w:rFonts w:ascii="Arial" w:hAnsi="Arial" w:cs="Arial"/>
                <w:b/>
                <w:sz w:val="22"/>
                <w:szCs w:val="22"/>
              </w:rPr>
            </w:pPr>
            <w:r>
              <w:rPr>
                <w:rFonts w:ascii="Arial" w:hAnsi="Arial" w:cs="Arial"/>
                <w:b/>
                <w:sz w:val="22"/>
                <w:szCs w:val="22"/>
              </w:rPr>
              <w:t>235</w:t>
            </w:r>
          </w:p>
        </w:tc>
        <w:tc>
          <w:tcPr>
            <w:tcW w:w="1440" w:type="dxa"/>
            <w:vAlign w:val="center"/>
          </w:tcPr>
          <w:p w14:paraId="7B095551" w14:textId="2A95CAE8" w:rsidR="00323394" w:rsidRPr="00323394" w:rsidRDefault="00323394" w:rsidP="00323394">
            <w:pPr>
              <w:jc w:val="center"/>
              <w:rPr>
                <w:rFonts w:ascii="Arial" w:hAnsi="Arial" w:cs="Arial"/>
                <w:b/>
                <w:sz w:val="22"/>
                <w:szCs w:val="22"/>
              </w:rPr>
            </w:pPr>
            <w:r>
              <w:rPr>
                <w:rFonts w:ascii="Arial" w:hAnsi="Arial" w:cs="Arial"/>
                <w:b/>
                <w:sz w:val="22"/>
                <w:szCs w:val="22"/>
              </w:rPr>
              <w:t>2,820</w:t>
            </w:r>
          </w:p>
        </w:tc>
        <w:tc>
          <w:tcPr>
            <w:tcW w:w="1440" w:type="dxa"/>
            <w:vAlign w:val="center"/>
          </w:tcPr>
          <w:p w14:paraId="15E3F961" w14:textId="4F95F062" w:rsidR="00323394" w:rsidRPr="00323394" w:rsidRDefault="00323394" w:rsidP="00323394">
            <w:pPr>
              <w:jc w:val="center"/>
              <w:rPr>
                <w:rFonts w:ascii="Arial" w:hAnsi="Arial" w:cs="Arial"/>
                <w:b/>
                <w:sz w:val="22"/>
                <w:szCs w:val="22"/>
              </w:rPr>
            </w:pPr>
            <w:r>
              <w:rPr>
                <w:rFonts w:ascii="Arial" w:hAnsi="Arial" w:cs="Arial"/>
                <w:b/>
                <w:sz w:val="22"/>
                <w:szCs w:val="22"/>
              </w:rPr>
              <w:t>2,820</w:t>
            </w:r>
          </w:p>
        </w:tc>
      </w:tr>
    </w:tbl>
    <w:p w14:paraId="2708559F" w14:textId="77777777" w:rsidR="00AF060A" w:rsidRPr="00A5320B" w:rsidRDefault="00AF060A" w:rsidP="00D73D2D">
      <w:pPr>
        <w:rPr>
          <w:rFonts w:ascii="Arial" w:hAnsi="Arial" w:cs="Arial"/>
          <w:sz w:val="36"/>
          <w:szCs w:val="36"/>
        </w:rPr>
      </w:pPr>
    </w:p>
    <w:p w14:paraId="05C98F21"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0849AB7" w14:textId="77777777" w:rsidR="00101DE7" w:rsidRPr="007A5D4B" w:rsidRDefault="00101DE7" w:rsidP="00D73D2D">
      <w:pPr>
        <w:suppressAutoHyphens/>
        <w:ind w:left="480" w:hanging="480"/>
        <w:rPr>
          <w:rFonts w:ascii="Arial" w:hAnsi="Arial" w:cs="Arial"/>
          <w:sz w:val="22"/>
          <w:szCs w:val="22"/>
        </w:rPr>
      </w:pPr>
    </w:p>
    <w:p w14:paraId="0DEFC23C" w14:textId="5508D406" w:rsidR="00E05779" w:rsidRPr="009D73A4" w:rsidRDefault="00813FCB" w:rsidP="00E05779">
      <w:pPr>
        <w:suppressAutoHyphens/>
        <w:ind w:left="360"/>
        <w:rPr>
          <w:rFonts w:ascii="Arial" w:hAnsi="Arial" w:cs="Arial"/>
          <w:sz w:val="22"/>
          <w:szCs w:val="22"/>
        </w:rPr>
      </w:pPr>
      <w:r w:rsidRPr="009D73A4">
        <w:rPr>
          <w:rFonts w:ascii="Arial" w:hAnsi="Arial" w:cs="Arial"/>
          <w:sz w:val="22"/>
          <w:szCs w:val="22"/>
        </w:rPr>
        <w:t xml:space="preserve">TTB estimates that the </w:t>
      </w:r>
      <w:r w:rsidR="00F31A40">
        <w:rPr>
          <w:rFonts w:ascii="Arial" w:hAnsi="Arial" w:cs="Arial"/>
          <w:sz w:val="22"/>
          <w:szCs w:val="22"/>
        </w:rPr>
        <w:t xml:space="preserve">annual </w:t>
      </w:r>
      <w:r w:rsidR="009D73A4" w:rsidRPr="009D73A4">
        <w:rPr>
          <w:rFonts w:ascii="Arial" w:hAnsi="Arial" w:cs="Arial"/>
          <w:sz w:val="22"/>
          <w:szCs w:val="22"/>
        </w:rPr>
        <w:t xml:space="preserve">operations and maintenance </w:t>
      </w:r>
      <w:r w:rsidRPr="009D73A4">
        <w:rPr>
          <w:rFonts w:ascii="Arial" w:hAnsi="Arial" w:cs="Arial"/>
          <w:sz w:val="22"/>
          <w:szCs w:val="22"/>
        </w:rPr>
        <w:t>cost</w:t>
      </w:r>
      <w:r w:rsidR="009D73A4">
        <w:rPr>
          <w:rFonts w:ascii="Arial" w:hAnsi="Arial" w:cs="Arial"/>
          <w:sz w:val="22"/>
          <w:szCs w:val="22"/>
        </w:rPr>
        <w:t>s</w:t>
      </w:r>
      <w:r w:rsidRPr="009D73A4">
        <w:rPr>
          <w:rFonts w:ascii="Arial" w:hAnsi="Arial" w:cs="Arial"/>
          <w:sz w:val="22"/>
          <w:szCs w:val="22"/>
        </w:rPr>
        <w:t xml:space="preserve"> to respondents to this information collection is </w:t>
      </w:r>
      <w:r w:rsidR="009D73A4">
        <w:rPr>
          <w:rFonts w:ascii="Arial" w:hAnsi="Arial" w:cs="Arial"/>
          <w:sz w:val="22"/>
          <w:szCs w:val="22"/>
        </w:rPr>
        <w:t xml:space="preserve">$96.00 per respondent, and </w:t>
      </w:r>
      <w:r w:rsidR="003E52AC">
        <w:rPr>
          <w:rFonts w:ascii="Arial" w:hAnsi="Arial" w:cs="Arial"/>
          <w:sz w:val="22"/>
          <w:szCs w:val="22"/>
        </w:rPr>
        <w:t>the</w:t>
      </w:r>
      <w:r w:rsidRPr="009D73A4">
        <w:rPr>
          <w:rFonts w:ascii="Arial" w:hAnsi="Arial" w:cs="Arial"/>
          <w:sz w:val="22"/>
          <w:szCs w:val="22"/>
        </w:rPr>
        <w:t xml:space="preserve"> total </w:t>
      </w:r>
      <w:r w:rsidR="009D73A4">
        <w:rPr>
          <w:rFonts w:ascii="Arial" w:hAnsi="Arial" w:cs="Arial"/>
          <w:sz w:val="22"/>
          <w:szCs w:val="22"/>
        </w:rPr>
        <w:t xml:space="preserve">estimated </w:t>
      </w:r>
      <w:r w:rsidRPr="009D73A4">
        <w:rPr>
          <w:rFonts w:ascii="Arial" w:hAnsi="Arial" w:cs="Arial"/>
          <w:sz w:val="22"/>
          <w:szCs w:val="22"/>
        </w:rPr>
        <w:t xml:space="preserve">cost to </w:t>
      </w:r>
      <w:r w:rsidR="009D73A4">
        <w:rPr>
          <w:rFonts w:ascii="Arial" w:hAnsi="Arial" w:cs="Arial"/>
          <w:sz w:val="22"/>
          <w:szCs w:val="22"/>
        </w:rPr>
        <w:t xml:space="preserve">all </w:t>
      </w:r>
      <w:r w:rsidRPr="009D73A4">
        <w:rPr>
          <w:rFonts w:ascii="Arial" w:hAnsi="Arial" w:cs="Arial"/>
          <w:sz w:val="22"/>
          <w:szCs w:val="22"/>
        </w:rPr>
        <w:t xml:space="preserve">respondents </w:t>
      </w:r>
      <w:r w:rsidR="003E52AC">
        <w:rPr>
          <w:rFonts w:ascii="Arial" w:hAnsi="Arial" w:cs="Arial"/>
          <w:sz w:val="22"/>
          <w:szCs w:val="22"/>
        </w:rPr>
        <w:t>is</w:t>
      </w:r>
      <w:r w:rsidRPr="009D73A4">
        <w:rPr>
          <w:rFonts w:ascii="Arial" w:hAnsi="Arial" w:cs="Arial"/>
          <w:sz w:val="22"/>
          <w:szCs w:val="22"/>
        </w:rPr>
        <w:t xml:space="preserve"> $22,560</w:t>
      </w:r>
      <w:r w:rsidR="009D73A4">
        <w:rPr>
          <w:rFonts w:ascii="Arial" w:hAnsi="Arial" w:cs="Arial"/>
          <w:sz w:val="22"/>
          <w:szCs w:val="22"/>
        </w:rPr>
        <w:t xml:space="preserve">. </w:t>
      </w:r>
    </w:p>
    <w:p w14:paraId="0754FD34" w14:textId="77777777" w:rsidR="00AF1157" w:rsidRPr="00A5320B" w:rsidRDefault="00AF1157" w:rsidP="00D73D2D">
      <w:pPr>
        <w:suppressAutoHyphens/>
        <w:rPr>
          <w:rFonts w:ascii="Arial" w:hAnsi="Arial" w:cs="Arial"/>
          <w:sz w:val="36"/>
          <w:szCs w:val="36"/>
        </w:rPr>
      </w:pPr>
    </w:p>
    <w:p w14:paraId="6282650B" w14:textId="7F1C21E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F6B36D4" w14:textId="77777777" w:rsidR="00AF1157" w:rsidRPr="007A5D4B" w:rsidRDefault="00AF1157" w:rsidP="00D73D2D">
      <w:pPr>
        <w:suppressAutoHyphens/>
        <w:ind w:left="480" w:hanging="480"/>
        <w:rPr>
          <w:rFonts w:ascii="Arial" w:hAnsi="Arial" w:cs="Arial"/>
          <w:sz w:val="22"/>
          <w:szCs w:val="22"/>
        </w:rPr>
      </w:pPr>
    </w:p>
    <w:p w14:paraId="599B24B8" w14:textId="24846FFB" w:rsidR="00E05779" w:rsidRPr="00A25290" w:rsidRDefault="00E05779" w:rsidP="00E05779">
      <w:pPr>
        <w:suppressAutoHyphens/>
        <w:ind w:left="360"/>
        <w:rPr>
          <w:rFonts w:ascii="Arial" w:hAnsi="Arial" w:cs="Arial"/>
          <w:sz w:val="22"/>
          <w:szCs w:val="22"/>
        </w:rPr>
      </w:pPr>
      <w:r w:rsidRPr="00A25290">
        <w:rPr>
          <w:rFonts w:ascii="Arial" w:hAnsi="Arial" w:cs="Arial"/>
          <w:sz w:val="22"/>
          <w:szCs w:val="22"/>
        </w:rPr>
        <w:t>Estimates of annual cost</w:t>
      </w:r>
      <w:r w:rsidR="00A25290" w:rsidRPr="00A25290">
        <w:rPr>
          <w:rFonts w:ascii="Arial" w:hAnsi="Arial" w:cs="Arial"/>
          <w:sz w:val="22"/>
          <w:szCs w:val="22"/>
        </w:rPr>
        <w:t>s</w:t>
      </w:r>
      <w:r w:rsidRPr="00A25290">
        <w:rPr>
          <w:rFonts w:ascii="Arial" w:hAnsi="Arial" w:cs="Arial"/>
          <w:sz w:val="22"/>
          <w:szCs w:val="22"/>
        </w:rPr>
        <w:t xml:space="preserve"> to the Federal Government are as follows:</w:t>
      </w:r>
      <w:r w:rsidR="009D73A4" w:rsidRPr="00A25290">
        <w:rPr>
          <w:rFonts w:ascii="Arial" w:hAnsi="Arial" w:cs="Arial"/>
          <w:sz w:val="22"/>
          <w:szCs w:val="22"/>
        </w:rPr>
        <w:t xml:space="preserve"> </w:t>
      </w:r>
    </w:p>
    <w:p w14:paraId="3F84F774" w14:textId="77777777" w:rsidR="009D73A4" w:rsidRPr="00A25290" w:rsidRDefault="009D73A4" w:rsidP="00E05779">
      <w:pPr>
        <w:suppressAutoHyphens/>
        <w:ind w:left="360"/>
        <w:rPr>
          <w:rFonts w:ascii="Arial" w:hAnsi="Arial" w:cs="Arial"/>
          <w:sz w:val="22"/>
          <w:szCs w:val="22"/>
        </w:rPr>
      </w:pPr>
    </w:p>
    <w:tbl>
      <w:tblPr>
        <w:tblStyle w:val="TableGrid"/>
        <w:tblW w:w="4320" w:type="dxa"/>
        <w:jc w:val="center"/>
        <w:tblLayout w:type="fixed"/>
        <w:tblCellMar>
          <w:left w:w="72" w:type="dxa"/>
          <w:right w:w="72" w:type="dxa"/>
        </w:tblCellMar>
        <w:tblLook w:val="04A0" w:firstRow="1" w:lastRow="0" w:firstColumn="1" w:lastColumn="0" w:noHBand="0" w:noVBand="1"/>
      </w:tblPr>
      <w:tblGrid>
        <w:gridCol w:w="3060"/>
        <w:gridCol w:w="1260"/>
      </w:tblGrid>
      <w:tr w:rsidR="00A25290" w:rsidRPr="00964139" w14:paraId="03964C6E" w14:textId="77777777" w:rsidTr="00964139">
        <w:trPr>
          <w:trHeight w:val="576"/>
          <w:jc w:val="center"/>
        </w:trPr>
        <w:tc>
          <w:tcPr>
            <w:tcW w:w="3060" w:type="dxa"/>
            <w:vAlign w:val="center"/>
          </w:tcPr>
          <w:p w14:paraId="29505465" w14:textId="261F545A" w:rsidR="009D73A4" w:rsidRPr="00964139" w:rsidRDefault="009D73A4" w:rsidP="00E05779">
            <w:pPr>
              <w:suppressAutoHyphens/>
              <w:rPr>
                <w:rFonts w:ascii="Arial" w:hAnsi="Arial" w:cs="Arial"/>
                <w:sz w:val="22"/>
                <w:szCs w:val="22"/>
              </w:rPr>
            </w:pPr>
            <w:r w:rsidRPr="00964139">
              <w:rPr>
                <w:rFonts w:ascii="Arial" w:hAnsi="Arial" w:cs="Arial"/>
                <w:sz w:val="22"/>
                <w:szCs w:val="22"/>
              </w:rPr>
              <w:t>Clerical Costs</w:t>
            </w:r>
          </w:p>
        </w:tc>
        <w:tc>
          <w:tcPr>
            <w:tcW w:w="1260" w:type="dxa"/>
            <w:vAlign w:val="center"/>
          </w:tcPr>
          <w:p w14:paraId="09C271D9" w14:textId="56FABB18" w:rsidR="009D73A4" w:rsidRPr="00964139" w:rsidRDefault="009D73A4" w:rsidP="00964139">
            <w:pPr>
              <w:suppressAutoHyphens/>
              <w:jc w:val="right"/>
              <w:rPr>
                <w:rFonts w:ascii="Arial" w:hAnsi="Arial" w:cs="Arial"/>
                <w:sz w:val="22"/>
                <w:szCs w:val="22"/>
              </w:rPr>
            </w:pPr>
            <w:r w:rsidRPr="00964139">
              <w:rPr>
                <w:rFonts w:ascii="Arial" w:hAnsi="Arial" w:cs="Arial"/>
                <w:sz w:val="22"/>
                <w:szCs w:val="22"/>
              </w:rPr>
              <w:t>$7,185</w:t>
            </w:r>
          </w:p>
        </w:tc>
      </w:tr>
      <w:tr w:rsidR="00A25290" w:rsidRPr="00964139" w14:paraId="5BB11168" w14:textId="77777777" w:rsidTr="00964139">
        <w:trPr>
          <w:trHeight w:val="576"/>
          <w:jc w:val="center"/>
        </w:trPr>
        <w:tc>
          <w:tcPr>
            <w:tcW w:w="3060" w:type="dxa"/>
            <w:vAlign w:val="center"/>
          </w:tcPr>
          <w:p w14:paraId="3C997DF6" w14:textId="1AF3D6A4" w:rsidR="00A25290" w:rsidRPr="00964139" w:rsidRDefault="009D73A4" w:rsidP="00E05779">
            <w:pPr>
              <w:suppressAutoHyphens/>
              <w:rPr>
                <w:rFonts w:ascii="Arial" w:hAnsi="Arial" w:cs="Arial"/>
                <w:sz w:val="22"/>
                <w:szCs w:val="22"/>
              </w:rPr>
            </w:pPr>
            <w:r w:rsidRPr="00964139">
              <w:rPr>
                <w:rFonts w:ascii="Arial" w:hAnsi="Arial" w:cs="Arial"/>
                <w:sz w:val="22"/>
                <w:szCs w:val="22"/>
              </w:rPr>
              <w:t xml:space="preserve">Other Salary (review by </w:t>
            </w:r>
          </w:p>
          <w:p w14:paraId="37FECD16" w14:textId="177E122B" w:rsidR="009D73A4" w:rsidRPr="00964139" w:rsidRDefault="009D73A4" w:rsidP="00E05779">
            <w:pPr>
              <w:suppressAutoHyphens/>
              <w:rPr>
                <w:rFonts w:ascii="Arial" w:hAnsi="Arial" w:cs="Arial"/>
                <w:sz w:val="22"/>
                <w:szCs w:val="22"/>
              </w:rPr>
            </w:pPr>
            <w:r w:rsidRPr="00964139">
              <w:rPr>
                <w:rFonts w:ascii="Arial" w:hAnsi="Arial" w:cs="Arial"/>
                <w:sz w:val="22"/>
                <w:szCs w:val="22"/>
              </w:rPr>
              <w:t>specialist, supervision, etc.)</w:t>
            </w:r>
          </w:p>
        </w:tc>
        <w:tc>
          <w:tcPr>
            <w:tcW w:w="1260" w:type="dxa"/>
            <w:vAlign w:val="center"/>
          </w:tcPr>
          <w:p w14:paraId="450E9684" w14:textId="6BE85917" w:rsidR="009D73A4" w:rsidRPr="00964139" w:rsidRDefault="009D73A4" w:rsidP="00A25290">
            <w:pPr>
              <w:suppressAutoHyphens/>
              <w:jc w:val="right"/>
              <w:rPr>
                <w:rFonts w:ascii="Arial" w:hAnsi="Arial" w:cs="Arial"/>
                <w:sz w:val="22"/>
                <w:szCs w:val="22"/>
              </w:rPr>
            </w:pPr>
            <w:r w:rsidRPr="00964139">
              <w:rPr>
                <w:rFonts w:ascii="Arial" w:hAnsi="Arial" w:cs="Arial"/>
                <w:sz w:val="22"/>
                <w:szCs w:val="22"/>
              </w:rPr>
              <w:t>39,520</w:t>
            </w:r>
          </w:p>
        </w:tc>
      </w:tr>
      <w:tr w:rsidR="00A25290" w:rsidRPr="00964139" w14:paraId="408E4BA2" w14:textId="77777777" w:rsidTr="00964139">
        <w:trPr>
          <w:trHeight w:val="576"/>
          <w:jc w:val="center"/>
        </w:trPr>
        <w:tc>
          <w:tcPr>
            <w:tcW w:w="3060" w:type="dxa"/>
            <w:vAlign w:val="center"/>
          </w:tcPr>
          <w:p w14:paraId="32F59940" w14:textId="5B72E024" w:rsidR="009D73A4" w:rsidRPr="00964139" w:rsidRDefault="009D73A4" w:rsidP="00E05779">
            <w:pPr>
              <w:suppressAutoHyphens/>
              <w:rPr>
                <w:rFonts w:ascii="Arial" w:hAnsi="Arial" w:cs="Arial"/>
                <w:sz w:val="22"/>
                <w:szCs w:val="22"/>
              </w:rPr>
            </w:pPr>
            <w:r w:rsidRPr="00964139">
              <w:rPr>
                <w:rFonts w:ascii="Arial" w:hAnsi="Arial" w:cs="Arial"/>
                <w:sz w:val="22"/>
                <w:szCs w:val="22"/>
              </w:rPr>
              <w:t>Overhead</w:t>
            </w:r>
          </w:p>
        </w:tc>
        <w:tc>
          <w:tcPr>
            <w:tcW w:w="1260" w:type="dxa"/>
            <w:vAlign w:val="center"/>
          </w:tcPr>
          <w:p w14:paraId="1304F742" w14:textId="4BAEAB3C" w:rsidR="009D73A4" w:rsidRPr="00964139" w:rsidRDefault="009D73A4" w:rsidP="00A25290">
            <w:pPr>
              <w:suppressAutoHyphens/>
              <w:jc w:val="right"/>
              <w:rPr>
                <w:rFonts w:ascii="Arial" w:hAnsi="Arial" w:cs="Arial"/>
                <w:sz w:val="22"/>
                <w:szCs w:val="22"/>
              </w:rPr>
            </w:pPr>
            <w:r w:rsidRPr="00964139">
              <w:rPr>
                <w:rFonts w:ascii="Arial" w:hAnsi="Arial" w:cs="Arial"/>
                <w:sz w:val="22"/>
                <w:szCs w:val="22"/>
              </w:rPr>
              <w:t>4,620</w:t>
            </w:r>
          </w:p>
        </w:tc>
      </w:tr>
      <w:tr w:rsidR="00A25290" w:rsidRPr="00964139" w14:paraId="02DAF56B" w14:textId="77777777" w:rsidTr="00964139">
        <w:trPr>
          <w:trHeight w:val="576"/>
          <w:jc w:val="center"/>
        </w:trPr>
        <w:tc>
          <w:tcPr>
            <w:tcW w:w="3060" w:type="dxa"/>
            <w:vAlign w:val="center"/>
          </w:tcPr>
          <w:p w14:paraId="2DF86995" w14:textId="610DADE7" w:rsidR="009D73A4" w:rsidRPr="00964139" w:rsidRDefault="009D73A4" w:rsidP="00E05779">
            <w:pPr>
              <w:suppressAutoHyphens/>
              <w:rPr>
                <w:rFonts w:ascii="Arial" w:hAnsi="Arial" w:cs="Arial"/>
                <w:b/>
                <w:sz w:val="22"/>
                <w:szCs w:val="22"/>
              </w:rPr>
            </w:pPr>
            <w:r w:rsidRPr="00964139">
              <w:rPr>
                <w:rFonts w:ascii="Arial" w:hAnsi="Arial" w:cs="Arial"/>
                <w:b/>
                <w:sz w:val="22"/>
                <w:szCs w:val="22"/>
              </w:rPr>
              <w:t>TOTAL:</w:t>
            </w:r>
          </w:p>
        </w:tc>
        <w:tc>
          <w:tcPr>
            <w:tcW w:w="1260" w:type="dxa"/>
            <w:vAlign w:val="center"/>
          </w:tcPr>
          <w:p w14:paraId="2DF749E7" w14:textId="06EBFB96" w:rsidR="009D73A4" w:rsidRPr="00964139" w:rsidRDefault="009D73A4" w:rsidP="00A25290">
            <w:pPr>
              <w:suppressAutoHyphens/>
              <w:jc w:val="right"/>
              <w:rPr>
                <w:rFonts w:ascii="Arial" w:hAnsi="Arial" w:cs="Arial"/>
                <w:b/>
                <w:sz w:val="22"/>
                <w:szCs w:val="22"/>
              </w:rPr>
            </w:pPr>
            <w:r w:rsidRPr="00964139">
              <w:rPr>
                <w:rFonts w:ascii="Arial" w:hAnsi="Arial" w:cs="Arial"/>
                <w:b/>
                <w:sz w:val="22"/>
                <w:szCs w:val="22"/>
              </w:rPr>
              <w:t>$51,325</w:t>
            </w:r>
          </w:p>
        </w:tc>
      </w:tr>
    </w:tbl>
    <w:p w14:paraId="1EA4B77B" w14:textId="77777777" w:rsidR="00AF1157" w:rsidRPr="00A25290" w:rsidRDefault="00AF1157" w:rsidP="004D086A">
      <w:pPr>
        <w:ind w:left="360"/>
        <w:rPr>
          <w:rFonts w:ascii="Arial" w:hAnsi="Arial" w:cs="Arial"/>
          <w:sz w:val="22"/>
          <w:szCs w:val="22"/>
        </w:rPr>
      </w:pPr>
    </w:p>
    <w:p w14:paraId="1A074DD0" w14:textId="5CFF29C9" w:rsidR="00A25290" w:rsidRPr="005309FE" w:rsidRDefault="00D6325C" w:rsidP="00A25290">
      <w:pPr>
        <w:tabs>
          <w:tab w:val="left" w:pos="8496"/>
        </w:tabs>
        <w:suppressAutoHyphens/>
        <w:spacing w:line="240" w:lineRule="atLeast"/>
        <w:ind w:left="360"/>
        <w:rPr>
          <w:rFonts w:ascii="Arial" w:hAnsi="Arial" w:cs="Arial"/>
          <w:sz w:val="22"/>
          <w:szCs w:val="22"/>
        </w:rPr>
      </w:pPr>
      <w:r w:rsidRPr="00A25290">
        <w:rPr>
          <w:rFonts w:ascii="Arial" w:hAnsi="Arial" w:cs="Arial"/>
          <w:sz w:val="22"/>
          <w:szCs w:val="22"/>
        </w:rPr>
        <w:t xml:space="preserve">Printing and distribution costs </w:t>
      </w:r>
      <w:r w:rsidR="00DA29D8" w:rsidRPr="00A25290">
        <w:rPr>
          <w:rFonts w:ascii="Arial" w:hAnsi="Arial" w:cs="Arial"/>
          <w:sz w:val="22"/>
          <w:szCs w:val="22"/>
        </w:rPr>
        <w:t xml:space="preserve">to the Federal government </w:t>
      </w:r>
      <w:r w:rsidRPr="00A25290">
        <w:rPr>
          <w:rFonts w:ascii="Arial" w:hAnsi="Arial" w:cs="Arial"/>
          <w:sz w:val="22"/>
          <w:szCs w:val="22"/>
        </w:rPr>
        <w:t xml:space="preserve">have </w:t>
      </w:r>
      <w:r w:rsidR="00DA29D8" w:rsidRPr="00A25290">
        <w:rPr>
          <w:rFonts w:ascii="Arial" w:hAnsi="Arial" w:cs="Arial"/>
          <w:sz w:val="22"/>
          <w:szCs w:val="22"/>
        </w:rPr>
        <w:t xml:space="preserve">decreased to $0.00 in </w:t>
      </w:r>
      <w:r w:rsidRPr="00A25290">
        <w:rPr>
          <w:rFonts w:ascii="Arial" w:hAnsi="Arial" w:cs="Arial"/>
          <w:sz w:val="22"/>
          <w:szCs w:val="22"/>
        </w:rPr>
        <w:t xml:space="preserve">TTB’s cost estimate due to the </w:t>
      </w:r>
      <w:r w:rsidR="00DA29D8" w:rsidRPr="00A25290">
        <w:rPr>
          <w:rFonts w:ascii="Arial" w:hAnsi="Arial" w:cs="Arial"/>
          <w:sz w:val="22"/>
          <w:szCs w:val="22"/>
        </w:rPr>
        <w:t xml:space="preserve">availability of </w:t>
      </w:r>
      <w:r w:rsidR="00022DAB">
        <w:rPr>
          <w:rFonts w:ascii="Arial" w:hAnsi="Arial" w:cs="Arial"/>
          <w:sz w:val="22"/>
          <w:szCs w:val="22"/>
        </w:rPr>
        <w:t xml:space="preserve">TTB F 5210.5 and TTB F 5250.5 </w:t>
      </w:r>
      <w:r w:rsidR="003C1FD2" w:rsidRPr="00A25290">
        <w:rPr>
          <w:rFonts w:ascii="Arial" w:hAnsi="Arial" w:cs="Arial"/>
          <w:sz w:val="22"/>
          <w:szCs w:val="22"/>
        </w:rPr>
        <w:t xml:space="preserve">to the public </w:t>
      </w:r>
      <w:r w:rsidR="00DA29D8" w:rsidRPr="00A25290">
        <w:rPr>
          <w:rFonts w:ascii="Arial" w:hAnsi="Arial" w:cs="Arial"/>
          <w:sz w:val="22"/>
          <w:szCs w:val="22"/>
        </w:rPr>
        <w:t>on the TTB website</w:t>
      </w:r>
      <w:r w:rsidR="00DA29D8" w:rsidRPr="00A5320B">
        <w:rPr>
          <w:rFonts w:ascii="Arial" w:hAnsi="Arial" w:cs="Arial"/>
          <w:sz w:val="22"/>
          <w:szCs w:val="22"/>
        </w:rPr>
        <w:t xml:space="preserve"> </w:t>
      </w:r>
      <w:r w:rsidR="00A25290">
        <w:rPr>
          <w:rFonts w:ascii="Arial" w:hAnsi="Arial" w:cs="Arial"/>
          <w:sz w:val="22"/>
          <w:szCs w:val="22"/>
        </w:rPr>
        <w:t xml:space="preserve">at </w:t>
      </w:r>
      <w:hyperlink r:id="rId10" w:history="1">
        <w:r w:rsidR="00A25290" w:rsidRPr="000F0D90">
          <w:rPr>
            <w:rStyle w:val="Hyperlink"/>
            <w:rFonts w:ascii="Arial" w:hAnsi="Arial" w:cs="Arial"/>
            <w:sz w:val="22"/>
            <w:szCs w:val="22"/>
          </w:rPr>
          <w:t>https://www.ttb.gov/</w:t>
        </w:r>
      </w:hyperlink>
      <w:r w:rsidR="00A25290" w:rsidRPr="005309FE">
        <w:rPr>
          <w:rFonts w:ascii="Arial" w:hAnsi="Arial" w:cs="Arial"/>
          <w:sz w:val="22"/>
          <w:szCs w:val="22"/>
        </w:rPr>
        <w:t xml:space="preserve">. </w:t>
      </w:r>
    </w:p>
    <w:p w14:paraId="49838C8E" w14:textId="77777777" w:rsidR="00D6325C" w:rsidRPr="00A5320B" w:rsidRDefault="00D6325C" w:rsidP="00D73D2D">
      <w:pPr>
        <w:rPr>
          <w:rFonts w:ascii="Arial" w:hAnsi="Arial" w:cs="Arial"/>
          <w:sz w:val="36"/>
          <w:szCs w:val="36"/>
        </w:rPr>
      </w:pPr>
    </w:p>
    <w:p w14:paraId="56B404F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3306335" w14:textId="77777777" w:rsidR="00AF1157" w:rsidRDefault="00AF1157" w:rsidP="00D73D2D">
      <w:pPr>
        <w:suppressAutoHyphens/>
        <w:rPr>
          <w:rFonts w:ascii="Arial" w:hAnsi="Arial" w:cs="Arial"/>
          <w:sz w:val="22"/>
          <w:szCs w:val="22"/>
        </w:rPr>
      </w:pPr>
    </w:p>
    <w:p w14:paraId="5C74EA75" w14:textId="56F861A1" w:rsidR="00910FF5" w:rsidRDefault="00910FF5" w:rsidP="00A25290">
      <w:pPr>
        <w:ind w:left="360"/>
        <w:rPr>
          <w:rFonts w:ascii="Arial" w:hAnsi="Arial" w:cs="Arial"/>
          <w:sz w:val="22"/>
          <w:szCs w:val="22"/>
        </w:rPr>
      </w:pPr>
      <w:r w:rsidRPr="00910FF5">
        <w:rPr>
          <w:rFonts w:ascii="Arial" w:hAnsi="Arial" w:cs="Arial"/>
          <w:sz w:val="22"/>
          <w:szCs w:val="22"/>
        </w:rPr>
        <w:t>There are no program changes associated with this information collection request.  As for adjustments, due to changes in agency estimates, TTB is decreasing the number of annual respondents, responses, and burden hours, and costs associated with this i</w:t>
      </w:r>
      <w:r>
        <w:rPr>
          <w:rFonts w:ascii="Arial" w:hAnsi="Arial" w:cs="Arial"/>
          <w:sz w:val="22"/>
          <w:szCs w:val="22"/>
        </w:rPr>
        <w:t xml:space="preserve">nformation collection request. </w:t>
      </w:r>
    </w:p>
    <w:p w14:paraId="7A53A690" w14:textId="77777777" w:rsidR="00910FF5" w:rsidRDefault="00910FF5" w:rsidP="00A25290">
      <w:pPr>
        <w:ind w:left="360"/>
        <w:rPr>
          <w:rFonts w:ascii="Arial" w:hAnsi="Arial" w:cs="Arial"/>
          <w:sz w:val="22"/>
          <w:szCs w:val="22"/>
        </w:rPr>
      </w:pPr>
    </w:p>
    <w:p w14:paraId="7629DE2A" w14:textId="02BA2569" w:rsidR="00910FF5" w:rsidRDefault="00910FF5" w:rsidP="00A25290">
      <w:pPr>
        <w:ind w:left="360"/>
        <w:rPr>
          <w:rFonts w:ascii="Arial" w:hAnsi="Arial" w:cs="Arial"/>
          <w:sz w:val="22"/>
          <w:szCs w:val="22"/>
        </w:rPr>
      </w:pPr>
      <w:r w:rsidRPr="00910FF5">
        <w:rPr>
          <w:rFonts w:ascii="Arial" w:hAnsi="Arial" w:cs="Arial"/>
          <w:sz w:val="22"/>
          <w:szCs w:val="22"/>
        </w:rPr>
        <w:t>Regarding TTB F 5210.5, Report—Manufacturer of Tobacco Products or Cigarette Papers and Tubes, TTB is decreasing the number of annual respondents from 250 to 205, resulting in a decrease in the number of annual responses and burden hours from 3,000 to 2,460.  This change in agency estimate is due to a decrease in the number of such m</w:t>
      </w:r>
      <w:r>
        <w:rPr>
          <w:rFonts w:ascii="Arial" w:hAnsi="Arial" w:cs="Arial"/>
          <w:sz w:val="22"/>
          <w:szCs w:val="22"/>
        </w:rPr>
        <w:t xml:space="preserve">anufacturers regulated by TTB. </w:t>
      </w:r>
    </w:p>
    <w:p w14:paraId="217DBCCE" w14:textId="77777777" w:rsidR="00910FF5" w:rsidRDefault="00910FF5" w:rsidP="00A25290">
      <w:pPr>
        <w:ind w:left="360"/>
        <w:rPr>
          <w:rFonts w:ascii="Arial" w:hAnsi="Arial" w:cs="Arial"/>
          <w:sz w:val="22"/>
          <w:szCs w:val="22"/>
        </w:rPr>
      </w:pPr>
    </w:p>
    <w:p w14:paraId="6FC0E62D" w14:textId="3D0F3537" w:rsidR="00910FF5" w:rsidRDefault="00910FF5" w:rsidP="00A25290">
      <w:pPr>
        <w:ind w:left="360"/>
        <w:rPr>
          <w:rFonts w:ascii="Arial" w:hAnsi="Arial" w:cs="Arial"/>
          <w:sz w:val="22"/>
          <w:szCs w:val="22"/>
        </w:rPr>
      </w:pPr>
      <w:r w:rsidRPr="00910FF5">
        <w:rPr>
          <w:rFonts w:ascii="Arial" w:hAnsi="Arial" w:cs="Arial"/>
          <w:sz w:val="22"/>
          <w:szCs w:val="22"/>
        </w:rPr>
        <w:t xml:space="preserve">Regarding TTB F 5250.1, Report—Manufacturer of Processed Tobacco, TTB is decreasing the number of annual respondents from 250 to 30, resulting in a decrease in the number of annual responses and burden hours from 3,000 to 360.  This processed tobacco information collection is a recent addition to TTB’s inventory, and when first calculating the new collection’s burden, TTB </w:t>
      </w:r>
      <w:r w:rsidR="003E52AC">
        <w:rPr>
          <w:rFonts w:ascii="Arial" w:hAnsi="Arial" w:cs="Arial"/>
          <w:sz w:val="22"/>
          <w:szCs w:val="22"/>
        </w:rPr>
        <w:t xml:space="preserve">made an assumption </w:t>
      </w:r>
      <w:r w:rsidRPr="00910FF5">
        <w:rPr>
          <w:rFonts w:ascii="Arial" w:hAnsi="Arial" w:cs="Arial"/>
          <w:sz w:val="22"/>
          <w:szCs w:val="22"/>
        </w:rPr>
        <w:t>that all tobacco product manufacturers would also manufacture processed tobacco.  However, TTB is now able to accurately report that it regulates only 30 manufacturers of processed tobacco, which results in t</w:t>
      </w:r>
      <w:r>
        <w:rPr>
          <w:rFonts w:ascii="Arial" w:hAnsi="Arial" w:cs="Arial"/>
          <w:sz w:val="22"/>
          <w:szCs w:val="22"/>
        </w:rPr>
        <w:t xml:space="preserve">his change in agency estimate. </w:t>
      </w:r>
    </w:p>
    <w:p w14:paraId="20F59848" w14:textId="77777777" w:rsidR="00910FF5" w:rsidRDefault="00910FF5" w:rsidP="00A25290">
      <w:pPr>
        <w:ind w:left="360"/>
        <w:rPr>
          <w:rFonts w:ascii="Arial" w:hAnsi="Arial" w:cs="Arial"/>
          <w:sz w:val="22"/>
          <w:szCs w:val="22"/>
        </w:rPr>
      </w:pPr>
    </w:p>
    <w:p w14:paraId="6DDD10A5" w14:textId="307A9D29" w:rsidR="00910FF5" w:rsidRDefault="00910FF5" w:rsidP="00910FF5">
      <w:pPr>
        <w:ind w:left="360"/>
        <w:rPr>
          <w:rFonts w:ascii="Arial" w:hAnsi="Arial" w:cs="Arial"/>
          <w:sz w:val="22"/>
          <w:szCs w:val="22"/>
        </w:rPr>
      </w:pPr>
      <w:r w:rsidRPr="00910FF5">
        <w:rPr>
          <w:rFonts w:ascii="Arial" w:hAnsi="Arial" w:cs="Arial"/>
          <w:sz w:val="22"/>
          <w:szCs w:val="22"/>
        </w:rPr>
        <w:t xml:space="preserve">As a result of these decreases in the number of respondents, responses, and burden hours, TTB is also reporting decreases in the estimated costs to respondents and the Federal Government associated with this information collection request, from $44,970 to $22,560 in respondent costs, and from $104,000 to </w:t>
      </w:r>
      <w:r w:rsidR="000D2344">
        <w:rPr>
          <w:rFonts w:ascii="Arial" w:hAnsi="Arial" w:cs="Arial"/>
          <w:sz w:val="22"/>
          <w:szCs w:val="22"/>
        </w:rPr>
        <w:t>$</w:t>
      </w:r>
      <w:r w:rsidRPr="00910FF5">
        <w:rPr>
          <w:rFonts w:ascii="Arial" w:hAnsi="Arial" w:cs="Arial"/>
          <w:sz w:val="22"/>
          <w:szCs w:val="22"/>
        </w:rPr>
        <w:t>51,325 in Government costs.</w:t>
      </w:r>
      <w:r>
        <w:rPr>
          <w:rFonts w:ascii="Arial" w:hAnsi="Arial" w:cs="Arial"/>
          <w:sz w:val="22"/>
          <w:szCs w:val="22"/>
        </w:rPr>
        <w:t xml:space="preserve"> </w:t>
      </w:r>
    </w:p>
    <w:p w14:paraId="4D881B8B" w14:textId="77777777" w:rsidR="00AF060A" w:rsidRPr="000B6799" w:rsidRDefault="00AF060A" w:rsidP="00AF060A">
      <w:pPr>
        <w:suppressAutoHyphens/>
        <w:rPr>
          <w:rFonts w:ascii="Arial" w:hAnsi="Arial" w:cs="Arial"/>
          <w:sz w:val="36"/>
          <w:szCs w:val="36"/>
        </w:rPr>
      </w:pPr>
    </w:p>
    <w:p w14:paraId="79957FA8" w14:textId="0B796290"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74F39E7" w14:textId="77777777" w:rsidR="00AF1157" w:rsidRPr="007A5D4B" w:rsidRDefault="00AF1157" w:rsidP="00D73D2D">
      <w:pPr>
        <w:suppressAutoHyphens/>
        <w:ind w:left="480" w:hanging="480"/>
        <w:rPr>
          <w:rFonts w:ascii="Arial" w:hAnsi="Arial" w:cs="Arial"/>
          <w:sz w:val="22"/>
          <w:szCs w:val="22"/>
        </w:rPr>
      </w:pPr>
    </w:p>
    <w:p w14:paraId="4C9BDA58" w14:textId="4AC6F126" w:rsidR="000F52E8" w:rsidRDefault="000F52E8" w:rsidP="00833885">
      <w:pPr>
        <w:suppressAutoHyphens/>
        <w:ind w:left="360"/>
        <w:rPr>
          <w:rFonts w:ascii="Arial" w:hAnsi="Arial" w:cs="Arial"/>
          <w:sz w:val="22"/>
          <w:szCs w:val="22"/>
        </w:rPr>
      </w:pPr>
      <w:r w:rsidRPr="000F52E8">
        <w:rPr>
          <w:rFonts w:ascii="Arial" w:hAnsi="Arial" w:cs="Arial"/>
          <w:sz w:val="22"/>
          <w:szCs w:val="22"/>
        </w:rPr>
        <w:t xml:space="preserve">The </w:t>
      </w:r>
      <w:r w:rsidR="00833885">
        <w:rPr>
          <w:rFonts w:ascii="Arial" w:hAnsi="Arial" w:cs="Arial"/>
          <w:sz w:val="22"/>
          <w:szCs w:val="22"/>
        </w:rPr>
        <w:t xml:space="preserve">tobacco </w:t>
      </w:r>
      <w:r w:rsidR="009D6558">
        <w:rPr>
          <w:rFonts w:ascii="Arial" w:hAnsi="Arial" w:cs="Arial"/>
          <w:sz w:val="22"/>
          <w:szCs w:val="22"/>
        </w:rPr>
        <w:t xml:space="preserve">production and removal </w:t>
      </w:r>
      <w:r w:rsidRPr="000F52E8">
        <w:rPr>
          <w:rFonts w:ascii="Arial" w:hAnsi="Arial" w:cs="Arial"/>
          <w:sz w:val="22"/>
          <w:szCs w:val="22"/>
        </w:rPr>
        <w:t xml:space="preserve">data collected on </w:t>
      </w:r>
      <w:r w:rsidR="00833885">
        <w:rPr>
          <w:rFonts w:ascii="Arial" w:hAnsi="Arial" w:cs="Arial"/>
          <w:sz w:val="22"/>
          <w:szCs w:val="22"/>
        </w:rPr>
        <w:t xml:space="preserve">TTB F 5210.5, </w:t>
      </w:r>
      <w:r w:rsidR="00833885" w:rsidRPr="00833885">
        <w:rPr>
          <w:rFonts w:ascii="Arial" w:hAnsi="Arial" w:cs="Arial"/>
          <w:sz w:val="22"/>
          <w:szCs w:val="22"/>
        </w:rPr>
        <w:t>Report—Manufacturer of Tobacco Products or Cigarette Papers and Tubes</w:t>
      </w:r>
      <w:r w:rsidR="00833885">
        <w:rPr>
          <w:rFonts w:ascii="Arial" w:hAnsi="Arial" w:cs="Arial"/>
          <w:sz w:val="22"/>
          <w:szCs w:val="22"/>
        </w:rPr>
        <w:t xml:space="preserve">, is </w:t>
      </w:r>
      <w:r w:rsidR="009D6558">
        <w:rPr>
          <w:rFonts w:ascii="Arial" w:hAnsi="Arial" w:cs="Arial"/>
          <w:sz w:val="22"/>
          <w:szCs w:val="22"/>
        </w:rPr>
        <w:t xml:space="preserve">collectively </w:t>
      </w:r>
      <w:r w:rsidR="00833885">
        <w:rPr>
          <w:rFonts w:ascii="Arial" w:hAnsi="Arial" w:cs="Arial"/>
          <w:sz w:val="22"/>
          <w:szCs w:val="22"/>
        </w:rPr>
        <w:t xml:space="preserve">summarized by TTB and published as the </w:t>
      </w:r>
      <w:r w:rsidR="00833885" w:rsidRPr="00833885">
        <w:rPr>
          <w:rFonts w:ascii="Arial" w:hAnsi="Arial" w:cs="Arial"/>
          <w:sz w:val="22"/>
          <w:szCs w:val="22"/>
        </w:rPr>
        <w:t>Tobacco Statistical Release</w:t>
      </w:r>
      <w:r w:rsidR="00833885">
        <w:rPr>
          <w:rFonts w:ascii="Arial" w:hAnsi="Arial" w:cs="Arial"/>
          <w:sz w:val="22"/>
          <w:szCs w:val="22"/>
        </w:rPr>
        <w:t xml:space="preserve"> on a monthly and annual basis.  TTB posts</w:t>
      </w:r>
      <w:r w:rsidR="009D6558">
        <w:rPr>
          <w:rFonts w:ascii="Arial" w:hAnsi="Arial" w:cs="Arial"/>
          <w:sz w:val="22"/>
          <w:szCs w:val="22"/>
        </w:rPr>
        <w:t xml:space="preserve"> these reports on its website for public viewing at </w:t>
      </w:r>
      <w:hyperlink r:id="rId11" w:history="1">
        <w:r w:rsidR="009D6558" w:rsidRPr="00331D15">
          <w:rPr>
            <w:rStyle w:val="Hyperlink"/>
            <w:rFonts w:ascii="Arial" w:hAnsi="Arial" w:cs="Arial"/>
            <w:sz w:val="22"/>
            <w:szCs w:val="22"/>
          </w:rPr>
          <w:t>https://www.ttb.gov/tobacco/tobacco-stats.shtml</w:t>
        </w:r>
      </w:hyperlink>
      <w:r w:rsidR="009D6558">
        <w:rPr>
          <w:rStyle w:val="Hyperlink"/>
          <w:rFonts w:ascii="Arial" w:hAnsi="Arial" w:cs="Arial"/>
          <w:sz w:val="22"/>
          <w:szCs w:val="22"/>
        </w:rPr>
        <w:t>.</w:t>
      </w:r>
      <w:r w:rsidR="009D6558" w:rsidRPr="009D6558">
        <w:rPr>
          <w:rStyle w:val="Hyperlink"/>
          <w:rFonts w:ascii="Arial" w:hAnsi="Arial" w:cs="Arial"/>
          <w:color w:val="auto"/>
          <w:sz w:val="22"/>
          <w:szCs w:val="22"/>
          <w:u w:val="none"/>
        </w:rPr>
        <w:t xml:space="preserve">  </w:t>
      </w:r>
      <w:r w:rsidRPr="000F52E8">
        <w:rPr>
          <w:rFonts w:ascii="Arial" w:hAnsi="Arial" w:cs="Arial"/>
          <w:sz w:val="22"/>
          <w:szCs w:val="22"/>
        </w:rPr>
        <w:t xml:space="preserve">However, the data published in these statistical releases is generalized and cannot be traced to </w:t>
      </w:r>
      <w:r w:rsidR="009D6558">
        <w:rPr>
          <w:rFonts w:ascii="Arial" w:hAnsi="Arial" w:cs="Arial"/>
          <w:sz w:val="22"/>
          <w:szCs w:val="22"/>
        </w:rPr>
        <w:t xml:space="preserve">individual tobacco products manufacturers.  Data related to the production of cigarette papers and tubes, and data collected on TTB F 5250.1, </w:t>
      </w:r>
      <w:r w:rsidR="00833885" w:rsidRPr="00833885">
        <w:rPr>
          <w:rFonts w:ascii="Arial" w:hAnsi="Arial" w:cs="Arial"/>
          <w:sz w:val="22"/>
          <w:szCs w:val="22"/>
        </w:rPr>
        <w:t>Report—Manufacturer of Processed Tobacco</w:t>
      </w:r>
      <w:r w:rsidR="009D6558">
        <w:rPr>
          <w:rFonts w:ascii="Arial" w:hAnsi="Arial" w:cs="Arial"/>
          <w:sz w:val="22"/>
          <w:szCs w:val="22"/>
        </w:rPr>
        <w:t>, is not published</w:t>
      </w:r>
      <w:r w:rsidR="00833885" w:rsidRPr="00833885">
        <w:rPr>
          <w:rFonts w:ascii="Arial" w:hAnsi="Arial" w:cs="Arial"/>
          <w:sz w:val="22"/>
          <w:szCs w:val="22"/>
        </w:rPr>
        <w:t>.</w:t>
      </w:r>
      <w:r w:rsidR="003E52AC">
        <w:rPr>
          <w:rFonts w:ascii="Arial" w:hAnsi="Arial" w:cs="Arial"/>
          <w:sz w:val="22"/>
          <w:szCs w:val="22"/>
        </w:rPr>
        <w:t xml:space="preserve"> </w:t>
      </w:r>
    </w:p>
    <w:p w14:paraId="7134F9D0" w14:textId="77777777" w:rsidR="00AF1157" w:rsidRPr="00A5320B" w:rsidRDefault="00AF1157" w:rsidP="00D73D2D">
      <w:pPr>
        <w:suppressAutoHyphens/>
        <w:rPr>
          <w:rFonts w:ascii="Arial" w:hAnsi="Arial" w:cs="Arial"/>
          <w:sz w:val="36"/>
          <w:szCs w:val="36"/>
        </w:rPr>
      </w:pPr>
    </w:p>
    <w:p w14:paraId="18609202" w14:textId="77777777"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4BCE0A80" w14:textId="77777777" w:rsidR="00AF1157" w:rsidRPr="007A5D4B" w:rsidRDefault="00AF1157" w:rsidP="00D73D2D">
      <w:pPr>
        <w:suppressAutoHyphens/>
        <w:rPr>
          <w:rFonts w:ascii="Arial" w:hAnsi="Arial" w:cs="Arial"/>
          <w:sz w:val="22"/>
          <w:szCs w:val="22"/>
        </w:rPr>
      </w:pPr>
    </w:p>
    <w:p w14:paraId="1928B102" w14:textId="11557B0C" w:rsidR="009D6558" w:rsidRPr="009D6558" w:rsidRDefault="009D6558" w:rsidP="009D6558">
      <w:pPr>
        <w:ind w:left="360"/>
        <w:rPr>
          <w:rFonts w:ascii="Arial" w:hAnsi="Arial" w:cs="Arial"/>
          <w:sz w:val="22"/>
          <w:szCs w:val="22"/>
        </w:rPr>
      </w:pPr>
      <w:r w:rsidRPr="009D6558">
        <w:rPr>
          <w:rFonts w:ascii="Arial" w:hAnsi="Arial" w:cs="Arial"/>
          <w:sz w:val="22"/>
          <w:szCs w:val="22"/>
        </w:rPr>
        <w:t>TTB will display the expiration date of OMB approva</w:t>
      </w:r>
      <w:r>
        <w:rPr>
          <w:rFonts w:ascii="Arial" w:hAnsi="Arial" w:cs="Arial"/>
          <w:sz w:val="22"/>
          <w:szCs w:val="22"/>
        </w:rPr>
        <w:t>l for this collection on TTB F 5210.5 and TTB F 5250.1.</w:t>
      </w:r>
      <w:r w:rsidRPr="009D6558">
        <w:rPr>
          <w:rFonts w:ascii="Arial" w:hAnsi="Arial" w:cs="Arial"/>
          <w:sz w:val="22"/>
          <w:szCs w:val="22"/>
        </w:rPr>
        <w:t xml:space="preserve"> </w:t>
      </w:r>
    </w:p>
    <w:p w14:paraId="2CC2A652" w14:textId="77777777" w:rsidR="00014CEB" w:rsidRPr="000B6799" w:rsidRDefault="00014CEB" w:rsidP="009D6558">
      <w:pPr>
        <w:autoSpaceDE w:val="0"/>
        <w:autoSpaceDN w:val="0"/>
        <w:rPr>
          <w:rFonts w:ascii="Arial" w:hAnsi="Arial" w:cs="Arial"/>
          <w:sz w:val="36"/>
          <w:szCs w:val="36"/>
        </w:rPr>
      </w:pPr>
    </w:p>
    <w:p w14:paraId="427361F8"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F823A30" w14:textId="77777777" w:rsidR="00AF1157" w:rsidRPr="00FD18EE" w:rsidRDefault="00AF1157" w:rsidP="00BA1A21">
      <w:pPr>
        <w:suppressAutoHyphens/>
        <w:ind w:left="360"/>
        <w:rPr>
          <w:rFonts w:ascii="Arial" w:hAnsi="Arial" w:cs="Arial"/>
          <w:sz w:val="22"/>
          <w:szCs w:val="22"/>
        </w:rPr>
      </w:pPr>
    </w:p>
    <w:p w14:paraId="069C0606" w14:textId="6E1E36AF"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2A9FC39C"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4E2010B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3F2D01AF"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592D78ED" w14:textId="77777777" w:rsidR="00E115FD" w:rsidRPr="00D943BE" w:rsidRDefault="00E115FD" w:rsidP="00D73D2D">
      <w:pPr>
        <w:rPr>
          <w:rFonts w:ascii="Arial" w:hAnsi="Arial" w:cs="Arial"/>
          <w:sz w:val="36"/>
          <w:szCs w:val="36"/>
        </w:rPr>
      </w:pPr>
    </w:p>
    <w:p w14:paraId="40850E97" w14:textId="77777777" w:rsidR="00851169" w:rsidRPr="00D943BE" w:rsidRDefault="00851169"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0689700A" w14:textId="0E976142" w:rsidR="00BA1A21" w:rsidRPr="007A5D4B" w:rsidRDefault="00BD3333" w:rsidP="001D16C6">
      <w:pPr>
        <w:pStyle w:val="Header"/>
        <w:tabs>
          <w:tab w:val="clear" w:pos="4320"/>
          <w:tab w:val="clear" w:pos="8640"/>
        </w:tabs>
        <w:ind w:left="360"/>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BE07A" w14:textId="77777777" w:rsidR="003E52AC" w:rsidRDefault="003E52AC">
      <w:r>
        <w:separator/>
      </w:r>
    </w:p>
  </w:endnote>
  <w:endnote w:type="continuationSeparator" w:id="0">
    <w:p w14:paraId="6A05031E" w14:textId="77777777" w:rsidR="003E52AC" w:rsidRDefault="003E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B2202" w14:textId="77777777" w:rsidR="007B3B3E" w:rsidRDefault="007B3B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3294038F" w:rsidR="003E52AC" w:rsidRPr="007A5D4B" w:rsidRDefault="003E52AC" w:rsidP="009C6F7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9C6F79">
      <w:rPr>
        <w:rFonts w:ascii="Arial" w:hAnsi="Arial" w:cs="Arial"/>
        <w:sz w:val="20"/>
        <w:szCs w:val="20"/>
      </w:rPr>
      <w:t>1513–0033 Supporting Statement (11–2017)</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37E6E985" w:rsidR="003E52AC" w:rsidRPr="007A5D4B" w:rsidRDefault="003E52AC" w:rsidP="009C6F79">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1513–0033 Supporting Statement (11–2017)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7D8BF" w14:textId="77777777" w:rsidR="003E52AC" w:rsidRDefault="003E52AC">
      <w:r>
        <w:separator/>
      </w:r>
    </w:p>
  </w:footnote>
  <w:footnote w:type="continuationSeparator" w:id="0">
    <w:p w14:paraId="06F5A4F5" w14:textId="77777777" w:rsidR="003E52AC" w:rsidRDefault="003E5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6EAF3" w14:textId="77777777" w:rsidR="007B3B3E" w:rsidRDefault="007B3B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7777777" w:rsidR="003E52AC" w:rsidRPr="007A5D4B" w:rsidRDefault="003E52A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E7C49">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3E52AC" w:rsidRPr="007A5D4B" w:rsidRDefault="003E52A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22DAB"/>
    <w:rsid w:val="000264A6"/>
    <w:rsid w:val="0003032C"/>
    <w:rsid w:val="00030CEB"/>
    <w:rsid w:val="000329F4"/>
    <w:rsid w:val="0004708F"/>
    <w:rsid w:val="000473AC"/>
    <w:rsid w:val="0004764C"/>
    <w:rsid w:val="000571D1"/>
    <w:rsid w:val="00074898"/>
    <w:rsid w:val="00090251"/>
    <w:rsid w:val="00095F53"/>
    <w:rsid w:val="000A2E33"/>
    <w:rsid w:val="000A4E1A"/>
    <w:rsid w:val="000B3E08"/>
    <w:rsid w:val="000B6799"/>
    <w:rsid w:val="000D2344"/>
    <w:rsid w:val="000D6313"/>
    <w:rsid w:val="000F52E8"/>
    <w:rsid w:val="00101DE7"/>
    <w:rsid w:val="00103F5E"/>
    <w:rsid w:val="001608E4"/>
    <w:rsid w:val="001B19E1"/>
    <w:rsid w:val="001D16C6"/>
    <w:rsid w:val="001E7BDE"/>
    <w:rsid w:val="001F2913"/>
    <w:rsid w:val="00207E00"/>
    <w:rsid w:val="0022156B"/>
    <w:rsid w:val="00250066"/>
    <w:rsid w:val="00273CEE"/>
    <w:rsid w:val="00276081"/>
    <w:rsid w:val="002B47FB"/>
    <w:rsid w:val="002B61B7"/>
    <w:rsid w:val="002D1324"/>
    <w:rsid w:val="002E6145"/>
    <w:rsid w:val="003120C7"/>
    <w:rsid w:val="00323394"/>
    <w:rsid w:val="003301DA"/>
    <w:rsid w:val="0033260C"/>
    <w:rsid w:val="00381FFC"/>
    <w:rsid w:val="0038747C"/>
    <w:rsid w:val="003A4DFA"/>
    <w:rsid w:val="003C1FD2"/>
    <w:rsid w:val="003E52AC"/>
    <w:rsid w:val="003F0909"/>
    <w:rsid w:val="0044522E"/>
    <w:rsid w:val="00447B6B"/>
    <w:rsid w:val="00457766"/>
    <w:rsid w:val="00463FBE"/>
    <w:rsid w:val="0049375D"/>
    <w:rsid w:val="004A3DE5"/>
    <w:rsid w:val="004C3724"/>
    <w:rsid w:val="004D086A"/>
    <w:rsid w:val="004D1808"/>
    <w:rsid w:val="004D3468"/>
    <w:rsid w:val="004D4299"/>
    <w:rsid w:val="004E2C89"/>
    <w:rsid w:val="004F23EC"/>
    <w:rsid w:val="004F62C7"/>
    <w:rsid w:val="0050368E"/>
    <w:rsid w:val="00525B29"/>
    <w:rsid w:val="005278E4"/>
    <w:rsid w:val="005309FE"/>
    <w:rsid w:val="00531625"/>
    <w:rsid w:val="00536D29"/>
    <w:rsid w:val="005A6AF2"/>
    <w:rsid w:val="005C282B"/>
    <w:rsid w:val="005E4F99"/>
    <w:rsid w:val="005E4F9B"/>
    <w:rsid w:val="00611ADD"/>
    <w:rsid w:val="006244FF"/>
    <w:rsid w:val="00631780"/>
    <w:rsid w:val="00631967"/>
    <w:rsid w:val="00663972"/>
    <w:rsid w:val="0069718A"/>
    <w:rsid w:val="006A35C6"/>
    <w:rsid w:val="006C1A05"/>
    <w:rsid w:val="006F2142"/>
    <w:rsid w:val="00721C76"/>
    <w:rsid w:val="00734B25"/>
    <w:rsid w:val="00736DD6"/>
    <w:rsid w:val="007646E6"/>
    <w:rsid w:val="0079281F"/>
    <w:rsid w:val="007A5D4B"/>
    <w:rsid w:val="007B3B3E"/>
    <w:rsid w:val="007B4E08"/>
    <w:rsid w:val="007C4A31"/>
    <w:rsid w:val="007D0191"/>
    <w:rsid w:val="007D5727"/>
    <w:rsid w:val="007E319C"/>
    <w:rsid w:val="007E57D5"/>
    <w:rsid w:val="007F40E3"/>
    <w:rsid w:val="00804B0C"/>
    <w:rsid w:val="00811A04"/>
    <w:rsid w:val="00813FCB"/>
    <w:rsid w:val="00827956"/>
    <w:rsid w:val="00833885"/>
    <w:rsid w:val="0084640C"/>
    <w:rsid w:val="00851169"/>
    <w:rsid w:val="00853E85"/>
    <w:rsid w:val="008603B9"/>
    <w:rsid w:val="00874C51"/>
    <w:rsid w:val="008B146B"/>
    <w:rsid w:val="008C399F"/>
    <w:rsid w:val="008E59EF"/>
    <w:rsid w:val="00910FF5"/>
    <w:rsid w:val="00964139"/>
    <w:rsid w:val="0096457D"/>
    <w:rsid w:val="00965E7F"/>
    <w:rsid w:val="00967A7E"/>
    <w:rsid w:val="00987432"/>
    <w:rsid w:val="00990656"/>
    <w:rsid w:val="009A1CD5"/>
    <w:rsid w:val="009A6532"/>
    <w:rsid w:val="009C6F79"/>
    <w:rsid w:val="009D6558"/>
    <w:rsid w:val="009D73A4"/>
    <w:rsid w:val="009E4E4C"/>
    <w:rsid w:val="009F6FA4"/>
    <w:rsid w:val="00A17E04"/>
    <w:rsid w:val="00A201BF"/>
    <w:rsid w:val="00A25290"/>
    <w:rsid w:val="00A5167D"/>
    <w:rsid w:val="00A5320B"/>
    <w:rsid w:val="00A90267"/>
    <w:rsid w:val="00AA3F8F"/>
    <w:rsid w:val="00AA6881"/>
    <w:rsid w:val="00AC686F"/>
    <w:rsid w:val="00AF060A"/>
    <w:rsid w:val="00AF1157"/>
    <w:rsid w:val="00B06EE5"/>
    <w:rsid w:val="00B1047F"/>
    <w:rsid w:val="00B23FF6"/>
    <w:rsid w:val="00B31E02"/>
    <w:rsid w:val="00B508E9"/>
    <w:rsid w:val="00B72AC4"/>
    <w:rsid w:val="00B95061"/>
    <w:rsid w:val="00BA1A21"/>
    <w:rsid w:val="00BB67E5"/>
    <w:rsid w:val="00BC1D1F"/>
    <w:rsid w:val="00BD3333"/>
    <w:rsid w:val="00BE3C19"/>
    <w:rsid w:val="00C1362D"/>
    <w:rsid w:val="00C271EA"/>
    <w:rsid w:val="00C71838"/>
    <w:rsid w:val="00C83B74"/>
    <w:rsid w:val="00CA07BF"/>
    <w:rsid w:val="00CA7E3C"/>
    <w:rsid w:val="00CC0AFC"/>
    <w:rsid w:val="00CC2DE7"/>
    <w:rsid w:val="00CD21EC"/>
    <w:rsid w:val="00CD232E"/>
    <w:rsid w:val="00CF1C87"/>
    <w:rsid w:val="00D004D6"/>
    <w:rsid w:val="00D01AA2"/>
    <w:rsid w:val="00D03A61"/>
    <w:rsid w:val="00D059BB"/>
    <w:rsid w:val="00D414AB"/>
    <w:rsid w:val="00D50640"/>
    <w:rsid w:val="00D56B01"/>
    <w:rsid w:val="00D6325C"/>
    <w:rsid w:val="00D656EA"/>
    <w:rsid w:val="00D66EF8"/>
    <w:rsid w:val="00D71976"/>
    <w:rsid w:val="00D73D2D"/>
    <w:rsid w:val="00D742EE"/>
    <w:rsid w:val="00D76DF0"/>
    <w:rsid w:val="00D85E10"/>
    <w:rsid w:val="00D943BE"/>
    <w:rsid w:val="00DA29D8"/>
    <w:rsid w:val="00DA70FB"/>
    <w:rsid w:val="00DC3E21"/>
    <w:rsid w:val="00DF5F98"/>
    <w:rsid w:val="00E05779"/>
    <w:rsid w:val="00E115FD"/>
    <w:rsid w:val="00E323CD"/>
    <w:rsid w:val="00E414F9"/>
    <w:rsid w:val="00E41ED9"/>
    <w:rsid w:val="00E45CBA"/>
    <w:rsid w:val="00E51AD7"/>
    <w:rsid w:val="00E56E11"/>
    <w:rsid w:val="00E86B1B"/>
    <w:rsid w:val="00EC4FC3"/>
    <w:rsid w:val="00ED4A03"/>
    <w:rsid w:val="00ED7233"/>
    <w:rsid w:val="00EE4237"/>
    <w:rsid w:val="00F03208"/>
    <w:rsid w:val="00F058FA"/>
    <w:rsid w:val="00F10C50"/>
    <w:rsid w:val="00F2730F"/>
    <w:rsid w:val="00F31A40"/>
    <w:rsid w:val="00F618E0"/>
    <w:rsid w:val="00F95A6D"/>
    <w:rsid w:val="00FA228E"/>
    <w:rsid w:val="00FC2EC4"/>
    <w:rsid w:val="00FD18EE"/>
    <w:rsid w:val="00FE29D6"/>
    <w:rsid w:val="00FE66E2"/>
    <w:rsid w:val="00FE7C49"/>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179463056">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471822096">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97924018">
      <w:bodyDiv w:val="1"/>
      <w:marLeft w:val="0"/>
      <w:marRight w:val="0"/>
      <w:marTop w:val="0"/>
      <w:marBottom w:val="0"/>
      <w:divBdr>
        <w:top w:val="none" w:sz="0" w:space="0" w:color="auto"/>
        <w:left w:val="none" w:sz="0" w:space="0" w:color="auto"/>
        <w:bottom w:val="none" w:sz="0" w:space="0" w:color="auto"/>
        <w:right w:val="none" w:sz="0" w:space="0" w:color="auto"/>
      </w:divBdr>
    </w:div>
    <w:div w:id="18991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y.gov/public/home"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tb.gov/tobacco/tobacco-stats.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tb.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tb.gov/foia/pia.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2017-11-20T19:07:00Z</dcterms:created>
  <dcterms:modified xsi:type="dcterms:W3CDTF">2017-11-20T19:07:00Z</dcterms:modified>
</cp:coreProperties>
</file>