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40E5D" w14:textId="77777777" w:rsidR="00DC26CF" w:rsidRDefault="00DC26CF" w:rsidP="00DC26CF">
      <w:pPr>
        <w:jc w:val="center"/>
        <w:rPr>
          <w:smallCaps/>
          <w:sz w:val="40"/>
          <w:szCs w:val="40"/>
        </w:rPr>
      </w:pPr>
    </w:p>
    <w:p w14:paraId="2247C1CE" w14:textId="77777777" w:rsidR="00DC26CF" w:rsidRDefault="00DC26CF" w:rsidP="00DC26CF">
      <w:pPr>
        <w:jc w:val="center"/>
        <w:rPr>
          <w:smallCaps/>
          <w:sz w:val="40"/>
          <w:szCs w:val="40"/>
        </w:rPr>
      </w:pPr>
    </w:p>
    <w:p w14:paraId="35E2C245" w14:textId="77777777" w:rsidR="00DC26CF" w:rsidRPr="00E977CF" w:rsidRDefault="00DC26CF" w:rsidP="00DC26CF">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5743A104" w14:textId="77777777" w:rsidR="00DC26CF" w:rsidRDefault="00DC26CF" w:rsidP="00DC26CF">
      <w:pPr>
        <w:jc w:val="right"/>
        <w:rPr>
          <w:rFonts w:ascii="Arial Black" w:hAnsi="Arial Black"/>
          <w:iCs/>
          <w:sz w:val="40"/>
          <w:szCs w:val="40"/>
        </w:rPr>
      </w:pPr>
    </w:p>
    <w:p w14:paraId="5884E906" w14:textId="77777777" w:rsidR="00DC26CF" w:rsidRPr="00E977CF" w:rsidRDefault="00DC26CF" w:rsidP="00DC26CF">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DEC6B76" w14:textId="77777777" w:rsidR="00DC26CF" w:rsidRPr="00E977CF" w:rsidRDefault="00DC26CF" w:rsidP="00DC26CF">
      <w:pPr>
        <w:jc w:val="right"/>
        <w:rPr>
          <w:rFonts w:ascii="Arial Black" w:hAnsi="Arial Black"/>
          <w:i/>
          <w:sz w:val="48"/>
          <w:szCs w:val="48"/>
        </w:rPr>
      </w:pPr>
    </w:p>
    <w:p w14:paraId="71E3775D" w14:textId="77777777" w:rsidR="00DC26CF" w:rsidRDefault="00DC26CF" w:rsidP="00DC26CF">
      <w:pPr>
        <w:jc w:val="right"/>
        <w:rPr>
          <w:rFonts w:ascii="Arial Black" w:hAnsi="Arial Black"/>
          <w:iCs/>
          <w:sz w:val="40"/>
          <w:szCs w:val="40"/>
        </w:rPr>
      </w:pPr>
    </w:p>
    <w:p w14:paraId="3E672166" w14:textId="30A0C85F" w:rsidR="00DC26CF" w:rsidRPr="00E977CF" w:rsidRDefault="00DC26CF" w:rsidP="00DC26CF">
      <w:pPr>
        <w:jc w:val="right"/>
        <w:rPr>
          <w:rFonts w:ascii="Arial Black" w:hAnsi="Arial Black"/>
          <w:iCs/>
          <w:sz w:val="40"/>
          <w:szCs w:val="40"/>
        </w:rPr>
      </w:pPr>
      <w:r>
        <w:rPr>
          <w:rFonts w:ascii="Arial Black" w:hAnsi="Arial Black"/>
          <w:iCs/>
          <w:sz w:val="40"/>
          <w:szCs w:val="40"/>
        </w:rPr>
        <w:t xml:space="preserve">Supporting Statement </w:t>
      </w:r>
      <w:r w:rsidRPr="00E977CF">
        <w:rPr>
          <w:rFonts w:ascii="Arial Black" w:hAnsi="Arial Black"/>
          <w:iCs/>
          <w:sz w:val="40"/>
          <w:szCs w:val="40"/>
        </w:rPr>
        <w:t xml:space="preserve">Part </w:t>
      </w:r>
      <w:r>
        <w:rPr>
          <w:rFonts w:ascii="Arial Black" w:hAnsi="Arial Black"/>
          <w:iCs/>
          <w:sz w:val="40"/>
          <w:szCs w:val="40"/>
        </w:rPr>
        <w:t>B</w:t>
      </w:r>
    </w:p>
    <w:p w14:paraId="15790E37" w14:textId="64805C88" w:rsidR="00DC26CF" w:rsidRPr="00E977CF" w:rsidRDefault="00DC26CF" w:rsidP="00DC26CF">
      <w:pPr>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Pr>
          <w:rFonts w:ascii="Arial Black" w:hAnsi="Arial Black"/>
          <w:iCs/>
          <w:sz w:val="40"/>
          <w:szCs w:val="40"/>
        </w:rPr>
        <w:t>1</w:t>
      </w:r>
      <w:r w:rsidR="006C5A57">
        <w:rPr>
          <w:rFonts w:ascii="Arial Black" w:hAnsi="Arial Black"/>
          <w:iCs/>
          <w:sz w:val="40"/>
          <w:szCs w:val="40"/>
        </w:rPr>
        <w:t>4</w:t>
      </w:r>
      <w:bookmarkStart w:id="0" w:name="_GoBack"/>
      <w:bookmarkEnd w:id="0"/>
    </w:p>
    <w:p w14:paraId="60230462" w14:textId="77777777" w:rsidR="00DC26CF" w:rsidRDefault="00DC26CF" w:rsidP="00DC26CF">
      <w:pPr>
        <w:jc w:val="right"/>
        <w:rPr>
          <w:rFonts w:ascii="Arial Black" w:hAnsi="Arial Black"/>
          <w:iCs/>
          <w:sz w:val="48"/>
          <w:szCs w:val="48"/>
        </w:rPr>
      </w:pPr>
    </w:p>
    <w:p w14:paraId="3A6C0A7B" w14:textId="77777777" w:rsidR="00DC26CF" w:rsidRDefault="00DC26CF" w:rsidP="00DC26CF">
      <w:pPr>
        <w:jc w:val="right"/>
        <w:rPr>
          <w:rFonts w:ascii="Arial Black" w:hAnsi="Arial Black"/>
          <w:iCs/>
          <w:sz w:val="48"/>
          <w:szCs w:val="48"/>
        </w:rPr>
      </w:pPr>
    </w:p>
    <w:p w14:paraId="5DDAD338" w14:textId="77777777" w:rsidR="00DC26CF" w:rsidRPr="00E977CF" w:rsidRDefault="00DC26CF" w:rsidP="00DC26CF">
      <w:pPr>
        <w:jc w:val="right"/>
        <w:rPr>
          <w:rFonts w:ascii="Arial Black" w:hAnsi="Arial Black"/>
          <w:iCs/>
          <w:sz w:val="48"/>
          <w:szCs w:val="48"/>
        </w:rPr>
      </w:pPr>
    </w:p>
    <w:p w14:paraId="2EE5F093" w14:textId="77777777" w:rsidR="00DC26CF" w:rsidRPr="00E977CF" w:rsidRDefault="00DC26CF" w:rsidP="00DC26CF">
      <w:pPr>
        <w:jc w:val="right"/>
        <w:rPr>
          <w:rFonts w:ascii="Arial Black" w:hAnsi="Arial Black"/>
          <w:iCs/>
          <w:sz w:val="48"/>
          <w:szCs w:val="48"/>
        </w:rPr>
      </w:pPr>
    </w:p>
    <w:p w14:paraId="464AFA17" w14:textId="77777777" w:rsidR="00DC26CF" w:rsidRPr="00E977CF" w:rsidRDefault="00DC26CF" w:rsidP="00DC26CF">
      <w:pPr>
        <w:jc w:val="right"/>
        <w:rPr>
          <w:rFonts w:ascii="Arial Black" w:hAnsi="Arial Black"/>
          <w:iCs/>
          <w:szCs w:val="24"/>
        </w:rPr>
      </w:pPr>
      <w:r w:rsidRPr="00E977CF">
        <w:rPr>
          <w:rFonts w:ascii="Arial Black" w:hAnsi="Arial Black"/>
          <w:iCs/>
          <w:szCs w:val="24"/>
        </w:rPr>
        <w:t>Submitted by</w:t>
      </w:r>
    </w:p>
    <w:p w14:paraId="45691128" w14:textId="77777777" w:rsidR="00DC26CF" w:rsidRPr="00E977CF" w:rsidRDefault="00DC26CF" w:rsidP="00DC26CF">
      <w:pPr>
        <w:jc w:val="right"/>
        <w:rPr>
          <w:rFonts w:ascii="Arial Black" w:hAnsi="Arial Black"/>
          <w:i/>
          <w:szCs w:val="24"/>
        </w:rPr>
      </w:pPr>
      <w:r w:rsidRPr="00E977CF">
        <w:rPr>
          <w:rFonts w:ascii="Arial Black" w:hAnsi="Arial Black"/>
          <w:iCs/>
          <w:szCs w:val="24"/>
        </w:rPr>
        <w:t>National Center for Education Statistics</w:t>
      </w:r>
    </w:p>
    <w:p w14:paraId="6AC40C56" w14:textId="77777777" w:rsidR="00DC26CF" w:rsidRPr="00E72C4C" w:rsidRDefault="00DC26CF" w:rsidP="00DC26CF">
      <w:pPr>
        <w:jc w:val="right"/>
        <w:rPr>
          <w:i/>
          <w:sz w:val="36"/>
          <w:szCs w:val="36"/>
        </w:rPr>
      </w:pPr>
      <w:r>
        <w:rPr>
          <w:rFonts w:ascii="Arial Black" w:hAnsi="Arial Black"/>
          <w:iCs/>
          <w:szCs w:val="24"/>
        </w:rPr>
        <w:t>U.S. Department of Education</w:t>
      </w:r>
    </w:p>
    <w:p w14:paraId="7E1A3327" w14:textId="77777777" w:rsidR="00DC26CF" w:rsidRPr="00E72C4C" w:rsidRDefault="00DC26CF" w:rsidP="00DC26CF">
      <w:pPr>
        <w:jc w:val="right"/>
        <w:rPr>
          <w:i/>
          <w:sz w:val="36"/>
          <w:szCs w:val="36"/>
        </w:rPr>
      </w:pPr>
    </w:p>
    <w:p w14:paraId="4E295F4B" w14:textId="77777777" w:rsidR="00DC26CF" w:rsidRPr="00E72C4C" w:rsidRDefault="00DC26CF" w:rsidP="00DC26CF">
      <w:pPr>
        <w:pStyle w:val="TOC2"/>
        <w:jc w:val="right"/>
      </w:pPr>
    </w:p>
    <w:p w14:paraId="2439B151" w14:textId="5DAB8491" w:rsidR="00DC26CF" w:rsidRPr="00E72C4C" w:rsidRDefault="00DC26CF" w:rsidP="00DC26CF">
      <w:pPr>
        <w:pStyle w:val="TOC2"/>
        <w:jc w:val="right"/>
      </w:pPr>
    </w:p>
    <w:p w14:paraId="54542792" w14:textId="77777777" w:rsidR="00DC26CF" w:rsidRPr="00E72C4C" w:rsidRDefault="00DC26CF" w:rsidP="00DC26CF">
      <w:pPr>
        <w:pStyle w:val="TOC2"/>
        <w:jc w:val="right"/>
      </w:pPr>
    </w:p>
    <w:p w14:paraId="3B7F0041" w14:textId="6FB00F02" w:rsidR="00DC26CF" w:rsidRDefault="00DC26CF" w:rsidP="00DC26CF">
      <w:pPr>
        <w:jc w:val="right"/>
        <w:rPr>
          <w:rFonts w:asciiTheme="minorBidi" w:hAnsiTheme="minorBidi" w:cstheme="minorBidi"/>
          <w:iCs/>
          <w:sz w:val="28"/>
          <w:szCs w:val="28"/>
        </w:rPr>
      </w:pPr>
      <w:r>
        <w:rPr>
          <w:rFonts w:asciiTheme="minorBidi" w:hAnsiTheme="minorBidi" w:cstheme="minorBidi"/>
          <w:iCs/>
          <w:sz w:val="28"/>
          <w:szCs w:val="28"/>
        </w:rPr>
        <w:t xml:space="preserve">August </w:t>
      </w:r>
      <w:r w:rsidRPr="00E977CF">
        <w:rPr>
          <w:rFonts w:asciiTheme="minorBidi" w:hAnsiTheme="minorBidi" w:cstheme="minorBidi"/>
          <w:iCs/>
          <w:sz w:val="28"/>
          <w:szCs w:val="28"/>
        </w:rPr>
        <w:t>2016</w:t>
      </w:r>
    </w:p>
    <w:p w14:paraId="503CBDE8" w14:textId="382E5013" w:rsidR="0023648F" w:rsidRPr="006C5A57" w:rsidRDefault="006C5A57" w:rsidP="00DC26CF">
      <w:pPr>
        <w:jc w:val="right"/>
        <w:rPr>
          <w:rFonts w:asciiTheme="minorBidi" w:hAnsiTheme="minorBidi" w:cstheme="minorBidi"/>
          <w:iCs/>
          <w:sz w:val="28"/>
          <w:szCs w:val="28"/>
        </w:rPr>
      </w:pPr>
      <w:proofErr w:type="gramStart"/>
      <w:r w:rsidRPr="006C5A57">
        <w:rPr>
          <w:rFonts w:asciiTheme="minorBidi" w:hAnsiTheme="minorBidi" w:cstheme="minorBidi"/>
          <w:iCs/>
          <w:sz w:val="28"/>
          <w:szCs w:val="28"/>
        </w:rPr>
        <w:t>r</w:t>
      </w:r>
      <w:r w:rsidR="0023648F" w:rsidRPr="006C5A57">
        <w:rPr>
          <w:rFonts w:asciiTheme="minorBidi" w:hAnsiTheme="minorBidi" w:cstheme="minorBidi"/>
          <w:iCs/>
          <w:sz w:val="28"/>
          <w:szCs w:val="28"/>
        </w:rPr>
        <w:t>evised</w:t>
      </w:r>
      <w:proofErr w:type="gramEnd"/>
      <w:r w:rsidR="0023648F" w:rsidRPr="006C5A57">
        <w:rPr>
          <w:rFonts w:asciiTheme="minorBidi" w:hAnsiTheme="minorBidi" w:cstheme="minorBidi"/>
          <w:iCs/>
          <w:sz w:val="28"/>
          <w:szCs w:val="28"/>
        </w:rPr>
        <w:t xml:space="preserve"> April 2017</w:t>
      </w:r>
    </w:p>
    <w:p w14:paraId="12398CE4" w14:textId="21D69685" w:rsidR="00DC26CF" w:rsidRDefault="00DC26CF" w:rsidP="00DC26CF">
      <w:pPr>
        <w:spacing w:after="160"/>
        <w:rPr>
          <w:i/>
        </w:rPr>
      </w:pPr>
      <w:r>
        <w:rPr>
          <w:i/>
        </w:rPr>
        <w:br w:type="page"/>
      </w:r>
    </w:p>
    <w:sdt>
      <w:sdtPr>
        <w:rPr>
          <w:rFonts w:asciiTheme="minorBidi" w:hAnsiTheme="minorBidi" w:cstheme="minorBidi"/>
          <w:b w:val="0"/>
          <w:sz w:val="22"/>
          <w:szCs w:val="22"/>
        </w:rPr>
        <w:id w:val="881517729"/>
        <w:docPartObj>
          <w:docPartGallery w:val="Table of Contents"/>
          <w:docPartUnique/>
        </w:docPartObj>
      </w:sdtPr>
      <w:sdtEndPr>
        <w:rPr>
          <w:bCs/>
          <w:noProof/>
        </w:rPr>
      </w:sdtEndPr>
      <w:sdtContent>
        <w:p w14:paraId="0757D864" w14:textId="77777777" w:rsidR="002B1168" w:rsidRDefault="002B1168" w:rsidP="00CF1337">
          <w:pPr>
            <w:pStyle w:val="TOCHeading"/>
            <w:spacing w:after="120"/>
            <w:rPr>
              <w:rFonts w:asciiTheme="minorBidi" w:hAnsiTheme="minorBidi" w:cstheme="minorBidi"/>
              <w:b w:val="0"/>
              <w:sz w:val="22"/>
              <w:szCs w:val="22"/>
            </w:rPr>
          </w:pPr>
        </w:p>
        <w:p w14:paraId="54FCB223" w14:textId="501534D7" w:rsidR="00251904" w:rsidRPr="00712902" w:rsidRDefault="00251904" w:rsidP="00CF1337">
          <w:pPr>
            <w:pStyle w:val="TOCHeading"/>
            <w:spacing w:after="120"/>
            <w:rPr>
              <w:rFonts w:asciiTheme="minorBidi" w:hAnsiTheme="minorBidi" w:cstheme="minorBidi"/>
              <w:sz w:val="22"/>
              <w:szCs w:val="22"/>
            </w:rPr>
          </w:pPr>
          <w:r w:rsidRPr="00712902">
            <w:rPr>
              <w:rFonts w:asciiTheme="minorBidi" w:hAnsiTheme="minorBidi" w:cstheme="minorBidi"/>
              <w:sz w:val="22"/>
              <w:szCs w:val="22"/>
            </w:rPr>
            <w:t>Contents</w:t>
          </w:r>
        </w:p>
        <w:p w14:paraId="5D051EAA" w14:textId="6E43807C" w:rsidR="00834029" w:rsidRDefault="00251904">
          <w:pPr>
            <w:pStyle w:val="TOC1"/>
            <w:rPr>
              <w:rFonts w:asciiTheme="minorHAnsi" w:eastAsiaTheme="minorEastAsia" w:hAnsiTheme="minorHAnsi" w:cstheme="minorBidi"/>
              <w:bCs w:val="0"/>
              <w:sz w:val="22"/>
              <w:szCs w:val="22"/>
            </w:rPr>
          </w:pPr>
          <w:r w:rsidRPr="00430FE9">
            <w:rPr>
              <w:rFonts w:asciiTheme="minorBidi" w:hAnsiTheme="minorBidi" w:cstheme="minorBidi"/>
              <w:sz w:val="22"/>
              <w:szCs w:val="22"/>
            </w:rPr>
            <w:fldChar w:fldCharType="begin"/>
          </w:r>
          <w:r w:rsidRPr="00430FE9">
            <w:rPr>
              <w:rFonts w:asciiTheme="minorBidi" w:hAnsiTheme="minorBidi" w:cstheme="minorBidi"/>
              <w:sz w:val="22"/>
              <w:szCs w:val="22"/>
            </w:rPr>
            <w:instrText xml:space="preserve"> TOC \o "1-3" \h \z \u </w:instrText>
          </w:r>
          <w:r w:rsidRPr="00430FE9">
            <w:rPr>
              <w:rFonts w:asciiTheme="minorBidi" w:hAnsiTheme="minorBidi" w:cstheme="minorBidi"/>
              <w:sz w:val="22"/>
              <w:szCs w:val="22"/>
            </w:rPr>
            <w:fldChar w:fldCharType="separate"/>
          </w:r>
          <w:hyperlink w:anchor="_Toc459815554" w:history="1">
            <w:r w:rsidR="00834029" w:rsidRPr="009A28B5">
              <w:rPr>
                <w:rStyle w:val="Hyperlink"/>
              </w:rPr>
              <w:t>B.</w:t>
            </w:r>
            <w:r w:rsidR="00834029">
              <w:rPr>
                <w:rFonts w:asciiTheme="minorHAnsi" w:eastAsiaTheme="minorEastAsia" w:hAnsiTheme="minorHAnsi" w:cstheme="minorBidi"/>
                <w:bCs w:val="0"/>
                <w:sz w:val="22"/>
                <w:szCs w:val="22"/>
              </w:rPr>
              <w:tab/>
            </w:r>
            <w:r w:rsidR="00834029" w:rsidRPr="009A28B5">
              <w:rPr>
                <w:rStyle w:val="Hyperlink"/>
              </w:rPr>
              <w:t>Collection of Information Employing Statistical Methods</w:t>
            </w:r>
            <w:r w:rsidR="00834029">
              <w:rPr>
                <w:webHidden/>
              </w:rPr>
              <w:tab/>
            </w:r>
            <w:r w:rsidR="00834029">
              <w:rPr>
                <w:webHidden/>
              </w:rPr>
              <w:fldChar w:fldCharType="begin"/>
            </w:r>
            <w:r w:rsidR="00834029">
              <w:rPr>
                <w:webHidden/>
              </w:rPr>
              <w:instrText xml:space="preserve"> PAGEREF _Toc459815554 \h </w:instrText>
            </w:r>
            <w:r w:rsidR="00834029">
              <w:rPr>
                <w:webHidden/>
              </w:rPr>
            </w:r>
            <w:r w:rsidR="00834029">
              <w:rPr>
                <w:webHidden/>
              </w:rPr>
              <w:fldChar w:fldCharType="separate"/>
            </w:r>
            <w:r w:rsidR="0036453F">
              <w:rPr>
                <w:webHidden/>
              </w:rPr>
              <w:t>3</w:t>
            </w:r>
            <w:r w:rsidR="00834029">
              <w:rPr>
                <w:webHidden/>
              </w:rPr>
              <w:fldChar w:fldCharType="end"/>
            </w:r>
          </w:hyperlink>
        </w:p>
        <w:p w14:paraId="287635C7" w14:textId="2EA517B9" w:rsidR="00834029" w:rsidRDefault="001A4F84">
          <w:pPr>
            <w:pStyle w:val="TOC2"/>
            <w:tabs>
              <w:tab w:val="left" w:pos="1080"/>
            </w:tabs>
            <w:rPr>
              <w:rFonts w:asciiTheme="minorHAnsi" w:eastAsiaTheme="minorEastAsia" w:hAnsiTheme="minorHAnsi" w:cstheme="minorBidi"/>
              <w:bCs w:val="0"/>
              <w:szCs w:val="22"/>
            </w:rPr>
          </w:pPr>
          <w:hyperlink w:anchor="_Toc459815555" w:history="1">
            <w:r w:rsidR="00834029" w:rsidRPr="009A28B5">
              <w:rPr>
                <w:rStyle w:val="Hyperlink"/>
              </w:rPr>
              <w:t>1.</w:t>
            </w:r>
            <w:r w:rsidR="00834029">
              <w:rPr>
                <w:rFonts w:asciiTheme="minorHAnsi" w:eastAsiaTheme="minorEastAsia" w:hAnsiTheme="minorHAnsi" w:cstheme="minorBidi"/>
                <w:bCs w:val="0"/>
                <w:szCs w:val="22"/>
              </w:rPr>
              <w:tab/>
            </w:r>
            <w:r w:rsidR="00834029" w:rsidRPr="009A28B5">
              <w:rPr>
                <w:rStyle w:val="Hyperlink"/>
              </w:rPr>
              <w:t>Respondent Universe</w:t>
            </w:r>
            <w:r w:rsidR="00834029">
              <w:rPr>
                <w:webHidden/>
              </w:rPr>
              <w:tab/>
            </w:r>
            <w:r w:rsidR="00834029">
              <w:rPr>
                <w:webHidden/>
              </w:rPr>
              <w:fldChar w:fldCharType="begin"/>
            </w:r>
            <w:r w:rsidR="00834029">
              <w:rPr>
                <w:webHidden/>
              </w:rPr>
              <w:instrText xml:space="preserve"> PAGEREF _Toc459815555 \h </w:instrText>
            </w:r>
            <w:r w:rsidR="00834029">
              <w:rPr>
                <w:webHidden/>
              </w:rPr>
            </w:r>
            <w:r w:rsidR="00834029">
              <w:rPr>
                <w:webHidden/>
              </w:rPr>
              <w:fldChar w:fldCharType="separate"/>
            </w:r>
            <w:r w:rsidR="0036453F">
              <w:rPr>
                <w:webHidden/>
              </w:rPr>
              <w:t>3</w:t>
            </w:r>
            <w:r w:rsidR="00834029">
              <w:rPr>
                <w:webHidden/>
              </w:rPr>
              <w:fldChar w:fldCharType="end"/>
            </w:r>
          </w:hyperlink>
        </w:p>
        <w:p w14:paraId="59F9DAD9" w14:textId="0E8BE5A8" w:rsidR="00834029" w:rsidRDefault="001A4F84">
          <w:pPr>
            <w:pStyle w:val="TOC3"/>
            <w:tabs>
              <w:tab w:val="left" w:pos="1440"/>
            </w:tabs>
            <w:rPr>
              <w:rFonts w:asciiTheme="minorHAnsi" w:eastAsiaTheme="minorEastAsia" w:hAnsiTheme="minorHAnsi" w:cstheme="minorBidi"/>
              <w:szCs w:val="22"/>
            </w:rPr>
          </w:pPr>
          <w:hyperlink w:anchor="_Toc459815556"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NPSAS:12 Full-scale Institution Universe</w:t>
            </w:r>
            <w:r w:rsidR="00834029">
              <w:rPr>
                <w:webHidden/>
              </w:rPr>
              <w:tab/>
            </w:r>
            <w:r w:rsidR="00834029">
              <w:rPr>
                <w:webHidden/>
              </w:rPr>
              <w:fldChar w:fldCharType="begin"/>
            </w:r>
            <w:r w:rsidR="00834029">
              <w:rPr>
                <w:webHidden/>
              </w:rPr>
              <w:instrText xml:space="preserve"> PAGEREF _Toc459815556 \h </w:instrText>
            </w:r>
            <w:r w:rsidR="00834029">
              <w:rPr>
                <w:webHidden/>
              </w:rPr>
            </w:r>
            <w:r w:rsidR="00834029">
              <w:rPr>
                <w:webHidden/>
              </w:rPr>
              <w:fldChar w:fldCharType="separate"/>
            </w:r>
            <w:r w:rsidR="0036453F">
              <w:rPr>
                <w:webHidden/>
              </w:rPr>
              <w:t>3</w:t>
            </w:r>
            <w:r w:rsidR="00834029">
              <w:rPr>
                <w:webHidden/>
              </w:rPr>
              <w:fldChar w:fldCharType="end"/>
            </w:r>
          </w:hyperlink>
        </w:p>
        <w:p w14:paraId="614DA294" w14:textId="27F62284" w:rsidR="00834029" w:rsidRDefault="001A4F84">
          <w:pPr>
            <w:pStyle w:val="TOC3"/>
            <w:tabs>
              <w:tab w:val="left" w:pos="1440"/>
            </w:tabs>
            <w:rPr>
              <w:rFonts w:asciiTheme="minorHAnsi" w:eastAsiaTheme="minorEastAsia" w:hAnsiTheme="minorHAnsi" w:cstheme="minorBidi"/>
              <w:szCs w:val="22"/>
            </w:rPr>
          </w:pPr>
          <w:hyperlink w:anchor="_Toc459815557"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NPSAS:12 Full-scale Student Universe</w:t>
            </w:r>
            <w:r w:rsidR="00834029">
              <w:rPr>
                <w:webHidden/>
              </w:rPr>
              <w:tab/>
            </w:r>
            <w:r w:rsidR="00834029">
              <w:rPr>
                <w:webHidden/>
              </w:rPr>
              <w:fldChar w:fldCharType="begin"/>
            </w:r>
            <w:r w:rsidR="00834029">
              <w:rPr>
                <w:webHidden/>
              </w:rPr>
              <w:instrText xml:space="preserve"> PAGEREF _Toc459815557 \h </w:instrText>
            </w:r>
            <w:r w:rsidR="00834029">
              <w:rPr>
                <w:webHidden/>
              </w:rPr>
            </w:r>
            <w:r w:rsidR="00834029">
              <w:rPr>
                <w:webHidden/>
              </w:rPr>
              <w:fldChar w:fldCharType="separate"/>
            </w:r>
            <w:r w:rsidR="0036453F">
              <w:rPr>
                <w:webHidden/>
              </w:rPr>
              <w:t>3</w:t>
            </w:r>
            <w:r w:rsidR="00834029">
              <w:rPr>
                <w:webHidden/>
              </w:rPr>
              <w:fldChar w:fldCharType="end"/>
            </w:r>
          </w:hyperlink>
        </w:p>
        <w:p w14:paraId="7A62E93E" w14:textId="2896FC8B" w:rsidR="00834029" w:rsidRDefault="001A4F84">
          <w:pPr>
            <w:pStyle w:val="TOC2"/>
            <w:tabs>
              <w:tab w:val="left" w:pos="1080"/>
            </w:tabs>
            <w:rPr>
              <w:rFonts w:asciiTheme="minorHAnsi" w:eastAsiaTheme="minorEastAsia" w:hAnsiTheme="minorHAnsi" w:cstheme="minorBidi"/>
              <w:bCs w:val="0"/>
              <w:szCs w:val="22"/>
            </w:rPr>
          </w:pPr>
          <w:hyperlink w:anchor="_Toc459815558" w:history="1">
            <w:r w:rsidR="00834029" w:rsidRPr="009A28B5">
              <w:rPr>
                <w:rStyle w:val="Hyperlink"/>
              </w:rPr>
              <w:t>2.</w:t>
            </w:r>
            <w:r w:rsidR="00834029">
              <w:rPr>
                <w:rFonts w:asciiTheme="minorHAnsi" w:eastAsiaTheme="minorEastAsia" w:hAnsiTheme="minorHAnsi" w:cstheme="minorBidi"/>
                <w:bCs w:val="0"/>
                <w:szCs w:val="22"/>
              </w:rPr>
              <w:tab/>
            </w:r>
            <w:r w:rsidR="00834029" w:rsidRPr="009A28B5">
              <w:rPr>
                <w:rStyle w:val="Hyperlink"/>
              </w:rPr>
              <w:t>Statistical Methodology</w:t>
            </w:r>
            <w:r w:rsidR="00834029">
              <w:rPr>
                <w:webHidden/>
              </w:rPr>
              <w:tab/>
            </w:r>
            <w:r w:rsidR="00834029">
              <w:rPr>
                <w:webHidden/>
              </w:rPr>
              <w:fldChar w:fldCharType="begin"/>
            </w:r>
            <w:r w:rsidR="00834029">
              <w:rPr>
                <w:webHidden/>
              </w:rPr>
              <w:instrText xml:space="preserve"> PAGEREF _Toc459815558 \h </w:instrText>
            </w:r>
            <w:r w:rsidR="00834029">
              <w:rPr>
                <w:webHidden/>
              </w:rPr>
            </w:r>
            <w:r w:rsidR="00834029">
              <w:rPr>
                <w:webHidden/>
              </w:rPr>
              <w:fldChar w:fldCharType="separate"/>
            </w:r>
            <w:r w:rsidR="0036453F">
              <w:rPr>
                <w:webHidden/>
              </w:rPr>
              <w:t>4</w:t>
            </w:r>
            <w:r w:rsidR="00834029">
              <w:rPr>
                <w:webHidden/>
              </w:rPr>
              <w:fldChar w:fldCharType="end"/>
            </w:r>
          </w:hyperlink>
        </w:p>
        <w:p w14:paraId="3F9AFBCA" w14:textId="43632B20" w:rsidR="00834029" w:rsidRDefault="001A4F84">
          <w:pPr>
            <w:pStyle w:val="TOC3"/>
            <w:tabs>
              <w:tab w:val="left" w:pos="1440"/>
            </w:tabs>
            <w:rPr>
              <w:rFonts w:asciiTheme="minorHAnsi" w:eastAsiaTheme="minorEastAsia" w:hAnsiTheme="minorHAnsi" w:cstheme="minorBidi"/>
              <w:szCs w:val="22"/>
            </w:rPr>
          </w:pPr>
          <w:hyperlink w:anchor="_Toc459815559" w:history="1">
            <w:r w:rsidR="00834029" w:rsidRPr="009A28B5">
              <w:rPr>
                <w:rStyle w:val="Hyperlink"/>
                <w:i/>
              </w:rPr>
              <w:t>a.</w:t>
            </w:r>
            <w:r w:rsidR="00834029">
              <w:rPr>
                <w:rFonts w:asciiTheme="minorHAnsi" w:eastAsiaTheme="minorEastAsia" w:hAnsiTheme="minorHAnsi" w:cstheme="minorBidi"/>
                <w:szCs w:val="22"/>
              </w:rPr>
              <w:tab/>
            </w:r>
            <w:r w:rsidR="00834029" w:rsidRPr="009A28B5">
              <w:rPr>
                <w:rStyle w:val="Hyperlink"/>
                <w:i/>
                <w:iCs/>
              </w:rPr>
              <w:t>NPSAS:12 Full-scale Sample</w:t>
            </w:r>
            <w:r w:rsidR="00834029">
              <w:rPr>
                <w:webHidden/>
              </w:rPr>
              <w:tab/>
            </w:r>
            <w:r w:rsidR="00834029">
              <w:rPr>
                <w:webHidden/>
              </w:rPr>
              <w:fldChar w:fldCharType="begin"/>
            </w:r>
            <w:r w:rsidR="00834029">
              <w:rPr>
                <w:webHidden/>
              </w:rPr>
              <w:instrText xml:space="preserve"> PAGEREF _Toc459815559 \h </w:instrText>
            </w:r>
            <w:r w:rsidR="00834029">
              <w:rPr>
                <w:webHidden/>
              </w:rPr>
            </w:r>
            <w:r w:rsidR="00834029">
              <w:rPr>
                <w:webHidden/>
              </w:rPr>
              <w:fldChar w:fldCharType="separate"/>
            </w:r>
            <w:r w:rsidR="0036453F">
              <w:rPr>
                <w:webHidden/>
              </w:rPr>
              <w:t>4</w:t>
            </w:r>
            <w:r w:rsidR="00834029">
              <w:rPr>
                <w:webHidden/>
              </w:rPr>
              <w:fldChar w:fldCharType="end"/>
            </w:r>
          </w:hyperlink>
        </w:p>
        <w:p w14:paraId="37BA4F6C" w14:textId="4E7A412B" w:rsidR="00834029" w:rsidRDefault="001A4F84">
          <w:pPr>
            <w:pStyle w:val="TOC3"/>
            <w:tabs>
              <w:tab w:val="left" w:pos="1440"/>
            </w:tabs>
            <w:rPr>
              <w:rFonts w:asciiTheme="minorHAnsi" w:eastAsiaTheme="minorEastAsia" w:hAnsiTheme="minorHAnsi" w:cstheme="minorBidi"/>
              <w:szCs w:val="22"/>
            </w:rPr>
          </w:pPr>
          <w:hyperlink w:anchor="_Toc459815560"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BPS:12/14 Full-scale Sample</w:t>
            </w:r>
            <w:r w:rsidR="00834029">
              <w:rPr>
                <w:webHidden/>
              </w:rPr>
              <w:tab/>
            </w:r>
            <w:r w:rsidR="00834029">
              <w:rPr>
                <w:webHidden/>
              </w:rPr>
              <w:fldChar w:fldCharType="begin"/>
            </w:r>
            <w:r w:rsidR="00834029">
              <w:rPr>
                <w:webHidden/>
              </w:rPr>
              <w:instrText xml:space="preserve"> PAGEREF _Toc459815560 \h </w:instrText>
            </w:r>
            <w:r w:rsidR="00834029">
              <w:rPr>
                <w:webHidden/>
              </w:rPr>
            </w:r>
            <w:r w:rsidR="00834029">
              <w:rPr>
                <w:webHidden/>
              </w:rPr>
              <w:fldChar w:fldCharType="separate"/>
            </w:r>
            <w:r w:rsidR="0036453F">
              <w:rPr>
                <w:webHidden/>
              </w:rPr>
              <w:t>6</w:t>
            </w:r>
            <w:r w:rsidR="00834029">
              <w:rPr>
                <w:webHidden/>
              </w:rPr>
              <w:fldChar w:fldCharType="end"/>
            </w:r>
          </w:hyperlink>
        </w:p>
        <w:p w14:paraId="0185B050" w14:textId="4322E098" w:rsidR="00834029" w:rsidRDefault="001A4F84">
          <w:pPr>
            <w:pStyle w:val="TOC3"/>
            <w:tabs>
              <w:tab w:val="left" w:pos="1440"/>
            </w:tabs>
            <w:rPr>
              <w:rFonts w:asciiTheme="minorHAnsi" w:eastAsiaTheme="minorEastAsia" w:hAnsiTheme="minorHAnsi" w:cstheme="minorBidi"/>
              <w:szCs w:val="22"/>
            </w:rPr>
          </w:pPr>
          <w:hyperlink w:anchor="_Toc459815561"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BPS:12/17 Full-scale Sample</w:t>
            </w:r>
            <w:r w:rsidR="00834029">
              <w:rPr>
                <w:webHidden/>
              </w:rPr>
              <w:tab/>
            </w:r>
            <w:r w:rsidR="00834029">
              <w:rPr>
                <w:webHidden/>
              </w:rPr>
              <w:fldChar w:fldCharType="begin"/>
            </w:r>
            <w:r w:rsidR="00834029">
              <w:rPr>
                <w:webHidden/>
              </w:rPr>
              <w:instrText xml:space="preserve"> PAGEREF _Toc459815561 \h </w:instrText>
            </w:r>
            <w:r w:rsidR="00834029">
              <w:rPr>
                <w:webHidden/>
              </w:rPr>
            </w:r>
            <w:r w:rsidR="00834029">
              <w:rPr>
                <w:webHidden/>
              </w:rPr>
              <w:fldChar w:fldCharType="separate"/>
            </w:r>
            <w:r w:rsidR="0036453F">
              <w:rPr>
                <w:webHidden/>
              </w:rPr>
              <w:t>7</w:t>
            </w:r>
            <w:r w:rsidR="00834029">
              <w:rPr>
                <w:webHidden/>
              </w:rPr>
              <w:fldChar w:fldCharType="end"/>
            </w:r>
          </w:hyperlink>
        </w:p>
        <w:p w14:paraId="00C9AAE2" w14:textId="2C0EF61F" w:rsidR="00834029" w:rsidRDefault="001A4F84">
          <w:pPr>
            <w:pStyle w:val="TOC3"/>
            <w:tabs>
              <w:tab w:val="left" w:pos="1440"/>
            </w:tabs>
            <w:rPr>
              <w:rFonts w:asciiTheme="minorHAnsi" w:eastAsiaTheme="minorEastAsia" w:hAnsiTheme="minorHAnsi" w:cstheme="minorBidi"/>
              <w:szCs w:val="22"/>
            </w:rPr>
          </w:pPr>
          <w:hyperlink w:anchor="_Toc459815562" w:history="1">
            <w:r w:rsidR="00834029" w:rsidRPr="009A28B5">
              <w:rPr>
                <w:rStyle w:val="Hyperlink"/>
                <w:i/>
                <w:iCs/>
              </w:rPr>
              <w:t>d.</w:t>
            </w:r>
            <w:r w:rsidR="00834029">
              <w:rPr>
                <w:rFonts w:asciiTheme="minorHAnsi" w:eastAsiaTheme="minorEastAsia" w:hAnsiTheme="minorHAnsi" w:cstheme="minorBidi"/>
                <w:szCs w:val="22"/>
              </w:rPr>
              <w:tab/>
            </w:r>
            <w:r w:rsidR="00834029" w:rsidRPr="009A28B5">
              <w:rPr>
                <w:rStyle w:val="Hyperlink"/>
                <w:i/>
                <w:iCs/>
              </w:rPr>
              <w:t>BPS:12 Student Records and PETS Samples</w:t>
            </w:r>
            <w:r w:rsidR="00834029">
              <w:rPr>
                <w:webHidden/>
              </w:rPr>
              <w:tab/>
            </w:r>
            <w:r w:rsidR="00834029">
              <w:rPr>
                <w:webHidden/>
              </w:rPr>
              <w:fldChar w:fldCharType="begin"/>
            </w:r>
            <w:r w:rsidR="00834029">
              <w:rPr>
                <w:webHidden/>
              </w:rPr>
              <w:instrText xml:space="preserve"> PAGEREF _Toc459815562 \h </w:instrText>
            </w:r>
            <w:r w:rsidR="00834029">
              <w:rPr>
                <w:webHidden/>
              </w:rPr>
            </w:r>
            <w:r w:rsidR="00834029">
              <w:rPr>
                <w:webHidden/>
              </w:rPr>
              <w:fldChar w:fldCharType="separate"/>
            </w:r>
            <w:r w:rsidR="0036453F">
              <w:rPr>
                <w:webHidden/>
              </w:rPr>
              <w:t>8</w:t>
            </w:r>
            <w:r w:rsidR="00834029">
              <w:rPr>
                <w:webHidden/>
              </w:rPr>
              <w:fldChar w:fldCharType="end"/>
            </w:r>
          </w:hyperlink>
        </w:p>
        <w:p w14:paraId="53AD4DF5" w14:textId="5504C100" w:rsidR="00834029" w:rsidRDefault="001A4F84">
          <w:pPr>
            <w:pStyle w:val="TOC2"/>
            <w:tabs>
              <w:tab w:val="left" w:pos="1080"/>
            </w:tabs>
            <w:rPr>
              <w:rFonts w:asciiTheme="minorHAnsi" w:eastAsiaTheme="minorEastAsia" w:hAnsiTheme="minorHAnsi" w:cstheme="minorBidi"/>
              <w:bCs w:val="0"/>
              <w:szCs w:val="22"/>
            </w:rPr>
          </w:pPr>
          <w:hyperlink w:anchor="_Toc459815563" w:history="1">
            <w:r w:rsidR="00834029" w:rsidRPr="009A28B5">
              <w:rPr>
                <w:rStyle w:val="Hyperlink"/>
              </w:rPr>
              <w:t>3.</w:t>
            </w:r>
            <w:r w:rsidR="00834029">
              <w:rPr>
                <w:rFonts w:asciiTheme="minorHAnsi" w:eastAsiaTheme="minorEastAsia" w:hAnsiTheme="minorHAnsi" w:cstheme="minorBidi"/>
                <w:bCs w:val="0"/>
                <w:szCs w:val="22"/>
              </w:rPr>
              <w:tab/>
            </w:r>
            <w:r w:rsidR="00834029" w:rsidRPr="009A28B5">
              <w:rPr>
                <w:rStyle w:val="Hyperlink"/>
              </w:rPr>
              <w:t>Methods for Maximizing Response Rates</w:t>
            </w:r>
            <w:r w:rsidR="00834029">
              <w:rPr>
                <w:webHidden/>
              </w:rPr>
              <w:tab/>
            </w:r>
            <w:r w:rsidR="00834029">
              <w:rPr>
                <w:webHidden/>
              </w:rPr>
              <w:fldChar w:fldCharType="begin"/>
            </w:r>
            <w:r w:rsidR="00834029">
              <w:rPr>
                <w:webHidden/>
              </w:rPr>
              <w:instrText xml:space="preserve"> PAGEREF _Toc459815563 \h </w:instrText>
            </w:r>
            <w:r w:rsidR="00834029">
              <w:rPr>
                <w:webHidden/>
              </w:rPr>
            </w:r>
            <w:r w:rsidR="00834029">
              <w:rPr>
                <w:webHidden/>
              </w:rPr>
              <w:fldChar w:fldCharType="separate"/>
            </w:r>
            <w:r w:rsidR="0036453F">
              <w:rPr>
                <w:webHidden/>
              </w:rPr>
              <w:t>9</w:t>
            </w:r>
            <w:r w:rsidR="00834029">
              <w:rPr>
                <w:webHidden/>
              </w:rPr>
              <w:fldChar w:fldCharType="end"/>
            </w:r>
          </w:hyperlink>
        </w:p>
        <w:p w14:paraId="3A949BA3" w14:textId="326D109E" w:rsidR="00834029" w:rsidRDefault="001A4F84">
          <w:pPr>
            <w:pStyle w:val="TOC3"/>
            <w:tabs>
              <w:tab w:val="left" w:pos="1440"/>
            </w:tabs>
            <w:rPr>
              <w:rFonts w:asciiTheme="minorHAnsi" w:eastAsiaTheme="minorEastAsia" w:hAnsiTheme="minorHAnsi" w:cstheme="minorBidi"/>
              <w:szCs w:val="22"/>
            </w:rPr>
          </w:pPr>
          <w:hyperlink w:anchor="_Toc459815564"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Locating</w:t>
            </w:r>
            <w:r w:rsidR="00834029">
              <w:rPr>
                <w:webHidden/>
              </w:rPr>
              <w:tab/>
            </w:r>
            <w:r w:rsidR="00834029">
              <w:rPr>
                <w:webHidden/>
              </w:rPr>
              <w:fldChar w:fldCharType="begin"/>
            </w:r>
            <w:r w:rsidR="00834029">
              <w:rPr>
                <w:webHidden/>
              </w:rPr>
              <w:instrText xml:space="preserve"> PAGEREF _Toc459815564 \h </w:instrText>
            </w:r>
            <w:r w:rsidR="00834029">
              <w:rPr>
                <w:webHidden/>
              </w:rPr>
            </w:r>
            <w:r w:rsidR="00834029">
              <w:rPr>
                <w:webHidden/>
              </w:rPr>
              <w:fldChar w:fldCharType="separate"/>
            </w:r>
            <w:r w:rsidR="0036453F">
              <w:rPr>
                <w:webHidden/>
              </w:rPr>
              <w:t>9</w:t>
            </w:r>
            <w:r w:rsidR="00834029">
              <w:rPr>
                <w:webHidden/>
              </w:rPr>
              <w:fldChar w:fldCharType="end"/>
            </w:r>
          </w:hyperlink>
        </w:p>
        <w:p w14:paraId="72238F75" w14:textId="1D233B4B" w:rsidR="00834029" w:rsidRDefault="001A4F84">
          <w:pPr>
            <w:pStyle w:val="TOC3"/>
            <w:tabs>
              <w:tab w:val="left" w:pos="1440"/>
            </w:tabs>
            <w:rPr>
              <w:rFonts w:asciiTheme="minorHAnsi" w:eastAsiaTheme="minorEastAsia" w:hAnsiTheme="minorHAnsi" w:cstheme="minorBidi"/>
              <w:szCs w:val="22"/>
            </w:rPr>
          </w:pPr>
          <w:hyperlink w:anchor="_Toc459815565"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Prompting Cases with Mail, Email, and SMS Contacts</w:t>
            </w:r>
            <w:r w:rsidR="00834029">
              <w:rPr>
                <w:webHidden/>
              </w:rPr>
              <w:tab/>
            </w:r>
            <w:r w:rsidR="00834029">
              <w:rPr>
                <w:webHidden/>
              </w:rPr>
              <w:fldChar w:fldCharType="begin"/>
            </w:r>
            <w:r w:rsidR="00834029">
              <w:rPr>
                <w:webHidden/>
              </w:rPr>
              <w:instrText xml:space="preserve"> PAGEREF _Toc459815565 \h </w:instrText>
            </w:r>
            <w:r w:rsidR="00834029">
              <w:rPr>
                <w:webHidden/>
              </w:rPr>
            </w:r>
            <w:r w:rsidR="00834029">
              <w:rPr>
                <w:webHidden/>
              </w:rPr>
              <w:fldChar w:fldCharType="separate"/>
            </w:r>
            <w:r w:rsidR="0036453F">
              <w:rPr>
                <w:webHidden/>
              </w:rPr>
              <w:t>10</w:t>
            </w:r>
            <w:r w:rsidR="00834029">
              <w:rPr>
                <w:webHidden/>
              </w:rPr>
              <w:fldChar w:fldCharType="end"/>
            </w:r>
          </w:hyperlink>
        </w:p>
        <w:p w14:paraId="59437423" w14:textId="6BA66111" w:rsidR="00834029" w:rsidRDefault="001A4F84">
          <w:pPr>
            <w:pStyle w:val="TOC3"/>
            <w:tabs>
              <w:tab w:val="left" w:pos="1440"/>
            </w:tabs>
            <w:rPr>
              <w:rFonts w:asciiTheme="minorHAnsi" w:eastAsiaTheme="minorEastAsia" w:hAnsiTheme="minorHAnsi" w:cstheme="minorBidi"/>
              <w:szCs w:val="22"/>
            </w:rPr>
          </w:pPr>
          <w:hyperlink w:anchor="_Toc459815566"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Telephone Interviewing and Help Desk Support</w:t>
            </w:r>
            <w:r w:rsidR="00834029">
              <w:rPr>
                <w:webHidden/>
              </w:rPr>
              <w:tab/>
            </w:r>
            <w:r w:rsidR="00834029">
              <w:rPr>
                <w:webHidden/>
              </w:rPr>
              <w:fldChar w:fldCharType="begin"/>
            </w:r>
            <w:r w:rsidR="00834029">
              <w:rPr>
                <w:webHidden/>
              </w:rPr>
              <w:instrText xml:space="preserve"> PAGEREF _Toc459815566 \h </w:instrText>
            </w:r>
            <w:r w:rsidR="00834029">
              <w:rPr>
                <w:webHidden/>
              </w:rPr>
            </w:r>
            <w:r w:rsidR="00834029">
              <w:rPr>
                <w:webHidden/>
              </w:rPr>
              <w:fldChar w:fldCharType="separate"/>
            </w:r>
            <w:r w:rsidR="0036453F">
              <w:rPr>
                <w:webHidden/>
              </w:rPr>
              <w:t>11</w:t>
            </w:r>
            <w:r w:rsidR="00834029">
              <w:rPr>
                <w:webHidden/>
              </w:rPr>
              <w:fldChar w:fldCharType="end"/>
            </w:r>
          </w:hyperlink>
        </w:p>
        <w:p w14:paraId="0BCB4D7E" w14:textId="68E6CB8D" w:rsidR="00834029" w:rsidRDefault="001A4F84">
          <w:pPr>
            <w:pStyle w:val="TOC3"/>
            <w:tabs>
              <w:tab w:val="left" w:pos="1440"/>
            </w:tabs>
            <w:rPr>
              <w:rFonts w:asciiTheme="minorHAnsi" w:eastAsiaTheme="minorEastAsia" w:hAnsiTheme="minorHAnsi" w:cstheme="minorBidi"/>
              <w:szCs w:val="22"/>
            </w:rPr>
          </w:pPr>
          <w:hyperlink w:anchor="_Toc459815567" w:history="1">
            <w:r w:rsidR="00834029" w:rsidRPr="009A28B5">
              <w:rPr>
                <w:rStyle w:val="Hyperlink"/>
                <w:i/>
                <w:iCs/>
              </w:rPr>
              <w:t>d.</w:t>
            </w:r>
            <w:r w:rsidR="00834029">
              <w:rPr>
                <w:rFonts w:asciiTheme="minorHAnsi" w:eastAsiaTheme="minorEastAsia" w:hAnsiTheme="minorHAnsi" w:cstheme="minorBidi"/>
                <w:szCs w:val="22"/>
              </w:rPr>
              <w:tab/>
            </w:r>
            <w:r w:rsidR="00834029" w:rsidRPr="009A28B5">
              <w:rPr>
                <w:rStyle w:val="Hyperlink"/>
                <w:i/>
                <w:iCs/>
              </w:rPr>
              <w:t>Quality Control</w:t>
            </w:r>
            <w:r w:rsidR="00834029">
              <w:rPr>
                <w:webHidden/>
              </w:rPr>
              <w:tab/>
            </w:r>
            <w:r w:rsidR="00834029">
              <w:rPr>
                <w:webHidden/>
              </w:rPr>
              <w:fldChar w:fldCharType="begin"/>
            </w:r>
            <w:r w:rsidR="00834029">
              <w:rPr>
                <w:webHidden/>
              </w:rPr>
              <w:instrText xml:space="preserve"> PAGEREF _Toc459815567 \h </w:instrText>
            </w:r>
            <w:r w:rsidR="00834029">
              <w:rPr>
                <w:webHidden/>
              </w:rPr>
            </w:r>
            <w:r w:rsidR="00834029">
              <w:rPr>
                <w:webHidden/>
              </w:rPr>
              <w:fldChar w:fldCharType="separate"/>
            </w:r>
            <w:r w:rsidR="0036453F">
              <w:rPr>
                <w:webHidden/>
              </w:rPr>
              <w:t>12</w:t>
            </w:r>
            <w:r w:rsidR="00834029">
              <w:rPr>
                <w:webHidden/>
              </w:rPr>
              <w:fldChar w:fldCharType="end"/>
            </w:r>
          </w:hyperlink>
        </w:p>
        <w:p w14:paraId="11688809" w14:textId="791BBC28" w:rsidR="00834029" w:rsidRDefault="001A4F84">
          <w:pPr>
            <w:pStyle w:val="TOC3"/>
            <w:tabs>
              <w:tab w:val="left" w:pos="1440"/>
            </w:tabs>
            <w:rPr>
              <w:rFonts w:asciiTheme="minorHAnsi" w:eastAsiaTheme="minorEastAsia" w:hAnsiTheme="minorHAnsi" w:cstheme="minorBidi"/>
              <w:szCs w:val="22"/>
            </w:rPr>
          </w:pPr>
          <w:hyperlink w:anchor="_Toc459815568" w:history="1">
            <w:r w:rsidR="00834029" w:rsidRPr="009A28B5">
              <w:rPr>
                <w:rStyle w:val="Hyperlink"/>
                <w:i/>
                <w:iCs/>
              </w:rPr>
              <w:t>e.</w:t>
            </w:r>
            <w:r w:rsidR="00834029">
              <w:rPr>
                <w:rFonts w:asciiTheme="minorHAnsi" w:eastAsiaTheme="minorEastAsia" w:hAnsiTheme="minorHAnsi" w:cstheme="minorBidi"/>
                <w:szCs w:val="22"/>
              </w:rPr>
              <w:tab/>
            </w:r>
            <w:r w:rsidR="00834029" w:rsidRPr="009A28B5">
              <w:rPr>
                <w:rStyle w:val="Hyperlink"/>
                <w:i/>
                <w:iCs/>
              </w:rPr>
              <w:t>Administrative Record Collections</w:t>
            </w:r>
            <w:r w:rsidR="00834029">
              <w:rPr>
                <w:webHidden/>
              </w:rPr>
              <w:tab/>
            </w:r>
            <w:r w:rsidR="00834029">
              <w:rPr>
                <w:webHidden/>
              </w:rPr>
              <w:fldChar w:fldCharType="begin"/>
            </w:r>
            <w:r w:rsidR="00834029">
              <w:rPr>
                <w:webHidden/>
              </w:rPr>
              <w:instrText xml:space="preserve"> PAGEREF _Toc459815568 \h </w:instrText>
            </w:r>
            <w:r w:rsidR="00834029">
              <w:rPr>
                <w:webHidden/>
              </w:rPr>
            </w:r>
            <w:r w:rsidR="00834029">
              <w:rPr>
                <w:webHidden/>
              </w:rPr>
              <w:fldChar w:fldCharType="separate"/>
            </w:r>
            <w:r w:rsidR="0036453F">
              <w:rPr>
                <w:webHidden/>
              </w:rPr>
              <w:t>12</w:t>
            </w:r>
            <w:r w:rsidR="00834029">
              <w:rPr>
                <w:webHidden/>
              </w:rPr>
              <w:fldChar w:fldCharType="end"/>
            </w:r>
          </w:hyperlink>
        </w:p>
        <w:p w14:paraId="723769A7" w14:textId="380E45DD" w:rsidR="00834029" w:rsidRDefault="001A4F84">
          <w:pPr>
            <w:pStyle w:val="TOC2"/>
            <w:tabs>
              <w:tab w:val="left" w:pos="1080"/>
            </w:tabs>
            <w:rPr>
              <w:rFonts w:asciiTheme="minorHAnsi" w:eastAsiaTheme="minorEastAsia" w:hAnsiTheme="minorHAnsi" w:cstheme="minorBidi"/>
              <w:bCs w:val="0"/>
              <w:szCs w:val="22"/>
            </w:rPr>
          </w:pPr>
          <w:hyperlink w:anchor="_Toc459815569" w:history="1">
            <w:r w:rsidR="00834029" w:rsidRPr="009A28B5">
              <w:rPr>
                <w:rStyle w:val="Hyperlink"/>
              </w:rPr>
              <w:t>4.</w:t>
            </w:r>
            <w:r w:rsidR="00834029">
              <w:rPr>
                <w:rFonts w:asciiTheme="minorHAnsi" w:eastAsiaTheme="minorEastAsia" w:hAnsiTheme="minorHAnsi" w:cstheme="minorBidi"/>
                <w:bCs w:val="0"/>
                <w:szCs w:val="22"/>
              </w:rPr>
              <w:tab/>
            </w:r>
            <w:r w:rsidR="00834029" w:rsidRPr="009A28B5">
              <w:rPr>
                <w:rStyle w:val="Hyperlink"/>
              </w:rPr>
              <w:t>Tests of Procedures and Methods</w:t>
            </w:r>
            <w:r w:rsidR="00834029">
              <w:rPr>
                <w:webHidden/>
              </w:rPr>
              <w:tab/>
            </w:r>
            <w:r w:rsidR="00834029">
              <w:rPr>
                <w:webHidden/>
              </w:rPr>
              <w:fldChar w:fldCharType="begin"/>
            </w:r>
            <w:r w:rsidR="00834029">
              <w:rPr>
                <w:webHidden/>
              </w:rPr>
              <w:instrText xml:space="preserve"> PAGEREF _Toc459815569 \h </w:instrText>
            </w:r>
            <w:r w:rsidR="00834029">
              <w:rPr>
                <w:webHidden/>
              </w:rPr>
            </w:r>
            <w:r w:rsidR="00834029">
              <w:rPr>
                <w:webHidden/>
              </w:rPr>
              <w:fldChar w:fldCharType="separate"/>
            </w:r>
            <w:r w:rsidR="0036453F">
              <w:rPr>
                <w:webHidden/>
              </w:rPr>
              <w:t>16</w:t>
            </w:r>
            <w:r w:rsidR="00834029">
              <w:rPr>
                <w:webHidden/>
              </w:rPr>
              <w:fldChar w:fldCharType="end"/>
            </w:r>
          </w:hyperlink>
        </w:p>
        <w:p w14:paraId="52DD2833" w14:textId="169B0887" w:rsidR="00834029" w:rsidRDefault="001A4F84">
          <w:pPr>
            <w:pStyle w:val="TOC3"/>
            <w:tabs>
              <w:tab w:val="left" w:pos="1440"/>
            </w:tabs>
            <w:rPr>
              <w:rFonts w:asciiTheme="minorHAnsi" w:eastAsiaTheme="minorEastAsia" w:hAnsiTheme="minorHAnsi" w:cstheme="minorBidi"/>
              <w:szCs w:val="22"/>
            </w:rPr>
          </w:pPr>
          <w:hyperlink w:anchor="_Toc459815570"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BPS:12/14 Full Scale</w:t>
            </w:r>
            <w:r w:rsidR="00834029">
              <w:rPr>
                <w:webHidden/>
              </w:rPr>
              <w:tab/>
            </w:r>
            <w:r w:rsidR="00834029">
              <w:rPr>
                <w:webHidden/>
              </w:rPr>
              <w:fldChar w:fldCharType="begin"/>
            </w:r>
            <w:r w:rsidR="00834029">
              <w:rPr>
                <w:webHidden/>
              </w:rPr>
              <w:instrText xml:space="preserve"> PAGEREF _Toc459815570 \h </w:instrText>
            </w:r>
            <w:r w:rsidR="00834029">
              <w:rPr>
                <w:webHidden/>
              </w:rPr>
            </w:r>
            <w:r w:rsidR="00834029">
              <w:rPr>
                <w:webHidden/>
              </w:rPr>
              <w:fldChar w:fldCharType="separate"/>
            </w:r>
            <w:r w:rsidR="0036453F">
              <w:rPr>
                <w:webHidden/>
              </w:rPr>
              <w:t>16</w:t>
            </w:r>
            <w:r w:rsidR="00834029">
              <w:rPr>
                <w:webHidden/>
              </w:rPr>
              <w:fldChar w:fldCharType="end"/>
            </w:r>
          </w:hyperlink>
        </w:p>
        <w:p w14:paraId="095C0206" w14:textId="54A2E355" w:rsidR="00834029" w:rsidRDefault="001A4F84">
          <w:pPr>
            <w:pStyle w:val="TOC3"/>
            <w:tabs>
              <w:tab w:val="left" w:pos="1440"/>
            </w:tabs>
            <w:rPr>
              <w:rFonts w:asciiTheme="minorHAnsi" w:eastAsiaTheme="minorEastAsia" w:hAnsiTheme="minorHAnsi" w:cstheme="minorBidi"/>
              <w:szCs w:val="22"/>
            </w:rPr>
          </w:pPr>
          <w:hyperlink w:anchor="_Toc459815571"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BPS:12/17 Full Scale</w:t>
            </w:r>
            <w:r w:rsidR="00834029">
              <w:rPr>
                <w:webHidden/>
              </w:rPr>
              <w:tab/>
            </w:r>
            <w:r w:rsidR="00834029">
              <w:rPr>
                <w:webHidden/>
              </w:rPr>
              <w:fldChar w:fldCharType="begin"/>
            </w:r>
            <w:r w:rsidR="00834029">
              <w:rPr>
                <w:webHidden/>
              </w:rPr>
              <w:instrText xml:space="preserve"> PAGEREF _Toc459815571 \h </w:instrText>
            </w:r>
            <w:r w:rsidR="00834029">
              <w:rPr>
                <w:webHidden/>
              </w:rPr>
            </w:r>
            <w:r w:rsidR="00834029">
              <w:rPr>
                <w:webHidden/>
              </w:rPr>
              <w:fldChar w:fldCharType="separate"/>
            </w:r>
            <w:r w:rsidR="0036453F">
              <w:rPr>
                <w:webHidden/>
              </w:rPr>
              <w:t>21</w:t>
            </w:r>
            <w:r w:rsidR="00834029">
              <w:rPr>
                <w:webHidden/>
              </w:rPr>
              <w:fldChar w:fldCharType="end"/>
            </w:r>
          </w:hyperlink>
        </w:p>
        <w:p w14:paraId="29C65D53" w14:textId="07F807E1" w:rsidR="00834029" w:rsidRDefault="001A4F84">
          <w:pPr>
            <w:pStyle w:val="TOC3"/>
            <w:tabs>
              <w:tab w:val="left" w:pos="1440"/>
            </w:tabs>
            <w:rPr>
              <w:rFonts w:asciiTheme="minorHAnsi" w:eastAsiaTheme="minorEastAsia" w:hAnsiTheme="minorHAnsi" w:cstheme="minorBidi"/>
              <w:szCs w:val="22"/>
            </w:rPr>
          </w:pPr>
          <w:hyperlink w:anchor="_Toc459815572"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BPS:12 PETS Pilot Collection</w:t>
            </w:r>
            <w:r w:rsidR="00834029">
              <w:rPr>
                <w:webHidden/>
              </w:rPr>
              <w:tab/>
            </w:r>
            <w:r w:rsidR="00834029">
              <w:rPr>
                <w:webHidden/>
              </w:rPr>
              <w:fldChar w:fldCharType="begin"/>
            </w:r>
            <w:r w:rsidR="00834029">
              <w:rPr>
                <w:webHidden/>
              </w:rPr>
              <w:instrText xml:space="preserve"> PAGEREF _Toc459815572 \h </w:instrText>
            </w:r>
            <w:r w:rsidR="00834029">
              <w:rPr>
                <w:webHidden/>
              </w:rPr>
            </w:r>
            <w:r w:rsidR="00834029">
              <w:rPr>
                <w:webHidden/>
              </w:rPr>
              <w:fldChar w:fldCharType="separate"/>
            </w:r>
            <w:r w:rsidR="0036453F">
              <w:rPr>
                <w:webHidden/>
              </w:rPr>
              <w:t>30</w:t>
            </w:r>
            <w:r w:rsidR="00834029">
              <w:rPr>
                <w:webHidden/>
              </w:rPr>
              <w:fldChar w:fldCharType="end"/>
            </w:r>
          </w:hyperlink>
        </w:p>
        <w:p w14:paraId="39F6F505" w14:textId="5152E79A" w:rsidR="00834029" w:rsidRDefault="001A4F84">
          <w:pPr>
            <w:pStyle w:val="TOC2"/>
            <w:tabs>
              <w:tab w:val="left" w:pos="1080"/>
            </w:tabs>
            <w:rPr>
              <w:rFonts w:asciiTheme="minorHAnsi" w:eastAsiaTheme="minorEastAsia" w:hAnsiTheme="minorHAnsi" w:cstheme="minorBidi"/>
              <w:bCs w:val="0"/>
              <w:szCs w:val="22"/>
            </w:rPr>
          </w:pPr>
          <w:hyperlink w:anchor="_Toc459815573" w:history="1">
            <w:r w:rsidR="00834029" w:rsidRPr="009A28B5">
              <w:rPr>
                <w:rStyle w:val="Hyperlink"/>
              </w:rPr>
              <w:t>5.</w:t>
            </w:r>
            <w:r w:rsidR="00834029">
              <w:rPr>
                <w:rFonts w:asciiTheme="minorHAnsi" w:eastAsiaTheme="minorEastAsia" w:hAnsiTheme="minorHAnsi" w:cstheme="minorBidi"/>
                <w:bCs w:val="0"/>
                <w:szCs w:val="22"/>
              </w:rPr>
              <w:tab/>
            </w:r>
            <w:r w:rsidR="00834029" w:rsidRPr="009A28B5">
              <w:rPr>
                <w:rStyle w:val="Hyperlink"/>
              </w:rPr>
              <w:t>Reviewing Statisticians and Individuals Responsible for Designing and Conducting the Study</w:t>
            </w:r>
            <w:r w:rsidR="00834029">
              <w:rPr>
                <w:webHidden/>
              </w:rPr>
              <w:tab/>
            </w:r>
            <w:r w:rsidR="00834029">
              <w:rPr>
                <w:webHidden/>
              </w:rPr>
              <w:fldChar w:fldCharType="begin"/>
            </w:r>
            <w:r w:rsidR="00834029">
              <w:rPr>
                <w:webHidden/>
              </w:rPr>
              <w:instrText xml:space="preserve"> PAGEREF _Toc459815573 \h </w:instrText>
            </w:r>
            <w:r w:rsidR="00834029">
              <w:rPr>
                <w:webHidden/>
              </w:rPr>
            </w:r>
            <w:r w:rsidR="00834029">
              <w:rPr>
                <w:webHidden/>
              </w:rPr>
              <w:fldChar w:fldCharType="separate"/>
            </w:r>
            <w:r w:rsidR="0036453F">
              <w:rPr>
                <w:webHidden/>
              </w:rPr>
              <w:t>31</w:t>
            </w:r>
            <w:r w:rsidR="00834029">
              <w:rPr>
                <w:webHidden/>
              </w:rPr>
              <w:fldChar w:fldCharType="end"/>
            </w:r>
          </w:hyperlink>
        </w:p>
        <w:p w14:paraId="52229FAD" w14:textId="748BE6DE" w:rsidR="00834029" w:rsidRDefault="001A4F84">
          <w:pPr>
            <w:pStyle w:val="TOC1"/>
            <w:rPr>
              <w:rFonts w:asciiTheme="minorHAnsi" w:eastAsiaTheme="minorEastAsia" w:hAnsiTheme="minorHAnsi" w:cstheme="minorBidi"/>
              <w:bCs w:val="0"/>
              <w:sz w:val="22"/>
              <w:szCs w:val="22"/>
            </w:rPr>
          </w:pPr>
          <w:hyperlink w:anchor="_Toc459815574" w:history="1">
            <w:r w:rsidR="00834029" w:rsidRPr="009A28B5">
              <w:rPr>
                <w:rStyle w:val="Hyperlink"/>
              </w:rPr>
              <w:t>C.</w:t>
            </w:r>
            <w:r w:rsidR="00834029">
              <w:rPr>
                <w:rFonts w:asciiTheme="minorHAnsi" w:eastAsiaTheme="minorEastAsia" w:hAnsiTheme="minorHAnsi" w:cstheme="minorBidi"/>
                <w:bCs w:val="0"/>
                <w:sz w:val="22"/>
                <w:szCs w:val="22"/>
              </w:rPr>
              <w:tab/>
            </w:r>
            <w:r w:rsidR="00834029" w:rsidRPr="009A28B5">
              <w:rPr>
                <w:rStyle w:val="Hyperlink"/>
              </w:rPr>
              <w:t>References</w:t>
            </w:r>
            <w:r w:rsidR="00834029">
              <w:rPr>
                <w:webHidden/>
              </w:rPr>
              <w:tab/>
            </w:r>
            <w:r w:rsidR="00834029">
              <w:rPr>
                <w:webHidden/>
              </w:rPr>
              <w:fldChar w:fldCharType="begin"/>
            </w:r>
            <w:r w:rsidR="00834029">
              <w:rPr>
                <w:webHidden/>
              </w:rPr>
              <w:instrText xml:space="preserve"> PAGEREF _Toc459815574 \h </w:instrText>
            </w:r>
            <w:r w:rsidR="00834029">
              <w:rPr>
                <w:webHidden/>
              </w:rPr>
            </w:r>
            <w:r w:rsidR="00834029">
              <w:rPr>
                <w:webHidden/>
              </w:rPr>
              <w:fldChar w:fldCharType="separate"/>
            </w:r>
            <w:r w:rsidR="0036453F">
              <w:rPr>
                <w:webHidden/>
              </w:rPr>
              <w:t>31</w:t>
            </w:r>
            <w:r w:rsidR="00834029">
              <w:rPr>
                <w:webHidden/>
              </w:rPr>
              <w:fldChar w:fldCharType="end"/>
            </w:r>
          </w:hyperlink>
        </w:p>
        <w:p w14:paraId="7D4ABE5B" w14:textId="533DAE55" w:rsidR="00251904" w:rsidRPr="00712902" w:rsidRDefault="00251904" w:rsidP="00CF1337">
          <w:pPr>
            <w:spacing w:after="120"/>
            <w:rPr>
              <w:rFonts w:asciiTheme="minorBidi" w:hAnsiTheme="minorBidi" w:cstheme="minorBidi"/>
              <w:sz w:val="22"/>
              <w:szCs w:val="22"/>
            </w:rPr>
          </w:pPr>
          <w:r w:rsidRPr="00430FE9">
            <w:rPr>
              <w:rFonts w:asciiTheme="minorBidi" w:hAnsiTheme="minorBidi" w:cstheme="minorBidi"/>
              <w:b/>
              <w:bCs/>
              <w:noProof/>
              <w:sz w:val="22"/>
              <w:szCs w:val="22"/>
            </w:rPr>
            <w:fldChar w:fldCharType="end"/>
          </w:r>
        </w:p>
      </w:sdtContent>
    </w:sdt>
    <w:p w14:paraId="3E208AC9" w14:textId="77777777" w:rsidR="00251904" w:rsidRPr="00712902" w:rsidRDefault="00251904" w:rsidP="00CF1337">
      <w:pPr>
        <w:pStyle w:val="TOCHeading"/>
        <w:spacing w:after="120"/>
        <w:rPr>
          <w:rFonts w:asciiTheme="minorBidi" w:hAnsiTheme="minorBidi" w:cstheme="minorBidi"/>
          <w:sz w:val="22"/>
          <w:szCs w:val="22"/>
        </w:rPr>
      </w:pPr>
      <w:r w:rsidRPr="00712902">
        <w:rPr>
          <w:rFonts w:asciiTheme="minorBidi" w:hAnsiTheme="minorBidi" w:cstheme="minorBidi"/>
          <w:sz w:val="22"/>
          <w:szCs w:val="22"/>
        </w:rPr>
        <w:t>Tables</w:t>
      </w:r>
    </w:p>
    <w:p w14:paraId="06A67928" w14:textId="3624D061" w:rsidR="002B537E" w:rsidRPr="00083498" w:rsidRDefault="00251904" w:rsidP="00083498">
      <w:pPr>
        <w:pStyle w:val="TableofFigures"/>
        <w:tabs>
          <w:tab w:val="clear" w:pos="720"/>
          <w:tab w:val="clear" w:pos="9350"/>
          <w:tab w:val="right" w:leader="dot" w:pos="10260"/>
        </w:tabs>
        <w:ind w:left="1170" w:right="-36" w:hanging="990"/>
        <w:rPr>
          <w:rFonts w:eastAsiaTheme="minorEastAsia"/>
          <w:sz w:val="21"/>
          <w:szCs w:val="21"/>
        </w:rPr>
      </w:pPr>
      <w:r w:rsidRPr="00083498">
        <w:rPr>
          <w:rFonts w:asciiTheme="minorBidi" w:hAnsiTheme="minorBidi" w:cstheme="minorBidi"/>
          <w:sz w:val="21"/>
          <w:szCs w:val="21"/>
        </w:rPr>
        <w:fldChar w:fldCharType="begin"/>
      </w:r>
      <w:r w:rsidRPr="00083498">
        <w:rPr>
          <w:rFonts w:asciiTheme="minorBidi" w:hAnsiTheme="minorBidi" w:cstheme="minorBidi"/>
          <w:sz w:val="21"/>
          <w:szCs w:val="21"/>
        </w:rPr>
        <w:instrText xml:space="preserve"> TOC \h \z \t "Table Title" \c </w:instrText>
      </w:r>
      <w:r w:rsidRPr="00083498">
        <w:rPr>
          <w:rFonts w:asciiTheme="minorBidi" w:hAnsiTheme="minorBidi" w:cstheme="minorBidi"/>
          <w:sz w:val="21"/>
          <w:szCs w:val="21"/>
        </w:rPr>
        <w:fldChar w:fldCharType="separate"/>
      </w:r>
      <w:hyperlink w:anchor="_Toc456167104" w:history="1">
        <w:r w:rsidR="002B537E" w:rsidRPr="00083498">
          <w:rPr>
            <w:rStyle w:val="Hyperlink"/>
            <w:sz w:val="21"/>
            <w:szCs w:val="21"/>
          </w:rPr>
          <w:t>Table 1. BPS:12/14 sample size by institution characteristics: 2012</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_Toc456167104 \h </w:instrText>
        </w:r>
        <w:r w:rsidR="002B537E" w:rsidRPr="00083498">
          <w:rPr>
            <w:webHidden/>
            <w:sz w:val="21"/>
            <w:szCs w:val="21"/>
          </w:rPr>
        </w:r>
        <w:r w:rsidR="002B537E" w:rsidRPr="00083498">
          <w:rPr>
            <w:webHidden/>
            <w:sz w:val="21"/>
            <w:szCs w:val="21"/>
          </w:rPr>
          <w:fldChar w:fldCharType="separate"/>
        </w:r>
        <w:r w:rsidR="0036453F">
          <w:rPr>
            <w:webHidden/>
            <w:sz w:val="21"/>
            <w:szCs w:val="21"/>
          </w:rPr>
          <w:t>7</w:t>
        </w:r>
        <w:r w:rsidR="002B537E" w:rsidRPr="00083498">
          <w:rPr>
            <w:webHidden/>
            <w:sz w:val="21"/>
            <w:szCs w:val="21"/>
          </w:rPr>
          <w:fldChar w:fldCharType="end"/>
        </w:r>
      </w:hyperlink>
    </w:p>
    <w:p w14:paraId="3B82A1C3" w14:textId="3D5AEB49"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5" w:history="1">
        <w:r w:rsidR="002B537E" w:rsidRPr="00083498">
          <w:rPr>
            <w:rStyle w:val="Hyperlink"/>
            <w:sz w:val="21"/>
            <w:szCs w:val="21"/>
          </w:rPr>
          <w:t>Table 2. BPS:12/17 sample member disposition, by NPSAS:12 and BPS:12/14 response status.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_Toc456167105 \h </w:instrText>
        </w:r>
        <w:r w:rsidR="002B537E" w:rsidRPr="00083498">
          <w:rPr>
            <w:webHidden/>
            <w:sz w:val="21"/>
            <w:szCs w:val="21"/>
          </w:rPr>
        </w:r>
        <w:r w:rsidR="002B537E" w:rsidRPr="00083498">
          <w:rPr>
            <w:webHidden/>
            <w:sz w:val="21"/>
            <w:szCs w:val="21"/>
          </w:rPr>
          <w:fldChar w:fldCharType="separate"/>
        </w:r>
        <w:r w:rsidR="0036453F">
          <w:rPr>
            <w:webHidden/>
            <w:sz w:val="21"/>
            <w:szCs w:val="21"/>
          </w:rPr>
          <w:t>7</w:t>
        </w:r>
        <w:r w:rsidR="002B537E" w:rsidRPr="00083498">
          <w:rPr>
            <w:webHidden/>
            <w:sz w:val="21"/>
            <w:szCs w:val="21"/>
          </w:rPr>
          <w:fldChar w:fldCharType="end"/>
        </w:r>
      </w:hyperlink>
    </w:p>
    <w:p w14:paraId="1D849274" w14:textId="64012563"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6" w:history="1">
        <w:r w:rsidR="002B537E" w:rsidRPr="00083498">
          <w:rPr>
            <w:rStyle w:val="Hyperlink"/>
            <w:sz w:val="21"/>
            <w:szCs w:val="21"/>
          </w:rPr>
          <w:t>Table 3. BPS:12/17 sample size by institution characteristics: 2016</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_Toc456167106 \h </w:instrText>
        </w:r>
        <w:r w:rsidR="002B537E" w:rsidRPr="00083498">
          <w:rPr>
            <w:webHidden/>
            <w:sz w:val="21"/>
            <w:szCs w:val="21"/>
          </w:rPr>
        </w:r>
        <w:r w:rsidR="002B537E" w:rsidRPr="00083498">
          <w:rPr>
            <w:webHidden/>
            <w:sz w:val="21"/>
            <w:szCs w:val="21"/>
          </w:rPr>
          <w:fldChar w:fldCharType="separate"/>
        </w:r>
        <w:r w:rsidR="0036453F">
          <w:rPr>
            <w:webHidden/>
            <w:sz w:val="21"/>
            <w:szCs w:val="21"/>
          </w:rPr>
          <w:t>8</w:t>
        </w:r>
        <w:r w:rsidR="002B537E" w:rsidRPr="00083498">
          <w:rPr>
            <w:webHidden/>
            <w:sz w:val="21"/>
            <w:szCs w:val="21"/>
          </w:rPr>
          <w:fldChar w:fldCharType="end"/>
        </w:r>
      </w:hyperlink>
    </w:p>
    <w:p w14:paraId="01F3331A" w14:textId="1B0426F3"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7" w:history="1">
        <w:r w:rsidR="002B537E" w:rsidRPr="00083498">
          <w:rPr>
            <w:rStyle w:val="Hyperlink"/>
            <w:sz w:val="21"/>
            <w:szCs w:val="21"/>
          </w:rPr>
          <w:t xml:space="preserve">Table 4. </w:t>
        </w:r>
        <w:r w:rsidR="006A273A" w:rsidRPr="00083498">
          <w:rPr>
            <w:rStyle w:val="Hyperlink"/>
            <w:sz w:val="21"/>
            <w:szCs w:val="21"/>
          </w:rPr>
          <w:t xml:space="preserve">Pilot sample </w:t>
        </w:r>
        <w:r w:rsidR="002B537E" w:rsidRPr="00083498">
          <w:rPr>
            <w:rStyle w:val="Hyperlink"/>
            <w:sz w:val="21"/>
            <w:szCs w:val="21"/>
          </w:rPr>
          <w:t>member disposition, by sample member and prior round response status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_Toc456167107 \h </w:instrText>
        </w:r>
        <w:r w:rsidR="002B537E" w:rsidRPr="00083498">
          <w:rPr>
            <w:webHidden/>
            <w:sz w:val="21"/>
            <w:szCs w:val="21"/>
          </w:rPr>
        </w:r>
        <w:r w:rsidR="002B537E" w:rsidRPr="00083498">
          <w:rPr>
            <w:webHidden/>
            <w:sz w:val="21"/>
            <w:szCs w:val="21"/>
          </w:rPr>
          <w:fldChar w:fldCharType="separate"/>
        </w:r>
        <w:r w:rsidR="0036453F">
          <w:rPr>
            <w:webHidden/>
            <w:sz w:val="21"/>
            <w:szCs w:val="21"/>
          </w:rPr>
          <w:t>9</w:t>
        </w:r>
        <w:r w:rsidR="002B537E" w:rsidRPr="00083498">
          <w:rPr>
            <w:webHidden/>
            <w:sz w:val="21"/>
            <w:szCs w:val="21"/>
          </w:rPr>
          <w:fldChar w:fldCharType="end"/>
        </w:r>
      </w:hyperlink>
    </w:p>
    <w:p w14:paraId="69FC2071" w14:textId="095705E8"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8" w:history="1">
        <w:r w:rsidR="002B537E" w:rsidRPr="00083498">
          <w:rPr>
            <w:rStyle w:val="Hyperlink"/>
            <w:sz w:val="21"/>
            <w:szCs w:val="21"/>
          </w:rPr>
          <w:t>Table 5. Summary of start dates and activities for each phase of the BPS:12/14 data collection, by sample: 2014</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_Toc456167108 \h </w:instrText>
        </w:r>
        <w:r w:rsidR="002B537E" w:rsidRPr="00083498">
          <w:rPr>
            <w:webHidden/>
            <w:sz w:val="21"/>
            <w:szCs w:val="21"/>
          </w:rPr>
        </w:r>
        <w:r w:rsidR="002B537E" w:rsidRPr="00083498">
          <w:rPr>
            <w:webHidden/>
            <w:sz w:val="21"/>
            <w:szCs w:val="21"/>
          </w:rPr>
          <w:fldChar w:fldCharType="separate"/>
        </w:r>
        <w:r w:rsidR="0036453F">
          <w:rPr>
            <w:webHidden/>
            <w:sz w:val="21"/>
            <w:szCs w:val="21"/>
          </w:rPr>
          <w:t>18</w:t>
        </w:r>
        <w:r w:rsidR="002B537E" w:rsidRPr="00083498">
          <w:rPr>
            <w:webHidden/>
            <w:sz w:val="21"/>
            <w:szCs w:val="21"/>
          </w:rPr>
          <w:fldChar w:fldCharType="end"/>
        </w:r>
      </w:hyperlink>
    </w:p>
    <w:p w14:paraId="08759182" w14:textId="6A8A4FA6"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9" w:history="1">
        <w:r w:rsidR="002B537E" w:rsidRPr="00083498">
          <w:rPr>
            <w:rStyle w:val="Hyperlink"/>
            <w:sz w:val="21"/>
            <w:szCs w:val="21"/>
          </w:rPr>
          <w:t>Table 6. Summary of responsive design impact on nonresponse bias, by institutional sector: 2014</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_Toc456167109 \h </w:instrText>
        </w:r>
        <w:r w:rsidR="002B537E" w:rsidRPr="00083498">
          <w:rPr>
            <w:webHidden/>
            <w:sz w:val="21"/>
            <w:szCs w:val="21"/>
          </w:rPr>
        </w:r>
        <w:r w:rsidR="002B537E" w:rsidRPr="00083498">
          <w:rPr>
            <w:webHidden/>
            <w:sz w:val="21"/>
            <w:szCs w:val="21"/>
          </w:rPr>
          <w:fldChar w:fldCharType="separate"/>
        </w:r>
        <w:r w:rsidR="0036453F">
          <w:rPr>
            <w:webHidden/>
            <w:sz w:val="21"/>
            <w:szCs w:val="21"/>
          </w:rPr>
          <w:t>20</w:t>
        </w:r>
        <w:r w:rsidR="002B537E" w:rsidRPr="00083498">
          <w:rPr>
            <w:webHidden/>
            <w:sz w:val="21"/>
            <w:szCs w:val="21"/>
          </w:rPr>
          <w:fldChar w:fldCharType="end"/>
        </w:r>
      </w:hyperlink>
    </w:p>
    <w:p w14:paraId="215BD569" w14:textId="571E8040"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0" w:history="1">
        <w:r w:rsidR="002B537E" w:rsidRPr="00083498">
          <w:rPr>
            <w:rStyle w:val="Hyperlink"/>
            <w:sz w:val="21"/>
            <w:szCs w:val="21"/>
          </w:rPr>
          <w:t>Table 7. Candidate variables for the bias likelihood model</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_Toc456167110 \h </w:instrText>
        </w:r>
        <w:r w:rsidR="002B537E" w:rsidRPr="00083498">
          <w:rPr>
            <w:webHidden/>
            <w:sz w:val="21"/>
            <w:szCs w:val="21"/>
          </w:rPr>
        </w:r>
        <w:r w:rsidR="002B537E" w:rsidRPr="00083498">
          <w:rPr>
            <w:webHidden/>
            <w:sz w:val="21"/>
            <w:szCs w:val="21"/>
          </w:rPr>
          <w:fldChar w:fldCharType="separate"/>
        </w:r>
        <w:r w:rsidR="0036453F">
          <w:rPr>
            <w:webHidden/>
            <w:sz w:val="21"/>
            <w:szCs w:val="21"/>
          </w:rPr>
          <w:t>23</w:t>
        </w:r>
        <w:r w:rsidR="002B537E" w:rsidRPr="00083498">
          <w:rPr>
            <w:webHidden/>
            <w:sz w:val="21"/>
            <w:szCs w:val="21"/>
          </w:rPr>
          <w:fldChar w:fldCharType="end"/>
        </w:r>
      </w:hyperlink>
    </w:p>
    <w:p w14:paraId="5B16E4ED" w14:textId="482AF523"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1" w:history="1">
        <w:r w:rsidR="002B537E" w:rsidRPr="00083498">
          <w:rPr>
            <w:rStyle w:val="Hyperlink"/>
            <w:sz w:val="21"/>
            <w:szCs w:val="21"/>
          </w:rPr>
          <w:t>Table 8. Targeted sector groups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_Toc456167111 \h </w:instrText>
        </w:r>
        <w:r w:rsidR="002B537E" w:rsidRPr="00083498">
          <w:rPr>
            <w:webHidden/>
            <w:sz w:val="21"/>
            <w:szCs w:val="21"/>
          </w:rPr>
        </w:r>
        <w:r w:rsidR="002B537E" w:rsidRPr="00083498">
          <w:rPr>
            <w:webHidden/>
            <w:sz w:val="21"/>
            <w:szCs w:val="21"/>
          </w:rPr>
          <w:fldChar w:fldCharType="separate"/>
        </w:r>
        <w:r w:rsidR="0036453F">
          <w:rPr>
            <w:webHidden/>
            <w:sz w:val="21"/>
            <w:szCs w:val="21"/>
          </w:rPr>
          <w:t>24</w:t>
        </w:r>
        <w:r w:rsidR="002B537E" w:rsidRPr="00083498">
          <w:rPr>
            <w:webHidden/>
            <w:sz w:val="21"/>
            <w:szCs w:val="21"/>
          </w:rPr>
          <w:fldChar w:fldCharType="end"/>
        </w:r>
      </w:hyperlink>
    </w:p>
    <w:p w14:paraId="18593264" w14:textId="330B0A0B"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2" w:history="1">
        <w:r w:rsidR="002B537E" w:rsidRPr="00083498">
          <w:rPr>
            <w:rStyle w:val="Hyperlink"/>
            <w:sz w:val="21"/>
            <w:szCs w:val="21"/>
          </w:rPr>
          <w:t>Table 9. Timeline for previous respondents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_Toc456167112 \h </w:instrText>
        </w:r>
        <w:r w:rsidR="002B537E" w:rsidRPr="00083498">
          <w:rPr>
            <w:webHidden/>
            <w:sz w:val="21"/>
            <w:szCs w:val="21"/>
          </w:rPr>
        </w:r>
        <w:r w:rsidR="002B537E" w:rsidRPr="00083498">
          <w:rPr>
            <w:webHidden/>
            <w:sz w:val="21"/>
            <w:szCs w:val="21"/>
          </w:rPr>
          <w:fldChar w:fldCharType="separate"/>
        </w:r>
        <w:r w:rsidR="0036453F">
          <w:rPr>
            <w:webHidden/>
            <w:sz w:val="21"/>
            <w:szCs w:val="21"/>
          </w:rPr>
          <w:t>25</w:t>
        </w:r>
        <w:r w:rsidR="002B537E" w:rsidRPr="00083498">
          <w:rPr>
            <w:webHidden/>
            <w:sz w:val="21"/>
            <w:szCs w:val="21"/>
          </w:rPr>
          <w:fldChar w:fldCharType="end"/>
        </w:r>
      </w:hyperlink>
    </w:p>
    <w:p w14:paraId="30EED516" w14:textId="498D2907"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3" w:history="1">
        <w:r w:rsidR="002B537E" w:rsidRPr="00083498">
          <w:rPr>
            <w:rStyle w:val="Hyperlink"/>
            <w:sz w:val="21"/>
            <w:szCs w:val="21"/>
          </w:rPr>
          <w:t>Table 10. Timeline for NPSAS:12 study member double interview nonrespondents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_Toc456167113 \h </w:instrText>
        </w:r>
        <w:r w:rsidR="002B537E" w:rsidRPr="00083498">
          <w:rPr>
            <w:webHidden/>
            <w:sz w:val="21"/>
            <w:szCs w:val="21"/>
          </w:rPr>
        </w:r>
        <w:r w:rsidR="002B537E" w:rsidRPr="00083498">
          <w:rPr>
            <w:webHidden/>
            <w:sz w:val="21"/>
            <w:szCs w:val="21"/>
          </w:rPr>
          <w:fldChar w:fldCharType="separate"/>
        </w:r>
        <w:r w:rsidR="0036453F">
          <w:rPr>
            <w:webHidden/>
            <w:sz w:val="21"/>
            <w:szCs w:val="21"/>
          </w:rPr>
          <w:t>26</w:t>
        </w:r>
        <w:r w:rsidR="002B537E" w:rsidRPr="00083498">
          <w:rPr>
            <w:webHidden/>
            <w:sz w:val="21"/>
            <w:szCs w:val="21"/>
          </w:rPr>
          <w:fldChar w:fldCharType="end"/>
        </w:r>
      </w:hyperlink>
    </w:p>
    <w:p w14:paraId="55716DA8" w14:textId="476BD400" w:rsidR="002B537E" w:rsidRPr="00083498" w:rsidRDefault="001A4F84"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4" w:history="1">
        <w:r w:rsidR="002B537E" w:rsidRPr="00083498">
          <w:rPr>
            <w:rStyle w:val="Hyperlink"/>
            <w:sz w:val="21"/>
            <w:szCs w:val="21"/>
          </w:rPr>
          <w:t>Table 11. Power for control versus treatment comparisons across multiple assumptions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_Toc456167114 \h </w:instrText>
        </w:r>
        <w:r w:rsidR="002B537E" w:rsidRPr="00083498">
          <w:rPr>
            <w:webHidden/>
            <w:sz w:val="21"/>
            <w:szCs w:val="21"/>
          </w:rPr>
        </w:r>
        <w:r w:rsidR="002B537E" w:rsidRPr="00083498">
          <w:rPr>
            <w:webHidden/>
            <w:sz w:val="21"/>
            <w:szCs w:val="21"/>
          </w:rPr>
          <w:fldChar w:fldCharType="separate"/>
        </w:r>
        <w:r w:rsidR="0036453F">
          <w:rPr>
            <w:webHidden/>
            <w:sz w:val="21"/>
            <w:szCs w:val="21"/>
          </w:rPr>
          <w:t>29</w:t>
        </w:r>
        <w:r w:rsidR="002B537E" w:rsidRPr="00083498">
          <w:rPr>
            <w:webHidden/>
            <w:sz w:val="21"/>
            <w:szCs w:val="21"/>
          </w:rPr>
          <w:fldChar w:fldCharType="end"/>
        </w:r>
      </w:hyperlink>
    </w:p>
    <w:p w14:paraId="7B889680" w14:textId="0EB0D167" w:rsidR="002B537E" w:rsidRPr="00083498" w:rsidRDefault="001A4F84" w:rsidP="00083498">
      <w:pPr>
        <w:pStyle w:val="TableofFigures"/>
        <w:tabs>
          <w:tab w:val="clear" w:pos="720"/>
          <w:tab w:val="clear" w:pos="9350"/>
          <w:tab w:val="right" w:leader="dot" w:pos="10260"/>
        </w:tabs>
        <w:ind w:left="1170" w:right="-36" w:hanging="990"/>
        <w:rPr>
          <w:rFonts w:asciiTheme="minorBidi" w:eastAsiaTheme="minorEastAsia" w:hAnsiTheme="minorBidi" w:cstheme="minorBidi"/>
          <w:sz w:val="21"/>
          <w:szCs w:val="21"/>
        </w:rPr>
      </w:pPr>
      <w:hyperlink w:anchor="_Toc456167115" w:history="1">
        <w:r w:rsidR="002B537E" w:rsidRPr="00083498">
          <w:rPr>
            <w:rStyle w:val="Hyperlink"/>
            <w:sz w:val="21"/>
            <w:szCs w:val="21"/>
          </w:rPr>
          <w:t>Table 12. Power to detect 5 percent difference in response rate based on different baseline response rates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_Toc456167115 \h </w:instrText>
        </w:r>
        <w:r w:rsidR="002B537E" w:rsidRPr="00083498">
          <w:rPr>
            <w:webHidden/>
            <w:sz w:val="21"/>
            <w:szCs w:val="21"/>
          </w:rPr>
        </w:r>
        <w:r w:rsidR="002B537E" w:rsidRPr="00083498">
          <w:rPr>
            <w:webHidden/>
            <w:sz w:val="21"/>
            <w:szCs w:val="21"/>
          </w:rPr>
          <w:fldChar w:fldCharType="separate"/>
        </w:r>
        <w:r w:rsidR="0036453F">
          <w:rPr>
            <w:webHidden/>
            <w:sz w:val="21"/>
            <w:szCs w:val="21"/>
          </w:rPr>
          <w:t>30</w:t>
        </w:r>
        <w:r w:rsidR="002B537E" w:rsidRPr="00083498">
          <w:rPr>
            <w:webHidden/>
            <w:sz w:val="21"/>
            <w:szCs w:val="21"/>
          </w:rPr>
          <w:fldChar w:fldCharType="end"/>
        </w:r>
      </w:hyperlink>
    </w:p>
    <w:p w14:paraId="51215381" w14:textId="73D9C508" w:rsidR="00251904" w:rsidRDefault="00251904" w:rsidP="00083498">
      <w:pPr>
        <w:tabs>
          <w:tab w:val="left" w:pos="810"/>
          <w:tab w:val="right" w:leader="dot" w:pos="10260"/>
        </w:tabs>
        <w:spacing w:after="120"/>
        <w:ind w:left="1170" w:right="-36" w:hanging="990"/>
      </w:pPr>
      <w:r w:rsidRPr="00083498">
        <w:rPr>
          <w:rFonts w:asciiTheme="minorBidi" w:hAnsiTheme="minorBidi" w:cstheme="minorBidi"/>
          <w:sz w:val="21"/>
          <w:szCs w:val="21"/>
        </w:rPr>
        <w:fldChar w:fldCharType="end"/>
      </w:r>
      <w:r w:rsidRPr="00712902">
        <w:rPr>
          <w:rFonts w:asciiTheme="minorBidi" w:hAnsiTheme="minorBidi" w:cstheme="minorBidi"/>
          <w:sz w:val="22"/>
          <w:szCs w:val="22"/>
        </w:rPr>
        <w:br w:type="page"/>
      </w:r>
    </w:p>
    <w:p w14:paraId="068D684A" w14:textId="23A0860A" w:rsidR="00C47264" w:rsidRDefault="00C47264" w:rsidP="00CF1337">
      <w:pPr>
        <w:pStyle w:val="Heading1"/>
        <w:spacing w:before="120"/>
        <w:rPr>
          <w:sz w:val="22"/>
          <w:szCs w:val="16"/>
        </w:rPr>
      </w:pPr>
      <w:bookmarkStart w:id="1" w:name="_Toc335742332"/>
      <w:bookmarkStart w:id="2" w:name="_Toc336344082"/>
      <w:bookmarkStart w:id="3" w:name="_Toc336344199"/>
      <w:bookmarkStart w:id="4" w:name="_Toc336344257"/>
      <w:bookmarkStart w:id="5" w:name="_Toc336344752"/>
      <w:bookmarkStart w:id="6" w:name="_Toc336345019"/>
      <w:bookmarkStart w:id="7" w:name="_Toc336345683"/>
      <w:bookmarkStart w:id="8" w:name="_Toc336353852"/>
      <w:bookmarkStart w:id="9" w:name="_Toc336973936"/>
      <w:bookmarkStart w:id="10" w:name="_Toc337122723"/>
      <w:bookmarkStart w:id="11" w:name="_Toc337123818"/>
      <w:bookmarkStart w:id="12" w:name="_Toc337840010"/>
      <w:bookmarkStart w:id="13" w:name="_Toc370482414"/>
      <w:bookmarkStart w:id="14" w:name="_Toc459815554"/>
      <w:bookmarkStart w:id="15" w:name="_Toc174183414"/>
      <w:bookmarkStart w:id="16" w:name="_Toc174435826"/>
      <w:bookmarkStart w:id="17" w:name="_Toc175106853"/>
      <w:bookmarkStart w:id="18" w:name="_Toc179362229"/>
      <w:bookmarkStart w:id="19" w:name="_Toc281573442"/>
      <w:bookmarkEnd w:id="1"/>
      <w:bookmarkEnd w:id="2"/>
      <w:bookmarkEnd w:id="3"/>
      <w:bookmarkEnd w:id="4"/>
      <w:bookmarkEnd w:id="5"/>
      <w:bookmarkEnd w:id="6"/>
      <w:bookmarkEnd w:id="7"/>
      <w:bookmarkEnd w:id="8"/>
      <w:bookmarkEnd w:id="9"/>
      <w:bookmarkEnd w:id="10"/>
      <w:bookmarkEnd w:id="11"/>
      <w:bookmarkEnd w:id="12"/>
      <w:r w:rsidRPr="0009636B">
        <w:rPr>
          <w:sz w:val="22"/>
          <w:szCs w:val="16"/>
        </w:rPr>
        <w:lastRenderedPageBreak/>
        <w:t>Collection of Information Employing Statistical Methods</w:t>
      </w:r>
      <w:bookmarkEnd w:id="13"/>
      <w:bookmarkEnd w:id="14"/>
    </w:p>
    <w:p w14:paraId="006BCFA3" w14:textId="74328E2C" w:rsidR="00B76A2F" w:rsidRPr="007B578B" w:rsidRDefault="00B76A2F" w:rsidP="007B578B">
      <w:pPr>
        <w:pStyle w:val="BodyText"/>
        <w:spacing w:line="240" w:lineRule="auto"/>
        <w:ind w:firstLine="0"/>
        <w:rPr>
          <w:rFonts w:eastAsia="Calibri"/>
        </w:rPr>
      </w:pPr>
      <w:r w:rsidRPr="007B578B">
        <w:rPr>
          <w:rFonts w:eastAsia="Calibri"/>
        </w:rPr>
        <w:t xml:space="preserve">This section describes the </w:t>
      </w:r>
      <w:r>
        <w:rPr>
          <w:rFonts w:eastAsia="Calibri"/>
        </w:rPr>
        <w:t>target population for the 2012/17 Beginning Postsecondary Students Longitudinal Study (BPS:12/17)</w:t>
      </w:r>
      <w:r w:rsidR="00F52E30">
        <w:rPr>
          <w:rFonts w:eastAsia="Calibri"/>
        </w:rPr>
        <w:t xml:space="preserve"> </w:t>
      </w:r>
      <w:r w:rsidRPr="007B578B">
        <w:rPr>
          <w:rFonts w:eastAsia="Calibri"/>
        </w:rPr>
        <w:t>and the sampling and statistical methodologies proposed for the second follow-up full- scale study. This section also addresses suggested methods for maximizing response rates and for tests of procedures and methods, and introduces the statisticians and other technical staff responsible for design and administration of the study.</w:t>
      </w:r>
    </w:p>
    <w:p w14:paraId="142CD974" w14:textId="77777777" w:rsidR="00083498" w:rsidRDefault="00C47264" w:rsidP="00C737A7">
      <w:pPr>
        <w:pStyle w:val="Heading2"/>
        <w:spacing w:before="120" w:line="240" w:lineRule="auto"/>
        <w:rPr>
          <w:sz w:val="22"/>
          <w:szCs w:val="24"/>
        </w:rPr>
      </w:pPr>
      <w:bookmarkStart w:id="20" w:name="_Toc459815555"/>
      <w:bookmarkStart w:id="21" w:name="_Toc370482415"/>
      <w:r w:rsidRPr="0009636B">
        <w:rPr>
          <w:sz w:val="22"/>
          <w:szCs w:val="24"/>
        </w:rPr>
        <w:t>Respondent Universe</w:t>
      </w:r>
      <w:bookmarkEnd w:id="20"/>
      <w:bookmarkEnd w:id="21"/>
    </w:p>
    <w:p w14:paraId="459E8C73" w14:textId="77777777" w:rsidR="00083498" w:rsidRDefault="00C47264" w:rsidP="00C737A7">
      <w:pPr>
        <w:pStyle w:val="BodyText"/>
        <w:spacing w:line="240" w:lineRule="auto"/>
        <w:ind w:firstLine="0"/>
        <w:rPr>
          <w:rFonts w:eastAsia="Calibri"/>
        </w:rPr>
      </w:pPr>
      <w:r w:rsidRPr="0036539E">
        <w:rPr>
          <w:rFonts w:eastAsia="Calibri"/>
        </w:rPr>
        <w:t xml:space="preserve">The </w:t>
      </w:r>
      <w:r>
        <w:rPr>
          <w:rFonts w:eastAsia="Calibri"/>
        </w:rPr>
        <w:t>t</w:t>
      </w:r>
      <w:r w:rsidR="009D2DF4">
        <w:rPr>
          <w:rFonts w:eastAsia="Calibri"/>
        </w:rPr>
        <w:t>arget population for the 2012/17</w:t>
      </w:r>
      <w:r>
        <w:rPr>
          <w:rFonts w:eastAsia="Calibri"/>
        </w:rPr>
        <w:t xml:space="preserve"> Beginning Postsecondary Students Longitudinal Study (BPS</w:t>
      </w:r>
      <w:r w:rsidR="009D2DF4">
        <w:rPr>
          <w:rFonts w:eastAsia="Calibri"/>
        </w:rPr>
        <w:t>:12/17</w:t>
      </w:r>
      <w:r>
        <w:rPr>
          <w:rFonts w:eastAsia="Calibri"/>
        </w:rPr>
        <w:t>)</w:t>
      </w:r>
      <w:r w:rsidRPr="0036539E">
        <w:rPr>
          <w:rFonts w:eastAsia="Calibri"/>
        </w:rPr>
        <w:t xml:space="preserve"> consist</w:t>
      </w:r>
      <w:r>
        <w:rPr>
          <w:rFonts w:eastAsia="Calibri"/>
        </w:rPr>
        <w:t>s</w:t>
      </w:r>
      <w:r w:rsidRPr="0036539E">
        <w:rPr>
          <w:rFonts w:eastAsia="Calibri"/>
        </w:rPr>
        <w:t xml:space="preserve"> of all students who began</w:t>
      </w:r>
      <w:r>
        <w:rPr>
          <w:rFonts w:eastAsia="Calibri"/>
        </w:rPr>
        <w:t xml:space="preserve"> </w:t>
      </w:r>
      <w:r w:rsidRPr="0036539E">
        <w:rPr>
          <w:rFonts w:eastAsia="Calibri"/>
        </w:rPr>
        <w:t>their postsecondary education fo</w:t>
      </w:r>
      <w:r>
        <w:rPr>
          <w:rFonts w:eastAsia="Calibri"/>
        </w:rPr>
        <w:t>r the first time during the 2011–12</w:t>
      </w:r>
      <w:r w:rsidRPr="0036539E">
        <w:rPr>
          <w:rFonts w:eastAsia="Calibri"/>
        </w:rPr>
        <w:t xml:space="preserve"> academic year at any Title</w:t>
      </w:r>
      <w:r>
        <w:rPr>
          <w:rFonts w:eastAsia="Calibri"/>
        </w:rPr>
        <w:t xml:space="preserve"> </w:t>
      </w:r>
      <w:r w:rsidRPr="0036539E">
        <w:rPr>
          <w:rFonts w:eastAsia="Calibri"/>
        </w:rPr>
        <w:t>IV-eligible postsecondary institution in the United States. The sample students</w:t>
      </w:r>
      <w:r>
        <w:rPr>
          <w:rFonts w:eastAsia="Calibri"/>
        </w:rPr>
        <w:t xml:space="preserve"> </w:t>
      </w:r>
      <w:r w:rsidR="009D2DF4">
        <w:rPr>
          <w:rFonts w:eastAsia="Calibri"/>
        </w:rPr>
        <w:t xml:space="preserve">were the first-time beginning </w:t>
      </w:r>
      <w:r w:rsidR="00E8279B">
        <w:rPr>
          <w:rFonts w:eastAsia="Calibri"/>
        </w:rPr>
        <w:t xml:space="preserve">(FTB) </w:t>
      </w:r>
      <w:r w:rsidR="009D2DF4">
        <w:rPr>
          <w:rFonts w:eastAsia="Calibri"/>
        </w:rPr>
        <w:t>students</w:t>
      </w:r>
      <w:r w:rsidRPr="0036539E">
        <w:rPr>
          <w:rFonts w:eastAsia="Calibri"/>
        </w:rPr>
        <w:t xml:space="preserve"> from the 20</w:t>
      </w:r>
      <w:r>
        <w:rPr>
          <w:rFonts w:eastAsia="Calibri"/>
        </w:rPr>
        <w:t>11-12</w:t>
      </w:r>
      <w:r w:rsidRPr="0036539E">
        <w:rPr>
          <w:rFonts w:eastAsia="Calibri"/>
        </w:rPr>
        <w:t xml:space="preserve"> National Postsecondary Student Aid Study</w:t>
      </w:r>
      <w:r>
        <w:rPr>
          <w:rFonts w:eastAsia="Calibri"/>
        </w:rPr>
        <w:t xml:space="preserve"> </w:t>
      </w:r>
      <w:r w:rsidRPr="009B3106">
        <w:rPr>
          <w:rFonts w:eastAsia="Calibri"/>
        </w:rPr>
        <w:t>(NPSAS:12</w:t>
      </w:r>
      <w:r w:rsidRPr="0036539E">
        <w:rPr>
          <w:rFonts w:eastAsia="Calibri"/>
        </w:rPr>
        <w:t>)</w:t>
      </w:r>
      <w:r>
        <w:rPr>
          <w:rFonts w:eastAsia="Calibri"/>
        </w:rPr>
        <w:t>.</w:t>
      </w:r>
    </w:p>
    <w:p w14:paraId="1991AED8" w14:textId="77777777" w:rsidR="00083498" w:rsidRDefault="00C47264" w:rsidP="00C737A7">
      <w:pPr>
        <w:pStyle w:val="Heading3"/>
        <w:spacing w:before="120" w:line="240" w:lineRule="auto"/>
        <w:rPr>
          <w:b w:val="0"/>
          <w:bCs w:val="0"/>
          <w:i/>
          <w:iCs/>
          <w:sz w:val="22"/>
          <w:szCs w:val="22"/>
        </w:rPr>
      </w:pPr>
      <w:bookmarkStart w:id="22" w:name="_Toc459815556"/>
      <w:bookmarkStart w:id="23" w:name="_Toc370482416"/>
      <w:bookmarkStart w:id="24" w:name="_Toc317513748"/>
      <w:r w:rsidRPr="0009636B">
        <w:rPr>
          <w:b w:val="0"/>
          <w:bCs w:val="0"/>
          <w:i/>
          <w:iCs/>
          <w:sz w:val="22"/>
          <w:szCs w:val="22"/>
        </w:rPr>
        <w:t xml:space="preserve">NPSAS:12 </w:t>
      </w:r>
      <w:r w:rsidR="00996338" w:rsidRPr="0009636B">
        <w:rPr>
          <w:b w:val="0"/>
          <w:bCs w:val="0"/>
          <w:i/>
          <w:iCs/>
          <w:sz w:val="22"/>
          <w:szCs w:val="22"/>
        </w:rPr>
        <w:t>Full-scale</w:t>
      </w:r>
      <w:r w:rsidRPr="0009636B">
        <w:rPr>
          <w:b w:val="0"/>
          <w:bCs w:val="0"/>
          <w:i/>
          <w:iCs/>
          <w:sz w:val="22"/>
          <w:szCs w:val="22"/>
        </w:rPr>
        <w:t xml:space="preserve"> Institution Universe</w:t>
      </w:r>
      <w:bookmarkEnd w:id="22"/>
      <w:bookmarkEnd w:id="23"/>
    </w:p>
    <w:bookmarkEnd w:id="24"/>
    <w:p w14:paraId="33863609" w14:textId="6E7F028C" w:rsidR="00C47264" w:rsidRDefault="00C47264" w:rsidP="00CF1337">
      <w:pPr>
        <w:pStyle w:val="BodyText"/>
        <w:spacing w:line="240" w:lineRule="auto"/>
        <w:ind w:firstLine="0"/>
      </w:pPr>
      <w:r>
        <w:t>To be eligible for NPSAS:12, students must have been enrolled in a NPSAS-eligible institution in any term or course of instruction at any time during the 2011–12 academic year. Institutions must have also met the following requirements:</w:t>
      </w:r>
    </w:p>
    <w:p w14:paraId="3ED3B755" w14:textId="77777777" w:rsidR="00C47264" w:rsidRDefault="00C47264" w:rsidP="00CF1337">
      <w:pPr>
        <w:pStyle w:val="bulletround"/>
        <w:tabs>
          <w:tab w:val="clear" w:pos="1080"/>
        </w:tabs>
        <w:ind w:left="1440"/>
      </w:pPr>
      <w:r>
        <w:t>offer an educational program designed for persons who have completed secondary education;</w:t>
      </w:r>
    </w:p>
    <w:p w14:paraId="5B2D1D55" w14:textId="77777777" w:rsidR="00C47264" w:rsidRDefault="00C47264" w:rsidP="00CF1337">
      <w:pPr>
        <w:pStyle w:val="bulletround"/>
        <w:tabs>
          <w:tab w:val="clear" w:pos="1080"/>
        </w:tabs>
        <w:ind w:left="1440"/>
      </w:pPr>
      <w:r>
        <w:t>offer at least one academic, occupational, or vocational program of study lasting at least 3 months or 300 clock hours;</w:t>
      </w:r>
    </w:p>
    <w:p w14:paraId="6CCB1D78" w14:textId="77777777" w:rsidR="00C47264" w:rsidRDefault="00C47264" w:rsidP="00CF1337">
      <w:pPr>
        <w:pStyle w:val="bulletround"/>
        <w:tabs>
          <w:tab w:val="clear" w:pos="1080"/>
        </w:tabs>
        <w:ind w:left="1440"/>
      </w:pPr>
      <w:r>
        <w:t>offer courses that were open to more than the employees or members of the company or group (e.g. union) that administers the institution;</w:t>
      </w:r>
    </w:p>
    <w:p w14:paraId="47366B65" w14:textId="77777777" w:rsidR="00C47264" w:rsidRDefault="00C47264" w:rsidP="00CF1337">
      <w:pPr>
        <w:pStyle w:val="bulletround"/>
        <w:tabs>
          <w:tab w:val="clear" w:pos="1080"/>
        </w:tabs>
        <w:ind w:left="1440"/>
      </w:pPr>
      <w:r>
        <w:t>be located in the 50 states or the District of Columbia;</w:t>
      </w:r>
    </w:p>
    <w:p w14:paraId="0DC2E3A0" w14:textId="77777777" w:rsidR="00C47264" w:rsidRDefault="00C47264" w:rsidP="00CF1337">
      <w:pPr>
        <w:pStyle w:val="bulletround"/>
        <w:tabs>
          <w:tab w:val="clear" w:pos="1080"/>
        </w:tabs>
        <w:ind w:left="1440"/>
      </w:pPr>
      <w:r>
        <w:t>not be a U.S. service academy institution; and</w:t>
      </w:r>
    </w:p>
    <w:p w14:paraId="08A3341D" w14:textId="77777777" w:rsidR="00C47264" w:rsidRDefault="00C47264" w:rsidP="00CF1337">
      <w:pPr>
        <w:pStyle w:val="bulletround"/>
        <w:tabs>
          <w:tab w:val="clear" w:pos="1080"/>
        </w:tabs>
        <w:ind w:left="1440"/>
      </w:pPr>
      <w:r>
        <w:t>have signed the Title IV participation agreement with ED.</w:t>
      </w:r>
      <w:r>
        <w:rPr>
          <w:rStyle w:val="FootnoteReference"/>
        </w:rPr>
        <w:footnoteReference w:id="1"/>
      </w:r>
    </w:p>
    <w:p w14:paraId="7812FED8" w14:textId="77777777" w:rsidR="00C47264" w:rsidRDefault="00C47264" w:rsidP="00CF1337">
      <w:pPr>
        <w:pStyle w:val="BodyText"/>
        <w:spacing w:line="240" w:lineRule="auto"/>
        <w:ind w:firstLine="0"/>
      </w:pPr>
      <w:r>
        <w:t>NPSAS excluded institutions providing only avocational, recreational, or remedial courses, or only in-house courses for their own employees or members. U.S. service academies were also excluded because of the academies’ unique funding/tuition base.</w:t>
      </w:r>
    </w:p>
    <w:p w14:paraId="13402217" w14:textId="77777777" w:rsidR="00C737A7" w:rsidRPr="0009636B" w:rsidRDefault="00C737A7" w:rsidP="00C737A7">
      <w:pPr>
        <w:pStyle w:val="Heading3"/>
        <w:spacing w:before="120" w:line="240" w:lineRule="auto"/>
        <w:rPr>
          <w:b w:val="0"/>
          <w:bCs w:val="0"/>
          <w:i/>
          <w:iCs/>
          <w:sz w:val="22"/>
          <w:szCs w:val="22"/>
        </w:rPr>
      </w:pPr>
      <w:bookmarkStart w:id="25" w:name="_Toc459815557"/>
      <w:bookmarkStart w:id="26" w:name="_Ref303837815"/>
      <w:r w:rsidRPr="0009636B">
        <w:rPr>
          <w:b w:val="0"/>
          <w:bCs w:val="0"/>
          <w:i/>
          <w:iCs/>
          <w:sz w:val="22"/>
          <w:szCs w:val="22"/>
        </w:rPr>
        <w:t>NPSAS:12 Full-scale Student Universe</w:t>
      </w:r>
      <w:bookmarkEnd w:id="25"/>
    </w:p>
    <w:p w14:paraId="1E687964" w14:textId="77777777" w:rsidR="00C737A7" w:rsidRPr="003104C6" w:rsidRDefault="00C737A7" w:rsidP="00C737A7">
      <w:pPr>
        <w:pStyle w:val="BodyText"/>
        <w:spacing w:line="240" w:lineRule="auto"/>
        <w:ind w:firstLine="0"/>
      </w:pPr>
      <w:r w:rsidRPr="00122CDB">
        <w:t>Student</w:t>
      </w:r>
      <w:r>
        <w:t>s eligible for the NPSAS:12 full-scale were those who attended a NPSAS eligible institution during the 2011–12 academic year and who were</w:t>
      </w:r>
    </w:p>
    <w:p w14:paraId="2905AB2D" w14:textId="77777777" w:rsidR="00C737A7" w:rsidRDefault="00C737A7" w:rsidP="00C737A7">
      <w:pPr>
        <w:pStyle w:val="bulletround"/>
        <w:tabs>
          <w:tab w:val="clear" w:pos="1080"/>
        </w:tabs>
        <w:ind w:left="1440"/>
      </w:pPr>
      <w:r>
        <w:t xml:space="preserve">enrolled in </w:t>
      </w:r>
      <w:r w:rsidRPr="0084437D">
        <w:rPr>
          <w:i/>
        </w:rPr>
        <w:t>either</w:t>
      </w:r>
      <w:r>
        <w:t>: (a) an academic program; (b) at least one course for credit that could be applied toward fulfilling the requirements for an academic degree; (c) exclusively non-credit remedial coursework but determined by the institution to be eligible for Title IV aid; or (d) an occupational or vocational program that required at least 3 months or 300 clock hours of instruction to receive a degree, certificate, or other formal award;</w:t>
      </w:r>
    </w:p>
    <w:p w14:paraId="59849984" w14:textId="77777777" w:rsidR="00C737A7" w:rsidRDefault="00C737A7" w:rsidP="00C737A7">
      <w:pPr>
        <w:pStyle w:val="bulletround"/>
        <w:tabs>
          <w:tab w:val="clear" w:pos="1080"/>
        </w:tabs>
        <w:ind w:left="1440"/>
      </w:pPr>
      <w:r>
        <w:t>not currently enrolled in high school; and</w:t>
      </w:r>
    </w:p>
    <w:p w14:paraId="4F023152" w14:textId="77777777" w:rsidR="00C737A7" w:rsidRDefault="00C737A7" w:rsidP="00C737A7">
      <w:pPr>
        <w:pStyle w:val="bulletround"/>
        <w:ind w:left="1440"/>
      </w:pPr>
      <w:r>
        <w:t>not solely enrolled in a General Educational Development (GED) or other high school completion program.</w:t>
      </w:r>
    </w:p>
    <w:p w14:paraId="222B04DC" w14:textId="77777777" w:rsidR="00C737A7" w:rsidRDefault="00C737A7" w:rsidP="0036453F">
      <w:pPr>
        <w:pStyle w:val="BodyText"/>
        <w:widowControl w:val="0"/>
        <w:spacing w:line="240" w:lineRule="auto"/>
        <w:ind w:firstLine="0"/>
      </w:pPr>
      <w:r w:rsidRPr="00606261">
        <w:t xml:space="preserve">The </w:t>
      </w:r>
      <w:r>
        <w:t xml:space="preserve">full-scale student sampling frame was created from </w:t>
      </w:r>
      <w:r w:rsidRPr="00606261">
        <w:t xml:space="preserve">lists of students enrolled at </w:t>
      </w:r>
      <w:r>
        <w:t xml:space="preserve">NPSAS </w:t>
      </w:r>
      <w:r w:rsidRPr="00606261">
        <w:t>sampled institutions between July 1</w:t>
      </w:r>
      <w:r>
        <w:t>,</w:t>
      </w:r>
      <w:r w:rsidRPr="00606261">
        <w:t xml:space="preserve"> 201</w:t>
      </w:r>
      <w:r>
        <w:t>1</w:t>
      </w:r>
      <w:r w:rsidRPr="00606261">
        <w:t xml:space="preserve"> and April 30, 201</w:t>
      </w:r>
      <w:r>
        <w:t>2</w:t>
      </w:r>
      <w:r w:rsidRPr="00606261">
        <w:t>.</w:t>
      </w:r>
      <w:r>
        <w:t xml:space="preserve"> While t</w:t>
      </w:r>
      <w:r w:rsidRPr="00FA3AA9">
        <w:t xml:space="preserve">he NPSAS:12 study year covers the time period </w:t>
      </w:r>
      <w:r w:rsidRPr="00FA3AA9">
        <w:lastRenderedPageBreak/>
        <w:t>between July 1, 2011 and June 30, 2012</w:t>
      </w:r>
      <w:r>
        <w:t xml:space="preserve"> </w:t>
      </w:r>
      <w:r w:rsidRPr="00FA3AA9">
        <w:t>to coincide with the federal financial aid award year</w:t>
      </w:r>
      <w:r>
        <w:t xml:space="preserve">, the abbreviated sampling period of July 1 to April 30 </w:t>
      </w:r>
      <w:r w:rsidRPr="00FA3AA9">
        <w:t>facilitate</w:t>
      </w:r>
      <w:r>
        <w:t xml:space="preserve">d </w:t>
      </w:r>
      <w:r w:rsidRPr="00FA3AA9">
        <w:t>timely completion of data collection and data file preparation.</w:t>
      </w:r>
      <w:r>
        <w:t xml:space="preserve"> P</w:t>
      </w:r>
      <w:r w:rsidRPr="00FA3AA9">
        <w:t>revious cycles of NPSAS have shown that the terms beginning in May and June add little to enrollment and aid totals</w:t>
      </w:r>
      <w:r>
        <w:t>.</w:t>
      </w:r>
    </w:p>
    <w:p w14:paraId="67663F3D" w14:textId="77777777" w:rsidR="00C737A7" w:rsidRDefault="00C737A7" w:rsidP="00C737A7">
      <w:pPr>
        <w:pStyle w:val="BodyText"/>
        <w:spacing w:line="240" w:lineRule="auto"/>
        <w:ind w:firstLine="0"/>
      </w:pPr>
      <w:r>
        <w:t>To create the student sampling frame, each participating institution was asked to submit a list of eligible students with the following data provided for each listed student:</w:t>
      </w:r>
    </w:p>
    <w:p w14:paraId="589506C3" w14:textId="77777777" w:rsidR="00C737A7" w:rsidRPr="00B74E44" w:rsidRDefault="00C737A7" w:rsidP="00C737A7">
      <w:pPr>
        <w:pStyle w:val="bulletround"/>
        <w:spacing w:after="60"/>
        <w:ind w:left="1440"/>
      </w:pPr>
      <w:r w:rsidRPr="00B74E44">
        <w:t>name;</w:t>
      </w:r>
    </w:p>
    <w:p w14:paraId="68314D7D" w14:textId="77777777" w:rsidR="00C737A7" w:rsidRPr="00B74E44" w:rsidRDefault="00C737A7" w:rsidP="00C737A7">
      <w:pPr>
        <w:pStyle w:val="bulletround"/>
        <w:spacing w:after="60"/>
        <w:ind w:left="1440"/>
      </w:pPr>
      <w:r w:rsidRPr="00B74E44">
        <w:t>student ID (if different than Social Security number);</w:t>
      </w:r>
    </w:p>
    <w:p w14:paraId="4676AEC5" w14:textId="77777777" w:rsidR="00C737A7" w:rsidRDefault="00C737A7" w:rsidP="00C737A7">
      <w:pPr>
        <w:pStyle w:val="bulletround"/>
        <w:spacing w:after="60"/>
        <w:ind w:left="1440"/>
      </w:pPr>
      <w:r w:rsidRPr="00B74E44">
        <w:t>Social Security number;</w:t>
      </w:r>
    </w:p>
    <w:p w14:paraId="521B86CB" w14:textId="77777777" w:rsidR="00C737A7" w:rsidRPr="00B74E44" w:rsidRDefault="00C737A7" w:rsidP="00C737A7">
      <w:pPr>
        <w:pStyle w:val="bulletround"/>
        <w:spacing w:after="60"/>
        <w:ind w:left="1440"/>
      </w:pPr>
      <w:r w:rsidRPr="00B74E44">
        <w:t>date of birth;</w:t>
      </w:r>
    </w:p>
    <w:p w14:paraId="050F01AD" w14:textId="77777777" w:rsidR="00C737A7" w:rsidRPr="00B74E44" w:rsidRDefault="00C737A7" w:rsidP="00C737A7">
      <w:pPr>
        <w:pStyle w:val="bulletround"/>
        <w:spacing w:after="60"/>
        <w:ind w:left="1440"/>
      </w:pPr>
      <w:r w:rsidRPr="00B74E44">
        <w:t>date of high school graduation (month and year);</w:t>
      </w:r>
    </w:p>
    <w:p w14:paraId="2BBFFADA" w14:textId="77777777" w:rsidR="00C737A7" w:rsidRPr="00B74E44" w:rsidRDefault="00C737A7" w:rsidP="00C737A7">
      <w:pPr>
        <w:pStyle w:val="bulletround"/>
        <w:spacing w:after="60"/>
        <w:ind w:left="1440"/>
      </w:pPr>
      <w:r w:rsidRPr="00B74E44">
        <w:t>degree level during the last term of enrollment (undergraduate, masters, doctoral-research/scholarship/other, doctoral-professional practice, or other graduate);</w:t>
      </w:r>
    </w:p>
    <w:p w14:paraId="7F074F17" w14:textId="77777777" w:rsidR="00C737A7" w:rsidRPr="00B74E44" w:rsidRDefault="00C737A7" w:rsidP="00C737A7">
      <w:pPr>
        <w:pStyle w:val="bulletround"/>
        <w:spacing w:after="60"/>
        <w:ind w:left="1440"/>
      </w:pPr>
      <w:r w:rsidRPr="00B74E44">
        <w:t>class level if undergraduate (first, second, third, fourth, or fifth year or higher);</w:t>
      </w:r>
    </w:p>
    <w:p w14:paraId="567213A6" w14:textId="77777777" w:rsidR="00C737A7" w:rsidRPr="00B74E44" w:rsidRDefault="00C737A7" w:rsidP="00C737A7">
      <w:pPr>
        <w:pStyle w:val="bulletround"/>
        <w:tabs>
          <w:tab w:val="clear" w:pos="1080"/>
        </w:tabs>
        <w:spacing w:after="60"/>
        <w:ind w:left="1440"/>
      </w:pPr>
      <w:r w:rsidRPr="00B74E44">
        <w:t>undergraduate degree program;</w:t>
      </w:r>
    </w:p>
    <w:p w14:paraId="7168AF87" w14:textId="77777777" w:rsidR="00C737A7" w:rsidRPr="00B74E44" w:rsidRDefault="00C737A7" w:rsidP="00C737A7">
      <w:pPr>
        <w:pStyle w:val="bulletround"/>
        <w:spacing w:after="60"/>
        <w:ind w:left="1440"/>
      </w:pPr>
      <w:r w:rsidRPr="00B74E44">
        <w:t>Classification of Instructional Program code or major;</w:t>
      </w:r>
    </w:p>
    <w:p w14:paraId="5822C148" w14:textId="77777777" w:rsidR="00C737A7" w:rsidRDefault="00C737A7" w:rsidP="00C737A7">
      <w:pPr>
        <w:pStyle w:val="bulletround"/>
        <w:spacing w:after="60"/>
        <w:ind w:left="1440"/>
      </w:pPr>
      <w:r w:rsidRPr="00B74E44">
        <w:t>FTB status; and</w:t>
      </w:r>
    </w:p>
    <w:p w14:paraId="485DCF15" w14:textId="77777777" w:rsidR="00C737A7" w:rsidRDefault="00C737A7" w:rsidP="00C737A7">
      <w:pPr>
        <w:pStyle w:val="bulletround"/>
        <w:ind w:left="1440"/>
      </w:pPr>
      <w:r>
        <w:t>contact information.</w:t>
      </w:r>
    </w:p>
    <w:p w14:paraId="51DE2FFF" w14:textId="77777777" w:rsidR="00C737A7" w:rsidRDefault="00C737A7" w:rsidP="00C737A7">
      <w:pPr>
        <w:pStyle w:val="BodyText"/>
        <w:spacing w:line="240" w:lineRule="auto"/>
        <w:ind w:firstLine="0"/>
      </w:pPr>
      <w:r>
        <w:t>Requesting contact information for eligible students prior to sampling allowed for student interviewing to begin shortly after sample selection, which facilitated management of the schedule for data collection, data processing, and file development.</w:t>
      </w:r>
    </w:p>
    <w:p w14:paraId="4D97B681" w14:textId="77777777" w:rsidR="0064303B" w:rsidRDefault="0064303B" w:rsidP="0064303B">
      <w:pPr>
        <w:pStyle w:val="Heading2"/>
      </w:pPr>
      <w:bookmarkStart w:id="27" w:name="_Toc459815558"/>
      <w:r>
        <w:t>Statistical Methodology</w:t>
      </w:r>
      <w:bookmarkEnd w:id="27"/>
    </w:p>
    <w:p w14:paraId="33A195A0" w14:textId="5F3FCBDE" w:rsidR="00C737A7" w:rsidRDefault="00C737A7" w:rsidP="008C565C">
      <w:pPr>
        <w:pStyle w:val="BodyText"/>
        <w:spacing w:line="240" w:lineRule="auto"/>
        <w:ind w:firstLine="0"/>
        <w:rPr>
          <w:rFonts w:eastAsia="Calibri"/>
        </w:rPr>
      </w:pPr>
      <w:r>
        <w:rPr>
          <w:rFonts w:eastAsia="Calibri"/>
        </w:rPr>
        <w:t>Because the students in the BPS:12/17 full-scale sample come from the NPSAS:12 full-scale sample, this section describes the NPSAS:12 full-scale sample design, which was a two-stage sample consisting of a sample of institutions at the first stage, and a sample of students from within sampled institutions at the second stage. The BPS:12/17 full-scale sample comprised students from the NPSAS:12 full-scale sample who were determined to be FTBs, or were identified by the NPSAS institution as potential FTBs. Because the BPS:12/17 sample corresponds to eligible sample members from the first follow-up with BPS:12 cohort, BPS:12/14, this section also presents information about the BPS:12/14 full-scale sample design.</w:t>
      </w:r>
    </w:p>
    <w:p w14:paraId="22043183" w14:textId="77777777" w:rsidR="00083498" w:rsidRDefault="0064303B" w:rsidP="008C565C">
      <w:pPr>
        <w:pStyle w:val="Heading3"/>
        <w:rPr>
          <w:b w:val="0"/>
          <w:bCs w:val="0"/>
          <w:i/>
          <w:iCs/>
        </w:rPr>
      </w:pPr>
      <w:bookmarkStart w:id="28" w:name="_Toc459815559"/>
      <w:r w:rsidRPr="008C565C">
        <w:rPr>
          <w:b w:val="0"/>
          <w:bCs w:val="0"/>
          <w:i/>
          <w:iCs/>
        </w:rPr>
        <w:t>NPSAS:12 Full-scale Sample</w:t>
      </w:r>
      <w:bookmarkEnd w:id="28"/>
    </w:p>
    <w:p w14:paraId="0BC79B29" w14:textId="04ED6339" w:rsidR="00C47264" w:rsidRDefault="00C47264" w:rsidP="00CF1337">
      <w:pPr>
        <w:pStyle w:val="BodyText"/>
        <w:spacing w:line="240" w:lineRule="auto"/>
        <w:ind w:firstLine="0"/>
      </w:pPr>
      <w:r>
        <w:t>The initial institution sample</w:t>
      </w:r>
      <w:r w:rsidR="008075C1">
        <w:t>s</w:t>
      </w:r>
      <w:r>
        <w:t xml:space="preserve"> for the </w:t>
      </w:r>
      <w:r w:rsidRPr="00122CDB">
        <w:t>NPSAS</w:t>
      </w:r>
      <w:r>
        <w:t xml:space="preserve"> field test and </w:t>
      </w:r>
      <w:r w:rsidR="00996338">
        <w:t>full-scale</w:t>
      </w:r>
      <w:r>
        <w:t xml:space="preserve"> studies were selected simultaneously, prior to the </w:t>
      </w:r>
      <w:r w:rsidR="00996338">
        <w:t>full-scale</w:t>
      </w:r>
      <w:r>
        <w:t xml:space="preserve"> study, using sequential probability minimum replacement (PMR) sampling (</w:t>
      </w:r>
      <w:proofErr w:type="spellStart"/>
      <w:r>
        <w:t>Chromy</w:t>
      </w:r>
      <w:proofErr w:type="spellEnd"/>
      <w:r>
        <w:t xml:space="preserve"> 1979), which resembles stratified systematic sampling with probabilities proportional to a composite measure of size (Folsom, Potter, and Williams 1987). This is the same methodology that has been used since NPSAS:96. Institution measure of size was determined using annual enrollment data from the most recent IPEDS 12-Month Enrollment Component and first time beginner (FTB) </w:t>
      </w:r>
      <w:r w:rsidR="005F4579">
        <w:t xml:space="preserve">full-time </w:t>
      </w:r>
      <w:r>
        <w:t>enrollment data from the most recent IPEDS Fall Enrollment Component. Composite measure of size sampling was used to ensure that target sample sizes were achieved within institution and student sampling strata, while also achieving approximately equal student weights across institutions</w:t>
      </w:r>
      <w:r w:rsidRPr="00606261">
        <w:t xml:space="preserve">. The institution sampling frame for NPSAS:12 </w:t>
      </w:r>
      <w:r w:rsidR="00996338">
        <w:t>full-scale</w:t>
      </w:r>
      <w:r w:rsidRPr="00606261">
        <w:t xml:space="preserve"> was constructed using </w:t>
      </w:r>
      <w:r w:rsidRPr="00487A31">
        <w:t>the 2009 Integrated Postsecondary</w:t>
      </w:r>
      <w:r w:rsidRPr="00606261">
        <w:t xml:space="preserve"> Education Data System (IPEDS) header, Institution Characteristics (IC), Fall and 12-Month Enrollment, and Completions files. All eligible students from sampled institutions </w:t>
      </w:r>
      <w:r w:rsidR="00B50F9D">
        <w:t xml:space="preserve">composed </w:t>
      </w:r>
      <w:r w:rsidRPr="00606261">
        <w:t>the student sampling frame</w:t>
      </w:r>
      <w:r>
        <w:t>.</w:t>
      </w:r>
    </w:p>
    <w:p w14:paraId="6F3DD1BE" w14:textId="77777777" w:rsidR="00F52E30" w:rsidRDefault="00C47264" w:rsidP="0036453F">
      <w:pPr>
        <w:pStyle w:val="BodyText"/>
        <w:widowControl w:val="0"/>
        <w:spacing w:line="240" w:lineRule="auto"/>
        <w:ind w:firstLine="0"/>
      </w:pPr>
      <w:r>
        <w:t xml:space="preserve">From the stratified frame, a total of 1,970 institutions </w:t>
      </w:r>
      <w:r w:rsidR="00757877">
        <w:t>were</w:t>
      </w:r>
      <w:r>
        <w:t xml:space="preserve"> selected to participate </w:t>
      </w:r>
      <w:r w:rsidR="00763F13">
        <w:t xml:space="preserve">in either </w:t>
      </w:r>
      <w:r>
        <w:t xml:space="preserve">the </w:t>
      </w:r>
      <w:r w:rsidR="005221AD">
        <w:t xml:space="preserve">field test </w:t>
      </w:r>
      <w:r>
        <w:t xml:space="preserve">or </w:t>
      </w:r>
      <w:r w:rsidR="00996338">
        <w:t>full-scale</w:t>
      </w:r>
      <w:r>
        <w:t xml:space="preserve"> study</w:t>
      </w:r>
      <w:r w:rsidR="005221AD">
        <w:t>.</w:t>
      </w:r>
      <w:r w:rsidR="00F52E30">
        <w:t xml:space="preserve"> </w:t>
      </w:r>
      <w:r w:rsidR="005221AD">
        <w:t>U</w:t>
      </w:r>
      <w:r>
        <w:t>sing simple random sampling within institution strata</w:t>
      </w:r>
      <w:r w:rsidR="00AC4C9A">
        <w:t>,</w:t>
      </w:r>
      <w:r w:rsidR="005221AD">
        <w:t xml:space="preserve"> a subsample of 300 institutions was </w:t>
      </w:r>
      <w:r w:rsidR="005221AD">
        <w:lastRenderedPageBreak/>
        <w:t xml:space="preserve">selected for </w:t>
      </w:r>
      <w:r w:rsidR="00AC4C9A">
        <w:t xml:space="preserve">the field test </w:t>
      </w:r>
      <w:r>
        <w:t>sample</w:t>
      </w:r>
      <w:r w:rsidR="005221AD">
        <w:t xml:space="preserve">, with the </w:t>
      </w:r>
      <w:r>
        <w:t>remaini</w:t>
      </w:r>
      <w:r w:rsidR="005221AD">
        <w:t xml:space="preserve">ng 1,670 institutions comprising </w:t>
      </w:r>
      <w:r>
        <w:t>the sample for the full-scale study</w:t>
      </w:r>
      <w:r w:rsidRPr="00C755C0">
        <w:t>. This sampling process eliminated the possibility that a</w:t>
      </w:r>
      <w:r>
        <w:t>n</w:t>
      </w:r>
      <w:r w:rsidRPr="00C755C0">
        <w:t xml:space="preserve"> institution </w:t>
      </w:r>
      <w:r>
        <w:t>would</w:t>
      </w:r>
      <w:r w:rsidRPr="00C755C0">
        <w:t xml:space="preserve"> be burdened with participation in both the </w:t>
      </w:r>
      <w:r w:rsidR="005221AD">
        <w:t xml:space="preserve">field test </w:t>
      </w:r>
      <w:r w:rsidRPr="00C755C0">
        <w:t>and full-scale samples</w:t>
      </w:r>
      <w:r>
        <w:t>, and</w:t>
      </w:r>
      <w:r w:rsidRPr="00C755C0">
        <w:t xml:space="preserve"> </w:t>
      </w:r>
      <w:r w:rsidR="005221AD">
        <w:t xml:space="preserve">ensured </w:t>
      </w:r>
      <w:r w:rsidRPr="00C755C0">
        <w:t>representativeness of the full-scale sample.</w:t>
      </w:r>
      <w:bookmarkEnd w:id="26"/>
    </w:p>
    <w:p w14:paraId="7D8D4BCE" w14:textId="594CB80E" w:rsidR="00C47264" w:rsidRPr="00B74E44" w:rsidRDefault="00C47264" w:rsidP="00CF1337">
      <w:pPr>
        <w:pStyle w:val="BodyText"/>
        <w:spacing w:line="240" w:lineRule="auto"/>
        <w:ind w:firstLine="0"/>
      </w:pPr>
      <w:r w:rsidRPr="00B74E44">
        <w:t>The institution strata</w:t>
      </w:r>
      <w:r w:rsidR="00E63DF5">
        <w:t xml:space="preserve"> </w:t>
      </w:r>
      <w:r w:rsidRPr="00B74E44">
        <w:t>used for the sampling design were based on institution level, control, and highest level of offering</w:t>
      </w:r>
      <w:r w:rsidR="00E63DF5">
        <w:t>, including</w:t>
      </w:r>
      <w:r w:rsidRPr="00B74E44">
        <w:t>:</w:t>
      </w:r>
    </w:p>
    <w:p w14:paraId="30A20936" w14:textId="77777777" w:rsidR="00C47264" w:rsidRPr="00B74E44" w:rsidRDefault="00C47264" w:rsidP="0036453F">
      <w:pPr>
        <w:pStyle w:val="ListBullet"/>
        <w:numPr>
          <w:ilvl w:val="0"/>
          <w:numId w:val="12"/>
        </w:numPr>
      </w:pPr>
      <w:r w:rsidRPr="00B74E44">
        <w:t>public less-than-2-year,</w:t>
      </w:r>
    </w:p>
    <w:p w14:paraId="53481B55" w14:textId="77777777" w:rsidR="00C47264" w:rsidRPr="00B74E44" w:rsidRDefault="00C47264" w:rsidP="0036453F">
      <w:pPr>
        <w:pStyle w:val="ListBullet"/>
        <w:numPr>
          <w:ilvl w:val="0"/>
          <w:numId w:val="12"/>
        </w:numPr>
      </w:pPr>
      <w:r w:rsidRPr="00B74E44">
        <w:t>public 2-year,</w:t>
      </w:r>
    </w:p>
    <w:p w14:paraId="104D66FF" w14:textId="77777777" w:rsidR="00C47264" w:rsidRPr="00B74E44" w:rsidRDefault="00C47264" w:rsidP="0036453F">
      <w:pPr>
        <w:pStyle w:val="ListBullet"/>
        <w:numPr>
          <w:ilvl w:val="0"/>
          <w:numId w:val="12"/>
        </w:numPr>
      </w:pPr>
      <w:r w:rsidRPr="00B74E44">
        <w:t>public 4-year non-doctorate-granting,</w:t>
      </w:r>
    </w:p>
    <w:p w14:paraId="0474F352" w14:textId="77777777" w:rsidR="00C47264" w:rsidRPr="00B74E44" w:rsidRDefault="00C47264" w:rsidP="0036453F">
      <w:pPr>
        <w:pStyle w:val="ListBullet"/>
        <w:numPr>
          <w:ilvl w:val="0"/>
          <w:numId w:val="12"/>
        </w:numPr>
      </w:pPr>
      <w:r w:rsidRPr="00B74E44">
        <w:t>public 4-year doctorate-granting,</w:t>
      </w:r>
    </w:p>
    <w:p w14:paraId="15A74A7D" w14:textId="77777777" w:rsidR="00C47264" w:rsidRPr="00B74E44" w:rsidRDefault="00C47264" w:rsidP="0036453F">
      <w:pPr>
        <w:pStyle w:val="ListBullet"/>
        <w:numPr>
          <w:ilvl w:val="0"/>
          <w:numId w:val="12"/>
        </w:numPr>
      </w:pPr>
      <w:r w:rsidRPr="00B74E44">
        <w:t>private nonprofit less-than-4-year,</w:t>
      </w:r>
    </w:p>
    <w:p w14:paraId="4DE14BA4" w14:textId="77777777" w:rsidR="00C47264" w:rsidRPr="00B74E44" w:rsidRDefault="00C47264" w:rsidP="0036453F">
      <w:pPr>
        <w:pStyle w:val="ListBullet"/>
        <w:numPr>
          <w:ilvl w:val="0"/>
          <w:numId w:val="12"/>
        </w:numPr>
      </w:pPr>
      <w:r w:rsidRPr="00B74E44">
        <w:t>private nonprofit 4-year non-doctorate-granting,</w:t>
      </w:r>
    </w:p>
    <w:p w14:paraId="571FAF30" w14:textId="77777777" w:rsidR="00C47264" w:rsidRPr="00B74E44" w:rsidRDefault="00C47264" w:rsidP="0036453F">
      <w:pPr>
        <w:pStyle w:val="ListBullet"/>
        <w:numPr>
          <w:ilvl w:val="0"/>
          <w:numId w:val="12"/>
        </w:numPr>
      </w:pPr>
      <w:r w:rsidRPr="00B74E44">
        <w:t>private nonprofit 4-year doctorate-granting,</w:t>
      </w:r>
    </w:p>
    <w:p w14:paraId="7590B1C1" w14:textId="77777777" w:rsidR="00C47264" w:rsidRPr="00B74E44" w:rsidRDefault="00C47264" w:rsidP="0036453F">
      <w:pPr>
        <w:pStyle w:val="ListBullet"/>
        <w:numPr>
          <w:ilvl w:val="0"/>
          <w:numId w:val="12"/>
        </w:numPr>
      </w:pPr>
      <w:r w:rsidRPr="00B74E44">
        <w:t>private for-profit less-than-2-year,</w:t>
      </w:r>
    </w:p>
    <w:p w14:paraId="4B0039D7" w14:textId="77777777" w:rsidR="00C47264" w:rsidRPr="00B74E44" w:rsidRDefault="00C47264" w:rsidP="0036453F">
      <w:pPr>
        <w:pStyle w:val="ListBullet"/>
        <w:numPr>
          <w:ilvl w:val="0"/>
          <w:numId w:val="12"/>
        </w:numPr>
      </w:pPr>
      <w:r w:rsidRPr="00B74E44">
        <w:t>private for-profit 2-year, and</w:t>
      </w:r>
    </w:p>
    <w:p w14:paraId="62B7C957" w14:textId="77777777" w:rsidR="00C47264" w:rsidRPr="00B74E44" w:rsidRDefault="00C47264" w:rsidP="00CF1337">
      <w:pPr>
        <w:pStyle w:val="ListBullet"/>
        <w:numPr>
          <w:ilvl w:val="0"/>
          <w:numId w:val="12"/>
        </w:numPr>
        <w:spacing w:after="120"/>
      </w:pPr>
      <w:r w:rsidRPr="00B74E44">
        <w:t>private for-profit 4-year.</w:t>
      </w:r>
    </w:p>
    <w:p w14:paraId="07047E16" w14:textId="77777777" w:rsidR="00F52E30" w:rsidRDefault="00C47264" w:rsidP="00CF1337">
      <w:pPr>
        <w:pStyle w:val="BodyText"/>
        <w:spacing w:line="240" w:lineRule="auto"/>
        <w:ind w:firstLine="0"/>
      </w:pPr>
      <w:r w:rsidRPr="00B74E44">
        <w:t>Due to the growth of the for-profit sector, private for-profit 4-year and private for-profit 2-year institutions were separated into their own strata</w:t>
      </w:r>
      <w:r w:rsidR="00B50F9D">
        <w:t>,</w:t>
      </w:r>
      <w:r w:rsidRPr="00B74E44">
        <w:t xml:space="preserve"> unlike in previous administrations of NPSAS.</w:t>
      </w:r>
    </w:p>
    <w:p w14:paraId="23FF4DA8" w14:textId="77777777" w:rsidR="00F52E30" w:rsidRDefault="00E63DF5" w:rsidP="00CF1337">
      <w:pPr>
        <w:pStyle w:val="BodyText"/>
        <w:spacing w:line="240" w:lineRule="auto"/>
        <w:ind w:firstLine="0"/>
      </w:pPr>
      <w:r>
        <w:t>In order to approximate proportional representation of institutions w</w:t>
      </w:r>
      <w:r w:rsidR="00C47264" w:rsidRPr="00B74E44">
        <w:t>ithin each institution stratum, additional implicit stratification for the full-scale was accomplished by sorting the sampling frame by the following classifications: (1) historically Black colleges and universities indicator; (2) Hispanic-serving institutions indicator</w:t>
      </w:r>
      <w:r w:rsidR="00244A15">
        <w:t>;</w:t>
      </w:r>
      <w:r w:rsidR="00C47264" w:rsidRPr="00B74E44">
        <w:t xml:space="preserve"> (3) Carnegie classifications of degree-granting postsecondary institutions; (4) 2-digit Classification of Instructional Programs (CIP) code</w:t>
      </w:r>
      <w:r w:rsidR="00C0067B">
        <w:t xml:space="preserve"> of the largest program</w:t>
      </w:r>
      <w:r w:rsidR="00C47264" w:rsidRPr="00B74E44">
        <w:t xml:space="preserve"> for less-than-2-year institutions; (5) the Office of Business Economics Region from the IPEDS header file (Bureau of Economic Analysis of the U.S. Department of Commerce Region); (6) state and system for states with large systems, e.g., the SUNY and CUNY systems in New York, the state and technical colleges in Georgia, and the California State University and University of California systems in California; and (7) the institution measure of size.</w:t>
      </w:r>
    </w:p>
    <w:p w14:paraId="23FCBD23" w14:textId="77777777" w:rsidR="00083498" w:rsidRDefault="00C47264" w:rsidP="008C565C">
      <w:pPr>
        <w:pStyle w:val="BodyText"/>
        <w:widowControl w:val="0"/>
        <w:spacing w:line="240" w:lineRule="auto"/>
        <w:ind w:firstLine="0"/>
      </w:pPr>
      <w:bookmarkStart w:id="29" w:name="_Ref303842930"/>
      <w:r>
        <w:t>The institution sample was freshened in order to add newly eligible institutions to the sample.</w:t>
      </w:r>
      <w:r w:rsidR="00F52E30">
        <w:t xml:space="preserve"> </w:t>
      </w:r>
      <w:r>
        <w:t>The newly-available 2009–10 IPEDS IC header, 12-month and fall enrollment, and completions files were used to create an updated sampling frame of current NPSAS-eligible institutions. This frame was compared to the original frame and 387 new or newly eligible institutions we</w:t>
      </w:r>
      <w:r w:rsidR="00880B1A">
        <w:t>re identified for the freshened</w:t>
      </w:r>
      <w:r>
        <w:t xml:space="preserve"> sampling frame. </w:t>
      </w:r>
      <w:r w:rsidR="00880B1A">
        <w:t xml:space="preserve">A </w:t>
      </w:r>
      <w:r>
        <w:t>sample size of 20 was selected in order to produce similar probabilities of selection to the originally selected institutions within sector (stratum) in order to minimize unequal weights and subsequently variances.</w:t>
      </w:r>
    </w:p>
    <w:p w14:paraId="724B3437" w14:textId="15EC4416" w:rsidR="00162410" w:rsidRDefault="00880B1A" w:rsidP="006E69CC">
      <w:pPr>
        <w:pStyle w:val="BodyText"/>
        <w:widowControl w:val="0"/>
        <w:spacing w:line="240" w:lineRule="auto"/>
        <w:ind w:firstLine="0"/>
      </w:pPr>
      <w:r>
        <w:t xml:space="preserve">From the </w:t>
      </w:r>
      <w:r w:rsidR="00C47264">
        <w:t>1,690 institutions</w:t>
      </w:r>
      <w:r>
        <w:t xml:space="preserve"> selected for the NPSAS:12 full-scale data collection</w:t>
      </w:r>
      <w:r w:rsidR="00C47264">
        <w:t>, 100 percent met eligibility requirements; of those, approximately 88 percent (or 1,480 institutions) provided enrollment lists.</w:t>
      </w:r>
      <w:bookmarkEnd w:id="29"/>
      <w:r w:rsidR="008C565C">
        <w:t xml:space="preserve"> </w:t>
      </w:r>
      <w:r w:rsidR="00C47264" w:rsidRPr="00B74E44">
        <w:t xml:space="preserve">The NPSAS:12 </w:t>
      </w:r>
      <w:r w:rsidR="00996338">
        <w:t>full-scale</w:t>
      </w:r>
      <w:r w:rsidR="00C47264" w:rsidRPr="00B74E44">
        <w:t xml:space="preserve"> sample</w:t>
      </w:r>
      <w:r w:rsidR="00C4659B">
        <w:t xml:space="preserve"> was randomly selected from the frame</w:t>
      </w:r>
      <w:r w:rsidR="00875B19">
        <w:t xml:space="preserve"> with s</w:t>
      </w:r>
      <w:r w:rsidR="00875B19" w:rsidRPr="00FA3AA9">
        <w:t>tudents sampled at fixed rates according to student education level and institution sampling strata.</w:t>
      </w:r>
      <w:r w:rsidR="00F52E30">
        <w:t xml:space="preserve"> </w:t>
      </w:r>
      <w:r w:rsidR="00875B19" w:rsidRPr="00FA3AA9">
        <w:t>Sample yield was monitored and sampling rates were adjusted when necessary</w:t>
      </w:r>
      <w:r w:rsidR="00875B19">
        <w:t>.</w:t>
      </w:r>
      <w:r w:rsidR="00F52E30">
        <w:t xml:space="preserve"> </w:t>
      </w:r>
      <w:r w:rsidR="00875B19">
        <w:t xml:space="preserve">The full-scale sample </w:t>
      </w:r>
      <w:r w:rsidR="00A7022F">
        <w:t xml:space="preserve">achieved a size of about </w:t>
      </w:r>
      <w:r w:rsidR="00C4659B">
        <w:t>12</w:t>
      </w:r>
      <w:r w:rsidR="00A7022F">
        <w:t>8,120</w:t>
      </w:r>
      <w:r w:rsidR="00C4659B">
        <w:t xml:space="preserve"> </w:t>
      </w:r>
      <w:r w:rsidR="00C47264" w:rsidRPr="00B74E44">
        <w:t>students</w:t>
      </w:r>
      <w:r w:rsidR="00377E60">
        <w:t>,</w:t>
      </w:r>
      <w:r w:rsidR="00C47264" w:rsidRPr="00B74E44">
        <w:t xml:space="preserve"> of which </w:t>
      </w:r>
      <w:r w:rsidR="00A7022F">
        <w:t xml:space="preserve">approximately </w:t>
      </w:r>
      <w:r w:rsidR="00C47264" w:rsidRPr="00B74E44">
        <w:t>5</w:t>
      </w:r>
      <w:r w:rsidR="00A7022F">
        <w:t>9,74</w:t>
      </w:r>
      <w:r w:rsidR="00C47264" w:rsidRPr="00B74E44">
        <w:t>0 were potential FTB</w:t>
      </w:r>
      <w:r w:rsidR="00E8279B">
        <w:t xml:space="preserve"> student</w:t>
      </w:r>
      <w:r w:rsidR="00C47264" w:rsidRPr="00B74E44">
        <w:t>s, 5</w:t>
      </w:r>
      <w:r w:rsidR="00A7022F">
        <w:t>1</w:t>
      </w:r>
      <w:r w:rsidR="00C47264" w:rsidRPr="00B74E44">
        <w:t>,</w:t>
      </w:r>
      <w:r w:rsidR="00A7022F">
        <w:t>0</w:t>
      </w:r>
      <w:r w:rsidR="00C47264" w:rsidRPr="00B74E44">
        <w:t>50 were other u</w:t>
      </w:r>
      <w:r w:rsidR="00A7022F">
        <w:t>ndergraduate students, and 17,3</w:t>
      </w:r>
      <w:r w:rsidR="009B522D">
        <w:t>3</w:t>
      </w:r>
      <w:r w:rsidR="00A7022F">
        <w:t>0 were graduate students.</w:t>
      </w:r>
      <w:r w:rsidR="00F52E30">
        <w:t xml:space="preserve"> </w:t>
      </w:r>
      <w:r w:rsidR="00A7022F">
        <w:t xml:space="preserve">The achieved sample size was higher than </w:t>
      </w:r>
      <w:r w:rsidR="00875B19">
        <w:t xml:space="preserve">originally </w:t>
      </w:r>
      <w:r w:rsidR="00A7022F">
        <w:t>targeted because institution participation rates were higher than estimated, sampling continued longer than scheduled, and a higher sample size was desired to help meet interview yield targets.</w:t>
      </w:r>
    </w:p>
    <w:p w14:paraId="272A39ED" w14:textId="680B85BA" w:rsidR="00C47264" w:rsidRDefault="00C47264" w:rsidP="0036453F">
      <w:pPr>
        <w:pStyle w:val="BodyTextnoindent0"/>
        <w:widowControl w:val="0"/>
        <w:spacing w:line="240" w:lineRule="auto"/>
      </w:pPr>
      <w:bookmarkStart w:id="30" w:name="_Toc370482418"/>
      <w:r w:rsidRPr="00B2090B">
        <w:rPr>
          <w:b/>
          <w:bCs/>
        </w:rPr>
        <w:t>Identification of FTB</w:t>
      </w:r>
      <w:r w:rsidR="00E8279B" w:rsidRPr="00B2090B">
        <w:rPr>
          <w:b/>
          <w:bCs/>
        </w:rPr>
        <w:t xml:space="preserve"> student</w:t>
      </w:r>
      <w:r w:rsidRPr="00B2090B">
        <w:rPr>
          <w:b/>
          <w:bCs/>
        </w:rPr>
        <w:t>s in NPSAS:12</w:t>
      </w:r>
      <w:bookmarkEnd w:id="30"/>
      <w:r w:rsidR="00B2090B" w:rsidRPr="00B2090B">
        <w:rPr>
          <w:b/>
          <w:bCs/>
        </w:rPr>
        <w:t xml:space="preserve">. </w:t>
      </w:r>
      <w:r w:rsidR="00C92FE1">
        <w:t xml:space="preserve">Close </w:t>
      </w:r>
      <w:r>
        <w:t>attention was paid to accurately identify FTB</w:t>
      </w:r>
      <w:r w:rsidR="00E8279B">
        <w:t xml:space="preserve"> student</w:t>
      </w:r>
      <w:r>
        <w:t>s in NPSAS to avoid unacceptably high rates of misclassification (e.g., false positives)</w:t>
      </w:r>
      <w:r>
        <w:rPr>
          <w:rStyle w:val="FootnoteReference"/>
        </w:rPr>
        <w:footnoteReference w:id="2"/>
      </w:r>
      <w:r>
        <w:t xml:space="preserve"> which, </w:t>
      </w:r>
      <w:r w:rsidR="00C92FE1">
        <w:t>in prior BPS administrations</w:t>
      </w:r>
      <w:r>
        <w:t xml:space="preserve">, </w:t>
      </w:r>
      <w:r w:rsidR="00C92FE1">
        <w:t xml:space="preserve">have resulted </w:t>
      </w:r>
      <w:r>
        <w:t>in (1) excessive cohort loss, (2) excessive cost to “replenish” the sample, and (3) an inefficient sample design (excessive oversampling of “potential” FTB</w:t>
      </w:r>
      <w:r w:rsidR="00E8279B">
        <w:t xml:space="preserve"> student</w:t>
      </w:r>
      <w:r>
        <w:t xml:space="preserve">s) to compensate for </w:t>
      </w:r>
      <w:r>
        <w:lastRenderedPageBreak/>
        <w:t>anticipated misclassification error</w:t>
      </w:r>
      <w:r w:rsidR="00A84C09">
        <w:t>s</w:t>
      </w:r>
      <w:r>
        <w:t>. To address this concern, participating institutions were asked to provide additional information for all eligible students</w:t>
      </w:r>
      <w:r w:rsidR="002863B6">
        <w:t xml:space="preserve">, </w:t>
      </w:r>
      <w:r>
        <w:t xml:space="preserve">and matching to administrative databases </w:t>
      </w:r>
      <w:r w:rsidR="00C92FE1">
        <w:t xml:space="preserve">was utilized to </w:t>
      </w:r>
      <w:r w:rsidR="00C92FE1" w:rsidRPr="00785330">
        <w:t>further reduce</w:t>
      </w:r>
      <w:r w:rsidRPr="00785330">
        <w:t xml:space="preserve"> false</w:t>
      </w:r>
      <w:r>
        <w:t xml:space="preserve"> positives prior to sample selection.</w:t>
      </w:r>
    </w:p>
    <w:p w14:paraId="19FD0946" w14:textId="33105A24" w:rsidR="00C47264" w:rsidRDefault="00C47264" w:rsidP="00CF1337">
      <w:pPr>
        <w:pStyle w:val="BodyText"/>
        <w:spacing w:line="240" w:lineRule="auto"/>
        <w:ind w:firstLine="0"/>
      </w:pPr>
      <w:r>
        <w:t>Participating institutions were asked to provide the FTB status and high school graduation date for every listed student. High school graduation date was used to remove students from the frame who were co-enrolled in high school. FTB status, along with class and student level</w:t>
      </w:r>
      <w:r w:rsidR="00A84C09">
        <w:t>s</w:t>
      </w:r>
      <w:r>
        <w:t xml:space="preserve">, were used to exclude misclassified FTB students in their third year or higher and/or those who were not an undergraduate student. FTB status, along with date of birth, were used to identify students older than 18 </w:t>
      </w:r>
      <w:r w:rsidR="002863B6">
        <w:t xml:space="preserve">who were sent </w:t>
      </w:r>
      <w:r>
        <w:t>for pre-sampling matching to administrative databases</w:t>
      </w:r>
      <w:r w:rsidR="002863B6">
        <w:t xml:space="preserve"> in an effort to confirm FTB status</w:t>
      </w:r>
      <w:r>
        <w:t>.</w:t>
      </w:r>
    </w:p>
    <w:p w14:paraId="1B59838C" w14:textId="1CFE76AD" w:rsidR="00C47264" w:rsidRDefault="00C47264" w:rsidP="00CF1337">
      <w:pPr>
        <w:pStyle w:val="BodyText"/>
        <w:spacing w:line="240" w:lineRule="auto"/>
        <w:ind w:firstLine="0"/>
      </w:pPr>
      <w:r>
        <w:t>If the FTB indicator was not provided for a student on the lists, but the student was 18 years of age or younger and did not appear to be dually enrolled in high school, the student was sampled as an FTB</w:t>
      </w:r>
      <w:r w:rsidR="00E8279B">
        <w:t xml:space="preserve"> student</w:t>
      </w:r>
      <w:r>
        <w:t>. Otherwise, if the FTB indicator was not provided for a student on the list and the student was over the age of 18, then the student was sampled as an “other undergraduate”</w:t>
      </w:r>
      <w:r w:rsidR="00170478">
        <w:t xml:space="preserve"> (</w:t>
      </w:r>
      <w:r>
        <w:t>but</w:t>
      </w:r>
      <w:r w:rsidR="00170478">
        <w:t xml:space="preserve"> such students</w:t>
      </w:r>
      <w:r>
        <w:t xml:space="preserve"> would be included in the BPS cohort if identified during the student interview as an FTB</w:t>
      </w:r>
      <w:r w:rsidR="00E8279B">
        <w:t xml:space="preserve"> student</w:t>
      </w:r>
      <w:r w:rsidR="00170478">
        <w:t>)</w:t>
      </w:r>
      <w:r>
        <w:t>.</w:t>
      </w:r>
    </w:p>
    <w:p w14:paraId="54183F6A" w14:textId="456E4F67" w:rsidR="00C47264" w:rsidRDefault="00C47264" w:rsidP="00CF1337">
      <w:pPr>
        <w:pStyle w:val="BodyText"/>
        <w:spacing w:line="240" w:lineRule="auto"/>
        <w:ind w:firstLine="0"/>
      </w:pPr>
      <w:r>
        <w:t>Prior to sampling, students over the age of 18 listed as potential FTB</w:t>
      </w:r>
      <w:r w:rsidR="00E8279B">
        <w:t xml:space="preserve"> student</w:t>
      </w:r>
      <w:r>
        <w:t>s were matched to NSLDS records to determine if any had a federal financial aid history pre-dating the NPSAS year (earlier than July 1, 2011). Since NSLDS maintains current records of all Title IV federal grant and loan funding, any student with disbursements from the prior year or earlier could be reliably excluded from the sampling frame of FTB</w:t>
      </w:r>
      <w:r w:rsidR="00E8279B">
        <w:t xml:space="preserve"> student</w:t>
      </w:r>
      <w:r>
        <w:t xml:space="preserve">s. Given that </w:t>
      </w:r>
      <w:r w:rsidR="00A84C09">
        <w:t xml:space="preserve">about </w:t>
      </w:r>
      <w:r>
        <w:t>60 percent of FTB</w:t>
      </w:r>
      <w:r w:rsidR="00E8279B">
        <w:t xml:space="preserve"> student</w:t>
      </w:r>
      <w:r>
        <w:t>s receive some form of Title IV aid in their first year, this matching process could not exclude all listed FTB</w:t>
      </w:r>
      <w:r w:rsidR="00E8279B">
        <w:t xml:space="preserve"> student</w:t>
      </w:r>
      <w:r>
        <w:t>s with prior enrollment, but significantly improved the accuracy of the list prior to sampling, yielding fewer false positives. After undergoing NSLDS matching, students over the age of 18 still listed as potential FTB</w:t>
      </w:r>
      <w:r w:rsidR="00E8279B">
        <w:t xml:space="preserve"> student</w:t>
      </w:r>
      <w:r>
        <w:t>s were matched to the National Student Clearinghouse (NSC) for further narrowing of potential FTB</w:t>
      </w:r>
      <w:r w:rsidR="00E8279B">
        <w:t xml:space="preserve"> student</w:t>
      </w:r>
      <w:r>
        <w:t>s based on evidence of earlier enrollment.</w:t>
      </w:r>
    </w:p>
    <w:p w14:paraId="7D5743E5" w14:textId="77777777" w:rsidR="00F52E30" w:rsidRDefault="00C47264" w:rsidP="00CF1337">
      <w:pPr>
        <w:pStyle w:val="BodyText"/>
        <w:spacing w:line="240" w:lineRule="auto"/>
        <w:ind w:firstLine="0"/>
      </w:pPr>
      <w:r>
        <w:t>Matching to NSLDS identified about 20 percent of cases as false positives and matching to NSC identified about 7 percent of cases as false positives. In addition to NSLDS and NSC, a subset of potential FTB</w:t>
      </w:r>
      <w:r w:rsidR="00E8279B">
        <w:t xml:space="preserve"> student</w:t>
      </w:r>
      <w:r>
        <w:t xml:space="preserve">s on the student sampling frame was sent to </w:t>
      </w:r>
      <w:r w:rsidR="002863B6">
        <w:t>the Central Processing System (</w:t>
      </w:r>
      <w:r>
        <w:t>CPS</w:t>
      </w:r>
      <w:r w:rsidR="002863B6">
        <w:t>)</w:t>
      </w:r>
      <w:r>
        <w:t xml:space="preserve"> for matching to evaluate the benefit of the CPS match for the full-scale study. Of the 2,103,620 students sent, CPS identified about 17 percent as false </w:t>
      </w:r>
      <w:r w:rsidRPr="001A1FF9">
        <w:t>positives.</w:t>
      </w:r>
      <w:r w:rsidRPr="00786E95">
        <w:t xml:space="preserve"> </w:t>
      </w:r>
      <w:r>
        <w:t xml:space="preserve">Overall, matching to all sources identified about 27 percent of potential FTB students over the age of 18 as false positives, with many of the false positives identified by CPS also identified by NSLDS or NSC. The matching </w:t>
      </w:r>
      <w:r w:rsidRPr="004D3894">
        <w:t xml:space="preserve">appeared most effective </w:t>
      </w:r>
      <w:r w:rsidR="004D3894" w:rsidRPr="004D3894">
        <w:t>in</w:t>
      </w:r>
      <w:r w:rsidR="004D3894">
        <w:t xml:space="preserve"> identifying false positives (i.e., non-FTB students) </w:t>
      </w:r>
      <w:r>
        <w:t>among public 2-year and private for-profit institutions. While public less-than 2-year and private nonprofit less-than-4-year institutions have a high percent of false positives, they represent a small percentage of the total sample.</w:t>
      </w:r>
    </w:p>
    <w:p w14:paraId="2982CE09" w14:textId="6878CCD7" w:rsidR="00C47264" w:rsidRPr="00AE7569" w:rsidRDefault="00C47264" w:rsidP="00CF1337">
      <w:pPr>
        <w:pStyle w:val="BodyText"/>
        <w:spacing w:line="240" w:lineRule="auto"/>
        <w:ind w:firstLine="0"/>
      </w:pPr>
      <w:r>
        <w:t>Since this pre-sampling matching was new to NPSAS:12, the FTB sample size was set high to ensure that a sufficient number of true FTB</w:t>
      </w:r>
      <w:r w:rsidR="00E8279B">
        <w:t xml:space="preserve"> student</w:t>
      </w:r>
      <w:r>
        <w:t>s would be interviewed. In addition, FTB selection rates were set taking into account the error rates observed in NPSAS:04 and BPS:04/06 within each sector</w:t>
      </w:r>
      <w:r w:rsidR="00C92FE1">
        <w:t>.</w:t>
      </w:r>
      <w:r w:rsidR="00F52E30">
        <w:t xml:space="preserve"> </w:t>
      </w:r>
      <w:r w:rsidR="00C92FE1">
        <w:t>A</w:t>
      </w:r>
      <w:r>
        <w:t xml:space="preserve">dditional information on NPSAS:04 methodology is available in </w:t>
      </w:r>
      <w:r w:rsidR="00B50F9D">
        <w:t xml:space="preserve">that </w:t>
      </w:r>
      <w:r>
        <w:t>study</w:t>
      </w:r>
      <w:r w:rsidR="00B50F9D">
        <w:t>’s</w:t>
      </w:r>
      <w:r>
        <w:t xml:space="preserve"> methodology report</w:t>
      </w:r>
      <w:r w:rsidR="00B50F9D">
        <w:t xml:space="preserve"> (</w:t>
      </w:r>
      <w:r>
        <w:t xml:space="preserve">publication number </w:t>
      </w:r>
      <w:r w:rsidRPr="00914080">
        <w:t>NCES 2006180</w:t>
      </w:r>
      <w:r w:rsidR="00B50F9D">
        <w:t>)</w:t>
      </w:r>
      <w:r>
        <w:t xml:space="preserve">, </w:t>
      </w:r>
      <w:r w:rsidR="00B50F9D">
        <w:t xml:space="preserve">or the </w:t>
      </w:r>
      <w:r>
        <w:t>BPS:04/06 methodology report</w:t>
      </w:r>
      <w:r w:rsidR="00B50F9D">
        <w:t xml:space="preserve"> (</w:t>
      </w:r>
      <w:r>
        <w:t xml:space="preserve">publication number </w:t>
      </w:r>
      <w:r w:rsidRPr="00914080">
        <w:t>NCES 2008184</w:t>
      </w:r>
      <w:r w:rsidR="00B50F9D">
        <w:t>)</w:t>
      </w:r>
      <w:r>
        <w:t>.</w:t>
      </w:r>
      <w:r w:rsidR="00F52E30">
        <w:t xml:space="preserve"> </w:t>
      </w:r>
      <w:r>
        <w:t>These rates were adjusted to reflect the improvement in the accuracy of the frame from the NSLDS and NSC record matching. Sector-level FTB error rates from the field test were used to help determine the rates necessary for full-scale student sampling.</w:t>
      </w:r>
    </w:p>
    <w:p w14:paraId="1A270644" w14:textId="77777777" w:rsidR="00C47264" w:rsidRPr="0009636B" w:rsidRDefault="00C47264" w:rsidP="00CF1337">
      <w:pPr>
        <w:pStyle w:val="Heading3"/>
        <w:spacing w:before="120" w:line="240" w:lineRule="auto"/>
        <w:rPr>
          <w:b w:val="0"/>
          <w:bCs w:val="0"/>
          <w:i/>
          <w:iCs/>
          <w:sz w:val="22"/>
          <w:szCs w:val="22"/>
        </w:rPr>
      </w:pPr>
      <w:bookmarkStart w:id="31" w:name="_Toc370482419"/>
      <w:bookmarkStart w:id="32" w:name="_Toc459815560"/>
      <w:bookmarkStart w:id="33" w:name="_Toc109714786"/>
      <w:r w:rsidRPr="0009636B">
        <w:rPr>
          <w:b w:val="0"/>
          <w:bCs w:val="0"/>
          <w:i/>
          <w:iCs/>
          <w:sz w:val="22"/>
          <w:szCs w:val="22"/>
        </w:rPr>
        <w:t xml:space="preserve">BPS:12/14 </w:t>
      </w:r>
      <w:r w:rsidR="00996338" w:rsidRPr="0009636B">
        <w:rPr>
          <w:b w:val="0"/>
          <w:bCs w:val="0"/>
          <w:i/>
          <w:iCs/>
          <w:sz w:val="22"/>
          <w:szCs w:val="22"/>
        </w:rPr>
        <w:t>Full-scale</w:t>
      </w:r>
      <w:r w:rsidRPr="0009636B">
        <w:rPr>
          <w:b w:val="0"/>
          <w:bCs w:val="0"/>
          <w:i/>
          <w:iCs/>
          <w:sz w:val="22"/>
          <w:szCs w:val="22"/>
        </w:rPr>
        <w:t xml:space="preserve"> Sample</w:t>
      </w:r>
      <w:bookmarkEnd w:id="31"/>
      <w:bookmarkEnd w:id="32"/>
    </w:p>
    <w:p w14:paraId="66280DC2" w14:textId="5EC47F51" w:rsidR="00C47264" w:rsidRPr="00C82657" w:rsidRDefault="00C47264" w:rsidP="00CF1337">
      <w:pPr>
        <w:pStyle w:val="BodyText"/>
        <w:spacing w:line="240" w:lineRule="auto"/>
        <w:ind w:firstLine="0"/>
      </w:pPr>
      <w:r w:rsidRPr="00C82657">
        <w:t xml:space="preserve">At the conclusion of the NPSAS:12 </w:t>
      </w:r>
      <w:r w:rsidR="00996338" w:rsidRPr="00C82657">
        <w:t>full-scale</w:t>
      </w:r>
      <w:r w:rsidRPr="00C82657">
        <w:t>, 30,076 students had been interviewed and confirmed to be FTB</w:t>
      </w:r>
      <w:r w:rsidR="00E8279B">
        <w:t xml:space="preserve"> student</w:t>
      </w:r>
      <w:r w:rsidRPr="00C82657">
        <w:t xml:space="preserve">s, and all </w:t>
      </w:r>
      <w:r w:rsidR="009D2DF4">
        <w:t>were</w:t>
      </w:r>
      <w:r w:rsidRPr="00C82657">
        <w:t xml:space="preserve"> included in the BPS:12</w:t>
      </w:r>
      <w:r w:rsidR="00A84C09" w:rsidRPr="00C82657">
        <w:t>/</w:t>
      </w:r>
      <w:r w:rsidRPr="00C82657">
        <w:t xml:space="preserve">14 </w:t>
      </w:r>
      <w:r w:rsidR="00996338" w:rsidRPr="00C82657">
        <w:t>full-scale</w:t>
      </w:r>
      <w:r w:rsidRPr="00C82657">
        <w:t>.</w:t>
      </w:r>
      <w:r w:rsidR="00F52E30">
        <w:t xml:space="preserve"> </w:t>
      </w:r>
      <w:r w:rsidRPr="00C82657">
        <w:t xml:space="preserve">In addition, the </w:t>
      </w:r>
      <w:r w:rsidR="00996338" w:rsidRPr="00C82657">
        <w:t>full-scale</w:t>
      </w:r>
      <w:r w:rsidR="00C82657" w:rsidRPr="00C82657">
        <w:t xml:space="preserve"> sample </w:t>
      </w:r>
      <w:r w:rsidR="009D2DF4">
        <w:t>included</w:t>
      </w:r>
      <w:r w:rsidR="00C82657" w:rsidRPr="00C82657">
        <w:t xml:space="preserve"> the 7,090</w:t>
      </w:r>
      <w:r w:rsidRPr="00C82657">
        <w:t xml:space="preserve"> students who did not respond to the NPSAS:12 </w:t>
      </w:r>
      <w:r w:rsidR="00996338" w:rsidRPr="00C82657">
        <w:t>full-scale</w:t>
      </w:r>
      <w:r w:rsidR="00A84C09" w:rsidRPr="00C82657">
        <w:t>,</w:t>
      </w:r>
      <w:r w:rsidRPr="00C82657">
        <w:t xml:space="preserve"> but were potential FTB</w:t>
      </w:r>
      <w:r w:rsidR="00E8279B">
        <w:t xml:space="preserve"> student</w:t>
      </w:r>
      <w:r w:rsidRPr="00C82657">
        <w:t>s according to student records or institution lists.</w:t>
      </w:r>
      <w:r w:rsidR="00F52E30">
        <w:t xml:space="preserve"> </w:t>
      </w:r>
      <w:r w:rsidRPr="00C82657">
        <w:t xml:space="preserve">The distribution of the BPS:12/14 </w:t>
      </w:r>
      <w:r w:rsidR="00996338" w:rsidRPr="00C82657">
        <w:t>full-scale</w:t>
      </w:r>
      <w:r w:rsidRPr="00C82657">
        <w:t xml:space="preserve"> sample is shown in table 1, by institution sector.</w:t>
      </w:r>
    </w:p>
    <w:p w14:paraId="29A4A804" w14:textId="2CD9B22B" w:rsidR="00C47264" w:rsidRPr="00797556" w:rsidRDefault="00F57567" w:rsidP="001273CB">
      <w:pPr>
        <w:pStyle w:val="TableTitle"/>
        <w:spacing w:before="120" w:after="60"/>
        <w:ind w:left="994" w:hanging="994"/>
      </w:pPr>
      <w:bookmarkStart w:id="34" w:name="_Toc370482438"/>
      <w:bookmarkStart w:id="35" w:name="_Toc456167104"/>
      <w:r>
        <w:lastRenderedPageBreak/>
        <w:t>Table 1.</w:t>
      </w:r>
      <w:r w:rsidR="00251904">
        <w:t xml:space="preserve"> </w:t>
      </w:r>
      <w:r w:rsidR="00C47264">
        <w:t xml:space="preserve">BPS:12/14 </w:t>
      </w:r>
      <w:r w:rsidR="002863B6">
        <w:t>s</w:t>
      </w:r>
      <w:r w:rsidR="00C47264">
        <w:t xml:space="preserve">ample </w:t>
      </w:r>
      <w:r w:rsidR="002863B6">
        <w:t>s</w:t>
      </w:r>
      <w:r w:rsidR="00C47264">
        <w:t xml:space="preserve">ize by </w:t>
      </w:r>
      <w:r w:rsidR="00C47264" w:rsidRPr="00797556">
        <w:t>inst</w:t>
      </w:r>
      <w:r w:rsidR="00C47264">
        <w:t>itution characteristics: 201</w:t>
      </w:r>
      <w:r w:rsidR="005B21B3">
        <w:t>2</w:t>
      </w:r>
      <w:bookmarkEnd w:id="34"/>
      <w:bookmarkEnd w:id="35"/>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3074"/>
        <w:gridCol w:w="1290"/>
        <w:gridCol w:w="2221"/>
        <w:gridCol w:w="2032"/>
        <w:gridCol w:w="2111"/>
      </w:tblGrid>
      <w:tr w:rsidR="00C82657" w:rsidRPr="00AD62EC" w14:paraId="432A0D5B" w14:textId="77777777" w:rsidTr="002539E5">
        <w:trPr>
          <w:trHeight w:val="144"/>
          <w:tblHeader/>
        </w:trPr>
        <w:tc>
          <w:tcPr>
            <w:tcW w:w="1433" w:type="pct"/>
            <w:vMerge w:val="restart"/>
            <w:tcBorders>
              <w:bottom w:val="single" w:sz="4" w:space="0" w:color="auto"/>
            </w:tcBorders>
            <w:noWrap/>
            <w:vAlign w:val="center"/>
            <w:hideMark/>
          </w:tcPr>
          <w:p w14:paraId="2CCE6172" w14:textId="77777777" w:rsidR="00726A2E" w:rsidRPr="00311C49" w:rsidRDefault="00726A2E" w:rsidP="006E69CC">
            <w:pPr>
              <w:pStyle w:val="Tableheading-LEFT"/>
              <w:spacing w:before="0" w:after="0"/>
              <w:rPr>
                <w:rFonts w:asciiTheme="minorBidi" w:hAnsiTheme="minorBidi" w:cstheme="minorBidi"/>
                <w:b/>
                <w:bCs/>
              </w:rPr>
            </w:pPr>
          </w:p>
          <w:p w14:paraId="047D0A8A" w14:textId="77777777" w:rsidR="00726A2E" w:rsidRPr="00311C49" w:rsidRDefault="00726A2E" w:rsidP="006E69CC">
            <w:pPr>
              <w:pStyle w:val="Tableheading-LEFT"/>
              <w:spacing w:before="0" w:after="0"/>
              <w:rPr>
                <w:rFonts w:asciiTheme="minorBidi" w:hAnsiTheme="minorBidi" w:cstheme="minorBidi"/>
                <w:b/>
                <w:bCs/>
              </w:rPr>
            </w:pPr>
          </w:p>
          <w:p w14:paraId="4C0A057B" w14:textId="77777777" w:rsidR="00726A2E" w:rsidRPr="00311C49" w:rsidRDefault="00726A2E" w:rsidP="006E69CC">
            <w:pPr>
              <w:pStyle w:val="Tableheading-LEFT"/>
              <w:spacing w:before="0" w:after="0"/>
              <w:rPr>
                <w:rFonts w:asciiTheme="minorBidi" w:hAnsiTheme="minorBidi" w:cstheme="minorBidi"/>
                <w:b/>
                <w:bCs/>
              </w:rPr>
            </w:pPr>
          </w:p>
          <w:p w14:paraId="3781261D" w14:textId="77777777" w:rsidR="00C82657" w:rsidRPr="00311C49" w:rsidRDefault="00C82657" w:rsidP="006E69CC">
            <w:pPr>
              <w:pStyle w:val="Tableheading-LEFT"/>
              <w:spacing w:before="0" w:after="0"/>
              <w:rPr>
                <w:rFonts w:asciiTheme="minorBidi" w:hAnsiTheme="minorBidi" w:cstheme="minorBidi"/>
                <w:b/>
                <w:bCs/>
              </w:rPr>
            </w:pPr>
            <w:r w:rsidRPr="00311C49">
              <w:rPr>
                <w:rFonts w:asciiTheme="minorBidi" w:hAnsiTheme="minorBidi" w:cstheme="minorBidi"/>
                <w:b/>
                <w:bCs/>
              </w:rPr>
              <w:t>Institution characteristics</w:t>
            </w:r>
          </w:p>
        </w:tc>
        <w:tc>
          <w:tcPr>
            <w:tcW w:w="601" w:type="pct"/>
          </w:tcPr>
          <w:p w14:paraId="709FE59F" w14:textId="77777777" w:rsidR="00C82657" w:rsidRPr="00311C49" w:rsidRDefault="00C82657" w:rsidP="006E69CC">
            <w:pPr>
              <w:pStyle w:val="Tableheading-CENTER"/>
              <w:spacing w:before="0" w:after="0"/>
              <w:rPr>
                <w:rFonts w:asciiTheme="minorBidi" w:hAnsiTheme="minorBidi" w:cstheme="minorBidi"/>
                <w:b/>
                <w:bCs/>
              </w:rPr>
            </w:pPr>
          </w:p>
        </w:tc>
        <w:tc>
          <w:tcPr>
            <w:tcW w:w="2966" w:type="pct"/>
            <w:gridSpan w:val="3"/>
            <w:tcBorders>
              <w:top w:val="single" w:sz="12" w:space="0" w:color="auto"/>
              <w:bottom w:val="single" w:sz="4" w:space="0" w:color="auto"/>
            </w:tcBorders>
            <w:noWrap/>
            <w:vAlign w:val="bottom"/>
            <w:hideMark/>
          </w:tcPr>
          <w:p w14:paraId="54587BEC" w14:textId="77777777" w:rsidR="00F52E30" w:rsidRDefault="00C82657" w:rsidP="006E69CC">
            <w:pPr>
              <w:pStyle w:val="Tableheading-CENTER"/>
              <w:spacing w:before="0" w:after="0"/>
              <w:rPr>
                <w:rFonts w:asciiTheme="minorBidi" w:hAnsiTheme="minorBidi" w:cstheme="minorBidi"/>
                <w:b/>
                <w:bCs/>
              </w:rPr>
            </w:pPr>
            <w:r w:rsidRPr="00311C49">
              <w:rPr>
                <w:rFonts w:asciiTheme="minorBidi" w:hAnsiTheme="minorBidi" w:cstheme="minorBidi"/>
                <w:b/>
                <w:bCs/>
              </w:rPr>
              <w:t xml:space="preserve">Confirmed and </w:t>
            </w:r>
            <w:r w:rsidR="002863B6">
              <w:rPr>
                <w:rFonts w:asciiTheme="minorBidi" w:hAnsiTheme="minorBidi" w:cstheme="minorBidi"/>
                <w:b/>
                <w:bCs/>
              </w:rPr>
              <w:t>p</w:t>
            </w:r>
            <w:r w:rsidRPr="00311C49">
              <w:rPr>
                <w:rFonts w:asciiTheme="minorBidi" w:hAnsiTheme="minorBidi" w:cstheme="minorBidi"/>
                <w:b/>
                <w:bCs/>
              </w:rPr>
              <w:t>otential FTB</w:t>
            </w:r>
            <w:r w:rsidR="00E8279B">
              <w:rPr>
                <w:rFonts w:asciiTheme="minorBidi" w:hAnsiTheme="minorBidi" w:cstheme="minorBidi"/>
                <w:b/>
                <w:bCs/>
              </w:rPr>
              <w:t xml:space="preserve"> student</w:t>
            </w:r>
            <w:r w:rsidRPr="00311C49">
              <w:rPr>
                <w:rFonts w:asciiTheme="minorBidi" w:hAnsiTheme="minorBidi" w:cstheme="minorBidi"/>
                <w:b/>
                <w:bCs/>
              </w:rPr>
              <w:t>s from</w:t>
            </w:r>
          </w:p>
          <w:p w14:paraId="413902B7" w14:textId="17D4A8B2" w:rsidR="00C82657" w:rsidRPr="00311C49" w:rsidRDefault="00C82657" w:rsidP="006E69CC">
            <w:pPr>
              <w:pStyle w:val="Tableheading-CENTER"/>
              <w:spacing w:before="0" w:after="0"/>
              <w:rPr>
                <w:rFonts w:asciiTheme="minorBidi" w:hAnsiTheme="minorBidi" w:cstheme="minorBidi"/>
                <w:b/>
                <w:bCs/>
              </w:rPr>
            </w:pPr>
            <w:r w:rsidRPr="00311C49">
              <w:rPr>
                <w:rFonts w:asciiTheme="minorBidi" w:hAnsiTheme="minorBidi" w:cstheme="minorBidi"/>
                <w:b/>
                <w:bCs/>
              </w:rPr>
              <w:t xml:space="preserve">the NPSAS:12 </w:t>
            </w:r>
            <w:r w:rsidR="0043607C">
              <w:rPr>
                <w:rFonts w:asciiTheme="minorBidi" w:hAnsiTheme="minorBidi" w:cstheme="minorBidi"/>
                <w:b/>
                <w:bCs/>
              </w:rPr>
              <w:t>f</w:t>
            </w:r>
            <w:r w:rsidRPr="00311C49">
              <w:rPr>
                <w:rFonts w:asciiTheme="minorBidi" w:hAnsiTheme="minorBidi" w:cstheme="minorBidi"/>
                <w:b/>
                <w:bCs/>
              </w:rPr>
              <w:t>ull-scale</w:t>
            </w:r>
          </w:p>
        </w:tc>
      </w:tr>
      <w:tr w:rsidR="00C82657" w:rsidRPr="00AD62EC" w14:paraId="05E44B22" w14:textId="77777777" w:rsidTr="00311C49">
        <w:trPr>
          <w:tblHeader/>
        </w:trPr>
        <w:tc>
          <w:tcPr>
            <w:tcW w:w="1433" w:type="pct"/>
            <w:vMerge/>
            <w:tcBorders>
              <w:bottom w:val="single" w:sz="4" w:space="0" w:color="auto"/>
            </w:tcBorders>
            <w:noWrap/>
            <w:vAlign w:val="bottom"/>
            <w:hideMark/>
          </w:tcPr>
          <w:p w14:paraId="3F4F44F5" w14:textId="77777777" w:rsidR="00C82657" w:rsidRPr="00311C49" w:rsidRDefault="00C82657" w:rsidP="006E69CC">
            <w:pPr>
              <w:pStyle w:val="Tableheading-LEFT"/>
              <w:spacing w:before="0" w:after="0"/>
              <w:rPr>
                <w:rFonts w:asciiTheme="minorBidi" w:hAnsiTheme="minorBidi" w:cstheme="minorBidi"/>
                <w:b/>
                <w:bCs/>
              </w:rPr>
            </w:pPr>
          </w:p>
        </w:tc>
        <w:tc>
          <w:tcPr>
            <w:tcW w:w="601" w:type="pct"/>
            <w:tcBorders>
              <w:bottom w:val="single" w:sz="4" w:space="0" w:color="auto"/>
            </w:tcBorders>
            <w:noWrap/>
            <w:vAlign w:val="bottom"/>
            <w:hideMark/>
          </w:tcPr>
          <w:p w14:paraId="5F15503B" w14:textId="77777777"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Total</w:t>
            </w:r>
          </w:p>
        </w:tc>
        <w:tc>
          <w:tcPr>
            <w:tcW w:w="1035" w:type="pct"/>
            <w:tcBorders>
              <w:top w:val="single" w:sz="4" w:space="0" w:color="auto"/>
              <w:bottom w:val="single" w:sz="4" w:space="0" w:color="auto"/>
            </w:tcBorders>
            <w:noWrap/>
            <w:vAlign w:val="bottom"/>
            <w:hideMark/>
          </w:tcPr>
          <w:p w14:paraId="4FB3D07C" w14:textId="1FFD3233"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2863B6">
              <w:rPr>
                <w:rFonts w:asciiTheme="minorBidi" w:hAnsiTheme="minorBidi" w:cstheme="minorBidi"/>
                <w:b/>
                <w:bCs/>
              </w:rPr>
              <w:t>i</w:t>
            </w:r>
            <w:r w:rsidRPr="00311C49">
              <w:rPr>
                <w:rFonts w:asciiTheme="minorBidi" w:hAnsiTheme="minorBidi" w:cstheme="minorBidi"/>
                <w:b/>
                <w:bCs/>
              </w:rPr>
              <w:t xml:space="preserve">nterview </w:t>
            </w:r>
            <w:r w:rsidR="002863B6">
              <w:rPr>
                <w:rFonts w:asciiTheme="minorBidi" w:hAnsiTheme="minorBidi" w:cstheme="minorBidi"/>
                <w:b/>
                <w:bCs/>
              </w:rPr>
              <w:t>r</w:t>
            </w:r>
            <w:r w:rsidRPr="00311C49">
              <w:rPr>
                <w:rFonts w:asciiTheme="minorBidi" w:hAnsiTheme="minorBidi" w:cstheme="minorBidi"/>
                <w:b/>
                <w:bCs/>
              </w:rPr>
              <w:t>espondent</w:t>
            </w:r>
          </w:p>
        </w:tc>
        <w:tc>
          <w:tcPr>
            <w:tcW w:w="947" w:type="pct"/>
            <w:tcBorders>
              <w:top w:val="single" w:sz="4" w:space="0" w:color="auto"/>
              <w:bottom w:val="single" w:sz="4" w:space="0" w:color="auto"/>
            </w:tcBorders>
          </w:tcPr>
          <w:p w14:paraId="4051F1D9" w14:textId="4F01BFF1"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43607C">
              <w:rPr>
                <w:rFonts w:asciiTheme="minorBidi" w:hAnsiTheme="minorBidi" w:cstheme="minorBidi"/>
                <w:b/>
                <w:bCs/>
              </w:rPr>
              <w:t>s</w:t>
            </w:r>
            <w:r w:rsidRPr="00311C49">
              <w:rPr>
                <w:rFonts w:asciiTheme="minorBidi" w:hAnsiTheme="minorBidi" w:cstheme="minorBidi"/>
                <w:b/>
                <w:bCs/>
              </w:rPr>
              <w:t xml:space="preserve">tudy </w:t>
            </w:r>
            <w:r w:rsidR="0043607C">
              <w:rPr>
                <w:rFonts w:asciiTheme="minorBidi" w:hAnsiTheme="minorBidi" w:cstheme="minorBidi"/>
                <w:b/>
                <w:bCs/>
              </w:rPr>
              <w:t>m</w:t>
            </w:r>
            <w:r w:rsidRPr="00311C49">
              <w:rPr>
                <w:rFonts w:asciiTheme="minorBidi" w:hAnsiTheme="minorBidi" w:cstheme="minorBidi"/>
                <w:b/>
                <w:bCs/>
              </w:rPr>
              <w:t xml:space="preserve">ember </w:t>
            </w:r>
            <w:r w:rsidR="002863B6">
              <w:rPr>
                <w:rFonts w:asciiTheme="minorBidi" w:hAnsiTheme="minorBidi" w:cstheme="minorBidi"/>
                <w:b/>
                <w:bCs/>
              </w:rPr>
              <w:t>i</w:t>
            </w:r>
            <w:r w:rsidRPr="00311C49">
              <w:rPr>
                <w:rFonts w:asciiTheme="minorBidi" w:hAnsiTheme="minorBidi" w:cstheme="minorBidi"/>
                <w:b/>
                <w:bCs/>
              </w:rPr>
              <w:t xml:space="preserve">nterview </w:t>
            </w:r>
            <w:proofErr w:type="spellStart"/>
            <w:r w:rsidR="002863B6">
              <w:rPr>
                <w:rFonts w:asciiTheme="minorBidi" w:hAnsiTheme="minorBidi" w:cstheme="minorBidi"/>
                <w:b/>
                <w:bCs/>
              </w:rPr>
              <w:t>n</w:t>
            </w:r>
            <w:r w:rsidRPr="00311C49">
              <w:rPr>
                <w:rFonts w:asciiTheme="minorBidi" w:hAnsiTheme="minorBidi" w:cstheme="minorBidi"/>
                <w:b/>
                <w:bCs/>
              </w:rPr>
              <w:t>onrespondents</w:t>
            </w:r>
            <w:proofErr w:type="spellEnd"/>
          </w:p>
        </w:tc>
        <w:tc>
          <w:tcPr>
            <w:tcW w:w="984" w:type="pct"/>
            <w:tcBorders>
              <w:top w:val="single" w:sz="4" w:space="0" w:color="auto"/>
              <w:bottom w:val="single" w:sz="4" w:space="0" w:color="auto"/>
            </w:tcBorders>
          </w:tcPr>
          <w:p w14:paraId="22B7F2A4" w14:textId="1515D0F9"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43607C">
              <w:rPr>
                <w:rFonts w:asciiTheme="minorBidi" w:hAnsiTheme="minorBidi" w:cstheme="minorBidi"/>
                <w:b/>
                <w:bCs/>
              </w:rPr>
              <w:t>n</w:t>
            </w:r>
            <w:r w:rsidRPr="00311C49">
              <w:rPr>
                <w:rFonts w:asciiTheme="minorBidi" w:hAnsiTheme="minorBidi" w:cstheme="minorBidi"/>
                <w:b/>
                <w:bCs/>
              </w:rPr>
              <w:t>on-</w:t>
            </w:r>
            <w:r w:rsidR="0043607C">
              <w:rPr>
                <w:rFonts w:asciiTheme="minorBidi" w:hAnsiTheme="minorBidi" w:cstheme="minorBidi"/>
                <w:b/>
                <w:bCs/>
              </w:rPr>
              <w:t>s</w:t>
            </w:r>
            <w:r w:rsidRPr="00311C49">
              <w:rPr>
                <w:rFonts w:asciiTheme="minorBidi" w:hAnsiTheme="minorBidi" w:cstheme="minorBidi"/>
                <w:b/>
                <w:bCs/>
              </w:rPr>
              <w:t xml:space="preserve">tudy </w:t>
            </w:r>
            <w:r w:rsidR="002863B6">
              <w:rPr>
                <w:rFonts w:asciiTheme="minorBidi" w:hAnsiTheme="minorBidi" w:cstheme="minorBidi"/>
                <w:b/>
                <w:bCs/>
              </w:rPr>
              <w:t>m</w:t>
            </w:r>
            <w:r w:rsidRPr="00311C49">
              <w:rPr>
                <w:rFonts w:asciiTheme="minorBidi" w:hAnsiTheme="minorBidi" w:cstheme="minorBidi"/>
                <w:b/>
                <w:bCs/>
              </w:rPr>
              <w:t xml:space="preserve">ember </w:t>
            </w:r>
            <w:r w:rsidR="002863B6">
              <w:rPr>
                <w:rFonts w:asciiTheme="minorBidi" w:hAnsiTheme="minorBidi" w:cstheme="minorBidi"/>
                <w:b/>
                <w:bCs/>
              </w:rPr>
              <w:t>i</w:t>
            </w:r>
            <w:r w:rsidRPr="00311C49">
              <w:rPr>
                <w:rFonts w:asciiTheme="minorBidi" w:hAnsiTheme="minorBidi" w:cstheme="minorBidi"/>
                <w:b/>
                <w:bCs/>
              </w:rPr>
              <w:t xml:space="preserve">nterview </w:t>
            </w:r>
            <w:proofErr w:type="spellStart"/>
            <w:r w:rsidR="002863B6">
              <w:rPr>
                <w:rFonts w:asciiTheme="minorBidi" w:hAnsiTheme="minorBidi" w:cstheme="minorBidi"/>
                <w:b/>
                <w:bCs/>
              </w:rPr>
              <w:t>n</w:t>
            </w:r>
            <w:r w:rsidRPr="00311C49">
              <w:rPr>
                <w:rFonts w:asciiTheme="minorBidi" w:hAnsiTheme="minorBidi" w:cstheme="minorBidi"/>
                <w:b/>
                <w:bCs/>
              </w:rPr>
              <w:t>onrespondents</w:t>
            </w:r>
            <w:proofErr w:type="spellEnd"/>
          </w:p>
        </w:tc>
      </w:tr>
      <w:tr w:rsidR="0063701C" w:rsidRPr="00AD62EC" w14:paraId="1B72685E" w14:textId="77777777" w:rsidTr="002539E5">
        <w:trPr>
          <w:trHeight w:val="144"/>
        </w:trPr>
        <w:tc>
          <w:tcPr>
            <w:tcW w:w="1433" w:type="pct"/>
            <w:noWrap/>
            <w:vAlign w:val="bottom"/>
            <w:hideMark/>
          </w:tcPr>
          <w:p w14:paraId="22230AC1" w14:textId="77777777" w:rsidR="0063701C" w:rsidRPr="00384EC8" w:rsidRDefault="0063701C" w:rsidP="006E69CC">
            <w:pPr>
              <w:pStyle w:val="5ensptotal"/>
              <w:spacing w:before="0" w:after="0"/>
              <w:rPr>
                <w:rFonts w:asciiTheme="minorBidi" w:hAnsiTheme="minorBidi" w:cstheme="minorBidi"/>
              </w:rPr>
            </w:pPr>
            <w:r w:rsidRPr="00384EC8">
              <w:rPr>
                <w:rFonts w:asciiTheme="minorBidi" w:hAnsiTheme="minorBidi" w:cstheme="minorBidi"/>
              </w:rPr>
              <w:t>Total</w:t>
            </w:r>
          </w:p>
        </w:tc>
        <w:tc>
          <w:tcPr>
            <w:tcW w:w="601" w:type="pct"/>
            <w:noWrap/>
            <w:vAlign w:val="bottom"/>
            <w:hideMark/>
          </w:tcPr>
          <w:p w14:paraId="356058D1"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37,170</w:t>
            </w:r>
          </w:p>
        </w:tc>
        <w:tc>
          <w:tcPr>
            <w:tcW w:w="1035" w:type="pct"/>
            <w:noWrap/>
            <w:vAlign w:val="bottom"/>
            <w:hideMark/>
          </w:tcPr>
          <w:p w14:paraId="4C3C277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30,080</w:t>
            </w:r>
          </w:p>
        </w:tc>
        <w:tc>
          <w:tcPr>
            <w:tcW w:w="947" w:type="pct"/>
            <w:vAlign w:val="bottom"/>
          </w:tcPr>
          <w:p w14:paraId="3AC1C18A"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4,610</w:t>
            </w:r>
          </w:p>
        </w:tc>
        <w:tc>
          <w:tcPr>
            <w:tcW w:w="984" w:type="pct"/>
            <w:vAlign w:val="bottom"/>
          </w:tcPr>
          <w:p w14:paraId="362A9A68"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2,480</w:t>
            </w:r>
          </w:p>
        </w:tc>
      </w:tr>
      <w:tr w:rsidR="0063701C" w:rsidRPr="00AD62EC" w14:paraId="7A364EAC" w14:textId="77777777" w:rsidTr="002539E5">
        <w:trPr>
          <w:trHeight w:val="144"/>
        </w:trPr>
        <w:tc>
          <w:tcPr>
            <w:tcW w:w="1433" w:type="pct"/>
            <w:noWrap/>
            <w:vAlign w:val="bottom"/>
            <w:hideMark/>
          </w:tcPr>
          <w:p w14:paraId="0F1A96CC" w14:textId="77777777" w:rsidR="0063701C" w:rsidRPr="00384EC8" w:rsidRDefault="0063701C" w:rsidP="006E69CC">
            <w:pPr>
              <w:pStyle w:val="Tabletext"/>
              <w:spacing w:before="0" w:after="0"/>
              <w:rPr>
                <w:rFonts w:asciiTheme="minorBidi" w:hAnsiTheme="minorBidi" w:cstheme="minorBidi"/>
              </w:rPr>
            </w:pPr>
          </w:p>
        </w:tc>
        <w:tc>
          <w:tcPr>
            <w:tcW w:w="601" w:type="pct"/>
            <w:noWrap/>
            <w:vAlign w:val="bottom"/>
            <w:hideMark/>
          </w:tcPr>
          <w:p w14:paraId="0A17CFE1"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4E8E8DF4"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4DE8B1B7"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72F69EC8"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3292D86D" w14:textId="77777777" w:rsidTr="002539E5">
        <w:trPr>
          <w:trHeight w:val="144"/>
        </w:trPr>
        <w:tc>
          <w:tcPr>
            <w:tcW w:w="1433" w:type="pct"/>
            <w:noWrap/>
            <w:vAlign w:val="bottom"/>
            <w:hideMark/>
          </w:tcPr>
          <w:p w14:paraId="10750B9B" w14:textId="77777777" w:rsidR="0063701C" w:rsidRPr="00384EC8" w:rsidRDefault="0063701C" w:rsidP="006E69CC">
            <w:pPr>
              <w:pStyle w:val="Tabletext"/>
              <w:spacing w:before="0" w:after="0"/>
              <w:rPr>
                <w:rFonts w:asciiTheme="minorBidi" w:hAnsiTheme="minorBidi" w:cstheme="minorBidi"/>
              </w:rPr>
            </w:pPr>
            <w:r w:rsidRPr="00384EC8">
              <w:rPr>
                <w:rFonts w:asciiTheme="minorBidi" w:hAnsiTheme="minorBidi" w:cstheme="minorBidi"/>
              </w:rPr>
              <w:t>Institution type</w:t>
            </w:r>
          </w:p>
        </w:tc>
        <w:tc>
          <w:tcPr>
            <w:tcW w:w="601" w:type="pct"/>
            <w:noWrap/>
            <w:vAlign w:val="bottom"/>
            <w:hideMark/>
          </w:tcPr>
          <w:p w14:paraId="754AFB2B"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589293DC"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0A3F46DA"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388DCA33"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74B5C10D" w14:textId="77777777" w:rsidTr="002539E5">
        <w:trPr>
          <w:trHeight w:val="144"/>
        </w:trPr>
        <w:tc>
          <w:tcPr>
            <w:tcW w:w="1433" w:type="pct"/>
            <w:noWrap/>
            <w:vAlign w:val="bottom"/>
            <w:hideMark/>
          </w:tcPr>
          <w:p w14:paraId="46859587"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Public</w:t>
            </w:r>
          </w:p>
        </w:tc>
        <w:tc>
          <w:tcPr>
            <w:tcW w:w="601" w:type="pct"/>
            <w:noWrap/>
            <w:vAlign w:val="bottom"/>
            <w:hideMark/>
          </w:tcPr>
          <w:p w14:paraId="0DC64446"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0A35D7F2"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4EAA2053"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6FA6FFF1"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5B619715" w14:textId="77777777" w:rsidTr="002539E5">
        <w:trPr>
          <w:trHeight w:val="144"/>
        </w:trPr>
        <w:tc>
          <w:tcPr>
            <w:tcW w:w="1433" w:type="pct"/>
            <w:noWrap/>
            <w:vAlign w:val="bottom"/>
            <w:hideMark/>
          </w:tcPr>
          <w:p w14:paraId="7BBBFD57"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14:paraId="75F2E8EA"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250</w:t>
            </w:r>
          </w:p>
        </w:tc>
        <w:tc>
          <w:tcPr>
            <w:tcW w:w="1035" w:type="pct"/>
            <w:noWrap/>
            <w:vAlign w:val="bottom"/>
            <w:hideMark/>
          </w:tcPr>
          <w:p w14:paraId="02DE520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190</w:t>
            </w:r>
          </w:p>
        </w:tc>
        <w:tc>
          <w:tcPr>
            <w:tcW w:w="947" w:type="pct"/>
            <w:vAlign w:val="bottom"/>
          </w:tcPr>
          <w:p w14:paraId="25FD4AC8"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30</w:t>
            </w:r>
          </w:p>
        </w:tc>
        <w:tc>
          <w:tcPr>
            <w:tcW w:w="984" w:type="pct"/>
            <w:vAlign w:val="bottom"/>
          </w:tcPr>
          <w:p w14:paraId="012AA0A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14:paraId="136D5314" w14:textId="77777777" w:rsidTr="002539E5">
        <w:trPr>
          <w:trHeight w:val="144"/>
        </w:trPr>
        <w:tc>
          <w:tcPr>
            <w:tcW w:w="1433" w:type="pct"/>
            <w:noWrap/>
            <w:vAlign w:val="bottom"/>
            <w:hideMark/>
          </w:tcPr>
          <w:p w14:paraId="49EDE2DC"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14:paraId="4624FC3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11,430</w:t>
            </w:r>
          </w:p>
        </w:tc>
        <w:tc>
          <w:tcPr>
            <w:tcW w:w="1035" w:type="pct"/>
            <w:noWrap/>
            <w:vAlign w:val="bottom"/>
            <w:hideMark/>
          </w:tcPr>
          <w:p w14:paraId="13EDCD1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9,080</w:t>
            </w:r>
          </w:p>
        </w:tc>
        <w:tc>
          <w:tcPr>
            <w:tcW w:w="947" w:type="pct"/>
            <w:vAlign w:val="bottom"/>
          </w:tcPr>
          <w:p w14:paraId="24E09FED"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1,290</w:t>
            </w:r>
          </w:p>
        </w:tc>
        <w:tc>
          <w:tcPr>
            <w:tcW w:w="984" w:type="pct"/>
            <w:vAlign w:val="bottom"/>
          </w:tcPr>
          <w:p w14:paraId="58641B04"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1,050</w:t>
            </w:r>
          </w:p>
        </w:tc>
      </w:tr>
      <w:tr w:rsidR="0063701C" w:rsidRPr="00AD62EC" w14:paraId="7F931154" w14:textId="77777777" w:rsidTr="002539E5">
        <w:trPr>
          <w:trHeight w:val="144"/>
        </w:trPr>
        <w:tc>
          <w:tcPr>
            <w:tcW w:w="1433" w:type="pct"/>
            <w:noWrap/>
            <w:vAlign w:val="bottom"/>
            <w:hideMark/>
          </w:tcPr>
          <w:p w14:paraId="6418EBF2"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14:paraId="2B20A04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1,930</w:t>
            </w:r>
          </w:p>
        </w:tc>
        <w:tc>
          <w:tcPr>
            <w:tcW w:w="1035" w:type="pct"/>
            <w:noWrap/>
            <w:vAlign w:val="bottom"/>
            <w:hideMark/>
          </w:tcPr>
          <w:p w14:paraId="1DB14C7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1,700</w:t>
            </w:r>
          </w:p>
        </w:tc>
        <w:tc>
          <w:tcPr>
            <w:tcW w:w="947" w:type="pct"/>
            <w:vAlign w:val="bottom"/>
          </w:tcPr>
          <w:p w14:paraId="35D00D96" w14:textId="77777777" w:rsidR="0063701C" w:rsidRPr="00384EC8" w:rsidRDefault="0063701C" w:rsidP="006E69CC">
            <w:pPr>
              <w:pStyle w:val="Tablenumbers"/>
              <w:spacing w:before="0" w:after="0"/>
              <w:rPr>
                <w:rFonts w:asciiTheme="minorBidi" w:hAnsiTheme="minorBidi" w:cstheme="minorBidi"/>
                <w:color w:val="000000"/>
              </w:rPr>
            </w:pPr>
          </w:p>
          <w:p w14:paraId="09A5F37C"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150</w:t>
            </w:r>
          </w:p>
        </w:tc>
        <w:tc>
          <w:tcPr>
            <w:tcW w:w="984" w:type="pct"/>
            <w:vAlign w:val="bottom"/>
          </w:tcPr>
          <w:p w14:paraId="3E7A942B"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90</w:t>
            </w:r>
          </w:p>
        </w:tc>
      </w:tr>
      <w:tr w:rsidR="0063701C" w:rsidRPr="00AD62EC" w14:paraId="39B50600" w14:textId="77777777" w:rsidTr="002539E5">
        <w:trPr>
          <w:trHeight w:val="144"/>
        </w:trPr>
        <w:tc>
          <w:tcPr>
            <w:tcW w:w="1433" w:type="pct"/>
            <w:noWrap/>
            <w:vAlign w:val="bottom"/>
            <w:hideMark/>
          </w:tcPr>
          <w:p w14:paraId="480CD04E"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14:paraId="2EA025D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3,510</w:t>
            </w:r>
          </w:p>
        </w:tc>
        <w:tc>
          <w:tcPr>
            <w:tcW w:w="1035" w:type="pct"/>
            <w:noWrap/>
            <w:vAlign w:val="bottom"/>
            <w:hideMark/>
          </w:tcPr>
          <w:p w14:paraId="50D96DD8"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3,220</w:t>
            </w:r>
          </w:p>
        </w:tc>
        <w:tc>
          <w:tcPr>
            <w:tcW w:w="947" w:type="pct"/>
            <w:vAlign w:val="bottom"/>
          </w:tcPr>
          <w:p w14:paraId="4057DA26"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220</w:t>
            </w:r>
          </w:p>
        </w:tc>
        <w:tc>
          <w:tcPr>
            <w:tcW w:w="984" w:type="pct"/>
            <w:vAlign w:val="bottom"/>
          </w:tcPr>
          <w:p w14:paraId="0558C61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80</w:t>
            </w:r>
          </w:p>
        </w:tc>
      </w:tr>
      <w:tr w:rsidR="0063701C" w:rsidRPr="00AD62EC" w14:paraId="11754B75" w14:textId="77777777" w:rsidTr="002539E5">
        <w:trPr>
          <w:trHeight w:val="144"/>
        </w:trPr>
        <w:tc>
          <w:tcPr>
            <w:tcW w:w="1433" w:type="pct"/>
            <w:noWrap/>
            <w:vAlign w:val="bottom"/>
            <w:hideMark/>
          </w:tcPr>
          <w:p w14:paraId="70B40211"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Private nonprofit</w:t>
            </w:r>
          </w:p>
        </w:tc>
        <w:tc>
          <w:tcPr>
            <w:tcW w:w="601" w:type="pct"/>
            <w:noWrap/>
            <w:vAlign w:val="bottom"/>
            <w:hideMark/>
          </w:tcPr>
          <w:p w14:paraId="44C03EBC"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1E33962E"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3C151B0F"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10BBD8B5"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384C9179" w14:textId="77777777" w:rsidTr="002539E5">
        <w:trPr>
          <w:trHeight w:val="144"/>
        </w:trPr>
        <w:tc>
          <w:tcPr>
            <w:tcW w:w="1433" w:type="pct"/>
            <w:noWrap/>
            <w:vAlign w:val="bottom"/>
            <w:hideMark/>
          </w:tcPr>
          <w:p w14:paraId="5BDC87B7"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Less-than-4-year</w:t>
            </w:r>
          </w:p>
        </w:tc>
        <w:tc>
          <w:tcPr>
            <w:tcW w:w="601" w:type="pct"/>
            <w:noWrap/>
            <w:vAlign w:val="bottom"/>
            <w:hideMark/>
          </w:tcPr>
          <w:p w14:paraId="364F6AD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380</w:t>
            </w:r>
          </w:p>
        </w:tc>
        <w:tc>
          <w:tcPr>
            <w:tcW w:w="1035" w:type="pct"/>
            <w:noWrap/>
            <w:vAlign w:val="bottom"/>
            <w:hideMark/>
          </w:tcPr>
          <w:p w14:paraId="1FC3BC5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310</w:t>
            </w:r>
          </w:p>
        </w:tc>
        <w:tc>
          <w:tcPr>
            <w:tcW w:w="947" w:type="pct"/>
            <w:vAlign w:val="bottom"/>
          </w:tcPr>
          <w:p w14:paraId="331DFCF9"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40</w:t>
            </w:r>
          </w:p>
        </w:tc>
        <w:tc>
          <w:tcPr>
            <w:tcW w:w="984" w:type="pct"/>
            <w:vAlign w:val="bottom"/>
          </w:tcPr>
          <w:p w14:paraId="207EB75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14:paraId="005114DD" w14:textId="77777777" w:rsidTr="002539E5">
        <w:trPr>
          <w:trHeight w:val="144"/>
        </w:trPr>
        <w:tc>
          <w:tcPr>
            <w:tcW w:w="1433" w:type="pct"/>
            <w:noWrap/>
            <w:vAlign w:val="bottom"/>
            <w:hideMark/>
          </w:tcPr>
          <w:p w14:paraId="6C759503"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14:paraId="75E28DE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2,430</w:t>
            </w:r>
          </w:p>
        </w:tc>
        <w:tc>
          <w:tcPr>
            <w:tcW w:w="1035" w:type="pct"/>
            <w:noWrap/>
            <w:vAlign w:val="bottom"/>
            <w:hideMark/>
          </w:tcPr>
          <w:p w14:paraId="0F6B7E1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2,160</w:t>
            </w:r>
          </w:p>
        </w:tc>
        <w:tc>
          <w:tcPr>
            <w:tcW w:w="947" w:type="pct"/>
            <w:vAlign w:val="bottom"/>
          </w:tcPr>
          <w:p w14:paraId="29CFF1DF"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120</w:t>
            </w:r>
          </w:p>
        </w:tc>
        <w:tc>
          <w:tcPr>
            <w:tcW w:w="984" w:type="pct"/>
            <w:vAlign w:val="bottom"/>
          </w:tcPr>
          <w:p w14:paraId="297ECB7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140</w:t>
            </w:r>
          </w:p>
        </w:tc>
      </w:tr>
      <w:tr w:rsidR="0063701C" w:rsidRPr="00AD62EC" w14:paraId="482446A0" w14:textId="77777777" w:rsidTr="002539E5">
        <w:trPr>
          <w:trHeight w:val="144"/>
        </w:trPr>
        <w:tc>
          <w:tcPr>
            <w:tcW w:w="1433" w:type="pct"/>
            <w:noWrap/>
            <w:vAlign w:val="bottom"/>
            <w:hideMark/>
          </w:tcPr>
          <w:p w14:paraId="419A1A55"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14:paraId="4FF103A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2,720</w:t>
            </w:r>
          </w:p>
        </w:tc>
        <w:tc>
          <w:tcPr>
            <w:tcW w:w="1035" w:type="pct"/>
            <w:noWrap/>
            <w:vAlign w:val="bottom"/>
            <w:hideMark/>
          </w:tcPr>
          <w:p w14:paraId="6C24E3B2"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2,470</w:t>
            </w:r>
          </w:p>
        </w:tc>
        <w:tc>
          <w:tcPr>
            <w:tcW w:w="947" w:type="pct"/>
            <w:vAlign w:val="bottom"/>
          </w:tcPr>
          <w:p w14:paraId="5E4003F2"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130</w:t>
            </w:r>
          </w:p>
        </w:tc>
        <w:tc>
          <w:tcPr>
            <w:tcW w:w="984" w:type="pct"/>
            <w:vAlign w:val="bottom"/>
          </w:tcPr>
          <w:p w14:paraId="58E4447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120</w:t>
            </w:r>
          </w:p>
        </w:tc>
      </w:tr>
      <w:tr w:rsidR="0063701C" w:rsidRPr="00AD62EC" w14:paraId="6D4BEA29" w14:textId="77777777" w:rsidTr="002539E5">
        <w:trPr>
          <w:trHeight w:val="144"/>
        </w:trPr>
        <w:tc>
          <w:tcPr>
            <w:tcW w:w="1433" w:type="pct"/>
            <w:noWrap/>
            <w:vAlign w:val="bottom"/>
            <w:hideMark/>
          </w:tcPr>
          <w:p w14:paraId="32B65273"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Private for-profit</w:t>
            </w:r>
          </w:p>
        </w:tc>
        <w:tc>
          <w:tcPr>
            <w:tcW w:w="601" w:type="pct"/>
            <w:noWrap/>
            <w:vAlign w:val="bottom"/>
            <w:hideMark/>
          </w:tcPr>
          <w:p w14:paraId="1785D5F4"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046DB2C2"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7F6F6A08"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70439F87"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56DAFD47" w14:textId="77777777" w:rsidTr="002539E5">
        <w:trPr>
          <w:trHeight w:val="144"/>
        </w:trPr>
        <w:tc>
          <w:tcPr>
            <w:tcW w:w="1433" w:type="pct"/>
            <w:noWrap/>
            <w:vAlign w:val="bottom"/>
            <w:hideMark/>
          </w:tcPr>
          <w:p w14:paraId="14632B4C"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14:paraId="3B80B496"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1,630</w:t>
            </w:r>
          </w:p>
        </w:tc>
        <w:tc>
          <w:tcPr>
            <w:tcW w:w="1035" w:type="pct"/>
            <w:noWrap/>
            <w:vAlign w:val="bottom"/>
            <w:hideMark/>
          </w:tcPr>
          <w:p w14:paraId="539CBE4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1,200</w:t>
            </w:r>
          </w:p>
        </w:tc>
        <w:tc>
          <w:tcPr>
            <w:tcW w:w="947" w:type="pct"/>
            <w:vAlign w:val="bottom"/>
          </w:tcPr>
          <w:p w14:paraId="3F3B7C56"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380</w:t>
            </w:r>
          </w:p>
        </w:tc>
        <w:tc>
          <w:tcPr>
            <w:tcW w:w="984" w:type="pct"/>
            <w:vAlign w:val="bottom"/>
          </w:tcPr>
          <w:p w14:paraId="681DB5F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50</w:t>
            </w:r>
          </w:p>
        </w:tc>
      </w:tr>
      <w:tr w:rsidR="0063701C" w:rsidRPr="00AD62EC" w14:paraId="3851E7BD" w14:textId="77777777" w:rsidTr="002539E5">
        <w:trPr>
          <w:trHeight w:val="144"/>
        </w:trPr>
        <w:tc>
          <w:tcPr>
            <w:tcW w:w="1433" w:type="pct"/>
            <w:noWrap/>
            <w:vAlign w:val="bottom"/>
            <w:hideMark/>
          </w:tcPr>
          <w:p w14:paraId="2A33753F"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14:paraId="1325AD4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3,530</w:t>
            </w:r>
          </w:p>
        </w:tc>
        <w:tc>
          <w:tcPr>
            <w:tcW w:w="1035" w:type="pct"/>
            <w:noWrap/>
            <w:vAlign w:val="bottom"/>
            <w:hideMark/>
          </w:tcPr>
          <w:p w14:paraId="277664C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2,620</w:t>
            </w:r>
          </w:p>
        </w:tc>
        <w:tc>
          <w:tcPr>
            <w:tcW w:w="947" w:type="pct"/>
            <w:vAlign w:val="bottom"/>
          </w:tcPr>
          <w:p w14:paraId="0403E44F"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710</w:t>
            </w:r>
          </w:p>
        </w:tc>
        <w:tc>
          <w:tcPr>
            <w:tcW w:w="984" w:type="pct"/>
            <w:vAlign w:val="bottom"/>
          </w:tcPr>
          <w:p w14:paraId="245A53E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200</w:t>
            </w:r>
          </w:p>
        </w:tc>
      </w:tr>
      <w:tr w:rsidR="0063701C" w:rsidRPr="00AD62EC" w14:paraId="58863FA2" w14:textId="77777777" w:rsidTr="002539E5">
        <w:trPr>
          <w:trHeight w:val="144"/>
        </w:trPr>
        <w:tc>
          <w:tcPr>
            <w:tcW w:w="1433" w:type="pct"/>
            <w:noWrap/>
            <w:vAlign w:val="bottom"/>
            <w:hideMark/>
          </w:tcPr>
          <w:p w14:paraId="39340C30"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w:t>
            </w:r>
          </w:p>
        </w:tc>
        <w:tc>
          <w:tcPr>
            <w:tcW w:w="601" w:type="pct"/>
            <w:noWrap/>
            <w:vAlign w:val="bottom"/>
            <w:hideMark/>
          </w:tcPr>
          <w:p w14:paraId="1CC44EB4"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9,370</w:t>
            </w:r>
          </w:p>
        </w:tc>
        <w:tc>
          <w:tcPr>
            <w:tcW w:w="1035" w:type="pct"/>
            <w:noWrap/>
            <w:vAlign w:val="bottom"/>
            <w:hideMark/>
          </w:tcPr>
          <w:p w14:paraId="320C0AE3"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7,110</w:t>
            </w:r>
          </w:p>
        </w:tc>
        <w:tc>
          <w:tcPr>
            <w:tcW w:w="947" w:type="pct"/>
            <w:vAlign w:val="bottom"/>
          </w:tcPr>
          <w:p w14:paraId="130A627C"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1,550</w:t>
            </w:r>
          </w:p>
        </w:tc>
        <w:tc>
          <w:tcPr>
            <w:tcW w:w="984" w:type="pct"/>
            <w:vAlign w:val="bottom"/>
          </w:tcPr>
          <w:p w14:paraId="1070F57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700</w:t>
            </w:r>
          </w:p>
        </w:tc>
      </w:tr>
    </w:tbl>
    <w:p w14:paraId="3143FC6C" w14:textId="643C5CF1" w:rsidR="00C47264" w:rsidRPr="0036453F" w:rsidRDefault="00C47264" w:rsidP="002539E5">
      <w:pPr>
        <w:spacing w:after="120"/>
        <w:rPr>
          <w:rFonts w:asciiTheme="minorBidi" w:hAnsiTheme="minorBidi" w:cstheme="minorBidi"/>
          <w:sz w:val="16"/>
          <w:szCs w:val="16"/>
        </w:rPr>
      </w:pPr>
      <w:r w:rsidRPr="0036453F">
        <w:rPr>
          <w:rFonts w:asciiTheme="minorBidi" w:hAnsiTheme="minorBidi" w:cstheme="minorBidi"/>
          <w:sz w:val="16"/>
          <w:szCs w:val="16"/>
        </w:rPr>
        <w:t>NOTE: Detail may not sum to totals because of rounding.</w:t>
      </w:r>
      <w:r w:rsidR="00F52E30" w:rsidRPr="0036453F">
        <w:rPr>
          <w:rFonts w:asciiTheme="minorBidi" w:hAnsiTheme="minorBidi" w:cstheme="minorBidi"/>
          <w:sz w:val="16"/>
          <w:szCs w:val="16"/>
        </w:rPr>
        <w:t xml:space="preserve"> </w:t>
      </w:r>
      <w:r w:rsidR="005600F7" w:rsidRPr="0036453F">
        <w:rPr>
          <w:rFonts w:asciiTheme="minorBidi" w:hAnsiTheme="minorBidi" w:cstheme="minorBidi"/>
          <w:sz w:val="16"/>
          <w:szCs w:val="16"/>
        </w:rPr>
        <w:t>Potential FTB</w:t>
      </w:r>
      <w:r w:rsidR="00E8279B" w:rsidRPr="0036453F">
        <w:rPr>
          <w:rFonts w:asciiTheme="minorBidi" w:hAnsiTheme="minorBidi" w:cstheme="minorBidi"/>
          <w:sz w:val="16"/>
          <w:szCs w:val="16"/>
        </w:rPr>
        <w:t xml:space="preserve"> student</w:t>
      </w:r>
      <w:r w:rsidR="005600F7" w:rsidRPr="0036453F">
        <w:rPr>
          <w:rFonts w:asciiTheme="minorBidi" w:hAnsiTheme="minorBidi" w:cstheme="minorBidi"/>
          <w:sz w:val="16"/>
          <w:szCs w:val="16"/>
        </w:rPr>
        <w:t>s are those NPSAS</w:t>
      </w:r>
      <w:proofErr w:type="gramStart"/>
      <w:r w:rsidR="005600F7" w:rsidRPr="0036453F">
        <w:rPr>
          <w:rFonts w:asciiTheme="minorBidi" w:hAnsiTheme="minorBidi" w:cstheme="minorBidi"/>
          <w:sz w:val="16"/>
          <w:szCs w:val="16"/>
        </w:rPr>
        <w:t>:12</w:t>
      </w:r>
      <w:proofErr w:type="gramEnd"/>
      <w:r w:rsidR="005600F7" w:rsidRPr="0036453F">
        <w:rPr>
          <w:rFonts w:asciiTheme="minorBidi" w:hAnsiTheme="minorBidi" w:cstheme="minorBidi"/>
          <w:sz w:val="16"/>
          <w:szCs w:val="16"/>
        </w:rPr>
        <w:t xml:space="preserve"> non-respondents who appeared to be FTB</w:t>
      </w:r>
      <w:r w:rsidR="00E8279B" w:rsidRPr="0036453F">
        <w:rPr>
          <w:rFonts w:asciiTheme="minorBidi" w:hAnsiTheme="minorBidi" w:cstheme="minorBidi"/>
          <w:sz w:val="16"/>
          <w:szCs w:val="16"/>
        </w:rPr>
        <w:t xml:space="preserve"> student</w:t>
      </w:r>
      <w:r w:rsidR="005600F7" w:rsidRPr="0036453F">
        <w:rPr>
          <w:rFonts w:asciiTheme="minorBidi" w:hAnsiTheme="minorBidi" w:cstheme="minorBidi"/>
          <w:sz w:val="16"/>
          <w:szCs w:val="16"/>
        </w:rPr>
        <w:t>s in NPSAS:12 student records data. Non study members are those NPSAS</w:t>
      </w:r>
      <w:proofErr w:type="gramStart"/>
      <w:r w:rsidR="005600F7" w:rsidRPr="0036453F">
        <w:rPr>
          <w:rFonts w:asciiTheme="minorBidi" w:hAnsiTheme="minorBidi" w:cstheme="minorBidi"/>
          <w:sz w:val="16"/>
          <w:szCs w:val="16"/>
        </w:rPr>
        <w:t>:12</w:t>
      </w:r>
      <w:proofErr w:type="gramEnd"/>
      <w:r w:rsidR="005600F7" w:rsidRPr="0036453F">
        <w:rPr>
          <w:rFonts w:asciiTheme="minorBidi" w:hAnsiTheme="minorBidi" w:cstheme="minorBidi"/>
          <w:sz w:val="16"/>
          <w:szCs w:val="16"/>
        </w:rPr>
        <w:t xml:space="preserve"> sample members who, across all data sources, did not have sufficient data to support the analytic objectives of the study.</w:t>
      </w:r>
    </w:p>
    <w:p w14:paraId="18379B85" w14:textId="2668D0B3" w:rsidR="00C47264" w:rsidRPr="0036453F" w:rsidRDefault="00C47264" w:rsidP="00CF1337">
      <w:pPr>
        <w:pStyle w:val="BodyText"/>
        <w:spacing w:before="0" w:line="240" w:lineRule="auto"/>
        <w:ind w:firstLine="0"/>
        <w:rPr>
          <w:rFonts w:asciiTheme="minorBidi" w:hAnsiTheme="minorBidi" w:cstheme="minorBidi"/>
          <w:sz w:val="16"/>
          <w:szCs w:val="16"/>
        </w:rPr>
      </w:pPr>
      <w:r w:rsidRPr="0036453F">
        <w:rPr>
          <w:rFonts w:asciiTheme="minorBidi" w:hAnsiTheme="minorBidi" w:cstheme="minorBidi"/>
          <w:sz w:val="16"/>
          <w:szCs w:val="16"/>
        </w:rPr>
        <w:t>SOURCE: U.S. Department of Education, National Center for Education Statistics, 2011–12 National Postsecondary Student Aid Study (NPSAS</w:t>
      </w:r>
      <w:proofErr w:type="gramStart"/>
      <w:r w:rsidRPr="0036453F">
        <w:rPr>
          <w:rFonts w:asciiTheme="minorBidi" w:hAnsiTheme="minorBidi" w:cstheme="minorBidi"/>
          <w:sz w:val="16"/>
          <w:szCs w:val="16"/>
        </w:rPr>
        <w:t>:12</w:t>
      </w:r>
      <w:proofErr w:type="gramEnd"/>
      <w:r w:rsidRPr="0036453F">
        <w:rPr>
          <w:rFonts w:asciiTheme="minorBidi" w:hAnsiTheme="minorBidi" w:cstheme="minorBidi"/>
          <w:sz w:val="16"/>
          <w:szCs w:val="16"/>
        </w:rPr>
        <w:t xml:space="preserve">) </w:t>
      </w:r>
      <w:bookmarkEnd w:id="33"/>
      <w:r w:rsidR="00996338" w:rsidRPr="0036453F">
        <w:rPr>
          <w:rFonts w:asciiTheme="minorBidi" w:hAnsiTheme="minorBidi" w:cstheme="minorBidi"/>
          <w:sz w:val="16"/>
          <w:szCs w:val="16"/>
        </w:rPr>
        <w:t>Full-scale</w:t>
      </w:r>
      <w:r w:rsidR="009D2DF4" w:rsidRPr="0036453F">
        <w:rPr>
          <w:rFonts w:asciiTheme="minorBidi" w:hAnsiTheme="minorBidi" w:cstheme="minorBidi"/>
          <w:sz w:val="16"/>
          <w:szCs w:val="16"/>
        </w:rPr>
        <w:t>.</w:t>
      </w:r>
    </w:p>
    <w:p w14:paraId="28560074" w14:textId="7B83F23A" w:rsidR="006B5496" w:rsidRPr="0009636B" w:rsidRDefault="006B5496" w:rsidP="00CF1337">
      <w:pPr>
        <w:pStyle w:val="Heading3"/>
        <w:spacing w:line="240" w:lineRule="auto"/>
        <w:rPr>
          <w:b w:val="0"/>
          <w:bCs w:val="0"/>
          <w:i/>
          <w:iCs/>
          <w:sz w:val="22"/>
          <w:szCs w:val="22"/>
        </w:rPr>
      </w:pPr>
      <w:bookmarkStart w:id="36" w:name="_Toc368034981"/>
      <w:bookmarkStart w:id="37" w:name="_Toc368044031"/>
      <w:bookmarkStart w:id="38" w:name="_Toc335742333"/>
      <w:bookmarkStart w:id="39" w:name="_Toc336344083"/>
      <w:bookmarkStart w:id="40" w:name="_Toc336344200"/>
      <w:bookmarkStart w:id="41" w:name="_Toc336344258"/>
      <w:bookmarkStart w:id="42" w:name="_Toc336344753"/>
      <w:bookmarkStart w:id="43" w:name="_Toc336345020"/>
      <w:bookmarkStart w:id="44" w:name="_Toc336345684"/>
      <w:bookmarkStart w:id="45" w:name="_Toc336353853"/>
      <w:bookmarkStart w:id="46" w:name="_Toc336973937"/>
      <w:bookmarkStart w:id="47" w:name="_Toc337122724"/>
      <w:bookmarkStart w:id="48" w:name="_Toc337123819"/>
      <w:bookmarkStart w:id="49" w:name="_Toc337840011"/>
      <w:bookmarkStart w:id="50" w:name="_Toc368034982"/>
      <w:bookmarkStart w:id="51" w:name="_Toc368044032"/>
      <w:bookmarkStart w:id="52" w:name="_Toc45981556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9636B">
        <w:rPr>
          <w:b w:val="0"/>
          <w:bCs w:val="0"/>
          <w:i/>
          <w:iCs/>
          <w:sz w:val="22"/>
          <w:szCs w:val="22"/>
        </w:rPr>
        <w:t>BPS</w:t>
      </w:r>
      <w:proofErr w:type="gramStart"/>
      <w:r w:rsidRPr="0009636B">
        <w:rPr>
          <w:b w:val="0"/>
          <w:bCs w:val="0"/>
          <w:i/>
          <w:iCs/>
          <w:sz w:val="22"/>
          <w:szCs w:val="22"/>
        </w:rPr>
        <w:t>:12</w:t>
      </w:r>
      <w:proofErr w:type="gramEnd"/>
      <w:r w:rsidRPr="0009636B">
        <w:rPr>
          <w:b w:val="0"/>
          <w:bCs w:val="0"/>
          <w:i/>
          <w:iCs/>
          <w:sz w:val="22"/>
          <w:szCs w:val="22"/>
        </w:rPr>
        <w:t>/17 Full-scale Sample</w:t>
      </w:r>
      <w:bookmarkEnd w:id="52"/>
    </w:p>
    <w:p w14:paraId="1A05EE69" w14:textId="00FEB02F" w:rsidR="00AD5AE0" w:rsidRDefault="00AD5AE0" w:rsidP="00CF1337">
      <w:pPr>
        <w:pStyle w:val="BodyText"/>
        <w:spacing w:line="240" w:lineRule="auto"/>
        <w:ind w:firstLine="0"/>
      </w:pPr>
      <w:r>
        <w:t>The BPS:12/17 sample is a subset of the BPS:12/14 sample in that BPS:12/14 sample members determined to not be FTB</w:t>
      </w:r>
      <w:r w:rsidR="00E8279B">
        <w:t xml:space="preserve"> student</w:t>
      </w:r>
      <w:r>
        <w:t xml:space="preserve">s are ineligible and, therefore, excluded from the BPS:12/17 sample. Furthermore, deceased individuals are also excluded from the BPS:12/17 sample. </w:t>
      </w:r>
      <w:r w:rsidR="004A09DF">
        <w:t xml:space="preserve">Table 2 provides the </w:t>
      </w:r>
      <w:r>
        <w:t xml:space="preserve">distribution of the </w:t>
      </w:r>
      <w:r w:rsidR="005451F5">
        <w:t>35,54</w:t>
      </w:r>
      <w:r w:rsidR="004A09DF">
        <w:t>0</w:t>
      </w:r>
      <w:r w:rsidR="005451F5">
        <w:t xml:space="preserve"> </w:t>
      </w:r>
      <w:r>
        <w:t>eligible BPS:12/17 sample members</w:t>
      </w:r>
      <w:r w:rsidR="005451F5">
        <w:t>, by NPSAS:12 and BPS:12/14 response status</w:t>
      </w:r>
      <w:r>
        <w:t>.</w:t>
      </w:r>
    </w:p>
    <w:p w14:paraId="709801F1" w14:textId="79870BD0" w:rsidR="005451F5" w:rsidRPr="008B6068" w:rsidRDefault="005451F5" w:rsidP="001273CB">
      <w:pPr>
        <w:pStyle w:val="TableTitle"/>
        <w:spacing w:before="120" w:after="60"/>
        <w:ind w:left="994" w:hanging="994"/>
      </w:pPr>
      <w:bookmarkStart w:id="53" w:name="_Toc441563602"/>
      <w:bookmarkStart w:id="54" w:name="_Toc456167105"/>
      <w:proofErr w:type="gramStart"/>
      <w:r w:rsidRPr="008B6068">
        <w:t>Table 2.</w:t>
      </w:r>
      <w:proofErr w:type="gramEnd"/>
      <w:r w:rsidR="002B537E">
        <w:t xml:space="preserve"> </w:t>
      </w:r>
      <w:r w:rsidRPr="008B6068">
        <w:t>BPS:12/17 sample member disposition, by NPSAS:12 and BPS:12/14 response status.</w:t>
      </w:r>
      <w:bookmarkEnd w:id="53"/>
      <w:bookmarkEnd w:id="54"/>
    </w:p>
    <w:tbl>
      <w:tblPr>
        <w:tblStyle w:val="TableGrid1"/>
        <w:tblW w:w="4327" w:type="pct"/>
        <w:tblLayout w:type="fixed"/>
        <w:tblLook w:val="04A0" w:firstRow="1" w:lastRow="0" w:firstColumn="1" w:lastColumn="0" w:noHBand="0" w:noVBand="1"/>
      </w:tblPr>
      <w:tblGrid>
        <w:gridCol w:w="4952"/>
        <w:gridCol w:w="1857"/>
        <w:gridCol w:w="2475"/>
      </w:tblGrid>
      <w:tr w:rsidR="005451F5" w:rsidRPr="004A09DF" w14:paraId="5E97BFFC" w14:textId="77777777" w:rsidTr="005451F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667" w:type="pct"/>
            <w:noWrap/>
            <w:vAlign w:val="center"/>
            <w:hideMark/>
          </w:tcPr>
          <w:p w14:paraId="128F658D" w14:textId="77777777" w:rsidR="005451F5" w:rsidRPr="00926AA1" w:rsidRDefault="005451F5" w:rsidP="00CF1337">
            <w:pPr>
              <w:spacing w:before="60" w:after="120"/>
              <w:contextualSpacing/>
              <w:rPr>
                <w:rFonts w:asciiTheme="minorBidi" w:hAnsiTheme="minorBidi" w:cstheme="minorBidi"/>
                <w:b/>
                <w:bCs/>
                <w:color w:val="000000"/>
                <w:sz w:val="20"/>
              </w:rPr>
            </w:pPr>
            <w:r w:rsidRPr="00926AA1">
              <w:rPr>
                <w:rFonts w:asciiTheme="minorBidi" w:hAnsiTheme="minorBidi" w:cstheme="minorBidi"/>
                <w:b/>
                <w:bCs/>
                <w:color w:val="000000"/>
                <w:sz w:val="20"/>
              </w:rPr>
              <w:t>Study member status and interview response status</w:t>
            </w:r>
          </w:p>
        </w:tc>
        <w:tc>
          <w:tcPr>
            <w:tcW w:w="1000" w:type="pct"/>
            <w:vAlign w:val="center"/>
          </w:tcPr>
          <w:p w14:paraId="22379463" w14:textId="77777777" w:rsidR="005451F5" w:rsidRPr="00926AA1" w:rsidRDefault="005451F5" w:rsidP="00CF1337">
            <w:pPr>
              <w:spacing w:before="60" w:after="120"/>
              <w:contextual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color w:val="000000"/>
                <w:sz w:val="20"/>
              </w:rPr>
            </w:pPr>
            <w:r w:rsidRPr="00926AA1">
              <w:rPr>
                <w:rFonts w:asciiTheme="minorBidi" w:hAnsiTheme="minorBidi" w:cstheme="minorBidi"/>
                <w:b/>
                <w:bCs/>
                <w:color w:val="000000"/>
                <w:sz w:val="20"/>
              </w:rPr>
              <w:t xml:space="preserve">Number of eligible cases </w:t>
            </w:r>
          </w:p>
        </w:tc>
        <w:tc>
          <w:tcPr>
            <w:tcW w:w="1333" w:type="pct"/>
            <w:vAlign w:val="center"/>
          </w:tcPr>
          <w:p w14:paraId="49445C5A" w14:textId="7FCE49BA" w:rsidR="005451F5" w:rsidRPr="00926AA1" w:rsidRDefault="005451F5" w:rsidP="00CF1337">
            <w:pPr>
              <w:spacing w:before="60" w:after="120"/>
              <w:contextual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color w:val="000000"/>
                <w:sz w:val="20"/>
              </w:rPr>
            </w:pPr>
            <w:r w:rsidRPr="00926AA1">
              <w:rPr>
                <w:rFonts w:asciiTheme="minorBidi" w:hAnsiTheme="minorBidi" w:cstheme="minorBidi"/>
                <w:b/>
                <w:bCs/>
                <w:color w:val="000000"/>
                <w:sz w:val="20"/>
              </w:rPr>
              <w:t>Field in BPS:12/17</w:t>
            </w:r>
          </w:p>
        </w:tc>
      </w:tr>
      <w:tr w:rsidR="005451F5" w:rsidRPr="004A09DF" w14:paraId="75C584DE"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EAD17D6" w14:textId="77777777"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kern w:val="2"/>
                <w:sz w:val="20"/>
              </w:rPr>
              <w:t>Total</w:t>
            </w:r>
          </w:p>
        </w:tc>
        <w:tc>
          <w:tcPr>
            <w:tcW w:w="1000" w:type="pct"/>
            <w:vAlign w:val="center"/>
          </w:tcPr>
          <w:p w14:paraId="51785F2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35,540</w:t>
            </w:r>
          </w:p>
        </w:tc>
        <w:tc>
          <w:tcPr>
            <w:tcW w:w="1333" w:type="pct"/>
            <w:vAlign w:val="center"/>
          </w:tcPr>
          <w:p w14:paraId="11E76976"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r>
      <w:tr w:rsidR="005451F5" w:rsidRPr="004A09DF" w14:paraId="788C91C3" w14:textId="77777777" w:rsidTr="00926AA1">
        <w:trPr>
          <w:cantSplit/>
          <w:trHeight w:val="198"/>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1E6C22A7" w14:textId="254799B2" w:rsidR="005451F5" w:rsidRPr="00926AA1" w:rsidRDefault="005451F5" w:rsidP="00CF1337">
            <w:pPr>
              <w:spacing w:before="60" w:after="12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s</w:t>
            </w:r>
            <w:r w:rsidRPr="00926AA1">
              <w:rPr>
                <w:rFonts w:asciiTheme="minorBidi" w:hAnsiTheme="minorBidi" w:cstheme="minorBidi"/>
                <w:color w:val="000000"/>
                <w:sz w:val="20"/>
              </w:rPr>
              <w:t xml:space="preserve">tudy </w:t>
            </w:r>
            <w:r w:rsidR="0043607C">
              <w:rPr>
                <w:rFonts w:asciiTheme="minorBidi" w:hAnsiTheme="minorBidi" w:cstheme="minorBidi"/>
                <w:color w:val="000000"/>
                <w:sz w:val="20"/>
              </w:rPr>
              <w:t>m</w:t>
            </w:r>
            <w:r w:rsidRPr="00926AA1">
              <w:rPr>
                <w:rFonts w:asciiTheme="minorBidi" w:hAnsiTheme="minorBidi" w:cstheme="minorBidi"/>
                <w:color w:val="000000"/>
                <w:sz w:val="20"/>
              </w:rPr>
              <w:t>ember</w:t>
            </w:r>
          </w:p>
        </w:tc>
        <w:tc>
          <w:tcPr>
            <w:tcW w:w="1000" w:type="pct"/>
            <w:vAlign w:val="center"/>
          </w:tcPr>
          <w:p w14:paraId="357A2980" w14:textId="77777777" w:rsidR="005451F5" w:rsidRPr="00926AA1" w:rsidRDefault="005451F5" w:rsidP="00CF1337">
            <w:pPr>
              <w:spacing w:before="60" w:after="120"/>
              <w:ind w:firstLineChars="100" w:firstLine="2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2A96DC42"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7CB665C4"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43C0D21C" w14:textId="1D91E0CA"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57496824"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362D2377"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119B3793"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C6B12BA" w14:textId="006965AD"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(1) BPS:12/14 </w:t>
            </w:r>
            <w:r w:rsidR="0043607C">
              <w:rPr>
                <w:rFonts w:asciiTheme="minorBidi" w:hAnsiTheme="minorBidi" w:cstheme="minorBidi"/>
                <w:color w:val="000000"/>
                <w:sz w:val="20"/>
              </w:rPr>
              <w:t>r</w:t>
            </w:r>
            <w:r w:rsidRPr="00926AA1">
              <w:rPr>
                <w:rFonts w:asciiTheme="minorBidi" w:hAnsiTheme="minorBidi" w:cstheme="minorBidi"/>
                <w:color w:val="000000"/>
                <w:sz w:val="20"/>
              </w:rPr>
              <w:t xml:space="preserve">espondent </w:t>
            </w:r>
          </w:p>
        </w:tc>
        <w:tc>
          <w:tcPr>
            <w:tcW w:w="1000" w:type="pct"/>
            <w:vAlign w:val="center"/>
          </w:tcPr>
          <w:p w14:paraId="32BA539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23,640</w:t>
            </w:r>
          </w:p>
        </w:tc>
        <w:tc>
          <w:tcPr>
            <w:tcW w:w="1333" w:type="pct"/>
            <w:vAlign w:val="center"/>
          </w:tcPr>
          <w:p w14:paraId="3125C8F5"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A3E51C5"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0AAFAA58" w14:textId="666E4B7A"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(2)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10269E54"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5,720</w:t>
            </w:r>
          </w:p>
        </w:tc>
        <w:tc>
          <w:tcPr>
            <w:tcW w:w="1333" w:type="pct"/>
            <w:vAlign w:val="center"/>
          </w:tcPr>
          <w:p w14:paraId="3494C45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58C81C8"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3D3C390" w14:textId="66F578F4"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7E0252B6"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3A2C036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FCB2C61"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3A5BA1EF" w14:textId="722E2192"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(3) BPS:12/14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68602437"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800</w:t>
            </w:r>
          </w:p>
        </w:tc>
        <w:tc>
          <w:tcPr>
            <w:tcW w:w="1333" w:type="pct"/>
            <w:vAlign w:val="center"/>
          </w:tcPr>
          <w:p w14:paraId="4B5A3C6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730880BD"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10726899" w14:textId="6ECAE4AF"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(4)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10236384"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3,280</w:t>
            </w:r>
          </w:p>
        </w:tc>
        <w:tc>
          <w:tcPr>
            <w:tcW w:w="1333" w:type="pct"/>
            <w:vAlign w:val="center"/>
          </w:tcPr>
          <w:p w14:paraId="38AD7FB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55FCC310"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283FD1E4" w14:textId="1CCA3E16" w:rsidR="005451F5" w:rsidRPr="00926AA1" w:rsidRDefault="005451F5" w:rsidP="00CF1337">
            <w:pPr>
              <w:spacing w:before="60" w:after="12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n</w:t>
            </w:r>
            <w:r w:rsidRPr="00926AA1">
              <w:rPr>
                <w:rFonts w:asciiTheme="minorBidi" w:hAnsiTheme="minorBidi" w:cstheme="minorBidi"/>
                <w:color w:val="000000"/>
                <w:sz w:val="20"/>
              </w:rPr>
              <w:t>on-</w:t>
            </w:r>
            <w:r w:rsidR="0043607C">
              <w:rPr>
                <w:rFonts w:asciiTheme="minorBidi" w:hAnsiTheme="minorBidi" w:cstheme="minorBidi"/>
                <w:color w:val="000000"/>
                <w:sz w:val="20"/>
              </w:rPr>
              <w:t>s</w:t>
            </w:r>
            <w:r w:rsidRPr="00926AA1">
              <w:rPr>
                <w:rFonts w:asciiTheme="minorBidi" w:hAnsiTheme="minorBidi" w:cstheme="minorBidi"/>
                <w:color w:val="000000"/>
                <w:sz w:val="20"/>
              </w:rPr>
              <w:t xml:space="preserve">tudy </w:t>
            </w:r>
            <w:r w:rsidR="0043607C">
              <w:rPr>
                <w:rFonts w:asciiTheme="minorBidi" w:hAnsiTheme="minorBidi" w:cstheme="minorBidi"/>
                <w:color w:val="000000"/>
                <w:sz w:val="20"/>
              </w:rPr>
              <w:t>m</w:t>
            </w:r>
            <w:r w:rsidRPr="00926AA1">
              <w:rPr>
                <w:rFonts w:asciiTheme="minorBidi" w:hAnsiTheme="minorBidi" w:cstheme="minorBidi"/>
                <w:color w:val="000000"/>
                <w:sz w:val="20"/>
              </w:rPr>
              <w:t>ember</w:t>
            </w:r>
          </w:p>
        </w:tc>
        <w:tc>
          <w:tcPr>
            <w:tcW w:w="1000" w:type="pct"/>
            <w:vAlign w:val="center"/>
          </w:tcPr>
          <w:p w14:paraId="3363DBCA" w14:textId="77777777" w:rsidR="005451F5" w:rsidRPr="00926AA1" w:rsidRDefault="005451F5" w:rsidP="00CF1337">
            <w:pPr>
              <w:spacing w:before="60" w:after="120"/>
              <w:ind w:firstLineChars="100" w:firstLine="2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18F3A48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31C64D8"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CD410BB" w14:textId="011347D3"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4E92C08E"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6EF1F3A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6498562"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035587F7" w14:textId="5BB7140F"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(5) BPS:12/14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034DCBE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20</w:t>
            </w:r>
          </w:p>
        </w:tc>
        <w:tc>
          <w:tcPr>
            <w:tcW w:w="1333" w:type="pct"/>
            <w:vAlign w:val="center"/>
          </w:tcPr>
          <w:p w14:paraId="5A930C3E"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7B81198"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D8EEFCB" w14:textId="19897C50"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(6)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4F922DDD"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5</w:t>
            </w:r>
          </w:p>
        </w:tc>
        <w:tc>
          <w:tcPr>
            <w:tcW w:w="1333" w:type="pct"/>
            <w:vAlign w:val="center"/>
          </w:tcPr>
          <w:p w14:paraId="35F65F7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No</w:t>
            </w:r>
          </w:p>
        </w:tc>
      </w:tr>
      <w:tr w:rsidR="005451F5" w:rsidRPr="004A09DF" w14:paraId="7E075AA1"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B87E01D" w14:textId="305B78ED"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26ADA7F5"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6F11196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3A34AD41"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B2CBBE9" w14:textId="403ADB43"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(7) BPS:12/14 </w:t>
            </w:r>
            <w:r w:rsidR="0043607C">
              <w:rPr>
                <w:rFonts w:asciiTheme="minorBidi" w:hAnsiTheme="minorBidi" w:cstheme="minorBidi"/>
                <w:color w:val="000000"/>
                <w:sz w:val="20"/>
              </w:rPr>
              <w:t>r</w:t>
            </w:r>
            <w:r w:rsidRPr="00926AA1">
              <w:rPr>
                <w:rFonts w:asciiTheme="minorBidi" w:hAnsiTheme="minorBidi" w:cstheme="minorBidi"/>
                <w:color w:val="000000"/>
                <w:sz w:val="20"/>
              </w:rPr>
              <w:t xml:space="preserve">espondent </w:t>
            </w:r>
          </w:p>
        </w:tc>
        <w:tc>
          <w:tcPr>
            <w:tcW w:w="1000" w:type="pct"/>
            <w:vAlign w:val="center"/>
          </w:tcPr>
          <w:p w14:paraId="7E31C95C"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320</w:t>
            </w:r>
          </w:p>
        </w:tc>
        <w:tc>
          <w:tcPr>
            <w:tcW w:w="1333" w:type="pct"/>
            <w:vAlign w:val="center"/>
          </w:tcPr>
          <w:p w14:paraId="5706C80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22A096BC" w14:textId="77777777" w:rsidTr="005451F5">
        <w:trPr>
          <w:trHeight w:val="171"/>
        </w:trPr>
        <w:tc>
          <w:tcPr>
            <w:cnfStyle w:val="001000000000" w:firstRow="0" w:lastRow="0" w:firstColumn="1" w:lastColumn="0" w:oddVBand="0" w:evenVBand="0" w:oddHBand="0" w:evenHBand="0" w:firstRowFirstColumn="0" w:firstRowLastColumn="0" w:lastRowFirstColumn="0" w:lastRowLastColumn="0"/>
            <w:tcW w:w="2667" w:type="pct"/>
            <w:noWrap/>
            <w:vAlign w:val="center"/>
          </w:tcPr>
          <w:p w14:paraId="11E761FF" w14:textId="2CFA77E7"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(8) BPS:12/14 </w:t>
            </w:r>
            <w:proofErr w:type="spellStart"/>
            <w:r w:rsidR="00A33708">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74A71CC5"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1,78</w:t>
            </w:r>
            <w:r w:rsidR="00391D72" w:rsidRPr="00926AA1">
              <w:rPr>
                <w:rFonts w:asciiTheme="minorBidi" w:hAnsiTheme="minorBidi" w:cstheme="minorBidi"/>
                <w:color w:val="000000"/>
                <w:sz w:val="20"/>
              </w:rPr>
              <w:t>5</w:t>
            </w:r>
          </w:p>
        </w:tc>
        <w:tc>
          <w:tcPr>
            <w:tcW w:w="1333" w:type="pct"/>
            <w:vAlign w:val="center"/>
          </w:tcPr>
          <w:p w14:paraId="4A07A70E"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No</w:t>
            </w:r>
          </w:p>
        </w:tc>
      </w:tr>
    </w:tbl>
    <w:p w14:paraId="05C36B30" w14:textId="3413A190" w:rsidR="005451F5" w:rsidRPr="0036453F" w:rsidRDefault="005451F5" w:rsidP="00CF1337">
      <w:pPr>
        <w:spacing w:after="120"/>
        <w:rPr>
          <w:rFonts w:asciiTheme="minorBidi" w:hAnsiTheme="minorBidi" w:cstheme="minorBidi"/>
          <w:sz w:val="16"/>
          <w:szCs w:val="16"/>
        </w:rPr>
      </w:pPr>
      <w:r w:rsidRPr="0036453F">
        <w:rPr>
          <w:rFonts w:asciiTheme="minorBidi" w:hAnsiTheme="minorBidi" w:cstheme="minorBidi"/>
          <w:sz w:val="16"/>
          <w:szCs w:val="16"/>
        </w:rPr>
        <w:t xml:space="preserve">NOTE: Detail may not sum to totals because of rounding. </w:t>
      </w:r>
      <w:r w:rsidR="00C46DBB" w:rsidRPr="0036453F">
        <w:rPr>
          <w:rFonts w:asciiTheme="minorBidi" w:hAnsiTheme="minorBidi"/>
          <w:sz w:val="16"/>
          <w:szCs w:val="16"/>
        </w:rPr>
        <w:t>The total does not include 1,6</w:t>
      </w:r>
      <w:r w:rsidR="00C11890" w:rsidRPr="0036453F">
        <w:rPr>
          <w:rFonts w:asciiTheme="minorBidi" w:hAnsiTheme="minorBidi"/>
          <w:sz w:val="16"/>
          <w:szCs w:val="16"/>
        </w:rPr>
        <w:t>30</w:t>
      </w:r>
      <w:r w:rsidR="00C46DBB" w:rsidRPr="0036453F">
        <w:rPr>
          <w:rFonts w:asciiTheme="minorBidi" w:hAnsiTheme="minorBidi"/>
          <w:sz w:val="16"/>
          <w:szCs w:val="16"/>
        </w:rPr>
        <w:t xml:space="preserve"> cases determined to be study ineligible or deceased as of BPS</w:t>
      </w:r>
      <w:proofErr w:type="gramStart"/>
      <w:r w:rsidR="00C46DBB" w:rsidRPr="0036453F">
        <w:rPr>
          <w:rFonts w:asciiTheme="minorBidi" w:hAnsiTheme="minorBidi"/>
          <w:sz w:val="16"/>
          <w:szCs w:val="16"/>
        </w:rPr>
        <w:t>:12</w:t>
      </w:r>
      <w:proofErr w:type="gramEnd"/>
      <w:r w:rsidR="00C46DBB" w:rsidRPr="0036453F">
        <w:rPr>
          <w:rFonts w:asciiTheme="minorBidi" w:hAnsiTheme="minorBidi"/>
          <w:sz w:val="16"/>
          <w:szCs w:val="16"/>
        </w:rPr>
        <w:t>/14.</w:t>
      </w:r>
      <w:r w:rsidRPr="0036453F">
        <w:rPr>
          <w:rFonts w:asciiTheme="minorBidi" w:hAnsiTheme="minorBidi" w:cstheme="minorBidi"/>
          <w:sz w:val="16"/>
          <w:szCs w:val="16"/>
        </w:rPr>
        <w:t xml:space="preserve"> Non-study members are those NPSAS</w:t>
      </w:r>
      <w:proofErr w:type="gramStart"/>
      <w:r w:rsidRPr="0036453F">
        <w:rPr>
          <w:rFonts w:asciiTheme="minorBidi" w:hAnsiTheme="minorBidi" w:cstheme="minorBidi"/>
          <w:sz w:val="16"/>
          <w:szCs w:val="16"/>
        </w:rPr>
        <w:t>:12</w:t>
      </w:r>
      <w:proofErr w:type="gramEnd"/>
      <w:r w:rsidRPr="0036453F">
        <w:rPr>
          <w:rFonts w:asciiTheme="minorBidi" w:hAnsiTheme="minorBidi" w:cstheme="minorBidi"/>
          <w:sz w:val="16"/>
          <w:szCs w:val="16"/>
        </w:rPr>
        <w:t xml:space="preserve"> sample members who, across all data sources, did not have sufficient data to support the analytic objectives of the study.</w:t>
      </w:r>
    </w:p>
    <w:p w14:paraId="2F9A8F8F" w14:textId="0840AE4B" w:rsidR="004A09DF" w:rsidRPr="0036453F" w:rsidRDefault="004A09DF" w:rsidP="00CF1337">
      <w:pPr>
        <w:spacing w:after="120"/>
        <w:rPr>
          <w:rFonts w:asciiTheme="minorBidi" w:hAnsiTheme="minorBidi" w:cstheme="minorBidi"/>
          <w:sz w:val="16"/>
          <w:szCs w:val="16"/>
        </w:rPr>
      </w:pPr>
      <w:r w:rsidRPr="0036453F">
        <w:rPr>
          <w:rFonts w:asciiTheme="minorBidi" w:hAnsiTheme="minorBidi" w:cstheme="minorBidi"/>
          <w:sz w:val="16"/>
          <w:szCs w:val="16"/>
        </w:rPr>
        <w:t>SOURCE: U.S. Department of Education, National Center for Education Statistics, 2012/17 Beginning Postsecondary Students Longitudinal Study (BPS</w:t>
      </w:r>
      <w:proofErr w:type="gramStart"/>
      <w:r w:rsidRPr="0036453F">
        <w:rPr>
          <w:rFonts w:asciiTheme="minorBidi" w:hAnsiTheme="minorBidi" w:cstheme="minorBidi"/>
          <w:sz w:val="16"/>
          <w:szCs w:val="16"/>
        </w:rPr>
        <w:t>:12</w:t>
      </w:r>
      <w:proofErr w:type="gramEnd"/>
      <w:r w:rsidRPr="0036453F">
        <w:rPr>
          <w:rFonts w:asciiTheme="minorBidi" w:hAnsiTheme="minorBidi" w:cstheme="minorBidi"/>
          <w:sz w:val="16"/>
          <w:szCs w:val="16"/>
        </w:rPr>
        <w:t>/17) Full-scale.</w:t>
      </w:r>
    </w:p>
    <w:p w14:paraId="34F3CF74" w14:textId="70169F94" w:rsidR="005451F5" w:rsidRDefault="005451F5" w:rsidP="00B64836">
      <w:pPr>
        <w:pStyle w:val="BodyText"/>
        <w:spacing w:line="240" w:lineRule="auto"/>
        <w:ind w:firstLine="0"/>
      </w:pPr>
      <w:r>
        <w:lastRenderedPageBreak/>
        <w:t>While th</w:t>
      </w:r>
      <w:r w:rsidR="00391D72">
        <w:t>e 1,790</w:t>
      </w:r>
      <w:r>
        <w:t xml:space="preserve"> sample members who did not respond to the </w:t>
      </w:r>
      <w:r w:rsidR="00A33708">
        <w:t>BPS</w:t>
      </w:r>
      <w:proofErr w:type="gramStart"/>
      <w:r w:rsidR="00A33708">
        <w:t>:12</w:t>
      </w:r>
      <w:proofErr w:type="gramEnd"/>
      <w:r w:rsidR="00A33708">
        <w:t xml:space="preserve">/14 </w:t>
      </w:r>
      <w:r>
        <w:t xml:space="preserve">interview and lacked sufficient information to be classified as NPSAS:12 study members are eligible for BPS:12/17, these sample members </w:t>
      </w:r>
      <w:r w:rsidR="00C46DBB">
        <w:t>(groups 6 and 8</w:t>
      </w:r>
      <w:r w:rsidR="00DF2EA6">
        <w:t xml:space="preserve"> in table 2</w:t>
      </w:r>
      <w:r w:rsidR="00C46DBB">
        <w:t xml:space="preserve">) </w:t>
      </w:r>
      <w:r>
        <w:t xml:space="preserve">will not be fielded for BPS:12/17. </w:t>
      </w:r>
      <w:r w:rsidR="00A33708">
        <w:t xml:space="preserve">Instead, they </w:t>
      </w:r>
      <w:r>
        <w:t xml:space="preserve">will be treated as study </w:t>
      </w:r>
      <w:proofErr w:type="spellStart"/>
      <w:r>
        <w:t>nonrespondents</w:t>
      </w:r>
      <w:proofErr w:type="spellEnd"/>
      <w:r>
        <w:t xml:space="preserve"> for purposes of response rate calculation and will be accounted </w:t>
      </w:r>
      <w:r w:rsidR="00A33708">
        <w:t xml:space="preserve">for with </w:t>
      </w:r>
      <w:r>
        <w:t xml:space="preserve">weight adjustments. </w:t>
      </w:r>
      <w:r w:rsidR="00673F9A">
        <w:t xml:space="preserve">However, for </w:t>
      </w:r>
      <w:r w:rsidR="00B64836">
        <w:t>BPS:12 S</w:t>
      </w:r>
      <w:r w:rsidR="00673F9A">
        <w:t xml:space="preserve">tudent </w:t>
      </w:r>
      <w:r w:rsidR="00B64836">
        <w:t>R</w:t>
      </w:r>
      <w:r w:rsidR="00673F9A">
        <w:t>ecord</w:t>
      </w:r>
      <w:r w:rsidR="00B64836">
        <w:t>s</w:t>
      </w:r>
      <w:r w:rsidR="00673F9A">
        <w:t xml:space="preserve"> and </w:t>
      </w:r>
      <w:r w:rsidR="00B64836">
        <w:t>PETS</w:t>
      </w:r>
      <w:r w:rsidR="00673F9A">
        <w:t xml:space="preserve">, records for all eligible sample members will be collected. </w:t>
      </w:r>
      <w:r w:rsidR="003A0478">
        <w:t>After removing 30 cases that were determined, during BPS:12/17 data collection, to be flagged as persons possibly sanctioned by the</w:t>
      </w:r>
      <w:r w:rsidR="00875689">
        <w:t xml:space="preserve"> U.S. Department of the Treasury’s</w:t>
      </w:r>
      <w:r w:rsidR="003A0478">
        <w:t xml:space="preserve"> Office of Foreign Assets Control (OFAC)</w:t>
      </w:r>
      <w:r w:rsidR="003A0478" w:rsidRPr="001A4F84">
        <w:rPr>
          <w:rStyle w:val="FootnoteReference"/>
          <w:sz w:val="24"/>
          <w:szCs w:val="24"/>
        </w:rPr>
        <w:footnoteReference w:id="3"/>
      </w:r>
      <w:r w:rsidR="003A0478">
        <w:t>, t</w:t>
      </w:r>
      <w:r>
        <w:t>he distribution of the remaining 33,7</w:t>
      </w:r>
      <w:r w:rsidR="003A0478">
        <w:t>30</w:t>
      </w:r>
      <w:r>
        <w:t xml:space="preserve"> sample members</w:t>
      </w:r>
      <w:r w:rsidR="00391D72">
        <w:t xml:space="preserve"> across institutional sector is provided in table 3.</w:t>
      </w:r>
    </w:p>
    <w:p w14:paraId="324DB764" w14:textId="77777777" w:rsidR="003A0478" w:rsidRDefault="003A0478" w:rsidP="003A0478">
      <w:pPr>
        <w:pStyle w:val="TableTitle"/>
        <w:spacing w:before="120" w:after="60"/>
        <w:ind w:left="994" w:hanging="994"/>
      </w:pPr>
      <w:bookmarkStart w:id="55" w:name="_Toc456167106"/>
      <w:r>
        <w:t>Table 3. BPS:12/17 sample size by institution characteristics: 2016</w:t>
      </w:r>
    </w:p>
    <w:tbl>
      <w:tblPr>
        <w:tblW w:w="3300" w:type="pct"/>
        <w:tblBorders>
          <w:top w:val="single" w:sz="12" w:space="0" w:color="auto"/>
          <w:bottom w:val="single" w:sz="12" w:space="0" w:color="auto"/>
        </w:tblBorders>
        <w:tblLook w:val="04A0" w:firstRow="1" w:lastRow="0" w:firstColumn="1" w:lastColumn="0" w:noHBand="0" w:noVBand="1"/>
      </w:tblPr>
      <w:tblGrid>
        <w:gridCol w:w="3819"/>
        <w:gridCol w:w="3261"/>
      </w:tblGrid>
      <w:tr w:rsidR="003A0478" w14:paraId="6A5FE228" w14:textId="77777777" w:rsidTr="003A0478">
        <w:trPr>
          <w:trHeight w:val="285"/>
          <w:tblHeader/>
        </w:trPr>
        <w:tc>
          <w:tcPr>
            <w:tcW w:w="2697" w:type="pct"/>
            <w:vMerge w:val="restart"/>
            <w:tcBorders>
              <w:top w:val="single" w:sz="12" w:space="0" w:color="auto"/>
              <w:left w:val="nil"/>
              <w:bottom w:val="single" w:sz="4" w:space="0" w:color="auto"/>
              <w:right w:val="nil"/>
            </w:tcBorders>
            <w:noWrap/>
            <w:vAlign w:val="center"/>
          </w:tcPr>
          <w:p w14:paraId="6A815463" w14:textId="77777777" w:rsidR="003A0478" w:rsidRDefault="003A0478">
            <w:pPr>
              <w:pStyle w:val="Tableheading-LEFT"/>
              <w:spacing w:before="0" w:after="0" w:line="256" w:lineRule="auto"/>
              <w:rPr>
                <w:rFonts w:asciiTheme="minorBidi" w:hAnsiTheme="minorBidi"/>
                <w:b/>
                <w:bCs/>
              </w:rPr>
            </w:pPr>
          </w:p>
          <w:p w14:paraId="7E8F4ABA" w14:textId="77777777" w:rsidR="003A0478" w:rsidRDefault="003A0478">
            <w:pPr>
              <w:pStyle w:val="Tableheading-LEFT"/>
              <w:spacing w:before="0" w:after="0" w:line="256" w:lineRule="auto"/>
              <w:rPr>
                <w:rFonts w:asciiTheme="minorBidi" w:hAnsiTheme="minorBidi"/>
                <w:b/>
                <w:bCs/>
              </w:rPr>
            </w:pPr>
            <w:r>
              <w:rPr>
                <w:rFonts w:asciiTheme="minorBidi" w:hAnsiTheme="minorBidi"/>
                <w:b/>
                <w:bCs/>
              </w:rPr>
              <w:t>Institution characteristics</w:t>
            </w:r>
          </w:p>
        </w:tc>
        <w:tc>
          <w:tcPr>
            <w:tcW w:w="2303" w:type="pct"/>
            <w:tcBorders>
              <w:top w:val="single" w:sz="12" w:space="0" w:color="auto"/>
              <w:left w:val="nil"/>
              <w:bottom w:val="nil"/>
              <w:right w:val="nil"/>
            </w:tcBorders>
          </w:tcPr>
          <w:p w14:paraId="5A32CFEF" w14:textId="77777777" w:rsidR="003A0478" w:rsidRDefault="003A0478">
            <w:pPr>
              <w:pStyle w:val="Tableheading-CENTER"/>
              <w:spacing w:before="0" w:after="0" w:line="256" w:lineRule="auto"/>
              <w:rPr>
                <w:rFonts w:asciiTheme="minorBidi" w:hAnsiTheme="minorBidi" w:cstheme="minorBidi"/>
                <w:b/>
                <w:bCs/>
              </w:rPr>
            </w:pPr>
          </w:p>
        </w:tc>
      </w:tr>
      <w:tr w:rsidR="003A0478" w14:paraId="403A2C29" w14:textId="77777777" w:rsidTr="003A0478">
        <w:trPr>
          <w:tblHeader/>
        </w:trPr>
        <w:tc>
          <w:tcPr>
            <w:tcW w:w="0" w:type="auto"/>
            <w:vMerge/>
            <w:tcBorders>
              <w:top w:val="single" w:sz="12" w:space="0" w:color="auto"/>
              <w:left w:val="nil"/>
              <w:bottom w:val="single" w:sz="4" w:space="0" w:color="auto"/>
              <w:right w:val="nil"/>
            </w:tcBorders>
            <w:vAlign w:val="center"/>
            <w:hideMark/>
          </w:tcPr>
          <w:p w14:paraId="7B740CAB" w14:textId="77777777" w:rsidR="003A0478" w:rsidRDefault="003A0478">
            <w:pPr>
              <w:spacing w:line="256" w:lineRule="auto"/>
              <w:rPr>
                <w:rFonts w:asciiTheme="minorBidi" w:eastAsiaTheme="minorHAnsi" w:hAnsiTheme="minorBidi" w:cstheme="minorBidi"/>
                <w:b/>
                <w:bCs/>
                <w:sz w:val="20"/>
              </w:rPr>
            </w:pPr>
          </w:p>
        </w:tc>
        <w:tc>
          <w:tcPr>
            <w:tcW w:w="2303" w:type="pct"/>
            <w:tcBorders>
              <w:top w:val="nil"/>
              <w:left w:val="nil"/>
              <w:bottom w:val="single" w:sz="4" w:space="0" w:color="auto"/>
              <w:right w:val="nil"/>
            </w:tcBorders>
            <w:noWrap/>
            <w:vAlign w:val="bottom"/>
            <w:hideMark/>
          </w:tcPr>
          <w:p w14:paraId="2E16EACB" w14:textId="77777777" w:rsidR="003A0478" w:rsidRDefault="003A0478">
            <w:pPr>
              <w:pStyle w:val="Tablenumbers"/>
              <w:spacing w:before="0" w:after="0" w:line="256" w:lineRule="auto"/>
              <w:rPr>
                <w:rFonts w:asciiTheme="minorBidi" w:hAnsiTheme="minorBidi" w:cstheme="minorBidi"/>
                <w:b/>
                <w:bCs/>
              </w:rPr>
            </w:pPr>
            <w:r>
              <w:rPr>
                <w:rFonts w:asciiTheme="minorBidi" w:hAnsiTheme="minorBidi" w:cstheme="minorBidi"/>
                <w:b/>
                <w:bCs/>
              </w:rPr>
              <w:t>Total</w:t>
            </w:r>
          </w:p>
        </w:tc>
      </w:tr>
      <w:tr w:rsidR="003A0478" w14:paraId="70C52751" w14:textId="77777777" w:rsidTr="003A0478">
        <w:tc>
          <w:tcPr>
            <w:tcW w:w="2697" w:type="pct"/>
            <w:tcBorders>
              <w:top w:val="nil"/>
              <w:left w:val="nil"/>
              <w:bottom w:val="nil"/>
              <w:right w:val="nil"/>
            </w:tcBorders>
            <w:noWrap/>
            <w:vAlign w:val="bottom"/>
            <w:hideMark/>
          </w:tcPr>
          <w:p w14:paraId="12BD0680" w14:textId="77777777" w:rsidR="003A0478" w:rsidRDefault="003A0478">
            <w:pPr>
              <w:pStyle w:val="5ensptotal"/>
              <w:spacing w:before="0" w:after="0" w:line="256" w:lineRule="auto"/>
              <w:rPr>
                <w:rFonts w:asciiTheme="minorBidi" w:hAnsiTheme="minorBidi" w:cstheme="minorBidi"/>
              </w:rPr>
            </w:pPr>
            <w:r>
              <w:rPr>
                <w:rFonts w:asciiTheme="minorBidi" w:hAnsiTheme="minorBidi" w:cstheme="minorBidi"/>
              </w:rPr>
              <w:t>Total</w:t>
            </w:r>
          </w:p>
        </w:tc>
        <w:tc>
          <w:tcPr>
            <w:tcW w:w="2303" w:type="pct"/>
            <w:tcBorders>
              <w:top w:val="nil"/>
              <w:left w:val="nil"/>
              <w:bottom w:val="nil"/>
              <w:right w:val="nil"/>
            </w:tcBorders>
            <w:noWrap/>
            <w:vAlign w:val="bottom"/>
            <w:hideMark/>
          </w:tcPr>
          <w:p w14:paraId="78AF1BA9"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33,730</w:t>
            </w:r>
          </w:p>
        </w:tc>
      </w:tr>
      <w:tr w:rsidR="003A0478" w14:paraId="6980E103" w14:textId="77777777" w:rsidTr="003A0478">
        <w:trPr>
          <w:trHeight w:hRule="exact" w:val="73"/>
        </w:trPr>
        <w:tc>
          <w:tcPr>
            <w:tcW w:w="2697" w:type="pct"/>
            <w:tcBorders>
              <w:top w:val="nil"/>
              <w:left w:val="nil"/>
              <w:bottom w:val="nil"/>
              <w:right w:val="nil"/>
            </w:tcBorders>
            <w:noWrap/>
            <w:vAlign w:val="bottom"/>
            <w:hideMark/>
          </w:tcPr>
          <w:p w14:paraId="56823141" w14:textId="77777777" w:rsidR="003A0478" w:rsidRDefault="003A0478">
            <w:pPr>
              <w:rPr>
                <w:rFonts w:asciiTheme="minorBidi" w:hAnsiTheme="minorBidi" w:cstheme="minorBidi"/>
              </w:rPr>
            </w:pPr>
          </w:p>
        </w:tc>
        <w:tc>
          <w:tcPr>
            <w:tcW w:w="2303" w:type="pct"/>
            <w:tcBorders>
              <w:top w:val="nil"/>
              <w:left w:val="nil"/>
              <w:bottom w:val="nil"/>
              <w:right w:val="nil"/>
            </w:tcBorders>
            <w:noWrap/>
            <w:vAlign w:val="bottom"/>
            <w:hideMark/>
          </w:tcPr>
          <w:p w14:paraId="5BA87AEE" w14:textId="77777777" w:rsidR="003A0478" w:rsidRDefault="003A0478">
            <w:pPr>
              <w:spacing w:line="256" w:lineRule="auto"/>
              <w:rPr>
                <w:rFonts w:asciiTheme="minorHAnsi" w:eastAsiaTheme="minorHAnsi" w:hAnsiTheme="minorHAnsi" w:cstheme="minorBidi"/>
                <w:sz w:val="20"/>
              </w:rPr>
            </w:pPr>
          </w:p>
        </w:tc>
      </w:tr>
      <w:tr w:rsidR="003A0478" w14:paraId="2235601A" w14:textId="77777777" w:rsidTr="003A0478">
        <w:tc>
          <w:tcPr>
            <w:tcW w:w="2697" w:type="pct"/>
            <w:tcBorders>
              <w:top w:val="nil"/>
              <w:left w:val="nil"/>
              <w:bottom w:val="nil"/>
              <w:right w:val="nil"/>
            </w:tcBorders>
            <w:noWrap/>
            <w:vAlign w:val="bottom"/>
            <w:hideMark/>
          </w:tcPr>
          <w:p w14:paraId="10452727" w14:textId="77777777" w:rsidR="003A0478" w:rsidRDefault="003A0478">
            <w:pPr>
              <w:pStyle w:val="Tabletext"/>
              <w:spacing w:before="0" w:after="0" w:line="256" w:lineRule="auto"/>
              <w:rPr>
                <w:rFonts w:asciiTheme="minorBidi" w:eastAsiaTheme="minorHAnsi" w:hAnsiTheme="minorBidi" w:cstheme="minorBidi"/>
              </w:rPr>
            </w:pPr>
            <w:r>
              <w:rPr>
                <w:rFonts w:asciiTheme="minorBidi" w:hAnsiTheme="minorBidi"/>
              </w:rPr>
              <w:t>Institution type</w:t>
            </w:r>
          </w:p>
        </w:tc>
        <w:tc>
          <w:tcPr>
            <w:tcW w:w="2303" w:type="pct"/>
            <w:tcBorders>
              <w:top w:val="nil"/>
              <w:left w:val="nil"/>
              <w:bottom w:val="nil"/>
              <w:right w:val="nil"/>
            </w:tcBorders>
            <w:noWrap/>
            <w:vAlign w:val="bottom"/>
            <w:hideMark/>
          </w:tcPr>
          <w:p w14:paraId="47FBCEB2" w14:textId="77777777" w:rsidR="003A0478" w:rsidRDefault="003A0478">
            <w:pPr>
              <w:rPr>
                <w:rFonts w:asciiTheme="minorBidi" w:hAnsiTheme="minorBidi"/>
              </w:rPr>
            </w:pPr>
          </w:p>
        </w:tc>
      </w:tr>
      <w:tr w:rsidR="003A0478" w14:paraId="1A1EDBEE" w14:textId="77777777" w:rsidTr="003A0478">
        <w:tc>
          <w:tcPr>
            <w:tcW w:w="2697" w:type="pct"/>
            <w:tcBorders>
              <w:top w:val="nil"/>
              <w:left w:val="nil"/>
              <w:bottom w:val="nil"/>
              <w:right w:val="nil"/>
            </w:tcBorders>
            <w:noWrap/>
            <w:vAlign w:val="bottom"/>
            <w:hideMark/>
          </w:tcPr>
          <w:p w14:paraId="74B48C53" w14:textId="77777777" w:rsidR="003A0478" w:rsidRDefault="003A0478">
            <w:pPr>
              <w:pStyle w:val="2enspsubgroup1"/>
              <w:spacing w:before="0" w:after="0" w:line="256" w:lineRule="auto"/>
              <w:rPr>
                <w:rFonts w:asciiTheme="minorBidi" w:eastAsiaTheme="minorHAnsi" w:hAnsiTheme="minorBidi" w:cstheme="minorBidi"/>
              </w:rPr>
            </w:pPr>
            <w:r>
              <w:rPr>
                <w:rFonts w:asciiTheme="minorBidi" w:hAnsiTheme="minorBidi"/>
              </w:rPr>
              <w:t>Public</w:t>
            </w:r>
          </w:p>
        </w:tc>
        <w:tc>
          <w:tcPr>
            <w:tcW w:w="2303" w:type="pct"/>
            <w:tcBorders>
              <w:top w:val="nil"/>
              <w:left w:val="nil"/>
              <w:bottom w:val="nil"/>
              <w:right w:val="nil"/>
            </w:tcBorders>
            <w:noWrap/>
            <w:vAlign w:val="bottom"/>
            <w:hideMark/>
          </w:tcPr>
          <w:p w14:paraId="4D7845E9" w14:textId="77777777" w:rsidR="003A0478" w:rsidRDefault="003A0478">
            <w:pPr>
              <w:rPr>
                <w:rFonts w:asciiTheme="minorBidi" w:hAnsiTheme="minorBidi"/>
              </w:rPr>
            </w:pPr>
          </w:p>
        </w:tc>
      </w:tr>
      <w:tr w:rsidR="003A0478" w14:paraId="50673876" w14:textId="77777777" w:rsidTr="003A0478">
        <w:tc>
          <w:tcPr>
            <w:tcW w:w="2697" w:type="pct"/>
            <w:tcBorders>
              <w:top w:val="nil"/>
              <w:left w:val="nil"/>
              <w:bottom w:val="nil"/>
              <w:right w:val="nil"/>
            </w:tcBorders>
            <w:noWrap/>
            <w:vAlign w:val="bottom"/>
            <w:hideMark/>
          </w:tcPr>
          <w:p w14:paraId="2CE7FC99" w14:textId="77777777" w:rsidR="003A0478" w:rsidRDefault="003A0478">
            <w:pPr>
              <w:pStyle w:val="4enspsubgroup2"/>
              <w:spacing w:before="0" w:after="0" w:line="256" w:lineRule="auto"/>
              <w:rPr>
                <w:rFonts w:asciiTheme="minorBidi" w:eastAsiaTheme="minorHAnsi" w:hAnsiTheme="minorBidi" w:cstheme="minorBidi"/>
              </w:rPr>
            </w:pPr>
            <w:r>
              <w:rPr>
                <w:rFonts w:asciiTheme="minorBidi" w:hAnsiTheme="minorBidi"/>
              </w:rPr>
              <w:t>Less-than-2-year</w:t>
            </w:r>
          </w:p>
        </w:tc>
        <w:tc>
          <w:tcPr>
            <w:tcW w:w="2303" w:type="pct"/>
            <w:tcBorders>
              <w:top w:val="nil"/>
              <w:left w:val="nil"/>
              <w:bottom w:val="nil"/>
              <w:right w:val="nil"/>
            </w:tcBorders>
            <w:noWrap/>
            <w:vAlign w:val="bottom"/>
            <w:hideMark/>
          </w:tcPr>
          <w:p w14:paraId="5AD249D4"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210</w:t>
            </w:r>
          </w:p>
        </w:tc>
      </w:tr>
      <w:tr w:rsidR="003A0478" w14:paraId="58AF2EA3" w14:textId="77777777" w:rsidTr="003A0478">
        <w:trPr>
          <w:trHeight w:val="234"/>
        </w:trPr>
        <w:tc>
          <w:tcPr>
            <w:tcW w:w="2697" w:type="pct"/>
            <w:tcBorders>
              <w:top w:val="nil"/>
              <w:left w:val="nil"/>
              <w:bottom w:val="nil"/>
              <w:right w:val="nil"/>
            </w:tcBorders>
            <w:noWrap/>
            <w:vAlign w:val="bottom"/>
            <w:hideMark/>
          </w:tcPr>
          <w:p w14:paraId="22EDD6AB"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2-year</w:t>
            </w:r>
          </w:p>
        </w:tc>
        <w:tc>
          <w:tcPr>
            <w:tcW w:w="2303" w:type="pct"/>
            <w:tcBorders>
              <w:top w:val="nil"/>
              <w:left w:val="nil"/>
              <w:bottom w:val="nil"/>
              <w:right w:val="nil"/>
            </w:tcBorders>
            <w:noWrap/>
            <w:vAlign w:val="bottom"/>
            <w:hideMark/>
          </w:tcPr>
          <w:p w14:paraId="195122C2"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10,140</w:t>
            </w:r>
          </w:p>
        </w:tc>
      </w:tr>
      <w:tr w:rsidR="003A0478" w14:paraId="2F18E31C" w14:textId="77777777" w:rsidTr="003A0478">
        <w:tc>
          <w:tcPr>
            <w:tcW w:w="2697" w:type="pct"/>
            <w:tcBorders>
              <w:top w:val="nil"/>
              <w:left w:val="nil"/>
              <w:bottom w:val="nil"/>
              <w:right w:val="nil"/>
            </w:tcBorders>
            <w:noWrap/>
            <w:vAlign w:val="bottom"/>
            <w:hideMark/>
          </w:tcPr>
          <w:p w14:paraId="539D0BF7"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4-year non-doctorate-granting</w:t>
            </w:r>
          </w:p>
        </w:tc>
        <w:tc>
          <w:tcPr>
            <w:tcW w:w="2303" w:type="pct"/>
            <w:tcBorders>
              <w:top w:val="nil"/>
              <w:left w:val="nil"/>
              <w:bottom w:val="nil"/>
              <w:right w:val="nil"/>
            </w:tcBorders>
            <w:noWrap/>
            <w:vAlign w:val="bottom"/>
            <w:hideMark/>
          </w:tcPr>
          <w:p w14:paraId="4AE0DA06"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1,830</w:t>
            </w:r>
          </w:p>
        </w:tc>
      </w:tr>
      <w:tr w:rsidR="003A0478" w14:paraId="648A8558" w14:textId="77777777" w:rsidTr="003A0478">
        <w:tc>
          <w:tcPr>
            <w:tcW w:w="2697" w:type="pct"/>
            <w:tcBorders>
              <w:top w:val="nil"/>
              <w:left w:val="nil"/>
              <w:bottom w:val="nil"/>
              <w:right w:val="nil"/>
            </w:tcBorders>
            <w:noWrap/>
            <w:vAlign w:val="bottom"/>
            <w:hideMark/>
          </w:tcPr>
          <w:p w14:paraId="68CD7539"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4-year doctorate-granting</w:t>
            </w:r>
          </w:p>
        </w:tc>
        <w:tc>
          <w:tcPr>
            <w:tcW w:w="2303" w:type="pct"/>
            <w:tcBorders>
              <w:top w:val="nil"/>
              <w:left w:val="nil"/>
              <w:bottom w:val="nil"/>
              <w:right w:val="nil"/>
            </w:tcBorders>
            <w:noWrap/>
            <w:vAlign w:val="bottom"/>
            <w:hideMark/>
          </w:tcPr>
          <w:p w14:paraId="2D16F38F"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3,400</w:t>
            </w:r>
          </w:p>
        </w:tc>
      </w:tr>
      <w:tr w:rsidR="003A0478" w14:paraId="155E5C00" w14:textId="77777777" w:rsidTr="003A0478">
        <w:tc>
          <w:tcPr>
            <w:tcW w:w="2697" w:type="pct"/>
            <w:tcBorders>
              <w:top w:val="nil"/>
              <w:left w:val="nil"/>
              <w:bottom w:val="nil"/>
              <w:right w:val="nil"/>
            </w:tcBorders>
            <w:noWrap/>
            <w:vAlign w:val="bottom"/>
            <w:hideMark/>
          </w:tcPr>
          <w:p w14:paraId="312A7D5A" w14:textId="77777777" w:rsidR="003A0478" w:rsidRDefault="003A0478">
            <w:pPr>
              <w:pStyle w:val="2enspsubgroup1"/>
              <w:spacing w:before="0" w:after="0" w:line="256" w:lineRule="auto"/>
              <w:rPr>
                <w:rFonts w:asciiTheme="minorBidi" w:hAnsiTheme="minorBidi" w:cstheme="minorBidi"/>
              </w:rPr>
            </w:pPr>
            <w:r>
              <w:rPr>
                <w:rFonts w:asciiTheme="minorBidi" w:hAnsiTheme="minorBidi"/>
              </w:rPr>
              <w:t>Private nonprofit</w:t>
            </w:r>
          </w:p>
        </w:tc>
        <w:tc>
          <w:tcPr>
            <w:tcW w:w="2303" w:type="pct"/>
            <w:tcBorders>
              <w:top w:val="nil"/>
              <w:left w:val="nil"/>
              <w:bottom w:val="nil"/>
              <w:right w:val="nil"/>
            </w:tcBorders>
            <w:noWrap/>
            <w:vAlign w:val="bottom"/>
            <w:hideMark/>
          </w:tcPr>
          <w:p w14:paraId="4617AD40" w14:textId="77777777" w:rsidR="003A0478" w:rsidRDefault="003A0478">
            <w:pPr>
              <w:rPr>
                <w:rFonts w:asciiTheme="minorBidi" w:hAnsiTheme="minorBidi"/>
              </w:rPr>
            </w:pPr>
          </w:p>
        </w:tc>
      </w:tr>
      <w:tr w:rsidR="003A0478" w14:paraId="241A8683" w14:textId="77777777" w:rsidTr="003A0478">
        <w:tc>
          <w:tcPr>
            <w:tcW w:w="2697" w:type="pct"/>
            <w:tcBorders>
              <w:top w:val="nil"/>
              <w:left w:val="nil"/>
              <w:bottom w:val="nil"/>
              <w:right w:val="nil"/>
            </w:tcBorders>
            <w:noWrap/>
            <w:vAlign w:val="bottom"/>
            <w:hideMark/>
          </w:tcPr>
          <w:p w14:paraId="5FFC271E" w14:textId="77777777" w:rsidR="003A0478" w:rsidRDefault="003A0478">
            <w:pPr>
              <w:pStyle w:val="4enspsubgroup2"/>
              <w:spacing w:before="0" w:after="0" w:line="256" w:lineRule="auto"/>
              <w:rPr>
                <w:rFonts w:asciiTheme="minorBidi" w:eastAsiaTheme="minorHAnsi" w:hAnsiTheme="minorBidi" w:cstheme="minorBidi"/>
              </w:rPr>
            </w:pPr>
            <w:r>
              <w:rPr>
                <w:rFonts w:asciiTheme="minorBidi" w:hAnsiTheme="minorBidi"/>
              </w:rPr>
              <w:t>Less-than-4-year</w:t>
            </w:r>
          </w:p>
        </w:tc>
        <w:tc>
          <w:tcPr>
            <w:tcW w:w="2303" w:type="pct"/>
            <w:tcBorders>
              <w:top w:val="nil"/>
              <w:left w:val="nil"/>
              <w:bottom w:val="nil"/>
              <w:right w:val="nil"/>
            </w:tcBorders>
            <w:noWrap/>
            <w:vAlign w:val="bottom"/>
            <w:hideMark/>
          </w:tcPr>
          <w:p w14:paraId="67758FCD"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330</w:t>
            </w:r>
          </w:p>
        </w:tc>
      </w:tr>
      <w:tr w:rsidR="003A0478" w14:paraId="188D5969" w14:textId="77777777" w:rsidTr="003A0478">
        <w:tc>
          <w:tcPr>
            <w:tcW w:w="2697" w:type="pct"/>
            <w:tcBorders>
              <w:top w:val="nil"/>
              <w:left w:val="nil"/>
              <w:bottom w:val="nil"/>
              <w:right w:val="nil"/>
            </w:tcBorders>
            <w:noWrap/>
            <w:vAlign w:val="bottom"/>
            <w:hideMark/>
          </w:tcPr>
          <w:p w14:paraId="28A71DAB"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4-year non-doctorate-granting</w:t>
            </w:r>
          </w:p>
        </w:tc>
        <w:tc>
          <w:tcPr>
            <w:tcW w:w="2303" w:type="pct"/>
            <w:tcBorders>
              <w:top w:val="nil"/>
              <w:left w:val="nil"/>
              <w:bottom w:val="nil"/>
              <w:right w:val="nil"/>
            </w:tcBorders>
            <w:noWrap/>
            <w:vAlign w:val="bottom"/>
            <w:hideMark/>
          </w:tcPr>
          <w:p w14:paraId="2E29E6F0"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2,280</w:t>
            </w:r>
          </w:p>
        </w:tc>
      </w:tr>
      <w:tr w:rsidR="003A0478" w14:paraId="72970F87" w14:textId="77777777" w:rsidTr="003A0478">
        <w:tc>
          <w:tcPr>
            <w:tcW w:w="2697" w:type="pct"/>
            <w:tcBorders>
              <w:top w:val="nil"/>
              <w:left w:val="nil"/>
              <w:bottom w:val="nil"/>
              <w:right w:val="nil"/>
            </w:tcBorders>
            <w:noWrap/>
            <w:vAlign w:val="bottom"/>
            <w:hideMark/>
          </w:tcPr>
          <w:p w14:paraId="01ABCAEB"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4-year doctorate-granting</w:t>
            </w:r>
          </w:p>
        </w:tc>
        <w:tc>
          <w:tcPr>
            <w:tcW w:w="2303" w:type="pct"/>
            <w:tcBorders>
              <w:top w:val="nil"/>
              <w:left w:val="nil"/>
              <w:bottom w:val="nil"/>
              <w:right w:val="nil"/>
            </w:tcBorders>
            <w:noWrap/>
            <w:vAlign w:val="bottom"/>
            <w:hideMark/>
          </w:tcPr>
          <w:p w14:paraId="36944E92"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2,600</w:t>
            </w:r>
          </w:p>
        </w:tc>
      </w:tr>
      <w:tr w:rsidR="003A0478" w14:paraId="10D990A7" w14:textId="77777777" w:rsidTr="003A0478">
        <w:tc>
          <w:tcPr>
            <w:tcW w:w="2697" w:type="pct"/>
            <w:tcBorders>
              <w:top w:val="nil"/>
              <w:left w:val="nil"/>
              <w:bottom w:val="nil"/>
              <w:right w:val="nil"/>
            </w:tcBorders>
            <w:noWrap/>
            <w:vAlign w:val="bottom"/>
            <w:hideMark/>
          </w:tcPr>
          <w:p w14:paraId="283BB2BE" w14:textId="77777777" w:rsidR="003A0478" w:rsidRDefault="003A0478">
            <w:pPr>
              <w:pStyle w:val="2enspsubgroup1"/>
              <w:spacing w:before="0" w:after="0" w:line="256" w:lineRule="auto"/>
              <w:rPr>
                <w:rFonts w:asciiTheme="minorBidi" w:hAnsiTheme="minorBidi" w:cstheme="minorBidi"/>
              </w:rPr>
            </w:pPr>
            <w:r>
              <w:rPr>
                <w:rFonts w:asciiTheme="minorBidi" w:hAnsiTheme="minorBidi"/>
              </w:rPr>
              <w:t>Private for-profit</w:t>
            </w:r>
          </w:p>
        </w:tc>
        <w:tc>
          <w:tcPr>
            <w:tcW w:w="2303" w:type="pct"/>
            <w:tcBorders>
              <w:top w:val="nil"/>
              <w:left w:val="nil"/>
              <w:bottom w:val="nil"/>
              <w:right w:val="nil"/>
            </w:tcBorders>
            <w:noWrap/>
            <w:vAlign w:val="bottom"/>
            <w:hideMark/>
          </w:tcPr>
          <w:p w14:paraId="1544F0E0" w14:textId="77777777" w:rsidR="003A0478" w:rsidRDefault="003A0478">
            <w:pPr>
              <w:rPr>
                <w:rFonts w:asciiTheme="minorBidi" w:hAnsiTheme="minorBidi"/>
              </w:rPr>
            </w:pPr>
          </w:p>
        </w:tc>
      </w:tr>
      <w:tr w:rsidR="003A0478" w14:paraId="5CFD0F15" w14:textId="77777777" w:rsidTr="003A0478">
        <w:tc>
          <w:tcPr>
            <w:tcW w:w="2697" w:type="pct"/>
            <w:tcBorders>
              <w:top w:val="nil"/>
              <w:left w:val="nil"/>
              <w:bottom w:val="nil"/>
              <w:right w:val="nil"/>
            </w:tcBorders>
            <w:noWrap/>
            <w:vAlign w:val="bottom"/>
            <w:hideMark/>
          </w:tcPr>
          <w:p w14:paraId="058F10E4" w14:textId="77777777" w:rsidR="003A0478" w:rsidRDefault="003A0478">
            <w:pPr>
              <w:pStyle w:val="4enspsubgroup2"/>
              <w:spacing w:before="0" w:after="0" w:line="256" w:lineRule="auto"/>
              <w:rPr>
                <w:rFonts w:asciiTheme="minorBidi" w:eastAsiaTheme="minorHAnsi" w:hAnsiTheme="minorBidi" w:cstheme="minorBidi"/>
              </w:rPr>
            </w:pPr>
            <w:r>
              <w:rPr>
                <w:rFonts w:asciiTheme="minorBidi" w:hAnsiTheme="minorBidi"/>
              </w:rPr>
              <w:t>Less-than-2-year</w:t>
            </w:r>
          </w:p>
        </w:tc>
        <w:tc>
          <w:tcPr>
            <w:tcW w:w="2303" w:type="pct"/>
            <w:tcBorders>
              <w:top w:val="nil"/>
              <w:left w:val="nil"/>
              <w:bottom w:val="nil"/>
              <w:right w:val="nil"/>
            </w:tcBorders>
            <w:noWrap/>
            <w:vAlign w:val="bottom"/>
            <w:hideMark/>
          </w:tcPr>
          <w:p w14:paraId="5C87B379"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1,460</w:t>
            </w:r>
          </w:p>
        </w:tc>
      </w:tr>
      <w:tr w:rsidR="003A0478" w14:paraId="4C550AEA" w14:textId="77777777" w:rsidTr="003A0478">
        <w:tc>
          <w:tcPr>
            <w:tcW w:w="2697" w:type="pct"/>
            <w:tcBorders>
              <w:top w:val="nil"/>
              <w:left w:val="nil"/>
              <w:bottom w:val="nil"/>
              <w:right w:val="nil"/>
            </w:tcBorders>
            <w:noWrap/>
            <w:vAlign w:val="bottom"/>
            <w:hideMark/>
          </w:tcPr>
          <w:p w14:paraId="73388892"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2-year</w:t>
            </w:r>
          </w:p>
        </w:tc>
        <w:tc>
          <w:tcPr>
            <w:tcW w:w="2303" w:type="pct"/>
            <w:tcBorders>
              <w:top w:val="nil"/>
              <w:left w:val="nil"/>
              <w:bottom w:val="nil"/>
              <w:right w:val="nil"/>
            </w:tcBorders>
            <w:noWrap/>
            <w:vAlign w:val="bottom"/>
            <w:hideMark/>
          </w:tcPr>
          <w:p w14:paraId="5ADC311D"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3,130</w:t>
            </w:r>
          </w:p>
        </w:tc>
      </w:tr>
      <w:tr w:rsidR="003A0478" w14:paraId="336177C7" w14:textId="77777777" w:rsidTr="003A0478">
        <w:tc>
          <w:tcPr>
            <w:tcW w:w="2697" w:type="pct"/>
            <w:tcBorders>
              <w:top w:val="nil"/>
              <w:left w:val="nil"/>
              <w:bottom w:val="single" w:sz="12" w:space="0" w:color="auto"/>
              <w:right w:val="nil"/>
            </w:tcBorders>
            <w:noWrap/>
            <w:vAlign w:val="bottom"/>
            <w:hideMark/>
          </w:tcPr>
          <w:p w14:paraId="759083A1" w14:textId="77777777" w:rsidR="003A0478" w:rsidRDefault="003A0478">
            <w:pPr>
              <w:pStyle w:val="4enspsubgroup2"/>
              <w:spacing w:before="0" w:after="0" w:line="256" w:lineRule="auto"/>
              <w:rPr>
                <w:rFonts w:asciiTheme="minorBidi" w:hAnsiTheme="minorBidi" w:cstheme="minorBidi"/>
              </w:rPr>
            </w:pPr>
            <w:r>
              <w:rPr>
                <w:rFonts w:asciiTheme="minorBidi" w:hAnsiTheme="minorBidi"/>
              </w:rPr>
              <w:t>4-year</w:t>
            </w:r>
          </w:p>
        </w:tc>
        <w:tc>
          <w:tcPr>
            <w:tcW w:w="2303" w:type="pct"/>
            <w:tcBorders>
              <w:top w:val="nil"/>
              <w:left w:val="nil"/>
              <w:bottom w:val="single" w:sz="12" w:space="0" w:color="auto"/>
              <w:right w:val="nil"/>
            </w:tcBorders>
            <w:noWrap/>
            <w:vAlign w:val="bottom"/>
            <w:hideMark/>
          </w:tcPr>
          <w:p w14:paraId="4416A269" w14:textId="77777777" w:rsidR="003A0478" w:rsidRDefault="003A0478">
            <w:pPr>
              <w:pStyle w:val="Tablenumbers"/>
              <w:spacing w:before="0" w:after="0" w:line="256" w:lineRule="auto"/>
              <w:rPr>
                <w:rFonts w:asciiTheme="minorBidi" w:hAnsiTheme="minorBidi" w:cstheme="minorBidi"/>
              </w:rPr>
            </w:pPr>
            <w:r>
              <w:rPr>
                <w:rFonts w:asciiTheme="minorBidi" w:hAnsiTheme="minorBidi" w:cstheme="minorBidi"/>
                <w:color w:val="000000"/>
              </w:rPr>
              <w:t>8,340</w:t>
            </w:r>
          </w:p>
        </w:tc>
      </w:tr>
    </w:tbl>
    <w:p w14:paraId="3D3CDAC5" w14:textId="77777777" w:rsidR="003A0478" w:rsidRPr="0036453F" w:rsidRDefault="003A0478" w:rsidP="003A0478">
      <w:pPr>
        <w:rPr>
          <w:rFonts w:asciiTheme="minorBidi" w:hAnsiTheme="minorBidi" w:cstheme="minorBidi"/>
          <w:sz w:val="16"/>
          <w:szCs w:val="16"/>
        </w:rPr>
      </w:pPr>
      <w:r w:rsidRPr="0036453F">
        <w:rPr>
          <w:rFonts w:asciiTheme="minorBidi" w:hAnsiTheme="minorBidi" w:cstheme="minorBidi"/>
          <w:sz w:val="16"/>
          <w:szCs w:val="16"/>
        </w:rPr>
        <w:t>NOTE: Detail may not sum to totals because of rounding.</w:t>
      </w:r>
    </w:p>
    <w:p w14:paraId="62A18A5C" w14:textId="77777777" w:rsidR="003A0478" w:rsidRPr="0036453F" w:rsidRDefault="003A0478" w:rsidP="003A0478">
      <w:pPr>
        <w:rPr>
          <w:rFonts w:asciiTheme="minorBidi" w:hAnsiTheme="minorBidi" w:cstheme="minorBidi"/>
          <w:sz w:val="16"/>
          <w:szCs w:val="16"/>
        </w:rPr>
      </w:pPr>
      <w:r w:rsidRPr="0036453F">
        <w:rPr>
          <w:rFonts w:asciiTheme="minorBidi" w:hAnsiTheme="minorBidi" w:cstheme="minorBidi"/>
          <w:sz w:val="16"/>
          <w:szCs w:val="16"/>
        </w:rPr>
        <w:t>SOURCE: U.S. Department of Education, National Center for Education Statistics,</w:t>
      </w:r>
    </w:p>
    <w:p w14:paraId="6A45E09C" w14:textId="77777777" w:rsidR="003A0478" w:rsidRPr="0036453F" w:rsidRDefault="003A0478" w:rsidP="003A0478">
      <w:pPr>
        <w:rPr>
          <w:rFonts w:asciiTheme="minorBidi" w:hAnsiTheme="minorBidi" w:cstheme="minorBidi"/>
          <w:sz w:val="16"/>
          <w:szCs w:val="16"/>
        </w:rPr>
      </w:pPr>
      <w:r w:rsidRPr="0036453F">
        <w:rPr>
          <w:rFonts w:asciiTheme="minorBidi" w:hAnsiTheme="minorBidi" w:cstheme="minorBidi"/>
          <w:sz w:val="16"/>
          <w:szCs w:val="16"/>
        </w:rPr>
        <w:t>2012/17 Beginning Postsecondary Students Longitudinal Study (BPS</w:t>
      </w:r>
      <w:proofErr w:type="gramStart"/>
      <w:r w:rsidRPr="0036453F">
        <w:rPr>
          <w:rFonts w:asciiTheme="minorBidi" w:hAnsiTheme="minorBidi" w:cstheme="minorBidi"/>
          <w:sz w:val="16"/>
          <w:szCs w:val="16"/>
        </w:rPr>
        <w:t>:12</w:t>
      </w:r>
      <w:proofErr w:type="gramEnd"/>
      <w:r w:rsidRPr="0036453F">
        <w:rPr>
          <w:rFonts w:asciiTheme="minorBidi" w:hAnsiTheme="minorBidi" w:cstheme="minorBidi"/>
          <w:sz w:val="16"/>
          <w:szCs w:val="16"/>
        </w:rPr>
        <w:t>/17) Full-scale.</w:t>
      </w:r>
    </w:p>
    <w:p w14:paraId="61D59AD4" w14:textId="759BCDB5" w:rsidR="007F0351" w:rsidRPr="0009636B" w:rsidRDefault="009B32B0" w:rsidP="009B32B0">
      <w:pPr>
        <w:pStyle w:val="Heading3"/>
        <w:spacing w:line="240" w:lineRule="auto"/>
        <w:rPr>
          <w:b w:val="0"/>
          <w:bCs w:val="0"/>
          <w:i/>
          <w:iCs/>
          <w:sz w:val="22"/>
          <w:szCs w:val="22"/>
        </w:rPr>
      </w:pPr>
      <w:bookmarkStart w:id="56" w:name="_Toc459815562"/>
      <w:bookmarkEnd w:id="55"/>
      <w:r>
        <w:rPr>
          <w:b w:val="0"/>
          <w:bCs w:val="0"/>
          <w:i/>
          <w:iCs/>
          <w:sz w:val="22"/>
          <w:szCs w:val="22"/>
        </w:rPr>
        <w:t>BPS</w:t>
      </w:r>
      <w:proofErr w:type="gramStart"/>
      <w:r>
        <w:rPr>
          <w:b w:val="0"/>
          <w:bCs w:val="0"/>
          <w:i/>
          <w:iCs/>
          <w:sz w:val="22"/>
          <w:szCs w:val="22"/>
        </w:rPr>
        <w:t>:12</w:t>
      </w:r>
      <w:proofErr w:type="gramEnd"/>
      <w:r>
        <w:rPr>
          <w:b w:val="0"/>
          <w:bCs w:val="0"/>
          <w:i/>
          <w:iCs/>
          <w:sz w:val="22"/>
          <w:szCs w:val="22"/>
        </w:rPr>
        <w:t xml:space="preserve"> </w:t>
      </w:r>
      <w:r w:rsidR="007F0351" w:rsidRPr="0009636B">
        <w:rPr>
          <w:b w:val="0"/>
          <w:bCs w:val="0"/>
          <w:i/>
          <w:iCs/>
          <w:sz w:val="22"/>
          <w:szCs w:val="22"/>
        </w:rPr>
        <w:t xml:space="preserve">Student Records </w:t>
      </w:r>
      <w:r w:rsidR="00251904" w:rsidRPr="0009636B">
        <w:rPr>
          <w:b w:val="0"/>
          <w:bCs w:val="0"/>
          <w:i/>
          <w:iCs/>
          <w:sz w:val="22"/>
          <w:szCs w:val="22"/>
        </w:rPr>
        <w:t xml:space="preserve">and </w:t>
      </w:r>
      <w:r>
        <w:rPr>
          <w:b w:val="0"/>
          <w:bCs w:val="0"/>
          <w:i/>
          <w:iCs/>
          <w:sz w:val="22"/>
          <w:szCs w:val="22"/>
        </w:rPr>
        <w:t xml:space="preserve">PETS </w:t>
      </w:r>
      <w:r w:rsidR="004539E3" w:rsidRPr="0009636B">
        <w:rPr>
          <w:b w:val="0"/>
          <w:bCs w:val="0"/>
          <w:i/>
          <w:iCs/>
          <w:sz w:val="22"/>
          <w:szCs w:val="22"/>
        </w:rPr>
        <w:t>S</w:t>
      </w:r>
      <w:r w:rsidR="007F0351" w:rsidRPr="0009636B">
        <w:rPr>
          <w:b w:val="0"/>
          <w:bCs w:val="0"/>
          <w:i/>
          <w:iCs/>
          <w:sz w:val="22"/>
          <w:szCs w:val="22"/>
        </w:rPr>
        <w:t>ample</w:t>
      </w:r>
      <w:r w:rsidR="00251904" w:rsidRPr="0009636B">
        <w:rPr>
          <w:b w:val="0"/>
          <w:bCs w:val="0"/>
          <w:i/>
          <w:iCs/>
          <w:sz w:val="22"/>
          <w:szCs w:val="22"/>
        </w:rPr>
        <w:t>s</w:t>
      </w:r>
      <w:bookmarkEnd w:id="56"/>
    </w:p>
    <w:p w14:paraId="451FEDF8" w14:textId="77777777" w:rsidR="00F52E30" w:rsidRDefault="00F667D6" w:rsidP="009B32B0">
      <w:pPr>
        <w:pStyle w:val="BodyTextnoindent0"/>
        <w:rPr>
          <w:rFonts w:asciiTheme="majorBidi" w:hAnsiTheme="majorBidi" w:cstheme="majorBidi"/>
        </w:rPr>
      </w:pPr>
      <w:r w:rsidRPr="00B2090B">
        <w:rPr>
          <w:rFonts w:asciiTheme="majorBidi" w:hAnsiTheme="majorBidi" w:cstheme="majorBidi"/>
          <w:b/>
          <w:bCs/>
        </w:rPr>
        <w:t xml:space="preserve">Student </w:t>
      </w:r>
      <w:r w:rsidR="009B32B0">
        <w:rPr>
          <w:rFonts w:asciiTheme="majorBidi" w:hAnsiTheme="majorBidi" w:cstheme="majorBidi"/>
          <w:b/>
          <w:bCs/>
        </w:rPr>
        <w:t xml:space="preserve">Records </w:t>
      </w:r>
      <w:r w:rsidRPr="00B2090B">
        <w:rPr>
          <w:rFonts w:asciiTheme="majorBidi" w:hAnsiTheme="majorBidi" w:cstheme="majorBidi"/>
          <w:b/>
          <w:bCs/>
        </w:rPr>
        <w:t xml:space="preserve">Sample. </w:t>
      </w:r>
      <w:r w:rsidRPr="00B2090B">
        <w:rPr>
          <w:rFonts w:asciiTheme="majorBidi" w:hAnsiTheme="majorBidi" w:cstheme="majorBidi"/>
        </w:rPr>
        <w:t>Student records will be collected from all known institutions of all eligible sample members.</w:t>
      </w:r>
    </w:p>
    <w:p w14:paraId="14C0A406" w14:textId="3EEB09EB" w:rsidR="00F52E30" w:rsidRDefault="009B32B0" w:rsidP="00A8796F">
      <w:pPr>
        <w:pStyle w:val="Heading4"/>
        <w:keepNext w:val="0"/>
        <w:widowControl w:val="0"/>
        <w:spacing w:after="120"/>
        <w:ind w:left="0"/>
        <w:rPr>
          <w:rFonts w:asciiTheme="majorBidi" w:hAnsiTheme="majorBidi" w:cstheme="majorBidi"/>
          <w:b w:val="0"/>
          <w:bCs w:val="0"/>
          <w:sz w:val="24"/>
          <w:szCs w:val="24"/>
        </w:rPr>
      </w:pPr>
      <w:r>
        <w:rPr>
          <w:rFonts w:asciiTheme="majorBidi" w:hAnsiTheme="majorBidi" w:cstheme="majorBidi"/>
          <w:sz w:val="24"/>
          <w:szCs w:val="24"/>
        </w:rPr>
        <w:t xml:space="preserve">PETS </w:t>
      </w:r>
      <w:r w:rsidR="006A305C" w:rsidRPr="00B2090B">
        <w:rPr>
          <w:rFonts w:asciiTheme="majorBidi" w:hAnsiTheme="majorBidi" w:cstheme="majorBidi"/>
          <w:sz w:val="24"/>
          <w:szCs w:val="24"/>
        </w:rPr>
        <w:t>Pilot Test Sample</w:t>
      </w:r>
      <w:r w:rsidR="00725022" w:rsidRPr="00B2090B">
        <w:rPr>
          <w:rFonts w:asciiTheme="majorBidi" w:hAnsiTheme="majorBidi" w:cstheme="majorBidi"/>
          <w:sz w:val="24"/>
          <w:szCs w:val="24"/>
        </w:rPr>
        <w:t xml:space="preserve">. </w:t>
      </w:r>
      <w:r w:rsidR="006A305C" w:rsidRPr="00B2090B">
        <w:rPr>
          <w:rFonts w:asciiTheme="majorBidi" w:hAnsiTheme="majorBidi" w:cstheme="majorBidi"/>
          <w:b w:val="0"/>
          <w:bCs w:val="0"/>
          <w:sz w:val="24"/>
          <w:szCs w:val="24"/>
        </w:rPr>
        <w:t>Transcripts</w:t>
      </w:r>
      <w:r w:rsidR="001C4DBF" w:rsidRPr="00B2090B">
        <w:rPr>
          <w:rFonts w:asciiTheme="majorBidi" w:hAnsiTheme="majorBidi" w:cstheme="majorBidi"/>
          <w:b w:val="0"/>
          <w:bCs w:val="0"/>
          <w:sz w:val="24"/>
          <w:szCs w:val="24"/>
        </w:rPr>
        <w:t xml:space="preserve"> will be requested for 1,167 sample member</w:t>
      </w:r>
      <w:r w:rsidR="00DF271A" w:rsidRPr="00B2090B">
        <w:rPr>
          <w:rFonts w:asciiTheme="majorBidi" w:hAnsiTheme="majorBidi" w:cstheme="majorBidi"/>
          <w:b w:val="0"/>
          <w:bCs w:val="0"/>
          <w:sz w:val="24"/>
          <w:szCs w:val="24"/>
        </w:rPr>
        <w:t>s who responded to the BPS:12/17</w:t>
      </w:r>
      <w:r w:rsidR="001C4DBF" w:rsidRPr="00B2090B">
        <w:rPr>
          <w:rFonts w:asciiTheme="majorBidi" w:hAnsiTheme="majorBidi" w:cstheme="majorBidi"/>
          <w:b w:val="0"/>
          <w:bCs w:val="0"/>
          <w:sz w:val="24"/>
          <w:szCs w:val="24"/>
        </w:rPr>
        <w:t xml:space="preserve"> pilot test interview</w:t>
      </w:r>
      <w:r w:rsidR="00A33708" w:rsidRPr="00B2090B">
        <w:rPr>
          <w:rFonts w:asciiTheme="majorBidi" w:hAnsiTheme="majorBidi" w:cstheme="majorBidi"/>
          <w:b w:val="0"/>
          <w:bCs w:val="0"/>
          <w:sz w:val="24"/>
          <w:szCs w:val="24"/>
        </w:rPr>
        <w:t xml:space="preserve"> conducted in spring 2016</w:t>
      </w:r>
      <w:r w:rsidR="001C4DBF" w:rsidRPr="00B2090B">
        <w:rPr>
          <w:rFonts w:asciiTheme="majorBidi" w:hAnsiTheme="majorBidi" w:cstheme="majorBidi"/>
          <w:b w:val="0"/>
          <w:bCs w:val="0"/>
          <w:sz w:val="24"/>
          <w:szCs w:val="24"/>
        </w:rPr>
        <w:t>. Th</w:t>
      </w:r>
      <w:r w:rsidR="00B33A45" w:rsidRPr="00B2090B">
        <w:rPr>
          <w:rFonts w:asciiTheme="majorBidi" w:hAnsiTheme="majorBidi" w:cstheme="majorBidi"/>
          <w:b w:val="0"/>
          <w:bCs w:val="0"/>
          <w:sz w:val="24"/>
          <w:szCs w:val="24"/>
        </w:rPr>
        <w:t xml:space="preserve">is collection of transcripts is for methodological </w:t>
      </w:r>
      <w:r w:rsidR="00DF271A" w:rsidRPr="00B2090B">
        <w:rPr>
          <w:rFonts w:asciiTheme="majorBidi" w:hAnsiTheme="majorBidi" w:cstheme="majorBidi"/>
          <w:b w:val="0"/>
          <w:bCs w:val="0"/>
          <w:sz w:val="24"/>
          <w:szCs w:val="24"/>
        </w:rPr>
        <w:t>analyses, as described in section B.4.</w:t>
      </w:r>
      <w:r w:rsidR="001A3546">
        <w:rPr>
          <w:rFonts w:asciiTheme="majorBidi" w:hAnsiTheme="majorBidi" w:cstheme="majorBidi"/>
          <w:b w:val="0"/>
          <w:bCs w:val="0"/>
          <w:sz w:val="24"/>
          <w:szCs w:val="24"/>
        </w:rPr>
        <w:t>c</w:t>
      </w:r>
      <w:r w:rsidR="00DF271A" w:rsidRPr="00B2090B">
        <w:rPr>
          <w:rFonts w:asciiTheme="majorBidi" w:hAnsiTheme="majorBidi" w:cstheme="majorBidi"/>
          <w:b w:val="0"/>
          <w:bCs w:val="0"/>
          <w:sz w:val="24"/>
          <w:szCs w:val="24"/>
        </w:rPr>
        <w:t>. The resulting data will not be released,</w:t>
      </w:r>
      <w:r w:rsidR="00F667D6">
        <w:rPr>
          <w:rFonts w:asciiTheme="majorBidi" w:hAnsiTheme="majorBidi" w:cstheme="majorBidi"/>
          <w:b w:val="0"/>
          <w:bCs w:val="0"/>
          <w:sz w:val="24"/>
          <w:szCs w:val="24"/>
        </w:rPr>
        <w:t xml:space="preserve"> but the results will be published in the data file documentation.</w:t>
      </w:r>
    </w:p>
    <w:p w14:paraId="54741A04" w14:textId="74F92300" w:rsidR="006A305C" w:rsidRDefault="00DF271A" w:rsidP="00CF1337">
      <w:pPr>
        <w:pStyle w:val="BodyText"/>
        <w:spacing w:before="0" w:line="240" w:lineRule="auto"/>
        <w:ind w:right="-144" w:firstLine="0"/>
      </w:pPr>
      <w:r>
        <w:t>The BPS:12/17 pilot test interview respondents were part of the sample that began with the NPSAS:12 field test.</w:t>
      </w:r>
      <w:r w:rsidR="00F52E30">
        <w:t xml:space="preserve"> </w:t>
      </w:r>
      <w:r w:rsidR="006A305C" w:rsidRPr="002E6DE6">
        <w:t xml:space="preserve">At the conclusion of the NPSAS:12 field test, approximately 2,000 students had been interviewed and confirmed to be FTB students. </w:t>
      </w:r>
      <w:r w:rsidR="00A33708">
        <w:t>T</w:t>
      </w:r>
      <w:r w:rsidR="006A305C" w:rsidRPr="002E6DE6">
        <w:t>he BPS:12/14 field test included all of the students who responded to the NPSAS:12 field test and were confirmed to be FTBs</w:t>
      </w:r>
      <w:r w:rsidR="00A33708">
        <w:t xml:space="preserve">, plus </w:t>
      </w:r>
      <w:r w:rsidR="006A305C" w:rsidRPr="002E6DE6">
        <w:t xml:space="preserve">approximately 1,500 students who did not respond to the NPSAS:12 field test but were potential FTBs according to institution lists and/or student records. As shown in table </w:t>
      </w:r>
      <w:r w:rsidR="00AF3EEC">
        <w:t>4</w:t>
      </w:r>
      <w:r w:rsidR="006A305C" w:rsidRPr="002E6DE6">
        <w:t xml:space="preserve">, of the 3,496 field-test sample members, 143 were </w:t>
      </w:r>
      <w:r w:rsidR="00AF3EEC">
        <w:t xml:space="preserve">not FTBs and, therefore, were </w:t>
      </w:r>
      <w:r w:rsidR="006A305C" w:rsidRPr="002E6DE6">
        <w:t>ineligible (98 NPSAS</w:t>
      </w:r>
      <w:r w:rsidR="00CD48BC">
        <w:t>:12</w:t>
      </w:r>
      <w:r w:rsidR="006A305C" w:rsidRPr="002E6DE6">
        <w:t xml:space="preserve"> study members and 45 NPSAS</w:t>
      </w:r>
      <w:r w:rsidR="00CD48BC">
        <w:t>:12</w:t>
      </w:r>
      <w:r w:rsidR="006A305C" w:rsidRPr="002E6DE6">
        <w:t xml:space="preserve"> non-study members). Of the remaining 3,353 eligible sample members, 1,884 responded to the BPS:12/14 field test.</w:t>
      </w:r>
    </w:p>
    <w:p w14:paraId="55CAC490" w14:textId="77777777" w:rsidR="00F52E30" w:rsidRDefault="00F667D6" w:rsidP="00CF1337">
      <w:pPr>
        <w:pStyle w:val="BodyText"/>
        <w:spacing w:before="0" w:line="240" w:lineRule="auto"/>
        <w:ind w:firstLine="0"/>
      </w:pPr>
      <w:r>
        <w:t xml:space="preserve">For the </w:t>
      </w:r>
      <w:r w:rsidRPr="002E6DE6">
        <w:t>BPS:12/17 pilot test</w:t>
      </w:r>
      <w:r>
        <w:t>, sample members who did not meet the definition of a NPSAS:12 study member were excluded, as well as sample members who did not respond to NPSAS:12 and were either deemed ineligible in, or did not respond to, BPS:12/14.</w:t>
      </w:r>
    </w:p>
    <w:p w14:paraId="0516F661" w14:textId="32B49A25" w:rsidR="006A305C" w:rsidRPr="00385511" w:rsidRDefault="006A305C" w:rsidP="001273CB">
      <w:pPr>
        <w:pStyle w:val="TableTitle"/>
        <w:spacing w:before="120" w:after="60"/>
        <w:ind w:left="994" w:hanging="994"/>
      </w:pPr>
      <w:bookmarkStart w:id="57" w:name="_Toc456167107"/>
      <w:r w:rsidRPr="00385511">
        <w:lastRenderedPageBreak/>
        <w:t xml:space="preserve">Table </w:t>
      </w:r>
      <w:r w:rsidR="00AF3EEC">
        <w:t>4</w:t>
      </w:r>
      <w:r w:rsidRPr="00385511">
        <w:t>.</w:t>
      </w:r>
      <w:r w:rsidR="002B537E">
        <w:t xml:space="preserve"> </w:t>
      </w:r>
      <w:r w:rsidR="006A273A">
        <w:t>Pilot s</w:t>
      </w:r>
      <w:r w:rsidR="006A273A" w:rsidRPr="00385511">
        <w:t xml:space="preserve">ample </w:t>
      </w:r>
      <w:r>
        <w:t>m</w:t>
      </w:r>
      <w:r w:rsidRPr="00385511">
        <w:t xml:space="preserve">ember </w:t>
      </w:r>
      <w:r>
        <w:t>d</w:t>
      </w:r>
      <w:r w:rsidRPr="00385511">
        <w:t>isposition</w:t>
      </w:r>
      <w:r>
        <w:t>, by sample member and prior round response status</w:t>
      </w:r>
      <w:bookmarkEnd w:id="57"/>
    </w:p>
    <w:tbl>
      <w:tblPr>
        <w:tblW w:w="10080" w:type="dxa"/>
        <w:tblLook w:val="04A0" w:firstRow="1" w:lastRow="0" w:firstColumn="1" w:lastColumn="0" w:noHBand="0" w:noVBand="1"/>
      </w:tblPr>
      <w:tblGrid>
        <w:gridCol w:w="5060"/>
        <w:gridCol w:w="3310"/>
        <w:gridCol w:w="1710"/>
      </w:tblGrid>
      <w:tr w:rsidR="00F667D6" w:rsidRPr="00F667D6" w14:paraId="62FB77E3" w14:textId="77777777" w:rsidTr="008C520A">
        <w:trPr>
          <w:trHeight w:val="663"/>
        </w:trPr>
        <w:tc>
          <w:tcPr>
            <w:tcW w:w="5060" w:type="dxa"/>
            <w:tcBorders>
              <w:top w:val="single" w:sz="12" w:space="0" w:color="auto"/>
              <w:left w:val="nil"/>
              <w:bottom w:val="single" w:sz="8" w:space="0" w:color="auto"/>
              <w:right w:val="nil"/>
            </w:tcBorders>
            <w:shd w:val="clear" w:color="auto" w:fill="auto"/>
            <w:noWrap/>
            <w:vAlign w:val="bottom"/>
            <w:hideMark/>
          </w:tcPr>
          <w:p w14:paraId="0F150AC4" w14:textId="77777777" w:rsidR="00F667D6" w:rsidRPr="00F667D6" w:rsidRDefault="00F667D6" w:rsidP="008C520A">
            <w:pPr>
              <w:rPr>
                <w:rFonts w:ascii="Arial" w:hAnsi="Arial" w:cs="Arial"/>
                <w:b/>
                <w:bCs/>
                <w:color w:val="000000"/>
                <w:sz w:val="20"/>
              </w:rPr>
            </w:pPr>
            <w:r w:rsidRPr="00F667D6">
              <w:rPr>
                <w:rFonts w:ascii="Arial" w:hAnsi="Arial" w:cs="Arial"/>
                <w:b/>
                <w:bCs/>
                <w:color w:val="000000"/>
                <w:sz w:val="20"/>
              </w:rPr>
              <w:t>Study member and prior-round response status</w:t>
            </w:r>
          </w:p>
        </w:tc>
        <w:tc>
          <w:tcPr>
            <w:tcW w:w="3310" w:type="dxa"/>
            <w:tcBorders>
              <w:top w:val="single" w:sz="12" w:space="0" w:color="auto"/>
              <w:left w:val="nil"/>
              <w:bottom w:val="single" w:sz="8" w:space="0" w:color="auto"/>
              <w:right w:val="nil"/>
            </w:tcBorders>
            <w:shd w:val="clear" w:color="auto" w:fill="auto"/>
            <w:vAlign w:val="bottom"/>
            <w:hideMark/>
          </w:tcPr>
          <w:p w14:paraId="354AC0BE" w14:textId="558A55A2" w:rsidR="00F667D6" w:rsidRPr="00F667D6" w:rsidRDefault="00F667D6" w:rsidP="008C520A">
            <w:pPr>
              <w:jc w:val="right"/>
              <w:rPr>
                <w:rFonts w:ascii="Arial" w:hAnsi="Arial" w:cs="Arial"/>
                <w:b/>
                <w:bCs/>
                <w:color w:val="000000"/>
                <w:sz w:val="20"/>
              </w:rPr>
            </w:pPr>
            <w:r w:rsidRPr="00F667D6">
              <w:rPr>
                <w:rFonts w:ascii="Arial" w:hAnsi="Arial" w:cs="Arial"/>
                <w:b/>
                <w:bCs/>
                <w:color w:val="000000"/>
                <w:sz w:val="20"/>
              </w:rPr>
              <w:t xml:space="preserve">Number in </w:t>
            </w:r>
            <w:r w:rsidR="006A273A">
              <w:rPr>
                <w:rFonts w:ascii="Arial" w:hAnsi="Arial" w:cs="Arial"/>
                <w:b/>
                <w:bCs/>
                <w:color w:val="000000"/>
                <w:sz w:val="20"/>
              </w:rPr>
              <w:t xml:space="preserve">pilot </w:t>
            </w:r>
            <w:r w:rsidRPr="00F667D6">
              <w:rPr>
                <w:rFonts w:ascii="Arial" w:hAnsi="Arial" w:cs="Arial"/>
                <w:b/>
                <w:bCs/>
                <w:color w:val="000000"/>
                <w:sz w:val="20"/>
              </w:rPr>
              <w:t>sample</w:t>
            </w:r>
          </w:p>
        </w:tc>
        <w:tc>
          <w:tcPr>
            <w:tcW w:w="1710" w:type="dxa"/>
            <w:tcBorders>
              <w:top w:val="single" w:sz="12" w:space="0" w:color="auto"/>
              <w:left w:val="nil"/>
              <w:bottom w:val="single" w:sz="8" w:space="0" w:color="auto"/>
              <w:right w:val="nil"/>
            </w:tcBorders>
            <w:shd w:val="clear" w:color="auto" w:fill="auto"/>
            <w:vAlign w:val="bottom"/>
            <w:hideMark/>
          </w:tcPr>
          <w:p w14:paraId="0FD11411" w14:textId="77777777" w:rsidR="00F667D6" w:rsidRPr="00F667D6" w:rsidRDefault="00F667D6" w:rsidP="008C520A">
            <w:pPr>
              <w:jc w:val="right"/>
              <w:rPr>
                <w:rFonts w:ascii="Arial" w:hAnsi="Arial" w:cs="Arial"/>
                <w:b/>
                <w:bCs/>
                <w:color w:val="000000"/>
                <w:sz w:val="20"/>
              </w:rPr>
            </w:pPr>
            <w:r w:rsidRPr="00F667D6">
              <w:rPr>
                <w:rFonts w:ascii="Arial" w:hAnsi="Arial" w:cs="Arial"/>
                <w:b/>
                <w:bCs/>
                <w:color w:val="000000"/>
                <w:sz w:val="20"/>
              </w:rPr>
              <w:t>Number fielded in BPS:12/17 pilot</w:t>
            </w:r>
          </w:p>
        </w:tc>
      </w:tr>
      <w:tr w:rsidR="00F667D6" w:rsidRPr="00F667D6" w14:paraId="015EE61C" w14:textId="77777777" w:rsidTr="00F667D6">
        <w:trPr>
          <w:cantSplit/>
          <w:trHeight w:val="300"/>
        </w:trPr>
        <w:tc>
          <w:tcPr>
            <w:tcW w:w="5060" w:type="dxa"/>
            <w:tcBorders>
              <w:top w:val="nil"/>
              <w:left w:val="nil"/>
              <w:bottom w:val="nil"/>
              <w:right w:val="nil"/>
            </w:tcBorders>
            <w:shd w:val="clear" w:color="auto" w:fill="auto"/>
            <w:noWrap/>
            <w:vAlign w:val="center"/>
            <w:hideMark/>
          </w:tcPr>
          <w:p w14:paraId="643323A4" w14:textId="77777777" w:rsidR="00F667D6" w:rsidRPr="00F667D6" w:rsidRDefault="00F667D6" w:rsidP="008C520A">
            <w:pPr>
              <w:ind w:firstLineChars="400" w:firstLine="803"/>
              <w:rPr>
                <w:rFonts w:ascii="Arial" w:hAnsi="Arial" w:cs="Arial"/>
                <w:b/>
                <w:bCs/>
                <w:color w:val="000000"/>
                <w:sz w:val="20"/>
              </w:rPr>
            </w:pPr>
            <w:r w:rsidRPr="00F667D6">
              <w:rPr>
                <w:rFonts w:ascii="Arial" w:hAnsi="Arial" w:cs="Arial"/>
                <w:b/>
                <w:bCs/>
                <w:color w:val="000000"/>
                <w:kern w:val="2"/>
                <w:sz w:val="20"/>
              </w:rPr>
              <w:t>Total</w:t>
            </w:r>
          </w:p>
        </w:tc>
        <w:tc>
          <w:tcPr>
            <w:tcW w:w="3310" w:type="dxa"/>
            <w:tcBorders>
              <w:top w:val="nil"/>
              <w:left w:val="nil"/>
              <w:bottom w:val="nil"/>
              <w:right w:val="nil"/>
            </w:tcBorders>
            <w:shd w:val="clear" w:color="auto" w:fill="auto"/>
            <w:noWrap/>
            <w:vAlign w:val="center"/>
            <w:hideMark/>
          </w:tcPr>
          <w:p w14:paraId="18EB452A" w14:textId="77777777" w:rsidR="00F667D6" w:rsidRPr="00F667D6" w:rsidRDefault="00F667D6" w:rsidP="008C520A">
            <w:pPr>
              <w:ind w:firstLineChars="200" w:firstLine="402"/>
              <w:jc w:val="right"/>
              <w:rPr>
                <w:rFonts w:ascii="Arial" w:hAnsi="Arial" w:cs="Arial"/>
                <w:b/>
                <w:bCs/>
                <w:color w:val="000000"/>
                <w:sz w:val="20"/>
              </w:rPr>
            </w:pPr>
            <w:r w:rsidRPr="00F667D6">
              <w:rPr>
                <w:rFonts w:ascii="Arial" w:hAnsi="Arial" w:cs="Arial"/>
                <w:b/>
                <w:bCs/>
                <w:color w:val="000000"/>
                <w:sz w:val="20"/>
              </w:rPr>
              <w:t>3,496</w:t>
            </w:r>
          </w:p>
        </w:tc>
        <w:tc>
          <w:tcPr>
            <w:tcW w:w="1710" w:type="dxa"/>
            <w:tcBorders>
              <w:top w:val="nil"/>
              <w:left w:val="nil"/>
              <w:bottom w:val="nil"/>
              <w:right w:val="nil"/>
            </w:tcBorders>
            <w:shd w:val="clear" w:color="auto" w:fill="auto"/>
            <w:noWrap/>
            <w:vAlign w:val="center"/>
            <w:hideMark/>
          </w:tcPr>
          <w:p w14:paraId="14C91608" w14:textId="77777777" w:rsidR="00F667D6" w:rsidRPr="00F667D6" w:rsidRDefault="00F667D6" w:rsidP="008C520A">
            <w:pPr>
              <w:ind w:firstLineChars="200" w:firstLine="402"/>
              <w:jc w:val="right"/>
              <w:rPr>
                <w:rFonts w:ascii="Arial" w:hAnsi="Arial" w:cs="Arial"/>
                <w:b/>
                <w:bCs/>
                <w:color w:val="000000"/>
                <w:sz w:val="20"/>
              </w:rPr>
            </w:pPr>
            <w:r w:rsidRPr="00F667D6">
              <w:rPr>
                <w:rFonts w:ascii="Arial" w:hAnsi="Arial" w:cs="Arial"/>
                <w:b/>
                <w:bCs/>
                <w:color w:val="000000"/>
                <w:sz w:val="20"/>
              </w:rPr>
              <w:t>2,308</w:t>
            </w:r>
          </w:p>
        </w:tc>
      </w:tr>
      <w:tr w:rsidR="00F667D6" w:rsidRPr="00F667D6" w14:paraId="741CC657" w14:textId="77777777" w:rsidTr="00F667D6">
        <w:trPr>
          <w:cantSplit/>
          <w:trHeight w:val="300"/>
        </w:trPr>
        <w:tc>
          <w:tcPr>
            <w:tcW w:w="5060" w:type="dxa"/>
            <w:tcBorders>
              <w:top w:val="nil"/>
              <w:left w:val="nil"/>
              <w:bottom w:val="nil"/>
              <w:right w:val="nil"/>
            </w:tcBorders>
            <w:shd w:val="clear" w:color="auto" w:fill="auto"/>
            <w:noWrap/>
            <w:vAlign w:val="center"/>
            <w:hideMark/>
          </w:tcPr>
          <w:p w14:paraId="30AE724D" w14:textId="77777777" w:rsidR="00F667D6" w:rsidRPr="00F667D6" w:rsidRDefault="00F667D6" w:rsidP="008C520A">
            <w:pPr>
              <w:ind w:firstLineChars="100" w:firstLine="200"/>
              <w:rPr>
                <w:rFonts w:ascii="Arial" w:hAnsi="Arial" w:cs="Arial"/>
                <w:color w:val="000000"/>
                <w:sz w:val="20"/>
              </w:rPr>
            </w:pPr>
            <w:r w:rsidRPr="00F667D6">
              <w:rPr>
                <w:rFonts w:ascii="Arial" w:hAnsi="Arial" w:cs="Arial"/>
                <w:color w:val="000000"/>
                <w:sz w:val="20"/>
              </w:rPr>
              <w:t>NPSAS:12 non-study member</w:t>
            </w:r>
          </w:p>
        </w:tc>
        <w:tc>
          <w:tcPr>
            <w:tcW w:w="3310" w:type="dxa"/>
            <w:tcBorders>
              <w:top w:val="nil"/>
              <w:left w:val="nil"/>
              <w:bottom w:val="nil"/>
              <w:right w:val="nil"/>
            </w:tcBorders>
            <w:shd w:val="clear" w:color="auto" w:fill="auto"/>
            <w:noWrap/>
            <w:vAlign w:val="center"/>
            <w:hideMark/>
          </w:tcPr>
          <w:p w14:paraId="2F63BB4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347</w:t>
            </w:r>
          </w:p>
        </w:tc>
        <w:tc>
          <w:tcPr>
            <w:tcW w:w="1710" w:type="dxa"/>
            <w:tcBorders>
              <w:top w:val="nil"/>
              <w:left w:val="nil"/>
              <w:bottom w:val="nil"/>
              <w:right w:val="nil"/>
            </w:tcBorders>
            <w:shd w:val="clear" w:color="auto" w:fill="auto"/>
            <w:noWrap/>
            <w:vAlign w:val="center"/>
            <w:hideMark/>
          </w:tcPr>
          <w:p w14:paraId="201581A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E907861" w14:textId="77777777" w:rsidTr="00F667D6">
        <w:trPr>
          <w:cantSplit/>
          <w:trHeight w:val="300"/>
        </w:trPr>
        <w:tc>
          <w:tcPr>
            <w:tcW w:w="5060" w:type="dxa"/>
            <w:tcBorders>
              <w:top w:val="nil"/>
              <w:left w:val="nil"/>
              <w:bottom w:val="nil"/>
              <w:right w:val="nil"/>
            </w:tcBorders>
            <w:shd w:val="clear" w:color="auto" w:fill="auto"/>
            <w:noWrap/>
            <w:vAlign w:val="center"/>
            <w:hideMark/>
          </w:tcPr>
          <w:p w14:paraId="0EF1DCCD" w14:textId="7429C6CA"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NPSAS:12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6FB0509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343</w:t>
            </w:r>
          </w:p>
        </w:tc>
        <w:tc>
          <w:tcPr>
            <w:tcW w:w="1710" w:type="dxa"/>
            <w:tcBorders>
              <w:top w:val="nil"/>
              <w:left w:val="nil"/>
              <w:bottom w:val="nil"/>
              <w:right w:val="nil"/>
            </w:tcBorders>
            <w:shd w:val="clear" w:color="auto" w:fill="auto"/>
            <w:noWrap/>
            <w:vAlign w:val="center"/>
            <w:hideMark/>
          </w:tcPr>
          <w:p w14:paraId="5A11239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12CE7FD8" w14:textId="77777777" w:rsidTr="00F667D6">
        <w:trPr>
          <w:cantSplit/>
          <w:trHeight w:val="300"/>
        </w:trPr>
        <w:tc>
          <w:tcPr>
            <w:tcW w:w="5060" w:type="dxa"/>
            <w:tcBorders>
              <w:top w:val="nil"/>
              <w:left w:val="nil"/>
              <w:bottom w:val="nil"/>
              <w:right w:val="nil"/>
            </w:tcBorders>
            <w:shd w:val="clear" w:color="auto" w:fill="auto"/>
            <w:noWrap/>
            <w:vAlign w:val="center"/>
            <w:hideMark/>
          </w:tcPr>
          <w:p w14:paraId="67671779" w14:textId="37B84814"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BPS:12/14 ineligible</w:t>
            </w:r>
          </w:p>
        </w:tc>
        <w:tc>
          <w:tcPr>
            <w:tcW w:w="3310" w:type="dxa"/>
            <w:tcBorders>
              <w:top w:val="nil"/>
              <w:left w:val="nil"/>
              <w:bottom w:val="nil"/>
              <w:right w:val="nil"/>
            </w:tcBorders>
            <w:shd w:val="clear" w:color="auto" w:fill="auto"/>
            <w:noWrap/>
            <w:vAlign w:val="center"/>
            <w:hideMark/>
          </w:tcPr>
          <w:p w14:paraId="78FC6EE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45</w:t>
            </w:r>
          </w:p>
        </w:tc>
        <w:tc>
          <w:tcPr>
            <w:tcW w:w="1710" w:type="dxa"/>
            <w:tcBorders>
              <w:top w:val="nil"/>
              <w:left w:val="nil"/>
              <w:bottom w:val="nil"/>
              <w:right w:val="nil"/>
            </w:tcBorders>
            <w:shd w:val="clear" w:color="auto" w:fill="auto"/>
            <w:noWrap/>
            <w:vAlign w:val="center"/>
            <w:hideMark/>
          </w:tcPr>
          <w:p w14:paraId="0738382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7B12F3E6" w14:textId="77777777" w:rsidTr="00F667D6">
        <w:trPr>
          <w:cantSplit/>
          <w:trHeight w:val="300"/>
        </w:trPr>
        <w:tc>
          <w:tcPr>
            <w:tcW w:w="5060" w:type="dxa"/>
            <w:tcBorders>
              <w:top w:val="nil"/>
              <w:left w:val="nil"/>
              <w:bottom w:val="nil"/>
              <w:right w:val="nil"/>
            </w:tcBorders>
            <w:shd w:val="clear" w:color="auto" w:fill="auto"/>
            <w:noWrap/>
            <w:vAlign w:val="center"/>
            <w:hideMark/>
          </w:tcPr>
          <w:p w14:paraId="170B2EE1" w14:textId="4B82E147"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BPS:12/14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23122410"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233</w:t>
            </w:r>
          </w:p>
        </w:tc>
        <w:tc>
          <w:tcPr>
            <w:tcW w:w="1710" w:type="dxa"/>
            <w:tcBorders>
              <w:top w:val="nil"/>
              <w:left w:val="nil"/>
              <w:bottom w:val="nil"/>
              <w:right w:val="nil"/>
            </w:tcBorders>
            <w:shd w:val="clear" w:color="auto" w:fill="auto"/>
            <w:noWrap/>
            <w:vAlign w:val="center"/>
            <w:hideMark/>
          </w:tcPr>
          <w:p w14:paraId="09FE47B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0AC9506C" w14:textId="77777777" w:rsidTr="00F667D6">
        <w:trPr>
          <w:cantSplit/>
          <w:trHeight w:val="300"/>
        </w:trPr>
        <w:tc>
          <w:tcPr>
            <w:tcW w:w="5060" w:type="dxa"/>
            <w:tcBorders>
              <w:top w:val="nil"/>
              <w:left w:val="nil"/>
              <w:bottom w:val="nil"/>
              <w:right w:val="nil"/>
            </w:tcBorders>
            <w:shd w:val="clear" w:color="auto" w:fill="auto"/>
            <w:noWrap/>
            <w:vAlign w:val="center"/>
            <w:hideMark/>
          </w:tcPr>
          <w:p w14:paraId="2123C162" w14:textId="39575C4C"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BPS:12/14 respondent</w:t>
            </w:r>
          </w:p>
        </w:tc>
        <w:tc>
          <w:tcPr>
            <w:tcW w:w="3310" w:type="dxa"/>
            <w:tcBorders>
              <w:top w:val="nil"/>
              <w:left w:val="nil"/>
              <w:bottom w:val="nil"/>
              <w:right w:val="nil"/>
            </w:tcBorders>
            <w:shd w:val="clear" w:color="auto" w:fill="auto"/>
            <w:noWrap/>
            <w:vAlign w:val="center"/>
            <w:hideMark/>
          </w:tcPr>
          <w:p w14:paraId="73BE85C5"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65</w:t>
            </w:r>
          </w:p>
        </w:tc>
        <w:tc>
          <w:tcPr>
            <w:tcW w:w="1710" w:type="dxa"/>
            <w:tcBorders>
              <w:top w:val="nil"/>
              <w:left w:val="nil"/>
              <w:bottom w:val="nil"/>
              <w:right w:val="nil"/>
            </w:tcBorders>
            <w:shd w:val="clear" w:color="auto" w:fill="auto"/>
            <w:noWrap/>
            <w:vAlign w:val="center"/>
            <w:hideMark/>
          </w:tcPr>
          <w:p w14:paraId="6F1EC71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698D4E1" w14:textId="77777777" w:rsidTr="00F667D6">
        <w:trPr>
          <w:cantSplit/>
          <w:trHeight w:val="300"/>
        </w:trPr>
        <w:tc>
          <w:tcPr>
            <w:tcW w:w="5060" w:type="dxa"/>
            <w:tcBorders>
              <w:top w:val="nil"/>
              <w:left w:val="nil"/>
              <w:bottom w:val="nil"/>
              <w:right w:val="nil"/>
            </w:tcBorders>
            <w:shd w:val="clear" w:color="auto" w:fill="auto"/>
            <w:noWrap/>
            <w:vAlign w:val="center"/>
            <w:hideMark/>
          </w:tcPr>
          <w:p w14:paraId="681EEB37" w14:textId="357A6712"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NPSAS:12 respondent</w:t>
            </w:r>
          </w:p>
        </w:tc>
        <w:tc>
          <w:tcPr>
            <w:tcW w:w="3310" w:type="dxa"/>
            <w:tcBorders>
              <w:top w:val="nil"/>
              <w:left w:val="nil"/>
              <w:bottom w:val="nil"/>
              <w:right w:val="nil"/>
            </w:tcBorders>
            <w:shd w:val="clear" w:color="auto" w:fill="auto"/>
            <w:noWrap/>
            <w:vAlign w:val="center"/>
            <w:hideMark/>
          </w:tcPr>
          <w:p w14:paraId="05328EB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w:t>
            </w:r>
          </w:p>
        </w:tc>
        <w:tc>
          <w:tcPr>
            <w:tcW w:w="1710" w:type="dxa"/>
            <w:tcBorders>
              <w:top w:val="nil"/>
              <w:left w:val="nil"/>
              <w:bottom w:val="nil"/>
              <w:right w:val="nil"/>
            </w:tcBorders>
            <w:shd w:val="clear" w:color="auto" w:fill="auto"/>
            <w:noWrap/>
            <w:vAlign w:val="center"/>
            <w:hideMark/>
          </w:tcPr>
          <w:p w14:paraId="7F9A1EB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2040B407" w14:textId="77777777" w:rsidTr="00F667D6">
        <w:trPr>
          <w:cantSplit/>
          <w:trHeight w:val="300"/>
        </w:trPr>
        <w:tc>
          <w:tcPr>
            <w:tcW w:w="5060" w:type="dxa"/>
            <w:tcBorders>
              <w:top w:val="nil"/>
              <w:left w:val="nil"/>
              <w:bottom w:val="nil"/>
              <w:right w:val="nil"/>
            </w:tcBorders>
            <w:shd w:val="clear" w:color="auto" w:fill="auto"/>
            <w:noWrap/>
            <w:vAlign w:val="center"/>
            <w:hideMark/>
          </w:tcPr>
          <w:p w14:paraId="402B8E62" w14:textId="7002F4B0"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BPS:12/14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62022CD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w:t>
            </w:r>
          </w:p>
        </w:tc>
        <w:tc>
          <w:tcPr>
            <w:tcW w:w="1710" w:type="dxa"/>
            <w:tcBorders>
              <w:top w:val="nil"/>
              <w:left w:val="nil"/>
              <w:bottom w:val="nil"/>
              <w:right w:val="nil"/>
            </w:tcBorders>
            <w:shd w:val="clear" w:color="auto" w:fill="auto"/>
            <w:noWrap/>
            <w:vAlign w:val="center"/>
            <w:hideMark/>
          </w:tcPr>
          <w:p w14:paraId="087F8C9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68D105AB" w14:textId="77777777" w:rsidTr="00F667D6">
        <w:trPr>
          <w:cantSplit/>
          <w:trHeight w:val="300"/>
        </w:trPr>
        <w:tc>
          <w:tcPr>
            <w:tcW w:w="5060" w:type="dxa"/>
            <w:tcBorders>
              <w:top w:val="nil"/>
              <w:left w:val="nil"/>
              <w:bottom w:val="nil"/>
              <w:right w:val="nil"/>
            </w:tcBorders>
            <w:shd w:val="clear" w:color="auto" w:fill="auto"/>
            <w:noWrap/>
            <w:vAlign w:val="center"/>
            <w:hideMark/>
          </w:tcPr>
          <w:p w14:paraId="6D47351A" w14:textId="77777777" w:rsidR="00F667D6" w:rsidRPr="00F667D6" w:rsidRDefault="00F667D6" w:rsidP="008C520A">
            <w:pPr>
              <w:ind w:firstLineChars="100" w:firstLine="200"/>
              <w:rPr>
                <w:rFonts w:ascii="Arial" w:hAnsi="Arial" w:cs="Arial"/>
                <w:color w:val="000000"/>
                <w:sz w:val="20"/>
              </w:rPr>
            </w:pPr>
            <w:r w:rsidRPr="00F667D6">
              <w:rPr>
                <w:rFonts w:ascii="Arial" w:hAnsi="Arial" w:cs="Arial"/>
                <w:color w:val="000000"/>
                <w:sz w:val="20"/>
              </w:rPr>
              <w:t>NPSAS:12 study member</w:t>
            </w:r>
          </w:p>
        </w:tc>
        <w:tc>
          <w:tcPr>
            <w:tcW w:w="3310" w:type="dxa"/>
            <w:tcBorders>
              <w:top w:val="nil"/>
              <w:left w:val="nil"/>
              <w:bottom w:val="nil"/>
              <w:right w:val="nil"/>
            </w:tcBorders>
            <w:shd w:val="clear" w:color="auto" w:fill="auto"/>
            <w:noWrap/>
            <w:vAlign w:val="center"/>
            <w:hideMark/>
          </w:tcPr>
          <w:p w14:paraId="5FCD0800"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3,149</w:t>
            </w:r>
          </w:p>
        </w:tc>
        <w:tc>
          <w:tcPr>
            <w:tcW w:w="1710" w:type="dxa"/>
            <w:tcBorders>
              <w:top w:val="nil"/>
              <w:left w:val="nil"/>
              <w:bottom w:val="nil"/>
              <w:right w:val="nil"/>
            </w:tcBorders>
            <w:shd w:val="clear" w:color="auto" w:fill="auto"/>
            <w:noWrap/>
            <w:vAlign w:val="center"/>
            <w:hideMark/>
          </w:tcPr>
          <w:p w14:paraId="57B8D505"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2,308</w:t>
            </w:r>
          </w:p>
        </w:tc>
      </w:tr>
      <w:tr w:rsidR="00F667D6" w:rsidRPr="00F667D6" w14:paraId="7F263518" w14:textId="77777777" w:rsidTr="00F667D6">
        <w:trPr>
          <w:cantSplit/>
          <w:trHeight w:val="300"/>
        </w:trPr>
        <w:tc>
          <w:tcPr>
            <w:tcW w:w="5060" w:type="dxa"/>
            <w:tcBorders>
              <w:top w:val="nil"/>
              <w:left w:val="nil"/>
              <w:bottom w:val="nil"/>
              <w:right w:val="nil"/>
            </w:tcBorders>
            <w:shd w:val="clear" w:color="auto" w:fill="auto"/>
            <w:noWrap/>
            <w:vAlign w:val="center"/>
            <w:hideMark/>
          </w:tcPr>
          <w:p w14:paraId="35D35DB1" w14:textId="7A86484F"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NPSAS:12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08BE30B6"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1,150</w:t>
            </w:r>
          </w:p>
        </w:tc>
        <w:tc>
          <w:tcPr>
            <w:tcW w:w="1710" w:type="dxa"/>
            <w:tcBorders>
              <w:top w:val="nil"/>
              <w:left w:val="nil"/>
              <w:bottom w:val="nil"/>
              <w:right w:val="nil"/>
            </w:tcBorders>
            <w:shd w:val="clear" w:color="auto" w:fill="auto"/>
            <w:noWrap/>
            <w:vAlign w:val="center"/>
            <w:hideMark/>
          </w:tcPr>
          <w:p w14:paraId="035F6EB1"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r>
      <w:tr w:rsidR="00F667D6" w:rsidRPr="00F667D6" w14:paraId="14FF6633" w14:textId="77777777" w:rsidTr="00F667D6">
        <w:trPr>
          <w:cantSplit/>
          <w:trHeight w:val="300"/>
        </w:trPr>
        <w:tc>
          <w:tcPr>
            <w:tcW w:w="5060" w:type="dxa"/>
            <w:tcBorders>
              <w:top w:val="nil"/>
              <w:left w:val="nil"/>
              <w:bottom w:val="nil"/>
              <w:right w:val="nil"/>
            </w:tcBorders>
            <w:shd w:val="clear" w:color="auto" w:fill="auto"/>
            <w:noWrap/>
            <w:vAlign w:val="center"/>
            <w:hideMark/>
          </w:tcPr>
          <w:p w14:paraId="77CFCDC8" w14:textId="7F94C9F0"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ineligible</w:t>
            </w:r>
          </w:p>
        </w:tc>
        <w:tc>
          <w:tcPr>
            <w:tcW w:w="3310" w:type="dxa"/>
            <w:tcBorders>
              <w:top w:val="nil"/>
              <w:left w:val="nil"/>
              <w:bottom w:val="nil"/>
              <w:right w:val="nil"/>
            </w:tcBorders>
            <w:shd w:val="clear" w:color="auto" w:fill="auto"/>
            <w:noWrap/>
            <w:vAlign w:val="center"/>
            <w:hideMark/>
          </w:tcPr>
          <w:p w14:paraId="7A16596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98</w:t>
            </w:r>
          </w:p>
        </w:tc>
        <w:tc>
          <w:tcPr>
            <w:tcW w:w="1710" w:type="dxa"/>
            <w:tcBorders>
              <w:top w:val="nil"/>
              <w:left w:val="nil"/>
              <w:bottom w:val="nil"/>
              <w:right w:val="nil"/>
            </w:tcBorders>
            <w:shd w:val="clear" w:color="auto" w:fill="auto"/>
            <w:noWrap/>
            <w:vAlign w:val="center"/>
            <w:hideMark/>
          </w:tcPr>
          <w:p w14:paraId="4671C0D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E6D4EA7" w14:textId="77777777" w:rsidTr="00F667D6">
        <w:trPr>
          <w:cantSplit/>
          <w:trHeight w:val="300"/>
        </w:trPr>
        <w:tc>
          <w:tcPr>
            <w:tcW w:w="5060" w:type="dxa"/>
            <w:tcBorders>
              <w:top w:val="nil"/>
              <w:left w:val="nil"/>
              <w:bottom w:val="nil"/>
              <w:right w:val="nil"/>
            </w:tcBorders>
            <w:shd w:val="clear" w:color="auto" w:fill="auto"/>
            <w:noWrap/>
            <w:vAlign w:val="center"/>
            <w:hideMark/>
          </w:tcPr>
          <w:p w14:paraId="25007C8F" w14:textId="0A13F8DF"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 xml:space="preserve">BPS:12/14 </w:t>
            </w:r>
            <w:proofErr w:type="spellStart"/>
            <w:r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1EB73F1C"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743</w:t>
            </w:r>
          </w:p>
        </w:tc>
        <w:tc>
          <w:tcPr>
            <w:tcW w:w="1710" w:type="dxa"/>
            <w:tcBorders>
              <w:top w:val="nil"/>
              <w:left w:val="nil"/>
              <w:bottom w:val="nil"/>
              <w:right w:val="nil"/>
            </w:tcBorders>
            <w:shd w:val="clear" w:color="auto" w:fill="auto"/>
            <w:noWrap/>
            <w:vAlign w:val="center"/>
            <w:hideMark/>
          </w:tcPr>
          <w:p w14:paraId="76FCE1B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70AD7C8B" w14:textId="77777777" w:rsidTr="00F667D6">
        <w:trPr>
          <w:cantSplit/>
          <w:trHeight w:val="300"/>
        </w:trPr>
        <w:tc>
          <w:tcPr>
            <w:tcW w:w="5060" w:type="dxa"/>
            <w:tcBorders>
              <w:top w:val="nil"/>
              <w:left w:val="nil"/>
              <w:bottom w:val="nil"/>
              <w:right w:val="nil"/>
            </w:tcBorders>
            <w:shd w:val="clear" w:color="auto" w:fill="auto"/>
            <w:noWrap/>
            <w:vAlign w:val="center"/>
            <w:hideMark/>
          </w:tcPr>
          <w:p w14:paraId="226F36A9" w14:textId="3B3F4014"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respondent</w:t>
            </w:r>
          </w:p>
        </w:tc>
        <w:tc>
          <w:tcPr>
            <w:tcW w:w="3310" w:type="dxa"/>
            <w:tcBorders>
              <w:top w:val="nil"/>
              <w:left w:val="nil"/>
              <w:bottom w:val="nil"/>
              <w:right w:val="nil"/>
            </w:tcBorders>
            <w:shd w:val="clear" w:color="auto" w:fill="auto"/>
            <w:noWrap/>
            <w:vAlign w:val="center"/>
            <w:hideMark/>
          </w:tcPr>
          <w:p w14:paraId="1F90AAA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c>
          <w:tcPr>
            <w:tcW w:w="1710" w:type="dxa"/>
            <w:tcBorders>
              <w:top w:val="nil"/>
              <w:left w:val="nil"/>
              <w:bottom w:val="nil"/>
              <w:right w:val="nil"/>
            </w:tcBorders>
            <w:shd w:val="clear" w:color="auto" w:fill="auto"/>
            <w:noWrap/>
            <w:vAlign w:val="center"/>
            <w:hideMark/>
          </w:tcPr>
          <w:p w14:paraId="0BEF26B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r>
      <w:tr w:rsidR="00F667D6" w:rsidRPr="00F667D6" w14:paraId="164787CF" w14:textId="77777777" w:rsidTr="00F667D6">
        <w:trPr>
          <w:cantSplit/>
          <w:trHeight w:val="300"/>
        </w:trPr>
        <w:tc>
          <w:tcPr>
            <w:tcW w:w="5060" w:type="dxa"/>
            <w:tcBorders>
              <w:top w:val="nil"/>
              <w:left w:val="nil"/>
              <w:bottom w:val="nil"/>
              <w:right w:val="nil"/>
            </w:tcBorders>
            <w:shd w:val="clear" w:color="auto" w:fill="auto"/>
            <w:noWrap/>
            <w:vAlign w:val="center"/>
            <w:hideMark/>
          </w:tcPr>
          <w:p w14:paraId="4A8FCB91" w14:textId="096194C4" w:rsidR="00F667D6" w:rsidRPr="00F667D6" w:rsidRDefault="00F667D6" w:rsidP="008C520A">
            <w:pPr>
              <w:ind w:firstLineChars="100" w:firstLine="2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NPSAS:12 respondent</w:t>
            </w:r>
          </w:p>
        </w:tc>
        <w:tc>
          <w:tcPr>
            <w:tcW w:w="3310" w:type="dxa"/>
            <w:tcBorders>
              <w:top w:val="nil"/>
              <w:left w:val="nil"/>
              <w:bottom w:val="nil"/>
              <w:right w:val="nil"/>
            </w:tcBorders>
            <w:shd w:val="clear" w:color="auto" w:fill="auto"/>
            <w:noWrap/>
            <w:vAlign w:val="center"/>
            <w:hideMark/>
          </w:tcPr>
          <w:p w14:paraId="0981693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1,999</w:t>
            </w:r>
          </w:p>
        </w:tc>
        <w:tc>
          <w:tcPr>
            <w:tcW w:w="1710" w:type="dxa"/>
            <w:tcBorders>
              <w:top w:val="nil"/>
              <w:left w:val="nil"/>
              <w:bottom w:val="nil"/>
              <w:right w:val="nil"/>
            </w:tcBorders>
            <w:shd w:val="clear" w:color="auto" w:fill="auto"/>
            <w:noWrap/>
            <w:vAlign w:val="center"/>
            <w:hideMark/>
          </w:tcPr>
          <w:p w14:paraId="44AF5B1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1,999</w:t>
            </w:r>
          </w:p>
        </w:tc>
      </w:tr>
      <w:tr w:rsidR="00F667D6" w:rsidRPr="00F667D6" w14:paraId="2E651CEE" w14:textId="77777777" w:rsidTr="00F667D6">
        <w:trPr>
          <w:cantSplit/>
          <w:trHeight w:val="300"/>
        </w:trPr>
        <w:tc>
          <w:tcPr>
            <w:tcW w:w="5060" w:type="dxa"/>
            <w:tcBorders>
              <w:top w:val="nil"/>
              <w:left w:val="nil"/>
              <w:bottom w:val="nil"/>
              <w:right w:val="nil"/>
            </w:tcBorders>
            <w:shd w:val="clear" w:color="auto" w:fill="auto"/>
            <w:noWrap/>
            <w:vAlign w:val="center"/>
            <w:hideMark/>
          </w:tcPr>
          <w:p w14:paraId="5131D7FB" w14:textId="048A1A88"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 xml:space="preserve">BPS:12/14 </w:t>
            </w:r>
            <w:proofErr w:type="spellStart"/>
            <w:r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0037927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489</w:t>
            </w:r>
          </w:p>
        </w:tc>
        <w:tc>
          <w:tcPr>
            <w:tcW w:w="1710" w:type="dxa"/>
            <w:tcBorders>
              <w:top w:val="nil"/>
              <w:left w:val="nil"/>
              <w:bottom w:val="nil"/>
              <w:right w:val="nil"/>
            </w:tcBorders>
            <w:shd w:val="clear" w:color="auto" w:fill="auto"/>
            <w:noWrap/>
            <w:vAlign w:val="center"/>
            <w:hideMark/>
          </w:tcPr>
          <w:p w14:paraId="6EFB0113"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489</w:t>
            </w:r>
          </w:p>
        </w:tc>
      </w:tr>
      <w:tr w:rsidR="00F667D6" w:rsidRPr="00F667D6" w14:paraId="5C0DE2A2" w14:textId="77777777" w:rsidTr="00F667D6">
        <w:trPr>
          <w:cantSplit/>
          <w:trHeight w:val="315"/>
        </w:trPr>
        <w:tc>
          <w:tcPr>
            <w:tcW w:w="5060" w:type="dxa"/>
            <w:tcBorders>
              <w:top w:val="nil"/>
              <w:left w:val="nil"/>
              <w:bottom w:val="single" w:sz="12" w:space="0" w:color="auto"/>
              <w:right w:val="nil"/>
            </w:tcBorders>
            <w:shd w:val="clear" w:color="auto" w:fill="auto"/>
            <w:noWrap/>
            <w:vAlign w:val="center"/>
            <w:hideMark/>
          </w:tcPr>
          <w:p w14:paraId="7813B564" w14:textId="41289006"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respondent</w:t>
            </w:r>
          </w:p>
        </w:tc>
        <w:tc>
          <w:tcPr>
            <w:tcW w:w="3310" w:type="dxa"/>
            <w:tcBorders>
              <w:top w:val="nil"/>
              <w:left w:val="nil"/>
              <w:bottom w:val="single" w:sz="12" w:space="0" w:color="auto"/>
              <w:right w:val="nil"/>
            </w:tcBorders>
            <w:shd w:val="clear" w:color="auto" w:fill="auto"/>
            <w:noWrap/>
            <w:vAlign w:val="center"/>
            <w:hideMark/>
          </w:tcPr>
          <w:p w14:paraId="2722C2D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1,510</w:t>
            </w:r>
          </w:p>
        </w:tc>
        <w:tc>
          <w:tcPr>
            <w:tcW w:w="1710" w:type="dxa"/>
            <w:tcBorders>
              <w:top w:val="nil"/>
              <w:left w:val="nil"/>
              <w:bottom w:val="single" w:sz="12" w:space="0" w:color="auto"/>
              <w:right w:val="nil"/>
            </w:tcBorders>
            <w:shd w:val="clear" w:color="auto" w:fill="auto"/>
            <w:noWrap/>
            <w:vAlign w:val="center"/>
            <w:hideMark/>
          </w:tcPr>
          <w:p w14:paraId="7B99F30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1,510</w:t>
            </w:r>
          </w:p>
        </w:tc>
      </w:tr>
    </w:tbl>
    <w:p w14:paraId="141C6116" w14:textId="77777777" w:rsidR="006A305C" w:rsidRPr="0036453F" w:rsidRDefault="006A305C" w:rsidP="00CF1337">
      <w:pPr>
        <w:pStyle w:val="Source9pt"/>
        <w:spacing w:after="120"/>
        <w:rPr>
          <w:rFonts w:eastAsiaTheme="minorHAnsi"/>
          <w:sz w:val="16"/>
          <w:szCs w:val="16"/>
        </w:rPr>
      </w:pPr>
      <w:r w:rsidRPr="0036453F">
        <w:rPr>
          <w:sz w:val="16"/>
          <w:szCs w:val="16"/>
        </w:rPr>
        <w:t>SOURCE: U.S. Department of Education, National Center for Education Statistics, 2012/17 Beginning Postsecondary Students Longitudinal Study (BPS</w:t>
      </w:r>
      <w:proofErr w:type="gramStart"/>
      <w:r w:rsidRPr="0036453F">
        <w:rPr>
          <w:sz w:val="16"/>
          <w:szCs w:val="16"/>
        </w:rPr>
        <w:t>:12</w:t>
      </w:r>
      <w:proofErr w:type="gramEnd"/>
      <w:r w:rsidRPr="0036453F">
        <w:rPr>
          <w:sz w:val="16"/>
          <w:szCs w:val="16"/>
        </w:rPr>
        <w:t>/17), Pilot Test.</w:t>
      </w:r>
    </w:p>
    <w:p w14:paraId="7AA6BEB2" w14:textId="0F039CE8" w:rsidR="004539E3" w:rsidRDefault="00646F2C" w:rsidP="00CF1337">
      <w:pPr>
        <w:spacing w:after="120"/>
        <w:rPr>
          <w:rFonts w:eastAsia="MS Mincho"/>
        </w:rPr>
      </w:pPr>
      <w:bookmarkStart w:id="58" w:name="_Toc441563603"/>
      <w:r>
        <w:t>Of the 2,308 sample members fielded in BPS</w:t>
      </w:r>
      <w:proofErr w:type="gramStart"/>
      <w:r>
        <w:t>:12</w:t>
      </w:r>
      <w:proofErr w:type="gramEnd"/>
      <w:r>
        <w:t xml:space="preserve">/17 pilot study, 1,167 responded. </w:t>
      </w:r>
      <w:r w:rsidR="00C741A8">
        <w:t>T</w:t>
      </w:r>
      <w:r w:rsidR="004539E3">
        <w:t xml:space="preserve">he transcripts of </w:t>
      </w:r>
      <w:r w:rsidR="00C741A8">
        <w:t xml:space="preserve">these </w:t>
      </w:r>
      <w:r w:rsidR="004539E3">
        <w:t>1,167 sample members will be requested from known postsecondary institutions.</w:t>
      </w:r>
    </w:p>
    <w:bookmarkEnd w:id="58"/>
    <w:p w14:paraId="4E94AEAF" w14:textId="6AA7FB45" w:rsidR="003B42B8" w:rsidRPr="00A8796F" w:rsidRDefault="009B32B0" w:rsidP="00A8796F">
      <w:pPr>
        <w:pStyle w:val="BodyTextnoindent0"/>
        <w:rPr>
          <w:rFonts w:asciiTheme="majorBidi" w:hAnsiTheme="majorBidi" w:cstheme="majorBidi"/>
        </w:rPr>
      </w:pPr>
      <w:r>
        <w:rPr>
          <w:rFonts w:asciiTheme="majorBidi" w:hAnsiTheme="majorBidi" w:cstheme="majorBidi"/>
          <w:b/>
          <w:bCs/>
        </w:rPr>
        <w:t xml:space="preserve">PETS </w:t>
      </w:r>
      <w:r w:rsidR="00F667D6" w:rsidRPr="00B2090B">
        <w:rPr>
          <w:rFonts w:asciiTheme="majorBidi" w:hAnsiTheme="majorBidi" w:cstheme="majorBidi"/>
          <w:b/>
          <w:bCs/>
        </w:rPr>
        <w:t>Full-Scale Sample.</w:t>
      </w:r>
      <w:r w:rsidR="00F667D6" w:rsidRPr="00B2090B">
        <w:rPr>
          <w:rFonts w:asciiTheme="majorBidi" w:hAnsiTheme="majorBidi" w:cstheme="majorBidi"/>
          <w:b/>
          <w:bCs/>
          <w:i/>
          <w:iCs/>
        </w:rPr>
        <w:t xml:space="preserve"> </w:t>
      </w:r>
      <w:r w:rsidR="00F667D6" w:rsidRPr="00B2090B">
        <w:rPr>
          <w:rFonts w:asciiTheme="majorBidi" w:hAnsiTheme="majorBidi" w:cstheme="majorBidi"/>
        </w:rPr>
        <w:t>Transcripts will be collected from all known institutions of all eligible sample members.</w:t>
      </w:r>
    </w:p>
    <w:p w14:paraId="4A84A1D6" w14:textId="77777777" w:rsidR="00F52E30" w:rsidRDefault="009A40B5" w:rsidP="00CF1337">
      <w:pPr>
        <w:pStyle w:val="Heading2"/>
        <w:spacing w:before="120" w:line="240" w:lineRule="auto"/>
        <w:rPr>
          <w:sz w:val="22"/>
          <w:szCs w:val="24"/>
        </w:rPr>
      </w:pPr>
      <w:bookmarkStart w:id="59" w:name="_Toc370482426"/>
      <w:bookmarkStart w:id="60" w:name="_Toc459815563"/>
      <w:r w:rsidRPr="0009636B">
        <w:rPr>
          <w:sz w:val="22"/>
          <w:szCs w:val="24"/>
        </w:rPr>
        <w:t>Methods for Maximizing Response Rates</w:t>
      </w:r>
      <w:bookmarkEnd w:id="15"/>
      <w:bookmarkEnd w:id="16"/>
      <w:bookmarkEnd w:id="17"/>
      <w:bookmarkEnd w:id="18"/>
      <w:bookmarkEnd w:id="19"/>
      <w:bookmarkEnd w:id="59"/>
      <w:bookmarkEnd w:id="60"/>
    </w:p>
    <w:p w14:paraId="32C01D82" w14:textId="77777777" w:rsidR="00F52E30" w:rsidRDefault="00750241" w:rsidP="00CF1337">
      <w:pPr>
        <w:pStyle w:val="BodyText"/>
        <w:spacing w:line="240" w:lineRule="auto"/>
        <w:ind w:firstLine="0"/>
      </w:pPr>
      <w:r>
        <w:t>Methods for maximizing response rates will be applied to</w:t>
      </w:r>
      <w:r w:rsidR="006A273A">
        <w:t xml:space="preserve"> the student interview, student</w:t>
      </w:r>
      <w:r w:rsidR="00B64836">
        <w:t xml:space="preserve"> </w:t>
      </w:r>
      <w:r>
        <w:t xml:space="preserve">records, and transcript activities independently. </w:t>
      </w:r>
      <w:r w:rsidR="00EF7BA1">
        <w:t>Maximizing s</w:t>
      </w:r>
      <w:r>
        <w:t>tudent interview</w:t>
      </w:r>
      <w:r w:rsidR="00321FA1">
        <w:t xml:space="preserve"> response rates will focus on </w:t>
      </w:r>
      <w:r w:rsidR="00EF7BA1">
        <w:t>locating sample members, prompting them to complete the interview, and offering convenient interview modes, such as web-based and telephone interviews. Maximizing administrative data collections of student records and transcripts</w:t>
      </w:r>
      <w:r w:rsidR="00AA3A72">
        <w:t xml:space="preserve"> will focus on gaining cooperation of institution representatives through mail, email, and telephone contacts, minimizing burden by offering a variety of means of providing data, and offering guidance and assistance when needed.</w:t>
      </w:r>
    </w:p>
    <w:p w14:paraId="3C7D0A48" w14:textId="5D417205" w:rsidR="00F1758E" w:rsidRPr="0009636B" w:rsidRDefault="00F1758E" w:rsidP="00CF1337">
      <w:pPr>
        <w:pStyle w:val="Heading3"/>
        <w:tabs>
          <w:tab w:val="num" w:pos="3240"/>
        </w:tabs>
        <w:spacing w:line="240" w:lineRule="auto"/>
        <w:rPr>
          <w:b w:val="0"/>
          <w:bCs w:val="0"/>
          <w:i/>
          <w:iCs/>
          <w:sz w:val="22"/>
          <w:szCs w:val="22"/>
        </w:rPr>
      </w:pPr>
      <w:bookmarkStart w:id="61" w:name="_Toc370482427"/>
      <w:bookmarkStart w:id="62" w:name="_Toc459815564"/>
      <w:bookmarkStart w:id="63" w:name="_Toc281573446"/>
      <w:r w:rsidRPr="0009636B">
        <w:rPr>
          <w:b w:val="0"/>
          <w:bCs w:val="0"/>
          <w:i/>
          <w:iCs/>
          <w:sz w:val="22"/>
          <w:szCs w:val="22"/>
        </w:rPr>
        <w:t>Locating</w:t>
      </w:r>
      <w:bookmarkEnd w:id="61"/>
      <w:bookmarkEnd w:id="62"/>
    </w:p>
    <w:p w14:paraId="10872810" w14:textId="77777777" w:rsidR="00F52E30" w:rsidRDefault="00F1758E" w:rsidP="00CF1337">
      <w:pPr>
        <w:pStyle w:val="BodyText"/>
        <w:spacing w:line="240" w:lineRule="auto"/>
        <w:ind w:firstLine="0"/>
      </w:pPr>
      <w:bookmarkStart w:id="64" w:name="_Toc281389160"/>
      <w:bookmarkStart w:id="65" w:name="_Toc281391828"/>
      <w:bookmarkStart w:id="66" w:name="_Toc281392153"/>
      <w:bookmarkStart w:id="67" w:name="_Toc281400615"/>
      <w:bookmarkStart w:id="68" w:name="_Toc281402668"/>
      <w:bookmarkStart w:id="69" w:name="_Toc281405364"/>
      <w:bookmarkStart w:id="70" w:name="_Toc281516544"/>
      <w:bookmarkStart w:id="71" w:name="_Toc281389162"/>
      <w:bookmarkStart w:id="72" w:name="_Toc281391830"/>
      <w:bookmarkStart w:id="73" w:name="_Toc281392155"/>
      <w:bookmarkStart w:id="74" w:name="_Toc281400617"/>
      <w:bookmarkStart w:id="75" w:name="_Toc281402670"/>
      <w:bookmarkStart w:id="76" w:name="_Toc281405366"/>
      <w:bookmarkStart w:id="77" w:name="_Toc281516546"/>
      <w:bookmarkEnd w:id="64"/>
      <w:bookmarkEnd w:id="65"/>
      <w:bookmarkEnd w:id="66"/>
      <w:bookmarkEnd w:id="67"/>
      <w:bookmarkEnd w:id="68"/>
      <w:bookmarkEnd w:id="69"/>
      <w:bookmarkEnd w:id="70"/>
      <w:bookmarkEnd w:id="71"/>
      <w:bookmarkEnd w:id="72"/>
      <w:bookmarkEnd w:id="73"/>
      <w:bookmarkEnd w:id="74"/>
      <w:bookmarkEnd w:id="75"/>
      <w:bookmarkEnd w:id="76"/>
      <w:bookmarkEnd w:id="77"/>
      <w:r>
        <w:t>Achieving a high response rate for BPS:12/17 depends on successfully locating sample members and gaining their cooperation.</w:t>
      </w:r>
      <w:r w:rsidR="00F52E30">
        <w:t xml:space="preserve"> </w:t>
      </w:r>
      <w:r>
        <w:t>The availability, completeness, and accuracy of the locating data collected in the NPSAS:12 and BPS12/14 data collections will impact the success of locating efforts</w:t>
      </w:r>
      <w:r w:rsidR="00174018">
        <w:t xml:space="preserve"> for BPS:12/17</w:t>
      </w:r>
      <w:r>
        <w:t>.</w:t>
      </w:r>
      <w:r w:rsidR="00F52E30">
        <w:t xml:space="preserve"> </w:t>
      </w:r>
      <w:r>
        <w:t>For BPS:12/17, all contact information previously collected for sample members, including current and prior address information, telephone numbers, and email addresses, will be stored in a centralized locator database. This database provides telephone interviewers and tracers with immediate access to all contact information available for BPS:12/17 sample members and to new leads developed through locating efforts</w:t>
      </w:r>
      <w:r w:rsidR="00174018">
        <w:t xml:space="preserve"> during data collection</w:t>
      </w:r>
      <w:r>
        <w:t>.</w:t>
      </w:r>
    </w:p>
    <w:p w14:paraId="48522128" w14:textId="51722DAD" w:rsidR="00F52E30" w:rsidRDefault="00E64DB0" w:rsidP="00CF1337">
      <w:pPr>
        <w:pStyle w:val="BodyText"/>
        <w:spacing w:line="240" w:lineRule="auto"/>
        <w:ind w:firstLine="0"/>
        <w:rPr>
          <w:color w:val="000000"/>
        </w:rPr>
      </w:pPr>
      <w:r>
        <w:t>BPS</w:t>
      </w:r>
      <w:r w:rsidR="00F1758E">
        <w:t xml:space="preserve"> locating procedures use</w:t>
      </w:r>
      <w:r w:rsidR="00F1758E" w:rsidRPr="00624202">
        <w:t xml:space="preserve"> a multi-tiered tracing approach, in which the most cost-effective steps will be taken first to minimize the number of cases that require</w:t>
      </w:r>
      <w:r>
        <w:t xml:space="preserve"> more expensive tracing efforts</w:t>
      </w:r>
      <w:r w:rsidR="00F1758E">
        <w:rPr>
          <w:color w:val="000000"/>
        </w:rPr>
        <w:t>:</w:t>
      </w:r>
    </w:p>
    <w:p w14:paraId="3989DFE9" w14:textId="2C18A3D6" w:rsidR="00F1758E" w:rsidRDefault="00F1758E" w:rsidP="0036453F">
      <w:pPr>
        <w:pStyle w:val="ListNumber"/>
        <w:widowControl w:val="0"/>
        <w:tabs>
          <w:tab w:val="clear" w:pos="360"/>
          <w:tab w:val="num" w:pos="720"/>
        </w:tabs>
        <w:spacing w:after="120"/>
        <w:ind w:left="720"/>
        <w:contextualSpacing w:val="0"/>
      </w:pPr>
      <w:r>
        <w:rPr>
          <w:b/>
          <w:bCs/>
          <w:color w:val="000000"/>
        </w:rPr>
        <w:t>Advance Tracing</w:t>
      </w:r>
      <w:r w:rsidRPr="00624202">
        <w:rPr>
          <w:color w:val="000000"/>
        </w:rPr>
        <w:t xml:space="preserve"> primarily consists of </w:t>
      </w:r>
      <w:r>
        <w:rPr>
          <w:color w:val="000000"/>
        </w:rPr>
        <w:t xml:space="preserve">national database </w:t>
      </w:r>
      <w:r w:rsidRPr="00624202">
        <w:rPr>
          <w:color w:val="000000"/>
        </w:rPr>
        <w:t>batc</w:t>
      </w:r>
      <w:r>
        <w:rPr>
          <w:color w:val="000000"/>
        </w:rPr>
        <w:t xml:space="preserve">h searches </w:t>
      </w:r>
      <w:r w:rsidRPr="00624202">
        <w:rPr>
          <w:color w:val="000000"/>
        </w:rPr>
        <w:t xml:space="preserve">conducted prior to the start </w:t>
      </w:r>
      <w:r w:rsidRPr="00624202">
        <w:rPr>
          <w:color w:val="000000"/>
        </w:rPr>
        <w:lastRenderedPageBreak/>
        <w:t>of data collection.</w:t>
      </w:r>
      <w:r w:rsidR="00F52E30">
        <w:rPr>
          <w:color w:val="000000"/>
        </w:rPr>
        <w:t xml:space="preserve"> </w:t>
      </w:r>
      <w:r>
        <w:rPr>
          <w:color w:val="000000"/>
        </w:rPr>
        <w:t>This step capitalizes on the locating data collected during NPSAS:12 and BPS:12/14</w:t>
      </w:r>
      <w:r>
        <w:t>.</w:t>
      </w:r>
    </w:p>
    <w:p w14:paraId="48CAD8F0" w14:textId="77777777" w:rsidR="00F52E30" w:rsidRDefault="00F1758E" w:rsidP="00CF1337">
      <w:pPr>
        <w:pStyle w:val="ListNumber"/>
        <w:tabs>
          <w:tab w:val="clear" w:pos="360"/>
          <w:tab w:val="num" w:pos="720"/>
        </w:tabs>
        <w:spacing w:after="120"/>
        <w:ind w:left="720"/>
        <w:contextualSpacing w:val="0"/>
      </w:pPr>
      <w:r>
        <w:rPr>
          <w:b/>
          <w:bCs/>
        </w:rPr>
        <w:t xml:space="preserve">Telephone Locating and Interviewing </w:t>
      </w:r>
      <w:r>
        <w:t>includes calling all telephone leads, prompting sample members to complete the online or telephone interview, attempting to get updated contact information from parents or other contacts, and following-up on leads generated by these contact attempts.</w:t>
      </w:r>
    </w:p>
    <w:p w14:paraId="4E7C8155" w14:textId="77777777" w:rsidR="00F52E30" w:rsidRDefault="00F1758E" w:rsidP="00CF1337">
      <w:pPr>
        <w:pStyle w:val="ListNumber"/>
        <w:tabs>
          <w:tab w:val="clear" w:pos="360"/>
          <w:tab w:val="num" w:pos="720"/>
        </w:tabs>
        <w:spacing w:after="120"/>
        <w:ind w:left="720"/>
        <w:contextualSpacing w:val="0"/>
      </w:pPr>
      <w:r>
        <w:rPr>
          <w:b/>
          <w:bCs/>
        </w:rPr>
        <w:t>Pre-Intensive Batch Tracing</w:t>
      </w:r>
      <w:r w:rsidRPr="00C23DB9">
        <w:t xml:space="preserve"> </w:t>
      </w:r>
      <w:r>
        <w:t>is conducted between telephone locating efforts and intensive tracing, and is intended to locate cases as inexpensively as possible before moving on to more costly intensive tracing efforts.</w:t>
      </w:r>
    </w:p>
    <w:p w14:paraId="08D035DE" w14:textId="77777777" w:rsidR="00F52E30" w:rsidRDefault="00F1758E" w:rsidP="00CF1337">
      <w:pPr>
        <w:pStyle w:val="ListNumber"/>
        <w:tabs>
          <w:tab w:val="clear" w:pos="360"/>
          <w:tab w:val="num" w:pos="720"/>
        </w:tabs>
        <w:spacing w:after="120"/>
        <w:ind w:left="720"/>
        <w:contextualSpacing w:val="0"/>
      </w:pPr>
      <w:r>
        <w:rPr>
          <w:b/>
          <w:bCs/>
        </w:rPr>
        <w:t xml:space="preserve">Intensive Tracing </w:t>
      </w:r>
      <w:r>
        <w:t xml:space="preserve">consists of tracers checking all telephone numbers </w:t>
      </w:r>
      <w:r>
        <w:rPr>
          <w:color w:val="000000"/>
        </w:rPr>
        <w:t>and conducting credit bureau database searches after all current telephone numbers have been exhausted</w:t>
      </w:r>
      <w:r>
        <w:t>.</w:t>
      </w:r>
    </w:p>
    <w:p w14:paraId="56CDAB16" w14:textId="197A6DBA" w:rsidR="00F1758E" w:rsidRDefault="00F1758E" w:rsidP="00CF1337">
      <w:pPr>
        <w:pStyle w:val="ListNumber"/>
        <w:tabs>
          <w:tab w:val="clear" w:pos="360"/>
          <w:tab w:val="num" w:pos="720"/>
        </w:tabs>
        <w:spacing w:after="120"/>
        <w:ind w:left="720"/>
        <w:contextualSpacing w:val="0"/>
      </w:pPr>
      <w:r>
        <w:rPr>
          <w:b/>
          <w:bCs/>
        </w:rPr>
        <w:t xml:space="preserve">Other Locating Activities </w:t>
      </w:r>
      <w:r>
        <w:t>will take place as needed and may include use of social networking sites and use of new tracing resources.</w:t>
      </w:r>
    </w:p>
    <w:p w14:paraId="78C82DF8" w14:textId="77777777" w:rsidR="00F52E30" w:rsidRDefault="00F1758E" w:rsidP="00CF1337">
      <w:pPr>
        <w:pStyle w:val="BodyTextnoindent0"/>
        <w:spacing w:line="240" w:lineRule="auto"/>
      </w:pPr>
      <w:r w:rsidRPr="006850B1">
        <w:rPr>
          <w:b/>
          <w:bCs/>
          <w:color w:val="000000"/>
        </w:rPr>
        <w:t xml:space="preserve">Initial Contact Update. </w:t>
      </w:r>
      <w:r>
        <w:rPr>
          <w:color w:val="000000"/>
        </w:rPr>
        <w:t>BPS:12/17 will conduct an initial contact address update t</w:t>
      </w:r>
      <w:r>
        <w:t>o encourage sample members to update their contact information prior to the start of data collection. The initial contact mailing and email will introduce the study and ask sample members to update their contact information via the study website.</w:t>
      </w:r>
      <w:r w:rsidR="00F52E30">
        <w:t xml:space="preserve"> </w:t>
      </w:r>
      <w:r>
        <w:t>The address update will be conducted a few weeks prior to the start of full-scale data collection.</w:t>
      </w:r>
    </w:p>
    <w:p w14:paraId="1FCF4DE9" w14:textId="470F43EF" w:rsidR="00F52E30" w:rsidRDefault="00F1758E" w:rsidP="00CF1337">
      <w:pPr>
        <w:pStyle w:val="BodyTextnoindent0"/>
        <w:spacing w:line="240" w:lineRule="auto"/>
      </w:pPr>
      <w:r>
        <w:t xml:space="preserve">In addition, in the fall of 2016, we will conduct panel maintenance activities on full-scale sample members to encourage them to update their contact information using a </w:t>
      </w:r>
      <w:r w:rsidR="00CD2FF6">
        <w:t>w</w:t>
      </w:r>
      <w:r>
        <w:t>eb address update form.</w:t>
      </w:r>
      <w:r w:rsidR="00ED7CCF">
        <w:t xml:space="preserve"> Conducting panel maintenance activities allows us to maintain up-to-date contact information which increases the likelihood of locating sample members, reduces the time elapsed between contacts, and maximizing response rates for the subsequent follow-up.</w:t>
      </w:r>
      <w:r>
        <w:t xml:space="preserve"> </w:t>
      </w:r>
      <w:r w:rsidR="00926AA1">
        <w:t xml:space="preserve">Approval to conduct the panel maintenance activities on the BPS:12/17 full-scale sample was obtained </w:t>
      </w:r>
      <w:r w:rsidR="00220E2B">
        <w:t>through</w:t>
      </w:r>
      <w:r w:rsidR="00926AA1">
        <w:t xml:space="preserve"> the BPS:12/17 Pilot Test</w:t>
      </w:r>
      <w:r w:rsidR="00F52E30">
        <w:t xml:space="preserve"> </w:t>
      </w:r>
      <w:r w:rsidR="00220E2B">
        <w:t xml:space="preserve">submission </w:t>
      </w:r>
      <w:r w:rsidR="00926AA1" w:rsidRPr="00926AA1">
        <w:t xml:space="preserve">(OMB #1850-0803 </w:t>
      </w:r>
      <w:r w:rsidR="00926AA1" w:rsidRPr="00ED7CCF">
        <w:rPr>
          <w:iCs/>
        </w:rPr>
        <w:t>v.</w:t>
      </w:r>
      <w:r w:rsidR="00926AA1" w:rsidRPr="00926AA1">
        <w:t>150).</w:t>
      </w:r>
      <w:r w:rsidR="00926AA1">
        <w:t xml:space="preserve"> The initial contact letter and email, and the </w:t>
      </w:r>
      <w:r w:rsidR="00CD2FF6">
        <w:t>w</w:t>
      </w:r>
      <w:r w:rsidR="00926AA1">
        <w:t>eb address update form</w:t>
      </w:r>
      <w:r w:rsidR="009005CA">
        <w:t>,</w:t>
      </w:r>
      <w:r w:rsidR="00926AA1">
        <w:t xml:space="preserve"> may be found in Appendix E.</w:t>
      </w:r>
    </w:p>
    <w:p w14:paraId="79112107" w14:textId="32988266" w:rsidR="00F1758E" w:rsidRPr="0009636B" w:rsidRDefault="00F1758E" w:rsidP="00CF1337">
      <w:pPr>
        <w:pStyle w:val="Heading3"/>
        <w:tabs>
          <w:tab w:val="num" w:pos="3240"/>
        </w:tabs>
        <w:spacing w:line="240" w:lineRule="auto"/>
        <w:rPr>
          <w:b w:val="0"/>
          <w:bCs w:val="0"/>
          <w:i/>
          <w:iCs/>
          <w:sz w:val="22"/>
          <w:szCs w:val="22"/>
        </w:rPr>
      </w:pPr>
      <w:bookmarkStart w:id="78" w:name="_Toc370482428"/>
      <w:bookmarkStart w:id="79" w:name="_Toc459815565"/>
      <w:bookmarkStart w:id="80" w:name="_Toc281573444"/>
      <w:r w:rsidRPr="0009636B">
        <w:rPr>
          <w:b w:val="0"/>
          <w:bCs w:val="0"/>
          <w:i/>
          <w:iCs/>
          <w:sz w:val="22"/>
          <w:szCs w:val="22"/>
        </w:rPr>
        <w:t>Prompting Cases with Mail, Email, and SMS Contacts</w:t>
      </w:r>
      <w:bookmarkEnd w:id="78"/>
      <w:bookmarkEnd w:id="79"/>
    </w:p>
    <w:p w14:paraId="212D1330" w14:textId="65B640D5" w:rsidR="00F1758E" w:rsidRPr="006B6482" w:rsidRDefault="00F1758E" w:rsidP="00CF1337">
      <w:pPr>
        <w:pStyle w:val="BodyTextnoindent0"/>
        <w:spacing w:line="240" w:lineRule="auto"/>
      </w:pPr>
      <w:r w:rsidRPr="006B6482">
        <w:t xml:space="preserve">Past experience on recent postsecondary studies, including </w:t>
      </w:r>
      <w:r>
        <w:t xml:space="preserve">the </w:t>
      </w:r>
      <w:r w:rsidRPr="006B6482">
        <w:t>BPS:12/1</w:t>
      </w:r>
      <w:r>
        <w:t>7</w:t>
      </w:r>
      <w:r w:rsidRPr="006B6482">
        <w:t xml:space="preserve"> </w:t>
      </w:r>
      <w:r>
        <w:t>pilot</w:t>
      </w:r>
      <w:r w:rsidRPr="006B6482">
        <w:t xml:space="preserve"> test, has shown that maintaining frequent contact with sample members </w:t>
      </w:r>
      <w:r w:rsidR="00220E2B">
        <w:t>through</w:t>
      </w:r>
      <w:r w:rsidRPr="006B6482">
        <w:t xml:space="preserve"> mailings</w:t>
      </w:r>
      <w:r>
        <w:t xml:space="preserve">, </w:t>
      </w:r>
      <w:r w:rsidRPr="006B6482">
        <w:t>emails</w:t>
      </w:r>
      <w:r>
        <w:t>, and text messages</w:t>
      </w:r>
      <w:r w:rsidRPr="006B6482">
        <w:t xml:space="preserve"> sent at regular intervals </w:t>
      </w:r>
      <w:r w:rsidR="00220E2B">
        <w:t>improves</w:t>
      </w:r>
      <w:r w:rsidRPr="006B6482">
        <w:t xml:space="preserve"> response rates.</w:t>
      </w:r>
      <w:r w:rsidR="00F52E30">
        <w:t xml:space="preserve"> </w:t>
      </w:r>
      <w:r w:rsidRPr="006B6482">
        <w:t xml:space="preserve">The reminders </w:t>
      </w:r>
      <w:r w:rsidR="00220E2B">
        <w:t>that will</w:t>
      </w:r>
      <w:r w:rsidRPr="006B6482">
        <w:t xml:space="preserve"> be </w:t>
      </w:r>
      <w:r w:rsidR="00220E2B" w:rsidRPr="006B6482">
        <w:t xml:space="preserve">regularly </w:t>
      </w:r>
      <w:r w:rsidRPr="006B6482">
        <w:t>sent throughout the study include:</w:t>
      </w:r>
    </w:p>
    <w:p w14:paraId="5945E5D6" w14:textId="47BE328B"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Initial contact letter and email sent to introduce the study and request updated contact information for the sample member.</w:t>
      </w:r>
    </w:p>
    <w:p w14:paraId="698F34EE" w14:textId="12E3283D"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Data collection announcement letter and email</w:t>
      </w:r>
      <w:r>
        <w:rPr>
          <w:rFonts w:ascii="Times New Roman" w:hAnsi="Times New Roman" w:cs="Times New Roman"/>
          <w:sz w:val="24"/>
          <w:szCs w:val="24"/>
        </w:rPr>
        <w:t>s</w:t>
      </w:r>
      <w:r w:rsidRPr="00E71CCD">
        <w:rPr>
          <w:rFonts w:ascii="Times New Roman" w:hAnsi="Times New Roman" w:cs="Times New Roman"/>
          <w:sz w:val="24"/>
          <w:szCs w:val="24"/>
        </w:rPr>
        <w:t xml:space="preserve"> sent to announce the start of the data collection period and encourage sample members to complete the </w:t>
      </w:r>
      <w:r w:rsidR="00ED7CCF">
        <w:rPr>
          <w:rFonts w:ascii="Times New Roman" w:hAnsi="Times New Roman" w:cs="Times New Roman"/>
          <w:sz w:val="24"/>
          <w:szCs w:val="24"/>
        </w:rPr>
        <w:t>w</w:t>
      </w:r>
      <w:r w:rsidRPr="00E71CCD">
        <w:rPr>
          <w:rFonts w:ascii="Times New Roman" w:hAnsi="Times New Roman" w:cs="Times New Roman"/>
          <w:sz w:val="24"/>
          <w:szCs w:val="24"/>
        </w:rPr>
        <w:t>eb interview.</w:t>
      </w:r>
    </w:p>
    <w:p w14:paraId="35EE87C5" w14:textId="77777777"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Reminder letters and postcards sent to nonresponding sample members throughout data collection and customized to address to concerns of nonresponding sample members.</w:t>
      </w:r>
    </w:p>
    <w:p w14:paraId="1ADB6D55" w14:textId="02DF3320"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Brief reminder emails to remind nonresponding sample members to complete the interview.</w:t>
      </w:r>
    </w:p>
    <w:p w14:paraId="6EFE0468" w14:textId="77777777" w:rsidR="00F1758E"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Brief text (SMS) message reminders sent to those sample members who have provided consent to receive text message</w:t>
      </w:r>
      <w:r>
        <w:rPr>
          <w:rFonts w:ascii="Times New Roman" w:hAnsi="Times New Roman" w:cs="Times New Roman"/>
          <w:sz w:val="24"/>
          <w:szCs w:val="24"/>
        </w:rPr>
        <w:t>s</w:t>
      </w:r>
      <w:r w:rsidRPr="00E71CCD">
        <w:rPr>
          <w:rFonts w:ascii="Times New Roman" w:hAnsi="Times New Roman" w:cs="Times New Roman"/>
          <w:sz w:val="24"/>
          <w:szCs w:val="24"/>
        </w:rPr>
        <w:t>.</w:t>
      </w:r>
    </w:p>
    <w:p w14:paraId="57620AB8" w14:textId="154CB2ED" w:rsidR="00CB2CD3" w:rsidRPr="00E71CCD" w:rsidRDefault="00CB2CD3" w:rsidP="00CB2CD3">
      <w:pPr>
        <w:pStyle w:val="ListParagraph"/>
        <w:numPr>
          <w:ilvl w:val="0"/>
          <w:numId w:val="18"/>
        </w:numPr>
        <w:spacing w:before="120" w:after="120"/>
        <w:ind w:left="720"/>
        <w:rPr>
          <w:rFonts w:ascii="Times New Roman" w:hAnsi="Times New Roman" w:cs="Times New Roman"/>
          <w:sz w:val="24"/>
          <w:szCs w:val="24"/>
        </w:rPr>
      </w:pPr>
      <w:r>
        <w:rPr>
          <w:rFonts w:ascii="Times New Roman" w:hAnsi="Times New Roman" w:cs="Times New Roman"/>
          <w:sz w:val="24"/>
          <w:szCs w:val="24"/>
        </w:rPr>
        <w:t>Brief letters and emails sent after the completion of the interview that express gratitude for participation, tell the respondent when to anticipate the incentive, and instruct the respondent on how to contact us with any concerns about the incentive.</w:t>
      </w:r>
    </w:p>
    <w:p w14:paraId="0811D38C" w14:textId="77777777" w:rsidR="00F52E30" w:rsidRDefault="00F1758E" w:rsidP="00CF1337">
      <w:pPr>
        <w:pStyle w:val="BodyTextnoindent0"/>
        <w:spacing w:line="240" w:lineRule="auto"/>
      </w:pPr>
      <w:r w:rsidRPr="00E71CCD">
        <w:t>Example</w:t>
      </w:r>
      <w:r w:rsidR="00524D1C">
        <w:t>s of the planned</w:t>
      </w:r>
      <w:r w:rsidRPr="00E71CCD">
        <w:t xml:space="preserve"> contacting materials </w:t>
      </w:r>
      <w:r>
        <w:t xml:space="preserve">are also included </w:t>
      </w:r>
      <w:r w:rsidRPr="00E71CCD">
        <w:t xml:space="preserve">in Appendix </w:t>
      </w:r>
      <w:r w:rsidR="00EC727F">
        <w:t>E</w:t>
      </w:r>
      <w:r w:rsidRPr="00E71CCD">
        <w:t>.</w:t>
      </w:r>
    </w:p>
    <w:p w14:paraId="5BEFC78A" w14:textId="6EECA8BA" w:rsidR="00F1758E" w:rsidRPr="0009636B" w:rsidRDefault="00F1758E" w:rsidP="00CF1337">
      <w:pPr>
        <w:pStyle w:val="Heading3"/>
        <w:tabs>
          <w:tab w:val="num" w:pos="3240"/>
        </w:tabs>
        <w:spacing w:line="240" w:lineRule="auto"/>
        <w:rPr>
          <w:b w:val="0"/>
          <w:bCs w:val="0"/>
          <w:i/>
          <w:iCs/>
          <w:sz w:val="22"/>
          <w:szCs w:val="22"/>
        </w:rPr>
      </w:pPr>
      <w:bookmarkStart w:id="81" w:name="_Toc370482429"/>
      <w:bookmarkStart w:id="82" w:name="_Toc459815566"/>
      <w:bookmarkEnd w:id="80"/>
      <w:r w:rsidRPr="0009636B">
        <w:rPr>
          <w:b w:val="0"/>
          <w:bCs w:val="0"/>
          <w:i/>
          <w:iCs/>
          <w:sz w:val="22"/>
          <w:szCs w:val="22"/>
        </w:rPr>
        <w:lastRenderedPageBreak/>
        <w:t>Telephone Interviewing and Help Desk Support</w:t>
      </w:r>
      <w:bookmarkEnd w:id="81"/>
      <w:bookmarkEnd w:id="82"/>
    </w:p>
    <w:p w14:paraId="18C6D4FF" w14:textId="499D4BBE" w:rsidR="00F1758E" w:rsidRPr="00C907C9" w:rsidRDefault="00F1758E" w:rsidP="00CF1337">
      <w:pPr>
        <w:pStyle w:val="BodyTextnoindent0"/>
        <w:widowControl w:val="0"/>
        <w:spacing w:before="0" w:line="240" w:lineRule="auto"/>
        <w:rPr>
          <w:rFonts w:asciiTheme="majorBidi" w:hAnsiTheme="majorBidi" w:cstheme="majorBidi"/>
        </w:rPr>
      </w:pPr>
      <w:r>
        <w:rPr>
          <w:b/>
          <w:bCs/>
        </w:rPr>
        <w:t>Telephone interviewer training.</w:t>
      </w:r>
      <w:r>
        <w:t xml:space="preserve"> </w:t>
      </w:r>
      <w:r>
        <w:rPr>
          <w:rFonts w:asciiTheme="majorBidi" w:hAnsiTheme="majorBidi" w:cstheme="majorBidi"/>
        </w:rPr>
        <w:t>Well</w:t>
      </w:r>
      <w:r w:rsidRPr="00E60D57">
        <w:rPr>
          <w:rFonts w:asciiTheme="majorBidi" w:hAnsiTheme="majorBidi" w:cstheme="majorBidi"/>
        </w:rPr>
        <w:t>-trained interviewer</w:t>
      </w:r>
      <w:r>
        <w:rPr>
          <w:rFonts w:asciiTheme="majorBidi" w:hAnsiTheme="majorBidi" w:cstheme="majorBidi"/>
        </w:rPr>
        <w:t xml:space="preserve">s </w:t>
      </w:r>
      <w:r w:rsidRPr="00E60D57">
        <w:rPr>
          <w:rFonts w:asciiTheme="majorBidi" w:hAnsiTheme="majorBidi" w:cstheme="majorBidi"/>
        </w:rPr>
        <w:t>play a critical role in gaining sample member cooperation.</w:t>
      </w:r>
      <w:r w:rsidR="00F52E30">
        <w:rPr>
          <w:rFonts w:asciiTheme="majorBidi" w:hAnsiTheme="majorBidi" w:cstheme="majorBidi"/>
        </w:rPr>
        <w:t xml:space="preserve"> </w:t>
      </w:r>
      <w:r>
        <w:rPr>
          <w:rFonts w:asciiTheme="majorBidi" w:hAnsiTheme="majorBidi" w:cstheme="majorBidi"/>
        </w:rPr>
        <w:t xml:space="preserve">The BPS:12/17 training program will include an </w:t>
      </w:r>
      <w:proofErr w:type="spellStart"/>
      <w:r>
        <w:rPr>
          <w:rFonts w:asciiTheme="majorBidi" w:hAnsiTheme="majorBidi" w:cstheme="majorBidi"/>
        </w:rPr>
        <w:t>iLearning</w:t>
      </w:r>
      <w:proofErr w:type="spellEnd"/>
      <w:r>
        <w:rPr>
          <w:rFonts w:asciiTheme="majorBidi" w:hAnsiTheme="majorBidi" w:cstheme="majorBidi"/>
        </w:rPr>
        <w:t xml:space="preserve"> module</w:t>
      </w:r>
      <w:r w:rsidR="001B3CC5">
        <w:rPr>
          <w:rFonts w:asciiTheme="majorBidi" w:hAnsiTheme="majorBidi" w:cstheme="majorBidi"/>
        </w:rPr>
        <w:t xml:space="preserve"> to </w:t>
      </w:r>
      <w:r>
        <w:rPr>
          <w:rFonts w:asciiTheme="majorBidi" w:hAnsiTheme="majorBidi" w:cstheme="majorBidi"/>
        </w:rPr>
        <w:t xml:space="preserve">provide staff with a </w:t>
      </w:r>
      <w:r w:rsidR="007D4D42">
        <w:rPr>
          <w:rFonts w:asciiTheme="majorBidi" w:hAnsiTheme="majorBidi" w:cstheme="majorBidi"/>
        </w:rPr>
        <w:t xml:space="preserve">study </w:t>
      </w:r>
      <w:r>
        <w:rPr>
          <w:rFonts w:asciiTheme="majorBidi" w:hAnsiTheme="majorBidi" w:cstheme="majorBidi"/>
        </w:rPr>
        <w:t xml:space="preserve">introduction prior to in-person training; 12 hours of in-person </w:t>
      </w:r>
      <w:r w:rsidR="001B3CC5">
        <w:rPr>
          <w:rFonts w:asciiTheme="majorBidi" w:hAnsiTheme="majorBidi" w:cstheme="majorBidi"/>
        </w:rPr>
        <w:t xml:space="preserve">study </w:t>
      </w:r>
      <w:r>
        <w:rPr>
          <w:rFonts w:asciiTheme="majorBidi" w:hAnsiTheme="majorBidi" w:cstheme="majorBidi"/>
        </w:rPr>
        <w:t xml:space="preserve">training </w:t>
      </w:r>
      <w:r w:rsidR="001B3CC5">
        <w:rPr>
          <w:rFonts w:asciiTheme="majorBidi" w:hAnsiTheme="majorBidi" w:cstheme="majorBidi"/>
        </w:rPr>
        <w:t xml:space="preserve">with </w:t>
      </w:r>
      <w:r>
        <w:t>mock interviews, hands-on practice</w:t>
      </w:r>
      <w:r w:rsidR="001B3CC5">
        <w:t>, and other exercises</w:t>
      </w:r>
      <w:r>
        <w:t xml:space="preserve">; </w:t>
      </w:r>
      <w:r>
        <w:rPr>
          <w:rFonts w:asciiTheme="majorBidi" w:hAnsiTheme="majorBidi" w:cstheme="majorBidi"/>
        </w:rPr>
        <w:t>and ongoing training throughout data collection.</w:t>
      </w:r>
      <w:r w:rsidR="00F52E30">
        <w:rPr>
          <w:rFonts w:asciiTheme="majorBidi" w:hAnsiTheme="majorBidi" w:cstheme="majorBidi"/>
        </w:rPr>
        <w:t xml:space="preserve"> </w:t>
      </w:r>
      <w:r>
        <w:t>The BPS:12/17 Telephone Interviewer manual will cover the background and purpose of BPS</w:t>
      </w:r>
      <w:r w:rsidR="001B3CC5">
        <w:t>:12/17</w:t>
      </w:r>
      <w:r>
        <w:t xml:space="preserve">, instructions for providing Help Desk support, and procedures for administering the telephone interview. </w:t>
      </w:r>
      <w:r>
        <w:rPr>
          <w:rFonts w:asciiTheme="majorBidi" w:hAnsiTheme="majorBidi" w:cstheme="majorBidi"/>
        </w:rPr>
        <w:t>At the conclusion of training, all interviewers must meet certification requirements by successfully completing a full-length</w:t>
      </w:r>
      <w:r w:rsidR="001B3CC5">
        <w:rPr>
          <w:rFonts w:asciiTheme="majorBidi" w:hAnsiTheme="majorBidi" w:cstheme="majorBidi"/>
        </w:rPr>
        <w:t xml:space="preserve"> certification</w:t>
      </w:r>
      <w:r>
        <w:rPr>
          <w:rFonts w:asciiTheme="majorBidi" w:hAnsiTheme="majorBidi" w:cstheme="majorBidi"/>
        </w:rPr>
        <w:t xml:space="preserve"> interview</w:t>
      </w:r>
      <w:r w:rsidR="001B3CC5">
        <w:rPr>
          <w:rFonts w:asciiTheme="majorBidi" w:hAnsiTheme="majorBidi" w:cstheme="majorBidi"/>
        </w:rPr>
        <w:t xml:space="preserve"> and </w:t>
      </w:r>
      <w:r>
        <w:rPr>
          <w:rFonts w:asciiTheme="majorBidi" w:hAnsiTheme="majorBidi" w:cstheme="majorBidi"/>
        </w:rPr>
        <w:t xml:space="preserve">an oral </w:t>
      </w:r>
      <w:r w:rsidR="001B3CC5">
        <w:rPr>
          <w:rFonts w:asciiTheme="majorBidi" w:hAnsiTheme="majorBidi" w:cstheme="majorBidi"/>
        </w:rPr>
        <w:t xml:space="preserve">test </w:t>
      </w:r>
      <w:r>
        <w:rPr>
          <w:rFonts w:asciiTheme="majorBidi" w:hAnsiTheme="majorBidi" w:cstheme="majorBidi"/>
        </w:rPr>
        <w:t>of the study’s Frequently Asked Questions</w:t>
      </w:r>
      <w:r w:rsidR="001B3CC5">
        <w:rPr>
          <w:rFonts w:asciiTheme="majorBidi" w:hAnsiTheme="majorBidi" w:cstheme="majorBidi"/>
        </w:rPr>
        <w:t>,</w:t>
      </w:r>
      <w:r>
        <w:rPr>
          <w:rFonts w:asciiTheme="majorBidi" w:hAnsiTheme="majorBidi" w:cstheme="majorBidi"/>
        </w:rPr>
        <w:t xml:space="preserve"> and </w:t>
      </w:r>
      <w:r w:rsidR="001B3CC5">
        <w:rPr>
          <w:rFonts w:asciiTheme="majorBidi" w:hAnsiTheme="majorBidi" w:cstheme="majorBidi"/>
        </w:rPr>
        <w:t xml:space="preserve">by </w:t>
      </w:r>
      <w:r>
        <w:rPr>
          <w:rFonts w:asciiTheme="majorBidi" w:hAnsiTheme="majorBidi" w:cstheme="majorBidi"/>
        </w:rPr>
        <w:t xml:space="preserve">demonstrating </w:t>
      </w:r>
      <w:r w:rsidR="00EC727F">
        <w:rPr>
          <w:rFonts w:asciiTheme="majorBidi" w:hAnsiTheme="majorBidi" w:cstheme="majorBidi"/>
        </w:rPr>
        <w:t>proper</w:t>
      </w:r>
      <w:r>
        <w:rPr>
          <w:rFonts w:asciiTheme="majorBidi" w:hAnsiTheme="majorBidi" w:cstheme="majorBidi"/>
        </w:rPr>
        <w:t xml:space="preserve"> pronunciation of study terms. Interviewers will be expected to knowledgably and extemporaneously respond to sample members’ questions about the study, thereby increasing their chances of gaining cooperation.</w:t>
      </w:r>
    </w:p>
    <w:p w14:paraId="6079E6BA" w14:textId="77777777" w:rsidR="00F52E30" w:rsidRDefault="00F1758E" w:rsidP="00CF1337">
      <w:pPr>
        <w:pStyle w:val="BodyTextnoindent0"/>
        <w:spacing w:line="240" w:lineRule="auto"/>
      </w:pPr>
      <w:r>
        <w:rPr>
          <w:b/>
          <w:bCs/>
        </w:rPr>
        <w:t>Interviewing and Prompting.</w:t>
      </w:r>
      <w:r>
        <w:t xml:space="preserve"> Interviews will be conducted using a single</w:t>
      </w:r>
      <w:r w:rsidR="00122827">
        <w:t>,</w:t>
      </w:r>
      <w:r>
        <w:t xml:space="preserve"> web-based survey instrument for all modes of data collection—self-administered (via computer or mobile device) or interviewer-administered (via telephone interviewers).</w:t>
      </w:r>
      <w:r w:rsidR="00F52E30">
        <w:t xml:space="preserve"> </w:t>
      </w:r>
      <w:r>
        <w:t>D</w:t>
      </w:r>
      <w:r w:rsidRPr="00F73EAF">
        <w:t xml:space="preserve">ata collection </w:t>
      </w:r>
      <w:r>
        <w:t xml:space="preserve">for the calibration study will begin in February 2017, and </w:t>
      </w:r>
      <w:r w:rsidR="00122827">
        <w:t xml:space="preserve">calibration </w:t>
      </w:r>
      <w:r>
        <w:t xml:space="preserve">sample members will be encouraged to complete the survey on the </w:t>
      </w:r>
      <w:r w:rsidR="00ED7CCF">
        <w:t>w</w:t>
      </w:r>
      <w:r>
        <w:t xml:space="preserve">eb during the initial 4-week early completion period, followed by outbound calling for sample members who did not </w:t>
      </w:r>
      <w:r w:rsidR="00122827">
        <w:t xml:space="preserve">respond </w:t>
      </w:r>
      <w:r>
        <w:t>during the early completion period.</w:t>
      </w:r>
    </w:p>
    <w:p w14:paraId="79E6326C" w14:textId="2EED4B99" w:rsidR="00F1758E" w:rsidRDefault="00F1758E" w:rsidP="00CF1337">
      <w:pPr>
        <w:pStyle w:val="BodyTextnoindent0"/>
        <w:widowControl w:val="0"/>
        <w:spacing w:line="240" w:lineRule="auto"/>
        <w:rPr>
          <w:rFonts w:asciiTheme="majorBidi" w:hAnsiTheme="majorBidi" w:cstheme="majorBidi"/>
        </w:rPr>
      </w:pPr>
      <w:r>
        <w:t>Telephone interviewing and prompting will be managed using the CATI Case Management System (CMS).</w:t>
      </w:r>
      <w:r w:rsidR="00F52E30">
        <w:t xml:space="preserve"> </w:t>
      </w:r>
      <w:r>
        <w:t xml:space="preserve">The CATI-CMS is equipped </w:t>
      </w:r>
      <w:r w:rsidR="00670F9D">
        <w:rPr>
          <w:rFonts w:asciiTheme="majorBidi" w:hAnsiTheme="majorBidi" w:cstheme="majorBidi"/>
        </w:rPr>
        <w:t>to provide</w:t>
      </w:r>
      <w:r>
        <w:rPr>
          <w:rFonts w:asciiTheme="majorBidi" w:hAnsiTheme="majorBidi" w:cstheme="majorBidi"/>
        </w:rPr>
        <w:t>:</w:t>
      </w:r>
    </w:p>
    <w:p w14:paraId="0F2957F1" w14:textId="07C8EE92" w:rsidR="00F1758E" w:rsidRDefault="00F1758E" w:rsidP="006C5A57">
      <w:pPr>
        <w:pStyle w:val="bulletround"/>
        <w:widowControl w:val="0"/>
        <w:tabs>
          <w:tab w:val="clear" w:pos="1080"/>
          <w:tab w:val="left" w:pos="720"/>
          <w:tab w:val="num" w:pos="1440"/>
        </w:tabs>
        <w:ind w:left="450" w:hanging="274"/>
        <w:rPr>
          <w:rFonts w:asciiTheme="majorBidi" w:hAnsiTheme="majorBidi" w:cstheme="majorBidi"/>
        </w:rPr>
      </w:pPr>
      <w:r>
        <w:rPr>
          <w:rFonts w:asciiTheme="majorBidi" w:hAnsiTheme="majorBidi" w:cstheme="majorBidi"/>
        </w:rPr>
        <w:t>Complete record</w:t>
      </w:r>
      <w:r w:rsidR="00670F9D">
        <w:rPr>
          <w:rFonts w:asciiTheme="majorBidi" w:hAnsiTheme="majorBidi" w:cstheme="majorBidi"/>
        </w:rPr>
        <w:t>s</w:t>
      </w:r>
      <w:r>
        <w:rPr>
          <w:rFonts w:asciiTheme="majorBidi" w:hAnsiTheme="majorBidi" w:cstheme="majorBidi"/>
        </w:rPr>
        <w:t xml:space="preserve"> of locating information and histories of locating and contacting efforts for each case;</w:t>
      </w:r>
    </w:p>
    <w:p w14:paraId="401F7205" w14:textId="6342C9CC" w:rsidR="00F1758E" w:rsidRDefault="00670F9D" w:rsidP="006C5A57">
      <w:pPr>
        <w:pStyle w:val="ListParagraph"/>
        <w:widowControl w:val="0"/>
        <w:numPr>
          <w:ilvl w:val="0"/>
          <w:numId w:val="1"/>
        </w:numPr>
        <w:tabs>
          <w:tab w:val="num" w:pos="1440"/>
        </w:tabs>
        <w:spacing w:after="120"/>
        <w:ind w:left="450" w:hanging="274"/>
        <w:contextualSpacing/>
        <w:rPr>
          <w:rFonts w:asciiTheme="majorBidi" w:hAnsiTheme="majorBidi" w:cstheme="majorBidi"/>
          <w:sz w:val="24"/>
          <w:szCs w:val="24"/>
        </w:rPr>
      </w:pPr>
      <w:r>
        <w:rPr>
          <w:rFonts w:asciiTheme="majorBidi" w:hAnsiTheme="majorBidi" w:cstheme="majorBidi"/>
          <w:sz w:val="24"/>
          <w:szCs w:val="24"/>
        </w:rPr>
        <w:t>R</w:t>
      </w:r>
      <w:r w:rsidR="00F1758E">
        <w:rPr>
          <w:rFonts w:asciiTheme="majorBidi" w:hAnsiTheme="majorBidi" w:cstheme="majorBidi"/>
          <w:sz w:val="24"/>
          <w:szCs w:val="24"/>
        </w:rPr>
        <w:t>eporting capabilities, including default reports on the aggregate status of cases and custom reports</w:t>
      </w:r>
      <w:r>
        <w:rPr>
          <w:rFonts w:asciiTheme="majorBidi" w:hAnsiTheme="majorBidi" w:cstheme="majorBidi"/>
          <w:sz w:val="24"/>
          <w:szCs w:val="24"/>
        </w:rPr>
        <w:t xml:space="preserve"> defined as needed</w:t>
      </w:r>
      <w:r w:rsidR="00F1758E">
        <w:rPr>
          <w:rFonts w:asciiTheme="majorBidi" w:hAnsiTheme="majorBidi" w:cstheme="majorBidi"/>
          <w:sz w:val="24"/>
          <w:szCs w:val="24"/>
        </w:rPr>
        <w:t>;</w:t>
      </w:r>
    </w:p>
    <w:p w14:paraId="11660FDF" w14:textId="1443A37C" w:rsidR="00F1758E" w:rsidRDefault="00F1758E" w:rsidP="006C5A57">
      <w:pPr>
        <w:pStyle w:val="bulletround"/>
        <w:widowControl w:val="0"/>
        <w:tabs>
          <w:tab w:val="clear" w:pos="1080"/>
          <w:tab w:val="left" w:pos="720"/>
          <w:tab w:val="num" w:pos="1440"/>
        </w:tabs>
        <w:ind w:left="447" w:hanging="274"/>
        <w:rPr>
          <w:rFonts w:asciiTheme="majorBidi" w:hAnsiTheme="majorBidi" w:cstheme="majorBidi"/>
        </w:rPr>
      </w:pPr>
      <w:r>
        <w:rPr>
          <w:rFonts w:asciiTheme="majorBidi" w:hAnsiTheme="majorBidi" w:cstheme="majorBidi"/>
        </w:rPr>
        <w:t>A</w:t>
      </w:r>
      <w:r w:rsidR="00670F9D">
        <w:rPr>
          <w:rFonts w:asciiTheme="majorBidi" w:hAnsiTheme="majorBidi" w:cstheme="majorBidi"/>
        </w:rPr>
        <w:t>n a</w:t>
      </w:r>
      <w:r>
        <w:rPr>
          <w:rFonts w:asciiTheme="majorBidi" w:hAnsiTheme="majorBidi" w:cstheme="majorBidi"/>
        </w:rPr>
        <w:t>utomated scheduling module, which provides highly efficient case assignment and delivery functions, reduces supervisory and clerical time, and improves execution on the part of interviewers and supervisors by automatically monitoring appointments and callbacks. The scheduler delivers cases to telephone interviewers and incorporates the following efficiency features:</w:t>
      </w:r>
    </w:p>
    <w:p w14:paraId="137BA0A0"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automatic delivery of appointment and call-back cases at specified times;</w:t>
      </w:r>
    </w:p>
    <w:p w14:paraId="08CDDFF6"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sorting of non-appointment cases according to parameters and priorities set by project staff;</w:t>
      </w:r>
    </w:p>
    <w:p w14:paraId="5D159EEE"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complete records of calls and tracking of all previous outcomes; and</w:t>
      </w:r>
    </w:p>
    <w:p w14:paraId="217F0401"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tracking of problem cases for supervisor action or supervisor review.</w:t>
      </w:r>
    </w:p>
    <w:p w14:paraId="5C9C5BEB" w14:textId="326F99CE" w:rsidR="00F52E30" w:rsidRDefault="00F1758E" w:rsidP="00CF1337">
      <w:pPr>
        <w:pStyle w:val="BodyTextnoindent0"/>
        <w:spacing w:line="240" w:lineRule="auto"/>
      </w:pPr>
      <w:r>
        <w:t>For most cases, outbound prompting will begin 4 weeks after the start of data collection.</w:t>
      </w:r>
      <w:r w:rsidR="00F52E30">
        <w:t xml:space="preserve"> </w:t>
      </w:r>
      <w:r w:rsidRPr="007F1381">
        <w:t>As</w:t>
      </w:r>
      <w:r>
        <w:t xml:space="preserve"> with NPSAS:12 and BPS:12/14, RTI plans to initiate telephone prompting efforts earlier for some challenging cases to maximize response rates.</w:t>
      </w:r>
      <w:r w:rsidR="00F52E30">
        <w:t xml:space="preserve"> </w:t>
      </w:r>
      <w:r>
        <w:t xml:space="preserve">These may include NPSAS:12 and BPS:12/14 </w:t>
      </w:r>
      <w:proofErr w:type="spellStart"/>
      <w:r>
        <w:t>nonrespondents</w:t>
      </w:r>
      <w:proofErr w:type="spellEnd"/>
      <w:r>
        <w:t xml:space="preserve"> and sample members from institutional sectors with historically low participation rates.</w:t>
      </w:r>
      <w:r w:rsidR="00F52E30">
        <w:t xml:space="preserve"> </w:t>
      </w:r>
      <w:r>
        <w:t>For these cases, outbound prompting may begin as early as 2 weeks after the start of data collection.</w:t>
      </w:r>
    </w:p>
    <w:p w14:paraId="66403CD4" w14:textId="48E3C796" w:rsidR="00F1758E" w:rsidRDefault="00F1758E" w:rsidP="00CF1337">
      <w:pPr>
        <w:pStyle w:val="BodyTextnoindent0"/>
        <w:spacing w:line="240" w:lineRule="auto"/>
        <w:rPr>
          <w:rFonts w:asciiTheme="majorBidi" w:hAnsiTheme="majorBidi" w:cstheme="majorBidi"/>
        </w:rPr>
      </w:pPr>
      <w:r>
        <w:rPr>
          <w:b/>
          <w:bCs/>
        </w:rPr>
        <w:t>Refusal Aversion and Conversion.</w:t>
      </w:r>
      <w:r>
        <w:t xml:space="preserve"> Recognizing and avoiding refusals is important to maximizing the response rate for BPS:12/17. </w:t>
      </w:r>
      <w:r>
        <w:rPr>
          <w:rFonts w:asciiTheme="majorBidi" w:hAnsiTheme="majorBidi" w:cstheme="majorBidi"/>
        </w:rPr>
        <w:t>All interviewers will be</w:t>
      </w:r>
      <w:r w:rsidRPr="00BA2F71">
        <w:rPr>
          <w:rFonts w:asciiTheme="majorBidi" w:hAnsiTheme="majorBidi" w:cstheme="majorBidi"/>
        </w:rPr>
        <w:t xml:space="preserve"> train</w:t>
      </w:r>
      <w:r>
        <w:rPr>
          <w:rFonts w:asciiTheme="majorBidi" w:hAnsiTheme="majorBidi" w:cstheme="majorBidi"/>
        </w:rPr>
        <w:t xml:space="preserve">ed </w:t>
      </w:r>
      <w:r w:rsidRPr="00BA2F71">
        <w:rPr>
          <w:rFonts w:asciiTheme="majorBidi" w:hAnsiTheme="majorBidi" w:cstheme="majorBidi"/>
        </w:rPr>
        <w:t>in techniques that are designed to gain cooperation and avoid refusals whenever possible.</w:t>
      </w:r>
      <w:r w:rsidR="00F52E30">
        <w:rPr>
          <w:rFonts w:asciiTheme="majorBidi" w:hAnsiTheme="majorBidi" w:cstheme="majorBidi"/>
        </w:rPr>
        <w:t xml:space="preserve"> </w:t>
      </w:r>
      <w:r w:rsidR="008D6BB6">
        <w:rPr>
          <w:rFonts w:asciiTheme="majorBidi" w:hAnsiTheme="majorBidi" w:cstheme="majorBidi"/>
        </w:rPr>
        <w:t>BPS</w:t>
      </w:r>
      <w:r w:rsidRPr="00BA2F71">
        <w:rPr>
          <w:rFonts w:asciiTheme="majorBidi" w:hAnsiTheme="majorBidi" w:cstheme="majorBidi"/>
        </w:rPr>
        <w:t xml:space="preserve"> training program stresses the importance of learning the most frequently asked question</w:t>
      </w:r>
      <w:r>
        <w:rPr>
          <w:rFonts w:asciiTheme="majorBidi" w:hAnsiTheme="majorBidi" w:cstheme="majorBidi"/>
        </w:rPr>
        <w:t>s</w:t>
      </w:r>
      <w:r w:rsidR="007D4D42">
        <w:rPr>
          <w:rFonts w:asciiTheme="majorBidi" w:hAnsiTheme="majorBidi" w:cstheme="majorBidi"/>
        </w:rPr>
        <w:t xml:space="preserve">. When </w:t>
      </w:r>
      <w:r>
        <w:rPr>
          <w:rFonts w:asciiTheme="majorBidi" w:hAnsiTheme="majorBidi" w:cstheme="majorBidi"/>
        </w:rPr>
        <w:t>a sample member</w:t>
      </w:r>
      <w:r w:rsidRPr="00BA2F71">
        <w:rPr>
          <w:rFonts w:asciiTheme="majorBidi" w:hAnsiTheme="majorBidi" w:cstheme="majorBidi"/>
        </w:rPr>
        <w:t xml:space="preserve"> has concerns about participation, interviewers are expected to respond to these questions</w:t>
      </w:r>
      <w:r>
        <w:rPr>
          <w:rFonts w:asciiTheme="majorBidi" w:hAnsiTheme="majorBidi" w:cstheme="majorBidi"/>
        </w:rPr>
        <w:t xml:space="preserve"> knowledgably and confidently.</w:t>
      </w:r>
    </w:p>
    <w:p w14:paraId="496A6CA7" w14:textId="073FDBE1" w:rsidR="00F1758E" w:rsidRPr="00EC727F" w:rsidRDefault="00F1758E" w:rsidP="00CF1337">
      <w:pPr>
        <w:pStyle w:val="BodyTextnoindent0"/>
        <w:spacing w:line="240" w:lineRule="auto"/>
      </w:pPr>
      <w:r w:rsidRPr="00EC727F">
        <w:t>Supervisors will monitor interviewers intensively during the early weeks of data collection and provide retraining as necessary. In addition, supervisors will review daily interviewer production reports to identify and retrain any interviewers with unacceptable numbers of refusals or other problems. 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w:t>
      </w:r>
      <w:r w:rsidR="00C07AD4">
        <w:t>. N</w:t>
      </w:r>
      <w:r w:rsidRPr="00EC727F">
        <w:t>o refusal or partial interview will be coded as final without supervisory review and approval.</w:t>
      </w:r>
    </w:p>
    <w:p w14:paraId="2C4523C9" w14:textId="77777777" w:rsidR="00F52E30" w:rsidRDefault="00F1758E" w:rsidP="00CF1337">
      <w:pPr>
        <w:pStyle w:val="BodyText"/>
        <w:spacing w:line="240" w:lineRule="auto"/>
        <w:ind w:firstLine="0"/>
        <w:rPr>
          <w:rFonts w:asciiTheme="majorBidi" w:hAnsiTheme="majorBidi" w:cstheme="majorBidi"/>
        </w:rPr>
      </w:pPr>
      <w:r>
        <w:rPr>
          <w:rFonts w:asciiTheme="majorBidi" w:hAnsiTheme="majorBidi" w:cstheme="majorBidi"/>
        </w:rPr>
        <w:lastRenderedPageBreak/>
        <w:t>If follow-up to an initial refusal is not appropriate (e.g., there are extenuating circumstances such as illness or the sample member firmly requested no further contact), the case will be coded as final and no additional contact will be made. If the case appears to be a “soft” refusal (i.e., an initial refusal that warrants conversion efforts – such as expressions of too little time or lack of interest or a telephone hang-up without comment), follow-up will be assigned to a member of a special refusal conversion team of interviewers skilled at converting refusals. Refusal conversion efforts will be delayed until at least 1 week after the initial refusal. Attempts at refusal conversion will not be made with individuals who become verbally aggressive or who threaten to take legal or other action. Project staff sometimes receive refusals via email or calls to the project toll-free line. These refusals are included in the CATI record of events and coded as final when appropriate.</w:t>
      </w:r>
    </w:p>
    <w:p w14:paraId="62450F32" w14:textId="757F35F0" w:rsidR="00F1758E" w:rsidRPr="0009636B" w:rsidRDefault="00F1758E" w:rsidP="00CF1337">
      <w:pPr>
        <w:pStyle w:val="Heading3"/>
        <w:tabs>
          <w:tab w:val="num" w:pos="3240"/>
        </w:tabs>
        <w:spacing w:line="240" w:lineRule="auto"/>
        <w:rPr>
          <w:b w:val="0"/>
          <w:bCs w:val="0"/>
          <w:i/>
          <w:iCs/>
          <w:sz w:val="22"/>
          <w:szCs w:val="22"/>
        </w:rPr>
      </w:pPr>
      <w:bookmarkStart w:id="83" w:name="_Toc279664175"/>
      <w:bookmarkStart w:id="84" w:name="_Toc279664270"/>
      <w:bookmarkStart w:id="85" w:name="_Toc279664318"/>
      <w:bookmarkStart w:id="86" w:name="_Toc279664177"/>
      <w:bookmarkStart w:id="87" w:name="_Toc279664272"/>
      <w:bookmarkStart w:id="88" w:name="_Toc279664320"/>
      <w:bookmarkStart w:id="89" w:name="_Toc281573445"/>
      <w:bookmarkStart w:id="90" w:name="_Toc370482430"/>
      <w:bookmarkStart w:id="91" w:name="_Toc459815567"/>
      <w:bookmarkEnd w:id="83"/>
      <w:bookmarkEnd w:id="84"/>
      <w:bookmarkEnd w:id="85"/>
      <w:bookmarkEnd w:id="86"/>
      <w:bookmarkEnd w:id="87"/>
      <w:bookmarkEnd w:id="88"/>
      <w:r w:rsidRPr="0009636B">
        <w:rPr>
          <w:b w:val="0"/>
          <w:bCs w:val="0"/>
          <w:i/>
          <w:iCs/>
          <w:sz w:val="22"/>
          <w:szCs w:val="22"/>
        </w:rPr>
        <w:t>Quality Control</w:t>
      </w:r>
      <w:bookmarkEnd w:id="89"/>
      <w:bookmarkEnd w:id="90"/>
      <w:bookmarkEnd w:id="91"/>
    </w:p>
    <w:p w14:paraId="43C7E775" w14:textId="37C08399" w:rsidR="00F52E30" w:rsidRDefault="00F1758E" w:rsidP="00CF1337">
      <w:pPr>
        <w:pStyle w:val="BodyTextnoindent0"/>
        <w:spacing w:line="240" w:lineRule="auto"/>
      </w:pPr>
      <w:r w:rsidRPr="00EC727F">
        <w:t xml:space="preserve">Interviewer monitoring will be conducted using the Quality Evaluation System (QUEST) as a quality control measure throughout the data collection. QUEST is a system developed by a team of RTI researchers, methodologists, and operations staff focused on developing standardized monitoring protocols, performance measures, evaluation criteria, reports, and appropriate system security controls. It is a comprehensive performance quality monitoring system that includes standard systems and procedures for all phases of the interview process, including </w:t>
      </w:r>
      <w:r w:rsidR="00C07AD4">
        <w:t xml:space="preserve">(a) </w:t>
      </w:r>
      <w:r w:rsidRPr="00EC727F">
        <w:t>obtaining respondent consent for recording, interviewing respondents who refuse consent for recording, and monitoring refusals at the interviewer level;</w:t>
      </w:r>
      <w:r w:rsidR="00C07AD4">
        <w:t xml:space="preserve"> (b)</w:t>
      </w:r>
      <w:r w:rsidRPr="00EC727F">
        <w:t xml:space="preserve"> sampling of completed interviews by interviewer and evaluating interviewer performance; </w:t>
      </w:r>
      <w:r w:rsidR="00C07AD4">
        <w:t xml:space="preserve">(c) </w:t>
      </w:r>
      <w:r w:rsidRPr="00EC727F">
        <w:t>maintaining an online database of interviewer performance data; and</w:t>
      </w:r>
      <w:r w:rsidR="00C07AD4">
        <w:t xml:space="preserve"> (d)</w:t>
      </w:r>
      <w:r w:rsidRPr="00EC727F">
        <w:t xml:space="preserve"> addressing potential problems through supplemental training.</w:t>
      </w:r>
    </w:p>
    <w:p w14:paraId="1E4039DE" w14:textId="77777777" w:rsidR="00F52E30" w:rsidRDefault="00F1758E" w:rsidP="00CF1337">
      <w:pPr>
        <w:pStyle w:val="BodyText"/>
        <w:spacing w:line="240" w:lineRule="auto"/>
        <w:ind w:firstLine="0"/>
      </w:pPr>
      <w:r>
        <w:t>As in previous studies, calls will be reviewed by call center supervisors for key elements such as professionalism and presentation; case management and refusal conversion; and reading, probing, and keying skills. Feedback will be provided to interviewers and patterns of poor performance will be carefully documented, and if necessary, addressed with additional training.</w:t>
      </w:r>
      <w:r w:rsidR="00F52E30">
        <w:t xml:space="preserve"> </w:t>
      </w:r>
      <w:r>
        <w:t>Sample members will be notified that the interview may be monitored by supervisory staff.</w:t>
      </w:r>
    </w:p>
    <w:p w14:paraId="01105F8A" w14:textId="77777777" w:rsidR="00F52E30" w:rsidRDefault="00F1758E" w:rsidP="00CF1337">
      <w:pPr>
        <w:pStyle w:val="BodyTextnoindent0"/>
        <w:spacing w:line="240" w:lineRule="auto"/>
      </w:pPr>
      <w:r w:rsidRPr="00DF72C2">
        <w:t xml:space="preserve">Regular Quality Circle meetings </w:t>
      </w:r>
      <w:r>
        <w:t>will provide another opportunity to ensure quality and consistency in interview administration.</w:t>
      </w:r>
      <w:r w:rsidR="00F52E30">
        <w:t xml:space="preserve"> </w:t>
      </w:r>
      <w:r>
        <w:t xml:space="preserve">These meetings </w:t>
      </w:r>
      <w:r w:rsidRPr="00DF72C2">
        <w:t xml:space="preserve">give interviewers </w:t>
      </w:r>
      <w:r>
        <w:t>a forum</w:t>
      </w:r>
      <w:r w:rsidRPr="00DF72C2">
        <w:t xml:space="preserve"> to ask questions about best practices and share their experiences with other interviewers.</w:t>
      </w:r>
      <w:r w:rsidR="00F52E30">
        <w:t xml:space="preserve"> </w:t>
      </w:r>
      <w:r w:rsidRPr="00DF72C2">
        <w:t>They provide opportunities for brainstorming strategies for avoiding or converting refusals and optimizing interview quality, which ensures a positive experience for sample members.</w:t>
      </w:r>
    </w:p>
    <w:p w14:paraId="04B4291D" w14:textId="20F8BA50" w:rsidR="00E82B01" w:rsidRPr="0009636B" w:rsidRDefault="007D4D42" w:rsidP="00CF1337">
      <w:pPr>
        <w:pStyle w:val="Heading3"/>
        <w:spacing w:line="240" w:lineRule="auto"/>
        <w:rPr>
          <w:b w:val="0"/>
          <w:bCs w:val="0"/>
          <w:i/>
          <w:iCs/>
          <w:sz w:val="22"/>
          <w:szCs w:val="22"/>
        </w:rPr>
      </w:pPr>
      <w:bookmarkStart w:id="92" w:name="_Toc430962811"/>
      <w:bookmarkStart w:id="93" w:name="_Toc433779228"/>
      <w:bookmarkStart w:id="94" w:name="_Toc459815568"/>
      <w:r w:rsidRPr="0009636B">
        <w:rPr>
          <w:b w:val="0"/>
          <w:bCs w:val="0"/>
          <w:i/>
          <w:iCs/>
          <w:sz w:val="22"/>
          <w:szCs w:val="22"/>
        </w:rPr>
        <w:t>Administrative Record Collections</w:t>
      </w:r>
      <w:bookmarkEnd w:id="92"/>
      <w:bookmarkEnd w:id="93"/>
      <w:bookmarkEnd w:id="94"/>
    </w:p>
    <w:p w14:paraId="79F7321F" w14:textId="383E1122" w:rsidR="005726E4" w:rsidRDefault="005726E4" w:rsidP="005726E4">
      <w:pPr>
        <w:pStyle w:val="BodyText"/>
        <w:spacing w:before="0" w:line="240" w:lineRule="auto"/>
        <w:ind w:firstLine="0"/>
        <w:rPr>
          <w:rFonts w:asciiTheme="majorBidi" w:hAnsiTheme="majorBidi" w:cstheme="majorBidi"/>
        </w:rPr>
      </w:pPr>
      <w:r>
        <w:rPr>
          <w:rFonts w:asciiTheme="majorBidi" w:hAnsiTheme="majorBidi" w:cstheme="majorBidi"/>
        </w:rPr>
        <w:t>The following sections describes the approach that we will employ in order to efficiently collect transcripts and student records from institutions. The general approach is described</w:t>
      </w:r>
      <w:r w:rsidR="00C04181" w:rsidRPr="00C04181">
        <w:rPr>
          <w:rFonts w:asciiTheme="majorBidi" w:hAnsiTheme="majorBidi" w:cstheme="majorBidi"/>
        </w:rPr>
        <w:t xml:space="preserve"> </w:t>
      </w:r>
      <w:r w:rsidR="00C04181">
        <w:rPr>
          <w:rFonts w:asciiTheme="majorBidi" w:hAnsiTheme="majorBidi" w:cstheme="majorBidi"/>
        </w:rPr>
        <w:t>first</w:t>
      </w:r>
      <w:r>
        <w:rPr>
          <w:rFonts w:asciiTheme="majorBidi" w:hAnsiTheme="majorBidi" w:cstheme="majorBidi"/>
        </w:rPr>
        <w:t xml:space="preserve">, </w:t>
      </w:r>
      <w:r w:rsidR="00C04181">
        <w:rPr>
          <w:rFonts w:asciiTheme="majorBidi" w:hAnsiTheme="majorBidi" w:cstheme="majorBidi"/>
        </w:rPr>
        <w:t xml:space="preserve">followed by </w:t>
      </w:r>
      <w:r>
        <w:rPr>
          <w:rFonts w:asciiTheme="majorBidi" w:hAnsiTheme="majorBidi" w:cstheme="majorBidi"/>
        </w:rPr>
        <w:t>procedures specific to each collection.</w:t>
      </w:r>
    </w:p>
    <w:p w14:paraId="0E99F356" w14:textId="1B4AB7DD" w:rsidR="00E82B01" w:rsidRPr="00CD2FF6" w:rsidRDefault="00E82B01" w:rsidP="005726E4">
      <w:pPr>
        <w:pStyle w:val="BodyText"/>
        <w:spacing w:before="0" w:line="240" w:lineRule="auto"/>
        <w:ind w:firstLine="0"/>
        <w:rPr>
          <w:rFonts w:asciiTheme="majorBidi" w:hAnsiTheme="majorBidi" w:cstheme="majorBidi"/>
        </w:rPr>
      </w:pPr>
      <w:r w:rsidRPr="00CD2FF6">
        <w:rPr>
          <w:rFonts w:asciiTheme="majorBidi" w:hAnsiTheme="majorBidi" w:cstheme="majorBidi"/>
        </w:rPr>
        <w:t>The su</w:t>
      </w:r>
      <w:r w:rsidR="00FF08CA" w:rsidRPr="00CD2FF6">
        <w:rPr>
          <w:rFonts w:asciiTheme="majorBidi" w:hAnsiTheme="majorBidi" w:cstheme="majorBidi"/>
        </w:rPr>
        <w:t>ccess of the</w:t>
      </w:r>
      <w:r w:rsidR="00B64836">
        <w:rPr>
          <w:rFonts w:asciiTheme="majorBidi" w:hAnsiTheme="majorBidi" w:cstheme="majorBidi"/>
        </w:rPr>
        <w:t xml:space="preserve"> BPS</w:t>
      </w:r>
      <w:r w:rsidR="00CB2CD3">
        <w:rPr>
          <w:rFonts w:asciiTheme="majorBidi" w:hAnsiTheme="majorBidi" w:cstheme="majorBidi"/>
        </w:rPr>
        <w:t>:12</w:t>
      </w:r>
      <w:r w:rsidR="00FF08CA" w:rsidRPr="00CD2FF6">
        <w:rPr>
          <w:rFonts w:asciiTheme="majorBidi" w:hAnsiTheme="majorBidi" w:cstheme="majorBidi"/>
        </w:rPr>
        <w:t xml:space="preserve"> </w:t>
      </w:r>
      <w:r w:rsidR="00B64836">
        <w:rPr>
          <w:rFonts w:asciiTheme="majorBidi" w:hAnsiTheme="majorBidi" w:cstheme="majorBidi"/>
        </w:rPr>
        <w:t xml:space="preserve">PETS </w:t>
      </w:r>
      <w:r w:rsidR="00FF08CA" w:rsidRPr="00CD2FF6">
        <w:rPr>
          <w:rFonts w:asciiTheme="majorBidi" w:hAnsiTheme="majorBidi" w:cstheme="majorBidi"/>
        </w:rPr>
        <w:t>and Student Records</w:t>
      </w:r>
      <w:r w:rsidRPr="00CD2FF6">
        <w:rPr>
          <w:rFonts w:asciiTheme="majorBidi" w:hAnsiTheme="majorBidi" w:cstheme="majorBidi"/>
        </w:rPr>
        <w:t xml:space="preserve"> is dependent on the active participation of sampled institutions. The cooperation of an institution’s coordinator is essential, and helps to encourage the timely completion of the data collection. Telephone contact between the project team and institution coordinators provides an opportunity to emphasize the importance of the study and to address any concerns about participation.</w:t>
      </w:r>
    </w:p>
    <w:p w14:paraId="3820C0EA" w14:textId="77777777" w:rsidR="00F52E30" w:rsidRDefault="00E82B01" w:rsidP="005726E4">
      <w:pPr>
        <w:pStyle w:val="BodyText"/>
        <w:spacing w:before="0" w:line="240" w:lineRule="auto"/>
        <w:ind w:firstLine="0"/>
        <w:rPr>
          <w:rFonts w:asciiTheme="majorBidi" w:hAnsiTheme="majorBidi" w:cstheme="majorBidi"/>
        </w:rPr>
      </w:pPr>
      <w:r w:rsidRPr="00CD2FF6">
        <w:rPr>
          <w:rFonts w:asciiTheme="majorBidi" w:hAnsiTheme="majorBidi" w:cstheme="majorBidi"/>
        </w:rPr>
        <w:t>BPS:12 procedures for working with institutions will be developed from those used successfully in other studies with collections</w:t>
      </w:r>
      <w:r w:rsidR="007D4D42">
        <w:rPr>
          <w:rFonts w:asciiTheme="majorBidi" w:hAnsiTheme="majorBidi" w:cstheme="majorBidi"/>
        </w:rPr>
        <w:t xml:space="preserve"> of transcripts and records</w:t>
      </w:r>
      <w:r w:rsidR="00E715B7" w:rsidRPr="00CD2FF6">
        <w:rPr>
          <w:rFonts w:asciiTheme="majorBidi" w:hAnsiTheme="majorBidi" w:cstheme="majorBidi"/>
        </w:rPr>
        <w:t>,</w:t>
      </w:r>
      <w:r w:rsidRPr="00CD2FF6">
        <w:rPr>
          <w:rFonts w:asciiTheme="majorBidi" w:hAnsiTheme="majorBidi" w:cstheme="majorBidi"/>
        </w:rPr>
        <w:t xml:space="preserve"> such as the ELS:2002, NPSAS:12, and NPSAS:16. </w:t>
      </w:r>
      <w:r w:rsidR="005012BA">
        <w:rPr>
          <w:rFonts w:asciiTheme="majorBidi" w:hAnsiTheme="majorBidi" w:cstheme="majorBidi"/>
        </w:rPr>
        <w:t xml:space="preserve">We </w:t>
      </w:r>
      <w:r w:rsidRPr="00CD2FF6">
        <w:rPr>
          <w:rFonts w:asciiTheme="majorBidi" w:hAnsiTheme="majorBidi" w:cstheme="majorBidi"/>
        </w:rPr>
        <w:t xml:space="preserve">will use an institution control system (ICS) currently used for NPSAS:16 and similar to the system used for ELS:2002 to maintain relevant information about the institutions attended by each BPS:12 cohort member. Institution contact information obtained from the Integrated Postsecondary Education Data System (IPEDS) will be loaded into the ICS </w:t>
      </w:r>
      <w:r w:rsidRPr="005D0DB1">
        <w:rPr>
          <w:rFonts w:asciiTheme="majorBidi" w:hAnsiTheme="majorBidi" w:cstheme="majorBidi"/>
        </w:rPr>
        <w:t xml:space="preserve">and confirmed during a call to </w:t>
      </w:r>
      <w:r w:rsidR="00085322" w:rsidRPr="005D0DB1">
        <w:rPr>
          <w:rFonts w:asciiTheme="majorBidi" w:hAnsiTheme="majorBidi" w:cstheme="majorBidi"/>
        </w:rPr>
        <w:t xml:space="preserve">the institutional research </w:t>
      </w:r>
      <w:r w:rsidR="005726E4" w:rsidRPr="005D0DB1">
        <w:rPr>
          <w:rFonts w:asciiTheme="majorBidi" w:hAnsiTheme="majorBidi" w:cstheme="majorBidi"/>
        </w:rPr>
        <w:t xml:space="preserve">(IR) </w:t>
      </w:r>
      <w:r w:rsidR="005D0DB1">
        <w:rPr>
          <w:rFonts w:asciiTheme="majorBidi" w:hAnsiTheme="majorBidi" w:cstheme="majorBidi"/>
        </w:rPr>
        <w:t xml:space="preserve">office or general operator. The initial request mailing will be sent to IR director, or in </w:t>
      </w:r>
      <w:r w:rsidR="00085322" w:rsidRPr="005D0DB1">
        <w:rPr>
          <w:rFonts w:asciiTheme="majorBidi" w:hAnsiTheme="majorBidi" w:cstheme="majorBidi"/>
        </w:rPr>
        <w:t>the absenc</w:t>
      </w:r>
      <w:r w:rsidR="005726E4" w:rsidRPr="005D0DB1">
        <w:rPr>
          <w:rFonts w:asciiTheme="majorBidi" w:hAnsiTheme="majorBidi" w:cstheme="majorBidi"/>
        </w:rPr>
        <w:t xml:space="preserve">e of an IR director, </w:t>
      </w:r>
      <w:r w:rsidR="00085322" w:rsidRPr="005D0DB1">
        <w:rPr>
          <w:rFonts w:asciiTheme="majorBidi" w:hAnsiTheme="majorBidi" w:cstheme="majorBidi"/>
        </w:rPr>
        <w:t>a chief administ</w:t>
      </w:r>
      <w:r w:rsidR="005D0DB1">
        <w:rPr>
          <w:rFonts w:asciiTheme="majorBidi" w:hAnsiTheme="majorBidi" w:cstheme="majorBidi"/>
        </w:rPr>
        <w:t>rator</w:t>
      </w:r>
      <w:r w:rsidR="005726E4" w:rsidRPr="005D0DB1">
        <w:rPr>
          <w:rFonts w:asciiTheme="majorBidi" w:hAnsiTheme="majorBidi" w:cstheme="majorBidi"/>
        </w:rPr>
        <w:t xml:space="preserve">. </w:t>
      </w:r>
      <w:r w:rsidR="005D0DB1">
        <w:rPr>
          <w:rFonts w:asciiTheme="majorBidi" w:hAnsiTheme="majorBidi" w:cstheme="majorBidi"/>
        </w:rPr>
        <w:t>In the initial call to the IR director, he/she will be asked to designate a primary coordinator for the data collection</w:t>
      </w:r>
      <w:r w:rsidRPr="005D0DB1">
        <w:rPr>
          <w:rFonts w:asciiTheme="majorBidi" w:hAnsiTheme="majorBidi" w:cstheme="majorBidi"/>
        </w:rPr>
        <w:t>.</w:t>
      </w:r>
    </w:p>
    <w:p w14:paraId="2E65D1D7" w14:textId="6C2DE7C1"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lastRenderedPageBreak/>
        <w:t>In past studies, the specific endorsement of relevant associations and organizations has been extremely useful in persuading institutions to cooperate. Endorsements from 16 professional associations were secured for E</w:t>
      </w:r>
      <w:r w:rsidR="00266C99" w:rsidRPr="00CD2FF6">
        <w:rPr>
          <w:rFonts w:asciiTheme="majorBidi" w:hAnsiTheme="majorBidi" w:cstheme="majorBidi"/>
        </w:rPr>
        <w:t>LS:</w:t>
      </w:r>
      <w:r w:rsidR="005012BA">
        <w:rPr>
          <w:rFonts w:asciiTheme="majorBidi" w:hAnsiTheme="majorBidi" w:cstheme="majorBidi"/>
        </w:rPr>
        <w:t>20</w:t>
      </w:r>
      <w:r w:rsidRPr="00CD2FF6">
        <w:rPr>
          <w:rFonts w:asciiTheme="majorBidi" w:hAnsiTheme="majorBidi" w:cstheme="majorBidi"/>
        </w:rPr>
        <w:t>0</w:t>
      </w:r>
      <w:r w:rsidR="00266C99" w:rsidRPr="00CD2FF6">
        <w:rPr>
          <w:rFonts w:asciiTheme="majorBidi" w:hAnsiTheme="majorBidi" w:cstheme="majorBidi"/>
        </w:rPr>
        <w:t>2</w:t>
      </w:r>
      <w:r w:rsidRPr="00CD2FF6">
        <w:rPr>
          <w:rFonts w:asciiTheme="majorBidi" w:hAnsiTheme="majorBidi" w:cstheme="majorBidi"/>
        </w:rPr>
        <w:t>. Appropriate associations to request end</w:t>
      </w:r>
      <w:r w:rsidR="00FF08CA" w:rsidRPr="00CD2FF6">
        <w:rPr>
          <w:rFonts w:asciiTheme="majorBidi" w:hAnsiTheme="majorBidi" w:cstheme="majorBidi"/>
        </w:rPr>
        <w:t>orsement for BPS:12 PETS and Student Records</w:t>
      </w:r>
      <w:r w:rsidRPr="00CD2FF6">
        <w:rPr>
          <w:rFonts w:asciiTheme="majorBidi" w:hAnsiTheme="majorBidi" w:cstheme="majorBidi"/>
        </w:rPr>
        <w:t xml:space="preserve"> collections will be contacted as well; a list of potential endorsing associations and organizations is provided in appendix F.</w:t>
      </w:r>
    </w:p>
    <w:p w14:paraId="33545B96" w14:textId="4C855A84"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Another </w:t>
      </w:r>
      <w:r w:rsidR="005012BA">
        <w:rPr>
          <w:rFonts w:asciiTheme="majorBidi" w:hAnsiTheme="majorBidi" w:cstheme="majorBidi"/>
        </w:rPr>
        <w:t xml:space="preserve">successful </w:t>
      </w:r>
      <w:r w:rsidRPr="00CD2FF6">
        <w:rPr>
          <w:rFonts w:asciiTheme="majorBidi" w:hAnsiTheme="majorBidi" w:cstheme="majorBidi"/>
        </w:rPr>
        <w:t xml:space="preserve">strategy has been </w:t>
      </w:r>
      <w:r w:rsidR="005012BA">
        <w:rPr>
          <w:rFonts w:asciiTheme="majorBidi" w:hAnsiTheme="majorBidi" w:cstheme="majorBidi"/>
        </w:rPr>
        <w:t>to solicit</w:t>
      </w:r>
      <w:r w:rsidRPr="00CD2FF6">
        <w:rPr>
          <w:rFonts w:asciiTheme="majorBidi" w:hAnsiTheme="majorBidi" w:cstheme="majorBidi"/>
        </w:rPr>
        <w:t xml:space="preserve"> support at a system-wide level rather than contacting each institution within the system. A timely contact, together with enhanced institution contact information verification procedures, is likely to reduce the number of re</w:t>
      </w:r>
      <w:r w:rsidR="00CB2CD3">
        <w:rPr>
          <w:rFonts w:asciiTheme="majorBidi" w:hAnsiTheme="majorBidi" w:cstheme="majorBidi"/>
        </w:rPr>
        <w:t>-</w:t>
      </w:r>
      <w:r w:rsidRPr="00CD2FF6">
        <w:rPr>
          <w:rFonts w:asciiTheme="majorBidi" w:hAnsiTheme="majorBidi" w:cstheme="majorBidi"/>
        </w:rPr>
        <w:t>mail requests, and minimize delay caused by misrouted requests.</w:t>
      </w:r>
    </w:p>
    <w:p w14:paraId="63078743" w14:textId="16E07B8C" w:rsidR="005653C0" w:rsidRPr="005653C0" w:rsidRDefault="00E82B01" w:rsidP="00CF1337">
      <w:pPr>
        <w:spacing w:after="120"/>
        <w:rPr>
          <w:sz w:val="22"/>
          <w:szCs w:val="22"/>
        </w:rPr>
      </w:pPr>
      <w:r w:rsidRPr="00CD2FF6">
        <w:rPr>
          <w:rFonts w:asciiTheme="majorBidi" w:hAnsiTheme="majorBidi" w:cstheme="majorBidi"/>
        </w:rPr>
        <w:t>In addition, NCES plan</w:t>
      </w:r>
      <w:r w:rsidR="00FF08CA" w:rsidRPr="00CD2FF6">
        <w:rPr>
          <w:rFonts w:asciiTheme="majorBidi" w:hAnsiTheme="majorBidi" w:cstheme="majorBidi"/>
        </w:rPr>
        <w:t>s to conduct BPS:12 PETS and Student Records</w:t>
      </w:r>
      <w:r w:rsidRPr="00CD2FF6">
        <w:rPr>
          <w:rFonts w:asciiTheme="majorBidi" w:hAnsiTheme="majorBidi" w:cstheme="majorBidi"/>
        </w:rPr>
        <w:t xml:space="preserve"> at the same time as</w:t>
      </w:r>
      <w:r w:rsidR="008522A1" w:rsidRPr="00CD2FF6">
        <w:rPr>
          <w:rFonts w:asciiTheme="majorBidi" w:hAnsiTheme="majorBidi" w:cstheme="majorBidi"/>
        </w:rPr>
        <w:t>, and in collaboration with,</w:t>
      </w:r>
      <w:r w:rsidRPr="00CD2FF6">
        <w:rPr>
          <w:rFonts w:asciiTheme="majorBidi" w:hAnsiTheme="majorBidi" w:cstheme="majorBidi"/>
        </w:rPr>
        <w:t xml:space="preserve"> institution data collections</w:t>
      </w:r>
      <w:r w:rsidR="005012BA">
        <w:rPr>
          <w:rFonts w:asciiTheme="majorBidi" w:hAnsiTheme="majorBidi" w:cstheme="majorBidi"/>
        </w:rPr>
        <w:t xml:space="preserve"> for HSLS:09</w:t>
      </w:r>
      <w:r w:rsidR="008522A1" w:rsidRPr="00CD2FF6">
        <w:rPr>
          <w:rFonts w:asciiTheme="majorBidi" w:hAnsiTheme="majorBidi" w:cstheme="majorBidi"/>
        </w:rPr>
        <w:t>. Th</w:t>
      </w:r>
      <w:r w:rsidR="003F0D93">
        <w:rPr>
          <w:rFonts w:asciiTheme="majorBidi" w:hAnsiTheme="majorBidi" w:cstheme="majorBidi"/>
        </w:rPr>
        <w:t>e</w:t>
      </w:r>
      <w:r w:rsidR="008522A1" w:rsidRPr="00CD2FF6">
        <w:rPr>
          <w:rFonts w:asciiTheme="majorBidi" w:hAnsiTheme="majorBidi" w:cstheme="majorBidi"/>
        </w:rPr>
        <w:t xml:space="preserve"> combin</w:t>
      </w:r>
      <w:r w:rsidR="003F0D93">
        <w:rPr>
          <w:rFonts w:asciiTheme="majorBidi" w:hAnsiTheme="majorBidi" w:cstheme="majorBidi"/>
        </w:rPr>
        <w:t>ed</w:t>
      </w:r>
      <w:r w:rsidR="008522A1" w:rsidRPr="00CD2FF6">
        <w:rPr>
          <w:rFonts w:asciiTheme="majorBidi" w:hAnsiTheme="majorBidi" w:cstheme="majorBidi"/>
        </w:rPr>
        <w:t xml:space="preserve"> collection</w:t>
      </w:r>
      <w:r w:rsidR="003F0D93">
        <w:rPr>
          <w:rFonts w:asciiTheme="majorBidi" w:hAnsiTheme="majorBidi" w:cstheme="majorBidi"/>
        </w:rPr>
        <w:t>s</w:t>
      </w:r>
      <w:r w:rsidR="008522A1" w:rsidRPr="00CD2FF6">
        <w:rPr>
          <w:rFonts w:asciiTheme="majorBidi" w:hAnsiTheme="majorBidi" w:cstheme="majorBidi"/>
        </w:rPr>
        <w:t xml:space="preserve"> will</w:t>
      </w:r>
      <w:r w:rsidRPr="00CD2FF6">
        <w:rPr>
          <w:rFonts w:asciiTheme="majorBidi" w:hAnsiTheme="majorBidi" w:cstheme="majorBidi"/>
        </w:rPr>
        <w:t xml:space="preserve"> reduce burden on institutions </w:t>
      </w:r>
      <w:r w:rsidR="008522A1" w:rsidRPr="00CD2FF6">
        <w:rPr>
          <w:rFonts w:asciiTheme="majorBidi" w:hAnsiTheme="majorBidi" w:cstheme="majorBidi"/>
        </w:rPr>
        <w:t xml:space="preserve">by minimizing the </w:t>
      </w:r>
      <w:r w:rsidRPr="00CD2FF6">
        <w:rPr>
          <w:rFonts w:asciiTheme="majorBidi" w:hAnsiTheme="majorBidi" w:cstheme="majorBidi"/>
        </w:rPr>
        <w:t xml:space="preserve">number of </w:t>
      </w:r>
      <w:r w:rsidR="003F0D93">
        <w:rPr>
          <w:rFonts w:asciiTheme="majorBidi" w:hAnsiTheme="majorBidi" w:cstheme="majorBidi"/>
        </w:rPr>
        <w:t xml:space="preserve">NCES </w:t>
      </w:r>
      <w:r w:rsidRPr="00CD2FF6">
        <w:rPr>
          <w:rFonts w:asciiTheme="majorBidi" w:hAnsiTheme="majorBidi" w:cstheme="majorBidi"/>
        </w:rPr>
        <w:t xml:space="preserve">requests for data </w:t>
      </w:r>
      <w:r w:rsidR="008522A1" w:rsidRPr="00CD2FF6">
        <w:rPr>
          <w:rFonts w:asciiTheme="majorBidi" w:hAnsiTheme="majorBidi" w:cstheme="majorBidi"/>
        </w:rPr>
        <w:t xml:space="preserve">and </w:t>
      </w:r>
      <w:r w:rsidR="005012BA">
        <w:rPr>
          <w:rFonts w:asciiTheme="majorBidi" w:hAnsiTheme="majorBidi" w:cstheme="majorBidi"/>
        </w:rPr>
        <w:t xml:space="preserve">by </w:t>
      </w:r>
      <w:r w:rsidR="008522A1" w:rsidRPr="00CD2FF6">
        <w:rPr>
          <w:rFonts w:asciiTheme="majorBidi" w:hAnsiTheme="majorBidi" w:cstheme="majorBidi"/>
        </w:rPr>
        <w:t xml:space="preserve">using </w:t>
      </w:r>
      <w:r w:rsidR="00D93A87" w:rsidRPr="00CD2FF6">
        <w:rPr>
          <w:rFonts w:asciiTheme="majorBidi" w:hAnsiTheme="majorBidi" w:cstheme="majorBidi"/>
        </w:rPr>
        <w:t xml:space="preserve">the same </w:t>
      </w:r>
      <w:r w:rsidR="00507B33" w:rsidRPr="00CD2FF6">
        <w:rPr>
          <w:rFonts w:asciiTheme="majorBidi" w:hAnsiTheme="majorBidi" w:cstheme="majorBidi"/>
        </w:rPr>
        <w:t>tools and procedures</w:t>
      </w:r>
      <w:r w:rsidR="005012BA">
        <w:rPr>
          <w:rFonts w:asciiTheme="majorBidi" w:hAnsiTheme="majorBidi" w:cstheme="majorBidi"/>
        </w:rPr>
        <w:t xml:space="preserve"> for </w:t>
      </w:r>
      <w:r w:rsidR="003F0D93">
        <w:rPr>
          <w:rFonts w:asciiTheme="majorBidi" w:hAnsiTheme="majorBidi" w:cstheme="majorBidi"/>
        </w:rPr>
        <w:t xml:space="preserve">institutions’ </w:t>
      </w:r>
      <w:r w:rsidR="005012BA">
        <w:rPr>
          <w:rFonts w:asciiTheme="majorBidi" w:hAnsiTheme="majorBidi" w:cstheme="majorBidi"/>
        </w:rPr>
        <w:t>reporting</w:t>
      </w:r>
      <w:r w:rsidR="00507B33" w:rsidRPr="00CD2FF6">
        <w:rPr>
          <w:rFonts w:asciiTheme="majorBidi" w:hAnsiTheme="majorBidi" w:cstheme="majorBidi"/>
        </w:rPr>
        <w:t xml:space="preserve">. Requests for administrative data will </w:t>
      </w:r>
      <w:r w:rsidR="003F0D93">
        <w:rPr>
          <w:rFonts w:asciiTheme="majorBidi" w:hAnsiTheme="majorBidi" w:cstheme="majorBidi"/>
        </w:rPr>
        <w:t>include</w:t>
      </w:r>
      <w:r w:rsidR="00507B33" w:rsidRPr="00CD2FF6">
        <w:rPr>
          <w:rFonts w:asciiTheme="majorBidi" w:hAnsiTheme="majorBidi" w:cstheme="majorBidi"/>
        </w:rPr>
        <w:t xml:space="preserve"> students from both studies and guide institution representatives to the NCES Postsecondary Data Portal (PDP), a one-stop website where institutions can provide data for students</w:t>
      </w:r>
      <w:r w:rsidR="003F0D93">
        <w:rPr>
          <w:rFonts w:asciiTheme="majorBidi" w:hAnsiTheme="majorBidi" w:cstheme="majorBidi"/>
        </w:rPr>
        <w:t xml:space="preserve"> at the same time</w:t>
      </w:r>
      <w:r w:rsidR="00507B33" w:rsidRPr="00CD2FF6">
        <w:rPr>
          <w:rFonts w:asciiTheme="majorBidi" w:hAnsiTheme="majorBidi" w:cstheme="majorBidi"/>
        </w:rPr>
        <w:t xml:space="preserve">, regardless of </w:t>
      </w:r>
      <w:r w:rsidR="003F0D93">
        <w:rPr>
          <w:rFonts w:asciiTheme="majorBidi" w:hAnsiTheme="majorBidi" w:cstheme="majorBidi"/>
        </w:rPr>
        <w:t>the</w:t>
      </w:r>
      <w:r w:rsidR="00507B33" w:rsidRPr="00CD2FF6">
        <w:rPr>
          <w:szCs w:val="24"/>
        </w:rPr>
        <w:t xml:space="preserve"> NCES </w:t>
      </w:r>
      <w:r w:rsidR="00D93A87" w:rsidRPr="00CD2FF6">
        <w:rPr>
          <w:szCs w:val="24"/>
        </w:rPr>
        <w:t xml:space="preserve">postsecondary sample </w:t>
      </w:r>
      <w:r w:rsidR="00507B33" w:rsidRPr="00CD2FF6">
        <w:rPr>
          <w:szCs w:val="24"/>
        </w:rPr>
        <w:t>stud</w:t>
      </w:r>
      <w:r w:rsidR="003F0D93">
        <w:rPr>
          <w:szCs w:val="24"/>
        </w:rPr>
        <w:t xml:space="preserve">y, using the same submission </w:t>
      </w:r>
      <w:r w:rsidR="00507B33" w:rsidRPr="00CD2FF6">
        <w:rPr>
          <w:szCs w:val="24"/>
        </w:rPr>
        <w:t>layout and functionality</w:t>
      </w:r>
      <w:r w:rsidR="003F0D93">
        <w:rPr>
          <w:szCs w:val="24"/>
        </w:rPr>
        <w:t xml:space="preserve"> across the studies</w:t>
      </w:r>
      <w:r w:rsidR="00507B33" w:rsidRPr="00CD2FF6">
        <w:rPr>
          <w:szCs w:val="24"/>
        </w:rPr>
        <w:t>.</w:t>
      </w:r>
      <w:r w:rsidR="00F52E30">
        <w:rPr>
          <w:szCs w:val="24"/>
        </w:rPr>
        <w:t xml:space="preserve"> </w:t>
      </w:r>
      <w:r w:rsidR="005012BA">
        <w:rPr>
          <w:szCs w:val="24"/>
        </w:rPr>
        <w:t xml:space="preserve">The PDP </w:t>
      </w:r>
      <w:r w:rsidR="00507B33" w:rsidRPr="00CD2FF6">
        <w:rPr>
          <w:szCs w:val="24"/>
        </w:rPr>
        <w:t>has been designed to be user-friendly and offers several modes for providing data so that each institution can choose their preferred way.</w:t>
      </w:r>
      <w:r w:rsidR="00F52E30">
        <w:rPr>
          <w:szCs w:val="24"/>
        </w:rPr>
        <w:t xml:space="preserve"> </w:t>
      </w:r>
      <w:r w:rsidR="00507B33" w:rsidRPr="00CD2FF6">
        <w:rPr>
          <w:szCs w:val="24"/>
        </w:rPr>
        <w:t xml:space="preserve">The PDP is located </w:t>
      </w:r>
      <w:r w:rsidR="003F0D93">
        <w:rPr>
          <w:szCs w:val="24"/>
        </w:rPr>
        <w:t>at</w:t>
      </w:r>
      <w:r w:rsidR="00507B33" w:rsidRPr="00CD2FF6">
        <w:rPr>
          <w:szCs w:val="24"/>
        </w:rPr>
        <w:t xml:space="preserve"> </w:t>
      </w:r>
      <w:r w:rsidR="00507B33" w:rsidRPr="00CD2FF6">
        <w:rPr>
          <w:szCs w:val="24"/>
          <w:u w:val="single"/>
        </w:rPr>
        <w:t>https://surveys.nces.ed.gov/Portal/</w:t>
      </w:r>
      <w:r w:rsidR="00507B33" w:rsidRPr="00CD2FF6">
        <w:rPr>
          <w:szCs w:val="24"/>
        </w:rPr>
        <w:t>.</w:t>
      </w:r>
    </w:p>
    <w:p w14:paraId="464A62E2" w14:textId="51F3A265" w:rsidR="00E82B01" w:rsidRPr="00CD2FF6" w:rsidRDefault="00D93A87" w:rsidP="005F535E">
      <w:pPr>
        <w:pStyle w:val="BodyText"/>
        <w:widowControl w:val="0"/>
        <w:spacing w:before="0" w:line="240" w:lineRule="auto"/>
        <w:ind w:firstLine="0"/>
        <w:rPr>
          <w:rFonts w:asciiTheme="majorBidi" w:hAnsiTheme="majorBidi" w:cstheme="majorBidi"/>
        </w:rPr>
      </w:pPr>
      <w:r w:rsidRPr="00CD2FF6">
        <w:rPr>
          <w:rFonts w:asciiTheme="majorBidi" w:hAnsiTheme="majorBidi" w:cstheme="majorBidi"/>
        </w:rPr>
        <w:t xml:space="preserve">The </w:t>
      </w:r>
      <w:r w:rsidR="003F0D93">
        <w:rPr>
          <w:rFonts w:asciiTheme="majorBidi" w:hAnsiTheme="majorBidi" w:cstheme="majorBidi"/>
        </w:rPr>
        <w:t>combined</w:t>
      </w:r>
      <w:r w:rsidRPr="00CD2FF6">
        <w:rPr>
          <w:rFonts w:asciiTheme="majorBidi" w:hAnsiTheme="majorBidi" w:cstheme="majorBidi"/>
        </w:rPr>
        <w:t xml:space="preserve"> data collection </w:t>
      </w:r>
      <w:r w:rsidR="00507B33" w:rsidRPr="00CD2FF6">
        <w:rPr>
          <w:rFonts w:asciiTheme="majorBidi" w:hAnsiTheme="majorBidi" w:cstheme="majorBidi"/>
        </w:rPr>
        <w:t>approach will also</w:t>
      </w:r>
      <w:r w:rsidR="00E82B01" w:rsidRPr="00CD2FF6">
        <w:rPr>
          <w:rFonts w:asciiTheme="majorBidi" w:hAnsiTheme="majorBidi" w:cstheme="majorBidi"/>
        </w:rPr>
        <w:t xml:space="preserve"> reduce institution contacting</w:t>
      </w:r>
      <w:r w:rsidR="00744597">
        <w:rPr>
          <w:rFonts w:asciiTheme="majorBidi" w:hAnsiTheme="majorBidi" w:cstheme="majorBidi"/>
        </w:rPr>
        <w:t xml:space="preserve"> </w:t>
      </w:r>
      <w:r w:rsidR="00744597" w:rsidRPr="00CD2FF6">
        <w:rPr>
          <w:rFonts w:asciiTheme="majorBidi" w:hAnsiTheme="majorBidi" w:cstheme="majorBidi"/>
        </w:rPr>
        <w:t xml:space="preserve">costs </w:t>
      </w:r>
      <w:r w:rsidR="00744597">
        <w:rPr>
          <w:rFonts w:asciiTheme="majorBidi" w:hAnsiTheme="majorBidi" w:cstheme="majorBidi"/>
        </w:rPr>
        <w:t>(</w:t>
      </w:r>
      <w:r w:rsidR="003F0D93">
        <w:rPr>
          <w:rFonts w:asciiTheme="majorBidi" w:hAnsiTheme="majorBidi" w:cstheme="majorBidi"/>
        </w:rPr>
        <w:t xml:space="preserve">by reducing </w:t>
      </w:r>
      <w:r w:rsidR="00E82B01" w:rsidRPr="00CD2FF6">
        <w:rPr>
          <w:rFonts w:asciiTheme="majorBidi" w:hAnsiTheme="majorBidi" w:cstheme="majorBidi"/>
        </w:rPr>
        <w:t>printing and shipping</w:t>
      </w:r>
      <w:r w:rsidR="003F0D93">
        <w:rPr>
          <w:rFonts w:asciiTheme="majorBidi" w:hAnsiTheme="majorBidi" w:cstheme="majorBidi"/>
        </w:rPr>
        <w:t xml:space="preserve"> of </w:t>
      </w:r>
      <w:r w:rsidR="003F0D93" w:rsidRPr="00CD2FF6">
        <w:rPr>
          <w:rFonts w:asciiTheme="majorBidi" w:hAnsiTheme="majorBidi" w:cstheme="majorBidi"/>
        </w:rPr>
        <w:t>materials</w:t>
      </w:r>
      <w:r w:rsidR="00744597">
        <w:rPr>
          <w:rFonts w:asciiTheme="majorBidi" w:hAnsiTheme="majorBidi" w:cstheme="majorBidi"/>
        </w:rPr>
        <w:t>)</w:t>
      </w:r>
      <w:r w:rsidR="003F0D93">
        <w:rPr>
          <w:rFonts w:asciiTheme="majorBidi" w:hAnsiTheme="majorBidi" w:cstheme="majorBidi"/>
        </w:rPr>
        <w:t xml:space="preserve"> </w:t>
      </w:r>
      <w:r w:rsidR="00E82B01" w:rsidRPr="00CD2FF6">
        <w:rPr>
          <w:rFonts w:asciiTheme="majorBidi" w:hAnsiTheme="majorBidi" w:cstheme="majorBidi"/>
        </w:rPr>
        <w:t xml:space="preserve">and labor </w:t>
      </w:r>
      <w:r w:rsidR="00744597">
        <w:rPr>
          <w:rFonts w:asciiTheme="majorBidi" w:hAnsiTheme="majorBidi" w:cstheme="majorBidi"/>
        </w:rPr>
        <w:t>costs (</w:t>
      </w:r>
      <w:r w:rsidR="00E82B01" w:rsidRPr="00CD2FF6">
        <w:rPr>
          <w:rFonts w:asciiTheme="majorBidi" w:hAnsiTheme="majorBidi" w:cstheme="majorBidi"/>
        </w:rPr>
        <w:t xml:space="preserve">by using overlapping project staff and </w:t>
      </w:r>
      <w:r w:rsidR="007C2D46" w:rsidRPr="00CD2FF6">
        <w:rPr>
          <w:rFonts w:asciiTheme="majorBidi" w:hAnsiTheme="majorBidi" w:cstheme="majorBidi"/>
        </w:rPr>
        <w:t xml:space="preserve">the same set of </w:t>
      </w:r>
      <w:r w:rsidR="00E82B01" w:rsidRPr="00CD2FF6">
        <w:rPr>
          <w:rFonts w:asciiTheme="majorBidi" w:hAnsiTheme="majorBidi" w:cstheme="majorBidi"/>
        </w:rPr>
        <w:t>institution contactors</w:t>
      </w:r>
      <w:r w:rsidR="00744597">
        <w:rPr>
          <w:rFonts w:asciiTheme="majorBidi" w:hAnsiTheme="majorBidi" w:cstheme="majorBidi"/>
        </w:rPr>
        <w:t>)</w:t>
      </w:r>
      <w:r w:rsidR="00E82B01" w:rsidRPr="00CD2FF6">
        <w:rPr>
          <w:rFonts w:asciiTheme="majorBidi" w:hAnsiTheme="majorBidi" w:cstheme="majorBidi"/>
        </w:rPr>
        <w:t>. The curre</w:t>
      </w:r>
      <w:r w:rsidR="00FF08CA" w:rsidRPr="00CD2FF6">
        <w:rPr>
          <w:rFonts w:asciiTheme="majorBidi" w:hAnsiTheme="majorBidi" w:cstheme="majorBidi"/>
        </w:rPr>
        <w:t xml:space="preserve">nt plan is to conduct BPS:12 </w:t>
      </w:r>
      <w:r w:rsidR="009B32B0">
        <w:rPr>
          <w:rFonts w:asciiTheme="majorBidi" w:hAnsiTheme="majorBidi" w:cstheme="majorBidi"/>
        </w:rPr>
        <w:t>S</w:t>
      </w:r>
      <w:r w:rsidR="00FF08CA" w:rsidRPr="00CD2FF6">
        <w:rPr>
          <w:rFonts w:asciiTheme="majorBidi" w:hAnsiTheme="majorBidi" w:cstheme="majorBidi"/>
        </w:rPr>
        <w:t xml:space="preserve">tudent </w:t>
      </w:r>
      <w:r w:rsidR="009B32B0">
        <w:rPr>
          <w:rFonts w:asciiTheme="majorBidi" w:hAnsiTheme="majorBidi" w:cstheme="majorBidi"/>
        </w:rPr>
        <w:t>R</w:t>
      </w:r>
      <w:r w:rsidR="00FF08CA" w:rsidRPr="00CD2FF6">
        <w:rPr>
          <w:rFonts w:asciiTheme="majorBidi" w:hAnsiTheme="majorBidi" w:cstheme="majorBidi"/>
        </w:rPr>
        <w:t>ecord</w:t>
      </w:r>
      <w:r w:rsidR="009B32B0">
        <w:rPr>
          <w:rFonts w:asciiTheme="majorBidi" w:hAnsiTheme="majorBidi" w:cstheme="majorBidi"/>
        </w:rPr>
        <w:t>s</w:t>
      </w:r>
      <w:r w:rsidR="00E82B01" w:rsidRPr="00CD2FF6">
        <w:rPr>
          <w:rFonts w:asciiTheme="majorBidi" w:hAnsiTheme="majorBidi" w:cstheme="majorBidi"/>
        </w:rPr>
        <w:t xml:space="preserve"> and </w:t>
      </w:r>
      <w:r w:rsidR="009B32B0">
        <w:rPr>
          <w:rFonts w:asciiTheme="majorBidi" w:hAnsiTheme="majorBidi" w:cstheme="majorBidi"/>
        </w:rPr>
        <w:t xml:space="preserve">PETS </w:t>
      </w:r>
      <w:r w:rsidR="007C2D46" w:rsidRPr="00CD2FF6">
        <w:rPr>
          <w:rFonts w:asciiTheme="majorBidi" w:hAnsiTheme="majorBidi" w:cstheme="majorBidi"/>
        </w:rPr>
        <w:t xml:space="preserve">pilot test </w:t>
      </w:r>
      <w:r w:rsidR="00E82B01" w:rsidRPr="00CD2FF6">
        <w:rPr>
          <w:rFonts w:asciiTheme="majorBidi" w:hAnsiTheme="majorBidi" w:cstheme="majorBidi"/>
        </w:rPr>
        <w:t xml:space="preserve">at the same time </w:t>
      </w:r>
      <w:r w:rsidR="00744597">
        <w:rPr>
          <w:rFonts w:asciiTheme="majorBidi" w:hAnsiTheme="majorBidi" w:cstheme="majorBidi"/>
        </w:rPr>
        <w:t>as</w:t>
      </w:r>
      <w:r w:rsidR="00E82B01" w:rsidRPr="00CD2FF6">
        <w:rPr>
          <w:rFonts w:asciiTheme="majorBidi" w:hAnsiTheme="majorBidi" w:cstheme="majorBidi"/>
        </w:rPr>
        <w:t xml:space="preserve"> HSLS:09 transcript</w:t>
      </w:r>
      <w:r w:rsidR="00744597">
        <w:rPr>
          <w:rFonts w:asciiTheme="majorBidi" w:hAnsiTheme="majorBidi" w:cstheme="majorBidi"/>
        </w:rPr>
        <w:t>s</w:t>
      </w:r>
      <w:r w:rsidR="00E82B01" w:rsidRPr="00CD2FF6">
        <w:rPr>
          <w:rFonts w:asciiTheme="majorBidi" w:hAnsiTheme="majorBidi" w:cstheme="majorBidi"/>
        </w:rPr>
        <w:t xml:space="preserve"> and </w:t>
      </w:r>
      <w:r w:rsidR="00FF08CA" w:rsidRPr="00CD2FF6">
        <w:rPr>
          <w:rFonts w:asciiTheme="majorBidi" w:hAnsiTheme="majorBidi" w:cstheme="majorBidi"/>
        </w:rPr>
        <w:t>student</w:t>
      </w:r>
      <w:r w:rsidR="00E82B01" w:rsidRPr="00CD2FF6">
        <w:rPr>
          <w:rFonts w:asciiTheme="majorBidi" w:hAnsiTheme="majorBidi" w:cstheme="majorBidi"/>
        </w:rPr>
        <w:t xml:space="preserve"> records </w:t>
      </w:r>
      <w:r w:rsidR="00744597" w:rsidRPr="00CD2FF6">
        <w:rPr>
          <w:rFonts w:asciiTheme="majorBidi" w:hAnsiTheme="majorBidi" w:cstheme="majorBidi"/>
        </w:rPr>
        <w:t>collect</w:t>
      </w:r>
      <w:r w:rsidR="00744597">
        <w:rPr>
          <w:rFonts w:asciiTheme="majorBidi" w:hAnsiTheme="majorBidi" w:cstheme="majorBidi"/>
        </w:rPr>
        <w:t>ion</w:t>
      </w:r>
      <w:r w:rsidR="00744597" w:rsidRPr="00CD2FF6">
        <w:rPr>
          <w:rFonts w:asciiTheme="majorBidi" w:hAnsiTheme="majorBidi" w:cstheme="majorBidi"/>
        </w:rPr>
        <w:t xml:space="preserve"> </w:t>
      </w:r>
      <w:r w:rsidR="00744597">
        <w:rPr>
          <w:rFonts w:asciiTheme="majorBidi" w:hAnsiTheme="majorBidi" w:cstheme="majorBidi"/>
        </w:rPr>
        <w:t>(approved</w:t>
      </w:r>
      <w:r w:rsidR="00507B33" w:rsidRPr="00CD2FF6">
        <w:rPr>
          <w:rFonts w:asciiTheme="majorBidi" w:hAnsiTheme="majorBidi" w:cstheme="majorBidi"/>
        </w:rPr>
        <w:t xml:space="preserve"> in</w:t>
      </w:r>
      <w:r w:rsidR="00C4289E" w:rsidRPr="00CD2FF6">
        <w:rPr>
          <w:rFonts w:asciiTheme="majorBidi" w:hAnsiTheme="majorBidi" w:cstheme="majorBidi"/>
        </w:rPr>
        <w:t xml:space="preserve"> March</w:t>
      </w:r>
      <w:r w:rsidR="00744597">
        <w:rPr>
          <w:rFonts w:asciiTheme="majorBidi" w:hAnsiTheme="majorBidi" w:cstheme="majorBidi"/>
        </w:rPr>
        <w:t xml:space="preserve"> 2016; OMB#</w:t>
      </w:r>
      <w:r w:rsidR="00C4289E" w:rsidRPr="00CD2FF6">
        <w:rPr>
          <w:rFonts w:asciiTheme="majorBidi" w:hAnsiTheme="majorBidi" w:cstheme="majorBidi"/>
        </w:rPr>
        <w:t xml:space="preserve"> 1850-0852</w:t>
      </w:r>
      <w:r w:rsidR="00507B33" w:rsidRPr="00CD2FF6">
        <w:rPr>
          <w:rFonts w:asciiTheme="majorBidi" w:hAnsiTheme="majorBidi" w:cstheme="majorBidi"/>
        </w:rPr>
        <w:t>)</w:t>
      </w:r>
      <w:r w:rsidR="00744597">
        <w:rPr>
          <w:rFonts w:asciiTheme="majorBidi" w:hAnsiTheme="majorBidi" w:cstheme="majorBidi"/>
        </w:rPr>
        <w:t xml:space="preserve"> and, i</w:t>
      </w:r>
      <w:r w:rsidR="00E82B01" w:rsidRPr="00CD2FF6">
        <w:rPr>
          <w:rFonts w:asciiTheme="majorBidi" w:hAnsiTheme="majorBidi" w:cstheme="majorBidi"/>
        </w:rPr>
        <w:t xml:space="preserve">f feasible, </w:t>
      </w:r>
      <w:r w:rsidR="00744597">
        <w:rPr>
          <w:rFonts w:asciiTheme="majorBidi" w:hAnsiTheme="majorBidi" w:cstheme="majorBidi"/>
        </w:rPr>
        <w:t xml:space="preserve">to conduct </w:t>
      </w:r>
      <w:r w:rsidR="007C2D46" w:rsidRPr="00CD2FF6">
        <w:rPr>
          <w:rFonts w:asciiTheme="majorBidi" w:hAnsiTheme="majorBidi" w:cstheme="majorBidi"/>
        </w:rPr>
        <w:t xml:space="preserve">the </w:t>
      </w:r>
      <w:r w:rsidR="00E82B01" w:rsidRPr="00CD2FF6">
        <w:rPr>
          <w:rFonts w:asciiTheme="majorBidi" w:hAnsiTheme="majorBidi" w:cstheme="majorBidi"/>
        </w:rPr>
        <w:t xml:space="preserve">BPS:12 PETS </w:t>
      </w:r>
      <w:r w:rsidR="007C2D46" w:rsidRPr="00CD2FF6">
        <w:rPr>
          <w:rFonts w:asciiTheme="majorBidi" w:hAnsiTheme="majorBidi" w:cstheme="majorBidi"/>
        </w:rPr>
        <w:t xml:space="preserve">collection </w:t>
      </w:r>
      <w:r w:rsidR="00E82B01" w:rsidRPr="00CD2FF6">
        <w:rPr>
          <w:rFonts w:asciiTheme="majorBidi" w:hAnsiTheme="majorBidi" w:cstheme="majorBidi"/>
        </w:rPr>
        <w:t xml:space="preserve">at the same time as </w:t>
      </w:r>
      <w:r w:rsidR="00507B33" w:rsidRPr="00CD2FF6">
        <w:rPr>
          <w:rFonts w:asciiTheme="majorBidi" w:hAnsiTheme="majorBidi" w:cstheme="majorBidi"/>
        </w:rPr>
        <w:t xml:space="preserve">the </w:t>
      </w:r>
      <w:r w:rsidR="00E82B01" w:rsidRPr="00CD2FF6">
        <w:rPr>
          <w:rFonts w:asciiTheme="majorBidi" w:hAnsiTheme="majorBidi" w:cstheme="majorBidi"/>
        </w:rPr>
        <w:t>NPSAS:18</w:t>
      </w:r>
      <w:r w:rsidR="00507B33" w:rsidRPr="00CD2FF6">
        <w:rPr>
          <w:rFonts w:asciiTheme="majorBidi" w:hAnsiTheme="majorBidi" w:cstheme="majorBidi"/>
        </w:rPr>
        <w:t xml:space="preserve"> student records collection</w:t>
      </w:r>
      <w:r w:rsidR="005012BA">
        <w:rPr>
          <w:rFonts w:asciiTheme="majorBidi" w:hAnsiTheme="majorBidi" w:cstheme="majorBidi"/>
        </w:rPr>
        <w:t xml:space="preserve"> (for which </w:t>
      </w:r>
      <w:r w:rsidR="00744597">
        <w:rPr>
          <w:rFonts w:asciiTheme="majorBidi" w:hAnsiTheme="majorBidi" w:cstheme="majorBidi"/>
        </w:rPr>
        <w:t>NCES</w:t>
      </w:r>
      <w:r w:rsidR="005012BA">
        <w:rPr>
          <w:rFonts w:asciiTheme="majorBidi" w:hAnsiTheme="majorBidi" w:cstheme="majorBidi"/>
        </w:rPr>
        <w:t xml:space="preserve"> will </w:t>
      </w:r>
      <w:r w:rsidR="00744597">
        <w:rPr>
          <w:rFonts w:asciiTheme="majorBidi" w:hAnsiTheme="majorBidi" w:cstheme="majorBidi"/>
        </w:rPr>
        <w:t>submit</w:t>
      </w:r>
      <w:r w:rsidR="005012BA">
        <w:rPr>
          <w:rFonts w:asciiTheme="majorBidi" w:hAnsiTheme="majorBidi" w:cstheme="majorBidi"/>
        </w:rPr>
        <w:t xml:space="preserve"> OMB clearance request</w:t>
      </w:r>
      <w:r w:rsidR="00744597">
        <w:rPr>
          <w:rFonts w:asciiTheme="majorBidi" w:hAnsiTheme="majorBidi" w:cstheme="majorBidi"/>
        </w:rPr>
        <w:t xml:space="preserve"> in mid-2017</w:t>
      </w:r>
      <w:r w:rsidR="005012BA">
        <w:rPr>
          <w:rFonts w:asciiTheme="majorBidi" w:hAnsiTheme="majorBidi" w:cstheme="majorBidi"/>
        </w:rPr>
        <w:t>)</w:t>
      </w:r>
      <w:r w:rsidR="00E82B01" w:rsidRPr="00CD2FF6">
        <w:rPr>
          <w:rFonts w:asciiTheme="majorBidi" w:hAnsiTheme="majorBidi" w:cstheme="majorBidi"/>
        </w:rPr>
        <w:t>.</w:t>
      </w:r>
    </w:p>
    <w:p w14:paraId="4ADA75E0" w14:textId="04A6BE37" w:rsidR="00C4289E" w:rsidRPr="00CD2FF6" w:rsidRDefault="002832F1" w:rsidP="009B32B0">
      <w:pPr>
        <w:pStyle w:val="BodyText"/>
        <w:spacing w:before="0" w:line="240" w:lineRule="auto"/>
        <w:ind w:firstLine="0"/>
        <w:rPr>
          <w:rFonts w:asciiTheme="majorBidi" w:hAnsiTheme="majorBidi" w:cstheme="majorBidi"/>
        </w:rPr>
      </w:pPr>
      <w:r w:rsidRPr="00CD2FF6">
        <w:rPr>
          <w:rFonts w:asciiTheme="majorBidi" w:hAnsiTheme="majorBidi" w:cstheme="majorBidi"/>
        </w:rPr>
        <w:t>At the start of data collection, e</w:t>
      </w:r>
      <w:r w:rsidR="00C4289E" w:rsidRPr="00CD2FF6">
        <w:rPr>
          <w:rFonts w:asciiTheme="majorBidi" w:hAnsiTheme="majorBidi" w:cstheme="majorBidi"/>
        </w:rPr>
        <w:t>ach institution will be sent a</w:t>
      </w:r>
      <w:r w:rsidR="005012BA">
        <w:rPr>
          <w:rFonts w:asciiTheme="majorBidi" w:hAnsiTheme="majorBidi" w:cstheme="majorBidi"/>
        </w:rPr>
        <w:t xml:space="preserve"> non-study-specific </w:t>
      </w:r>
      <w:r w:rsidR="00C4289E" w:rsidRPr="00CD2FF6">
        <w:rPr>
          <w:rFonts w:asciiTheme="majorBidi" w:hAnsiTheme="majorBidi" w:cstheme="majorBidi"/>
        </w:rPr>
        <w:t>packet</w:t>
      </w:r>
      <w:r w:rsidRPr="00CD2FF6">
        <w:rPr>
          <w:rFonts w:asciiTheme="majorBidi" w:hAnsiTheme="majorBidi" w:cstheme="majorBidi"/>
        </w:rPr>
        <w:t xml:space="preserve"> </w:t>
      </w:r>
      <w:r w:rsidR="00C4289E" w:rsidRPr="00CD2FF6">
        <w:rPr>
          <w:rFonts w:asciiTheme="majorBidi" w:hAnsiTheme="majorBidi" w:cstheme="majorBidi"/>
        </w:rPr>
        <w:t>contain</w:t>
      </w:r>
      <w:r w:rsidRPr="00CD2FF6">
        <w:rPr>
          <w:rFonts w:asciiTheme="majorBidi" w:hAnsiTheme="majorBidi" w:cstheme="majorBidi"/>
        </w:rPr>
        <w:t>ing</w:t>
      </w:r>
      <w:r w:rsidR="00C4289E" w:rsidRPr="00CD2FF6">
        <w:rPr>
          <w:rFonts w:asciiTheme="majorBidi" w:hAnsiTheme="majorBidi" w:cstheme="majorBidi"/>
        </w:rPr>
        <w:t xml:space="preserve"> a letter and other information about the PDP. The second packet sent </w:t>
      </w:r>
      <w:r w:rsidRPr="00CD2FF6">
        <w:rPr>
          <w:rFonts w:asciiTheme="majorBidi" w:hAnsiTheme="majorBidi" w:cstheme="majorBidi"/>
        </w:rPr>
        <w:t>will be</w:t>
      </w:r>
      <w:r w:rsidR="00C4289E" w:rsidRPr="00CD2FF6">
        <w:rPr>
          <w:rFonts w:asciiTheme="majorBidi" w:hAnsiTheme="majorBidi" w:cstheme="majorBidi"/>
        </w:rPr>
        <w:t xml:space="preserve"> a data request that specifies the type of data being requested and </w:t>
      </w:r>
      <w:r w:rsidR="009A5066">
        <w:rPr>
          <w:rFonts w:asciiTheme="majorBidi" w:hAnsiTheme="majorBidi" w:cstheme="majorBidi"/>
        </w:rPr>
        <w:t xml:space="preserve">the </w:t>
      </w:r>
      <w:r w:rsidR="00C4289E" w:rsidRPr="00CD2FF6">
        <w:rPr>
          <w:rFonts w:asciiTheme="majorBidi" w:hAnsiTheme="majorBidi" w:cstheme="majorBidi"/>
        </w:rPr>
        <w:t xml:space="preserve">studies </w:t>
      </w:r>
      <w:r w:rsidR="005012BA">
        <w:rPr>
          <w:rFonts w:asciiTheme="majorBidi" w:hAnsiTheme="majorBidi" w:cstheme="majorBidi"/>
        </w:rPr>
        <w:t xml:space="preserve">for which </w:t>
      </w:r>
      <w:r w:rsidR="009A5066">
        <w:rPr>
          <w:rFonts w:asciiTheme="majorBidi" w:hAnsiTheme="majorBidi" w:cstheme="majorBidi"/>
        </w:rPr>
        <w:t xml:space="preserve">the </w:t>
      </w:r>
      <w:r w:rsidR="005012BA">
        <w:rPr>
          <w:rFonts w:asciiTheme="majorBidi" w:hAnsiTheme="majorBidi" w:cstheme="majorBidi"/>
        </w:rPr>
        <w:t>request</w:t>
      </w:r>
      <w:r w:rsidR="009A5066">
        <w:rPr>
          <w:rFonts w:asciiTheme="majorBidi" w:hAnsiTheme="majorBidi" w:cstheme="majorBidi"/>
        </w:rPr>
        <w:t xml:space="preserve"> is being made</w:t>
      </w:r>
      <w:r w:rsidR="00C4289E" w:rsidRPr="00CD2FF6">
        <w:rPr>
          <w:rFonts w:asciiTheme="majorBidi" w:hAnsiTheme="majorBidi" w:cstheme="majorBidi"/>
        </w:rPr>
        <w:t>. The materials are provided in appendix F and include the following:</w:t>
      </w:r>
    </w:p>
    <w:p w14:paraId="39E8EF83" w14:textId="436CCCB2"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An introductory letter on NCES letterhead;</w:t>
      </w:r>
    </w:p>
    <w:p w14:paraId="383945F6"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 letter from RTI providing information on the data collections;</w:t>
      </w:r>
    </w:p>
    <w:p w14:paraId="083DD240"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Letter(s) of endorsement from supporting organizations/agencies (e.g., the American Association of Collegiate Registrars and Admission Officers);</w:t>
      </w:r>
    </w:p>
    <w:p w14:paraId="46B79999"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 list of other endorsing agencies;</w:t>
      </w:r>
    </w:p>
    <w:p w14:paraId="0C8C4CD7" w14:textId="4DB40AC1"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r>
      <w:r w:rsidR="009A5066">
        <w:rPr>
          <w:rFonts w:asciiTheme="majorBidi" w:hAnsiTheme="majorBidi" w:cstheme="majorBidi"/>
        </w:rPr>
        <w:t>Directions</w:t>
      </w:r>
      <w:r w:rsidRPr="00CD2FF6">
        <w:rPr>
          <w:rFonts w:asciiTheme="majorBidi" w:hAnsiTheme="majorBidi" w:cstheme="majorBidi"/>
        </w:rPr>
        <w:t xml:space="preserve"> regarding how to log on to </w:t>
      </w:r>
      <w:r w:rsidR="005012BA">
        <w:rPr>
          <w:rFonts w:asciiTheme="majorBidi" w:hAnsiTheme="majorBidi" w:cstheme="majorBidi"/>
        </w:rPr>
        <w:t xml:space="preserve">PDP, how to </w:t>
      </w:r>
      <w:r w:rsidRPr="00CD2FF6">
        <w:rPr>
          <w:rFonts w:asciiTheme="majorBidi" w:hAnsiTheme="majorBidi" w:cstheme="majorBidi"/>
        </w:rPr>
        <w:t>access the list of students for wh</w:t>
      </w:r>
      <w:r w:rsidR="005012BA">
        <w:rPr>
          <w:rFonts w:asciiTheme="majorBidi" w:hAnsiTheme="majorBidi" w:cstheme="majorBidi"/>
        </w:rPr>
        <w:t>om</w:t>
      </w:r>
      <w:r w:rsidRPr="00CD2FF6">
        <w:rPr>
          <w:rFonts w:asciiTheme="majorBidi" w:hAnsiTheme="majorBidi" w:cstheme="majorBidi"/>
        </w:rPr>
        <w:t xml:space="preserve"> information </w:t>
      </w:r>
      <w:r w:rsidR="009A5066">
        <w:rPr>
          <w:rFonts w:asciiTheme="majorBidi" w:hAnsiTheme="majorBidi" w:cstheme="majorBidi"/>
        </w:rPr>
        <w:t>is</w:t>
      </w:r>
      <w:r w:rsidRPr="00CD2FF6">
        <w:rPr>
          <w:rFonts w:asciiTheme="majorBidi" w:hAnsiTheme="majorBidi" w:cstheme="majorBidi"/>
        </w:rPr>
        <w:t xml:space="preserve"> </w:t>
      </w:r>
      <w:r w:rsidR="009A5066">
        <w:rPr>
          <w:rFonts w:asciiTheme="majorBidi" w:hAnsiTheme="majorBidi" w:cstheme="majorBidi"/>
        </w:rPr>
        <w:t xml:space="preserve">being </w:t>
      </w:r>
      <w:r w:rsidRPr="00CD2FF6">
        <w:rPr>
          <w:rFonts w:asciiTheme="majorBidi" w:hAnsiTheme="majorBidi" w:cstheme="majorBidi"/>
        </w:rPr>
        <w:t>requested</w:t>
      </w:r>
      <w:r w:rsidR="005012BA">
        <w:rPr>
          <w:rFonts w:asciiTheme="majorBidi" w:hAnsiTheme="majorBidi" w:cstheme="majorBidi"/>
        </w:rPr>
        <w:t>,</w:t>
      </w:r>
      <w:r w:rsidRPr="00CD2FF6">
        <w:rPr>
          <w:rFonts w:asciiTheme="majorBidi" w:hAnsiTheme="majorBidi" w:cstheme="majorBidi"/>
        </w:rPr>
        <w:t xml:space="preserve"> </w:t>
      </w:r>
      <w:r w:rsidR="005012BA">
        <w:rPr>
          <w:rFonts w:asciiTheme="majorBidi" w:hAnsiTheme="majorBidi" w:cstheme="majorBidi"/>
        </w:rPr>
        <w:t xml:space="preserve">and how to </w:t>
      </w:r>
      <w:r w:rsidRPr="00CD2FF6">
        <w:rPr>
          <w:rFonts w:asciiTheme="majorBidi" w:hAnsiTheme="majorBidi" w:cstheme="majorBidi"/>
        </w:rPr>
        <w:t xml:space="preserve">request reimbursement of </w:t>
      </w:r>
      <w:r w:rsidR="009A5066" w:rsidRPr="00CD2FF6">
        <w:rPr>
          <w:rFonts w:asciiTheme="majorBidi" w:hAnsiTheme="majorBidi" w:cstheme="majorBidi"/>
        </w:rPr>
        <w:t xml:space="preserve">incurred </w:t>
      </w:r>
      <w:r w:rsidRPr="00CD2FF6">
        <w:rPr>
          <w:rFonts w:asciiTheme="majorBidi" w:hAnsiTheme="majorBidi" w:cstheme="majorBidi"/>
        </w:rPr>
        <w:t>expenses (e.g., transcript processing fees); and</w:t>
      </w:r>
    </w:p>
    <w:p w14:paraId="7D6C87CD"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Descriptions of and instructions for the various methods of providing transcripts and student records data.</w:t>
      </w:r>
    </w:p>
    <w:p w14:paraId="61FA17E8" w14:textId="0F0D7A63" w:rsidR="00C4289E" w:rsidRPr="00CD2FF6" w:rsidRDefault="002832F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In the same materials, i</w:t>
      </w:r>
      <w:r w:rsidR="00C4289E" w:rsidRPr="00CD2FF6">
        <w:rPr>
          <w:rFonts w:asciiTheme="majorBidi" w:hAnsiTheme="majorBidi" w:cstheme="majorBidi"/>
        </w:rPr>
        <w:t xml:space="preserve">nstitutions will be asked to participate in both the PETS and Student Records collections, if both apply to the institution. If separate </w:t>
      </w:r>
      <w:r w:rsidR="00DB6FD1">
        <w:rPr>
          <w:rFonts w:asciiTheme="majorBidi" w:hAnsiTheme="majorBidi" w:cstheme="majorBidi"/>
        </w:rPr>
        <w:t xml:space="preserve">institution </w:t>
      </w:r>
      <w:r w:rsidR="00C4289E" w:rsidRPr="00CD2FF6">
        <w:rPr>
          <w:rFonts w:asciiTheme="majorBidi" w:hAnsiTheme="majorBidi" w:cstheme="majorBidi"/>
        </w:rPr>
        <w:t xml:space="preserve">staff are identified to provide different types of data, the contact materials will be provided to those staff members as needed. Follow-up contacts will occur after the initial mailing to ensure receipt of the package and </w:t>
      </w:r>
      <w:r w:rsidR="009A5066">
        <w:rPr>
          <w:rFonts w:asciiTheme="majorBidi" w:hAnsiTheme="majorBidi" w:cstheme="majorBidi"/>
        </w:rPr>
        <w:t xml:space="preserve">to </w:t>
      </w:r>
      <w:r w:rsidR="00C4289E" w:rsidRPr="00CD2FF6">
        <w:rPr>
          <w:rFonts w:asciiTheme="majorBidi" w:hAnsiTheme="majorBidi" w:cstheme="majorBidi"/>
        </w:rPr>
        <w:t>answer any questions about the study, as applicable.</w:t>
      </w:r>
    </w:p>
    <w:p w14:paraId="60DC5BBA" w14:textId="0853B74D" w:rsidR="00432A4A" w:rsidRDefault="00C15DE6" w:rsidP="00C15DE6">
      <w:pPr>
        <w:spacing w:after="120"/>
        <w:rPr>
          <w:rFonts w:asciiTheme="majorBidi" w:hAnsiTheme="majorBidi" w:cstheme="majorBidi"/>
        </w:rPr>
      </w:pPr>
      <w:bookmarkStart w:id="95" w:name="_Toc430962812"/>
      <w:bookmarkStart w:id="96" w:name="_Toc433779229"/>
      <w:r>
        <w:rPr>
          <w:b/>
          <w:bCs/>
        </w:rPr>
        <w:t xml:space="preserve">BPS:12 PETS </w:t>
      </w:r>
      <w:r w:rsidR="00E82B01" w:rsidRPr="00432A4A">
        <w:rPr>
          <w:b/>
          <w:bCs/>
        </w:rPr>
        <w:t>Collection</w:t>
      </w:r>
      <w:bookmarkEnd w:id="95"/>
      <w:bookmarkEnd w:id="96"/>
      <w:r w:rsidR="00432A4A">
        <w:rPr>
          <w:b/>
          <w:bCs/>
        </w:rPr>
        <w:t xml:space="preserve">. </w:t>
      </w:r>
      <w:r w:rsidR="00432A4A" w:rsidRPr="00CD2FF6">
        <w:rPr>
          <w:rFonts w:asciiTheme="majorBidi" w:hAnsiTheme="majorBidi" w:cstheme="majorBidi"/>
        </w:rPr>
        <w:t>A complete transcript from the institution will be requested as well as the complete transcripts from transfer institutions that the students attended, as applicable. A Transcript Control System (TCS) will track receipt of institution materials and student transcripts for BPS:12 PETS</w:t>
      </w:r>
      <w:r w:rsidR="00050C10">
        <w:rPr>
          <w:rFonts w:asciiTheme="majorBidi" w:hAnsiTheme="majorBidi" w:cstheme="majorBidi"/>
        </w:rPr>
        <w:t xml:space="preserve"> and </w:t>
      </w:r>
      <w:r w:rsidR="00050C10" w:rsidRPr="00CD2FF6">
        <w:rPr>
          <w:rFonts w:asciiTheme="majorBidi" w:hAnsiTheme="majorBidi" w:cstheme="majorBidi"/>
        </w:rPr>
        <w:lastRenderedPageBreak/>
        <w:t>HSLS:09</w:t>
      </w:r>
      <w:r w:rsidR="00432A4A" w:rsidRPr="00CD2FF6">
        <w:rPr>
          <w:rFonts w:asciiTheme="majorBidi" w:hAnsiTheme="majorBidi" w:cstheme="majorBidi"/>
        </w:rPr>
        <w:t xml:space="preserve">. The TCS will track the status of each catalog and transcript request, from initial </w:t>
      </w:r>
      <w:proofErr w:type="spellStart"/>
      <w:r w:rsidR="00432A4A" w:rsidRPr="00CD2FF6">
        <w:rPr>
          <w:rFonts w:asciiTheme="majorBidi" w:hAnsiTheme="majorBidi" w:cstheme="majorBidi"/>
        </w:rPr>
        <w:t>mailout</w:t>
      </w:r>
      <w:proofErr w:type="spellEnd"/>
      <w:r w:rsidR="00432A4A" w:rsidRPr="00CD2FF6">
        <w:rPr>
          <w:rFonts w:asciiTheme="majorBidi" w:hAnsiTheme="majorBidi" w:cstheme="majorBidi"/>
        </w:rPr>
        <w:t xml:space="preserve"> of the request through follow-up</w:t>
      </w:r>
      <w:r w:rsidR="00050C10">
        <w:rPr>
          <w:rFonts w:asciiTheme="majorBidi" w:hAnsiTheme="majorBidi" w:cstheme="majorBidi"/>
        </w:rPr>
        <w:t>s</w:t>
      </w:r>
      <w:r w:rsidR="00432A4A" w:rsidRPr="00CD2FF6">
        <w:rPr>
          <w:rFonts w:asciiTheme="majorBidi" w:hAnsiTheme="majorBidi" w:cstheme="majorBidi"/>
        </w:rPr>
        <w:t xml:space="preserve"> and final receipt.</w:t>
      </w:r>
    </w:p>
    <w:p w14:paraId="41FE0B7B" w14:textId="34AC8249" w:rsidR="00CF1337" w:rsidRPr="00CD2FF6" w:rsidRDefault="00CF1337" w:rsidP="00CF1337">
      <w:pPr>
        <w:pStyle w:val="BodyText"/>
        <w:spacing w:before="0" w:line="240" w:lineRule="auto"/>
        <w:ind w:firstLine="0"/>
        <w:rPr>
          <w:rFonts w:asciiTheme="majorBidi" w:hAnsiTheme="majorBidi" w:cstheme="majorBidi"/>
        </w:rPr>
      </w:pPr>
      <w:r w:rsidRPr="000D29F5">
        <w:rPr>
          <w:rFonts w:asciiTheme="majorBidi" w:hAnsiTheme="majorBidi" w:cstheme="majorBidi"/>
          <w:bCs/>
        </w:rPr>
        <w:t>As described in section A.10,</w:t>
      </w:r>
      <w:r>
        <w:rPr>
          <w:rFonts w:asciiTheme="majorBidi" w:hAnsiTheme="majorBidi" w:cstheme="majorBidi"/>
          <w:b/>
        </w:rPr>
        <w:t xml:space="preserve"> </w:t>
      </w:r>
      <w:r w:rsidRPr="000D29F5">
        <w:rPr>
          <w:rFonts w:asciiTheme="majorBidi" w:hAnsiTheme="majorBidi" w:cstheme="majorBidi"/>
          <w:bCs/>
        </w:rPr>
        <w:t>a</w:t>
      </w:r>
      <w:r w:rsidRPr="00CD2FF6">
        <w:rPr>
          <w:rFonts w:asciiTheme="majorBidi" w:hAnsiTheme="majorBidi" w:cstheme="majorBidi"/>
        </w:rPr>
        <w:t xml:space="preserve">ctive student consent for the release of transcripts will not be required. In compliance with FERPA, a notation will be made in the student record that the transcript has been collected for use for statistical purposes </w:t>
      </w:r>
      <w:r w:rsidR="00050C10" w:rsidRPr="00CD2FF6">
        <w:rPr>
          <w:rFonts w:asciiTheme="majorBidi" w:hAnsiTheme="majorBidi" w:cstheme="majorBidi"/>
        </w:rPr>
        <w:t xml:space="preserve">only </w:t>
      </w:r>
      <w:r w:rsidRPr="00CD2FF6">
        <w:rPr>
          <w:rFonts w:asciiTheme="majorBidi" w:hAnsiTheme="majorBidi" w:cstheme="majorBidi"/>
        </w:rPr>
        <w:t xml:space="preserve">in the BPS:12 </w:t>
      </w:r>
      <w:r w:rsidR="00050C10">
        <w:rPr>
          <w:rFonts w:asciiTheme="majorBidi" w:hAnsiTheme="majorBidi" w:cstheme="majorBidi"/>
        </w:rPr>
        <w:t xml:space="preserve">and/or </w:t>
      </w:r>
      <w:r w:rsidR="00050C10" w:rsidRPr="00CD2FF6">
        <w:rPr>
          <w:rFonts w:asciiTheme="majorBidi" w:hAnsiTheme="majorBidi" w:cstheme="majorBidi"/>
        </w:rPr>
        <w:t>HSLS:09</w:t>
      </w:r>
      <w:r w:rsidR="00050C10">
        <w:rPr>
          <w:rFonts w:asciiTheme="majorBidi" w:hAnsiTheme="majorBidi" w:cstheme="majorBidi"/>
        </w:rPr>
        <w:t xml:space="preserve"> </w:t>
      </w:r>
      <w:r w:rsidRPr="00CD2FF6">
        <w:rPr>
          <w:rFonts w:asciiTheme="majorBidi" w:hAnsiTheme="majorBidi" w:cstheme="majorBidi"/>
        </w:rPr>
        <w:t>longitudinal study</w:t>
      </w:r>
      <w:r w:rsidR="00050C10">
        <w:rPr>
          <w:rFonts w:asciiTheme="majorBidi" w:hAnsiTheme="majorBidi" w:cstheme="majorBidi"/>
        </w:rPr>
        <w:t>(</w:t>
      </w:r>
      <w:proofErr w:type="spellStart"/>
      <w:r w:rsidR="00050C10">
        <w:rPr>
          <w:rFonts w:asciiTheme="majorBidi" w:hAnsiTheme="majorBidi" w:cstheme="majorBidi"/>
        </w:rPr>
        <w:t>ies</w:t>
      </w:r>
      <w:proofErr w:type="spellEnd"/>
      <w:r w:rsidR="00050C10">
        <w:rPr>
          <w:rFonts w:asciiTheme="majorBidi" w:hAnsiTheme="majorBidi" w:cstheme="majorBidi"/>
        </w:rPr>
        <w:t>)</w:t>
      </w:r>
      <w:r w:rsidRPr="00CD2FF6">
        <w:rPr>
          <w:rFonts w:asciiTheme="majorBidi" w:hAnsiTheme="majorBidi" w:cstheme="majorBidi"/>
        </w:rPr>
        <w:t>.</w:t>
      </w:r>
    </w:p>
    <w:p w14:paraId="16806740" w14:textId="590F057B" w:rsidR="00F52E30" w:rsidRDefault="00432A4A" w:rsidP="00CF1337">
      <w:pPr>
        <w:spacing w:after="120"/>
        <w:rPr>
          <w:rFonts w:asciiTheme="majorBidi" w:hAnsiTheme="majorBidi" w:cstheme="majorBidi"/>
        </w:rPr>
      </w:pPr>
      <w:r>
        <w:rPr>
          <w:rFonts w:asciiTheme="majorBidi" w:hAnsiTheme="majorBidi" w:cstheme="majorBidi"/>
        </w:rPr>
        <w:t xml:space="preserve">The following </w:t>
      </w:r>
      <w:r w:rsidR="00E82B01" w:rsidRPr="00CD2FF6">
        <w:rPr>
          <w:rFonts w:asciiTheme="majorBidi" w:hAnsiTheme="majorBidi" w:cstheme="majorBidi"/>
        </w:rPr>
        <w:t>methods will be used f</w:t>
      </w:r>
      <w:r>
        <w:rPr>
          <w:rFonts w:asciiTheme="majorBidi" w:hAnsiTheme="majorBidi" w:cstheme="majorBidi"/>
        </w:rPr>
        <w:t xml:space="preserve">or institutions to deliver the </w:t>
      </w:r>
      <w:r w:rsidR="00050C10">
        <w:rPr>
          <w:rFonts w:asciiTheme="majorBidi" w:hAnsiTheme="majorBidi" w:cstheme="majorBidi"/>
        </w:rPr>
        <w:t xml:space="preserve">requested </w:t>
      </w:r>
      <w:r>
        <w:rPr>
          <w:rFonts w:asciiTheme="majorBidi" w:hAnsiTheme="majorBidi" w:cstheme="majorBidi"/>
        </w:rPr>
        <w:t>transcripts</w:t>
      </w:r>
      <w:r w:rsidR="00E82B01" w:rsidRPr="00CD2FF6">
        <w:rPr>
          <w:rFonts w:asciiTheme="majorBidi" w:hAnsiTheme="majorBidi" w:cstheme="majorBidi"/>
        </w:rPr>
        <w:t>:</w:t>
      </w:r>
    </w:p>
    <w:p w14:paraId="14FC2678" w14:textId="796252A0" w:rsidR="00E82B01" w:rsidRPr="00432A4A" w:rsidRDefault="008522A1"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PDP</w:t>
      </w:r>
      <w:r w:rsidR="00E82B01" w:rsidRPr="000D29F5">
        <w:rPr>
          <w:rFonts w:asciiTheme="majorBidi" w:hAnsiTheme="majorBidi" w:cstheme="majorBidi"/>
          <w:bCs/>
          <w:i/>
          <w:iCs/>
        </w:rPr>
        <w:t>.</w:t>
      </w:r>
      <w:r w:rsidR="00E82B01" w:rsidRPr="00CD2FF6">
        <w:rPr>
          <w:rFonts w:asciiTheme="majorBidi" w:hAnsiTheme="majorBidi" w:cstheme="majorBidi"/>
        </w:rPr>
        <w:t xml:space="preserve"> </w:t>
      </w:r>
      <w:r w:rsidR="00432A4A">
        <w:rPr>
          <w:rFonts w:asciiTheme="majorBidi" w:hAnsiTheme="majorBidi" w:cstheme="majorBidi"/>
        </w:rPr>
        <w:t xml:space="preserve">Because of the risks associated with transmitting confidential data on the internet, </w:t>
      </w:r>
      <w:r w:rsidR="00E82B01" w:rsidRPr="00CD2FF6">
        <w:rPr>
          <w:rFonts w:asciiTheme="majorBidi" w:hAnsiTheme="majorBidi" w:cstheme="majorBidi"/>
        </w:rPr>
        <w:t xml:space="preserve">the latest technology systems will be incorporated into the web application to ensure strict adherence to NCES confidentiality guidelines. The web server will include a </w:t>
      </w:r>
      <w:r w:rsidR="00050C10" w:rsidRPr="00050C10">
        <w:rPr>
          <w:rFonts w:asciiTheme="majorBidi" w:hAnsiTheme="majorBidi" w:cstheme="majorBidi"/>
        </w:rPr>
        <w:t xml:space="preserve">Secure-Sockets Layer (SSL) </w:t>
      </w:r>
      <w:r w:rsidR="00E82B01" w:rsidRPr="00CD2FF6">
        <w:rPr>
          <w:rFonts w:asciiTheme="majorBidi" w:hAnsiTheme="majorBidi" w:cstheme="majorBidi"/>
        </w:rPr>
        <w:t xml:space="preserve">Certificate, and will be configured to force encrypted data transmission over the Internet. All </w:t>
      </w:r>
      <w:r w:rsidR="00432A4A">
        <w:rPr>
          <w:rFonts w:asciiTheme="majorBidi" w:hAnsiTheme="majorBidi" w:cstheme="majorBidi"/>
        </w:rPr>
        <w:t xml:space="preserve">data </w:t>
      </w:r>
      <w:r w:rsidR="00E82B01" w:rsidRPr="00CD2FF6">
        <w:rPr>
          <w:rFonts w:asciiTheme="majorBidi" w:hAnsiTheme="majorBidi" w:cstheme="majorBidi"/>
        </w:rPr>
        <w:t xml:space="preserve">entry modules on this site </w:t>
      </w:r>
      <w:r w:rsidR="005726E4">
        <w:rPr>
          <w:rFonts w:asciiTheme="majorBidi" w:hAnsiTheme="majorBidi" w:cstheme="majorBidi"/>
        </w:rPr>
        <w:t>will be</w:t>
      </w:r>
      <w:r w:rsidR="00E82B01" w:rsidRPr="00CD2FF6">
        <w:rPr>
          <w:rFonts w:asciiTheme="majorBidi" w:hAnsiTheme="majorBidi" w:cstheme="majorBidi"/>
        </w:rPr>
        <w:t xml:space="preserve"> password protected, requiring the user to log in to the site before accessing confidential data. </w:t>
      </w:r>
      <w:r w:rsidR="003E3324">
        <w:t xml:space="preserve">To access restricted pages containing confidential information, the user will be required to log in by entering an assigned ID number and password. </w:t>
      </w:r>
      <w:r w:rsidR="00791517">
        <w:t>Through the PDP, the</w:t>
      </w:r>
      <w:r w:rsidR="003E3324" w:rsidRPr="008D087F">
        <w:t xml:space="preserve"> </w:t>
      </w:r>
      <w:r w:rsidR="003E3324" w:rsidRPr="00980410">
        <w:t>primary coordinators at</w:t>
      </w:r>
      <w:r w:rsidR="003E3324">
        <w:t xml:space="preserve"> the institution </w:t>
      </w:r>
      <w:r w:rsidR="00791517">
        <w:t>will be able</w:t>
      </w:r>
      <w:r w:rsidR="003E3324" w:rsidRPr="008D087F">
        <w:t xml:space="preserve"> to </w:t>
      </w:r>
      <w:r w:rsidR="00791517">
        <w:t>use</w:t>
      </w:r>
      <w:r w:rsidR="003E3324">
        <w:t xml:space="preserve"> </w:t>
      </w:r>
      <w:r w:rsidR="003E3324" w:rsidRPr="008D087F">
        <w:t>a 'Manage Users' link</w:t>
      </w:r>
      <w:r w:rsidR="00791517">
        <w:t>,</w:t>
      </w:r>
      <w:r w:rsidR="003E3324" w:rsidRPr="008D087F">
        <w:t xml:space="preserve"> available only to the</w:t>
      </w:r>
      <w:r w:rsidR="00791517">
        <w:t xml:space="preserve">m, </w:t>
      </w:r>
      <w:r w:rsidR="003E3324" w:rsidRPr="008D087F">
        <w:t>to add and delete users, as well as reset passwords and assign roles.</w:t>
      </w:r>
      <w:r w:rsidR="00F52E30">
        <w:t xml:space="preserve"> </w:t>
      </w:r>
      <w:r w:rsidR="003E3324" w:rsidRPr="008D087F">
        <w:t>Each user will have a unique username and will be assigned to one email address.</w:t>
      </w:r>
      <w:r w:rsidR="00F52E30">
        <w:t xml:space="preserve"> </w:t>
      </w:r>
      <w:r w:rsidR="003E3324" w:rsidRPr="008D087F">
        <w:t>Upon account creation, the</w:t>
      </w:r>
      <w:r w:rsidR="003E3324">
        <w:t xml:space="preserve"> new</w:t>
      </w:r>
      <w:r w:rsidR="003E3324" w:rsidRPr="008D087F">
        <w:t xml:space="preserve"> user will be sent a temporary password by the </w:t>
      </w:r>
      <w:r w:rsidR="003E3324">
        <w:t>PDP</w:t>
      </w:r>
      <w:r w:rsidR="003E3324" w:rsidRPr="008D087F">
        <w:t>.</w:t>
      </w:r>
      <w:r w:rsidR="00F52E30">
        <w:t xml:space="preserve"> </w:t>
      </w:r>
      <w:r w:rsidR="003E3324">
        <w:t>U</w:t>
      </w:r>
      <w:r w:rsidR="003E3324" w:rsidRPr="008D087F">
        <w:t>pon logging in for the first time</w:t>
      </w:r>
      <w:r w:rsidR="003E3324">
        <w:t>, th</w:t>
      </w:r>
      <w:r w:rsidR="003E3324" w:rsidRPr="008D087F">
        <w:t xml:space="preserve">e new user will </w:t>
      </w:r>
      <w:r w:rsidR="003E3324">
        <w:t xml:space="preserve">be required to </w:t>
      </w:r>
      <w:r w:rsidR="003E3324" w:rsidRPr="008D087F">
        <w:t>create a new password.</w:t>
      </w:r>
      <w:r w:rsidR="003E3324">
        <w:t xml:space="preserve"> </w:t>
      </w:r>
      <w:r w:rsidR="00E82B01" w:rsidRPr="00CD2FF6">
        <w:rPr>
          <w:rFonts w:asciiTheme="majorBidi" w:hAnsiTheme="majorBidi" w:cstheme="majorBidi"/>
        </w:rPr>
        <w:t xml:space="preserve">The system automatically </w:t>
      </w:r>
      <w:r w:rsidR="005726E4">
        <w:rPr>
          <w:rFonts w:asciiTheme="majorBidi" w:hAnsiTheme="majorBidi" w:cstheme="majorBidi"/>
        </w:rPr>
        <w:t>will log out</w:t>
      </w:r>
      <w:r w:rsidR="00E82B01" w:rsidRPr="00CD2FF6">
        <w:rPr>
          <w:rFonts w:asciiTheme="majorBidi" w:hAnsiTheme="majorBidi" w:cstheme="majorBidi"/>
        </w:rPr>
        <w:t xml:space="preserve"> the user after 20 minutes of inactivity.</w:t>
      </w:r>
      <w:r w:rsidR="00432A4A">
        <w:rPr>
          <w:rFonts w:asciiTheme="majorBidi" w:hAnsiTheme="majorBidi" w:cstheme="majorBidi"/>
        </w:rPr>
        <w:t xml:space="preserve"> </w:t>
      </w:r>
      <w:r w:rsidR="00E82B01" w:rsidRPr="00432A4A">
        <w:rPr>
          <w:rFonts w:asciiTheme="majorBidi" w:hAnsiTheme="majorBidi" w:cstheme="majorBidi"/>
        </w:rPr>
        <w:t xml:space="preserve">Files uploaded to the secure website will be stored in a secure project folder that is only accessible and visible to authorized </w:t>
      </w:r>
      <w:r w:rsidR="00791517">
        <w:rPr>
          <w:rFonts w:asciiTheme="majorBidi" w:hAnsiTheme="majorBidi" w:cstheme="majorBidi"/>
        </w:rPr>
        <w:t xml:space="preserve">project </w:t>
      </w:r>
      <w:r w:rsidR="00E82B01" w:rsidRPr="00432A4A">
        <w:rPr>
          <w:rFonts w:asciiTheme="majorBidi" w:hAnsiTheme="majorBidi" w:cstheme="majorBidi"/>
        </w:rPr>
        <w:t>staff.</w:t>
      </w:r>
    </w:p>
    <w:p w14:paraId="285C9832" w14:textId="3A7BDF38" w:rsidR="00E82B01" w:rsidRPr="00CD2FF6" w:rsidRDefault="00E82B01" w:rsidP="00DE4ACF">
      <w:pPr>
        <w:pStyle w:val="BodyText"/>
        <w:widowControl w:val="0"/>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File Transfer Protocol.</w:t>
      </w:r>
      <w:r w:rsidRPr="00CD2FF6">
        <w:rPr>
          <w:rFonts w:asciiTheme="majorBidi" w:hAnsiTheme="majorBidi" w:cstheme="majorBidi"/>
        </w:rPr>
        <w:t xml:space="preserve"> FTPS (also called FTP-SSL) uses the FTP protocol on top of SSL or Transcript Layer Security (TLS). When using FTPS, the control session is always encrypted. The data session can optionally be encrypted if the file has not </w:t>
      </w:r>
      <w:r w:rsidR="005726E4">
        <w:rPr>
          <w:rFonts w:asciiTheme="majorBidi" w:hAnsiTheme="majorBidi" w:cstheme="majorBidi"/>
        </w:rPr>
        <w:t xml:space="preserve">already </w:t>
      </w:r>
      <w:r w:rsidRPr="00CD2FF6">
        <w:rPr>
          <w:rFonts w:asciiTheme="majorBidi" w:hAnsiTheme="majorBidi" w:cstheme="majorBidi"/>
        </w:rPr>
        <w:t>been encrypted. Files transmitted via FTPS will be placed in a secure project folder that is only accessible and visible to authorized staff members.</w:t>
      </w:r>
    </w:p>
    <w:p w14:paraId="03477E66" w14:textId="3D2F41C8" w:rsidR="00E82B01" w:rsidRPr="00CD2FF6" w:rsidRDefault="00432A4A"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E</w:t>
      </w:r>
      <w:r w:rsidR="00E82B01" w:rsidRPr="000D29F5">
        <w:rPr>
          <w:rFonts w:asciiTheme="majorBidi" w:hAnsiTheme="majorBidi" w:cstheme="majorBidi"/>
          <w:bCs/>
          <w:i/>
          <w:iCs/>
        </w:rPr>
        <w:t>ncrypted attachments via email.</w:t>
      </w:r>
      <w:r w:rsidR="00E82B01" w:rsidRPr="00CD2FF6">
        <w:rPr>
          <w:rFonts w:asciiTheme="majorBidi" w:hAnsiTheme="majorBidi" w:cstheme="majorBidi"/>
        </w:rPr>
        <w:t xml:space="preserve"> RTI will provide guidelines on encryption and </w:t>
      </w:r>
      <w:r w:rsidR="005726E4">
        <w:rPr>
          <w:rFonts w:asciiTheme="majorBidi" w:hAnsiTheme="majorBidi" w:cstheme="majorBidi"/>
        </w:rPr>
        <w:t xml:space="preserve">on </w:t>
      </w:r>
      <w:r w:rsidR="00E82B01" w:rsidRPr="00CD2FF6">
        <w:rPr>
          <w:rFonts w:asciiTheme="majorBidi" w:hAnsiTheme="majorBidi" w:cstheme="majorBidi"/>
        </w:rPr>
        <w:t>creating strong passwords. Encrypted electronic files sent via email to a secure email folder will only be accessible to a limited set of authorized staff members on the project team. These files will then be copied to a project folder that is only accessible and visible to these same staff members.</w:t>
      </w:r>
    </w:p>
    <w:p w14:paraId="68C8C66D" w14:textId="647D0D6D" w:rsidR="00E82B01" w:rsidRPr="00CD2FF6" w:rsidRDefault="00E82B01" w:rsidP="00DE4ACF">
      <w:pPr>
        <w:pStyle w:val="BodyText"/>
        <w:numPr>
          <w:ilvl w:val="0"/>
          <w:numId w:val="34"/>
        </w:numPr>
        <w:spacing w:before="0" w:line="240" w:lineRule="auto"/>
        <w:ind w:left="450" w:hanging="270"/>
        <w:rPr>
          <w:rFonts w:asciiTheme="majorBidi" w:hAnsiTheme="majorBidi" w:cstheme="majorBidi"/>
        </w:rPr>
      </w:pPr>
      <w:proofErr w:type="spellStart"/>
      <w:r w:rsidRPr="000D29F5">
        <w:rPr>
          <w:rFonts w:asciiTheme="majorBidi" w:hAnsiTheme="majorBidi" w:cstheme="majorBidi"/>
          <w:bCs/>
          <w:i/>
          <w:iCs/>
        </w:rPr>
        <w:t>eSCRIP</w:t>
      </w:r>
      <w:proofErr w:type="spellEnd"/>
      <w:r w:rsidRPr="000D29F5">
        <w:rPr>
          <w:rFonts w:asciiTheme="majorBidi" w:hAnsiTheme="majorBidi" w:cstheme="majorBidi"/>
          <w:bCs/>
          <w:i/>
          <w:iCs/>
        </w:rPr>
        <w:t xml:space="preserve">-SAFE™. </w:t>
      </w:r>
      <w:r w:rsidRPr="000D29F5">
        <w:rPr>
          <w:rFonts w:asciiTheme="majorBidi" w:hAnsiTheme="majorBidi" w:cstheme="majorBidi"/>
          <w:bCs/>
        </w:rPr>
        <w:t>This</w:t>
      </w:r>
      <w:r w:rsidRPr="00CD2FF6">
        <w:rPr>
          <w:rFonts w:asciiTheme="majorBidi" w:hAnsiTheme="majorBidi" w:cstheme="majorBidi"/>
        </w:rPr>
        <w:t xml:space="preserve"> method involves the institution sending data via a customized print driver which connects the student information system to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by secure internet connection. RTI, as the designated recipient, can then download the data after entering a password. The files are deleted from the server 24 hours after being accessed. The transmission between sending institutions and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is protected by SSL connections using 128-bit key ciphers. Remote access to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via the </w:t>
      </w:r>
      <w:r w:rsidR="00ED7CCF">
        <w:rPr>
          <w:rFonts w:asciiTheme="majorBidi" w:hAnsiTheme="majorBidi" w:cstheme="majorBidi"/>
        </w:rPr>
        <w:t>w</w:t>
      </w:r>
      <w:r w:rsidRPr="00CD2FF6">
        <w:rPr>
          <w:rFonts w:asciiTheme="majorBidi" w:hAnsiTheme="majorBidi" w:cstheme="majorBidi"/>
        </w:rPr>
        <w:t>eb interface is likewise protected via 128-bit SSL. Downloaded files will be moved to a secure project folder that is only accessible and visible to authorized staff members.</w:t>
      </w:r>
    </w:p>
    <w:p w14:paraId="04D94AFA" w14:textId="62FF1110" w:rsidR="00E82B01" w:rsidRPr="00432A4A" w:rsidRDefault="00432A4A"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S</w:t>
      </w:r>
      <w:r w:rsidR="00E82B01" w:rsidRPr="000D29F5">
        <w:rPr>
          <w:rFonts w:asciiTheme="majorBidi" w:hAnsiTheme="majorBidi" w:cstheme="majorBidi"/>
          <w:bCs/>
          <w:i/>
          <w:iCs/>
        </w:rPr>
        <w:t>ecure electronic fax (e-fax).</w:t>
      </w:r>
      <w:r w:rsidR="00E82B01" w:rsidRPr="00432A4A">
        <w:rPr>
          <w:rFonts w:asciiTheme="majorBidi" w:hAnsiTheme="majorBidi" w:cstheme="majorBidi"/>
        </w:rPr>
        <w:t xml:space="preserve"> </w:t>
      </w:r>
      <w:r w:rsidRPr="00432A4A">
        <w:rPr>
          <w:rFonts w:asciiTheme="majorBidi" w:hAnsiTheme="majorBidi" w:cstheme="majorBidi"/>
        </w:rPr>
        <w:t>We expect</w:t>
      </w:r>
      <w:r w:rsidR="00E82B01" w:rsidRPr="00432A4A">
        <w:rPr>
          <w:rFonts w:asciiTheme="majorBidi" w:hAnsiTheme="majorBidi" w:cstheme="majorBidi"/>
        </w:rPr>
        <w:t xml:space="preserve"> that </w:t>
      </w:r>
      <w:r w:rsidRPr="00432A4A">
        <w:rPr>
          <w:rFonts w:asciiTheme="majorBidi" w:hAnsiTheme="majorBidi" w:cstheme="majorBidi"/>
        </w:rPr>
        <w:t xml:space="preserve">a </w:t>
      </w:r>
      <w:r w:rsidR="00E82B01" w:rsidRPr="00432A4A">
        <w:rPr>
          <w:rFonts w:asciiTheme="majorBidi" w:hAnsiTheme="majorBidi" w:cstheme="majorBidi"/>
        </w:rPr>
        <w:t xml:space="preserve">few institutions will ask to provide hardcopy transcripts. If </w:t>
      </w:r>
      <w:r w:rsidRPr="00432A4A">
        <w:rPr>
          <w:rFonts w:asciiTheme="majorBidi" w:hAnsiTheme="majorBidi" w:cstheme="majorBidi"/>
        </w:rPr>
        <w:t xml:space="preserve">more secure options are </w:t>
      </w:r>
      <w:r w:rsidR="00E82B01" w:rsidRPr="00432A4A">
        <w:rPr>
          <w:rFonts w:asciiTheme="majorBidi" w:hAnsiTheme="majorBidi" w:cstheme="majorBidi"/>
        </w:rPr>
        <w:t xml:space="preserve">not possible, faxed transcripts will be accepted. Although fax equipment and software does facilitate rapid transmission of information, this same equipment and software opens up the possibility that information could be misdirected or intercepted by </w:t>
      </w:r>
      <w:r>
        <w:rPr>
          <w:rFonts w:asciiTheme="majorBidi" w:hAnsiTheme="majorBidi" w:cstheme="majorBidi"/>
        </w:rPr>
        <w:t xml:space="preserve">unauthorized </w:t>
      </w:r>
      <w:r w:rsidR="00E82B01" w:rsidRPr="00432A4A">
        <w:rPr>
          <w:rFonts w:asciiTheme="majorBidi" w:hAnsiTheme="majorBidi" w:cstheme="majorBidi"/>
        </w:rPr>
        <w:t xml:space="preserve">individuals. To safeguard against this, </w:t>
      </w:r>
      <w:r>
        <w:rPr>
          <w:rFonts w:asciiTheme="majorBidi" w:hAnsiTheme="majorBidi" w:cstheme="majorBidi"/>
        </w:rPr>
        <w:t xml:space="preserve">we </w:t>
      </w:r>
      <w:r w:rsidR="00E82B01" w:rsidRPr="00432A4A">
        <w:rPr>
          <w:rFonts w:asciiTheme="majorBidi" w:hAnsiTheme="majorBidi" w:cstheme="majorBidi"/>
        </w:rPr>
        <w:t xml:space="preserve">will only allow for transcripts to be faxed to an electronic fax machine and only </w:t>
      </w:r>
      <w:r w:rsidR="000D29F5">
        <w:rPr>
          <w:rFonts w:asciiTheme="majorBidi" w:hAnsiTheme="majorBidi" w:cstheme="majorBidi"/>
        </w:rPr>
        <w:t xml:space="preserve">in the absence of </w:t>
      </w:r>
      <w:r w:rsidR="00E82B01" w:rsidRPr="00432A4A">
        <w:rPr>
          <w:rFonts w:asciiTheme="majorBidi" w:hAnsiTheme="majorBidi" w:cstheme="majorBidi"/>
        </w:rPr>
        <w:t xml:space="preserve">other options. To ensure transmission to the </w:t>
      </w:r>
      <w:r w:rsidR="000D29F5">
        <w:rPr>
          <w:rFonts w:asciiTheme="majorBidi" w:hAnsiTheme="majorBidi" w:cstheme="majorBidi"/>
        </w:rPr>
        <w:t xml:space="preserve">intended </w:t>
      </w:r>
      <w:r w:rsidR="00E82B01" w:rsidRPr="00432A4A">
        <w:rPr>
          <w:rFonts w:asciiTheme="majorBidi" w:hAnsiTheme="majorBidi" w:cstheme="majorBidi"/>
        </w:rPr>
        <w:t xml:space="preserve">destination, a test </w:t>
      </w:r>
      <w:r w:rsidR="000D29F5">
        <w:rPr>
          <w:rFonts w:asciiTheme="majorBidi" w:hAnsiTheme="majorBidi" w:cstheme="majorBidi"/>
        </w:rPr>
        <w:t xml:space="preserve">fax </w:t>
      </w:r>
      <w:r w:rsidR="00E82B01" w:rsidRPr="00432A4A">
        <w:rPr>
          <w:rFonts w:asciiTheme="majorBidi" w:hAnsiTheme="majorBidi" w:cstheme="majorBidi"/>
        </w:rPr>
        <w:t xml:space="preserve">with non-sensitive data will be required to </w:t>
      </w:r>
      <w:r w:rsidR="000D29F5">
        <w:rPr>
          <w:rFonts w:asciiTheme="majorBidi" w:hAnsiTheme="majorBidi" w:cstheme="majorBidi"/>
        </w:rPr>
        <w:t xml:space="preserve">reduce </w:t>
      </w:r>
      <w:r w:rsidR="00E82B01" w:rsidRPr="00432A4A">
        <w:rPr>
          <w:rFonts w:asciiTheme="majorBidi" w:hAnsiTheme="majorBidi" w:cstheme="majorBidi"/>
        </w:rPr>
        <w:t>errors in transmission from misdialing. Institutions will be given a fax cover page that includes a confidentiality statement to use when transmitting individually identifiable information.</w:t>
      </w:r>
      <w:r w:rsidRPr="00432A4A">
        <w:rPr>
          <w:rFonts w:asciiTheme="majorBidi" w:hAnsiTheme="majorBidi" w:cstheme="majorBidi"/>
        </w:rPr>
        <w:t xml:space="preserve"> </w:t>
      </w:r>
      <w:r w:rsidR="00E82B01" w:rsidRPr="00432A4A">
        <w:rPr>
          <w:rFonts w:asciiTheme="majorBidi" w:hAnsiTheme="majorBidi" w:cstheme="majorBidi"/>
        </w:rPr>
        <w:t>Transcript</w:t>
      </w:r>
      <w:r w:rsidR="000D29F5">
        <w:rPr>
          <w:rFonts w:asciiTheme="majorBidi" w:hAnsiTheme="majorBidi" w:cstheme="majorBidi"/>
        </w:rPr>
        <w:t>s</w:t>
      </w:r>
      <w:r w:rsidR="00E82B01" w:rsidRPr="00432A4A">
        <w:rPr>
          <w:rFonts w:asciiTheme="majorBidi" w:hAnsiTheme="majorBidi" w:cstheme="majorBidi"/>
        </w:rPr>
        <w:t xml:space="preserve"> received via e-fax are </w:t>
      </w:r>
      <w:r w:rsidR="00020BDD">
        <w:rPr>
          <w:rFonts w:asciiTheme="majorBidi" w:hAnsiTheme="majorBidi" w:cstheme="majorBidi"/>
        </w:rPr>
        <w:t xml:space="preserve">temporarily </w:t>
      </w:r>
      <w:r w:rsidR="00E82B01" w:rsidRPr="00432A4A">
        <w:rPr>
          <w:rFonts w:asciiTheme="majorBidi" w:hAnsiTheme="majorBidi" w:cstheme="majorBidi"/>
        </w:rPr>
        <w:t>stored on the e-fax server, which is housed in a secured data center at RTI. These files will be copied to a project folder that is only accessible and vis</w:t>
      </w:r>
      <w:r w:rsidR="00020BDD">
        <w:rPr>
          <w:rFonts w:asciiTheme="majorBidi" w:hAnsiTheme="majorBidi" w:cstheme="majorBidi"/>
        </w:rPr>
        <w:t>ible to authorized staff members</w:t>
      </w:r>
      <w:r w:rsidR="00E82B01" w:rsidRPr="00432A4A">
        <w:rPr>
          <w:rFonts w:asciiTheme="majorBidi" w:hAnsiTheme="majorBidi" w:cstheme="majorBidi"/>
        </w:rPr>
        <w:t>.</w:t>
      </w:r>
    </w:p>
    <w:p w14:paraId="1F1E0B19" w14:textId="68A6B90B" w:rsidR="00E82B01" w:rsidRPr="00CD2FF6" w:rsidRDefault="00E82B01" w:rsidP="0036453F">
      <w:pPr>
        <w:pStyle w:val="BodyText"/>
        <w:widowControl w:val="0"/>
        <w:numPr>
          <w:ilvl w:val="0"/>
          <w:numId w:val="34"/>
        </w:numPr>
        <w:spacing w:before="0" w:line="240" w:lineRule="auto"/>
        <w:ind w:left="461" w:hanging="274"/>
        <w:rPr>
          <w:rFonts w:asciiTheme="majorBidi" w:hAnsiTheme="majorBidi" w:cstheme="majorBidi"/>
        </w:rPr>
      </w:pPr>
      <w:r w:rsidRPr="000D29F5">
        <w:rPr>
          <w:rFonts w:asciiTheme="majorBidi" w:hAnsiTheme="majorBidi" w:cstheme="majorBidi"/>
          <w:bCs/>
          <w:i/>
          <w:iCs/>
        </w:rPr>
        <w:t>Federal Express.</w:t>
      </w:r>
      <w:r w:rsidRPr="00CD2FF6">
        <w:rPr>
          <w:rFonts w:asciiTheme="majorBidi" w:hAnsiTheme="majorBidi" w:cstheme="majorBidi"/>
        </w:rPr>
        <w:t xml:space="preserve"> When institutions ask to provide hardcopy transcripts, they will be encouraged to use </w:t>
      </w:r>
      <w:r w:rsidRPr="00CD2FF6">
        <w:rPr>
          <w:rFonts w:asciiTheme="majorBidi" w:hAnsiTheme="majorBidi" w:cstheme="majorBidi"/>
        </w:rPr>
        <w:lastRenderedPageBreak/>
        <w:t>one of the secure electronic methods of transmission or fax. If that is not possible, transcripts sent via Federal Express will be accepted. Before sending, institution staff will be instructed to redact any personally identifiable information from the transcript including student name, address, data of birth, and Social Security Number (if present). Paper transcripts will be scanned and stored as electronic files. These files will be stored in a project folder that is only accessible and visible to project staff members. The original paper transcripts will be shredded.</w:t>
      </w:r>
    </w:p>
    <w:p w14:paraId="61EFF932" w14:textId="75AC8770" w:rsidR="00E82B01" w:rsidRPr="000D29F5" w:rsidRDefault="00E82B01"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National Student Clearinghouse.</w:t>
      </w:r>
      <w:r w:rsidRPr="000D29F5">
        <w:rPr>
          <w:rFonts w:asciiTheme="majorBidi" w:hAnsiTheme="majorBidi" w:cstheme="majorBidi"/>
        </w:rPr>
        <w:t xml:space="preserve"> Approximately 200 institutions are currently registered to send and receive academic transcripts in standardized electronic formats via the SPEEDE dedicated server. Additional institutions are in the test phase. The SPEEDE server supports the following methods of securely transmitting transcripts:</w:t>
      </w:r>
      <w:r w:rsidR="000D29F5" w:rsidRPr="000D29F5">
        <w:rPr>
          <w:rFonts w:asciiTheme="majorBidi" w:hAnsiTheme="majorBidi" w:cstheme="majorBidi"/>
        </w:rPr>
        <w:t xml:space="preserve"> </w:t>
      </w:r>
      <w:r w:rsidRPr="000D29F5">
        <w:rPr>
          <w:rFonts w:asciiTheme="majorBidi" w:hAnsiTheme="majorBidi" w:cstheme="majorBidi"/>
        </w:rPr>
        <w:t xml:space="preserve">email as MIME attachment using </w:t>
      </w:r>
      <w:r w:rsidR="007F0351" w:rsidRPr="000D29F5">
        <w:rPr>
          <w:rFonts w:asciiTheme="majorBidi" w:hAnsiTheme="majorBidi" w:cstheme="majorBidi"/>
        </w:rPr>
        <w:t>Pretty Good Privacy (</w:t>
      </w:r>
      <w:r w:rsidRPr="000D29F5">
        <w:rPr>
          <w:rFonts w:asciiTheme="majorBidi" w:hAnsiTheme="majorBidi" w:cstheme="majorBidi"/>
        </w:rPr>
        <w:t>PGP</w:t>
      </w:r>
      <w:r w:rsidR="007F0351" w:rsidRPr="000D29F5">
        <w:rPr>
          <w:rFonts w:asciiTheme="majorBidi" w:hAnsiTheme="majorBidi" w:cstheme="majorBidi"/>
        </w:rPr>
        <w:t>)</w:t>
      </w:r>
      <w:r w:rsidRPr="000D29F5">
        <w:rPr>
          <w:rFonts w:asciiTheme="majorBidi" w:hAnsiTheme="majorBidi" w:cstheme="majorBidi"/>
        </w:rPr>
        <w:t xml:space="preserve"> encryption;</w:t>
      </w:r>
      <w:r w:rsidR="000D29F5" w:rsidRPr="000D29F5">
        <w:rPr>
          <w:rFonts w:asciiTheme="majorBidi" w:hAnsiTheme="majorBidi" w:cstheme="majorBidi"/>
        </w:rPr>
        <w:t xml:space="preserve"> </w:t>
      </w:r>
      <w:r w:rsidRPr="000D29F5">
        <w:rPr>
          <w:rFonts w:asciiTheme="majorBidi" w:hAnsiTheme="majorBidi" w:cstheme="majorBidi"/>
        </w:rPr>
        <w:t>regular FTP using PGP encryption;</w:t>
      </w:r>
      <w:r w:rsidR="000D29F5" w:rsidRPr="000D29F5">
        <w:rPr>
          <w:rFonts w:asciiTheme="majorBidi" w:hAnsiTheme="majorBidi" w:cstheme="majorBidi"/>
        </w:rPr>
        <w:t xml:space="preserve"> </w:t>
      </w:r>
      <w:r w:rsidRPr="000D29F5">
        <w:rPr>
          <w:rFonts w:asciiTheme="majorBidi" w:hAnsiTheme="majorBidi" w:cstheme="majorBidi"/>
        </w:rPr>
        <w:t xml:space="preserve">Secure FTP (SFTP over </w:t>
      </w:r>
      <w:r w:rsidR="007F0351" w:rsidRPr="000D29F5">
        <w:rPr>
          <w:rFonts w:asciiTheme="majorBidi" w:hAnsiTheme="majorBidi" w:cstheme="majorBidi"/>
        </w:rPr>
        <w:t>SSH</w:t>
      </w:r>
      <w:r w:rsidRPr="000D29F5">
        <w:rPr>
          <w:rFonts w:asciiTheme="majorBidi" w:hAnsiTheme="majorBidi" w:cstheme="majorBidi"/>
        </w:rPr>
        <w:t>) and straight SFTP; and</w:t>
      </w:r>
      <w:r w:rsidR="000D29F5" w:rsidRPr="000D29F5">
        <w:rPr>
          <w:rFonts w:asciiTheme="majorBidi" w:hAnsiTheme="majorBidi" w:cstheme="majorBidi"/>
        </w:rPr>
        <w:t xml:space="preserve"> </w:t>
      </w:r>
      <w:r w:rsidR="000D29F5">
        <w:rPr>
          <w:rFonts w:asciiTheme="majorBidi" w:hAnsiTheme="majorBidi" w:cstheme="majorBidi"/>
        </w:rPr>
        <w:t>F</w:t>
      </w:r>
      <w:r w:rsidRPr="000D29F5">
        <w:rPr>
          <w:rFonts w:asciiTheme="majorBidi" w:hAnsiTheme="majorBidi" w:cstheme="majorBidi"/>
        </w:rPr>
        <w:t>TPS (FTP over SSL/TLS).</w:t>
      </w:r>
      <w:r w:rsidR="000D29F5">
        <w:rPr>
          <w:rFonts w:asciiTheme="majorBidi" w:hAnsiTheme="majorBidi" w:cstheme="majorBidi"/>
        </w:rPr>
        <w:t xml:space="preserve"> </w:t>
      </w:r>
      <w:r w:rsidRPr="000D29F5">
        <w:rPr>
          <w:rFonts w:asciiTheme="majorBidi" w:hAnsiTheme="majorBidi" w:cstheme="majorBidi"/>
        </w:rPr>
        <w:t xml:space="preserve">Files collected via this dedicated server will be copied to a secure project folder that is only accessible and visible to authorized staff members. The same access restrictions and storage protocol will be followed for these files as described above for files uploaded to the </w:t>
      </w:r>
      <w:r w:rsidR="008522A1" w:rsidRPr="000D29F5">
        <w:rPr>
          <w:rFonts w:asciiTheme="majorBidi" w:hAnsiTheme="majorBidi" w:cstheme="majorBidi"/>
        </w:rPr>
        <w:t>PDP</w:t>
      </w:r>
      <w:r w:rsidRPr="000D29F5">
        <w:rPr>
          <w:rFonts w:asciiTheme="majorBidi" w:hAnsiTheme="majorBidi" w:cstheme="majorBidi"/>
        </w:rPr>
        <w:t>.</w:t>
      </w:r>
    </w:p>
    <w:p w14:paraId="4EEE4375" w14:textId="783D4418" w:rsidR="00E82B01" w:rsidRPr="00CD2FF6" w:rsidRDefault="00E82B01" w:rsidP="00DE4ACF">
      <w:pPr>
        <w:pStyle w:val="BodyText"/>
        <w:widowControl w:val="0"/>
        <w:spacing w:before="0" w:line="240" w:lineRule="auto"/>
        <w:ind w:firstLine="0"/>
        <w:rPr>
          <w:rFonts w:asciiTheme="majorBidi" w:hAnsiTheme="majorBidi" w:cstheme="majorBidi"/>
        </w:rPr>
      </w:pPr>
      <w:r w:rsidRPr="00CD2FF6">
        <w:rPr>
          <w:rFonts w:asciiTheme="majorBidi" w:hAnsiTheme="majorBidi" w:cstheme="majorBidi"/>
        </w:rPr>
        <w:t>As part of quality control procedures, the importance of collecting complete transcript information for all sampled students will be emphasized to registrars. Transcripts will be reviewed for completeness. Institutional contactors will contact the institutions to prompt for missing data and to resolve any problems or inconsistencies.</w:t>
      </w:r>
    </w:p>
    <w:p w14:paraId="259EAE2E" w14:textId="77777777"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catalogs will also be reviewed and their disposition status updated in the system in cases where this information is necessary and not available through </w:t>
      </w:r>
      <w:proofErr w:type="spellStart"/>
      <w:r w:rsidRPr="00CD2FF6">
        <w:rPr>
          <w:rFonts w:asciiTheme="majorBidi" w:hAnsiTheme="majorBidi" w:cstheme="majorBidi"/>
        </w:rPr>
        <w:t>CollegeSource</w:t>
      </w:r>
      <w:proofErr w:type="spellEnd"/>
      <w:r w:rsidRPr="00CD2FF6">
        <w:rPr>
          <w:rFonts w:asciiTheme="majorBidi" w:hAnsiTheme="majorBidi" w:cstheme="majorBidi"/>
        </w:rPr>
        <w:t xml:space="preserve"> Online. Hardcopy course catalogs will be sorted and stored in a secure facility at RTI, organized by institution. 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14:paraId="538CE9E9" w14:textId="77777777"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The initial transcript check-in procedure is designed to efficiently log the receipt of materials into the TCS as they are received each day. The presence of an electronic catalog (obtained from </w:t>
      </w:r>
      <w:proofErr w:type="spellStart"/>
      <w:r w:rsidRPr="00CD2FF6">
        <w:rPr>
          <w:rFonts w:asciiTheme="majorBidi" w:hAnsiTheme="majorBidi" w:cstheme="majorBidi"/>
        </w:rPr>
        <w:t>CollegeSource</w:t>
      </w:r>
      <w:proofErr w:type="spellEnd"/>
      <w:r w:rsidRPr="00CD2FF6">
        <w:rPr>
          <w:rFonts w:asciiTheme="majorBidi" w:hAnsiTheme="majorBidi" w:cstheme="majorBidi"/>
        </w:rPr>
        <w:t xml:space="preserve"> Online) will be confirmed during the verification process for each institution and noted in the TCS. The remaining catalogs will be requested from the institutions directly and will be logged in the TCS as they are received. Transcripts and supplementary materials received from institutions (including course catalogs) will be inventoried, assigned unique identifiers based on the IPEDS ID, reviewed for problems, and logged into the TCS.</w:t>
      </w:r>
    </w:p>
    <w:p w14:paraId="5FF66942" w14:textId="547BCF8B"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Project staff will use daily monitoring reports to review the transcript problems and to identify approaches to solving the problems. </w:t>
      </w:r>
      <w:r w:rsidR="000D29F5">
        <w:rPr>
          <w:rFonts w:asciiTheme="majorBidi" w:hAnsiTheme="majorBidi" w:cstheme="majorBidi"/>
        </w:rPr>
        <w:t>The w</w:t>
      </w:r>
      <w:r w:rsidRPr="00CD2FF6">
        <w:rPr>
          <w:rFonts w:asciiTheme="majorBidi" w:hAnsiTheme="majorBidi" w:cstheme="majorBidi"/>
        </w:rPr>
        <w:t>eb-based collection will allow timely quality control, as RTI staff will be able to monitor data quality for participating institutions closely and on a regular basis. When institutions call for technical or substantive support, the institution’s data will be queried in order to communicate with the institution more effectively regarding problems. Transcript data will be destroyed or shredded after the transcripts are keyed, coded, and quality checked.</w:t>
      </w:r>
    </w:p>
    <w:p w14:paraId="127262BA" w14:textId="77777777" w:rsidR="00F52E30" w:rsidRDefault="00E82B01" w:rsidP="004406B8">
      <w:pPr>
        <w:pStyle w:val="BodyText"/>
        <w:spacing w:before="0" w:line="240" w:lineRule="auto"/>
        <w:ind w:firstLine="0"/>
        <w:rPr>
          <w:rFonts w:asciiTheme="majorBidi" w:hAnsiTheme="majorBidi" w:cstheme="majorBidi"/>
        </w:rPr>
      </w:pPr>
      <w:r w:rsidRPr="00CD2FF6">
        <w:rPr>
          <w:rFonts w:asciiTheme="majorBidi" w:hAnsiTheme="majorBidi" w:cstheme="majorBidi"/>
        </w:rPr>
        <w:t>A comprehensive supervision and quality control plan will be implemented during transcript keying and coding. At least one supervisor will be onsite at all times to manage the effort and simultaneously perform QC checks and problem resolution. Verifications of transcript data keying and coding at the student level will be performed. Any errors will be recorded and corrected as needed.</w:t>
      </w:r>
    </w:p>
    <w:p w14:paraId="73EF09CB" w14:textId="649716EF" w:rsidR="00CF1337" w:rsidRPr="00CF1337" w:rsidRDefault="00E82B01" w:rsidP="0036453F">
      <w:pPr>
        <w:pStyle w:val="BodyText"/>
        <w:widowControl w:val="0"/>
        <w:spacing w:before="0" w:line="240" w:lineRule="auto"/>
        <w:ind w:firstLine="0"/>
        <w:rPr>
          <w:rFonts w:asciiTheme="majorBidi" w:hAnsiTheme="majorBidi" w:cstheme="majorBidi"/>
          <w:bCs/>
        </w:rPr>
      </w:pPr>
      <w:bookmarkStart w:id="97" w:name="_Toc430962813"/>
      <w:bookmarkStart w:id="98" w:name="_Toc433779230"/>
      <w:r w:rsidRPr="00CF1337">
        <w:rPr>
          <w:rFonts w:asciiTheme="majorBidi" w:hAnsiTheme="majorBidi" w:cstheme="majorBidi"/>
          <w:b/>
          <w:bCs/>
        </w:rPr>
        <w:t>BPS:12 Student Record</w:t>
      </w:r>
      <w:r w:rsidR="00FF08CA" w:rsidRPr="00CF1337">
        <w:rPr>
          <w:rFonts w:asciiTheme="majorBidi" w:hAnsiTheme="majorBidi" w:cstheme="majorBidi"/>
          <w:b/>
          <w:bCs/>
        </w:rPr>
        <w:t>s</w:t>
      </w:r>
      <w:r w:rsidRPr="00CF1337">
        <w:rPr>
          <w:rFonts w:asciiTheme="majorBidi" w:hAnsiTheme="majorBidi" w:cstheme="majorBidi"/>
          <w:b/>
          <w:bCs/>
        </w:rPr>
        <w:t xml:space="preserve"> Collection</w:t>
      </w:r>
      <w:bookmarkEnd w:id="97"/>
      <w:bookmarkEnd w:id="98"/>
      <w:r w:rsidR="00CF1337">
        <w:rPr>
          <w:rFonts w:asciiTheme="majorBidi" w:hAnsiTheme="majorBidi" w:cstheme="majorBidi"/>
        </w:rPr>
        <w:t xml:space="preserve">. </w:t>
      </w:r>
      <w:r w:rsidR="00CF1337" w:rsidRPr="00CF1337">
        <w:rPr>
          <w:rFonts w:asciiTheme="majorBidi" w:hAnsiTheme="majorBidi" w:cstheme="majorBidi"/>
          <w:bCs/>
        </w:rPr>
        <w:t xml:space="preserve">Institution coordinators will receive a guide that provides instructions for accessing and using the </w:t>
      </w:r>
      <w:r w:rsidR="005726E4">
        <w:rPr>
          <w:rFonts w:asciiTheme="majorBidi" w:hAnsiTheme="majorBidi" w:cstheme="majorBidi"/>
          <w:bCs/>
        </w:rPr>
        <w:t>PDP (as described above)</w:t>
      </w:r>
      <w:r w:rsidR="00CF1337" w:rsidRPr="00CF1337">
        <w:rPr>
          <w:rFonts w:asciiTheme="majorBidi" w:hAnsiTheme="majorBidi" w:cstheme="majorBidi"/>
          <w:bCs/>
        </w:rPr>
        <w:t xml:space="preserve">. In conjunction with the transcript collection, RTI institution contacting staff will notify institutions that the student records data collection has begun and will </w:t>
      </w:r>
      <w:r w:rsidR="00CF1337" w:rsidRPr="00CF1337">
        <w:rPr>
          <w:rFonts w:asciiTheme="majorBidi" w:hAnsiTheme="majorBidi" w:cstheme="majorBidi"/>
          <w:bCs/>
        </w:rPr>
        <w:lastRenderedPageBreak/>
        <w:t xml:space="preserve">follow up (by telephone, mail, or email) as needed. Project staff will be available by telephone </w:t>
      </w:r>
      <w:r w:rsidR="00DE4ACF">
        <w:rPr>
          <w:rFonts w:asciiTheme="majorBidi" w:hAnsiTheme="majorBidi" w:cstheme="majorBidi"/>
          <w:bCs/>
        </w:rPr>
        <w:t>and</w:t>
      </w:r>
      <w:r w:rsidR="00CF1337" w:rsidRPr="00CF1337">
        <w:rPr>
          <w:rFonts w:asciiTheme="majorBidi" w:hAnsiTheme="majorBidi" w:cstheme="majorBidi"/>
          <w:bCs/>
        </w:rPr>
        <w:t xml:space="preserve"> email to provide assistance </w:t>
      </w:r>
      <w:r w:rsidR="00DE4ACF">
        <w:rPr>
          <w:rFonts w:asciiTheme="majorBidi" w:hAnsiTheme="majorBidi" w:cstheme="majorBidi"/>
          <w:bCs/>
        </w:rPr>
        <w:t>when</w:t>
      </w:r>
      <w:r w:rsidR="00CF1337" w:rsidRPr="00CF1337">
        <w:rPr>
          <w:rFonts w:asciiTheme="majorBidi" w:hAnsiTheme="majorBidi" w:cstheme="majorBidi"/>
          <w:bCs/>
        </w:rPr>
        <w:t xml:space="preserve"> institution staff have questions or encounter problems.</w:t>
      </w:r>
    </w:p>
    <w:p w14:paraId="168ECAE7" w14:textId="36C7F768" w:rsidR="00E82B01" w:rsidRPr="00CF1337" w:rsidRDefault="00CF1337" w:rsidP="0009636B">
      <w:pPr>
        <w:pStyle w:val="BodyTextnoindent0"/>
        <w:rPr>
          <w:b/>
          <w:bCs/>
        </w:rPr>
      </w:pPr>
      <w:r>
        <w:t xml:space="preserve">The following </w:t>
      </w:r>
      <w:r w:rsidR="00E82B01" w:rsidRPr="00CF1337">
        <w:t>options will be offered to institutions</w:t>
      </w:r>
      <w:r>
        <w:t xml:space="preserve"> for collecting student records:</w:t>
      </w:r>
    </w:p>
    <w:p w14:paraId="7F0AC406" w14:textId="3BB2D088" w:rsidR="00E82B01" w:rsidRPr="00CF1337" w:rsidRDefault="00CF1337" w:rsidP="00DE4ACF">
      <w:pPr>
        <w:pStyle w:val="BodyText"/>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W</w:t>
      </w:r>
      <w:r w:rsidR="00E82B01" w:rsidRPr="00CF1337">
        <w:rPr>
          <w:rFonts w:asciiTheme="majorBidi" w:hAnsiTheme="majorBidi" w:cstheme="majorBidi"/>
          <w:bCs/>
          <w:i/>
          <w:iCs/>
        </w:rPr>
        <w:t>eb-based data entry interface</w:t>
      </w:r>
      <w:r w:rsidR="00E82B01" w:rsidRPr="00CF1337">
        <w:rPr>
          <w:rFonts w:asciiTheme="majorBidi" w:hAnsiTheme="majorBidi" w:cstheme="majorBidi"/>
          <w:bCs/>
        </w:rPr>
        <w:t>. The web-based data entry interface allows the coordinator to enter data by student, by year.</w:t>
      </w:r>
    </w:p>
    <w:p w14:paraId="5B0F1EA7" w14:textId="6CF59BFF" w:rsidR="00E82B01" w:rsidRPr="00CF1337" w:rsidRDefault="00E82B01" w:rsidP="00DE4ACF">
      <w:pPr>
        <w:pStyle w:val="BodyText"/>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Excel workbook</w:t>
      </w:r>
      <w:r w:rsidRPr="00CF1337">
        <w:rPr>
          <w:rFonts w:asciiTheme="majorBidi" w:hAnsiTheme="majorBidi" w:cstheme="majorBidi"/>
          <w:bCs/>
        </w:rPr>
        <w:t xml:space="preserve">. An Excel workbook will be created for each institution and will be preloaded with each sampled student’s ID, name, date of birth, and </w:t>
      </w:r>
      <w:r w:rsidR="00266C99" w:rsidRPr="00CF1337">
        <w:rPr>
          <w:rFonts w:asciiTheme="majorBidi" w:hAnsiTheme="majorBidi" w:cstheme="majorBidi"/>
          <w:bCs/>
        </w:rPr>
        <w:t xml:space="preserve">last four digits of </w:t>
      </w:r>
      <w:r w:rsidRPr="00CF1337">
        <w:rPr>
          <w:rFonts w:asciiTheme="majorBidi" w:hAnsiTheme="majorBidi" w:cstheme="majorBidi"/>
          <w:bCs/>
        </w:rPr>
        <w:t xml:space="preserve">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w:t>
      </w:r>
      <w:r w:rsidR="008522A1" w:rsidRPr="00CF1337">
        <w:rPr>
          <w:rFonts w:asciiTheme="majorBidi" w:hAnsiTheme="majorBidi" w:cstheme="majorBidi"/>
          <w:bCs/>
        </w:rPr>
        <w:t>PDP</w:t>
      </w:r>
      <w:r w:rsidRPr="00CF1337">
        <w:rPr>
          <w:rFonts w:asciiTheme="majorBidi" w:hAnsiTheme="majorBidi" w:cstheme="majorBidi"/>
          <w:bCs/>
        </w:rPr>
        <w:t xml:space="preserve">, enter the data, and then upload the data. Validation checks will occur both within Excel as data are entered and when the data are uploaded. Data will be imported into the web application </w:t>
      </w:r>
      <w:r w:rsidR="00CF1337">
        <w:rPr>
          <w:rFonts w:asciiTheme="majorBidi" w:hAnsiTheme="majorBidi" w:cstheme="majorBidi"/>
          <w:bCs/>
        </w:rPr>
        <w:t xml:space="preserve">so </w:t>
      </w:r>
      <w:r w:rsidRPr="00CF1337">
        <w:rPr>
          <w:rFonts w:asciiTheme="majorBidi" w:hAnsiTheme="majorBidi" w:cstheme="majorBidi"/>
          <w:bCs/>
        </w:rPr>
        <w:t xml:space="preserve">that institution staff can check their </w:t>
      </w:r>
      <w:r w:rsidR="005726E4">
        <w:rPr>
          <w:rFonts w:asciiTheme="majorBidi" w:hAnsiTheme="majorBidi" w:cstheme="majorBidi"/>
          <w:bCs/>
        </w:rPr>
        <w:t xml:space="preserve">submission </w:t>
      </w:r>
      <w:r w:rsidRPr="00CF1337">
        <w:rPr>
          <w:rFonts w:asciiTheme="majorBidi" w:hAnsiTheme="majorBidi" w:cstheme="majorBidi"/>
          <w:bCs/>
        </w:rPr>
        <w:t>for quality control purposes.</w:t>
      </w:r>
    </w:p>
    <w:p w14:paraId="6E17CBE6" w14:textId="530A8CAD" w:rsidR="00E82B01" w:rsidRPr="00CF1337" w:rsidRDefault="00E82B01" w:rsidP="00DE4ACF">
      <w:pPr>
        <w:pStyle w:val="BodyText"/>
        <w:widowControl w:val="0"/>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CSV (comma separated values)</w:t>
      </w:r>
      <w:r w:rsidR="00CF1337">
        <w:rPr>
          <w:rFonts w:asciiTheme="majorBidi" w:hAnsiTheme="majorBidi" w:cstheme="majorBidi"/>
          <w:bCs/>
          <w:i/>
          <w:iCs/>
        </w:rPr>
        <w:t xml:space="preserve"> file</w:t>
      </w:r>
      <w:r w:rsidRPr="00CF1337">
        <w:rPr>
          <w:rFonts w:asciiTheme="majorBidi" w:hAnsiTheme="majorBidi" w:cstheme="majorBidi"/>
          <w:bCs/>
        </w:rPr>
        <w:t xml:space="preserve">. Institutions with the means to export data from their internal database systems to a flat file may use this method of supplying </w:t>
      </w:r>
      <w:r w:rsidR="00FF08CA" w:rsidRPr="00CF1337">
        <w:rPr>
          <w:rFonts w:asciiTheme="majorBidi" w:hAnsiTheme="majorBidi" w:cstheme="majorBidi"/>
          <w:bCs/>
        </w:rPr>
        <w:t>student</w:t>
      </w:r>
      <w:r w:rsidRPr="00CF1337">
        <w:rPr>
          <w:rFonts w:asciiTheme="majorBidi" w:hAnsiTheme="majorBidi" w:cstheme="majorBidi"/>
          <w:bCs/>
        </w:rPr>
        <w:t xml:space="preserve"> records. Institutions that select this method will be provided with detailed import specifications, and all data uploading will occur through the </w:t>
      </w:r>
      <w:r w:rsidR="008522A1" w:rsidRPr="00CF1337">
        <w:rPr>
          <w:rFonts w:asciiTheme="majorBidi" w:hAnsiTheme="majorBidi" w:cstheme="majorBidi"/>
          <w:bCs/>
        </w:rPr>
        <w:t>PDP</w:t>
      </w:r>
      <w:r w:rsidRPr="00CF1337">
        <w:rPr>
          <w:rFonts w:asciiTheme="majorBidi" w:hAnsiTheme="majorBidi" w:cstheme="majorBidi"/>
          <w:bCs/>
        </w:rPr>
        <w:t xml:space="preserve">. Like the Excel workbook option, data will be imported into the web application such that institution staff can check their </w:t>
      </w:r>
      <w:r w:rsidR="005726E4">
        <w:rPr>
          <w:rFonts w:asciiTheme="majorBidi" w:hAnsiTheme="majorBidi" w:cstheme="majorBidi"/>
          <w:bCs/>
        </w:rPr>
        <w:t>submission</w:t>
      </w:r>
      <w:r w:rsidRPr="00CF1337">
        <w:rPr>
          <w:rFonts w:asciiTheme="majorBidi" w:hAnsiTheme="majorBidi" w:cstheme="majorBidi"/>
          <w:bCs/>
        </w:rPr>
        <w:t xml:space="preserve"> before finalizing.</w:t>
      </w:r>
    </w:p>
    <w:p w14:paraId="37C8DBB4" w14:textId="26DC7F2D" w:rsidR="00FD6F2D" w:rsidRPr="00570838" w:rsidRDefault="00FD6F2D" w:rsidP="00CF1337">
      <w:pPr>
        <w:pStyle w:val="Heading2"/>
        <w:spacing w:before="120" w:line="240" w:lineRule="auto"/>
        <w:rPr>
          <w:sz w:val="22"/>
          <w:szCs w:val="24"/>
        </w:rPr>
      </w:pPr>
      <w:bookmarkStart w:id="99" w:name="_Toc370482431"/>
      <w:bookmarkStart w:id="100" w:name="_Toc459815569"/>
      <w:r w:rsidRPr="00570838">
        <w:rPr>
          <w:sz w:val="22"/>
          <w:szCs w:val="24"/>
        </w:rPr>
        <w:t>Tests of Procedures and Methods</w:t>
      </w:r>
      <w:bookmarkEnd w:id="99"/>
      <w:bookmarkEnd w:id="100"/>
    </w:p>
    <w:p w14:paraId="0B56B092" w14:textId="7145F172" w:rsidR="00F52E30" w:rsidRDefault="001A135B" w:rsidP="001A3546">
      <w:pPr>
        <w:pStyle w:val="BodyTextnoindent0"/>
        <w:widowControl w:val="0"/>
        <w:spacing w:line="240" w:lineRule="auto"/>
      </w:pPr>
      <w:r w:rsidRPr="002A02E3">
        <w:t>The design of the BPS:12/1</w:t>
      </w:r>
      <w:r w:rsidR="00F07448">
        <w:t>7</w:t>
      </w:r>
      <w:r w:rsidRPr="002A02E3">
        <w:t xml:space="preserve"> full-scale data collection—in particular, </w:t>
      </w:r>
      <w:r w:rsidR="008A3528">
        <w:t xml:space="preserve">the </w:t>
      </w:r>
      <w:r w:rsidRPr="002A02E3">
        <w:t xml:space="preserve">use of responsive design principles to reduce bias associated with nonresponse—expands on data collection experiments designed for </w:t>
      </w:r>
      <w:r w:rsidR="00CF762D">
        <w:t xml:space="preserve">several </w:t>
      </w:r>
      <w:r w:rsidRPr="002A02E3">
        <w:t>preceding NCES studies</w:t>
      </w:r>
      <w:r w:rsidR="00F07448">
        <w:t xml:space="preserve"> and, particularly, </w:t>
      </w:r>
      <w:r w:rsidR="005726E4">
        <w:t xml:space="preserve">on </w:t>
      </w:r>
      <w:r w:rsidR="00F07448">
        <w:t>the respons</w:t>
      </w:r>
      <w:r w:rsidR="008A3528">
        <w:t>iv</w:t>
      </w:r>
      <w:r w:rsidR="00F07448">
        <w:t xml:space="preserve">e design methods employed </w:t>
      </w:r>
      <w:r w:rsidR="00D94222">
        <w:t>i</w:t>
      </w:r>
      <w:r w:rsidR="00F07448">
        <w:t>n BPS:12/14</w:t>
      </w:r>
      <w:r w:rsidRPr="002A02E3">
        <w:t xml:space="preserve">. </w:t>
      </w:r>
      <w:r w:rsidR="00CF762D">
        <w:t xml:space="preserve">Section </w:t>
      </w:r>
      <w:r w:rsidR="000C6FE9">
        <w:t>B.</w:t>
      </w:r>
      <w:r w:rsidR="001A3546">
        <w:t>4</w:t>
      </w:r>
      <w:r w:rsidR="00CF762D">
        <w:t xml:space="preserve">.a below provides </w:t>
      </w:r>
      <w:r w:rsidR="008A3528">
        <w:t>a</w:t>
      </w:r>
      <w:r w:rsidR="00D659F2">
        <w:t>n overview of the responsive design</w:t>
      </w:r>
      <w:r w:rsidR="000C6FE9">
        <w:t xml:space="preserve"> methods employed for BPS:12/14, s</w:t>
      </w:r>
      <w:r w:rsidR="00251D5E">
        <w:t xml:space="preserve">ection </w:t>
      </w:r>
      <w:r w:rsidR="000C6FE9">
        <w:t>B.</w:t>
      </w:r>
      <w:r w:rsidR="001A3546">
        <w:t>4</w:t>
      </w:r>
      <w:r w:rsidR="00251D5E">
        <w:t xml:space="preserve">.b provides </w:t>
      </w:r>
      <w:r w:rsidR="00D659F2">
        <w:t>a description of the proposed methods for BPS:12/17</w:t>
      </w:r>
      <w:r w:rsidR="000C6FE9">
        <w:t>, and s</w:t>
      </w:r>
      <w:r w:rsidR="00570838">
        <w:t xml:space="preserve">ection </w:t>
      </w:r>
      <w:r w:rsidR="000C6FE9">
        <w:t>B.</w:t>
      </w:r>
      <w:r w:rsidR="001A3546">
        <w:t>4</w:t>
      </w:r>
      <w:r w:rsidR="00570838">
        <w:t>.c describes the tests that will be conducted through the BPS:12 PETS pilot study.</w:t>
      </w:r>
    </w:p>
    <w:p w14:paraId="7D83CA8B" w14:textId="77FE73FA" w:rsidR="008A3528" w:rsidRPr="00570838" w:rsidRDefault="008A3528" w:rsidP="00CF1337">
      <w:pPr>
        <w:pStyle w:val="Heading3"/>
        <w:spacing w:line="240" w:lineRule="auto"/>
        <w:rPr>
          <w:b w:val="0"/>
          <w:bCs w:val="0"/>
          <w:i/>
          <w:iCs/>
          <w:sz w:val="22"/>
          <w:szCs w:val="22"/>
        </w:rPr>
      </w:pPr>
      <w:bookmarkStart w:id="101" w:name="_Toc459815570"/>
      <w:r w:rsidRPr="00570838">
        <w:rPr>
          <w:b w:val="0"/>
          <w:bCs w:val="0"/>
          <w:i/>
          <w:iCs/>
          <w:sz w:val="22"/>
          <w:szCs w:val="22"/>
        </w:rPr>
        <w:t>BPS:12/14 Full Scale</w:t>
      </w:r>
      <w:r w:rsidR="00120B0C">
        <w:rPr>
          <w:rStyle w:val="FootnoteReference"/>
          <w:b w:val="0"/>
          <w:bCs w:val="0"/>
          <w:i/>
          <w:iCs/>
        </w:rPr>
        <w:footnoteReference w:id="4"/>
      </w:r>
      <w:bookmarkEnd w:id="101"/>
    </w:p>
    <w:p w14:paraId="19C6AAD0" w14:textId="77777777" w:rsidR="00331231" w:rsidRDefault="00331231" w:rsidP="00316CE0">
      <w:pPr>
        <w:pStyle w:val="BodyText"/>
        <w:spacing w:line="240" w:lineRule="auto"/>
        <w:ind w:firstLine="0"/>
      </w:pPr>
      <w:bookmarkStart w:id="102" w:name="_Toc370482433"/>
      <w:r>
        <w:t xml:space="preserve">The BPS:12/14 full-scale data collection combined two experiments in a responsive design (Groves and </w:t>
      </w:r>
      <w:proofErr w:type="spellStart"/>
      <w:r>
        <w:t>Heeringa</w:t>
      </w:r>
      <w:proofErr w:type="spellEnd"/>
      <w:r>
        <w:t xml:space="preserve"> 2006) in order to examine the degree to which targeted interventions could affect response rates and reduce nonresponse bias. Key features included a calibration sample for identifying optimal monetary incentives and other interventions, the development of an importance measure for use in identifying </w:t>
      </w:r>
      <w:proofErr w:type="spellStart"/>
      <w:r>
        <w:t>nonrespondents</w:t>
      </w:r>
      <w:proofErr w:type="spellEnd"/>
      <w:r>
        <w:t xml:space="preserve"> for some incentive offers, and the use of a six-phase data collection period.</w:t>
      </w:r>
    </w:p>
    <w:p w14:paraId="4D7526F9" w14:textId="77777777" w:rsidR="00F52E30" w:rsidRDefault="00331231" w:rsidP="00316CE0">
      <w:pPr>
        <w:spacing w:before="120" w:after="120"/>
        <w:rPr>
          <w:szCs w:val="24"/>
        </w:rPr>
      </w:pPr>
      <w:r>
        <w:rPr>
          <w:szCs w:val="24"/>
        </w:rPr>
        <w:t xml:space="preserve">Approximately 10 percent of the 37,170 BPS:12/14 sample members were randomly selected to form the </w:t>
      </w:r>
      <w:r w:rsidRPr="00926AA1">
        <w:rPr>
          <w:i/>
          <w:iCs/>
          <w:szCs w:val="24"/>
        </w:rPr>
        <w:t>calibration sample</w:t>
      </w:r>
      <w:r>
        <w:rPr>
          <w:szCs w:val="24"/>
        </w:rPr>
        <w:t xml:space="preserve">, with the remainder forming the </w:t>
      </w:r>
      <w:r w:rsidRPr="00926AA1">
        <w:rPr>
          <w:i/>
          <w:iCs/>
          <w:szCs w:val="24"/>
        </w:rPr>
        <w:t>main sample</w:t>
      </w:r>
      <w:r>
        <w:rPr>
          <w:i/>
          <w:iCs/>
          <w:szCs w:val="24"/>
        </w:rPr>
        <w:t>,</w:t>
      </w:r>
      <w:r>
        <w:rPr>
          <w:szCs w:val="24"/>
        </w:rPr>
        <w:t xml:space="preserve"> although readers should note that respondents from the calibration and main sample were combined at the end of data collection.</w:t>
      </w:r>
      <w:r w:rsidR="00F52E30">
        <w:rPr>
          <w:szCs w:val="24"/>
        </w:rPr>
        <w:t xml:space="preserve"> </w:t>
      </w:r>
      <w:r>
        <w:rPr>
          <w:szCs w:val="24"/>
        </w:rPr>
        <w:t>Both samples were subject to the same data collection activities, although the calibration sample was fielded seven weeks before the main sample.</w:t>
      </w:r>
    </w:p>
    <w:p w14:paraId="16D58A70" w14:textId="77777777" w:rsidR="00F52E30" w:rsidRDefault="00331231" w:rsidP="00316CE0">
      <w:pPr>
        <w:pStyle w:val="ListParagraph"/>
        <w:spacing w:before="120" w:after="120"/>
        <w:ind w:left="0"/>
        <w:rPr>
          <w:rFonts w:asciiTheme="majorBidi" w:hAnsiTheme="majorBidi" w:cstheme="majorBidi"/>
          <w:sz w:val="24"/>
          <w:szCs w:val="24"/>
        </w:rPr>
      </w:pPr>
      <w:r w:rsidRPr="00F27781">
        <w:rPr>
          <w:rFonts w:asciiTheme="majorBidi" w:hAnsiTheme="majorBidi" w:cstheme="majorBidi"/>
          <w:b/>
          <w:bCs/>
          <w:sz w:val="24"/>
          <w:szCs w:val="24"/>
        </w:rPr>
        <w:t>First Experiment: Determine Baseline Incentive.</w:t>
      </w:r>
      <w:r>
        <w:rPr>
          <w:b/>
          <w:bCs/>
        </w:rPr>
        <w:t xml:space="preserve"> </w:t>
      </w:r>
      <w:r>
        <w:rPr>
          <w:rFonts w:asciiTheme="majorBidi" w:hAnsiTheme="majorBidi" w:cstheme="majorBidi"/>
          <w:sz w:val="24"/>
          <w:szCs w:val="24"/>
        </w:rPr>
        <w:t>The first experiment with the calibration sample, which began with a web-only survey at the start of data collection (</w:t>
      </w:r>
      <w:r w:rsidRPr="00D94222">
        <w:rPr>
          <w:rFonts w:asciiTheme="majorBidi" w:hAnsiTheme="majorBidi" w:cstheme="majorBidi"/>
          <w:b/>
          <w:sz w:val="24"/>
          <w:szCs w:val="24"/>
        </w:rPr>
        <w:t>Phase 1</w:t>
      </w:r>
      <w:r>
        <w:rPr>
          <w:rFonts w:asciiTheme="majorBidi" w:hAnsiTheme="majorBidi" w:cstheme="majorBidi"/>
          <w:sz w:val="24"/>
          <w:szCs w:val="24"/>
        </w:rPr>
        <w:t xml:space="preserve">), evaluated the baseline incentive offer. </w:t>
      </w:r>
      <w:r>
        <w:rPr>
          <w:rFonts w:asciiTheme="majorBidi" w:hAnsiTheme="majorBidi" w:cstheme="majorBidi"/>
          <w:sz w:val="24"/>
          <w:szCs w:val="24"/>
        </w:rPr>
        <w:lastRenderedPageBreak/>
        <w:t xml:space="preserve">In order to assess whether or not baseline incentive offers should vary by likelihood of response, an </w:t>
      </w:r>
      <w:r w:rsidRPr="00D94222">
        <w:rPr>
          <w:rFonts w:asciiTheme="majorBidi" w:hAnsiTheme="majorBidi" w:cstheme="majorBidi"/>
          <w:i/>
          <w:sz w:val="24"/>
          <w:szCs w:val="24"/>
        </w:rPr>
        <w:t>a priori</w:t>
      </w:r>
      <w:r w:rsidRPr="00401FED">
        <w:rPr>
          <w:rFonts w:asciiTheme="majorBidi" w:hAnsiTheme="majorBidi" w:cstheme="majorBidi"/>
          <w:sz w:val="24"/>
          <w:szCs w:val="24"/>
        </w:rPr>
        <w:t xml:space="preserve"> predicted probability of response was constructed for each calibration sample member</w:t>
      </w:r>
      <w:r>
        <w:rPr>
          <w:rFonts w:asciiTheme="majorBidi" w:hAnsiTheme="majorBidi" w:cstheme="majorBidi"/>
          <w:sz w:val="24"/>
          <w:szCs w:val="24"/>
        </w:rPr>
        <w:t>.</w:t>
      </w:r>
      <w:r w:rsidR="00F52E30">
        <w:rPr>
          <w:rFonts w:asciiTheme="majorBidi" w:hAnsiTheme="majorBidi" w:cstheme="majorBidi"/>
          <w:sz w:val="24"/>
          <w:szCs w:val="24"/>
        </w:rPr>
        <w:t xml:space="preserve"> </w:t>
      </w:r>
      <w:r>
        <w:rPr>
          <w:rFonts w:asciiTheme="majorBidi" w:hAnsiTheme="majorBidi" w:cstheme="majorBidi"/>
          <w:sz w:val="24"/>
          <w:szCs w:val="24"/>
        </w:rPr>
        <w:t>S</w:t>
      </w:r>
      <w:r w:rsidRPr="00401FED">
        <w:rPr>
          <w:rFonts w:asciiTheme="majorBidi" w:hAnsiTheme="majorBidi" w:cstheme="majorBidi"/>
          <w:sz w:val="24"/>
          <w:szCs w:val="24"/>
        </w:rPr>
        <w:t xml:space="preserve">ample members </w:t>
      </w:r>
      <w:r>
        <w:rPr>
          <w:rFonts w:asciiTheme="majorBidi" w:hAnsiTheme="majorBidi" w:cstheme="majorBidi"/>
          <w:sz w:val="24"/>
          <w:szCs w:val="24"/>
        </w:rPr>
        <w:t>were then ordered</w:t>
      </w:r>
      <w:r w:rsidRPr="00401FED">
        <w:rPr>
          <w:rFonts w:asciiTheme="majorBidi" w:hAnsiTheme="majorBidi" w:cstheme="majorBidi"/>
          <w:sz w:val="24"/>
          <w:szCs w:val="24"/>
        </w:rPr>
        <w:t xml:space="preserve"> into five groups using response probability quintiles and randomly assigned to one of eleven baseline incentive amounts ranging from $0 to $50 in five dollar increments.</w:t>
      </w:r>
      <w:r>
        <w:rPr>
          <w:rFonts w:asciiTheme="majorBidi" w:hAnsiTheme="majorBidi" w:cstheme="majorBidi"/>
          <w:sz w:val="24"/>
          <w:szCs w:val="24"/>
        </w:rPr>
        <w:t xml:space="preserve"> Additional information on how the </w:t>
      </w:r>
      <w:r w:rsidRPr="00D94222">
        <w:rPr>
          <w:rFonts w:asciiTheme="majorBidi" w:hAnsiTheme="majorBidi" w:cstheme="majorBidi"/>
          <w:i/>
          <w:sz w:val="24"/>
          <w:szCs w:val="24"/>
        </w:rPr>
        <w:t>a priori</w:t>
      </w:r>
      <w:r>
        <w:rPr>
          <w:rFonts w:asciiTheme="majorBidi" w:hAnsiTheme="majorBidi" w:cstheme="majorBidi"/>
          <w:sz w:val="24"/>
          <w:szCs w:val="24"/>
        </w:rPr>
        <w:t xml:space="preserve"> predicted probabilities of response were constructed is provided below.</w:t>
      </w:r>
    </w:p>
    <w:p w14:paraId="41F8B711" w14:textId="2264F9F2" w:rsidR="00331231" w:rsidRDefault="00331231" w:rsidP="00316CE0">
      <w:pPr>
        <w:pStyle w:val="ListParagraph"/>
        <w:spacing w:before="120" w:after="120"/>
        <w:ind w:left="0"/>
        <w:rPr>
          <w:rFonts w:asciiTheme="majorBidi" w:hAnsiTheme="majorBidi" w:cstheme="majorBidi"/>
          <w:sz w:val="24"/>
          <w:szCs w:val="24"/>
        </w:rPr>
      </w:pPr>
      <w:r>
        <w:rPr>
          <w:rFonts w:asciiTheme="majorBidi" w:hAnsiTheme="majorBidi" w:cstheme="majorBidi"/>
          <w:sz w:val="24"/>
          <w:szCs w:val="24"/>
        </w:rPr>
        <w:t>For the three groups with the highest predicted probabilities of response, response rates for a given baseline incentive offer ($0 to $25) were statistically higher than response rates for the next lowest incentive amount up to $30.</w:t>
      </w:r>
      <w:r w:rsidR="00F52E30">
        <w:rPr>
          <w:rFonts w:asciiTheme="majorBidi" w:hAnsiTheme="majorBidi" w:cstheme="majorBidi"/>
          <w:sz w:val="24"/>
          <w:szCs w:val="24"/>
        </w:rPr>
        <w:t xml:space="preserve"> </w:t>
      </w:r>
      <w:r>
        <w:rPr>
          <w:rFonts w:asciiTheme="majorBidi" w:hAnsiTheme="majorBidi" w:cstheme="majorBidi"/>
          <w:sz w:val="24"/>
          <w:szCs w:val="24"/>
        </w:rPr>
        <w:t>In addition, response rates for incentives of $35 or higher were not statistically higher than response rates at $30.</w:t>
      </w:r>
      <w:r w:rsidR="00F52E30">
        <w:rPr>
          <w:rFonts w:asciiTheme="majorBidi" w:hAnsiTheme="majorBidi" w:cstheme="majorBidi"/>
          <w:sz w:val="24"/>
          <w:szCs w:val="24"/>
        </w:rPr>
        <w:t xml:space="preserve"> </w:t>
      </w:r>
      <w:r>
        <w:rPr>
          <w:rFonts w:asciiTheme="majorBidi" w:hAnsiTheme="majorBidi" w:cstheme="majorBidi"/>
          <w:sz w:val="24"/>
          <w:szCs w:val="24"/>
        </w:rPr>
        <w:t>For the two groups with the lowest predicted probabilities of response, the response rate at $45 was found to be statistically higher than the response rate at $0, but the finding was based on a small number of cases.</w:t>
      </w:r>
      <w:r w:rsidR="00F52E30">
        <w:rPr>
          <w:rFonts w:asciiTheme="majorBidi" w:hAnsiTheme="majorBidi" w:cstheme="majorBidi"/>
          <w:sz w:val="24"/>
          <w:szCs w:val="24"/>
        </w:rPr>
        <w:t xml:space="preserve"> </w:t>
      </w:r>
      <w:r>
        <w:rPr>
          <w:rFonts w:asciiTheme="majorBidi" w:hAnsiTheme="majorBidi" w:cstheme="majorBidi"/>
          <w:sz w:val="24"/>
          <w:szCs w:val="24"/>
        </w:rPr>
        <w:t>Given the results across groups, a baseline incentive amount of $30 was set for use with the main sample.</w:t>
      </w:r>
      <w:r w:rsidR="00F52E30">
        <w:rPr>
          <w:rFonts w:asciiTheme="majorBidi" w:hAnsiTheme="majorBidi" w:cstheme="majorBidi"/>
          <w:sz w:val="24"/>
          <w:szCs w:val="24"/>
        </w:rPr>
        <w:t xml:space="preserve"> </w:t>
      </w:r>
      <w:r>
        <w:rPr>
          <w:rFonts w:asciiTheme="majorBidi" w:hAnsiTheme="majorBidi" w:cstheme="majorBidi"/>
          <w:sz w:val="24"/>
          <w:szCs w:val="24"/>
        </w:rPr>
        <w:t xml:space="preserve">Both calibration and main sample </w:t>
      </w:r>
      <w:proofErr w:type="spellStart"/>
      <w:r>
        <w:rPr>
          <w:rFonts w:asciiTheme="majorBidi" w:hAnsiTheme="majorBidi" w:cstheme="majorBidi"/>
          <w:sz w:val="24"/>
          <w:szCs w:val="24"/>
        </w:rPr>
        <w:t>nonrespondents</w:t>
      </w:r>
      <w:proofErr w:type="spellEnd"/>
      <w:r>
        <w:rPr>
          <w:rFonts w:asciiTheme="majorBidi" w:hAnsiTheme="majorBidi" w:cstheme="majorBidi"/>
          <w:sz w:val="24"/>
          <w:szCs w:val="24"/>
        </w:rPr>
        <w:t xml:space="preserve"> at the end of Phase 1 were moved to </w:t>
      </w:r>
      <w:r w:rsidRPr="00D94222">
        <w:rPr>
          <w:rFonts w:asciiTheme="majorBidi" w:hAnsiTheme="majorBidi" w:cstheme="majorBidi"/>
          <w:b/>
          <w:sz w:val="24"/>
          <w:szCs w:val="24"/>
        </w:rPr>
        <w:t>Phase 2</w:t>
      </w:r>
      <w:r>
        <w:rPr>
          <w:rFonts w:asciiTheme="majorBidi" w:hAnsiTheme="majorBidi" w:cstheme="majorBidi"/>
          <w:sz w:val="24"/>
          <w:szCs w:val="24"/>
        </w:rPr>
        <w:t xml:space="preserve"> with outbound calling; no changes were made to the incentive level assigned at the start of data collection.</w:t>
      </w:r>
    </w:p>
    <w:p w14:paraId="6354598B" w14:textId="722293C3" w:rsidR="00F52E30" w:rsidRDefault="00331231" w:rsidP="00316CE0">
      <w:pPr>
        <w:pStyle w:val="ListParagraph"/>
        <w:spacing w:before="120" w:after="120"/>
        <w:ind w:left="0"/>
        <w:rPr>
          <w:rFonts w:asciiTheme="majorBidi" w:hAnsiTheme="majorBidi" w:cstheme="majorBidi"/>
          <w:sz w:val="24"/>
          <w:szCs w:val="24"/>
        </w:rPr>
      </w:pPr>
      <w:r w:rsidRPr="00F27781">
        <w:rPr>
          <w:rFonts w:asciiTheme="majorBidi" w:hAnsiTheme="majorBidi" w:cstheme="majorBidi"/>
          <w:b/>
          <w:bCs/>
          <w:sz w:val="24"/>
          <w:szCs w:val="24"/>
        </w:rPr>
        <w:t>Second Experiment: Determine Monetary Incentive Increase.</w:t>
      </w:r>
      <w:r>
        <w:rPr>
          <w:rFonts w:asciiTheme="majorBidi" w:hAnsiTheme="majorBidi" w:cstheme="majorBidi"/>
          <w:b/>
          <w:bCs/>
        </w:rPr>
        <w:t xml:space="preserve"> </w:t>
      </w:r>
      <w:r w:rsidR="003F2D41" w:rsidRPr="0092781F">
        <w:rPr>
          <w:rFonts w:asciiTheme="majorBidi" w:hAnsiTheme="majorBidi" w:cstheme="majorBidi"/>
          <w:b/>
          <w:bCs/>
          <w:sz w:val="24"/>
          <w:szCs w:val="24"/>
        </w:rPr>
        <w:t>Phase 3</w:t>
      </w:r>
      <w:r w:rsidR="003F2D41" w:rsidRPr="00D94222">
        <w:rPr>
          <w:rFonts w:asciiTheme="majorBidi" w:hAnsiTheme="majorBidi" w:cstheme="majorBidi"/>
          <w:bCs/>
          <w:sz w:val="24"/>
          <w:szCs w:val="24"/>
        </w:rPr>
        <w:t xml:space="preserve">, a </w:t>
      </w:r>
      <w:r w:rsidRPr="00D94222">
        <w:rPr>
          <w:rFonts w:asciiTheme="majorBidi" w:hAnsiTheme="majorBidi" w:cstheme="majorBidi"/>
          <w:sz w:val="24"/>
          <w:szCs w:val="24"/>
        </w:rPr>
        <w:t>second</w:t>
      </w:r>
      <w:r>
        <w:rPr>
          <w:rFonts w:asciiTheme="majorBidi" w:hAnsiTheme="majorBidi" w:cstheme="majorBidi"/>
          <w:sz w:val="24"/>
          <w:szCs w:val="24"/>
        </w:rPr>
        <w:t xml:space="preserve"> experiment</w:t>
      </w:r>
      <w:r w:rsidR="00D94222">
        <w:rPr>
          <w:rFonts w:asciiTheme="majorBidi" w:hAnsiTheme="majorBidi" w:cstheme="majorBidi"/>
          <w:sz w:val="24"/>
          <w:szCs w:val="24"/>
        </w:rPr>
        <w:t xml:space="preserve"> </w:t>
      </w:r>
      <w:r>
        <w:rPr>
          <w:rFonts w:asciiTheme="majorBidi" w:hAnsiTheme="majorBidi" w:cstheme="majorBidi"/>
          <w:sz w:val="24"/>
          <w:szCs w:val="24"/>
        </w:rPr>
        <w:t>implemented with the calibration sample</w:t>
      </w:r>
      <w:r w:rsidR="00551B59">
        <w:rPr>
          <w:rFonts w:asciiTheme="majorBidi" w:hAnsiTheme="majorBidi" w:cstheme="majorBidi"/>
          <w:sz w:val="24"/>
          <w:szCs w:val="24"/>
        </w:rPr>
        <w:t>,</w:t>
      </w:r>
      <w:r>
        <w:rPr>
          <w:rFonts w:asciiTheme="majorBidi" w:hAnsiTheme="majorBidi" w:cstheme="majorBidi"/>
          <w:sz w:val="24"/>
          <w:szCs w:val="24"/>
        </w:rPr>
        <w:t xml:space="preserve"> after </w:t>
      </w:r>
      <w:r w:rsidR="003F2D41">
        <w:rPr>
          <w:rFonts w:asciiTheme="majorBidi" w:hAnsiTheme="majorBidi" w:cstheme="majorBidi"/>
          <w:sz w:val="24"/>
          <w:szCs w:val="24"/>
        </w:rPr>
        <w:t xml:space="preserve">the first </w:t>
      </w:r>
      <w:r>
        <w:rPr>
          <w:rFonts w:asciiTheme="majorBidi" w:hAnsiTheme="majorBidi" w:cstheme="majorBidi"/>
          <w:sz w:val="24"/>
          <w:szCs w:val="24"/>
        </w:rPr>
        <w:t xml:space="preserve">28 days of Phase 2 data collection, determined the additional incentive amount to offer </w:t>
      </w:r>
      <w:r w:rsidR="00551B59">
        <w:rPr>
          <w:rFonts w:asciiTheme="majorBidi" w:hAnsiTheme="majorBidi" w:cstheme="majorBidi"/>
          <w:sz w:val="24"/>
          <w:szCs w:val="24"/>
        </w:rPr>
        <w:t xml:space="preserve">the </w:t>
      </w:r>
      <w:r>
        <w:rPr>
          <w:rFonts w:asciiTheme="majorBidi" w:hAnsiTheme="majorBidi" w:cstheme="majorBidi"/>
          <w:sz w:val="24"/>
          <w:szCs w:val="24"/>
        </w:rPr>
        <w:t xml:space="preserve">remaining </w:t>
      </w:r>
      <w:proofErr w:type="spellStart"/>
      <w:r>
        <w:rPr>
          <w:rFonts w:asciiTheme="majorBidi" w:hAnsiTheme="majorBidi" w:cstheme="majorBidi"/>
          <w:sz w:val="24"/>
          <w:szCs w:val="24"/>
        </w:rPr>
        <w:t>nonrespondents</w:t>
      </w:r>
      <w:proofErr w:type="spellEnd"/>
      <w:r>
        <w:rPr>
          <w:rFonts w:asciiTheme="majorBidi" w:hAnsiTheme="majorBidi" w:cstheme="majorBidi"/>
          <w:sz w:val="24"/>
          <w:szCs w:val="24"/>
        </w:rPr>
        <w:t xml:space="preserve"> with the highest “value” to the data collection, as m</w:t>
      </w:r>
      <w:r w:rsidR="00551B59">
        <w:rPr>
          <w:rFonts w:asciiTheme="majorBidi" w:hAnsiTheme="majorBidi" w:cstheme="majorBidi"/>
          <w:sz w:val="24"/>
          <w:szCs w:val="24"/>
        </w:rPr>
        <w:t>easured by an “importance score</w:t>
      </w:r>
      <w:r>
        <w:rPr>
          <w:rFonts w:asciiTheme="majorBidi" w:hAnsiTheme="majorBidi" w:cstheme="majorBidi"/>
          <w:sz w:val="24"/>
          <w:szCs w:val="24"/>
        </w:rPr>
        <w:t xml:space="preserve">” </w:t>
      </w:r>
      <w:r w:rsidR="00551B59">
        <w:rPr>
          <w:rFonts w:asciiTheme="majorBidi" w:hAnsiTheme="majorBidi" w:cstheme="majorBidi"/>
          <w:sz w:val="24"/>
          <w:szCs w:val="24"/>
        </w:rPr>
        <w:t>(see</w:t>
      </w:r>
      <w:r>
        <w:rPr>
          <w:rFonts w:asciiTheme="majorBidi" w:hAnsiTheme="majorBidi" w:cstheme="majorBidi"/>
          <w:sz w:val="24"/>
          <w:szCs w:val="24"/>
        </w:rPr>
        <w:t xml:space="preserve"> below</w:t>
      </w:r>
      <w:r w:rsidR="00551B59">
        <w:rPr>
          <w:rFonts w:asciiTheme="majorBidi" w:hAnsiTheme="majorBidi" w:cstheme="majorBidi"/>
          <w:sz w:val="24"/>
          <w:szCs w:val="24"/>
        </w:rPr>
        <w:t>)</w:t>
      </w:r>
      <w:r>
        <w:rPr>
          <w:rFonts w:asciiTheme="majorBidi" w:hAnsiTheme="majorBidi" w:cstheme="majorBidi"/>
          <w:sz w:val="24"/>
          <w:szCs w:val="24"/>
        </w:rPr>
        <w:t>.</w:t>
      </w:r>
      <w:r w:rsidR="00F52E30">
        <w:rPr>
          <w:rFonts w:asciiTheme="majorBidi" w:hAnsiTheme="majorBidi" w:cstheme="majorBidi"/>
          <w:sz w:val="24"/>
          <w:szCs w:val="24"/>
        </w:rPr>
        <w:t xml:space="preserve"> </w:t>
      </w:r>
      <w:r>
        <w:rPr>
          <w:rFonts w:asciiTheme="majorBidi" w:hAnsiTheme="majorBidi" w:cstheme="majorBidi"/>
          <w:sz w:val="24"/>
          <w:szCs w:val="24"/>
        </w:rPr>
        <w:t xml:space="preserve">During Phase 3, 500 calibration </w:t>
      </w:r>
      <w:r w:rsidR="00551B59">
        <w:rPr>
          <w:rFonts w:asciiTheme="majorBidi" w:hAnsiTheme="majorBidi" w:cstheme="majorBidi"/>
          <w:sz w:val="24"/>
          <w:szCs w:val="24"/>
        </w:rPr>
        <w:t xml:space="preserve">sample </w:t>
      </w:r>
      <w:proofErr w:type="spellStart"/>
      <w:r w:rsidR="00551B59">
        <w:rPr>
          <w:rFonts w:asciiTheme="majorBidi" w:hAnsiTheme="majorBidi" w:cstheme="majorBidi"/>
          <w:sz w:val="24"/>
          <w:szCs w:val="24"/>
        </w:rPr>
        <w:t>nonrespondents</w:t>
      </w:r>
      <w:proofErr w:type="spellEnd"/>
      <w:r w:rsidR="00551B59">
        <w:rPr>
          <w:rFonts w:asciiTheme="majorBidi" w:hAnsiTheme="majorBidi" w:cstheme="majorBidi"/>
          <w:sz w:val="24"/>
          <w:szCs w:val="24"/>
        </w:rPr>
        <w:t xml:space="preserve"> with the high</w:t>
      </w:r>
      <w:r>
        <w:rPr>
          <w:rFonts w:asciiTheme="majorBidi" w:hAnsiTheme="majorBidi" w:cstheme="majorBidi"/>
          <w:sz w:val="24"/>
          <w:szCs w:val="24"/>
        </w:rPr>
        <w:t xml:space="preserve">est importance scores were randomly assigned to one of three groups to receive an incentive boost of $0, $25, or $45 </w:t>
      </w:r>
      <w:r w:rsidR="00551B59">
        <w:rPr>
          <w:rFonts w:asciiTheme="majorBidi" w:hAnsiTheme="majorBidi" w:cstheme="majorBidi"/>
          <w:sz w:val="24"/>
          <w:szCs w:val="24"/>
        </w:rPr>
        <w:t>in addition to</w:t>
      </w:r>
      <w:r>
        <w:rPr>
          <w:rFonts w:asciiTheme="majorBidi" w:hAnsiTheme="majorBidi" w:cstheme="majorBidi"/>
          <w:sz w:val="24"/>
          <w:szCs w:val="24"/>
        </w:rPr>
        <w:t xml:space="preserve"> the initial offer.</w:t>
      </w:r>
    </w:p>
    <w:p w14:paraId="2DE13FFB" w14:textId="2F1FFD6B" w:rsidR="00331231" w:rsidRPr="002C48FC" w:rsidRDefault="00331231" w:rsidP="00316CE0">
      <w:pPr>
        <w:pStyle w:val="ListParagraph"/>
        <w:spacing w:before="120" w:after="120"/>
        <w:ind w:left="0"/>
        <w:rPr>
          <w:rFonts w:asciiTheme="majorBidi" w:hAnsiTheme="majorBidi" w:cstheme="majorBidi"/>
          <w:sz w:val="24"/>
          <w:szCs w:val="24"/>
        </w:rPr>
      </w:pPr>
      <w:r>
        <w:rPr>
          <w:rFonts w:asciiTheme="majorBidi" w:hAnsiTheme="majorBidi" w:cstheme="majorBidi"/>
          <w:sz w:val="24"/>
          <w:szCs w:val="24"/>
        </w:rPr>
        <w:t xml:space="preserve">Across all initial incentive offers, those who had high importance scores but were in the $0 incentive boost group had a response rate of 14 percent, compared to </w:t>
      </w:r>
      <w:r w:rsidR="00551B59">
        <w:rPr>
          <w:rFonts w:asciiTheme="majorBidi" w:hAnsiTheme="majorBidi" w:cstheme="majorBidi"/>
          <w:sz w:val="24"/>
          <w:szCs w:val="24"/>
        </w:rPr>
        <w:t xml:space="preserve">21 percent among </w:t>
      </w:r>
      <w:r>
        <w:rPr>
          <w:rFonts w:asciiTheme="majorBidi" w:hAnsiTheme="majorBidi" w:cstheme="majorBidi"/>
          <w:sz w:val="24"/>
          <w:szCs w:val="24"/>
        </w:rPr>
        <w:t xml:space="preserve">those who received the $25 incentive boost, and </w:t>
      </w:r>
      <w:r w:rsidR="00551B59">
        <w:rPr>
          <w:rFonts w:asciiTheme="majorBidi" w:hAnsiTheme="majorBidi" w:cstheme="majorBidi"/>
          <w:sz w:val="24"/>
          <w:szCs w:val="24"/>
        </w:rPr>
        <w:t xml:space="preserve">35 percent among those </w:t>
      </w:r>
      <w:r>
        <w:rPr>
          <w:rFonts w:asciiTheme="majorBidi" w:hAnsiTheme="majorBidi" w:cstheme="majorBidi"/>
          <w:sz w:val="24"/>
          <w:szCs w:val="24"/>
        </w:rPr>
        <w:t>who received the $45 incentive boost. While the response rate for the $25 group was not statistically higher than the response rate for the $0 incentive group, the response rate for the $45 group was statistically higher than the response rates of both the $25 and the $0 groups. Consequently, $45 was used as the additional incentive increase for the main sample.</w:t>
      </w:r>
    </w:p>
    <w:p w14:paraId="35603C34" w14:textId="1E725B3A" w:rsidR="00331231" w:rsidRDefault="00331231" w:rsidP="00A8796F">
      <w:pPr>
        <w:widowControl w:val="0"/>
        <w:spacing w:before="120" w:after="120"/>
        <w:rPr>
          <w:szCs w:val="24"/>
        </w:rPr>
      </w:pPr>
      <w:r w:rsidRPr="00F27781">
        <w:rPr>
          <w:b/>
          <w:bCs/>
        </w:rPr>
        <w:t>Importance Measure.</w:t>
      </w:r>
      <w:r>
        <w:rPr>
          <w:b/>
          <w:bCs/>
        </w:rPr>
        <w:t xml:space="preserve"> </w:t>
      </w:r>
      <w:r>
        <w:rPr>
          <w:bCs/>
        </w:rPr>
        <w:t>Phases 1 and 3 of the BPS:12/14 data collection relied on two models developed specifically for this collection</w:t>
      </w:r>
      <w:r>
        <w:rPr>
          <w:szCs w:val="24"/>
        </w:rPr>
        <w:t>.</w:t>
      </w:r>
      <w:r w:rsidR="00F52E30">
        <w:rPr>
          <w:szCs w:val="24"/>
        </w:rPr>
        <w:t xml:space="preserve"> </w:t>
      </w:r>
      <w:r>
        <w:rPr>
          <w:szCs w:val="24"/>
        </w:rPr>
        <w:t xml:space="preserve">The first, an </w:t>
      </w:r>
      <w:r w:rsidRPr="00551B59">
        <w:rPr>
          <w:i/>
          <w:szCs w:val="24"/>
        </w:rPr>
        <w:t>a priori</w:t>
      </w:r>
      <w:r>
        <w:rPr>
          <w:szCs w:val="24"/>
        </w:rPr>
        <w:t xml:space="preserve"> response propensity model, was used to predict the probability of response for </w:t>
      </w:r>
      <w:r w:rsidR="0005768D">
        <w:rPr>
          <w:szCs w:val="24"/>
        </w:rPr>
        <w:t>each BPS:12/14 sample member</w:t>
      </w:r>
      <w:r>
        <w:rPr>
          <w:szCs w:val="24"/>
        </w:rPr>
        <w:t xml:space="preserve"> prior to the start of data collection (and assignment to the initial incentive groups). </w:t>
      </w:r>
      <w:r w:rsidR="00551B59">
        <w:rPr>
          <w:szCs w:val="24"/>
        </w:rPr>
        <w:t>Because</w:t>
      </w:r>
      <w:r>
        <w:rPr>
          <w:szCs w:val="24"/>
        </w:rPr>
        <w:t xml:space="preserve"> the BPS:12/14 sample members were </w:t>
      </w:r>
      <w:r w:rsidR="00551B59">
        <w:rPr>
          <w:szCs w:val="24"/>
        </w:rPr>
        <w:t xml:space="preserve">part of the </w:t>
      </w:r>
      <w:r>
        <w:rPr>
          <w:szCs w:val="24"/>
        </w:rPr>
        <w:t>NPSAS:12</w:t>
      </w:r>
      <w:r w:rsidR="00551B59">
        <w:rPr>
          <w:szCs w:val="24"/>
        </w:rPr>
        <w:t xml:space="preserve"> sample</w:t>
      </w:r>
      <w:r>
        <w:rPr>
          <w:szCs w:val="24"/>
        </w:rPr>
        <w:t xml:space="preserve">, predictor variables for model development included sampling frame variables </w:t>
      </w:r>
      <w:r w:rsidR="00551B59">
        <w:rPr>
          <w:szCs w:val="24"/>
        </w:rPr>
        <w:t>and</w:t>
      </w:r>
      <w:r>
        <w:rPr>
          <w:szCs w:val="24"/>
        </w:rPr>
        <w:t xml:space="preserve"> </w:t>
      </w:r>
      <w:r w:rsidR="00551B59">
        <w:rPr>
          <w:szCs w:val="24"/>
        </w:rPr>
        <w:t xml:space="preserve">NPSAS:12 </w:t>
      </w:r>
      <w:r>
        <w:rPr>
          <w:szCs w:val="24"/>
        </w:rPr>
        <w:t>variables includ</w:t>
      </w:r>
      <w:r w:rsidR="00551B59">
        <w:rPr>
          <w:szCs w:val="24"/>
        </w:rPr>
        <w:t>ing</w:t>
      </w:r>
      <w:r>
        <w:rPr>
          <w:szCs w:val="24"/>
        </w:rPr>
        <w:t>, but not limited to, the following:</w:t>
      </w:r>
    </w:p>
    <w:p w14:paraId="37F3091A" w14:textId="77777777" w:rsidR="00331231" w:rsidRPr="002A02E3" w:rsidRDefault="00331231" w:rsidP="00316CE0">
      <w:pPr>
        <w:pStyle w:val="BodyText"/>
        <w:numPr>
          <w:ilvl w:val="0"/>
          <w:numId w:val="15"/>
        </w:numPr>
        <w:spacing w:before="0" w:after="0" w:line="240" w:lineRule="auto"/>
        <w:ind w:left="1440"/>
      </w:pPr>
      <w:r>
        <w:t>r</w:t>
      </w:r>
      <w:r w:rsidRPr="002A02E3">
        <w:t>esponded</w:t>
      </w:r>
      <w:r>
        <w:t xml:space="preserve"> during early completion period,</w:t>
      </w:r>
    </w:p>
    <w:p w14:paraId="01B0FD05" w14:textId="77777777" w:rsidR="00331231" w:rsidRPr="002A02E3" w:rsidRDefault="00331231" w:rsidP="00316CE0">
      <w:pPr>
        <w:pStyle w:val="BodyText"/>
        <w:numPr>
          <w:ilvl w:val="0"/>
          <w:numId w:val="15"/>
        </w:numPr>
        <w:spacing w:before="0" w:after="0" w:line="240" w:lineRule="auto"/>
        <w:ind w:left="1440"/>
      </w:pPr>
      <w:r>
        <w:t>interview mode (web/telephone),</w:t>
      </w:r>
    </w:p>
    <w:p w14:paraId="7DE762BC" w14:textId="77777777" w:rsidR="00331231" w:rsidRPr="002A02E3" w:rsidRDefault="00331231" w:rsidP="00316CE0">
      <w:pPr>
        <w:pStyle w:val="BodyText"/>
        <w:numPr>
          <w:ilvl w:val="0"/>
          <w:numId w:val="15"/>
        </w:numPr>
        <w:spacing w:before="0" w:after="0" w:line="240" w:lineRule="auto"/>
        <w:ind w:left="1440"/>
      </w:pPr>
      <w:r>
        <w:t>ever refused,</w:t>
      </w:r>
    </w:p>
    <w:p w14:paraId="239F634F" w14:textId="77777777" w:rsidR="00F52E30" w:rsidRDefault="00331231" w:rsidP="00316CE0">
      <w:pPr>
        <w:pStyle w:val="BodyText"/>
        <w:numPr>
          <w:ilvl w:val="0"/>
          <w:numId w:val="15"/>
        </w:numPr>
        <w:spacing w:before="0" w:after="0" w:line="240" w:lineRule="auto"/>
        <w:ind w:left="1440"/>
      </w:pPr>
      <w:r>
        <w:t>call count, and</w:t>
      </w:r>
    </w:p>
    <w:p w14:paraId="5E3C0C6F" w14:textId="35FC1ADD" w:rsidR="00331231" w:rsidRDefault="00331231" w:rsidP="00316CE0">
      <w:pPr>
        <w:pStyle w:val="BodyText"/>
        <w:numPr>
          <w:ilvl w:val="0"/>
          <w:numId w:val="15"/>
        </w:numPr>
        <w:spacing w:before="0" w:line="240" w:lineRule="auto"/>
        <w:ind w:left="1440"/>
      </w:pPr>
      <w:r>
        <w:t>t</w:t>
      </w:r>
      <w:r w:rsidRPr="002A02E3">
        <w:t>racing/locating status (located/required intensive tracing)</w:t>
      </w:r>
      <w:r>
        <w:t>.</w:t>
      </w:r>
    </w:p>
    <w:p w14:paraId="40B5EAAC" w14:textId="0CC81BB4" w:rsidR="00331231" w:rsidRPr="002A02E3" w:rsidRDefault="00331231" w:rsidP="00316CE0">
      <w:pPr>
        <w:spacing w:before="120" w:after="120"/>
        <w:rPr>
          <w:szCs w:val="24"/>
        </w:rPr>
      </w:pPr>
      <w:r>
        <w:rPr>
          <w:szCs w:val="24"/>
        </w:rPr>
        <w:t xml:space="preserve">The second model, a bias-likelihood model, was developed to identify </w:t>
      </w:r>
      <w:r w:rsidR="0005768D">
        <w:rPr>
          <w:szCs w:val="24"/>
        </w:rPr>
        <w:t xml:space="preserve">those </w:t>
      </w:r>
      <w:proofErr w:type="spellStart"/>
      <w:r>
        <w:rPr>
          <w:szCs w:val="24"/>
        </w:rPr>
        <w:t>nonrespondents</w:t>
      </w:r>
      <w:proofErr w:type="spellEnd"/>
      <w:r w:rsidR="0005768D">
        <w:rPr>
          <w:szCs w:val="24"/>
        </w:rPr>
        <w:t>,</w:t>
      </w:r>
      <w:r>
        <w:rPr>
          <w:szCs w:val="24"/>
        </w:rPr>
        <w:t xml:space="preserve"> at a given point during data collection</w:t>
      </w:r>
      <w:r w:rsidR="0005768D">
        <w:rPr>
          <w:szCs w:val="24"/>
        </w:rPr>
        <w:t>, who</w:t>
      </w:r>
      <w:r w:rsidR="00551B59">
        <w:rPr>
          <w:szCs w:val="24"/>
        </w:rPr>
        <w:t xml:space="preserve"> were</w:t>
      </w:r>
      <w:r>
        <w:rPr>
          <w:szCs w:val="24"/>
        </w:rPr>
        <w:t xml:space="preserve"> most likely to contribute to nonresponse bias. </w:t>
      </w:r>
      <w:r w:rsidR="006B3414">
        <w:rPr>
          <w:szCs w:val="24"/>
        </w:rPr>
        <w:t xml:space="preserve">At the beginning of Phase 3, described above, and </w:t>
      </w:r>
      <w:r w:rsidR="00A53D49">
        <w:rPr>
          <w:szCs w:val="24"/>
        </w:rPr>
        <w:t xml:space="preserve">of </w:t>
      </w:r>
      <w:r w:rsidR="006B3414">
        <w:rPr>
          <w:szCs w:val="24"/>
        </w:rPr>
        <w:t xml:space="preserve">the </w:t>
      </w:r>
      <w:r w:rsidR="00472F8A">
        <w:rPr>
          <w:szCs w:val="24"/>
        </w:rPr>
        <w:t xml:space="preserve">next </w:t>
      </w:r>
      <w:r w:rsidR="006B3414">
        <w:rPr>
          <w:szCs w:val="24"/>
        </w:rPr>
        <w:t>two phases –</w:t>
      </w:r>
      <w:r w:rsidR="00551B59">
        <w:rPr>
          <w:szCs w:val="24"/>
        </w:rPr>
        <w:t xml:space="preserve"> </w:t>
      </w:r>
      <w:r w:rsidR="00A53D49">
        <w:rPr>
          <w:szCs w:val="24"/>
        </w:rPr>
        <w:t>local exchange calling</w:t>
      </w:r>
      <w:r w:rsidR="00472F8A">
        <w:rPr>
          <w:szCs w:val="24"/>
        </w:rPr>
        <w:t xml:space="preserve"> (Phase 4</w:t>
      </w:r>
      <w:r w:rsidR="00A53D49">
        <w:rPr>
          <w:szCs w:val="24"/>
        </w:rPr>
        <w:t xml:space="preserve">) </w:t>
      </w:r>
      <w:r w:rsidR="006B3414">
        <w:rPr>
          <w:szCs w:val="24"/>
        </w:rPr>
        <w:t xml:space="preserve">and </w:t>
      </w:r>
      <w:r w:rsidR="00A53D49">
        <w:rPr>
          <w:szCs w:val="24"/>
        </w:rPr>
        <w:t>abbreviated interview for mobile access</w:t>
      </w:r>
      <w:r w:rsidR="00472F8A">
        <w:rPr>
          <w:szCs w:val="24"/>
        </w:rPr>
        <w:t xml:space="preserve"> (Phase 5</w:t>
      </w:r>
      <w:r w:rsidR="00A53D49">
        <w:rPr>
          <w:szCs w:val="24"/>
        </w:rPr>
        <w:t xml:space="preserve">) – a </w:t>
      </w:r>
      <w:r>
        <w:rPr>
          <w:szCs w:val="24"/>
        </w:rPr>
        <w:t>logistic regression m</w:t>
      </w:r>
      <w:r w:rsidRPr="0049195E">
        <w:rPr>
          <w:szCs w:val="24"/>
        </w:rPr>
        <w:t>odel was used to estimate</w:t>
      </w:r>
      <w:r w:rsidR="00631218" w:rsidRPr="0049195E">
        <w:rPr>
          <w:szCs w:val="24"/>
        </w:rPr>
        <w:t>, not predict,</w:t>
      </w:r>
      <w:r w:rsidRPr="0049195E">
        <w:rPr>
          <w:szCs w:val="24"/>
        </w:rPr>
        <w:t xml:space="preserve"> </w:t>
      </w:r>
      <w:r w:rsidRPr="008D591F">
        <w:rPr>
          <w:szCs w:val="24"/>
        </w:rPr>
        <w:t xml:space="preserve">the probability of response </w:t>
      </w:r>
      <w:r w:rsidR="0005768D" w:rsidRPr="008D591F">
        <w:rPr>
          <w:szCs w:val="24"/>
        </w:rPr>
        <w:t>for each</w:t>
      </w:r>
      <w:r w:rsidRPr="008D591F">
        <w:rPr>
          <w:szCs w:val="24"/>
        </w:rPr>
        <w:t xml:space="preserve"> </w:t>
      </w:r>
      <w:proofErr w:type="spellStart"/>
      <w:r w:rsidRPr="008D591F">
        <w:rPr>
          <w:szCs w:val="24"/>
        </w:rPr>
        <w:t>nonrespondent</w:t>
      </w:r>
      <w:proofErr w:type="spellEnd"/>
      <w:r w:rsidRPr="008D591F">
        <w:rPr>
          <w:szCs w:val="24"/>
        </w:rPr>
        <w:t xml:space="preserve"> at that point</w:t>
      </w:r>
      <w:r w:rsidRPr="0049195E">
        <w:rPr>
          <w:szCs w:val="24"/>
        </w:rPr>
        <w:t>.</w:t>
      </w:r>
      <w:r w:rsidR="00F52E30">
        <w:rPr>
          <w:szCs w:val="24"/>
        </w:rPr>
        <w:t xml:space="preserve"> </w:t>
      </w:r>
      <w:r w:rsidR="00631218">
        <w:rPr>
          <w:szCs w:val="24"/>
        </w:rPr>
        <w:t xml:space="preserve">The estimated probabilities highlight individuals who have underrepresented characteristics among the respondents at the specific point in time. </w:t>
      </w:r>
      <w:r w:rsidRPr="002A02E3">
        <w:rPr>
          <w:szCs w:val="24"/>
        </w:rPr>
        <w:t xml:space="preserve">Variables used in the bias-likelihood model </w:t>
      </w:r>
      <w:r>
        <w:rPr>
          <w:szCs w:val="24"/>
        </w:rPr>
        <w:t>were derived</w:t>
      </w:r>
      <w:r w:rsidRPr="002A02E3">
        <w:rPr>
          <w:szCs w:val="24"/>
        </w:rPr>
        <w:t xml:space="preserve"> from base-year</w:t>
      </w:r>
      <w:r w:rsidR="0005768D">
        <w:rPr>
          <w:szCs w:val="24"/>
        </w:rPr>
        <w:t xml:space="preserve"> (</w:t>
      </w:r>
      <w:r>
        <w:rPr>
          <w:szCs w:val="24"/>
        </w:rPr>
        <w:t>NPSAS:12</w:t>
      </w:r>
      <w:r w:rsidR="0005768D">
        <w:rPr>
          <w:szCs w:val="24"/>
        </w:rPr>
        <w:t>)</w:t>
      </w:r>
      <w:r w:rsidRPr="002A02E3">
        <w:rPr>
          <w:szCs w:val="24"/>
        </w:rPr>
        <w:t xml:space="preserve"> survey responses, school characteristics, and sampling frame information.</w:t>
      </w:r>
      <w:r w:rsidR="00F52E30">
        <w:rPr>
          <w:szCs w:val="24"/>
        </w:rPr>
        <w:t xml:space="preserve"> </w:t>
      </w:r>
      <w:r w:rsidRPr="002A02E3">
        <w:rPr>
          <w:szCs w:val="24"/>
        </w:rPr>
        <w:t xml:space="preserve">It is important to note that </w:t>
      </w:r>
      <w:proofErr w:type="spellStart"/>
      <w:r w:rsidRPr="002A02E3">
        <w:rPr>
          <w:szCs w:val="24"/>
        </w:rPr>
        <w:t>paradata</w:t>
      </w:r>
      <w:proofErr w:type="spellEnd"/>
      <w:r w:rsidRPr="002A02E3">
        <w:rPr>
          <w:szCs w:val="24"/>
        </w:rPr>
        <w:t xml:space="preserve">, </w:t>
      </w:r>
      <w:r>
        <w:rPr>
          <w:szCs w:val="24"/>
        </w:rPr>
        <w:t xml:space="preserve">such as information on response status in NPSAS:12, </w:t>
      </w:r>
      <w:r w:rsidRPr="002A02E3">
        <w:rPr>
          <w:szCs w:val="24"/>
        </w:rPr>
        <w:t xml:space="preserve">particularly those variables that are highly predictive of response but quite unrelated to the survey variables of interest, </w:t>
      </w:r>
      <w:r>
        <w:rPr>
          <w:szCs w:val="24"/>
        </w:rPr>
        <w:t>were</w:t>
      </w:r>
      <w:r w:rsidRPr="002A02E3">
        <w:rPr>
          <w:szCs w:val="24"/>
        </w:rPr>
        <w:t xml:space="preserve"> excluded from the bias-likelihood model. </w:t>
      </w:r>
      <w:r>
        <w:rPr>
          <w:szCs w:val="24"/>
        </w:rPr>
        <w:t xml:space="preserve">Candidate </w:t>
      </w:r>
      <w:r w:rsidRPr="002A02E3">
        <w:rPr>
          <w:szCs w:val="24"/>
        </w:rPr>
        <w:t>variables for the model include</w:t>
      </w:r>
      <w:r>
        <w:rPr>
          <w:szCs w:val="24"/>
        </w:rPr>
        <w:t>d</w:t>
      </w:r>
      <w:r w:rsidRPr="002A02E3">
        <w:rPr>
          <w:szCs w:val="24"/>
        </w:rPr>
        <w:t>:</w:t>
      </w:r>
    </w:p>
    <w:p w14:paraId="1DF894FD"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lastRenderedPageBreak/>
        <w:t>highest degree expected,</w:t>
      </w:r>
    </w:p>
    <w:p w14:paraId="647872D8"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p</w:t>
      </w:r>
      <w:r w:rsidRPr="002A02E3">
        <w:rPr>
          <w:rFonts w:cs="Times New Roman"/>
          <w:szCs w:val="24"/>
        </w:rPr>
        <w:t>arents’ level of education</w:t>
      </w:r>
      <w:r>
        <w:rPr>
          <w:rFonts w:cs="Times New Roman"/>
          <w:szCs w:val="24"/>
        </w:rPr>
        <w:t>,</w:t>
      </w:r>
    </w:p>
    <w:p w14:paraId="7BDAA680"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age,</w:t>
      </w:r>
    </w:p>
    <w:p w14:paraId="0E327B22"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gender,</w:t>
      </w:r>
    </w:p>
    <w:p w14:paraId="41AA79EE"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number of dependent children,</w:t>
      </w:r>
    </w:p>
    <w:p w14:paraId="44146A3D"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income percentile,</w:t>
      </w:r>
    </w:p>
    <w:p w14:paraId="5E3C8AA3"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h</w:t>
      </w:r>
      <w:r w:rsidRPr="002A02E3">
        <w:rPr>
          <w:rFonts w:cs="Times New Roman"/>
          <w:szCs w:val="24"/>
        </w:rPr>
        <w:t>ours</w:t>
      </w:r>
      <w:r>
        <w:rPr>
          <w:rFonts w:cs="Times New Roman"/>
          <w:szCs w:val="24"/>
        </w:rPr>
        <w:t xml:space="preserve"> worked per week while enrolled,</w:t>
      </w:r>
    </w:p>
    <w:p w14:paraId="539F7F4F"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school sector,</w:t>
      </w:r>
    </w:p>
    <w:p w14:paraId="28E3C95A"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undergraduate degree program,</w:t>
      </w:r>
    </w:p>
    <w:p w14:paraId="1A30DBF3" w14:textId="77777777" w:rsidR="00F52E30" w:rsidRDefault="00331231" w:rsidP="00316CE0">
      <w:pPr>
        <w:pStyle w:val="bulletround"/>
        <w:numPr>
          <w:ilvl w:val="0"/>
          <w:numId w:val="14"/>
        </w:numPr>
        <w:spacing w:after="0"/>
        <w:ind w:left="1440"/>
        <w:rPr>
          <w:rFonts w:cs="Times New Roman"/>
          <w:szCs w:val="24"/>
        </w:rPr>
      </w:pPr>
      <w:r>
        <w:rPr>
          <w:rFonts w:cs="Times New Roman"/>
          <w:szCs w:val="24"/>
        </w:rPr>
        <w:t>e</w:t>
      </w:r>
      <w:r w:rsidRPr="002A02E3">
        <w:rPr>
          <w:rFonts w:cs="Times New Roman"/>
          <w:szCs w:val="24"/>
        </w:rPr>
        <w:t>xpected wage</w:t>
      </w:r>
      <w:r>
        <w:rPr>
          <w:rFonts w:cs="Times New Roman"/>
          <w:szCs w:val="24"/>
        </w:rPr>
        <w:t>, and</w:t>
      </w:r>
    </w:p>
    <w:p w14:paraId="14704519" w14:textId="34B18B11" w:rsidR="00331231" w:rsidRPr="002A02E3" w:rsidRDefault="00331231" w:rsidP="00316CE0">
      <w:pPr>
        <w:pStyle w:val="bulletround"/>
        <w:numPr>
          <w:ilvl w:val="0"/>
          <w:numId w:val="14"/>
        </w:numPr>
        <w:ind w:left="1440"/>
        <w:rPr>
          <w:rFonts w:cs="Times New Roman"/>
          <w:szCs w:val="24"/>
        </w:rPr>
      </w:pPr>
      <w:r>
        <w:rPr>
          <w:rFonts w:cs="Times New Roman"/>
          <w:szCs w:val="24"/>
        </w:rPr>
        <w:t>h</w:t>
      </w:r>
      <w:r w:rsidRPr="002A02E3">
        <w:rPr>
          <w:rFonts w:cs="Times New Roman"/>
          <w:szCs w:val="24"/>
        </w:rPr>
        <w:t>igh school graduation year</w:t>
      </w:r>
      <w:r>
        <w:rPr>
          <w:rFonts w:cs="Times New Roman"/>
          <w:szCs w:val="24"/>
        </w:rPr>
        <w:t>.</w:t>
      </w:r>
    </w:p>
    <w:p w14:paraId="321791B8" w14:textId="64C4509F" w:rsidR="00331231" w:rsidRDefault="00331231" w:rsidP="00316CE0">
      <w:pPr>
        <w:spacing w:before="120" w:after="120"/>
        <w:rPr>
          <w:szCs w:val="24"/>
        </w:rPr>
      </w:pPr>
      <w:r>
        <w:rPr>
          <w:szCs w:val="24"/>
        </w:rPr>
        <w:t xml:space="preserve">Because the variables used in the bias-likelihood model were selected due to their potential ability to act as proxies for survey outcomes, which are unobservable for </w:t>
      </w:r>
      <w:proofErr w:type="spellStart"/>
      <w:r>
        <w:rPr>
          <w:szCs w:val="24"/>
        </w:rPr>
        <w:t>nonrespondents</w:t>
      </w:r>
      <w:proofErr w:type="spellEnd"/>
      <w:r>
        <w:rPr>
          <w:szCs w:val="24"/>
        </w:rPr>
        <w:t xml:space="preserve">, the predicted probabilities from the bias-likelihood model were used to identify </w:t>
      </w:r>
      <w:proofErr w:type="spellStart"/>
      <w:r>
        <w:rPr>
          <w:szCs w:val="24"/>
        </w:rPr>
        <w:t>nonrespondents</w:t>
      </w:r>
      <w:proofErr w:type="spellEnd"/>
      <w:r>
        <w:rPr>
          <w:szCs w:val="24"/>
        </w:rPr>
        <w:t xml:space="preserve"> in the most underrepresented groups, as defined by the variables used in the model. Small predicted probabilities correspond to </w:t>
      </w:r>
      <w:proofErr w:type="spellStart"/>
      <w:r>
        <w:rPr>
          <w:szCs w:val="24"/>
        </w:rPr>
        <w:t>nonrespondents</w:t>
      </w:r>
      <w:proofErr w:type="spellEnd"/>
      <w:r>
        <w:rPr>
          <w:szCs w:val="24"/>
        </w:rPr>
        <w:t xml:space="preserve"> in t</w:t>
      </w:r>
      <w:r w:rsidR="00DD690A">
        <w:rPr>
          <w:szCs w:val="24"/>
        </w:rPr>
        <w:t xml:space="preserve">he most underrepresented groups, i.e. most likely to contribute to bias, </w:t>
      </w:r>
      <w:r>
        <w:rPr>
          <w:szCs w:val="24"/>
        </w:rPr>
        <w:t>while large predicted probabilities identify groups that are, relatively, well-represented among respondents.</w:t>
      </w:r>
    </w:p>
    <w:p w14:paraId="4D3E1E2E" w14:textId="6745F0BE" w:rsidR="00331231" w:rsidRDefault="00331231" w:rsidP="00316CE0">
      <w:pPr>
        <w:spacing w:before="120" w:after="120"/>
        <w:rPr>
          <w:szCs w:val="24"/>
        </w:rPr>
      </w:pPr>
      <w:r>
        <w:rPr>
          <w:szCs w:val="24"/>
        </w:rPr>
        <w:t xml:space="preserve">The importance score was defined for </w:t>
      </w:r>
      <w:proofErr w:type="spellStart"/>
      <w:r>
        <w:rPr>
          <w:szCs w:val="24"/>
        </w:rPr>
        <w:t>nonrespondents</w:t>
      </w:r>
      <w:proofErr w:type="spellEnd"/>
      <w:r>
        <w:rPr>
          <w:szCs w:val="24"/>
        </w:rPr>
        <w:t xml:space="preserve"> as the product of a sample member’s </w:t>
      </w:r>
      <w:r w:rsidRPr="00551B59">
        <w:rPr>
          <w:i/>
          <w:szCs w:val="24"/>
        </w:rPr>
        <w:t>a priori</w:t>
      </w:r>
      <w:r>
        <w:rPr>
          <w:szCs w:val="24"/>
        </w:rPr>
        <w:t xml:space="preserve"> predicted probability of response </w:t>
      </w:r>
      <w:r w:rsidR="00DD690A">
        <w:rPr>
          <w:szCs w:val="24"/>
        </w:rPr>
        <w:t>and</w:t>
      </w:r>
      <w:r>
        <w:rPr>
          <w:szCs w:val="24"/>
        </w:rPr>
        <w:t xml:space="preserve"> one minus the sample member’s predicted bias-likelihood probability.</w:t>
      </w:r>
      <w:r w:rsidR="00F52E30">
        <w:rPr>
          <w:szCs w:val="24"/>
        </w:rPr>
        <w:t xml:space="preserve"> </w:t>
      </w:r>
      <w:proofErr w:type="spellStart"/>
      <w:r>
        <w:rPr>
          <w:szCs w:val="24"/>
        </w:rPr>
        <w:t>Nonrespondents</w:t>
      </w:r>
      <w:proofErr w:type="spellEnd"/>
      <w:r>
        <w:rPr>
          <w:szCs w:val="24"/>
        </w:rPr>
        <w:t xml:space="preserve"> with the highest calculated importance score at the beginning of Phases 3, 4, and 5,</w:t>
      </w:r>
      <w:r w:rsidR="00F52E30">
        <w:rPr>
          <w:szCs w:val="24"/>
        </w:rPr>
        <w:t xml:space="preserve"> </w:t>
      </w:r>
      <w:r>
        <w:rPr>
          <w:szCs w:val="24"/>
        </w:rPr>
        <w:t xml:space="preserve">were considered to be most likely to contribute to nonresponse bias and, therefore, were offered the higher monetary incentive increase (Phase 3), were sent to field and local exchange calling (Phase 4), and </w:t>
      </w:r>
      <w:r w:rsidR="00DD690A">
        <w:rPr>
          <w:szCs w:val="24"/>
        </w:rPr>
        <w:t xml:space="preserve">were </w:t>
      </w:r>
      <w:r>
        <w:rPr>
          <w:szCs w:val="24"/>
        </w:rPr>
        <w:t>offered an abbreviated interview (Phase 5).</w:t>
      </w:r>
      <w:r w:rsidR="00F52E30">
        <w:rPr>
          <w:szCs w:val="24"/>
        </w:rPr>
        <w:t xml:space="preserve"> </w:t>
      </w:r>
      <w:r>
        <w:rPr>
          <w:szCs w:val="24"/>
        </w:rPr>
        <w:t>An overview of the calibration and main sample data collection a</w:t>
      </w:r>
      <w:r w:rsidR="00B14EAC">
        <w:rPr>
          <w:szCs w:val="24"/>
        </w:rPr>
        <w:t>ctivities is provided in table 5</w:t>
      </w:r>
      <w:r>
        <w:rPr>
          <w:szCs w:val="24"/>
        </w:rPr>
        <w:t>.</w:t>
      </w:r>
    </w:p>
    <w:p w14:paraId="6318987C" w14:textId="38CD493F" w:rsidR="00331231" w:rsidRPr="002A02E3" w:rsidRDefault="00331231" w:rsidP="001273CB">
      <w:pPr>
        <w:pStyle w:val="TableTitle"/>
        <w:spacing w:before="120" w:after="60"/>
        <w:ind w:left="994" w:hanging="994"/>
      </w:pPr>
      <w:bookmarkStart w:id="103" w:name="_Toc456167108"/>
      <w:r w:rsidRPr="002A02E3">
        <w:t>Ta</w:t>
      </w:r>
      <w:r w:rsidR="00B14EAC">
        <w:t>ble 5</w:t>
      </w:r>
      <w:r>
        <w:t>.</w:t>
      </w:r>
      <w:r w:rsidR="002B537E">
        <w:t xml:space="preserve"> </w:t>
      </w:r>
      <w:r w:rsidRPr="002A02E3">
        <w:t xml:space="preserve">Summary of start dates and activities for each </w:t>
      </w:r>
      <w:r>
        <w:t xml:space="preserve">phase of the BPS:12/14 </w:t>
      </w:r>
      <w:r w:rsidRPr="002A02E3">
        <w:t>data collection, by sample</w:t>
      </w:r>
      <w:bookmarkEnd w:id="103"/>
    </w:p>
    <w:tbl>
      <w:tblPr>
        <w:tblW w:w="5000" w:type="pct"/>
        <w:tblLayout w:type="fixed"/>
        <w:tblLook w:val="04A0" w:firstRow="1" w:lastRow="0" w:firstColumn="1" w:lastColumn="0" w:noHBand="0" w:noVBand="1"/>
      </w:tblPr>
      <w:tblGrid>
        <w:gridCol w:w="829"/>
        <w:gridCol w:w="1317"/>
        <w:gridCol w:w="1388"/>
        <w:gridCol w:w="3596"/>
        <w:gridCol w:w="3598"/>
      </w:tblGrid>
      <w:tr w:rsidR="00331231" w:rsidRPr="00551191" w14:paraId="569FEE67" w14:textId="77777777" w:rsidTr="00A33DE7">
        <w:trPr>
          <w:trHeight w:val="300"/>
        </w:trPr>
        <w:tc>
          <w:tcPr>
            <w:tcW w:w="386"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419EBBB7"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Phase</w:t>
            </w:r>
          </w:p>
        </w:tc>
        <w:tc>
          <w:tcPr>
            <w:tcW w:w="1261" w:type="pct"/>
            <w:gridSpan w:val="2"/>
            <w:tcBorders>
              <w:top w:val="single" w:sz="4" w:space="0" w:color="auto"/>
              <w:left w:val="single" w:sz="4" w:space="0" w:color="auto"/>
              <w:bottom w:val="nil"/>
              <w:right w:val="single" w:sz="4" w:space="0" w:color="auto"/>
            </w:tcBorders>
            <w:shd w:val="clear" w:color="auto" w:fill="FFFFFF" w:themeFill="background1"/>
            <w:noWrap/>
            <w:vAlign w:val="center"/>
            <w:hideMark/>
          </w:tcPr>
          <w:p w14:paraId="01944030"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Start date</w:t>
            </w:r>
          </w:p>
        </w:tc>
        <w:tc>
          <w:tcPr>
            <w:tcW w:w="3353" w:type="pct"/>
            <w:gridSpan w:val="2"/>
            <w:tcBorders>
              <w:top w:val="single" w:sz="4" w:space="0" w:color="auto"/>
              <w:left w:val="nil"/>
              <w:bottom w:val="nil"/>
              <w:right w:val="single" w:sz="4" w:space="0" w:color="auto"/>
            </w:tcBorders>
            <w:shd w:val="clear" w:color="auto" w:fill="FFFFFF" w:themeFill="background1"/>
            <w:noWrap/>
            <w:vAlign w:val="center"/>
            <w:hideMark/>
          </w:tcPr>
          <w:p w14:paraId="2F6F29B6"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Activity</w:t>
            </w:r>
          </w:p>
        </w:tc>
      </w:tr>
      <w:tr w:rsidR="00331231" w:rsidRPr="00551191" w14:paraId="29FF2F94" w14:textId="77777777" w:rsidTr="00A33DE7">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CF1B" w14:textId="77777777" w:rsidR="00331231" w:rsidRPr="00551191" w:rsidRDefault="00331231" w:rsidP="00DD690A">
            <w:pPr>
              <w:keepNext/>
              <w:jc w:val="center"/>
              <w:rPr>
                <w:rFonts w:asciiTheme="minorBidi" w:hAnsiTheme="minorBidi" w:cstheme="minorBidi"/>
                <w:color w:val="000000"/>
                <w:sz w:val="20"/>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1DB0D55"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B9B5D81"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c>
          <w:tcPr>
            <w:tcW w:w="1676" w:type="pct"/>
            <w:tcBorders>
              <w:top w:val="single" w:sz="4" w:space="0" w:color="auto"/>
              <w:left w:val="nil"/>
              <w:bottom w:val="single" w:sz="4" w:space="0" w:color="auto"/>
              <w:right w:val="single" w:sz="4" w:space="0" w:color="auto"/>
            </w:tcBorders>
            <w:shd w:val="clear" w:color="auto" w:fill="auto"/>
            <w:noWrap/>
            <w:vAlign w:val="center"/>
            <w:hideMark/>
          </w:tcPr>
          <w:p w14:paraId="725EFFB8"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14:paraId="4185183A"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r>
      <w:tr w:rsidR="00331231" w:rsidRPr="00551191" w14:paraId="10413927" w14:textId="77777777" w:rsidTr="00A33DE7">
        <w:trPr>
          <w:trHeight w:val="765"/>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DD117AF"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1</w:t>
            </w:r>
          </w:p>
        </w:tc>
        <w:tc>
          <w:tcPr>
            <w:tcW w:w="614" w:type="pct"/>
            <w:tcBorders>
              <w:top w:val="nil"/>
              <w:left w:val="nil"/>
              <w:bottom w:val="single" w:sz="4" w:space="0" w:color="auto"/>
              <w:right w:val="single" w:sz="4" w:space="0" w:color="auto"/>
            </w:tcBorders>
            <w:shd w:val="clear" w:color="auto" w:fill="auto"/>
            <w:noWrap/>
            <w:vAlign w:val="center"/>
            <w:hideMark/>
          </w:tcPr>
          <w:p w14:paraId="19866307"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2/18/2014</w:t>
            </w:r>
          </w:p>
        </w:tc>
        <w:tc>
          <w:tcPr>
            <w:tcW w:w="647" w:type="pct"/>
            <w:tcBorders>
              <w:top w:val="nil"/>
              <w:left w:val="nil"/>
              <w:bottom w:val="single" w:sz="4" w:space="0" w:color="auto"/>
              <w:right w:val="single" w:sz="4" w:space="0" w:color="auto"/>
            </w:tcBorders>
            <w:shd w:val="clear" w:color="auto" w:fill="auto"/>
            <w:noWrap/>
            <w:vAlign w:val="center"/>
            <w:hideMark/>
          </w:tcPr>
          <w:p w14:paraId="5391BDD6"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1676" w:type="pct"/>
            <w:tcBorders>
              <w:top w:val="nil"/>
              <w:left w:val="nil"/>
              <w:bottom w:val="single" w:sz="4" w:space="0" w:color="auto"/>
              <w:right w:val="single" w:sz="4" w:space="0" w:color="auto"/>
            </w:tcBorders>
            <w:shd w:val="clear" w:color="auto" w:fill="auto"/>
            <w:vAlign w:val="center"/>
            <w:hideMark/>
          </w:tcPr>
          <w:p w14:paraId="192CA0B9"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web collection</w:t>
            </w:r>
            <w:r>
              <w:rPr>
                <w:rFonts w:asciiTheme="minorBidi" w:hAnsiTheme="minorBidi" w:cstheme="minorBidi"/>
                <w:color w:val="000000"/>
                <w:sz w:val="20"/>
              </w:rPr>
              <w:t>; Randomize calibration sample to different baseline incentives (experiment #1)</w:t>
            </w:r>
          </w:p>
        </w:tc>
        <w:tc>
          <w:tcPr>
            <w:tcW w:w="1677" w:type="pct"/>
            <w:tcBorders>
              <w:top w:val="nil"/>
              <w:left w:val="nil"/>
              <w:bottom w:val="single" w:sz="4" w:space="0" w:color="auto"/>
              <w:right w:val="single" w:sz="4" w:space="0" w:color="auto"/>
            </w:tcBorders>
            <w:shd w:val="clear" w:color="auto" w:fill="auto"/>
            <w:vAlign w:val="center"/>
            <w:hideMark/>
          </w:tcPr>
          <w:p w14:paraId="601E94D9"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Begin web collection; baseline incentives determined by results of first calibration </w:t>
            </w:r>
            <w:r>
              <w:rPr>
                <w:rFonts w:asciiTheme="minorBidi" w:hAnsiTheme="minorBidi" w:cstheme="minorBidi"/>
                <w:color w:val="000000"/>
                <w:sz w:val="20"/>
              </w:rPr>
              <w:t>experiment</w:t>
            </w:r>
          </w:p>
        </w:tc>
      </w:tr>
      <w:tr w:rsidR="00331231" w:rsidRPr="00551191" w14:paraId="7E085960" w14:textId="77777777" w:rsidTr="00A33DE7">
        <w:trPr>
          <w:trHeight w:val="30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13A4B5C"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2</w:t>
            </w:r>
          </w:p>
        </w:tc>
        <w:tc>
          <w:tcPr>
            <w:tcW w:w="614" w:type="pct"/>
            <w:tcBorders>
              <w:top w:val="nil"/>
              <w:left w:val="nil"/>
              <w:bottom w:val="single" w:sz="4" w:space="0" w:color="auto"/>
              <w:right w:val="single" w:sz="4" w:space="0" w:color="auto"/>
            </w:tcBorders>
            <w:shd w:val="clear" w:color="auto" w:fill="auto"/>
            <w:noWrap/>
            <w:vAlign w:val="center"/>
            <w:hideMark/>
          </w:tcPr>
          <w:p w14:paraId="2469D91F"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3/18/2014</w:t>
            </w:r>
          </w:p>
        </w:tc>
        <w:tc>
          <w:tcPr>
            <w:tcW w:w="647" w:type="pct"/>
            <w:tcBorders>
              <w:top w:val="nil"/>
              <w:left w:val="nil"/>
              <w:bottom w:val="single" w:sz="4" w:space="0" w:color="auto"/>
              <w:right w:val="single" w:sz="4" w:space="0" w:color="auto"/>
            </w:tcBorders>
            <w:shd w:val="clear" w:color="auto" w:fill="auto"/>
            <w:noWrap/>
            <w:vAlign w:val="center"/>
            <w:hideMark/>
          </w:tcPr>
          <w:p w14:paraId="0BBB45CB"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1676" w:type="pct"/>
            <w:tcBorders>
              <w:top w:val="nil"/>
              <w:left w:val="nil"/>
              <w:bottom w:val="single" w:sz="4" w:space="0" w:color="auto"/>
              <w:right w:val="single" w:sz="4" w:space="0" w:color="auto"/>
            </w:tcBorders>
            <w:shd w:val="clear" w:color="auto" w:fill="auto"/>
            <w:noWrap/>
            <w:vAlign w:val="center"/>
            <w:hideMark/>
          </w:tcPr>
          <w:p w14:paraId="2A7133D2"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CATI collection</w:t>
            </w:r>
          </w:p>
        </w:tc>
        <w:tc>
          <w:tcPr>
            <w:tcW w:w="1677" w:type="pct"/>
            <w:tcBorders>
              <w:top w:val="nil"/>
              <w:left w:val="nil"/>
              <w:bottom w:val="single" w:sz="4" w:space="0" w:color="auto"/>
              <w:right w:val="single" w:sz="4" w:space="0" w:color="auto"/>
            </w:tcBorders>
            <w:shd w:val="clear" w:color="auto" w:fill="auto"/>
            <w:noWrap/>
            <w:vAlign w:val="center"/>
            <w:hideMark/>
          </w:tcPr>
          <w:p w14:paraId="53DDC62C"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CATI collection</w:t>
            </w:r>
          </w:p>
        </w:tc>
      </w:tr>
      <w:tr w:rsidR="00331231" w:rsidRPr="00551191" w14:paraId="5C264691" w14:textId="77777777" w:rsidTr="00A33DE7">
        <w:trPr>
          <w:trHeight w:val="557"/>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2159BE73"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3</w:t>
            </w:r>
          </w:p>
        </w:tc>
        <w:tc>
          <w:tcPr>
            <w:tcW w:w="614" w:type="pct"/>
            <w:tcBorders>
              <w:top w:val="nil"/>
              <w:left w:val="nil"/>
              <w:bottom w:val="single" w:sz="4" w:space="0" w:color="auto"/>
              <w:right w:val="single" w:sz="4" w:space="0" w:color="auto"/>
            </w:tcBorders>
            <w:shd w:val="clear" w:color="auto" w:fill="auto"/>
            <w:noWrap/>
            <w:vAlign w:val="center"/>
            <w:hideMark/>
          </w:tcPr>
          <w:p w14:paraId="0AEBFDF3"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647" w:type="pct"/>
            <w:tcBorders>
              <w:top w:val="nil"/>
              <w:left w:val="nil"/>
              <w:bottom w:val="single" w:sz="4" w:space="0" w:color="auto"/>
              <w:right w:val="single" w:sz="4" w:space="0" w:color="auto"/>
            </w:tcBorders>
            <w:shd w:val="clear" w:color="auto" w:fill="auto"/>
            <w:noWrap/>
            <w:vAlign w:val="center"/>
            <w:hideMark/>
          </w:tcPr>
          <w:p w14:paraId="1A7A0149"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5/27/2014</w:t>
            </w:r>
          </w:p>
        </w:tc>
        <w:tc>
          <w:tcPr>
            <w:tcW w:w="1676" w:type="pct"/>
            <w:tcBorders>
              <w:top w:val="nil"/>
              <w:left w:val="nil"/>
              <w:bottom w:val="single" w:sz="4" w:space="0" w:color="auto"/>
              <w:right w:val="single" w:sz="4" w:space="0" w:color="auto"/>
            </w:tcBorders>
            <w:shd w:val="clear" w:color="auto" w:fill="auto"/>
            <w:vAlign w:val="center"/>
            <w:hideMark/>
          </w:tcPr>
          <w:p w14:paraId="5590153A"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Randomize calibration sample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to different monetary incentive increases (experiment #2)</w:t>
            </w:r>
          </w:p>
        </w:tc>
        <w:tc>
          <w:tcPr>
            <w:tcW w:w="1677" w:type="pct"/>
            <w:tcBorders>
              <w:top w:val="nil"/>
              <w:left w:val="nil"/>
              <w:bottom w:val="single" w:sz="4" w:space="0" w:color="auto"/>
              <w:right w:val="single" w:sz="4" w:space="0" w:color="auto"/>
            </w:tcBorders>
            <w:shd w:val="clear" w:color="auto" w:fill="auto"/>
            <w:vAlign w:val="center"/>
            <w:hideMark/>
          </w:tcPr>
          <w:p w14:paraId="138B2565"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offer incentive increase to select </w:t>
            </w:r>
            <w:proofErr w:type="spellStart"/>
            <w:r>
              <w:rPr>
                <w:rFonts w:asciiTheme="minorBidi" w:hAnsiTheme="minorBidi" w:cstheme="minorBidi"/>
                <w:color w:val="000000"/>
                <w:sz w:val="20"/>
              </w:rPr>
              <w:t>nonrespondents</w:t>
            </w:r>
            <w:proofErr w:type="spellEnd"/>
            <w:r w:rsidRPr="00551191">
              <w:rPr>
                <w:rFonts w:asciiTheme="minorBidi" w:hAnsiTheme="minorBidi" w:cstheme="minorBidi"/>
                <w:color w:val="000000"/>
                <w:sz w:val="20"/>
              </w:rPr>
              <w:t xml:space="preserve">; incentive increase determined by results of second calibration </w:t>
            </w:r>
            <w:r>
              <w:rPr>
                <w:rFonts w:asciiTheme="minorBidi" w:hAnsiTheme="minorBidi" w:cstheme="minorBidi"/>
                <w:color w:val="000000"/>
                <w:sz w:val="20"/>
              </w:rPr>
              <w:t>experiment</w:t>
            </w:r>
          </w:p>
        </w:tc>
      </w:tr>
      <w:tr w:rsidR="00331231" w:rsidRPr="00551191" w14:paraId="2A13EA36"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436E0F54"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4</w:t>
            </w:r>
          </w:p>
        </w:tc>
        <w:tc>
          <w:tcPr>
            <w:tcW w:w="614" w:type="pct"/>
            <w:tcBorders>
              <w:top w:val="nil"/>
              <w:left w:val="nil"/>
              <w:bottom w:val="single" w:sz="4" w:space="0" w:color="auto"/>
              <w:right w:val="single" w:sz="4" w:space="0" w:color="auto"/>
            </w:tcBorders>
            <w:shd w:val="clear" w:color="auto" w:fill="auto"/>
            <w:noWrap/>
            <w:vAlign w:val="center"/>
            <w:hideMark/>
          </w:tcPr>
          <w:p w14:paraId="704EDD8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647" w:type="pct"/>
            <w:tcBorders>
              <w:top w:val="nil"/>
              <w:left w:val="nil"/>
              <w:bottom w:val="single" w:sz="4" w:space="0" w:color="auto"/>
              <w:right w:val="single" w:sz="4" w:space="0" w:color="auto"/>
            </w:tcBorders>
            <w:shd w:val="clear" w:color="auto" w:fill="auto"/>
            <w:noWrap/>
            <w:vAlign w:val="center"/>
            <w:hideMark/>
          </w:tcPr>
          <w:p w14:paraId="1C94B5D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6/24/2014</w:t>
            </w:r>
          </w:p>
        </w:tc>
        <w:tc>
          <w:tcPr>
            <w:tcW w:w="1676" w:type="pct"/>
            <w:tcBorders>
              <w:top w:val="nil"/>
              <w:left w:val="nil"/>
              <w:bottom w:val="single" w:sz="4" w:space="0" w:color="auto"/>
              <w:right w:val="single" w:sz="4" w:space="0" w:color="auto"/>
            </w:tcBorders>
            <w:shd w:val="clear" w:color="auto" w:fill="auto"/>
            <w:vAlign w:val="center"/>
            <w:hideMark/>
          </w:tcPr>
          <w:p w14:paraId="100FFADB"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w:t>
            </w:r>
            <w:r w:rsidRPr="00551191">
              <w:rPr>
                <w:rFonts w:asciiTheme="minorBidi" w:hAnsiTheme="minorBidi" w:cstheme="minorBidi"/>
                <w:color w:val="000000"/>
                <w:sz w:val="20"/>
              </w:rPr>
              <w:t>F</w:t>
            </w:r>
            <w:r>
              <w:rPr>
                <w:rFonts w:asciiTheme="minorBidi" w:hAnsiTheme="minorBidi" w:cstheme="minorBidi"/>
                <w:color w:val="000000"/>
                <w:sz w:val="20"/>
              </w:rPr>
              <w:t xml:space="preserve">ield/local exchange calling for </w:t>
            </w:r>
            <w:r w:rsidRPr="00551191">
              <w:rPr>
                <w:rFonts w:asciiTheme="minorBidi" w:hAnsiTheme="minorBidi" w:cstheme="minorBidi"/>
                <w:color w:val="000000"/>
                <w:sz w:val="20"/>
              </w:rPr>
              <w:t>targeted cases</w:t>
            </w:r>
          </w:p>
        </w:tc>
        <w:tc>
          <w:tcPr>
            <w:tcW w:w="1677" w:type="pct"/>
            <w:tcBorders>
              <w:top w:val="nil"/>
              <w:left w:val="nil"/>
              <w:bottom w:val="single" w:sz="4" w:space="0" w:color="auto"/>
              <w:right w:val="single" w:sz="4" w:space="0" w:color="auto"/>
            </w:tcBorders>
            <w:shd w:val="clear" w:color="auto" w:fill="auto"/>
            <w:vAlign w:val="center"/>
            <w:hideMark/>
          </w:tcPr>
          <w:p w14:paraId="50175490"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w:t>
            </w:r>
            <w:r w:rsidRPr="00551191">
              <w:rPr>
                <w:rFonts w:asciiTheme="minorBidi" w:hAnsiTheme="minorBidi" w:cstheme="minorBidi"/>
                <w:color w:val="000000"/>
                <w:sz w:val="20"/>
              </w:rPr>
              <w:t>Fi</w:t>
            </w:r>
            <w:r>
              <w:rPr>
                <w:rFonts w:asciiTheme="minorBidi" w:hAnsiTheme="minorBidi" w:cstheme="minorBidi"/>
                <w:color w:val="000000"/>
                <w:sz w:val="20"/>
              </w:rPr>
              <w:t xml:space="preserve">eld/local exchange calling for </w:t>
            </w:r>
            <w:r w:rsidRPr="00551191">
              <w:rPr>
                <w:rFonts w:asciiTheme="minorBidi" w:hAnsiTheme="minorBidi" w:cstheme="minorBidi"/>
                <w:color w:val="000000"/>
                <w:sz w:val="20"/>
              </w:rPr>
              <w:t>targeted cases</w:t>
            </w:r>
          </w:p>
        </w:tc>
      </w:tr>
      <w:tr w:rsidR="00331231" w:rsidRPr="00551191" w14:paraId="6830CDAE"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590CE18C"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5</w:t>
            </w:r>
          </w:p>
        </w:tc>
        <w:tc>
          <w:tcPr>
            <w:tcW w:w="614" w:type="pct"/>
            <w:tcBorders>
              <w:top w:val="nil"/>
              <w:left w:val="nil"/>
              <w:bottom w:val="single" w:sz="4" w:space="0" w:color="auto"/>
              <w:right w:val="single" w:sz="4" w:space="0" w:color="auto"/>
            </w:tcBorders>
            <w:shd w:val="clear" w:color="auto" w:fill="auto"/>
            <w:noWrap/>
            <w:vAlign w:val="center"/>
            <w:hideMark/>
          </w:tcPr>
          <w:p w14:paraId="5E35A015"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7/15/2014</w:t>
            </w:r>
          </w:p>
        </w:tc>
        <w:tc>
          <w:tcPr>
            <w:tcW w:w="647" w:type="pct"/>
            <w:tcBorders>
              <w:top w:val="nil"/>
              <w:left w:val="nil"/>
              <w:bottom w:val="single" w:sz="4" w:space="0" w:color="auto"/>
              <w:right w:val="single" w:sz="4" w:space="0" w:color="auto"/>
            </w:tcBorders>
            <w:shd w:val="clear" w:color="auto" w:fill="auto"/>
            <w:noWrap/>
            <w:vAlign w:val="center"/>
            <w:hideMark/>
          </w:tcPr>
          <w:p w14:paraId="4A4B38DE"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9/2/2014</w:t>
            </w:r>
          </w:p>
        </w:tc>
        <w:tc>
          <w:tcPr>
            <w:tcW w:w="1676" w:type="pct"/>
            <w:tcBorders>
              <w:top w:val="nil"/>
              <w:left w:val="nil"/>
              <w:bottom w:val="single" w:sz="4" w:space="0" w:color="auto"/>
              <w:right w:val="single" w:sz="4" w:space="0" w:color="auto"/>
            </w:tcBorders>
            <w:shd w:val="clear" w:color="auto" w:fill="auto"/>
            <w:vAlign w:val="center"/>
            <w:hideMark/>
          </w:tcPr>
          <w:p w14:paraId="42D1846D"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a</w:t>
            </w:r>
            <w:r w:rsidRPr="00551191">
              <w:rPr>
                <w:rFonts w:asciiTheme="minorBidi" w:hAnsiTheme="minorBidi" w:cstheme="minorBidi"/>
                <w:color w:val="000000"/>
                <w:sz w:val="20"/>
              </w:rPr>
              <w:t>bbreviated interview with mobile access</w:t>
            </w:r>
          </w:p>
        </w:tc>
        <w:tc>
          <w:tcPr>
            <w:tcW w:w="1677" w:type="pct"/>
            <w:tcBorders>
              <w:top w:val="nil"/>
              <w:left w:val="nil"/>
              <w:bottom w:val="single" w:sz="4" w:space="0" w:color="auto"/>
              <w:right w:val="single" w:sz="4" w:space="0" w:color="auto"/>
            </w:tcBorders>
            <w:shd w:val="clear" w:color="auto" w:fill="auto"/>
            <w:vAlign w:val="center"/>
            <w:hideMark/>
          </w:tcPr>
          <w:p w14:paraId="7AD21306"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a</w:t>
            </w:r>
            <w:r w:rsidRPr="00551191">
              <w:rPr>
                <w:rFonts w:asciiTheme="minorBidi" w:hAnsiTheme="minorBidi" w:cstheme="minorBidi"/>
                <w:color w:val="000000"/>
                <w:sz w:val="20"/>
              </w:rPr>
              <w:t xml:space="preserve">bbreviated interview with mobile access </w:t>
            </w:r>
          </w:p>
        </w:tc>
      </w:tr>
      <w:tr w:rsidR="00331231" w:rsidRPr="00551191" w14:paraId="0019FA6B"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34F79D5"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6</w:t>
            </w:r>
          </w:p>
        </w:tc>
        <w:tc>
          <w:tcPr>
            <w:tcW w:w="614" w:type="pct"/>
            <w:tcBorders>
              <w:top w:val="nil"/>
              <w:left w:val="nil"/>
              <w:bottom w:val="single" w:sz="4" w:space="0" w:color="auto"/>
              <w:right w:val="single" w:sz="4" w:space="0" w:color="auto"/>
            </w:tcBorders>
            <w:shd w:val="clear" w:color="auto" w:fill="auto"/>
            <w:noWrap/>
            <w:vAlign w:val="center"/>
            <w:hideMark/>
          </w:tcPr>
          <w:p w14:paraId="0B01B04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8/12/2014</w:t>
            </w:r>
          </w:p>
        </w:tc>
        <w:tc>
          <w:tcPr>
            <w:tcW w:w="647" w:type="pct"/>
            <w:tcBorders>
              <w:top w:val="nil"/>
              <w:left w:val="nil"/>
              <w:bottom w:val="single" w:sz="4" w:space="0" w:color="auto"/>
              <w:right w:val="single" w:sz="4" w:space="0" w:color="auto"/>
            </w:tcBorders>
            <w:shd w:val="clear" w:color="auto" w:fill="auto"/>
            <w:noWrap/>
            <w:vAlign w:val="center"/>
            <w:hideMark/>
          </w:tcPr>
          <w:p w14:paraId="5AD37937"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9/30/2014</w:t>
            </w:r>
          </w:p>
        </w:tc>
        <w:tc>
          <w:tcPr>
            <w:tcW w:w="1676" w:type="pct"/>
            <w:tcBorders>
              <w:top w:val="nil"/>
              <w:left w:val="nil"/>
              <w:bottom w:val="single" w:sz="4" w:space="0" w:color="auto"/>
              <w:right w:val="single" w:sz="4" w:space="0" w:color="auto"/>
            </w:tcBorders>
            <w:shd w:val="clear" w:color="auto" w:fill="auto"/>
            <w:vAlign w:val="center"/>
            <w:hideMark/>
          </w:tcPr>
          <w:p w14:paraId="7DDE1762"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 xml:space="preserve">all remaining </w:t>
            </w:r>
            <w:proofErr w:type="spellStart"/>
            <w:r w:rsidRPr="00551191">
              <w:rPr>
                <w:rFonts w:asciiTheme="minorBidi" w:hAnsiTheme="minorBidi" w:cstheme="minorBidi"/>
                <w:color w:val="000000"/>
                <w:sz w:val="20"/>
              </w:rPr>
              <w:t>nonrespondents</w:t>
            </w:r>
            <w:proofErr w:type="spellEnd"/>
          </w:p>
        </w:tc>
        <w:tc>
          <w:tcPr>
            <w:tcW w:w="1677" w:type="pct"/>
            <w:tcBorders>
              <w:top w:val="nil"/>
              <w:left w:val="nil"/>
              <w:bottom w:val="single" w:sz="4" w:space="0" w:color="auto"/>
              <w:right w:val="single" w:sz="4" w:space="0" w:color="auto"/>
            </w:tcBorders>
            <w:shd w:val="clear" w:color="auto" w:fill="auto"/>
            <w:vAlign w:val="center"/>
            <w:hideMark/>
          </w:tcPr>
          <w:p w14:paraId="4C33F3BA"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 xml:space="preserve">all remaining </w:t>
            </w:r>
            <w:proofErr w:type="spellStart"/>
            <w:r w:rsidRPr="00551191">
              <w:rPr>
                <w:rFonts w:asciiTheme="minorBidi" w:hAnsiTheme="minorBidi" w:cstheme="minorBidi"/>
                <w:color w:val="000000"/>
                <w:sz w:val="20"/>
              </w:rPr>
              <w:t>nonrespondents</w:t>
            </w:r>
            <w:proofErr w:type="spellEnd"/>
          </w:p>
        </w:tc>
      </w:tr>
    </w:tbl>
    <w:p w14:paraId="7FA89829" w14:textId="77475AAA" w:rsidR="00331231" w:rsidRDefault="00331231" w:rsidP="00316CE0">
      <w:pPr>
        <w:pStyle w:val="ListParagraph"/>
        <w:spacing w:after="120"/>
        <w:contextualSpacing/>
      </w:pPr>
      <w:r>
        <w:t>CATI</w:t>
      </w:r>
      <w:r w:rsidR="00A33DE7">
        <w:t xml:space="preserve"> </w:t>
      </w:r>
      <w:r>
        <w:t>=</w:t>
      </w:r>
      <w:r w:rsidR="00A33DE7">
        <w:t xml:space="preserve"> </w:t>
      </w:r>
      <w:r>
        <w:t>computer-assisted telephone interviewing</w:t>
      </w:r>
    </w:p>
    <w:p w14:paraId="35239E3D" w14:textId="378610CD" w:rsidR="00331231" w:rsidRPr="000F6185" w:rsidRDefault="00331231" w:rsidP="00BE7583">
      <w:pPr>
        <w:spacing w:before="120" w:after="120"/>
      </w:pPr>
      <w:r w:rsidRPr="0049195E">
        <w:rPr>
          <w:b/>
          <w:bCs/>
        </w:rPr>
        <w:t xml:space="preserve">Impact on Nonresponse Bias. </w:t>
      </w:r>
      <w:r w:rsidRPr="0049195E">
        <w:rPr>
          <w:szCs w:val="24"/>
        </w:rPr>
        <w:t xml:space="preserve">As all BPS:12/14 sample members were submitted to the same data collection procedures, there is no exact method to assess the degree to which the responsive design reduced nonresponse bias relative to another data collection design that did not incorporate responsive design </w:t>
      </w:r>
      <w:r w:rsidRPr="0049195E">
        <w:rPr>
          <w:szCs w:val="24"/>
        </w:rPr>
        <w:lastRenderedPageBreak/>
        <w:t xml:space="preserve">elements. </w:t>
      </w:r>
      <w:r w:rsidRPr="008D591F">
        <w:rPr>
          <w:szCs w:val="24"/>
        </w:rPr>
        <w:t>However, a post-hoc analysis was implemented to compare estimates of nonresponse bias</w:t>
      </w:r>
      <w:r w:rsidR="00631218" w:rsidRPr="008D591F">
        <w:rPr>
          <w:szCs w:val="24"/>
        </w:rPr>
        <w:t xml:space="preserve"> to determine the impact of the responsive design.</w:t>
      </w:r>
      <w:r w:rsidRPr="008D591F">
        <w:rPr>
          <w:szCs w:val="24"/>
        </w:rPr>
        <w:t xml:space="preserve"> </w:t>
      </w:r>
      <w:r w:rsidR="00446444" w:rsidRPr="0049195E">
        <w:t xml:space="preserve">Nonresponse bias estimates were first created using all respondents and then created again by </w:t>
      </w:r>
      <w:r w:rsidR="0049195E">
        <w:t>reclassifying targeted</w:t>
      </w:r>
      <w:r w:rsidR="00446444" w:rsidRPr="0049195E">
        <w:t xml:space="preserve"> </w:t>
      </w:r>
      <w:r w:rsidR="00446444" w:rsidRPr="008D591F">
        <w:rPr>
          <w:szCs w:val="24"/>
        </w:rPr>
        <w:t xml:space="preserve">respondents </w:t>
      </w:r>
      <w:r w:rsidR="00446444" w:rsidRPr="0049195E">
        <w:t xml:space="preserve">as </w:t>
      </w:r>
      <w:proofErr w:type="spellStart"/>
      <w:r w:rsidR="00446444" w:rsidRPr="0049195E">
        <w:t>nonrespondents</w:t>
      </w:r>
      <w:proofErr w:type="spellEnd"/>
      <w:r w:rsidR="00446444" w:rsidRPr="0049195E">
        <w:t xml:space="preserve">. This allows examination of the potential bias contributed by the subset of individuals </w:t>
      </w:r>
      <w:r w:rsidR="0049195E">
        <w:t>who</w:t>
      </w:r>
      <w:r w:rsidR="00446444" w:rsidRPr="0049195E">
        <w:t xml:space="preserve"> were targeted by responsive design methods although this is not a perfect design as some of these individuals would have responded without interventions. </w:t>
      </w:r>
      <w:r w:rsidRPr="0049195E">
        <w:t xml:space="preserve">The following variables were used </w:t>
      </w:r>
      <w:r w:rsidR="00CA31F2" w:rsidRPr="0049195E">
        <w:t>to</w:t>
      </w:r>
      <w:r w:rsidRPr="0049195E">
        <w:t xml:space="preserve"> conduct </w:t>
      </w:r>
      <w:r w:rsidR="00CA31F2" w:rsidRPr="00BE7583">
        <w:t>the</w:t>
      </w:r>
      <w:r w:rsidRPr="00BE7583">
        <w:t xml:space="preserve"> nonresponse bias analysis:</w:t>
      </w:r>
      <w:r w:rsidRPr="0049195E">
        <w:rPr>
          <w:rStyle w:val="FootnoteReference"/>
        </w:rPr>
        <w:footnoteReference w:id="5"/>
      </w:r>
    </w:p>
    <w:p w14:paraId="327A52B1" w14:textId="77777777" w:rsidR="00331231" w:rsidRPr="00E55AEA" w:rsidRDefault="00331231" w:rsidP="00316CE0">
      <w:pPr>
        <w:pStyle w:val="ListBullet"/>
        <w:numPr>
          <w:ilvl w:val="0"/>
          <w:numId w:val="27"/>
        </w:numPr>
        <w:ind w:left="1714"/>
      </w:pPr>
      <w:r>
        <w:t>R</w:t>
      </w:r>
      <w:r w:rsidRPr="00E55AEA">
        <w:t>egion (categorical)</w:t>
      </w:r>
      <w:r>
        <w:t>;</w:t>
      </w:r>
    </w:p>
    <w:p w14:paraId="19C3238C" w14:textId="77777777" w:rsidR="00331231" w:rsidRPr="00E55AEA" w:rsidRDefault="00331231" w:rsidP="00316CE0">
      <w:pPr>
        <w:pStyle w:val="ListBullet"/>
        <w:numPr>
          <w:ilvl w:val="0"/>
          <w:numId w:val="27"/>
        </w:numPr>
        <w:ind w:left="1714"/>
      </w:pPr>
      <w:r>
        <w:t>A</w:t>
      </w:r>
      <w:r w:rsidRPr="00E55AEA">
        <w:t>ge as of NPSAS:12 (categorical)</w:t>
      </w:r>
      <w:r>
        <w:t>;</w:t>
      </w:r>
    </w:p>
    <w:p w14:paraId="6E378421" w14:textId="77777777" w:rsidR="00331231" w:rsidRPr="00E55AEA" w:rsidRDefault="00331231" w:rsidP="00316CE0">
      <w:pPr>
        <w:pStyle w:val="ListBullet"/>
        <w:numPr>
          <w:ilvl w:val="0"/>
          <w:numId w:val="27"/>
        </w:numPr>
        <w:ind w:left="1714"/>
      </w:pPr>
      <w:r w:rsidRPr="00E55AEA">
        <w:t>CPS match as of NPSAS:12 (yes/no)</w:t>
      </w:r>
      <w:r>
        <w:t>;</w:t>
      </w:r>
    </w:p>
    <w:p w14:paraId="62D4D0C2" w14:textId="2AB01748" w:rsidR="00331231" w:rsidRPr="00E55AEA" w:rsidRDefault="00F02212" w:rsidP="003E3324">
      <w:pPr>
        <w:pStyle w:val="ListBullet"/>
        <w:numPr>
          <w:ilvl w:val="0"/>
          <w:numId w:val="27"/>
        </w:numPr>
        <w:tabs>
          <w:tab w:val="left" w:pos="9900"/>
        </w:tabs>
        <w:ind w:left="1714"/>
      </w:pPr>
      <w:r>
        <w:t>F</w:t>
      </w:r>
      <w:r w:rsidRPr="00E55AEA">
        <w:t xml:space="preserve">ederal </w:t>
      </w:r>
      <w:r w:rsidR="00331231" w:rsidRPr="00E55AEA">
        <w:t>aid receipt (yes/no)</w:t>
      </w:r>
      <w:r w:rsidR="00331231">
        <w:t>;</w:t>
      </w:r>
    </w:p>
    <w:p w14:paraId="19599C8A" w14:textId="77777777" w:rsidR="00331231" w:rsidRPr="00E55AEA" w:rsidRDefault="00331231" w:rsidP="00316CE0">
      <w:pPr>
        <w:pStyle w:val="ListBullet"/>
        <w:numPr>
          <w:ilvl w:val="0"/>
          <w:numId w:val="27"/>
        </w:numPr>
        <w:ind w:left="1714"/>
      </w:pPr>
      <w:r w:rsidRPr="00E55AEA">
        <w:t>Pell Grant receipt (yes/no)</w:t>
      </w:r>
      <w:r>
        <w:t>;</w:t>
      </w:r>
    </w:p>
    <w:p w14:paraId="1DD7097D" w14:textId="77777777" w:rsidR="00331231" w:rsidRPr="00E55AEA" w:rsidRDefault="00331231" w:rsidP="00316CE0">
      <w:pPr>
        <w:pStyle w:val="ListBullet"/>
        <w:numPr>
          <w:ilvl w:val="0"/>
          <w:numId w:val="27"/>
        </w:numPr>
        <w:ind w:left="1714"/>
      </w:pPr>
      <w:r w:rsidRPr="00E55AEA">
        <w:t>Pell Grant amount (categorical)</w:t>
      </w:r>
      <w:r>
        <w:t>;</w:t>
      </w:r>
    </w:p>
    <w:p w14:paraId="5D93D275" w14:textId="77777777" w:rsidR="00331231" w:rsidRPr="00E55AEA" w:rsidRDefault="00331231" w:rsidP="00316CE0">
      <w:pPr>
        <w:pStyle w:val="ListBullet"/>
        <w:numPr>
          <w:ilvl w:val="0"/>
          <w:numId w:val="27"/>
        </w:numPr>
        <w:ind w:left="1714"/>
      </w:pPr>
      <w:r w:rsidRPr="00E55AEA">
        <w:t>Stafford Loan receipt (yes/no)</w:t>
      </w:r>
      <w:r>
        <w:t>;</w:t>
      </w:r>
    </w:p>
    <w:p w14:paraId="0AFDA860" w14:textId="77777777" w:rsidR="00331231" w:rsidRPr="00E55AEA" w:rsidRDefault="00331231" w:rsidP="00316CE0">
      <w:pPr>
        <w:pStyle w:val="ListBullet"/>
        <w:numPr>
          <w:ilvl w:val="0"/>
          <w:numId w:val="27"/>
        </w:numPr>
        <w:ind w:left="1714"/>
      </w:pPr>
      <w:r w:rsidRPr="00E55AEA">
        <w:t>Stafford Loan amount (categorical)</w:t>
      </w:r>
      <w:r>
        <w:t>;</w:t>
      </w:r>
    </w:p>
    <w:p w14:paraId="4031247F" w14:textId="77777777" w:rsidR="00331231" w:rsidRPr="00E55AEA" w:rsidRDefault="00331231" w:rsidP="00316CE0">
      <w:pPr>
        <w:pStyle w:val="ListBullet"/>
        <w:numPr>
          <w:ilvl w:val="0"/>
          <w:numId w:val="27"/>
        </w:numPr>
        <w:ind w:left="1714"/>
      </w:pPr>
      <w:r>
        <w:t>I</w:t>
      </w:r>
      <w:r w:rsidRPr="00E55AEA">
        <w:t>nstitutional aid receipt (yes/no)</w:t>
      </w:r>
      <w:r>
        <w:t>;</w:t>
      </w:r>
    </w:p>
    <w:p w14:paraId="3851E9C3" w14:textId="77777777" w:rsidR="00331231" w:rsidRPr="00E55AEA" w:rsidRDefault="00331231" w:rsidP="00316CE0">
      <w:pPr>
        <w:pStyle w:val="ListBullet"/>
        <w:numPr>
          <w:ilvl w:val="0"/>
          <w:numId w:val="27"/>
        </w:numPr>
        <w:ind w:left="1714"/>
      </w:pPr>
      <w:r>
        <w:t>S</w:t>
      </w:r>
      <w:r w:rsidRPr="00E55AEA">
        <w:t>tate aid receipt (yes/no)</w:t>
      </w:r>
      <w:r>
        <w:t>;</w:t>
      </w:r>
    </w:p>
    <w:p w14:paraId="3981BE93" w14:textId="77777777" w:rsidR="00331231" w:rsidRPr="00E55AEA" w:rsidRDefault="00331231" w:rsidP="00316CE0">
      <w:pPr>
        <w:pStyle w:val="ListBullet"/>
        <w:numPr>
          <w:ilvl w:val="0"/>
          <w:numId w:val="27"/>
        </w:numPr>
        <w:ind w:left="1714"/>
      </w:pPr>
      <w:r>
        <w:t>M</w:t>
      </w:r>
      <w:r w:rsidRPr="00E55AEA">
        <w:t>ajor (categorical)</w:t>
      </w:r>
      <w:r>
        <w:t>;</w:t>
      </w:r>
    </w:p>
    <w:p w14:paraId="4178D3FC" w14:textId="77777777" w:rsidR="00331231" w:rsidRPr="00E55AEA" w:rsidRDefault="00331231" w:rsidP="00316CE0">
      <w:pPr>
        <w:pStyle w:val="ListBullet"/>
        <w:numPr>
          <w:ilvl w:val="0"/>
          <w:numId w:val="27"/>
        </w:numPr>
        <w:ind w:left="1714"/>
      </w:pPr>
      <w:r>
        <w:t>I</w:t>
      </w:r>
      <w:r w:rsidRPr="00E55AEA">
        <w:t>nstitution enrollment from IPEDS file (categorical)</w:t>
      </w:r>
      <w:r>
        <w:t>;</w:t>
      </w:r>
    </w:p>
    <w:p w14:paraId="5369486E" w14:textId="77777777" w:rsidR="00331231" w:rsidRPr="00E55AEA" w:rsidRDefault="00331231" w:rsidP="00316CE0">
      <w:pPr>
        <w:pStyle w:val="ListBullet"/>
        <w:numPr>
          <w:ilvl w:val="0"/>
          <w:numId w:val="27"/>
        </w:numPr>
        <w:ind w:left="1714"/>
      </w:pPr>
      <w:r>
        <w:t>A</w:t>
      </w:r>
      <w:r w:rsidRPr="00E55AEA">
        <w:t>ny grant aid receipt (categorical)</w:t>
      </w:r>
      <w:r>
        <w:t>; and</w:t>
      </w:r>
    </w:p>
    <w:p w14:paraId="090C94A8" w14:textId="77777777" w:rsidR="00331231" w:rsidRPr="00E55AEA" w:rsidRDefault="00331231" w:rsidP="00316CE0">
      <w:pPr>
        <w:pStyle w:val="ListBullet"/>
        <w:numPr>
          <w:ilvl w:val="0"/>
          <w:numId w:val="27"/>
        </w:numPr>
        <w:spacing w:after="120"/>
      </w:pPr>
      <w:r>
        <w:t>G</w:t>
      </w:r>
      <w:r w:rsidRPr="00E55AEA">
        <w:t>raduation rate (categorical)</w:t>
      </w:r>
      <w:r>
        <w:t>.</w:t>
      </w:r>
    </w:p>
    <w:p w14:paraId="42AFABB3" w14:textId="7207C789" w:rsidR="00331231" w:rsidRDefault="00331231" w:rsidP="00BE7583">
      <w:pPr>
        <w:spacing w:before="120" w:after="120"/>
      </w:pPr>
      <w:r w:rsidRPr="008D591F">
        <w:t>For each variable listed above</w:t>
      </w:r>
      <w:r w:rsidRPr="00BE7583">
        <w:t>, nonresponse bias was estimated by comparing estimates from base-weighted respondents with those of the full sample to determine if the difference</w:t>
      </w:r>
      <w:r w:rsidRPr="00165F17">
        <w:t>s were statistically significant at the 5 percent level.</w:t>
      </w:r>
      <w:r w:rsidR="00F52E30" w:rsidRPr="00EF17FA">
        <w:t xml:space="preserve"> </w:t>
      </w:r>
      <w:r w:rsidR="00631218" w:rsidRPr="00EF17FA">
        <w:t>Multilevel categorical terms were examined using indicator terms for each level of the main term.</w:t>
      </w:r>
      <w:r w:rsidR="00083498">
        <w:t xml:space="preserve"> </w:t>
      </w:r>
      <w:r w:rsidRPr="00EF17FA">
        <w:t>The relative bias estimates associated with these nonresponse bias analys</w:t>
      </w:r>
      <w:r w:rsidR="00CA31F2" w:rsidRPr="00EF17FA">
        <w:t>e</w:t>
      </w:r>
      <w:r w:rsidRPr="00EF17FA">
        <w:t xml:space="preserve">s are summarized in Table </w:t>
      </w:r>
      <w:r w:rsidR="00B14EAC" w:rsidRPr="00EF17FA">
        <w:t>6</w:t>
      </w:r>
      <w:r w:rsidRPr="00EF17FA">
        <w:t>.</w:t>
      </w:r>
    </w:p>
    <w:p w14:paraId="5200443E" w14:textId="77777777" w:rsidR="00F52E30" w:rsidRDefault="00331231" w:rsidP="00316CE0">
      <w:pPr>
        <w:spacing w:before="120" w:after="120"/>
        <w:rPr>
          <w:szCs w:val="24"/>
        </w:rPr>
      </w:pPr>
      <w:r>
        <w:rPr>
          <w:szCs w:val="24"/>
        </w:rPr>
        <w:t>The mean and median percent relative bias are almost universally lowest across all sectors when all respondents are utilized in the bias assessment. The overall percentage of characteristics with significant bias is lowest when all respondents are utilized but the percentage of characteristics with significant bias is lowest in seven of the ten sectors when responsive design respondents are excluded.</w:t>
      </w:r>
      <w:r w:rsidR="00F52E30">
        <w:rPr>
          <w:szCs w:val="24"/>
        </w:rPr>
        <w:t xml:space="preserve"> </w:t>
      </w:r>
      <w:r>
        <w:rPr>
          <w:szCs w:val="24"/>
        </w:rPr>
        <w:t>However, the percentage of characteristics with significant bias is affected by sample sizes and as there are approximately 5,200 respondents who were ever selected under the responsive design, the power to detect a bias that is statistically different from zero is higher when using all respondents versus a smaller subset of those respondents in a nonresponse bias assessment. Consequently, the mean and median percent relative bias are better gauges of how the addition of selected responsive design respondents impacts nonresponse bias.</w:t>
      </w:r>
    </w:p>
    <w:p w14:paraId="7F966672" w14:textId="5F72CBC6" w:rsidR="00331231" w:rsidRDefault="00331231" w:rsidP="00EE04A0">
      <w:pPr>
        <w:spacing w:before="120" w:after="120"/>
        <w:rPr>
          <w:b/>
          <w:bCs/>
        </w:rPr>
        <w:sectPr w:rsidR="00331231" w:rsidSect="0036453F">
          <w:footerReference w:type="default" r:id="rId9"/>
          <w:headerReference w:type="first" r:id="rId10"/>
          <w:footerReference w:type="first" r:id="rId11"/>
          <w:pgSz w:w="12240" w:h="15840" w:code="1"/>
          <w:pgMar w:top="864" w:right="864" w:bottom="720" w:left="864" w:header="432" w:footer="288" w:gutter="0"/>
          <w:cols w:space="720"/>
          <w:docGrid w:linePitch="360"/>
        </w:sectPr>
      </w:pPr>
      <w:r>
        <w:rPr>
          <w:szCs w:val="24"/>
        </w:rPr>
        <w:t>Given that some of the 5,200 selected respondents would have responded even if they had never been subject to responsive design, it is impossible to attribute the observed bias reduction solely to the application of responsive design methods.</w:t>
      </w:r>
      <w:r w:rsidR="00F52E30">
        <w:rPr>
          <w:szCs w:val="24"/>
        </w:rPr>
        <w:t xml:space="preserve"> </w:t>
      </w:r>
      <w:r>
        <w:rPr>
          <w:szCs w:val="24"/>
        </w:rPr>
        <w:t>However, observed reduction of bias is generally quite large and suggests that responsive design methods may be helpful in reducing nonresponse bias.</w:t>
      </w:r>
    </w:p>
    <w:p w14:paraId="3A7AAE41" w14:textId="69D236A1" w:rsidR="00331231" w:rsidRDefault="00331231" w:rsidP="001273CB">
      <w:pPr>
        <w:pStyle w:val="TableTitle"/>
        <w:spacing w:before="120" w:after="60"/>
        <w:ind w:left="994" w:hanging="994"/>
      </w:pPr>
      <w:bookmarkStart w:id="104" w:name="_Ref430716407"/>
      <w:bookmarkStart w:id="105" w:name="_Toc430711443"/>
      <w:bookmarkStart w:id="106" w:name="_Toc430716975"/>
      <w:bookmarkStart w:id="107" w:name="_Toc450337717"/>
      <w:bookmarkStart w:id="108" w:name="_Toc456167109"/>
      <w:r w:rsidRPr="002F37A2">
        <w:lastRenderedPageBreak/>
        <w:t>Table</w:t>
      </w:r>
      <w:r w:rsidRPr="00A665A1">
        <w:t> </w:t>
      </w:r>
      <w:bookmarkEnd w:id="104"/>
      <w:r w:rsidR="00B14EAC">
        <w:t>6</w:t>
      </w:r>
      <w:r w:rsidRPr="00A665A1">
        <w:t>.</w:t>
      </w:r>
      <w:r w:rsidR="002B537E">
        <w:t xml:space="preserve"> </w:t>
      </w:r>
      <w:r w:rsidRPr="00BA64A1">
        <w:t>Summary of responsive design impact on nonresponse bias, by institutional sector: 2014</w:t>
      </w:r>
      <w:bookmarkEnd w:id="105"/>
      <w:bookmarkEnd w:id="106"/>
      <w:bookmarkEnd w:id="107"/>
      <w:bookmarkEnd w:id="108"/>
    </w:p>
    <w:p w14:paraId="0F7BD061" w14:textId="77777777" w:rsidR="00331231" w:rsidRPr="002C6ADF" w:rsidRDefault="00331231" w:rsidP="00CF1337">
      <w:pPr>
        <w:pStyle w:val="Figure"/>
        <w:spacing w:after="120"/>
      </w:pPr>
      <w:r w:rsidRPr="002C6ADF">
        <w:drawing>
          <wp:inline distT="0" distB="0" distL="0" distR="0" wp14:anchorId="33459E99" wp14:editId="10E22BED">
            <wp:extent cx="8205645" cy="3075332"/>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05645" cy="3075332"/>
                    </a:xfrm>
                    <a:prstGeom prst="rect">
                      <a:avLst/>
                    </a:prstGeom>
                    <a:noFill/>
                    <a:ln>
                      <a:noFill/>
                    </a:ln>
                  </pic:spPr>
                </pic:pic>
              </a:graphicData>
            </a:graphic>
          </wp:inline>
        </w:drawing>
      </w:r>
    </w:p>
    <w:p w14:paraId="1BF5C7C5" w14:textId="77777777" w:rsidR="00331231" w:rsidRPr="002E2D8D" w:rsidRDefault="00331231" w:rsidP="00CF1337">
      <w:pPr>
        <w:spacing w:after="120"/>
        <w:rPr>
          <w:rFonts w:asciiTheme="minorBidi" w:hAnsiTheme="minorBidi" w:cstheme="minorBidi"/>
          <w:sz w:val="22"/>
          <w:szCs w:val="12"/>
        </w:rPr>
      </w:pPr>
      <w:r w:rsidRPr="002E2D8D">
        <w:rPr>
          <w:rFonts w:asciiTheme="minorBidi" w:hAnsiTheme="minorBidi" w:cstheme="minorBidi"/>
          <w:sz w:val="16"/>
          <w:szCs w:val="12"/>
          <w:vertAlign w:val="superscript"/>
        </w:rPr>
        <w:t>1</w:t>
      </w:r>
      <w:r w:rsidRPr="002E2D8D">
        <w:rPr>
          <w:rFonts w:asciiTheme="minorBidi" w:hAnsiTheme="minorBidi" w:cstheme="minorBidi"/>
          <w:sz w:val="16"/>
          <w:szCs w:val="12"/>
        </w:rPr>
        <w:t xml:space="preserve"> Relative bias and significance calculated on respondents vs. full sample.</w:t>
      </w:r>
    </w:p>
    <w:p w14:paraId="0EDE1751" w14:textId="77777777" w:rsidR="00F52E30" w:rsidRDefault="00331231" w:rsidP="00CF1337">
      <w:pPr>
        <w:spacing w:after="120"/>
        <w:rPr>
          <w:rStyle w:val="CommentReference"/>
          <w:rFonts w:asciiTheme="minorBidi" w:hAnsiTheme="minorBidi" w:cstheme="minorBidi"/>
          <w:sz w:val="8"/>
          <w:szCs w:val="8"/>
        </w:rPr>
      </w:pPr>
      <w:r w:rsidRPr="002E2D8D">
        <w:rPr>
          <w:rFonts w:asciiTheme="minorBidi" w:hAnsiTheme="minorBidi" w:cstheme="minorBidi"/>
          <w:sz w:val="16"/>
          <w:szCs w:val="12"/>
        </w:rPr>
        <w:t>SOURCE: U.S. Department of Education, National Center for Education Statistics, 2012/14 Beginning Postsecondary Students Longitudinal Study (BPS:12/14).</w:t>
      </w:r>
    </w:p>
    <w:p w14:paraId="235716C7" w14:textId="6F46EC24" w:rsidR="00331231" w:rsidRPr="00D463F3" w:rsidRDefault="00331231" w:rsidP="00CF1337">
      <w:pPr>
        <w:pStyle w:val="BodyText"/>
      </w:pPr>
    </w:p>
    <w:p w14:paraId="5F1185CA" w14:textId="77777777" w:rsidR="00331231" w:rsidRDefault="00331231" w:rsidP="00CF1337">
      <w:pPr>
        <w:pStyle w:val="BodyText"/>
        <w:sectPr w:rsidR="00331231" w:rsidSect="00DC26CF">
          <w:headerReference w:type="even" r:id="rId13"/>
          <w:headerReference w:type="default" r:id="rId14"/>
          <w:footerReference w:type="default" r:id="rId15"/>
          <w:pgSz w:w="15840" w:h="12240" w:orient="landscape" w:code="1"/>
          <w:pgMar w:top="1440" w:right="1440" w:bottom="1440" w:left="1440" w:header="720" w:footer="720" w:gutter="0"/>
          <w:cols w:space="720"/>
          <w:docGrid w:linePitch="360"/>
        </w:sectPr>
      </w:pPr>
    </w:p>
    <w:p w14:paraId="49ECE8B4" w14:textId="7C2F497E" w:rsidR="001A135B" w:rsidRPr="00570838" w:rsidRDefault="001A135B" w:rsidP="00EE04A0">
      <w:pPr>
        <w:pStyle w:val="Heading3"/>
        <w:spacing w:before="0" w:line="240" w:lineRule="auto"/>
        <w:rPr>
          <w:b w:val="0"/>
          <w:bCs w:val="0"/>
          <w:i/>
          <w:iCs/>
          <w:sz w:val="22"/>
          <w:szCs w:val="22"/>
        </w:rPr>
      </w:pPr>
      <w:bookmarkStart w:id="109" w:name="_Toc459815571"/>
      <w:r w:rsidRPr="00570838">
        <w:rPr>
          <w:b w:val="0"/>
          <w:bCs w:val="0"/>
          <w:i/>
          <w:iCs/>
          <w:sz w:val="22"/>
          <w:szCs w:val="22"/>
        </w:rPr>
        <w:lastRenderedPageBreak/>
        <w:t>BPS:12/1</w:t>
      </w:r>
      <w:r w:rsidR="00D659F2" w:rsidRPr="00570838">
        <w:rPr>
          <w:b w:val="0"/>
          <w:bCs w:val="0"/>
          <w:i/>
          <w:iCs/>
          <w:sz w:val="22"/>
          <w:szCs w:val="22"/>
        </w:rPr>
        <w:t>7</w:t>
      </w:r>
      <w:r w:rsidRPr="00570838">
        <w:rPr>
          <w:b w:val="0"/>
          <w:bCs w:val="0"/>
          <w:i/>
          <w:iCs/>
          <w:sz w:val="22"/>
          <w:szCs w:val="22"/>
        </w:rPr>
        <w:t xml:space="preserve"> Full Scale</w:t>
      </w:r>
      <w:bookmarkEnd w:id="102"/>
      <w:bookmarkEnd w:id="109"/>
    </w:p>
    <w:p w14:paraId="499AA95C" w14:textId="35700B7F" w:rsidR="00486F2E" w:rsidRDefault="00486F2E" w:rsidP="000C6FE9">
      <w:pPr>
        <w:spacing w:before="120" w:after="120"/>
        <w:rPr>
          <w:szCs w:val="24"/>
        </w:rPr>
      </w:pPr>
      <w:r>
        <w:rPr>
          <w:szCs w:val="24"/>
        </w:rPr>
        <w:t>The responsive design methods proposed for BPS:12/17 expand and improve upon the BPS:12/14 methods in three key aspects:</w:t>
      </w:r>
    </w:p>
    <w:p w14:paraId="4D600A82" w14:textId="77777777" w:rsidR="00486F2E" w:rsidRPr="00F27781" w:rsidRDefault="00486F2E" w:rsidP="00E84C5E">
      <w:pPr>
        <w:pStyle w:val="ListParagraph"/>
        <w:numPr>
          <w:ilvl w:val="0"/>
          <w:numId w:val="23"/>
        </w:numPr>
        <w:spacing w:before="120" w:after="120"/>
        <w:ind w:left="630"/>
        <w:rPr>
          <w:rFonts w:asciiTheme="majorBidi" w:hAnsiTheme="majorBidi" w:cstheme="majorBidi"/>
          <w:szCs w:val="24"/>
        </w:rPr>
      </w:pPr>
      <w:r w:rsidRPr="00C2261C">
        <w:rPr>
          <w:rFonts w:asciiTheme="majorBidi" w:hAnsiTheme="majorBidi" w:cstheme="majorBidi"/>
          <w:sz w:val="24"/>
          <w:szCs w:val="24"/>
        </w:rPr>
        <w:t>Refine</w:t>
      </w:r>
      <w:r>
        <w:rPr>
          <w:rFonts w:asciiTheme="majorBidi" w:hAnsiTheme="majorBidi" w:cstheme="majorBidi"/>
          <w:sz w:val="24"/>
          <w:szCs w:val="24"/>
        </w:rPr>
        <w:t>d</w:t>
      </w:r>
      <w:r w:rsidRPr="00C2261C">
        <w:rPr>
          <w:rFonts w:asciiTheme="majorBidi" w:hAnsiTheme="majorBidi" w:cstheme="majorBidi"/>
          <w:sz w:val="24"/>
          <w:szCs w:val="24"/>
        </w:rPr>
        <w:t xml:space="preserve"> targeting of nonresponding sample members so that, instead of attempting to reduce unit nonresponse bias for national estimates only</w:t>
      </w:r>
      <w:r>
        <w:rPr>
          <w:rFonts w:asciiTheme="majorBidi" w:hAnsiTheme="majorBidi" w:cstheme="majorBidi"/>
          <w:sz w:val="24"/>
          <w:szCs w:val="24"/>
        </w:rPr>
        <w:t>,</w:t>
      </w:r>
      <w:r w:rsidRPr="00C2261C">
        <w:rPr>
          <w:rFonts w:asciiTheme="majorBidi" w:hAnsiTheme="majorBidi" w:cstheme="majorBidi"/>
          <w:sz w:val="24"/>
          <w:szCs w:val="24"/>
        </w:rPr>
        <w:t xml:space="preserve"> as in BPS:12/14, the impact of unit nonresponse on the bias is reduced for estimates </w:t>
      </w:r>
      <w:r w:rsidRPr="000C6FE9">
        <w:rPr>
          <w:rFonts w:asciiTheme="majorBidi" w:hAnsiTheme="majorBidi" w:cstheme="majorBidi"/>
          <w:i/>
          <w:iCs/>
          <w:sz w:val="24"/>
          <w:szCs w:val="24"/>
        </w:rPr>
        <w:t>within institutional sector</w:t>
      </w:r>
      <w:r w:rsidRPr="00C2261C">
        <w:rPr>
          <w:rFonts w:asciiTheme="majorBidi" w:hAnsiTheme="majorBidi" w:cstheme="majorBidi"/>
          <w:sz w:val="24"/>
          <w:szCs w:val="24"/>
        </w:rPr>
        <w:t>.</w:t>
      </w:r>
    </w:p>
    <w:p w14:paraId="78800021" w14:textId="77777777" w:rsidR="00486F2E" w:rsidRPr="005D4FD9" w:rsidRDefault="00486F2E" w:rsidP="00E84C5E">
      <w:pPr>
        <w:pStyle w:val="ListParagraph"/>
        <w:numPr>
          <w:ilvl w:val="0"/>
          <w:numId w:val="23"/>
        </w:numPr>
        <w:spacing w:before="120" w:after="120"/>
        <w:ind w:left="630"/>
        <w:rPr>
          <w:rFonts w:asciiTheme="majorBidi" w:hAnsiTheme="majorBidi" w:cstheme="majorBidi"/>
          <w:sz w:val="24"/>
          <w:szCs w:val="32"/>
        </w:rPr>
      </w:pPr>
      <w:r w:rsidRPr="00274676">
        <w:rPr>
          <w:rFonts w:asciiTheme="majorBidi" w:hAnsiTheme="majorBidi" w:cstheme="majorBidi"/>
          <w:sz w:val="24"/>
          <w:szCs w:val="32"/>
        </w:rPr>
        <w:t>A</w:t>
      </w:r>
      <w:r>
        <w:rPr>
          <w:rFonts w:asciiTheme="majorBidi" w:hAnsiTheme="majorBidi" w:cstheme="majorBidi"/>
          <w:sz w:val="24"/>
          <w:szCs w:val="32"/>
        </w:rPr>
        <w:t>ddition of a</w:t>
      </w:r>
      <w:r w:rsidRPr="00274676">
        <w:rPr>
          <w:rFonts w:asciiTheme="majorBidi" w:hAnsiTheme="majorBidi" w:cstheme="majorBidi"/>
          <w:sz w:val="24"/>
          <w:szCs w:val="32"/>
        </w:rPr>
        <w:t xml:space="preserve"> special </w:t>
      </w:r>
      <w:r>
        <w:rPr>
          <w:rFonts w:asciiTheme="majorBidi" w:hAnsiTheme="majorBidi" w:cstheme="majorBidi"/>
          <w:sz w:val="24"/>
          <w:szCs w:val="32"/>
        </w:rPr>
        <w:t xml:space="preserve">data collection protocol for a hard-to-convert group: NPSAS:12 study member double-interview </w:t>
      </w:r>
      <w:proofErr w:type="spellStart"/>
      <w:r>
        <w:rPr>
          <w:rFonts w:asciiTheme="majorBidi" w:hAnsiTheme="majorBidi" w:cstheme="majorBidi"/>
          <w:sz w:val="24"/>
          <w:szCs w:val="32"/>
        </w:rPr>
        <w:t>nonrespondents</w:t>
      </w:r>
      <w:proofErr w:type="spellEnd"/>
      <w:r>
        <w:rPr>
          <w:rFonts w:asciiTheme="majorBidi" w:hAnsiTheme="majorBidi" w:cstheme="majorBidi"/>
          <w:sz w:val="24"/>
          <w:szCs w:val="32"/>
        </w:rPr>
        <w:t>.</w:t>
      </w:r>
    </w:p>
    <w:p w14:paraId="6191E933" w14:textId="48AF6F76" w:rsidR="00486F2E" w:rsidRPr="00E84C5E" w:rsidRDefault="00486F2E" w:rsidP="00E84C5E">
      <w:pPr>
        <w:pStyle w:val="ListParagraph"/>
        <w:numPr>
          <w:ilvl w:val="0"/>
          <w:numId w:val="23"/>
        </w:numPr>
        <w:spacing w:before="120" w:after="120"/>
        <w:ind w:left="630"/>
        <w:rPr>
          <w:rFonts w:ascii="Times New Roman" w:hAnsi="Times New Roman" w:cs="Times New Roman"/>
          <w:sz w:val="24"/>
          <w:szCs w:val="24"/>
        </w:rPr>
      </w:pPr>
      <w:r w:rsidRPr="00E84C5E">
        <w:rPr>
          <w:rFonts w:ascii="Times New Roman" w:hAnsi="Times New Roman" w:cs="Times New Roman"/>
          <w:sz w:val="24"/>
          <w:szCs w:val="24"/>
        </w:rPr>
        <w:t xml:space="preserve">Inclusion of a randomized </w:t>
      </w:r>
      <w:r w:rsidR="000C6FE9" w:rsidRPr="00E84C5E">
        <w:rPr>
          <w:rFonts w:ascii="Times New Roman" w:hAnsi="Times New Roman" w:cs="Times New Roman"/>
          <w:sz w:val="24"/>
          <w:szCs w:val="24"/>
        </w:rPr>
        <w:t xml:space="preserve">evaluation </w:t>
      </w:r>
      <w:r w:rsidRPr="00E84C5E">
        <w:rPr>
          <w:rFonts w:ascii="Times New Roman" w:hAnsi="Times New Roman" w:cs="Times New Roman"/>
          <w:sz w:val="24"/>
          <w:szCs w:val="24"/>
        </w:rPr>
        <w:t>designed to permit estimating the difference between unit nonresponse bias arising from application of the proposed responsive design methods and unit nonresponse bias arising from not applying the responsive design methods.</w:t>
      </w:r>
    </w:p>
    <w:p w14:paraId="72F1D2F2" w14:textId="49666A06" w:rsidR="00F52E30" w:rsidRDefault="00486F2E" w:rsidP="00AB4B45">
      <w:pPr>
        <w:spacing w:before="120" w:after="120"/>
        <w:rPr>
          <w:szCs w:val="24"/>
        </w:rPr>
      </w:pPr>
      <w:r>
        <w:rPr>
          <w:szCs w:val="24"/>
        </w:rPr>
        <w:t>As noted previously, t</w:t>
      </w:r>
      <w:r w:rsidRPr="009D3447">
        <w:rPr>
          <w:szCs w:val="24"/>
        </w:rPr>
        <w:t xml:space="preserve">he </w:t>
      </w:r>
      <w:r>
        <w:rPr>
          <w:szCs w:val="24"/>
        </w:rPr>
        <w:t xml:space="preserve">responsive design approach for the </w:t>
      </w:r>
      <w:r w:rsidRPr="009D3447">
        <w:rPr>
          <w:szCs w:val="24"/>
        </w:rPr>
        <w:t xml:space="preserve">BPS:12/14 </w:t>
      </w:r>
      <w:r>
        <w:rPr>
          <w:szCs w:val="24"/>
        </w:rPr>
        <w:t xml:space="preserve">full scale </w:t>
      </w:r>
      <w:r w:rsidRPr="009D3447">
        <w:rPr>
          <w:szCs w:val="24"/>
        </w:rPr>
        <w:t>included (1) use of a</w:t>
      </w:r>
      <w:r>
        <w:rPr>
          <w:szCs w:val="24"/>
        </w:rPr>
        <w:t>n incentive</w:t>
      </w:r>
      <w:r w:rsidRPr="009D3447">
        <w:rPr>
          <w:szCs w:val="24"/>
        </w:rPr>
        <w:t xml:space="preserve"> calibration </w:t>
      </w:r>
      <w:r>
        <w:rPr>
          <w:szCs w:val="24"/>
        </w:rPr>
        <w:t xml:space="preserve">study </w:t>
      </w:r>
      <w:r w:rsidRPr="009D3447">
        <w:rPr>
          <w:szCs w:val="24"/>
        </w:rPr>
        <w:t xml:space="preserve">sample to identify optimal monetary incentives, (2) development of an importance measure for identifying </w:t>
      </w:r>
      <w:proofErr w:type="spellStart"/>
      <w:r w:rsidRPr="009D3447">
        <w:rPr>
          <w:szCs w:val="24"/>
        </w:rPr>
        <w:t>nonrespondents</w:t>
      </w:r>
      <w:proofErr w:type="spellEnd"/>
      <w:r w:rsidRPr="009D3447">
        <w:rPr>
          <w:szCs w:val="24"/>
        </w:rPr>
        <w:t xml:space="preserve"> for specific interventions, and (3) implementation of a mul</w:t>
      </w:r>
      <w:r>
        <w:rPr>
          <w:szCs w:val="24"/>
        </w:rPr>
        <w:t>ti-phase data collection period</w:t>
      </w:r>
      <w:r w:rsidRPr="002A02E3">
        <w:rPr>
          <w:szCs w:val="24"/>
        </w:rPr>
        <w:t xml:space="preserve">. </w:t>
      </w:r>
      <w:r>
        <w:rPr>
          <w:szCs w:val="24"/>
        </w:rPr>
        <w:t xml:space="preserve">Analysis of the BPS:12/14 case targeting indicated that institution sector dominated the construction of the importance scores; meaning that </w:t>
      </w:r>
      <w:proofErr w:type="spellStart"/>
      <w:r>
        <w:rPr>
          <w:szCs w:val="24"/>
        </w:rPr>
        <w:t>nonrespondents</w:t>
      </w:r>
      <w:proofErr w:type="spellEnd"/>
      <w:r>
        <w:rPr>
          <w:szCs w:val="24"/>
        </w:rPr>
        <w:t xml:space="preserve"> were primarily selected by identifying </w:t>
      </w:r>
      <w:proofErr w:type="spellStart"/>
      <w:r>
        <w:rPr>
          <w:szCs w:val="24"/>
        </w:rPr>
        <w:t>nonrespondents</w:t>
      </w:r>
      <w:proofErr w:type="spellEnd"/>
      <w:r>
        <w:rPr>
          <w:szCs w:val="24"/>
        </w:rPr>
        <w:t xml:space="preserve"> in the sectors with the lowest response rates. For the BPS:12/17 full s</w:t>
      </w:r>
      <w:r w:rsidRPr="002A02E3">
        <w:rPr>
          <w:szCs w:val="24"/>
        </w:rPr>
        <w:t xml:space="preserve">cale </w:t>
      </w:r>
      <w:r>
        <w:rPr>
          <w:szCs w:val="24"/>
        </w:rPr>
        <w:t>we are building upon the BPS:12/14 full scale responsive design but, r</w:t>
      </w:r>
      <w:r w:rsidRPr="009D3447">
        <w:rPr>
          <w:szCs w:val="24"/>
        </w:rPr>
        <w:t>ather than selecting</w:t>
      </w:r>
      <w:r>
        <w:rPr>
          <w:szCs w:val="24"/>
        </w:rPr>
        <w:t xml:space="preserve"> </w:t>
      </w:r>
      <w:proofErr w:type="spellStart"/>
      <w:r>
        <w:rPr>
          <w:szCs w:val="24"/>
        </w:rPr>
        <w:t>nonrespondents</w:t>
      </w:r>
      <w:proofErr w:type="spellEnd"/>
      <w:r w:rsidRPr="009D3447">
        <w:rPr>
          <w:szCs w:val="24"/>
        </w:rPr>
        <w:t xml:space="preserve"> </w:t>
      </w:r>
      <w:r>
        <w:rPr>
          <w:szCs w:val="24"/>
        </w:rPr>
        <w:t xml:space="preserve">using the same approach as </w:t>
      </w:r>
      <w:r w:rsidR="00E84C5E">
        <w:rPr>
          <w:szCs w:val="24"/>
        </w:rPr>
        <w:t xml:space="preserve">in </w:t>
      </w:r>
      <w:r>
        <w:rPr>
          <w:szCs w:val="24"/>
        </w:rPr>
        <w:t>BPS:12/14</w:t>
      </w:r>
      <w:r w:rsidRPr="009D3447">
        <w:rPr>
          <w:szCs w:val="24"/>
        </w:rPr>
        <w:t xml:space="preserve">, we propose targeting </w:t>
      </w:r>
      <w:proofErr w:type="spellStart"/>
      <w:r>
        <w:rPr>
          <w:szCs w:val="24"/>
        </w:rPr>
        <w:t>nonrespondents</w:t>
      </w:r>
      <w:proofErr w:type="spellEnd"/>
      <w:r w:rsidRPr="009D3447">
        <w:rPr>
          <w:szCs w:val="24"/>
        </w:rPr>
        <w:t xml:space="preserve"> within:</w:t>
      </w:r>
    </w:p>
    <w:p w14:paraId="3E818E7A" w14:textId="4E99270B" w:rsidR="00F52E30" w:rsidRDefault="00486F2E" w:rsidP="00E84C5E">
      <w:pPr>
        <w:pStyle w:val="ListParagraph"/>
        <w:numPr>
          <w:ilvl w:val="0"/>
          <w:numId w:val="24"/>
        </w:numPr>
        <w:spacing w:before="120" w:after="120"/>
        <w:ind w:left="630" w:hanging="270"/>
        <w:rPr>
          <w:rFonts w:ascii="Times New Roman" w:hAnsi="Times New Roman" w:cs="Times New Roman"/>
          <w:sz w:val="24"/>
          <w:szCs w:val="24"/>
        </w:rPr>
      </w:pPr>
      <w:r>
        <w:rPr>
          <w:rFonts w:ascii="Times New Roman" w:hAnsi="Times New Roman" w:cs="Times New Roman"/>
          <w:sz w:val="24"/>
          <w:szCs w:val="24"/>
        </w:rPr>
        <w:t xml:space="preserve">Institution </w:t>
      </w:r>
      <w:r w:rsidRPr="009D3447">
        <w:rPr>
          <w:rFonts w:ascii="Times New Roman" w:hAnsi="Times New Roman" w:cs="Times New Roman"/>
          <w:sz w:val="24"/>
          <w:szCs w:val="24"/>
        </w:rPr>
        <w:t xml:space="preserve">Sector – </w:t>
      </w:r>
      <w:r w:rsidR="00E84C5E">
        <w:rPr>
          <w:rFonts w:ascii="Times New Roman" w:hAnsi="Times New Roman" w:cs="Times New Roman"/>
          <w:sz w:val="24"/>
          <w:szCs w:val="24"/>
        </w:rPr>
        <w:t>w</w:t>
      </w:r>
      <w:r w:rsidRPr="009D3447">
        <w:rPr>
          <w:rFonts w:ascii="Times New Roman" w:hAnsi="Times New Roman" w:cs="Times New Roman"/>
          <w:sz w:val="24"/>
          <w:szCs w:val="24"/>
        </w:rPr>
        <w:t>e will model and target cases within sector groups in an effort to equalize response rates across sectors.</w:t>
      </w:r>
    </w:p>
    <w:p w14:paraId="1021101E" w14:textId="53CD0313" w:rsidR="00486F2E" w:rsidRPr="009D3447" w:rsidRDefault="00486F2E" w:rsidP="00E84C5E">
      <w:pPr>
        <w:pStyle w:val="ListParagraph"/>
        <w:numPr>
          <w:ilvl w:val="0"/>
          <w:numId w:val="24"/>
        </w:numPr>
        <w:spacing w:before="120" w:after="120"/>
        <w:ind w:left="630" w:hanging="270"/>
        <w:rPr>
          <w:rFonts w:ascii="Times New Roman" w:hAnsi="Times New Roman" w:cs="Times New Roman"/>
          <w:sz w:val="24"/>
          <w:szCs w:val="24"/>
        </w:rPr>
      </w:pPr>
      <w:r w:rsidRPr="009D3447">
        <w:rPr>
          <w:rFonts w:ascii="Times New Roman" w:hAnsi="Times New Roman" w:cs="Times New Roman"/>
          <w:sz w:val="24"/>
          <w:szCs w:val="24"/>
        </w:rPr>
        <w:t xml:space="preserve">NPSAS:12 study member double interview </w:t>
      </w:r>
      <w:proofErr w:type="spellStart"/>
      <w:r w:rsidRPr="009D3447">
        <w:rPr>
          <w:rFonts w:ascii="Times New Roman" w:hAnsi="Times New Roman" w:cs="Times New Roman"/>
          <w:sz w:val="24"/>
          <w:szCs w:val="24"/>
        </w:rPr>
        <w:t>nonrespondents</w:t>
      </w:r>
      <w:proofErr w:type="spellEnd"/>
      <w:r w:rsidRPr="009D3447">
        <w:rPr>
          <w:rFonts w:ascii="Times New Roman" w:hAnsi="Times New Roman" w:cs="Times New Roman"/>
          <w:sz w:val="24"/>
          <w:szCs w:val="24"/>
        </w:rPr>
        <w:t xml:space="preserve"> – </w:t>
      </w:r>
      <w:r w:rsidR="00E84C5E">
        <w:rPr>
          <w:rFonts w:ascii="Times New Roman" w:hAnsi="Times New Roman" w:cs="Times New Roman"/>
          <w:sz w:val="24"/>
          <w:szCs w:val="24"/>
        </w:rPr>
        <w:t>w</w:t>
      </w:r>
      <w:r w:rsidRPr="009D3447">
        <w:rPr>
          <w:rFonts w:ascii="Times New Roman" w:hAnsi="Times New Roman" w:cs="Times New Roman"/>
          <w:sz w:val="24"/>
          <w:szCs w:val="24"/>
        </w:rPr>
        <w:t xml:space="preserve">e </w:t>
      </w:r>
      <w:r w:rsidR="00E84C5E">
        <w:rPr>
          <w:rFonts w:ascii="Times New Roman" w:hAnsi="Times New Roman" w:cs="Times New Roman"/>
          <w:sz w:val="24"/>
          <w:szCs w:val="24"/>
        </w:rPr>
        <w:t>will</w:t>
      </w:r>
      <w:r w:rsidRPr="009D3447">
        <w:rPr>
          <w:rFonts w:ascii="Times New Roman" w:hAnsi="Times New Roman" w:cs="Times New Roman"/>
          <w:sz w:val="24"/>
          <w:szCs w:val="24"/>
        </w:rPr>
        <w:t xml:space="preserve"> </w:t>
      </w:r>
      <w:r>
        <w:rPr>
          <w:rFonts w:ascii="Times New Roman" w:hAnsi="Times New Roman" w:cs="Times New Roman"/>
          <w:sz w:val="24"/>
          <w:szCs w:val="24"/>
        </w:rPr>
        <w:t>us</w:t>
      </w:r>
      <w:r w:rsidR="00E84C5E">
        <w:rPr>
          <w:rFonts w:ascii="Times New Roman" w:hAnsi="Times New Roman" w:cs="Times New Roman"/>
          <w:sz w:val="24"/>
          <w:szCs w:val="24"/>
        </w:rPr>
        <w:t>e</w:t>
      </w:r>
      <w:r>
        <w:rPr>
          <w:rFonts w:ascii="Times New Roman" w:hAnsi="Times New Roman" w:cs="Times New Roman"/>
          <w:sz w:val="24"/>
          <w:szCs w:val="24"/>
        </w:rPr>
        <w:t xml:space="preserve"> </w:t>
      </w:r>
      <w:r w:rsidRPr="009D3447">
        <w:rPr>
          <w:rFonts w:ascii="Times New Roman" w:hAnsi="Times New Roman" w:cs="Times New Roman"/>
          <w:sz w:val="24"/>
          <w:szCs w:val="24"/>
        </w:rPr>
        <w:t xml:space="preserve">a </w:t>
      </w:r>
      <w:r>
        <w:rPr>
          <w:rFonts w:ascii="Times New Roman" w:hAnsi="Times New Roman" w:cs="Times New Roman"/>
          <w:sz w:val="24"/>
          <w:szCs w:val="24"/>
        </w:rPr>
        <w:t xml:space="preserve">calibration sample to evaluate two </w:t>
      </w:r>
      <w:r w:rsidRPr="009D3447">
        <w:rPr>
          <w:rFonts w:ascii="Times New Roman" w:hAnsi="Times New Roman" w:cs="Times New Roman"/>
          <w:sz w:val="24"/>
          <w:szCs w:val="24"/>
        </w:rPr>
        <w:t>special data collection protocol</w:t>
      </w:r>
      <w:r>
        <w:rPr>
          <w:rFonts w:ascii="Times New Roman" w:hAnsi="Times New Roman" w:cs="Times New Roman"/>
          <w:sz w:val="24"/>
          <w:szCs w:val="24"/>
        </w:rPr>
        <w:t>s</w:t>
      </w:r>
      <w:r w:rsidRPr="009D3447">
        <w:rPr>
          <w:rFonts w:ascii="Times New Roman" w:hAnsi="Times New Roman" w:cs="Times New Roman"/>
          <w:sz w:val="24"/>
          <w:szCs w:val="24"/>
        </w:rPr>
        <w:t xml:space="preserve"> for this hard-to-convert group</w:t>
      </w:r>
      <w:r w:rsidR="00E84C5E">
        <w:rPr>
          <w:rFonts w:ascii="Times New Roman" w:hAnsi="Times New Roman" w:cs="Times New Roman"/>
          <w:sz w:val="24"/>
          <w:szCs w:val="24"/>
        </w:rPr>
        <w:t xml:space="preserve">, </w:t>
      </w:r>
      <w:r w:rsidRPr="009D3447">
        <w:rPr>
          <w:rFonts w:ascii="Times New Roman" w:hAnsi="Times New Roman" w:cs="Times New Roman"/>
          <w:sz w:val="24"/>
          <w:szCs w:val="24"/>
        </w:rPr>
        <w:t>includ</w:t>
      </w:r>
      <w:r w:rsidR="00E84C5E">
        <w:rPr>
          <w:rFonts w:ascii="Times New Roman" w:hAnsi="Times New Roman" w:cs="Times New Roman"/>
          <w:sz w:val="24"/>
          <w:szCs w:val="24"/>
        </w:rPr>
        <w:t>ing</w:t>
      </w:r>
      <w:r w:rsidRPr="009D3447">
        <w:rPr>
          <w:rFonts w:ascii="Times New Roman" w:hAnsi="Times New Roman" w:cs="Times New Roman"/>
          <w:sz w:val="24"/>
          <w:szCs w:val="24"/>
        </w:rPr>
        <w:t xml:space="preserve"> a special baseline protocol determined by a calibration sample and an accelerated timeline.</w:t>
      </w:r>
    </w:p>
    <w:p w14:paraId="1F82870C" w14:textId="67C215A6" w:rsidR="00644662" w:rsidRDefault="00644662" w:rsidP="000C6FE9">
      <w:pPr>
        <w:spacing w:before="120" w:after="120"/>
        <w:rPr>
          <w:szCs w:val="24"/>
        </w:rPr>
      </w:pPr>
      <w:r>
        <w:rPr>
          <w:szCs w:val="24"/>
        </w:rPr>
        <w:t xml:space="preserve">We have designed an evaluation of the responsive design so that we can </w:t>
      </w:r>
      <w:r w:rsidRPr="009F6058">
        <w:rPr>
          <w:szCs w:val="24"/>
        </w:rPr>
        <w:t>test the impact of the targeted interventions to reduce nonresponse bias versus not targeting for interventions</w:t>
      </w:r>
      <w:r>
        <w:rPr>
          <w:szCs w:val="24"/>
        </w:rPr>
        <w:t>. For the evaluation,</w:t>
      </w:r>
      <w:r w:rsidRPr="009F6058">
        <w:rPr>
          <w:szCs w:val="24"/>
        </w:rPr>
        <w:t xml:space="preserve"> we </w:t>
      </w:r>
      <w:r>
        <w:rPr>
          <w:szCs w:val="24"/>
        </w:rPr>
        <w:t>will select</w:t>
      </w:r>
      <w:r w:rsidR="003E1893">
        <w:rPr>
          <w:szCs w:val="24"/>
        </w:rPr>
        <w:t xml:space="preserve"> a</w:t>
      </w:r>
      <w:r>
        <w:rPr>
          <w:szCs w:val="24"/>
        </w:rPr>
        <w:t xml:space="preserve">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not</w:t>
      </w:r>
      <w:r w:rsidR="003E1893">
        <w:rPr>
          <w:szCs w:val="24"/>
        </w:rPr>
        <w:t xml:space="preserve"> be</w:t>
      </w:r>
      <w:r w:rsidRPr="009F6058">
        <w:rPr>
          <w:szCs w:val="24"/>
        </w:rPr>
        <w:t xml:space="preserve"> eligible for intervention targeting. The remaining </w:t>
      </w:r>
      <w:r>
        <w:rPr>
          <w:szCs w:val="24"/>
        </w:rPr>
        <w:t xml:space="preserve">sample member </w:t>
      </w:r>
      <w:r w:rsidRPr="009F6058">
        <w:rPr>
          <w:szCs w:val="24"/>
        </w:rPr>
        <w:t xml:space="preserve">cases will be referred to as the </w:t>
      </w:r>
      <w:r w:rsidRPr="00644662">
        <w:rPr>
          <w:i/>
          <w:iCs/>
          <w:szCs w:val="24"/>
        </w:rPr>
        <w:t>treatment</w:t>
      </w:r>
      <w:r w:rsidRPr="009F6058">
        <w:rPr>
          <w:szCs w:val="24"/>
        </w:rPr>
        <w:t xml:space="preserve"> sample and the targeting methods will be applied to that group.</w:t>
      </w:r>
    </w:p>
    <w:p w14:paraId="5F741BA0" w14:textId="67BE424A" w:rsidR="00486F2E" w:rsidRPr="002A02E3" w:rsidRDefault="00486F2E" w:rsidP="00316CE0">
      <w:pPr>
        <w:spacing w:before="120" w:after="120"/>
        <w:rPr>
          <w:szCs w:val="24"/>
        </w:rPr>
      </w:pPr>
      <w:r>
        <w:rPr>
          <w:szCs w:val="24"/>
        </w:rPr>
        <w:t xml:space="preserve">In the following sections, we will </w:t>
      </w:r>
      <w:r w:rsidRPr="00B76A06">
        <w:rPr>
          <w:szCs w:val="24"/>
        </w:rPr>
        <w:t>describ</w:t>
      </w:r>
      <w:r>
        <w:rPr>
          <w:szCs w:val="24"/>
        </w:rPr>
        <w:t>e</w:t>
      </w:r>
      <w:r w:rsidRPr="00B76A06">
        <w:rPr>
          <w:szCs w:val="24"/>
        </w:rPr>
        <w:t xml:space="preserve"> the proposed importance measure</w:t>
      </w:r>
      <w:r>
        <w:rPr>
          <w:szCs w:val="24"/>
        </w:rPr>
        <w:t xml:space="preserve">, </w:t>
      </w:r>
      <w:r w:rsidRPr="00B76A06">
        <w:rPr>
          <w:szCs w:val="24"/>
        </w:rPr>
        <w:t>sector grouping</w:t>
      </w:r>
      <w:r>
        <w:rPr>
          <w:szCs w:val="24"/>
        </w:rPr>
        <w:t xml:space="preserve">, and </w:t>
      </w:r>
      <w:r w:rsidRPr="00B76A06">
        <w:rPr>
          <w:szCs w:val="24"/>
        </w:rPr>
        <w:t xml:space="preserve">intervention targeting, </w:t>
      </w:r>
      <w:r>
        <w:rPr>
          <w:szCs w:val="24"/>
        </w:rPr>
        <w:t>then describe</w:t>
      </w:r>
      <w:r w:rsidRPr="00B76A06">
        <w:rPr>
          <w:szCs w:val="24"/>
        </w:rPr>
        <w:t xml:space="preserve"> the approach for the pre-paid and double </w:t>
      </w:r>
      <w:proofErr w:type="spellStart"/>
      <w:r w:rsidRPr="00B76A06">
        <w:rPr>
          <w:szCs w:val="24"/>
        </w:rPr>
        <w:t>nonrespondent</w:t>
      </w:r>
      <w:proofErr w:type="spellEnd"/>
      <w:r w:rsidRPr="00B76A06">
        <w:rPr>
          <w:szCs w:val="24"/>
        </w:rPr>
        <w:t xml:space="preserve"> calibration experiments</w:t>
      </w:r>
      <w:r w:rsidR="000C6FE9">
        <w:rPr>
          <w:szCs w:val="24"/>
        </w:rPr>
        <w:t>,</w:t>
      </w:r>
      <w:r>
        <w:rPr>
          <w:szCs w:val="24"/>
        </w:rPr>
        <w:t xml:space="preserve"> </w:t>
      </w:r>
      <w:r w:rsidRPr="00B76A06">
        <w:rPr>
          <w:szCs w:val="24"/>
        </w:rPr>
        <w:t xml:space="preserve">and outline how </w:t>
      </w:r>
      <w:r>
        <w:rPr>
          <w:szCs w:val="24"/>
        </w:rPr>
        <w:t>these</w:t>
      </w:r>
      <w:r w:rsidRPr="00B76A06">
        <w:rPr>
          <w:szCs w:val="24"/>
        </w:rPr>
        <w:t xml:space="preserve"> will be </w:t>
      </w:r>
      <w:r>
        <w:rPr>
          <w:szCs w:val="24"/>
        </w:rPr>
        <w:t xml:space="preserve">implemented and evaluated </w:t>
      </w:r>
      <w:r w:rsidRPr="00B76A06">
        <w:rPr>
          <w:szCs w:val="24"/>
        </w:rPr>
        <w:t>in the BPS:12/17 full scale data collection</w:t>
      </w:r>
      <w:r>
        <w:rPr>
          <w:szCs w:val="24"/>
        </w:rPr>
        <w:t>.</w:t>
      </w:r>
    </w:p>
    <w:p w14:paraId="41755DA0" w14:textId="77777777" w:rsidR="00F52E30" w:rsidRDefault="00486F2E" w:rsidP="002832A8">
      <w:pPr>
        <w:spacing w:before="120" w:after="120"/>
        <w:rPr>
          <w:szCs w:val="24"/>
        </w:rPr>
      </w:pPr>
      <w:r w:rsidRPr="00C21A71">
        <w:rPr>
          <w:b/>
          <w:bCs/>
          <w:iCs/>
          <w:szCs w:val="24"/>
        </w:rPr>
        <w:t>The importance measure.</w:t>
      </w:r>
      <w:r w:rsidR="00F52E30">
        <w:rPr>
          <w:i/>
          <w:szCs w:val="24"/>
        </w:rPr>
        <w:t xml:space="preserve"> </w:t>
      </w:r>
      <w:r w:rsidRPr="002A02E3">
        <w:rPr>
          <w:szCs w:val="24"/>
        </w:rPr>
        <w:t xml:space="preserve">In order to reduce nonresponse bias in survey variables by directing effort and resources during data collection, and </w:t>
      </w:r>
      <w:r>
        <w:rPr>
          <w:szCs w:val="24"/>
        </w:rPr>
        <w:t xml:space="preserve">to </w:t>
      </w:r>
      <w:r w:rsidRPr="002A02E3">
        <w:rPr>
          <w:szCs w:val="24"/>
        </w:rPr>
        <w:t>minimize the cost associated with achieving this goal, three related conditions have to be met: (1) the targeted cases</w:t>
      </w:r>
      <w:r>
        <w:rPr>
          <w:szCs w:val="24"/>
        </w:rPr>
        <w:t xml:space="preserve"> must be drawn from groups that are</w:t>
      </w:r>
      <w:r w:rsidRPr="002A02E3">
        <w:rPr>
          <w:szCs w:val="24"/>
        </w:rPr>
        <w:t xml:space="preserve"> under-represented on key survey variable</w:t>
      </w:r>
      <w:r>
        <w:rPr>
          <w:szCs w:val="24"/>
        </w:rPr>
        <w:t xml:space="preserve"> values</w:t>
      </w:r>
      <w:r w:rsidRPr="002A02E3">
        <w:rPr>
          <w:szCs w:val="24"/>
        </w:rPr>
        <w:t xml:space="preserve"> among those who already responded, (2) their likelihood of participation should not be excessively low or high (i.e., targeted cases who do not respond cannot decrease bias; targeting </w:t>
      </w:r>
      <w:r w:rsidR="002832A8">
        <w:rPr>
          <w:szCs w:val="24"/>
        </w:rPr>
        <w:t xml:space="preserve">only </w:t>
      </w:r>
      <w:r w:rsidRPr="002A02E3">
        <w:rPr>
          <w:szCs w:val="24"/>
        </w:rPr>
        <w:t xml:space="preserve">high propensity cases can </w:t>
      </w:r>
      <w:r w:rsidR="002832A8">
        <w:rPr>
          <w:szCs w:val="24"/>
        </w:rPr>
        <w:t xml:space="preserve">potentially increase the </w:t>
      </w:r>
      <w:r w:rsidRPr="002A02E3">
        <w:rPr>
          <w:szCs w:val="24"/>
        </w:rPr>
        <w:t xml:space="preserve">bias </w:t>
      </w:r>
      <w:r w:rsidR="002832A8">
        <w:rPr>
          <w:szCs w:val="24"/>
        </w:rPr>
        <w:t xml:space="preserve">of </w:t>
      </w:r>
      <w:r w:rsidRPr="002A02E3">
        <w:rPr>
          <w:szCs w:val="24"/>
        </w:rPr>
        <w:t xml:space="preserve">estimates), and (3) </w:t>
      </w:r>
      <w:r>
        <w:rPr>
          <w:szCs w:val="24"/>
        </w:rPr>
        <w:t xml:space="preserve">targeted cases </w:t>
      </w:r>
      <w:r w:rsidRPr="002A02E3">
        <w:rPr>
          <w:szCs w:val="24"/>
        </w:rPr>
        <w:t xml:space="preserve">should be numerous enough to impact survey estimates within domains of interest. </w:t>
      </w:r>
      <w:r>
        <w:rPr>
          <w:szCs w:val="24"/>
        </w:rPr>
        <w:t xml:space="preserve">While </w:t>
      </w:r>
      <w:r w:rsidRPr="002A02E3">
        <w:rPr>
          <w:szCs w:val="24"/>
        </w:rPr>
        <w:t xml:space="preserve">targeting cases based on response propensities may reduce nonresponse bias, </w:t>
      </w:r>
      <w:r>
        <w:rPr>
          <w:szCs w:val="24"/>
        </w:rPr>
        <w:t xml:space="preserve">bias may be unaffected </w:t>
      </w:r>
      <w:r w:rsidRPr="002A02E3">
        <w:rPr>
          <w:szCs w:val="24"/>
        </w:rPr>
        <w:t>if the targeted cases are extremely difficult to convert and do not respond to the intervention as desired.</w:t>
      </w:r>
    </w:p>
    <w:p w14:paraId="3DFCAF67" w14:textId="0B43C1FA" w:rsidR="00486F2E" w:rsidRPr="002A02E3" w:rsidRDefault="00486F2E" w:rsidP="00316CE0">
      <w:pPr>
        <w:rPr>
          <w:szCs w:val="24"/>
        </w:rPr>
      </w:pPr>
      <w:r w:rsidRPr="002A02E3">
        <w:rPr>
          <w:szCs w:val="24"/>
        </w:rPr>
        <w:t>One approach to meeting these conditions is to target cases based on two dimensions: the likelihood of a case to contribute to nonresponse bias if not interviewed, and the likelihood that the case could be converted to a respondent.</w:t>
      </w:r>
      <w:r w:rsidR="00F52E30">
        <w:rPr>
          <w:szCs w:val="24"/>
        </w:rPr>
        <w:t xml:space="preserve"> </w:t>
      </w:r>
      <w:r w:rsidRPr="002A02E3">
        <w:rPr>
          <w:szCs w:val="24"/>
        </w:rPr>
        <w:t>These dimensions form an importance score, such that:</w:t>
      </w:r>
    </w:p>
    <w:p w14:paraId="5C37E6F6" w14:textId="77777777" w:rsidR="00F52E30" w:rsidRDefault="001A4F84" w:rsidP="00486F2E">
      <w:pPr>
        <w:spacing w:before="120" w:after="120"/>
        <w:ind w:firstLine="720"/>
        <w:jc w:val="center"/>
        <w:rPr>
          <w:rFonts w:ascii="Cambria Math" w:hAnsi="Cambria Math"/>
          <w:szCs w:val="24"/>
          <w:oMath/>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ij</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 xml:space="preserve">ij </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P(R)</m:t>
              </m:r>
            </m:e>
            <m:sub>
              <m:r>
                <w:rPr>
                  <w:rFonts w:ascii="Cambria Math" w:hAnsi="Cambria Math"/>
                  <w:szCs w:val="24"/>
                </w:rPr>
                <m:t>i</m:t>
              </m:r>
            </m:sub>
          </m:sSub>
        </m:oMath>
      </m:oMathPara>
    </w:p>
    <w:p w14:paraId="277DCBB5" w14:textId="77777777" w:rsidR="00F52E30" w:rsidRDefault="00486F2E" w:rsidP="00316CE0">
      <w:pPr>
        <w:spacing w:before="120" w:after="120"/>
        <w:rPr>
          <w:color w:val="000000" w:themeColor="text1"/>
          <w:szCs w:val="24"/>
        </w:rPr>
      </w:pPr>
      <w:r w:rsidRPr="002A02E3">
        <w:rPr>
          <w:szCs w:val="24"/>
        </w:rPr>
        <w:t xml:space="preserve">Where </w:t>
      </w:r>
      <w:r w:rsidRPr="002A02E3">
        <w:rPr>
          <w:i/>
          <w:szCs w:val="24"/>
        </w:rPr>
        <w:t>I</w:t>
      </w:r>
      <w:r w:rsidRPr="002A02E3">
        <w:rPr>
          <w:szCs w:val="24"/>
        </w:rPr>
        <w:t xml:space="preserve"> is the calculated importance score, </w:t>
      </w:r>
      <m:oMath>
        <m:r>
          <w:rPr>
            <w:rFonts w:ascii="Cambria Math" w:hAnsi="Cambria Math"/>
            <w:szCs w:val="24"/>
          </w:rPr>
          <m:t>U</m:t>
        </m:r>
      </m:oMath>
      <w:r w:rsidRPr="002A02E3">
        <w:rPr>
          <w:szCs w:val="24"/>
        </w:rPr>
        <w:t xml:space="preserve"> is a measure of under-representativeness on key variables that reflects their likelihood to induce bias if not converted, and </w:t>
      </w:r>
      <m:oMath>
        <m:r>
          <w:rPr>
            <w:rFonts w:ascii="Cambria Math" w:hAnsi="Cambria Math"/>
            <w:szCs w:val="24"/>
          </w:rPr>
          <m:t>P(R)</m:t>
        </m:r>
      </m:oMath>
      <w:r w:rsidRPr="002A02E3">
        <w:rPr>
          <w:szCs w:val="24"/>
        </w:rPr>
        <w:t xml:space="preserve"> is the predicted final response propensity</w:t>
      </w:r>
      <w:r w:rsidR="00EE5299">
        <w:rPr>
          <w:szCs w:val="24"/>
        </w:rPr>
        <w:t>,</w:t>
      </w:r>
      <w:r>
        <w:rPr>
          <w:szCs w:val="24"/>
        </w:rPr>
        <w:t xml:space="preserve"> across </w:t>
      </w:r>
      <m:oMath>
        <m:r>
          <w:rPr>
            <w:rFonts w:ascii="Cambria Math" w:hAnsi="Cambria Math"/>
            <w:szCs w:val="24"/>
          </w:rPr>
          <m:t>i</m:t>
        </m:r>
      </m:oMath>
      <w:r w:rsidRPr="002A02E3">
        <w:rPr>
          <w:szCs w:val="24"/>
        </w:rPr>
        <w:t xml:space="preserve"> sample members and </w:t>
      </w:r>
      <m:oMath>
        <m:r>
          <w:rPr>
            <w:rFonts w:ascii="Cambria Math" w:hAnsi="Cambria Math"/>
            <w:szCs w:val="24"/>
          </w:rPr>
          <m:t>j</m:t>
        </m:r>
      </m:oMath>
      <w:r w:rsidRPr="002A02E3">
        <w:rPr>
          <w:szCs w:val="24"/>
        </w:rPr>
        <w:t xml:space="preserve"> data collection phases with responsive design </w:t>
      </w:r>
      <w:r w:rsidRPr="000718D9">
        <w:rPr>
          <w:color w:val="000000" w:themeColor="text1"/>
          <w:szCs w:val="24"/>
        </w:rPr>
        <w:t>interventions.</w:t>
      </w:r>
    </w:p>
    <w:p w14:paraId="395EBB5A" w14:textId="4C4FBB6D" w:rsidR="00486F2E" w:rsidRPr="002A02E3" w:rsidRDefault="002832A8" w:rsidP="00A408F7">
      <w:pPr>
        <w:spacing w:before="120" w:after="120"/>
        <w:rPr>
          <w:szCs w:val="24"/>
        </w:rPr>
      </w:pPr>
      <w:r>
        <w:rPr>
          <w:color w:val="000000" w:themeColor="text1"/>
          <w:szCs w:val="24"/>
        </w:rPr>
        <w:t>T</w:t>
      </w:r>
      <w:r w:rsidR="00486F2E" w:rsidRPr="000718D9">
        <w:rPr>
          <w:color w:val="000000" w:themeColor="text1"/>
          <w:szCs w:val="24"/>
        </w:rPr>
        <w:t xml:space="preserve">he importance score will be determined by the combination of two models: a </w:t>
      </w:r>
      <w:r w:rsidR="00FE37FB" w:rsidRPr="000718D9">
        <w:rPr>
          <w:color w:val="000000" w:themeColor="text1"/>
          <w:szCs w:val="24"/>
        </w:rPr>
        <w:t xml:space="preserve">response propensity </w:t>
      </w:r>
      <w:r w:rsidR="00486F2E" w:rsidRPr="000718D9">
        <w:rPr>
          <w:color w:val="000000" w:themeColor="text1"/>
          <w:szCs w:val="24"/>
        </w:rPr>
        <w:t xml:space="preserve">model and a </w:t>
      </w:r>
      <w:r w:rsidR="00FE37FB" w:rsidRPr="000718D9">
        <w:rPr>
          <w:color w:val="000000" w:themeColor="text1"/>
          <w:szCs w:val="24"/>
        </w:rPr>
        <w:t>bias-likelihood</w:t>
      </w:r>
      <w:r w:rsidR="00FE37FB" w:rsidRPr="000718D9" w:rsidDel="00FE37FB">
        <w:rPr>
          <w:color w:val="000000" w:themeColor="text1"/>
          <w:szCs w:val="24"/>
        </w:rPr>
        <w:t xml:space="preserve"> </w:t>
      </w:r>
      <w:r w:rsidR="00486F2E" w:rsidRPr="000718D9">
        <w:rPr>
          <w:color w:val="000000" w:themeColor="text1"/>
          <w:szCs w:val="24"/>
        </w:rPr>
        <w:t>model</w:t>
      </w:r>
      <w:r>
        <w:rPr>
          <w:color w:val="000000" w:themeColor="text1"/>
          <w:szCs w:val="24"/>
        </w:rPr>
        <w:t xml:space="preserve">. </w:t>
      </w:r>
      <w:r w:rsidR="00FE37FB">
        <w:rPr>
          <w:color w:val="000000" w:themeColor="text1"/>
          <w:szCs w:val="24"/>
        </w:rPr>
        <w:t>Like BPS:12/14, the response pr</w:t>
      </w:r>
      <w:r w:rsidR="003B4740">
        <w:rPr>
          <w:color w:val="000000" w:themeColor="text1"/>
          <w:szCs w:val="24"/>
        </w:rPr>
        <w:t xml:space="preserve">opensity component of the importance score </w:t>
      </w:r>
      <w:r w:rsidR="00FE37FB">
        <w:rPr>
          <w:color w:val="000000" w:themeColor="text1"/>
          <w:szCs w:val="24"/>
        </w:rPr>
        <w:t xml:space="preserve">is being </w:t>
      </w:r>
      <w:r w:rsidR="003B4740">
        <w:rPr>
          <w:color w:val="000000" w:themeColor="text1"/>
          <w:szCs w:val="24"/>
        </w:rPr>
        <w:t>calculated in advance of the start of data collection.</w:t>
      </w:r>
      <w:r w:rsidR="00083498">
        <w:rPr>
          <w:color w:val="000000" w:themeColor="text1"/>
          <w:szCs w:val="24"/>
        </w:rPr>
        <w:t xml:space="preserve"> </w:t>
      </w:r>
      <w:r w:rsidR="003B4740">
        <w:rPr>
          <w:color w:val="000000" w:themeColor="text1"/>
          <w:szCs w:val="24"/>
        </w:rPr>
        <w:t>The representativeness of key variables, however, can only be determined during specific phases of the BPS:12/17 data collection</w:t>
      </w:r>
      <w:r w:rsidR="00FE37FB">
        <w:rPr>
          <w:color w:val="000000" w:themeColor="text1"/>
          <w:szCs w:val="24"/>
        </w:rPr>
        <w:t>,</w:t>
      </w:r>
      <w:r w:rsidR="003B4740">
        <w:rPr>
          <w:color w:val="000000" w:themeColor="text1"/>
          <w:szCs w:val="24"/>
        </w:rPr>
        <w:t xml:space="preserve"> with terms tailored to BPS:12/17.</w:t>
      </w:r>
      <w:r w:rsidR="00083498">
        <w:rPr>
          <w:color w:val="000000" w:themeColor="text1"/>
          <w:szCs w:val="24"/>
        </w:rPr>
        <w:t xml:space="preserve"> </w:t>
      </w:r>
      <w:r w:rsidR="00486F2E" w:rsidRPr="000718D9">
        <w:rPr>
          <w:color w:val="000000" w:themeColor="text1"/>
          <w:szCs w:val="24"/>
        </w:rPr>
        <w:t xml:space="preserve">The </w:t>
      </w:r>
      <w:r w:rsidR="00FE37FB">
        <w:rPr>
          <w:color w:val="000000" w:themeColor="text1"/>
          <w:szCs w:val="24"/>
        </w:rPr>
        <w:t xml:space="preserve">importance score </w:t>
      </w:r>
      <w:r w:rsidR="00486F2E" w:rsidRPr="000718D9">
        <w:rPr>
          <w:color w:val="000000" w:themeColor="text1"/>
          <w:szCs w:val="24"/>
        </w:rPr>
        <w:t xml:space="preserve">calculation needs to balance </w:t>
      </w:r>
      <w:r w:rsidR="00486F2E" w:rsidRPr="000718D9">
        <w:rPr>
          <w:color w:val="000000" w:themeColor="text1"/>
        </w:rPr>
        <w:t xml:space="preserve">two distinct scenarios: (1) low propensity cases that will likely never respond, irrespective of their underrepresentation, and (2) high propensity cases that, because they are not underrepresented in the data, are unlikely to reduce bias. </w:t>
      </w:r>
      <w:r w:rsidR="00486F2E" w:rsidRPr="00C64271">
        <w:rPr>
          <w:color w:val="000000" w:themeColor="text1"/>
        </w:rPr>
        <w:t xml:space="preserve">Once in production, NCES will </w:t>
      </w:r>
      <w:r w:rsidR="00FE37FB" w:rsidRPr="00C64271">
        <w:rPr>
          <w:color w:val="000000" w:themeColor="text1"/>
        </w:rPr>
        <w:t xml:space="preserve">provide </w:t>
      </w:r>
      <w:r w:rsidR="00486F2E" w:rsidRPr="00C64271">
        <w:rPr>
          <w:color w:val="000000" w:themeColor="text1"/>
        </w:rPr>
        <w:t xml:space="preserve">more information about the distribution of both propensity and representation from the </w:t>
      </w:r>
      <w:r w:rsidR="00BD6D3D" w:rsidRPr="00C64271">
        <w:rPr>
          <w:color w:val="000000" w:themeColor="text1"/>
        </w:rPr>
        <w:t xml:space="preserve">BPS:12/17 </w:t>
      </w:r>
      <w:r w:rsidR="00486F2E" w:rsidRPr="00C64271">
        <w:rPr>
          <w:color w:val="000000" w:themeColor="text1"/>
        </w:rPr>
        <w:t xml:space="preserve">calibration study, which will allow </w:t>
      </w:r>
      <w:r w:rsidR="00715A6D" w:rsidRPr="00C64271">
        <w:rPr>
          <w:color w:val="000000" w:themeColor="text1"/>
        </w:rPr>
        <w:t>us</w:t>
      </w:r>
      <w:r w:rsidR="00486F2E" w:rsidRPr="00C64271">
        <w:rPr>
          <w:color w:val="000000" w:themeColor="text1"/>
        </w:rPr>
        <w:t xml:space="preserve"> to explore linear and nonlinear functions that optimize the potential for nonresponse bias and available incentive resources.</w:t>
      </w:r>
      <w:r w:rsidR="00083498">
        <w:rPr>
          <w:color w:val="000000" w:themeColor="text1"/>
        </w:rPr>
        <w:t xml:space="preserve"> </w:t>
      </w:r>
      <w:r w:rsidR="00FE37FB">
        <w:rPr>
          <w:color w:val="000000" w:themeColor="text1"/>
        </w:rPr>
        <w:t>We will share the findings with OMB at that time.</w:t>
      </w:r>
    </w:p>
    <w:p w14:paraId="024637C0" w14:textId="77777777" w:rsidR="00486F2E" w:rsidRPr="002A02E3" w:rsidRDefault="00486F2E" w:rsidP="00316CE0">
      <w:pPr>
        <w:pStyle w:val="BodyText"/>
        <w:spacing w:line="240" w:lineRule="auto"/>
        <w:ind w:firstLine="0"/>
      </w:pPr>
      <w:r w:rsidRPr="00C21A71">
        <w:rPr>
          <w:b/>
          <w:bCs/>
          <w:iCs/>
        </w:rPr>
        <w:t>Bias-likelihood (U) model</w:t>
      </w:r>
      <w:r w:rsidRPr="00CB50CF">
        <w:rPr>
          <w:b/>
          <w:bCs/>
          <w:iCs/>
        </w:rPr>
        <w:t>.</w:t>
      </w:r>
      <w:r w:rsidRPr="002A02E3">
        <w:t xml:space="preserve"> A desirable model to identify cases to be targeted for intervention would use covariates (Z) that are strongly related to the survey variables of interest (Y), to identify sample members </w:t>
      </w:r>
      <w:r>
        <w:t>who</w:t>
      </w:r>
      <w:r w:rsidRPr="002A02E3">
        <w:t xml:space="preserve"> are under-represented (using a response indicator, R) with regard to these covariates. We then have the following relationships, using a single Z and Y for illustration:</w:t>
      </w:r>
    </w:p>
    <w:p w14:paraId="1321E6C6" w14:textId="77777777" w:rsidR="00570838" w:rsidRPr="002A02E3" w:rsidRDefault="00570838" w:rsidP="00570838">
      <w:pPr>
        <w:spacing w:before="120" w:after="120" w:line="320" w:lineRule="atLeast"/>
        <w:jc w:val="center"/>
        <w:rPr>
          <w:szCs w:val="24"/>
        </w:rPr>
      </w:pPr>
      <w:r>
        <w:rPr>
          <w:noProof/>
          <w:szCs w:val="24"/>
        </w:rPr>
        <mc:AlternateContent>
          <mc:Choice Requires="wps">
            <w:drawing>
              <wp:anchor distT="0" distB="0" distL="114300" distR="114300" simplePos="0" relativeHeight="251661312" behindDoc="0" locked="0" layoutInCell="1" allowOverlap="1" wp14:anchorId="0C7BD2C9" wp14:editId="05522EEE">
                <wp:simplePos x="0" y="0"/>
                <wp:positionH relativeFrom="column">
                  <wp:posOffset>2953385</wp:posOffset>
                </wp:positionH>
                <wp:positionV relativeFrom="paragraph">
                  <wp:posOffset>230505</wp:posOffset>
                </wp:positionV>
                <wp:extent cx="257175" cy="352425"/>
                <wp:effectExtent l="38100" t="0" r="2857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7FF8F41"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Cb8P2lMgIAAFUEAAAOAAAAAAAAAAAAAAAA&#10;AC4CAABkcnMvZTJvRG9jLnhtbFBLAQItABQABgAIAAAAIQBJ+3OK4AAAAAkBAAAPAAAAAAAAAAAA&#10;AAAAAIwEAABkcnMvZG93bnJldi54bWxQSwUGAAAAAAQABADzAAAAmQUAAAAA&#10;">
                <v:stroke endarrow="block"/>
                <o:lock v:ext="edit" shapetype="f"/>
              </v:shape>
            </w:pict>
          </mc:Fallback>
        </mc:AlternateContent>
      </w:r>
      <w:r>
        <w:rPr>
          <w:noProof/>
          <w:szCs w:val="24"/>
        </w:rPr>
        <mc:AlternateContent>
          <mc:Choice Requires="wps">
            <w:drawing>
              <wp:anchor distT="0" distB="0" distL="114300" distR="114300" simplePos="0" relativeHeight="251659264" behindDoc="0" locked="0" layoutInCell="1" allowOverlap="1" wp14:anchorId="3CDF25FF" wp14:editId="57C170B1">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EF1BD1A" id="AutoShape 7" o:spid="_x0000_s1026" type="#_x0000_t32" style="position:absolute;margin-left:258.15pt;margin-top:18.2pt;width:19.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Pr="002A02E3">
        <w:rPr>
          <w:szCs w:val="24"/>
        </w:rPr>
        <w:t>Z</w:t>
      </w:r>
    </w:p>
    <w:p w14:paraId="169EF367" w14:textId="77777777" w:rsidR="00570838" w:rsidRPr="002A02E3" w:rsidRDefault="00570838" w:rsidP="00570838">
      <w:pPr>
        <w:spacing w:before="120" w:after="120" w:line="320" w:lineRule="atLeast"/>
        <w:jc w:val="center"/>
        <w:rPr>
          <w:szCs w:val="24"/>
        </w:rPr>
      </w:pPr>
    </w:p>
    <w:p w14:paraId="6AEC761B" w14:textId="52106057" w:rsidR="00570838" w:rsidRPr="002A02E3" w:rsidRDefault="00570838" w:rsidP="00570838">
      <w:pPr>
        <w:tabs>
          <w:tab w:val="left" w:pos="5587"/>
        </w:tabs>
        <w:spacing w:before="120" w:after="120" w:line="320" w:lineRule="atLeast"/>
        <w:jc w:val="center"/>
        <w:rPr>
          <w:szCs w:val="24"/>
        </w:rPr>
      </w:pPr>
      <w:r>
        <w:rPr>
          <w:noProof/>
          <w:szCs w:val="24"/>
        </w:rPr>
        <mc:AlternateContent>
          <mc:Choice Requires="wps">
            <w:drawing>
              <wp:anchor distT="0" distB="0" distL="114300" distR="114300" simplePos="0" relativeHeight="251660288" behindDoc="0" locked="0" layoutInCell="1" allowOverlap="1" wp14:anchorId="330D13F6" wp14:editId="17C3A028">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7E175C7" id="Freeform 8" o:spid="_x0000_s1026" style="position:absolute;margin-left:235.85pt;margin-top:14.25pt;width:39pt;height:14.45pt;rotation:-31187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Pr>
          <w:szCs w:val="24"/>
        </w:rPr>
        <w:t>R</w:t>
      </w:r>
      <w:r w:rsidR="00F52E30">
        <w:rPr>
          <w:szCs w:val="24"/>
        </w:rPr>
        <w:t xml:space="preserve"> </w:t>
      </w:r>
      <w:r w:rsidRPr="002A02E3">
        <w:rPr>
          <w:szCs w:val="24"/>
        </w:rPr>
        <w:t>Y</w:t>
      </w:r>
    </w:p>
    <w:p w14:paraId="4F24DEF2" w14:textId="77777777" w:rsidR="00486F2E" w:rsidRPr="002A02E3" w:rsidRDefault="00486F2E" w:rsidP="00486F2E">
      <w:pPr>
        <w:spacing w:before="120" w:after="120"/>
        <w:rPr>
          <w:szCs w:val="24"/>
        </w:rPr>
      </w:pPr>
    </w:p>
    <w:p w14:paraId="5489D67C" w14:textId="77777777" w:rsidR="00486F2E" w:rsidRPr="002A02E3" w:rsidRDefault="00486F2E" w:rsidP="00316CE0">
      <w:pPr>
        <w:spacing w:before="120" w:after="120"/>
        <w:rPr>
          <w:szCs w:val="24"/>
        </w:rPr>
      </w:pPr>
      <w:r w:rsidRPr="002A02E3">
        <w:rPr>
          <w:szCs w:val="24"/>
        </w:rPr>
        <w:t xml:space="preserve">Nonresponse bias arises when there is a relationship between R and Y. Just as in adjustment for nonresponse bias (see </w:t>
      </w:r>
      <w:hyperlink w:anchor="_ENREF_2" w:tooltip="Little, 2005 #550" w:history="1">
        <w:r w:rsidRPr="002A02E3">
          <w:rPr>
            <w:szCs w:val="24"/>
          </w:rPr>
          <w:fldChar w:fldCharType="begin"/>
        </w:r>
        <w:r w:rsidRPr="002A02E3">
          <w:rPr>
            <w:szCs w:val="24"/>
          </w:rPr>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A02E3">
          <w:rPr>
            <w:szCs w:val="24"/>
          </w:rPr>
          <w:fldChar w:fldCharType="separate"/>
        </w:r>
        <w:r w:rsidRPr="002A02E3">
          <w:rPr>
            <w:szCs w:val="24"/>
          </w:rPr>
          <w:t>Little and Vartivarian, 2005</w:t>
        </w:r>
        <w:r w:rsidRPr="002A02E3">
          <w:rPr>
            <w:szCs w:val="24"/>
          </w:rPr>
          <w:fldChar w:fldCharType="end"/>
        </w:r>
      </w:hyperlink>
      <w:r w:rsidRPr="002A02E3">
        <w:rPr>
          <w:szCs w:val="24"/>
        </w:rPr>
        <w:t xml:space="preserve">), a Z-variable cannot be effective in nonresponse bias reduction if </w:t>
      </w:r>
      <w:proofErr w:type="spellStart"/>
      <w:r w:rsidRPr="002A02E3">
        <w:rPr>
          <w:szCs w:val="24"/>
        </w:rPr>
        <w:t>corr</w:t>
      </w:r>
      <w:proofErr w:type="spellEnd"/>
      <w:r w:rsidRPr="002A02E3">
        <w:rPr>
          <w:szCs w:val="24"/>
        </w:rPr>
        <w:t xml:space="preserve">(Z,Y) is weak or nonexistent, even if </w:t>
      </w:r>
      <w:proofErr w:type="spellStart"/>
      <w:r w:rsidRPr="002A02E3">
        <w:rPr>
          <w:szCs w:val="24"/>
        </w:rPr>
        <w:t>corr</w:t>
      </w:r>
      <w:proofErr w:type="spellEnd"/>
      <w:r w:rsidRPr="002A02E3">
        <w:rPr>
          <w:szCs w:val="24"/>
        </w:rPr>
        <w:t xml:space="preserve">(Z,R) is substantial. That is, selection of Z-variables based only on their correlation with R may not help to identify cases that contribute to nonresponse bias. The goal is to identify sample cases that have Y-variable values that are associated with lower response rates, as this is </w:t>
      </w:r>
      <w:r>
        <w:rPr>
          <w:szCs w:val="24"/>
        </w:rPr>
        <w:t xml:space="preserve">one of </w:t>
      </w:r>
      <w:r w:rsidRPr="002A02E3">
        <w:rPr>
          <w:szCs w:val="24"/>
        </w:rPr>
        <w:t>the most direct way</w:t>
      </w:r>
      <w:r>
        <w:rPr>
          <w:szCs w:val="24"/>
        </w:rPr>
        <w:t>s</w:t>
      </w:r>
      <w:r w:rsidRPr="002A02E3">
        <w:rPr>
          <w:szCs w:val="24"/>
        </w:rPr>
        <w:t xml:space="preserve"> to reduce nonresponse bias in an estimate of a mean.</w:t>
      </w:r>
    </w:p>
    <w:p w14:paraId="3AD86CB2" w14:textId="77777777" w:rsidR="00F52E30" w:rsidRDefault="00486F2E" w:rsidP="00316CE0">
      <w:pPr>
        <w:spacing w:before="120" w:after="120"/>
        <w:rPr>
          <w:szCs w:val="24"/>
        </w:rPr>
      </w:pPr>
      <w:r w:rsidRPr="002A02E3">
        <w:rPr>
          <w:szCs w:val="24"/>
        </w:rPr>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w:t>
      </w:r>
      <w:r>
        <w:rPr>
          <w:szCs w:val="24"/>
        </w:rPr>
        <w:t>,</w:t>
      </w:r>
      <w:r w:rsidRPr="002A02E3">
        <w:rPr>
          <w:szCs w:val="24"/>
        </w:rPr>
        <w:t xml:space="preserve"> but quite unrelated to Y. These variables, such as the number of prior contact attempts and prior refusal, can dominate in a model predicting the likelihood of participation and mask the relationship of Z variables that are associated with Y.</w:t>
      </w:r>
    </w:p>
    <w:p w14:paraId="6E472513" w14:textId="0BBEFEC5" w:rsidR="00486F2E" w:rsidRPr="002A02E3" w:rsidRDefault="00767F1A" w:rsidP="00BE7583">
      <w:pPr>
        <w:spacing w:before="120" w:after="120"/>
        <w:rPr>
          <w:szCs w:val="24"/>
        </w:rPr>
      </w:pPr>
      <w:r w:rsidRPr="00C64271">
        <w:rPr>
          <w:szCs w:val="24"/>
        </w:rPr>
        <w:t>Prior to the start of later phases of data</w:t>
      </w:r>
      <w:r w:rsidR="00C64271" w:rsidRPr="00C64271">
        <w:rPr>
          <w:szCs w:val="24"/>
        </w:rPr>
        <w:t>,</w:t>
      </w:r>
      <w:r w:rsidRPr="00C64271">
        <w:rPr>
          <w:szCs w:val="24"/>
        </w:rPr>
        <w:t xml:space="preserve"> when the </w:t>
      </w:r>
      <w:r w:rsidR="00486F2E" w:rsidRPr="00C64271">
        <w:rPr>
          <w:szCs w:val="24"/>
        </w:rPr>
        <w:t>treatment interventions</w:t>
      </w:r>
      <w:r w:rsidRPr="00C64271">
        <w:rPr>
          <w:szCs w:val="24"/>
        </w:rPr>
        <w:t xml:space="preserve"> will be introduced</w:t>
      </w:r>
      <w:r w:rsidR="00486F2E" w:rsidRPr="00C64271">
        <w:rPr>
          <w:szCs w:val="24"/>
        </w:rPr>
        <w:t xml:space="preserve">, we will conduct multiple logistic regressions in order to predict the survey outcome (R) through the current phase </w:t>
      </w:r>
      <w:r w:rsidR="00BE7583" w:rsidRPr="00C64271">
        <w:rPr>
          <w:szCs w:val="24"/>
        </w:rPr>
        <w:t xml:space="preserve">of collection </w:t>
      </w:r>
      <w:r w:rsidR="00486F2E" w:rsidRPr="00C64271">
        <w:rPr>
          <w:szCs w:val="24"/>
        </w:rPr>
        <w:t>using only substantive and demographic variables and their correlates from NPSAS:12 and the sampling frame (Z), and select two-way interactions. For each sector grouping (see table 8 below), a single model will be fit. The goal of this model is not to maximize</w:t>
      </w:r>
      <w:r w:rsidR="00486F2E" w:rsidRPr="002A02E3">
        <w:rPr>
          <w:szCs w:val="24"/>
        </w:rPr>
        <w:t xml:space="preserve"> the ability to predict survey response (</w:t>
      </w:r>
      <m:oMath>
        <m:acc>
          <m:accPr>
            <m:ctrlPr>
              <w:rPr>
                <w:rFonts w:ascii="Cambria Math" w:hAnsi="Cambria Math"/>
                <w:szCs w:val="24"/>
              </w:rPr>
            </m:ctrlPr>
          </m:accPr>
          <m:e>
            <m:r>
              <m:rPr>
                <m:sty m:val="p"/>
              </m:rPr>
              <w:rPr>
                <w:rFonts w:ascii="Cambria Math" w:hAnsi="Cambria Math"/>
                <w:szCs w:val="24"/>
              </w:rPr>
              <m:t>p</m:t>
            </m:r>
          </m:e>
        </m:acc>
      </m:oMath>
      <w:r w:rsidR="00486F2E" w:rsidRPr="002A02E3">
        <w:rPr>
          <w:szCs w:val="24"/>
        </w:rPr>
        <w:t>), but to obtain a predicted likelihood of a completed interview reducing nonresponse bias if successfully interviewed. Because of this key d</w:t>
      </w:r>
      <w:proofErr w:type="spellStart"/>
      <w:r w:rsidR="00486F2E" w:rsidRPr="002A02E3">
        <w:rPr>
          <w:szCs w:val="24"/>
        </w:rPr>
        <w:t>ifference</w:t>
      </w:r>
      <w:proofErr w:type="spellEnd"/>
      <w:r w:rsidR="00486F2E" w:rsidRPr="002A02E3">
        <w:rPr>
          <w:szCs w:val="24"/>
        </w:rPr>
        <w:t xml:space="preserve">, we use (1 – </w:t>
      </w:r>
      <m:oMath>
        <m:acc>
          <m:accPr>
            <m:ctrlPr>
              <w:rPr>
                <w:rFonts w:ascii="Cambria Math" w:hAnsi="Cambria Math"/>
                <w:szCs w:val="24"/>
              </w:rPr>
            </m:ctrlPr>
          </m:accPr>
          <m:e>
            <m:r>
              <m:rPr>
                <m:sty m:val="p"/>
              </m:rPr>
              <w:rPr>
                <w:rFonts w:ascii="Cambria Math" w:hAnsi="Cambria Math"/>
                <w:szCs w:val="24"/>
              </w:rPr>
              <m:t>p</m:t>
            </m:r>
          </m:e>
        </m:acc>
      </m:oMath>
      <w:r w:rsidR="00486F2E" w:rsidRPr="002A02E3">
        <w:rPr>
          <w:szCs w:val="24"/>
        </w:rPr>
        <w:t>) to calculate a case-level prediction representing bias-likelihood, rather than response propensity.</w:t>
      </w:r>
    </w:p>
    <w:p w14:paraId="66843AF9" w14:textId="77777777" w:rsidR="00F52E30" w:rsidRPr="00C64271" w:rsidRDefault="00486F2E" w:rsidP="00B14EAC">
      <w:pPr>
        <w:spacing w:before="120" w:after="120"/>
        <w:rPr>
          <w:szCs w:val="24"/>
        </w:rPr>
      </w:pPr>
      <w:r w:rsidRPr="00C64271">
        <w:rPr>
          <w:szCs w:val="24"/>
        </w:rPr>
        <w:lastRenderedPageBreak/>
        <w:t>Variables to be used in the bias-likelihood model will come from base-year survey responses, institution characteristics, and sampling frame information</w:t>
      </w:r>
      <w:r w:rsidRPr="00C64271">
        <w:rPr>
          <w:rStyle w:val="FootnoteReference"/>
          <w:sz w:val="24"/>
          <w:szCs w:val="24"/>
        </w:rPr>
        <w:footnoteReference w:id="6"/>
      </w:r>
      <w:r w:rsidRPr="00C64271">
        <w:rPr>
          <w:szCs w:val="24"/>
        </w:rPr>
        <w:t xml:space="preserve"> (see table </w:t>
      </w:r>
      <w:r w:rsidR="00B14EAC" w:rsidRPr="00C64271">
        <w:rPr>
          <w:szCs w:val="24"/>
        </w:rPr>
        <w:t>7</w:t>
      </w:r>
      <w:r w:rsidRPr="00C64271">
        <w:rPr>
          <w:szCs w:val="24"/>
        </w:rPr>
        <w:t>).</w:t>
      </w:r>
      <w:r w:rsidR="00F52E30" w:rsidRPr="00C64271">
        <w:rPr>
          <w:szCs w:val="24"/>
        </w:rPr>
        <w:t xml:space="preserve"> </w:t>
      </w:r>
      <w:r w:rsidRPr="00C64271">
        <w:rPr>
          <w:szCs w:val="24"/>
        </w:rPr>
        <w:t xml:space="preserve">It is important to note that </w:t>
      </w:r>
      <w:proofErr w:type="spellStart"/>
      <w:r w:rsidRPr="00C64271">
        <w:rPr>
          <w:szCs w:val="24"/>
        </w:rPr>
        <w:t>paradata</w:t>
      </w:r>
      <w:proofErr w:type="spellEnd"/>
      <w:r w:rsidRPr="00C64271">
        <w:rPr>
          <w:szCs w:val="24"/>
        </w:rPr>
        <w:t>, particularly those variables that are highly predictive of response, but quite unrelated to the survey variables of interest, will be excluded from the bias-likelihood model.</w:t>
      </w:r>
    </w:p>
    <w:p w14:paraId="7C4218A9" w14:textId="1BCEC5BA" w:rsidR="00486F2E" w:rsidRPr="00635093" w:rsidRDefault="00486F2E" w:rsidP="001273CB">
      <w:pPr>
        <w:pStyle w:val="TableTitle"/>
        <w:spacing w:before="120" w:after="60"/>
        <w:ind w:left="994" w:hanging="994"/>
      </w:pPr>
      <w:bookmarkStart w:id="110" w:name="_Toc456167110"/>
      <w:r w:rsidRPr="00C64271">
        <w:t xml:space="preserve">Table </w:t>
      </w:r>
      <w:r w:rsidR="00B14EAC" w:rsidRPr="00C64271">
        <w:t>7</w:t>
      </w:r>
      <w:r w:rsidRPr="00C64271">
        <w:t>.</w:t>
      </w:r>
      <w:r w:rsidR="002B537E" w:rsidRPr="00C64271">
        <w:t xml:space="preserve"> </w:t>
      </w:r>
      <w:r w:rsidRPr="00C64271">
        <w:t>Candidate variables for the bias</w:t>
      </w:r>
      <w:r>
        <w:t xml:space="preserve"> likelihood m</w:t>
      </w:r>
      <w:r w:rsidRPr="00635093">
        <w:t>odel</w:t>
      </w:r>
      <w:bookmarkEnd w:id="110"/>
      <w:r w:rsidRPr="00635093">
        <w:t xml:space="preserve">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5270"/>
        <w:gridCol w:w="5270"/>
      </w:tblGrid>
      <w:tr w:rsidR="00486F2E" w:rsidRPr="00CA41A1" w14:paraId="6A6970A3" w14:textId="77777777" w:rsidTr="002539E5">
        <w:trPr>
          <w:trHeight w:val="20"/>
        </w:trPr>
        <w:tc>
          <w:tcPr>
            <w:tcW w:w="5000" w:type="pct"/>
            <w:gridSpan w:val="2"/>
            <w:tcBorders>
              <w:bottom w:val="single" w:sz="4" w:space="0" w:color="auto"/>
            </w:tcBorders>
            <w:shd w:val="clear" w:color="auto" w:fill="D9D9D9" w:themeFill="background1" w:themeFillShade="D9"/>
            <w:tcMar>
              <w:top w:w="0" w:type="dxa"/>
              <w:left w:w="115" w:type="dxa"/>
              <w:bottom w:w="0" w:type="dxa"/>
              <w:right w:w="115" w:type="dxa"/>
            </w:tcMar>
            <w:vAlign w:val="center"/>
          </w:tcPr>
          <w:p w14:paraId="0EB90109" w14:textId="77777777" w:rsidR="00486F2E" w:rsidRPr="00CA41A1" w:rsidRDefault="00486F2E" w:rsidP="002539E5">
            <w:pPr>
              <w:autoSpaceDE w:val="0"/>
              <w:autoSpaceDN w:val="0"/>
              <w:adjustRightInd w:val="0"/>
              <w:rPr>
                <w:b/>
                <w:bCs/>
                <w:sz w:val="20"/>
                <w:szCs w:val="18"/>
              </w:rPr>
            </w:pPr>
            <w:r w:rsidRPr="00CA41A1">
              <w:rPr>
                <w:b/>
                <w:bCs/>
                <w:sz w:val="20"/>
                <w:szCs w:val="18"/>
              </w:rPr>
              <w:t>Variables</w:t>
            </w:r>
          </w:p>
        </w:tc>
      </w:tr>
      <w:tr w:rsidR="00486F2E" w:rsidRPr="00CA41A1" w14:paraId="0789ABD4" w14:textId="77777777" w:rsidTr="002539E5">
        <w:trPr>
          <w:trHeight w:val="710"/>
        </w:trPr>
        <w:tc>
          <w:tcPr>
            <w:tcW w:w="2500" w:type="pct"/>
            <w:tcBorders>
              <w:right w:val="nil"/>
            </w:tcBorders>
            <w:tcMar>
              <w:top w:w="0" w:type="dxa"/>
              <w:left w:w="115" w:type="dxa"/>
              <w:bottom w:w="0" w:type="dxa"/>
              <w:right w:w="115" w:type="dxa"/>
            </w:tcMar>
            <w:vAlign w:val="center"/>
          </w:tcPr>
          <w:p w14:paraId="6A130A29" w14:textId="77777777" w:rsidR="00486F2E" w:rsidRPr="00CA41A1" w:rsidRDefault="00486F2E" w:rsidP="002539E5">
            <w:pPr>
              <w:autoSpaceDE w:val="0"/>
              <w:autoSpaceDN w:val="0"/>
              <w:adjustRightInd w:val="0"/>
              <w:rPr>
                <w:sz w:val="20"/>
              </w:rPr>
            </w:pPr>
            <w:r w:rsidRPr="00CA41A1">
              <w:rPr>
                <w:sz w:val="20"/>
              </w:rPr>
              <w:t>Race</w:t>
            </w:r>
          </w:p>
          <w:p w14:paraId="7779A4C7" w14:textId="77777777" w:rsidR="00486F2E" w:rsidRPr="00CA41A1" w:rsidRDefault="00486F2E" w:rsidP="002539E5">
            <w:pPr>
              <w:autoSpaceDE w:val="0"/>
              <w:autoSpaceDN w:val="0"/>
              <w:adjustRightInd w:val="0"/>
              <w:rPr>
                <w:sz w:val="20"/>
              </w:rPr>
            </w:pPr>
            <w:r w:rsidRPr="00CA41A1">
              <w:rPr>
                <w:sz w:val="20"/>
              </w:rPr>
              <w:t>Gender</w:t>
            </w:r>
          </w:p>
          <w:p w14:paraId="10B356FD" w14:textId="77777777" w:rsidR="00486F2E" w:rsidRPr="00CA41A1" w:rsidRDefault="00486F2E" w:rsidP="002539E5">
            <w:pPr>
              <w:autoSpaceDE w:val="0"/>
              <w:autoSpaceDN w:val="0"/>
              <w:adjustRightInd w:val="0"/>
              <w:rPr>
                <w:sz w:val="20"/>
              </w:rPr>
            </w:pPr>
            <w:r w:rsidRPr="00CA41A1">
              <w:rPr>
                <w:sz w:val="20"/>
              </w:rPr>
              <w:t>Age</w:t>
            </w:r>
          </w:p>
          <w:p w14:paraId="4B1CE294" w14:textId="77777777" w:rsidR="00486F2E" w:rsidRPr="00CA41A1" w:rsidRDefault="00486F2E" w:rsidP="002539E5">
            <w:pPr>
              <w:autoSpaceDE w:val="0"/>
              <w:autoSpaceDN w:val="0"/>
              <w:adjustRightInd w:val="0"/>
              <w:rPr>
                <w:sz w:val="20"/>
              </w:rPr>
            </w:pPr>
            <w:r w:rsidRPr="00CA41A1">
              <w:rPr>
                <w:sz w:val="20"/>
              </w:rPr>
              <w:t>Sector*</w:t>
            </w:r>
          </w:p>
          <w:p w14:paraId="2E2D2A39" w14:textId="77777777" w:rsidR="00486F2E" w:rsidRPr="00CA41A1" w:rsidRDefault="00486F2E" w:rsidP="002539E5">
            <w:pPr>
              <w:rPr>
                <w:sz w:val="20"/>
              </w:rPr>
            </w:pPr>
            <w:r w:rsidRPr="00CA41A1">
              <w:rPr>
                <w:sz w:val="20"/>
              </w:rPr>
              <w:t xml:space="preserve">Match to </w:t>
            </w:r>
            <w:r>
              <w:rPr>
                <w:sz w:val="20"/>
              </w:rPr>
              <w:t>C</w:t>
            </w:r>
            <w:r w:rsidRPr="00CA41A1">
              <w:rPr>
                <w:sz w:val="20"/>
              </w:rPr>
              <w:t xml:space="preserve">entral </w:t>
            </w:r>
            <w:r>
              <w:rPr>
                <w:sz w:val="20"/>
              </w:rPr>
              <w:t>P</w:t>
            </w:r>
            <w:r w:rsidRPr="00CA41A1">
              <w:rPr>
                <w:sz w:val="20"/>
              </w:rPr>
              <w:t xml:space="preserve">rocessing </w:t>
            </w:r>
            <w:r>
              <w:rPr>
                <w:sz w:val="20"/>
              </w:rPr>
              <w:t>S</w:t>
            </w:r>
            <w:r w:rsidRPr="00CA41A1">
              <w:rPr>
                <w:sz w:val="20"/>
              </w:rPr>
              <w:t>ystem</w:t>
            </w:r>
          </w:p>
          <w:p w14:paraId="15B99A1C" w14:textId="77777777" w:rsidR="00486F2E" w:rsidRPr="00CA41A1" w:rsidRDefault="00486F2E" w:rsidP="002539E5">
            <w:pPr>
              <w:rPr>
                <w:sz w:val="20"/>
              </w:rPr>
            </w:pPr>
            <w:r w:rsidRPr="00CA41A1">
              <w:rPr>
                <w:sz w:val="20"/>
              </w:rPr>
              <w:t>Match to Pell grant system</w:t>
            </w:r>
          </w:p>
          <w:p w14:paraId="0C59F001" w14:textId="77777777" w:rsidR="00486F2E" w:rsidRPr="00CA41A1" w:rsidRDefault="00486F2E" w:rsidP="002539E5">
            <w:pPr>
              <w:rPr>
                <w:sz w:val="20"/>
              </w:rPr>
            </w:pPr>
            <w:r w:rsidRPr="00CA41A1">
              <w:rPr>
                <w:sz w:val="20"/>
              </w:rPr>
              <w:t>Total income</w:t>
            </w:r>
          </w:p>
          <w:p w14:paraId="715902F1" w14:textId="77777777" w:rsidR="00486F2E" w:rsidRPr="00CA41A1" w:rsidRDefault="00486F2E" w:rsidP="002539E5">
            <w:pPr>
              <w:rPr>
                <w:sz w:val="20"/>
              </w:rPr>
            </w:pPr>
            <w:r w:rsidRPr="00CA41A1">
              <w:rPr>
                <w:sz w:val="20"/>
              </w:rPr>
              <w:t>Parent’s highest education level</w:t>
            </w:r>
          </w:p>
        </w:tc>
        <w:tc>
          <w:tcPr>
            <w:tcW w:w="2500" w:type="pct"/>
            <w:tcBorders>
              <w:left w:val="nil"/>
            </w:tcBorders>
            <w:vAlign w:val="center"/>
          </w:tcPr>
          <w:p w14:paraId="7ED2DAAC" w14:textId="77777777" w:rsidR="00486F2E" w:rsidRPr="00CA41A1" w:rsidRDefault="00486F2E" w:rsidP="002539E5">
            <w:pPr>
              <w:rPr>
                <w:sz w:val="20"/>
              </w:rPr>
            </w:pPr>
            <w:r w:rsidRPr="00CA41A1">
              <w:rPr>
                <w:sz w:val="20"/>
              </w:rPr>
              <w:t>Attendance intensity</w:t>
            </w:r>
          </w:p>
          <w:p w14:paraId="7A1BF3E3" w14:textId="77777777" w:rsidR="00486F2E" w:rsidRPr="00CA41A1" w:rsidRDefault="00486F2E" w:rsidP="002539E5">
            <w:pPr>
              <w:rPr>
                <w:sz w:val="20"/>
              </w:rPr>
            </w:pPr>
            <w:r w:rsidRPr="00CA41A1">
              <w:rPr>
                <w:sz w:val="20"/>
              </w:rPr>
              <w:t>Highest level of education ever expected</w:t>
            </w:r>
          </w:p>
          <w:p w14:paraId="1D6851F7" w14:textId="77777777" w:rsidR="00486F2E" w:rsidRPr="00CA41A1" w:rsidRDefault="00486F2E" w:rsidP="002539E5">
            <w:pPr>
              <w:rPr>
                <w:sz w:val="20"/>
              </w:rPr>
            </w:pPr>
            <w:r>
              <w:rPr>
                <w:sz w:val="20"/>
              </w:rPr>
              <w:t xml:space="preserve">Dependent </w:t>
            </w:r>
            <w:r w:rsidRPr="00CA41A1">
              <w:rPr>
                <w:sz w:val="20"/>
              </w:rPr>
              <w:t>children</w:t>
            </w:r>
            <w:r>
              <w:rPr>
                <w:sz w:val="20"/>
              </w:rPr>
              <w:t xml:space="preserve"> and marital status</w:t>
            </w:r>
          </w:p>
          <w:p w14:paraId="461D2601" w14:textId="77777777" w:rsidR="00486F2E" w:rsidRPr="00CA41A1" w:rsidRDefault="00486F2E" w:rsidP="002539E5">
            <w:pPr>
              <w:rPr>
                <w:sz w:val="20"/>
              </w:rPr>
            </w:pPr>
            <w:r w:rsidRPr="00CA41A1">
              <w:rPr>
                <w:sz w:val="20"/>
              </w:rPr>
              <w:t>Federal Pell grant amount</w:t>
            </w:r>
          </w:p>
          <w:p w14:paraId="6747D3D2" w14:textId="77777777" w:rsidR="00486F2E" w:rsidRPr="00CA41A1" w:rsidRDefault="00486F2E" w:rsidP="002539E5">
            <w:pPr>
              <w:rPr>
                <w:sz w:val="20"/>
              </w:rPr>
            </w:pPr>
            <w:r w:rsidRPr="00CA41A1">
              <w:rPr>
                <w:sz w:val="20"/>
              </w:rPr>
              <w:t>Direct subsidized and unsubsidized loans</w:t>
            </w:r>
          </w:p>
          <w:p w14:paraId="499608DD" w14:textId="77777777" w:rsidR="00486F2E" w:rsidRPr="00CA41A1" w:rsidRDefault="00486F2E" w:rsidP="002539E5">
            <w:pPr>
              <w:rPr>
                <w:sz w:val="20"/>
              </w:rPr>
            </w:pPr>
            <w:r w:rsidRPr="00CA41A1">
              <w:rPr>
                <w:sz w:val="20"/>
              </w:rPr>
              <w:t>Total federal aid</w:t>
            </w:r>
          </w:p>
          <w:p w14:paraId="1BDEDD81" w14:textId="77777777" w:rsidR="00486F2E" w:rsidRPr="00CA41A1" w:rsidRDefault="00486F2E" w:rsidP="002539E5">
            <w:pPr>
              <w:rPr>
                <w:sz w:val="20"/>
              </w:rPr>
            </w:pPr>
            <w:r w:rsidRPr="00CA41A1">
              <w:rPr>
                <w:sz w:val="20"/>
              </w:rPr>
              <w:t>Institutional aid total</w:t>
            </w:r>
          </w:p>
          <w:p w14:paraId="4FE461D3" w14:textId="4F318858" w:rsidR="00486F2E" w:rsidRPr="00CA41A1" w:rsidRDefault="00486F2E" w:rsidP="002539E5">
            <w:pPr>
              <w:autoSpaceDE w:val="0"/>
              <w:autoSpaceDN w:val="0"/>
              <w:adjustRightInd w:val="0"/>
              <w:rPr>
                <w:sz w:val="20"/>
              </w:rPr>
            </w:pPr>
            <w:r w:rsidRPr="00CA41A1">
              <w:rPr>
                <w:sz w:val="20"/>
              </w:rPr>
              <w:t>Degree program</w:t>
            </w:r>
          </w:p>
        </w:tc>
      </w:tr>
    </w:tbl>
    <w:p w14:paraId="4791A521" w14:textId="07365926" w:rsidR="00486F2E" w:rsidRPr="00CA41A1" w:rsidRDefault="002832A8" w:rsidP="00B14EAC">
      <w:pPr>
        <w:rPr>
          <w:sz w:val="20"/>
          <w:szCs w:val="18"/>
        </w:rPr>
      </w:pPr>
      <w:r>
        <w:rPr>
          <w:sz w:val="20"/>
          <w:szCs w:val="18"/>
        </w:rPr>
        <w:t xml:space="preserve">* Variable </w:t>
      </w:r>
      <w:r w:rsidR="00486F2E" w:rsidRPr="00CA41A1">
        <w:rPr>
          <w:sz w:val="20"/>
          <w:szCs w:val="18"/>
        </w:rPr>
        <w:t xml:space="preserve">to be included in bias likelihood model for targeting </w:t>
      </w:r>
      <w:r w:rsidR="00486F2E">
        <w:rPr>
          <w:sz w:val="20"/>
          <w:szCs w:val="18"/>
        </w:rPr>
        <w:t>sample members from p</w:t>
      </w:r>
      <w:r w:rsidR="00486F2E" w:rsidRPr="00CB50CF">
        <w:rPr>
          <w:sz w:val="20"/>
          <w:szCs w:val="18"/>
        </w:rPr>
        <w:t>ublic 4-year and private nonprofit institutions (sector group B</w:t>
      </w:r>
      <w:r w:rsidR="00486F2E">
        <w:rPr>
          <w:sz w:val="20"/>
          <w:szCs w:val="18"/>
        </w:rPr>
        <w:t xml:space="preserve"> in table </w:t>
      </w:r>
      <w:r w:rsidR="00B14EAC">
        <w:rPr>
          <w:sz w:val="20"/>
          <w:szCs w:val="18"/>
        </w:rPr>
        <w:t>8</w:t>
      </w:r>
      <w:r w:rsidR="00486F2E" w:rsidRPr="00CB50CF">
        <w:rPr>
          <w:sz w:val="20"/>
          <w:szCs w:val="18"/>
        </w:rPr>
        <w:t>)</w:t>
      </w:r>
      <w:r w:rsidR="00486F2E" w:rsidRPr="00CA41A1">
        <w:rPr>
          <w:sz w:val="20"/>
          <w:szCs w:val="18"/>
        </w:rPr>
        <w:t>.</w:t>
      </w:r>
    </w:p>
    <w:p w14:paraId="535048D6" w14:textId="16F081A6" w:rsidR="00F52E30" w:rsidRDefault="00486F2E" w:rsidP="00316CE0">
      <w:pPr>
        <w:spacing w:before="120" w:after="120"/>
        <w:rPr>
          <w:szCs w:val="24"/>
        </w:rPr>
      </w:pPr>
      <w:r w:rsidRPr="00C64271">
        <w:rPr>
          <w:b/>
          <w:bCs/>
          <w:iCs/>
          <w:szCs w:val="24"/>
        </w:rPr>
        <w:t>Response propensity (P(R)) model.</w:t>
      </w:r>
      <w:r w:rsidRPr="00C64271">
        <w:rPr>
          <w:i/>
          <w:szCs w:val="24"/>
        </w:rPr>
        <w:t xml:space="preserve"> </w:t>
      </w:r>
      <w:r w:rsidRPr="00C64271">
        <w:rPr>
          <w:szCs w:val="24"/>
        </w:rPr>
        <w:t xml:space="preserve">Prior to the start of BPS:12/17 data collection, a response propensity model </w:t>
      </w:r>
      <w:r w:rsidR="00767F1A" w:rsidRPr="00C64271">
        <w:rPr>
          <w:szCs w:val="24"/>
        </w:rPr>
        <w:t xml:space="preserve">is being </w:t>
      </w:r>
      <w:r w:rsidRPr="00C64271">
        <w:rPr>
          <w:szCs w:val="24"/>
        </w:rPr>
        <w:t>developed to predict likelihood to respond to BPS:12/17 based on BPS:12/14 data and response behavior.</w:t>
      </w:r>
      <w:r w:rsidR="00834029" w:rsidRPr="00C64271">
        <w:rPr>
          <w:szCs w:val="24"/>
        </w:rPr>
        <w:t xml:space="preserve"> NCES will share the model with OMB when finalized and prior to implementation.</w:t>
      </w:r>
      <w:r w:rsidRPr="00C64271">
        <w:rPr>
          <w:szCs w:val="24"/>
        </w:rPr>
        <w:t xml:space="preserve"> </w:t>
      </w:r>
      <w:r w:rsidR="00C64271">
        <w:rPr>
          <w:szCs w:val="24"/>
        </w:rPr>
        <w:t>The model</w:t>
      </w:r>
      <w:r w:rsidRPr="00C64271">
        <w:rPr>
          <w:szCs w:val="24"/>
        </w:rPr>
        <w:t xml:space="preserve"> will use variables from the base NPSAS:12 study as well as BPS:12/14 full scale that have been shown to predict survey response, including, but not limited</w:t>
      </w:r>
      <w:r>
        <w:rPr>
          <w:szCs w:val="24"/>
        </w:rPr>
        <w:t xml:space="preserve"> to:</w:t>
      </w:r>
    </w:p>
    <w:p w14:paraId="670DCCE7" w14:textId="79D74A74" w:rsidR="00486F2E" w:rsidRDefault="00486F2E" w:rsidP="00316CE0">
      <w:pPr>
        <w:pStyle w:val="BodyText"/>
        <w:numPr>
          <w:ilvl w:val="0"/>
          <w:numId w:val="15"/>
        </w:numPr>
        <w:spacing w:before="0" w:after="0" w:line="240" w:lineRule="auto"/>
        <w:ind w:left="1080"/>
      </w:pPr>
      <w:r>
        <w:t>responded during early completion period,</w:t>
      </w:r>
    </w:p>
    <w:p w14:paraId="177AA5F8" w14:textId="77777777" w:rsidR="00486F2E" w:rsidRDefault="00486F2E" w:rsidP="00316CE0">
      <w:pPr>
        <w:pStyle w:val="BodyText"/>
        <w:numPr>
          <w:ilvl w:val="0"/>
          <w:numId w:val="15"/>
        </w:numPr>
        <w:spacing w:before="0" w:after="0" w:line="240" w:lineRule="auto"/>
        <w:ind w:left="1080"/>
      </w:pPr>
      <w:r>
        <w:t>response history,</w:t>
      </w:r>
    </w:p>
    <w:p w14:paraId="573DCBB9" w14:textId="77777777" w:rsidR="00486F2E" w:rsidRDefault="00486F2E" w:rsidP="00316CE0">
      <w:pPr>
        <w:pStyle w:val="BodyText"/>
        <w:numPr>
          <w:ilvl w:val="0"/>
          <w:numId w:val="15"/>
        </w:numPr>
        <w:spacing w:before="0" w:after="0" w:line="240" w:lineRule="auto"/>
        <w:ind w:left="1080"/>
      </w:pPr>
      <w:r>
        <w:t>interview mode (web/telephone),</w:t>
      </w:r>
    </w:p>
    <w:p w14:paraId="78BD4D9F" w14:textId="77777777" w:rsidR="00486F2E" w:rsidRDefault="00486F2E" w:rsidP="00316CE0">
      <w:pPr>
        <w:pStyle w:val="BodyText"/>
        <w:numPr>
          <w:ilvl w:val="0"/>
          <w:numId w:val="15"/>
        </w:numPr>
        <w:spacing w:before="0" w:after="0" w:line="240" w:lineRule="auto"/>
        <w:ind w:left="1080"/>
      </w:pPr>
      <w:r>
        <w:t>ever refused,</w:t>
      </w:r>
    </w:p>
    <w:p w14:paraId="1157CFAA" w14:textId="77777777" w:rsidR="00486F2E" w:rsidRDefault="00486F2E" w:rsidP="00316CE0">
      <w:pPr>
        <w:pStyle w:val="BodyText"/>
        <w:numPr>
          <w:ilvl w:val="0"/>
          <w:numId w:val="15"/>
        </w:numPr>
        <w:spacing w:before="0" w:after="0" w:line="240" w:lineRule="auto"/>
        <w:ind w:left="1080"/>
      </w:pPr>
      <w:r>
        <w:t>incentive amount offered,</w:t>
      </w:r>
    </w:p>
    <w:p w14:paraId="70C66CD2" w14:textId="77777777" w:rsidR="00486F2E" w:rsidRDefault="00486F2E" w:rsidP="00316CE0">
      <w:pPr>
        <w:pStyle w:val="BodyText"/>
        <w:numPr>
          <w:ilvl w:val="0"/>
          <w:numId w:val="15"/>
        </w:numPr>
        <w:spacing w:before="0" w:after="0" w:line="240" w:lineRule="auto"/>
        <w:ind w:left="1080"/>
      </w:pPr>
      <w:r>
        <w:t>age,</w:t>
      </w:r>
    </w:p>
    <w:p w14:paraId="074999BF" w14:textId="77777777" w:rsidR="00486F2E" w:rsidRDefault="00486F2E" w:rsidP="00316CE0">
      <w:pPr>
        <w:pStyle w:val="BodyText"/>
        <w:numPr>
          <w:ilvl w:val="0"/>
          <w:numId w:val="15"/>
        </w:numPr>
        <w:spacing w:before="0" w:after="0" w:line="240" w:lineRule="auto"/>
        <w:ind w:left="1080"/>
      </w:pPr>
      <w:r>
        <w:t>gender,</w:t>
      </w:r>
    </w:p>
    <w:p w14:paraId="2D9BE5C4" w14:textId="77777777" w:rsidR="00486F2E" w:rsidRDefault="00486F2E" w:rsidP="00316CE0">
      <w:pPr>
        <w:pStyle w:val="BodyText"/>
        <w:numPr>
          <w:ilvl w:val="0"/>
          <w:numId w:val="15"/>
        </w:numPr>
        <w:spacing w:before="0" w:after="0" w:line="240" w:lineRule="auto"/>
        <w:ind w:left="1080"/>
      </w:pPr>
      <w:r>
        <w:t>citizenship,</w:t>
      </w:r>
    </w:p>
    <w:p w14:paraId="50CA5E94" w14:textId="77777777" w:rsidR="00486F2E" w:rsidRDefault="00486F2E" w:rsidP="00316CE0">
      <w:pPr>
        <w:pStyle w:val="BodyText"/>
        <w:numPr>
          <w:ilvl w:val="0"/>
          <w:numId w:val="15"/>
        </w:numPr>
        <w:spacing w:before="0" w:after="0" w:line="240" w:lineRule="auto"/>
        <w:ind w:left="1080"/>
      </w:pPr>
      <w:r>
        <w:t>institution sector,</w:t>
      </w:r>
    </w:p>
    <w:p w14:paraId="107ADF48" w14:textId="77777777" w:rsidR="00F52E30" w:rsidRDefault="00486F2E" w:rsidP="00316CE0">
      <w:pPr>
        <w:pStyle w:val="BodyText"/>
        <w:numPr>
          <w:ilvl w:val="0"/>
          <w:numId w:val="15"/>
        </w:numPr>
        <w:spacing w:before="0" w:after="0" w:line="240" w:lineRule="auto"/>
        <w:ind w:left="1080"/>
      </w:pPr>
      <w:r>
        <w:t>call count, and</w:t>
      </w:r>
    </w:p>
    <w:p w14:paraId="222BA53E" w14:textId="4A072DF5" w:rsidR="00486F2E" w:rsidRDefault="00486F2E" w:rsidP="00486F2E">
      <w:pPr>
        <w:pStyle w:val="BodyText"/>
        <w:numPr>
          <w:ilvl w:val="0"/>
          <w:numId w:val="15"/>
        </w:numPr>
        <w:spacing w:before="0" w:after="60" w:line="240" w:lineRule="auto"/>
        <w:ind w:left="1080"/>
      </w:pPr>
      <w:r>
        <w:t>tracing/locating status (located/required intensive tracing).</w:t>
      </w:r>
    </w:p>
    <w:p w14:paraId="785A4CE2" w14:textId="5B711789" w:rsidR="00F52E30" w:rsidRDefault="00486F2E" w:rsidP="00316CE0">
      <w:pPr>
        <w:spacing w:before="120" w:after="120"/>
        <w:rPr>
          <w:szCs w:val="24"/>
        </w:rPr>
      </w:pPr>
      <w:r>
        <w:rPr>
          <w:szCs w:val="24"/>
        </w:rPr>
        <w:t>We will use BPS:12/14 full scale data to create this response propensity model as that study was similar in design and population to the current BPS:12/17 full scale study</w:t>
      </w:r>
      <w:r w:rsidR="00E06B62">
        <w:rPr>
          <w:szCs w:val="24"/>
        </w:rPr>
        <w:t xml:space="preserve"> (note that </w:t>
      </w:r>
      <w:r>
        <w:rPr>
          <w:szCs w:val="24"/>
        </w:rPr>
        <w:t xml:space="preserve">BPS:12/17 </w:t>
      </w:r>
      <w:r w:rsidR="00E06B62">
        <w:rPr>
          <w:szCs w:val="24"/>
        </w:rPr>
        <w:t xml:space="preserve">did not have a field test </w:t>
      </w:r>
      <w:r>
        <w:rPr>
          <w:szCs w:val="24"/>
        </w:rPr>
        <w:t xml:space="preserve">that </w:t>
      </w:r>
      <w:r w:rsidR="00E06B62">
        <w:rPr>
          <w:szCs w:val="24"/>
        </w:rPr>
        <w:t>could be</w:t>
      </w:r>
      <w:r>
        <w:rPr>
          <w:szCs w:val="24"/>
        </w:rPr>
        <w:t xml:space="preserve"> leverage</w:t>
      </w:r>
      <w:r w:rsidR="00E06B62">
        <w:rPr>
          <w:szCs w:val="24"/>
        </w:rPr>
        <w:t xml:space="preserve">d, and </w:t>
      </w:r>
      <w:r>
        <w:rPr>
          <w:szCs w:val="24"/>
        </w:rPr>
        <w:t>the pilot study was too limited in size and dissimilar in approach and population to be useful for this purpose</w:t>
      </w:r>
      <w:r w:rsidR="00E06B62">
        <w:rPr>
          <w:szCs w:val="24"/>
        </w:rPr>
        <w:t>)</w:t>
      </w:r>
      <w:r>
        <w:rPr>
          <w:szCs w:val="24"/>
        </w:rPr>
        <w:t>.</w:t>
      </w:r>
    </w:p>
    <w:p w14:paraId="492C8116" w14:textId="5C673939" w:rsidR="00F52E30" w:rsidRDefault="00486F2E" w:rsidP="00A8796F">
      <w:pPr>
        <w:pStyle w:val="BodyText"/>
        <w:widowControl w:val="0"/>
        <w:spacing w:line="240" w:lineRule="auto"/>
        <w:ind w:firstLine="0"/>
      </w:pPr>
      <w:r>
        <w:rPr>
          <w:b/>
          <w:bCs/>
          <w:iCs/>
        </w:rPr>
        <w:t>Targeted interventions</w:t>
      </w:r>
      <w:r w:rsidRPr="00C21A71">
        <w:rPr>
          <w:b/>
          <w:bCs/>
          <w:iCs/>
        </w:rPr>
        <w:t>.</w:t>
      </w:r>
      <w:r w:rsidRPr="002A02E3">
        <w:t xml:space="preserve"> </w:t>
      </w:r>
      <w:r w:rsidR="00E06B62">
        <w:t>In</w:t>
      </w:r>
      <w:r w:rsidRPr="00B256E9">
        <w:t xml:space="preserve"> the BPS:12/14 responsive design approach</w:t>
      </w:r>
      <w:r>
        <w:t>,</w:t>
      </w:r>
      <w:r w:rsidRPr="00B256E9">
        <w:t xml:space="preserve"> institution sector </w:t>
      </w:r>
      <w:r w:rsidR="00E06B62">
        <w:t>was</w:t>
      </w:r>
      <w:r w:rsidRPr="00B256E9">
        <w:t xml:space="preserve"> the largest factor in determining current response status</w:t>
      </w:r>
      <w:r>
        <w:t xml:space="preserve">. </w:t>
      </w:r>
      <w:r w:rsidRPr="00B256E9">
        <w:t xml:space="preserve">For BPS:12/17 </w:t>
      </w:r>
      <w:r>
        <w:t xml:space="preserve">full scale, </w:t>
      </w:r>
      <w:r w:rsidRPr="00B256E9">
        <w:t xml:space="preserve">individuals </w:t>
      </w:r>
      <w:r>
        <w:t>will be targeted within groupings of institution sectors</w:t>
      </w:r>
      <w:r w:rsidRPr="00B256E9">
        <w:t xml:space="preserve"> in an effort to equalize response rates across the sector groups. </w:t>
      </w:r>
      <w:r w:rsidR="00E06B62">
        <w:t>Designed to</w:t>
      </w:r>
      <w:r w:rsidR="00E06B62" w:rsidRPr="00B256E9">
        <w:t xml:space="preserve"> reduce the final unequal weighting effect</w:t>
      </w:r>
      <w:r w:rsidR="00E06B62">
        <w:t>, t</w:t>
      </w:r>
      <w:r w:rsidRPr="00B256E9">
        <w:t xml:space="preserve">argeting within the groups </w:t>
      </w:r>
      <w:r w:rsidR="00E06B62">
        <w:t xml:space="preserve">will </w:t>
      </w:r>
      <w:r w:rsidRPr="00B256E9">
        <w:t>allow us to fit a different prop</w:t>
      </w:r>
      <w:r>
        <w:t>ensity or bias likelihood model</w:t>
      </w:r>
      <w:r w:rsidRPr="00B256E9">
        <w:t xml:space="preserve"> for each </w:t>
      </w:r>
      <w:r>
        <w:t>group</w:t>
      </w:r>
      <w:r w:rsidRPr="00B256E9">
        <w:t xml:space="preserve"> while </w:t>
      </w:r>
      <w:r>
        <w:t xml:space="preserve">equalizing </w:t>
      </w:r>
      <w:r w:rsidRPr="00B256E9">
        <w:t>response rates across groups.</w:t>
      </w:r>
    </w:p>
    <w:p w14:paraId="67FC38A7" w14:textId="10974C05" w:rsidR="00486F2E" w:rsidRPr="00B256E9" w:rsidRDefault="00486F2E" w:rsidP="00A8796F">
      <w:pPr>
        <w:pStyle w:val="BodyText"/>
        <w:widowControl w:val="0"/>
        <w:spacing w:line="240" w:lineRule="auto"/>
        <w:ind w:firstLine="0"/>
      </w:pPr>
      <w:r w:rsidRPr="00B256E9">
        <w:t xml:space="preserve">Targeting within sector groups </w:t>
      </w:r>
      <w:r>
        <w:t xml:space="preserve">is designed to </w:t>
      </w:r>
      <w:r w:rsidRPr="00B256E9">
        <w:t xml:space="preserve">reduce nonresponse bias within specific sectors rather than across the </w:t>
      </w:r>
      <w:r>
        <w:t>aggregate target population.</w:t>
      </w:r>
      <w:r w:rsidR="00F52E30">
        <w:t xml:space="preserve"> </w:t>
      </w:r>
      <w:r>
        <w:t xml:space="preserve">The five sector groupings (Table </w:t>
      </w:r>
      <w:r w:rsidR="00B14EAC">
        <w:t>8</w:t>
      </w:r>
      <w:r>
        <w:t>) were constructed by first identifying sectors with historically low response rates, as observed in BPS:12/14 and NPSAS:12,</w:t>
      </w:r>
      <w:r w:rsidR="000C6FE9">
        <w:t xml:space="preserve"> and</w:t>
      </w:r>
      <w:r w:rsidR="00E06B62">
        <w:t>,</w:t>
      </w:r>
      <w:r w:rsidR="000C6FE9">
        <w:t xml:space="preserve"> second</w:t>
      </w:r>
      <w:r w:rsidR="00E06B62">
        <w:t>,</w:t>
      </w:r>
      <w:r>
        <w:t xml:space="preserve"> assigning the sectors with the lowest participation to their own groups</w:t>
      </w:r>
      <w:r w:rsidR="000C6FE9">
        <w:t xml:space="preserve">. </w:t>
      </w:r>
      <w:r w:rsidR="00E06B62">
        <w:t>The</w:t>
      </w:r>
      <w:r>
        <w:t xml:space="preserve"> remaining sectors </w:t>
      </w:r>
      <w:r w:rsidR="00E06B62">
        <w:t xml:space="preserve">were then combined </w:t>
      </w:r>
      <w:r>
        <w:t xml:space="preserve">into groups consisting of multiple sectors. The private for profit sectors (groups C, D, and E) were identified </w:t>
      </w:r>
      <w:r w:rsidR="00E06B62">
        <w:t>to have</w:t>
      </w:r>
      <w:r>
        <w:t xml:space="preserve"> low response rates. Public less-than-2-year and public 2-year institutions (group A) </w:t>
      </w:r>
      <w:r w:rsidRPr="00B256E9">
        <w:lastRenderedPageBreak/>
        <w:t>were combined as they</w:t>
      </w:r>
      <w:r>
        <w:t xml:space="preserve"> were similar, and because the public less-than-2-year sector was too small to act as a distinct group</w:t>
      </w:r>
      <w:r w:rsidRPr="00B256E9">
        <w:t xml:space="preserve">. </w:t>
      </w:r>
      <w:r>
        <w:t>Public 4-year and private nonprofit institutions (sector group B) remained</w:t>
      </w:r>
      <w:r w:rsidRPr="00B256E9">
        <w:t xml:space="preserve"> combined as they </w:t>
      </w:r>
      <w:r>
        <w:t>have not historically exhibited low response rates</w:t>
      </w:r>
      <w:r w:rsidR="00E06B62">
        <w:t xml:space="preserve"> (n</w:t>
      </w:r>
      <w:r>
        <w:t>onetheless, cases within this sector group are still</w:t>
      </w:r>
      <w:r w:rsidRPr="00B256E9">
        <w:t xml:space="preserve"> eligible for targeting</w:t>
      </w:r>
      <w:r w:rsidR="00E06B62">
        <w:t>; t</w:t>
      </w:r>
      <w:r>
        <w:t>he targeting model for sector group B will include sector as a term to account for differences between the sectors</w:t>
      </w:r>
      <w:r w:rsidR="00E06B62">
        <w:t>)</w:t>
      </w:r>
      <w:r>
        <w:t>.</w:t>
      </w:r>
    </w:p>
    <w:p w14:paraId="52163B6E" w14:textId="5F78A2FD" w:rsidR="00486F2E" w:rsidRPr="00635093" w:rsidRDefault="00486F2E" w:rsidP="001273CB">
      <w:pPr>
        <w:pStyle w:val="TableTitle"/>
        <w:spacing w:before="120" w:after="60"/>
        <w:ind w:left="994" w:hanging="994"/>
      </w:pPr>
      <w:bookmarkStart w:id="111" w:name="_Toc456167111"/>
      <w:r>
        <w:t xml:space="preserve">Table </w:t>
      </w:r>
      <w:r w:rsidR="00B14EAC">
        <w:t>8</w:t>
      </w:r>
      <w:r w:rsidRPr="00D933B5">
        <w:t>.</w:t>
      </w:r>
      <w:r w:rsidR="002B537E">
        <w:t xml:space="preserve"> </w:t>
      </w:r>
      <w:r>
        <w:t>Targeted sector groups</w:t>
      </w:r>
      <w:bookmarkEnd w:id="111"/>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753"/>
        <w:gridCol w:w="6929"/>
        <w:gridCol w:w="2060"/>
      </w:tblGrid>
      <w:tr w:rsidR="00486F2E" w:rsidRPr="00B15958" w14:paraId="18F58E39" w14:textId="77777777" w:rsidTr="00E06B62">
        <w:trPr>
          <w:trHeight w:val="144"/>
        </w:trPr>
        <w:tc>
          <w:tcPr>
            <w:tcW w:w="816" w:type="pct"/>
            <w:shd w:val="clear" w:color="auto" w:fill="D9D9D9" w:themeFill="background1" w:themeFillShade="D9"/>
            <w:tcMar>
              <w:top w:w="0" w:type="dxa"/>
              <w:left w:w="115" w:type="dxa"/>
              <w:bottom w:w="0" w:type="dxa"/>
              <w:right w:w="115" w:type="dxa"/>
            </w:tcMar>
            <w:vAlign w:val="center"/>
          </w:tcPr>
          <w:p w14:paraId="39F2BFDB" w14:textId="77777777" w:rsidR="00486F2E" w:rsidRPr="00CA41A1" w:rsidRDefault="00486F2E" w:rsidP="002539E5">
            <w:pPr>
              <w:autoSpaceDE w:val="0"/>
              <w:autoSpaceDN w:val="0"/>
              <w:adjustRightInd w:val="0"/>
              <w:rPr>
                <w:b/>
                <w:bCs/>
                <w:sz w:val="20"/>
                <w:szCs w:val="18"/>
              </w:rPr>
            </w:pPr>
            <w:r w:rsidRPr="00CA41A1">
              <w:rPr>
                <w:b/>
                <w:bCs/>
                <w:sz w:val="20"/>
                <w:szCs w:val="18"/>
              </w:rPr>
              <w:t>Sector Group</w:t>
            </w:r>
          </w:p>
        </w:tc>
        <w:tc>
          <w:tcPr>
            <w:tcW w:w="3225" w:type="pct"/>
            <w:shd w:val="clear" w:color="auto" w:fill="D9D9D9" w:themeFill="background1" w:themeFillShade="D9"/>
            <w:tcMar>
              <w:top w:w="0" w:type="dxa"/>
              <w:left w:w="115" w:type="dxa"/>
              <w:bottom w:w="0" w:type="dxa"/>
              <w:right w:w="115" w:type="dxa"/>
            </w:tcMar>
            <w:vAlign w:val="center"/>
          </w:tcPr>
          <w:p w14:paraId="30B706AE" w14:textId="77777777" w:rsidR="00486F2E" w:rsidRPr="00CA41A1" w:rsidRDefault="00486F2E" w:rsidP="002539E5">
            <w:pPr>
              <w:autoSpaceDE w:val="0"/>
              <w:autoSpaceDN w:val="0"/>
              <w:adjustRightInd w:val="0"/>
              <w:rPr>
                <w:b/>
                <w:bCs/>
                <w:sz w:val="20"/>
                <w:szCs w:val="18"/>
              </w:rPr>
            </w:pPr>
            <w:r w:rsidRPr="00CA41A1">
              <w:rPr>
                <w:b/>
                <w:bCs/>
                <w:sz w:val="20"/>
                <w:szCs w:val="18"/>
              </w:rPr>
              <w:t>Sectors</w:t>
            </w:r>
          </w:p>
        </w:tc>
        <w:tc>
          <w:tcPr>
            <w:tcW w:w="959" w:type="pct"/>
            <w:shd w:val="clear" w:color="auto" w:fill="D9D9D9" w:themeFill="background1" w:themeFillShade="D9"/>
            <w:vAlign w:val="center"/>
          </w:tcPr>
          <w:p w14:paraId="78881E0B" w14:textId="77777777" w:rsidR="00486F2E" w:rsidRPr="00CA41A1" w:rsidRDefault="00486F2E" w:rsidP="002539E5">
            <w:pPr>
              <w:autoSpaceDE w:val="0"/>
              <w:autoSpaceDN w:val="0"/>
              <w:adjustRightInd w:val="0"/>
              <w:rPr>
                <w:b/>
                <w:bCs/>
                <w:sz w:val="20"/>
                <w:szCs w:val="18"/>
              </w:rPr>
            </w:pPr>
            <w:r>
              <w:rPr>
                <w:b/>
                <w:bCs/>
                <w:sz w:val="20"/>
                <w:szCs w:val="18"/>
              </w:rPr>
              <w:t>Sample Count</w:t>
            </w:r>
          </w:p>
        </w:tc>
      </w:tr>
      <w:tr w:rsidR="003A0478" w:rsidRPr="00B15958" w14:paraId="12795D1A" w14:textId="77777777" w:rsidTr="00E06B62">
        <w:trPr>
          <w:trHeight w:val="144"/>
        </w:trPr>
        <w:tc>
          <w:tcPr>
            <w:tcW w:w="816" w:type="pct"/>
            <w:tcMar>
              <w:top w:w="0" w:type="dxa"/>
              <w:left w:w="115" w:type="dxa"/>
              <w:bottom w:w="0" w:type="dxa"/>
              <w:right w:w="115" w:type="dxa"/>
            </w:tcMar>
            <w:vAlign w:val="center"/>
          </w:tcPr>
          <w:p w14:paraId="1F5DEEDC" w14:textId="77777777" w:rsidR="003A0478" w:rsidRPr="00CA41A1" w:rsidRDefault="003A0478" w:rsidP="003A0478">
            <w:pPr>
              <w:autoSpaceDE w:val="0"/>
              <w:autoSpaceDN w:val="0"/>
              <w:adjustRightInd w:val="0"/>
              <w:jc w:val="center"/>
              <w:rPr>
                <w:b/>
                <w:sz w:val="20"/>
              </w:rPr>
            </w:pPr>
            <w:r w:rsidRPr="00CA41A1">
              <w:rPr>
                <w:b/>
                <w:sz w:val="20"/>
              </w:rPr>
              <w:t>A</w:t>
            </w:r>
          </w:p>
        </w:tc>
        <w:tc>
          <w:tcPr>
            <w:tcW w:w="3225" w:type="pct"/>
            <w:tcMar>
              <w:top w:w="0" w:type="dxa"/>
              <w:left w:w="115" w:type="dxa"/>
              <w:bottom w:w="0" w:type="dxa"/>
              <w:right w:w="115" w:type="dxa"/>
            </w:tcMar>
            <w:vAlign w:val="center"/>
          </w:tcPr>
          <w:p w14:paraId="71A132B4" w14:textId="2C728FC0" w:rsidR="003A0478" w:rsidRPr="00CA41A1" w:rsidRDefault="003A0478" w:rsidP="003A0478">
            <w:pPr>
              <w:autoSpaceDE w:val="0"/>
              <w:autoSpaceDN w:val="0"/>
              <w:adjustRightInd w:val="0"/>
              <w:rPr>
                <w:sz w:val="20"/>
              </w:rPr>
            </w:pPr>
            <w:r w:rsidRPr="00CA41A1">
              <w:rPr>
                <w:sz w:val="20"/>
              </w:rPr>
              <w:t>1:</w:t>
            </w:r>
            <w:r>
              <w:rPr>
                <w:sz w:val="20"/>
              </w:rPr>
              <w:t xml:space="preserve"> </w:t>
            </w:r>
            <w:r w:rsidRPr="00CA41A1">
              <w:rPr>
                <w:sz w:val="20"/>
              </w:rPr>
              <w:t>Public less-than-2-year</w:t>
            </w:r>
          </w:p>
          <w:p w14:paraId="502319DA" w14:textId="4F5EF3AD" w:rsidR="003A0478" w:rsidRPr="00CA41A1" w:rsidRDefault="003A0478" w:rsidP="003A0478">
            <w:pPr>
              <w:autoSpaceDE w:val="0"/>
              <w:autoSpaceDN w:val="0"/>
              <w:adjustRightInd w:val="0"/>
              <w:rPr>
                <w:sz w:val="20"/>
              </w:rPr>
            </w:pPr>
            <w:r w:rsidRPr="00CA41A1">
              <w:rPr>
                <w:sz w:val="20"/>
              </w:rPr>
              <w:t>2:</w:t>
            </w:r>
            <w:r>
              <w:rPr>
                <w:sz w:val="20"/>
              </w:rPr>
              <w:t xml:space="preserve"> </w:t>
            </w:r>
            <w:r w:rsidRPr="00CA41A1">
              <w:rPr>
                <w:sz w:val="20"/>
              </w:rPr>
              <w:t>Public 2-year</w:t>
            </w:r>
          </w:p>
        </w:tc>
        <w:tc>
          <w:tcPr>
            <w:tcW w:w="959" w:type="pct"/>
            <w:vAlign w:val="center"/>
          </w:tcPr>
          <w:p w14:paraId="485C0990" w14:textId="77777777" w:rsidR="003A0478" w:rsidRDefault="003A0478" w:rsidP="003A0478">
            <w:pPr>
              <w:autoSpaceDE w:val="0"/>
              <w:autoSpaceDN w:val="0"/>
              <w:adjustRightInd w:val="0"/>
              <w:spacing w:line="256" w:lineRule="auto"/>
              <w:jc w:val="right"/>
              <w:rPr>
                <w:sz w:val="20"/>
              </w:rPr>
            </w:pPr>
            <w:r>
              <w:rPr>
                <w:sz w:val="20"/>
              </w:rPr>
              <w:t>205</w:t>
            </w:r>
          </w:p>
          <w:p w14:paraId="395BD14E" w14:textId="0DC25D04" w:rsidR="003A0478" w:rsidRPr="00CA41A1" w:rsidRDefault="003A0478" w:rsidP="003A0478">
            <w:pPr>
              <w:autoSpaceDE w:val="0"/>
              <w:autoSpaceDN w:val="0"/>
              <w:adjustRightInd w:val="0"/>
              <w:jc w:val="right"/>
              <w:rPr>
                <w:sz w:val="20"/>
              </w:rPr>
            </w:pPr>
            <w:r>
              <w:rPr>
                <w:sz w:val="20"/>
              </w:rPr>
              <w:t>10,142</w:t>
            </w:r>
          </w:p>
        </w:tc>
      </w:tr>
      <w:tr w:rsidR="003A0478" w:rsidRPr="00B15958" w14:paraId="1391DFFB" w14:textId="77777777" w:rsidTr="00E06B62">
        <w:trPr>
          <w:trHeight w:val="144"/>
        </w:trPr>
        <w:tc>
          <w:tcPr>
            <w:tcW w:w="816" w:type="pct"/>
            <w:tcMar>
              <w:top w:w="0" w:type="dxa"/>
              <w:left w:w="115" w:type="dxa"/>
              <w:bottom w:w="0" w:type="dxa"/>
              <w:right w:w="115" w:type="dxa"/>
            </w:tcMar>
            <w:vAlign w:val="center"/>
          </w:tcPr>
          <w:p w14:paraId="54F57806" w14:textId="77777777" w:rsidR="003A0478" w:rsidRPr="00CA41A1" w:rsidRDefault="003A0478" w:rsidP="003A0478">
            <w:pPr>
              <w:autoSpaceDE w:val="0"/>
              <w:autoSpaceDN w:val="0"/>
              <w:adjustRightInd w:val="0"/>
              <w:jc w:val="center"/>
              <w:rPr>
                <w:sz w:val="20"/>
              </w:rPr>
            </w:pPr>
            <w:r w:rsidRPr="00CA41A1">
              <w:rPr>
                <w:b/>
                <w:sz w:val="20"/>
              </w:rPr>
              <w:t>B</w:t>
            </w:r>
          </w:p>
        </w:tc>
        <w:tc>
          <w:tcPr>
            <w:tcW w:w="3225" w:type="pct"/>
            <w:tcMar>
              <w:top w:w="0" w:type="dxa"/>
              <w:left w:w="115" w:type="dxa"/>
              <w:bottom w:w="0" w:type="dxa"/>
              <w:right w:w="115" w:type="dxa"/>
            </w:tcMar>
            <w:vAlign w:val="center"/>
          </w:tcPr>
          <w:p w14:paraId="680A6641" w14:textId="72D3FC40" w:rsidR="003A0478" w:rsidRPr="00CA41A1" w:rsidRDefault="003A0478" w:rsidP="003A0478">
            <w:pPr>
              <w:autoSpaceDE w:val="0"/>
              <w:autoSpaceDN w:val="0"/>
              <w:adjustRightInd w:val="0"/>
              <w:rPr>
                <w:sz w:val="20"/>
              </w:rPr>
            </w:pPr>
            <w:r w:rsidRPr="00CA41A1">
              <w:rPr>
                <w:sz w:val="20"/>
              </w:rPr>
              <w:t>3:</w:t>
            </w:r>
            <w:r>
              <w:rPr>
                <w:sz w:val="20"/>
              </w:rPr>
              <w:t xml:space="preserve"> </w:t>
            </w:r>
            <w:r w:rsidRPr="00CA41A1">
              <w:rPr>
                <w:sz w:val="20"/>
              </w:rPr>
              <w:t>Public 4-year non-doctorate-granting</w:t>
            </w:r>
          </w:p>
          <w:p w14:paraId="7201B0EA" w14:textId="7A98C68B" w:rsidR="003A0478" w:rsidRPr="00CA41A1" w:rsidRDefault="003A0478" w:rsidP="003A0478">
            <w:pPr>
              <w:autoSpaceDE w:val="0"/>
              <w:autoSpaceDN w:val="0"/>
              <w:adjustRightInd w:val="0"/>
              <w:rPr>
                <w:sz w:val="20"/>
              </w:rPr>
            </w:pPr>
            <w:r w:rsidRPr="00CA41A1">
              <w:rPr>
                <w:sz w:val="20"/>
              </w:rPr>
              <w:t>4:</w:t>
            </w:r>
            <w:r>
              <w:rPr>
                <w:sz w:val="20"/>
              </w:rPr>
              <w:t xml:space="preserve"> </w:t>
            </w:r>
            <w:r w:rsidRPr="00CA41A1">
              <w:rPr>
                <w:sz w:val="20"/>
              </w:rPr>
              <w:t>Public 4-year doctorate-granting</w:t>
            </w:r>
          </w:p>
          <w:p w14:paraId="45ECF107" w14:textId="3ED7E38F" w:rsidR="003A0478" w:rsidRPr="00CA41A1" w:rsidRDefault="003A0478" w:rsidP="003A0478">
            <w:pPr>
              <w:autoSpaceDE w:val="0"/>
              <w:autoSpaceDN w:val="0"/>
              <w:adjustRightInd w:val="0"/>
              <w:rPr>
                <w:sz w:val="20"/>
              </w:rPr>
            </w:pPr>
            <w:r w:rsidRPr="00CA41A1">
              <w:rPr>
                <w:sz w:val="20"/>
              </w:rPr>
              <w:t>5:</w:t>
            </w:r>
            <w:r>
              <w:rPr>
                <w:sz w:val="20"/>
              </w:rPr>
              <w:t xml:space="preserve"> </w:t>
            </w:r>
            <w:r w:rsidRPr="00CA41A1">
              <w:rPr>
                <w:sz w:val="20"/>
              </w:rPr>
              <w:t>Private nonprofit less than 4-year</w:t>
            </w:r>
          </w:p>
          <w:p w14:paraId="2DE7624D" w14:textId="21F9974F" w:rsidR="003A0478" w:rsidRPr="00CA41A1" w:rsidRDefault="003A0478" w:rsidP="003A0478">
            <w:pPr>
              <w:autoSpaceDE w:val="0"/>
              <w:autoSpaceDN w:val="0"/>
              <w:adjustRightInd w:val="0"/>
              <w:rPr>
                <w:sz w:val="20"/>
              </w:rPr>
            </w:pPr>
            <w:r w:rsidRPr="00CA41A1">
              <w:rPr>
                <w:sz w:val="20"/>
              </w:rPr>
              <w:t>6:</w:t>
            </w:r>
            <w:r>
              <w:rPr>
                <w:sz w:val="20"/>
              </w:rPr>
              <w:t xml:space="preserve"> </w:t>
            </w:r>
            <w:r w:rsidRPr="00CA41A1">
              <w:rPr>
                <w:sz w:val="20"/>
              </w:rPr>
              <w:t xml:space="preserve">Private nonprofit 4-year </w:t>
            </w:r>
            <w:proofErr w:type="spellStart"/>
            <w:r w:rsidRPr="00CA41A1">
              <w:rPr>
                <w:sz w:val="20"/>
              </w:rPr>
              <w:t>nondoctorate</w:t>
            </w:r>
            <w:proofErr w:type="spellEnd"/>
          </w:p>
          <w:p w14:paraId="20B2E5C3" w14:textId="36810C41" w:rsidR="003A0478" w:rsidRPr="00CA41A1" w:rsidRDefault="003A0478" w:rsidP="003A0478">
            <w:pPr>
              <w:autoSpaceDE w:val="0"/>
              <w:autoSpaceDN w:val="0"/>
              <w:adjustRightInd w:val="0"/>
              <w:rPr>
                <w:sz w:val="20"/>
              </w:rPr>
            </w:pPr>
            <w:r w:rsidRPr="00CA41A1">
              <w:rPr>
                <w:sz w:val="20"/>
              </w:rPr>
              <w:t>7:</w:t>
            </w:r>
            <w:r>
              <w:rPr>
                <w:sz w:val="20"/>
              </w:rPr>
              <w:t xml:space="preserve"> </w:t>
            </w:r>
            <w:r w:rsidRPr="00CA41A1">
              <w:rPr>
                <w:sz w:val="20"/>
              </w:rPr>
              <w:t>Private nonprofit 4-year doctorate-granting</w:t>
            </w:r>
          </w:p>
        </w:tc>
        <w:tc>
          <w:tcPr>
            <w:tcW w:w="959" w:type="pct"/>
            <w:vAlign w:val="center"/>
          </w:tcPr>
          <w:p w14:paraId="1C0456C6" w14:textId="77777777" w:rsidR="003A0478" w:rsidRDefault="003A0478" w:rsidP="003A0478">
            <w:pPr>
              <w:autoSpaceDE w:val="0"/>
              <w:autoSpaceDN w:val="0"/>
              <w:adjustRightInd w:val="0"/>
              <w:spacing w:line="256" w:lineRule="auto"/>
              <w:jc w:val="right"/>
              <w:rPr>
                <w:sz w:val="20"/>
              </w:rPr>
            </w:pPr>
            <w:r>
              <w:rPr>
                <w:sz w:val="20"/>
              </w:rPr>
              <w:t>1,829</w:t>
            </w:r>
          </w:p>
          <w:p w14:paraId="6D81B1A2" w14:textId="77777777" w:rsidR="003A0478" w:rsidRDefault="003A0478" w:rsidP="003A0478">
            <w:pPr>
              <w:autoSpaceDE w:val="0"/>
              <w:autoSpaceDN w:val="0"/>
              <w:adjustRightInd w:val="0"/>
              <w:spacing w:line="256" w:lineRule="auto"/>
              <w:jc w:val="right"/>
              <w:rPr>
                <w:sz w:val="20"/>
              </w:rPr>
            </w:pPr>
            <w:r>
              <w:rPr>
                <w:sz w:val="20"/>
              </w:rPr>
              <w:t>3,398</w:t>
            </w:r>
          </w:p>
          <w:p w14:paraId="23888D8A" w14:textId="77777777" w:rsidR="003A0478" w:rsidRDefault="003A0478" w:rsidP="003A0478">
            <w:pPr>
              <w:autoSpaceDE w:val="0"/>
              <w:autoSpaceDN w:val="0"/>
              <w:adjustRightInd w:val="0"/>
              <w:spacing w:line="256" w:lineRule="auto"/>
              <w:jc w:val="right"/>
              <w:rPr>
                <w:sz w:val="20"/>
              </w:rPr>
            </w:pPr>
            <w:r>
              <w:rPr>
                <w:sz w:val="20"/>
              </w:rPr>
              <w:t>334</w:t>
            </w:r>
          </w:p>
          <w:p w14:paraId="48AA9A02" w14:textId="77777777" w:rsidR="003A0478" w:rsidRDefault="003A0478" w:rsidP="003A0478">
            <w:pPr>
              <w:autoSpaceDE w:val="0"/>
              <w:autoSpaceDN w:val="0"/>
              <w:adjustRightInd w:val="0"/>
              <w:spacing w:line="256" w:lineRule="auto"/>
              <w:jc w:val="right"/>
              <w:rPr>
                <w:sz w:val="20"/>
              </w:rPr>
            </w:pPr>
            <w:r>
              <w:rPr>
                <w:sz w:val="20"/>
              </w:rPr>
              <w:t>2,283</w:t>
            </w:r>
          </w:p>
          <w:p w14:paraId="209BC99A" w14:textId="2EA81218" w:rsidR="003A0478" w:rsidRPr="00CA41A1" w:rsidRDefault="003A0478" w:rsidP="003A0478">
            <w:pPr>
              <w:autoSpaceDE w:val="0"/>
              <w:autoSpaceDN w:val="0"/>
              <w:adjustRightInd w:val="0"/>
              <w:jc w:val="right"/>
              <w:rPr>
                <w:sz w:val="20"/>
              </w:rPr>
            </w:pPr>
            <w:r>
              <w:rPr>
                <w:sz w:val="20"/>
              </w:rPr>
              <w:t>2,602</w:t>
            </w:r>
          </w:p>
        </w:tc>
      </w:tr>
      <w:tr w:rsidR="003A0478" w:rsidRPr="00B15958" w14:paraId="69173A2D" w14:textId="77777777" w:rsidTr="00E06B62">
        <w:trPr>
          <w:trHeight w:val="144"/>
        </w:trPr>
        <w:tc>
          <w:tcPr>
            <w:tcW w:w="816" w:type="pct"/>
            <w:tcMar>
              <w:top w:w="0" w:type="dxa"/>
              <w:left w:w="115" w:type="dxa"/>
              <w:bottom w:w="0" w:type="dxa"/>
              <w:right w:w="115" w:type="dxa"/>
            </w:tcMar>
            <w:vAlign w:val="center"/>
          </w:tcPr>
          <w:p w14:paraId="5E4A5B27" w14:textId="77777777" w:rsidR="003A0478" w:rsidRPr="00CA41A1" w:rsidRDefault="003A0478" w:rsidP="003A0478">
            <w:pPr>
              <w:autoSpaceDE w:val="0"/>
              <w:autoSpaceDN w:val="0"/>
              <w:adjustRightInd w:val="0"/>
              <w:jc w:val="center"/>
              <w:rPr>
                <w:b/>
                <w:sz w:val="20"/>
              </w:rPr>
            </w:pPr>
            <w:r w:rsidRPr="00CA41A1">
              <w:rPr>
                <w:b/>
                <w:sz w:val="20"/>
              </w:rPr>
              <w:t>C</w:t>
            </w:r>
          </w:p>
        </w:tc>
        <w:tc>
          <w:tcPr>
            <w:tcW w:w="3225" w:type="pct"/>
            <w:tcMar>
              <w:top w:w="0" w:type="dxa"/>
              <w:left w:w="115" w:type="dxa"/>
              <w:bottom w:w="0" w:type="dxa"/>
              <w:right w:w="115" w:type="dxa"/>
            </w:tcMar>
            <w:vAlign w:val="center"/>
          </w:tcPr>
          <w:p w14:paraId="6597BF22" w14:textId="52D73035" w:rsidR="003A0478" w:rsidRPr="00CA41A1" w:rsidRDefault="003A0478" w:rsidP="003A0478">
            <w:pPr>
              <w:autoSpaceDE w:val="0"/>
              <w:autoSpaceDN w:val="0"/>
              <w:adjustRightInd w:val="0"/>
              <w:rPr>
                <w:sz w:val="20"/>
              </w:rPr>
            </w:pPr>
            <w:r w:rsidRPr="00CA41A1">
              <w:rPr>
                <w:sz w:val="20"/>
              </w:rPr>
              <w:t>8:</w:t>
            </w:r>
            <w:r>
              <w:rPr>
                <w:sz w:val="20"/>
              </w:rPr>
              <w:t xml:space="preserve"> </w:t>
            </w:r>
            <w:r w:rsidRPr="00CA41A1">
              <w:rPr>
                <w:sz w:val="20"/>
              </w:rPr>
              <w:t>Private for profit less-than-2-year</w:t>
            </w:r>
          </w:p>
        </w:tc>
        <w:tc>
          <w:tcPr>
            <w:tcW w:w="959" w:type="pct"/>
            <w:vAlign w:val="center"/>
          </w:tcPr>
          <w:p w14:paraId="098C5EA3" w14:textId="00CAFC43" w:rsidR="003A0478" w:rsidRPr="00CA41A1" w:rsidRDefault="003A0478" w:rsidP="003A0478">
            <w:pPr>
              <w:autoSpaceDE w:val="0"/>
              <w:autoSpaceDN w:val="0"/>
              <w:adjustRightInd w:val="0"/>
              <w:jc w:val="right"/>
              <w:rPr>
                <w:sz w:val="20"/>
              </w:rPr>
            </w:pPr>
            <w:r>
              <w:rPr>
                <w:sz w:val="20"/>
              </w:rPr>
              <w:t>1,463</w:t>
            </w:r>
          </w:p>
        </w:tc>
      </w:tr>
      <w:tr w:rsidR="003A0478" w:rsidRPr="00B15958" w14:paraId="3D79BD94" w14:textId="77777777" w:rsidTr="00E06B62">
        <w:trPr>
          <w:trHeight w:val="144"/>
        </w:trPr>
        <w:tc>
          <w:tcPr>
            <w:tcW w:w="816" w:type="pct"/>
            <w:tcMar>
              <w:top w:w="0" w:type="dxa"/>
              <w:left w:w="115" w:type="dxa"/>
              <w:bottom w:w="0" w:type="dxa"/>
              <w:right w:w="115" w:type="dxa"/>
            </w:tcMar>
            <w:vAlign w:val="center"/>
          </w:tcPr>
          <w:p w14:paraId="3B1FBB92" w14:textId="77777777" w:rsidR="003A0478" w:rsidRPr="00CA41A1" w:rsidRDefault="003A0478" w:rsidP="003A0478">
            <w:pPr>
              <w:autoSpaceDE w:val="0"/>
              <w:autoSpaceDN w:val="0"/>
              <w:adjustRightInd w:val="0"/>
              <w:jc w:val="center"/>
              <w:rPr>
                <w:b/>
                <w:sz w:val="20"/>
              </w:rPr>
            </w:pPr>
            <w:r w:rsidRPr="00CA41A1">
              <w:rPr>
                <w:b/>
                <w:sz w:val="20"/>
              </w:rPr>
              <w:t>D</w:t>
            </w:r>
          </w:p>
        </w:tc>
        <w:tc>
          <w:tcPr>
            <w:tcW w:w="3225" w:type="pct"/>
            <w:tcMar>
              <w:top w:w="0" w:type="dxa"/>
              <w:left w:w="115" w:type="dxa"/>
              <w:bottom w:w="0" w:type="dxa"/>
              <w:right w:w="115" w:type="dxa"/>
            </w:tcMar>
            <w:vAlign w:val="center"/>
          </w:tcPr>
          <w:p w14:paraId="4B6BA71B" w14:textId="422D4D7E" w:rsidR="003A0478" w:rsidRPr="00CA41A1" w:rsidRDefault="003A0478" w:rsidP="003A0478">
            <w:pPr>
              <w:autoSpaceDE w:val="0"/>
              <w:autoSpaceDN w:val="0"/>
              <w:adjustRightInd w:val="0"/>
              <w:rPr>
                <w:sz w:val="20"/>
              </w:rPr>
            </w:pPr>
            <w:r w:rsidRPr="00CA41A1">
              <w:rPr>
                <w:sz w:val="20"/>
              </w:rPr>
              <w:t>9:</w:t>
            </w:r>
            <w:r>
              <w:rPr>
                <w:sz w:val="20"/>
              </w:rPr>
              <w:t xml:space="preserve"> </w:t>
            </w:r>
            <w:r w:rsidRPr="00CA41A1">
              <w:rPr>
                <w:sz w:val="20"/>
              </w:rPr>
              <w:t>Private for profit 2-year</w:t>
            </w:r>
          </w:p>
        </w:tc>
        <w:tc>
          <w:tcPr>
            <w:tcW w:w="959" w:type="pct"/>
            <w:vAlign w:val="center"/>
          </w:tcPr>
          <w:p w14:paraId="7BF69331" w14:textId="063C4C24" w:rsidR="003A0478" w:rsidRPr="00CA41A1" w:rsidRDefault="003A0478" w:rsidP="003A0478">
            <w:pPr>
              <w:autoSpaceDE w:val="0"/>
              <w:autoSpaceDN w:val="0"/>
              <w:adjustRightInd w:val="0"/>
              <w:jc w:val="right"/>
              <w:rPr>
                <w:sz w:val="20"/>
              </w:rPr>
            </w:pPr>
            <w:r>
              <w:rPr>
                <w:sz w:val="20"/>
              </w:rPr>
              <w:t>3,132</w:t>
            </w:r>
          </w:p>
        </w:tc>
      </w:tr>
      <w:tr w:rsidR="003A0478" w:rsidRPr="00B15958" w14:paraId="4742C082" w14:textId="77777777" w:rsidTr="00E06B62">
        <w:trPr>
          <w:trHeight w:val="144"/>
        </w:trPr>
        <w:tc>
          <w:tcPr>
            <w:tcW w:w="816" w:type="pct"/>
            <w:tcMar>
              <w:top w:w="0" w:type="dxa"/>
              <w:left w:w="115" w:type="dxa"/>
              <w:bottom w:w="0" w:type="dxa"/>
              <w:right w:w="115" w:type="dxa"/>
            </w:tcMar>
            <w:vAlign w:val="center"/>
          </w:tcPr>
          <w:p w14:paraId="026ABD7F" w14:textId="77777777" w:rsidR="003A0478" w:rsidRPr="00CA41A1" w:rsidRDefault="003A0478" w:rsidP="003A0478">
            <w:pPr>
              <w:autoSpaceDE w:val="0"/>
              <w:autoSpaceDN w:val="0"/>
              <w:adjustRightInd w:val="0"/>
              <w:jc w:val="center"/>
              <w:rPr>
                <w:b/>
                <w:sz w:val="20"/>
              </w:rPr>
            </w:pPr>
            <w:r w:rsidRPr="00CA41A1">
              <w:rPr>
                <w:b/>
                <w:sz w:val="20"/>
              </w:rPr>
              <w:t>E</w:t>
            </w:r>
          </w:p>
        </w:tc>
        <w:tc>
          <w:tcPr>
            <w:tcW w:w="3225" w:type="pct"/>
            <w:tcMar>
              <w:top w:w="0" w:type="dxa"/>
              <w:left w:w="115" w:type="dxa"/>
              <w:bottom w:w="0" w:type="dxa"/>
              <w:right w:w="115" w:type="dxa"/>
            </w:tcMar>
            <w:vAlign w:val="center"/>
          </w:tcPr>
          <w:p w14:paraId="53F465BC" w14:textId="77777777" w:rsidR="003A0478" w:rsidRPr="00CA41A1" w:rsidRDefault="003A0478" w:rsidP="003A0478">
            <w:pPr>
              <w:autoSpaceDE w:val="0"/>
              <w:autoSpaceDN w:val="0"/>
              <w:adjustRightInd w:val="0"/>
              <w:rPr>
                <w:sz w:val="20"/>
              </w:rPr>
            </w:pPr>
            <w:r w:rsidRPr="00CA41A1">
              <w:rPr>
                <w:sz w:val="20"/>
              </w:rPr>
              <w:t>10: Private for profit 4-year</w:t>
            </w:r>
          </w:p>
        </w:tc>
        <w:tc>
          <w:tcPr>
            <w:tcW w:w="959" w:type="pct"/>
            <w:vAlign w:val="center"/>
          </w:tcPr>
          <w:p w14:paraId="61EFCAC5" w14:textId="5241C497" w:rsidR="003A0478" w:rsidRPr="00CA41A1" w:rsidRDefault="003A0478" w:rsidP="003A0478">
            <w:pPr>
              <w:autoSpaceDE w:val="0"/>
              <w:autoSpaceDN w:val="0"/>
              <w:adjustRightInd w:val="0"/>
              <w:jc w:val="right"/>
              <w:rPr>
                <w:sz w:val="20"/>
              </w:rPr>
            </w:pPr>
            <w:r>
              <w:rPr>
                <w:sz w:val="20"/>
              </w:rPr>
              <w:t>8,340</w:t>
            </w:r>
          </w:p>
        </w:tc>
      </w:tr>
    </w:tbl>
    <w:p w14:paraId="66E3F273" w14:textId="3276B7ED" w:rsidR="00F52E30" w:rsidRDefault="00486F2E" w:rsidP="00A8796F">
      <w:pPr>
        <w:pStyle w:val="BodyText"/>
        <w:widowControl w:val="0"/>
        <w:spacing w:line="240" w:lineRule="auto"/>
        <w:ind w:firstLine="0"/>
      </w:pPr>
      <w:r w:rsidRPr="007C0274">
        <w:t xml:space="preserve">All NPSAS:12 study members </w:t>
      </w:r>
      <w:r>
        <w:t>who</w:t>
      </w:r>
      <w:r w:rsidRPr="007C0274">
        <w:t xml:space="preserve"> responded to the NPSAS:12 or BPS:12/14 </w:t>
      </w:r>
      <w:r>
        <w:t xml:space="preserve">student </w:t>
      </w:r>
      <w:r w:rsidRPr="007C0274">
        <w:t>interviews (hereafter called previous respondents) will be initially offered a $30 incentive</w:t>
      </w:r>
      <w:r>
        <w:t xml:space="preserve">, determined to be an </w:t>
      </w:r>
      <w:r w:rsidRPr="007C0274">
        <w:t xml:space="preserve">optimal </w:t>
      </w:r>
      <w:r>
        <w:t xml:space="preserve">baseline incentive offer during the </w:t>
      </w:r>
      <w:r w:rsidRPr="007C0274">
        <w:t xml:space="preserve">BPS:12/14 </w:t>
      </w:r>
      <w:r>
        <w:t xml:space="preserve">Phase 1 experiment with the </w:t>
      </w:r>
      <w:r w:rsidRPr="007C0274">
        <w:t xml:space="preserve">calibration </w:t>
      </w:r>
      <w:r>
        <w:t>sample</w:t>
      </w:r>
      <w:r w:rsidRPr="007C0274">
        <w:t xml:space="preserve">. Following </w:t>
      </w:r>
      <w:r>
        <w:t xml:space="preserve">the $30 </w:t>
      </w:r>
      <w:r w:rsidRPr="007C0274">
        <w:t>baseline offer, t</w:t>
      </w:r>
      <w:r w:rsidRPr="006773F6">
        <w:t xml:space="preserve">wo different targeted interventions will be utilized </w:t>
      </w:r>
      <w:r>
        <w:t>for</w:t>
      </w:r>
      <w:r w:rsidRPr="006773F6">
        <w:t xml:space="preserve"> </w:t>
      </w:r>
      <w:r>
        <w:t>the BPS:12/17 responsive design approach:</w:t>
      </w:r>
    </w:p>
    <w:p w14:paraId="10345B25" w14:textId="77777777" w:rsidR="00F52E30" w:rsidRDefault="00486F2E" w:rsidP="00486F2E">
      <w:pPr>
        <w:pStyle w:val="ListParagraph"/>
        <w:numPr>
          <w:ilvl w:val="0"/>
          <w:numId w:val="25"/>
        </w:numPr>
        <w:spacing w:after="200"/>
        <w:ind w:left="1080"/>
        <w:contextualSpacing/>
        <w:rPr>
          <w:rFonts w:asciiTheme="majorBidi" w:hAnsiTheme="majorBidi" w:cstheme="majorBidi"/>
          <w:sz w:val="24"/>
          <w:szCs w:val="24"/>
        </w:rPr>
      </w:pPr>
      <w:r w:rsidRPr="006773F6">
        <w:rPr>
          <w:rFonts w:asciiTheme="majorBidi" w:hAnsiTheme="majorBidi" w:cstheme="majorBidi"/>
          <w:sz w:val="24"/>
          <w:szCs w:val="24"/>
        </w:rPr>
        <w:t>First Intervention (Incentive Boost): Targeted cases will be offered a</w:t>
      </w:r>
      <w:r>
        <w:rPr>
          <w:rFonts w:asciiTheme="majorBidi" w:hAnsiTheme="majorBidi" w:cstheme="majorBidi"/>
          <w:sz w:val="24"/>
          <w:szCs w:val="24"/>
        </w:rPr>
        <w:t>n additional</w:t>
      </w:r>
      <w:r w:rsidRPr="006773F6">
        <w:rPr>
          <w:rFonts w:asciiTheme="majorBidi" w:hAnsiTheme="majorBidi" w:cstheme="majorBidi"/>
          <w:sz w:val="24"/>
          <w:szCs w:val="24"/>
        </w:rPr>
        <w:t xml:space="preserve"> $45 over an individual’s baseline incentive amount. </w:t>
      </w:r>
      <w:r>
        <w:rPr>
          <w:rFonts w:asciiTheme="majorBidi" w:hAnsiTheme="majorBidi" w:cstheme="majorBidi"/>
          <w:sz w:val="24"/>
          <w:szCs w:val="24"/>
        </w:rPr>
        <w:t xml:space="preserve">The $45 </w:t>
      </w:r>
      <w:r w:rsidRPr="006773F6">
        <w:rPr>
          <w:rFonts w:asciiTheme="majorBidi" w:hAnsiTheme="majorBidi" w:cstheme="majorBidi"/>
          <w:sz w:val="24"/>
          <w:szCs w:val="24"/>
        </w:rPr>
        <w:t xml:space="preserve">amount is based on the amount </w:t>
      </w:r>
      <w:r>
        <w:rPr>
          <w:rFonts w:asciiTheme="majorBidi" w:hAnsiTheme="majorBidi" w:cstheme="majorBidi"/>
          <w:sz w:val="24"/>
          <w:szCs w:val="24"/>
        </w:rPr>
        <w:t xml:space="preserve">identified as optimal </w:t>
      </w:r>
      <w:r w:rsidRPr="006773F6">
        <w:rPr>
          <w:rFonts w:asciiTheme="majorBidi" w:hAnsiTheme="majorBidi" w:cstheme="majorBidi"/>
          <w:sz w:val="24"/>
          <w:szCs w:val="24"/>
        </w:rPr>
        <w:t xml:space="preserve">during </w:t>
      </w:r>
      <w:r>
        <w:rPr>
          <w:rFonts w:asciiTheme="majorBidi" w:hAnsiTheme="majorBidi" w:cstheme="majorBidi"/>
          <w:sz w:val="24"/>
          <w:szCs w:val="24"/>
        </w:rPr>
        <w:t xml:space="preserve">Phase 3 of the </w:t>
      </w:r>
      <w:r w:rsidRPr="006773F6">
        <w:rPr>
          <w:rFonts w:asciiTheme="majorBidi" w:hAnsiTheme="majorBidi" w:cstheme="majorBidi"/>
          <w:sz w:val="24"/>
          <w:szCs w:val="24"/>
        </w:rPr>
        <w:t>BPS:12/14</w:t>
      </w:r>
      <w:r>
        <w:rPr>
          <w:rFonts w:asciiTheme="majorBidi" w:hAnsiTheme="majorBidi" w:cstheme="majorBidi"/>
          <w:sz w:val="24"/>
          <w:szCs w:val="24"/>
        </w:rPr>
        <w:t xml:space="preserve"> calibration experiment</w:t>
      </w:r>
      <w:r w:rsidRPr="006773F6">
        <w:rPr>
          <w:rFonts w:asciiTheme="majorBidi" w:hAnsiTheme="majorBidi" w:cstheme="majorBidi"/>
          <w:sz w:val="24"/>
          <w:szCs w:val="24"/>
        </w:rPr>
        <w:t>.</w:t>
      </w:r>
    </w:p>
    <w:p w14:paraId="02B88034" w14:textId="37D0927A" w:rsidR="00486F2E" w:rsidRDefault="00486F2E" w:rsidP="00486F2E">
      <w:pPr>
        <w:pStyle w:val="ListParagraph"/>
        <w:numPr>
          <w:ilvl w:val="0"/>
          <w:numId w:val="25"/>
        </w:numPr>
        <w:ind w:left="1080"/>
        <w:contextualSpacing/>
        <w:rPr>
          <w:rFonts w:asciiTheme="majorBidi" w:hAnsiTheme="majorBidi" w:cstheme="majorBidi"/>
          <w:sz w:val="24"/>
          <w:szCs w:val="24"/>
        </w:rPr>
      </w:pPr>
      <w:r>
        <w:rPr>
          <w:rFonts w:asciiTheme="majorBidi" w:hAnsiTheme="majorBidi" w:cstheme="majorBidi"/>
          <w:sz w:val="24"/>
          <w:szCs w:val="24"/>
        </w:rPr>
        <w:t>Second Intervention (</w:t>
      </w:r>
      <w:r w:rsidRPr="006773F6">
        <w:rPr>
          <w:rFonts w:asciiTheme="majorBidi" w:hAnsiTheme="majorBidi" w:cstheme="majorBidi"/>
          <w:sz w:val="24"/>
          <w:szCs w:val="24"/>
        </w:rPr>
        <w:t>Abbreviated Interview): Targeted cases will be offered an abbreviated interview at 21 weeks</w:t>
      </w:r>
      <w:r w:rsidR="00E06B62">
        <w:rPr>
          <w:rFonts w:asciiTheme="majorBidi" w:hAnsiTheme="majorBidi" w:cstheme="majorBidi"/>
          <w:sz w:val="24"/>
          <w:szCs w:val="24"/>
        </w:rPr>
        <w:t xml:space="preserve"> (note that all cases will be offered abbreviated interview at 31 weeks)</w:t>
      </w:r>
      <w:r w:rsidRPr="006773F6">
        <w:rPr>
          <w:rFonts w:asciiTheme="majorBidi" w:hAnsiTheme="majorBidi" w:cstheme="majorBidi"/>
          <w:sz w:val="24"/>
          <w:szCs w:val="24"/>
        </w:rPr>
        <w:t>.</w:t>
      </w:r>
    </w:p>
    <w:p w14:paraId="7B1AF42C" w14:textId="0D915716" w:rsidR="00486F2E" w:rsidRPr="007C0274" w:rsidRDefault="00486F2E" w:rsidP="00486F2E">
      <w:pPr>
        <w:contextualSpacing/>
        <w:rPr>
          <w:rFonts w:asciiTheme="majorBidi" w:hAnsiTheme="majorBidi" w:cstheme="majorBidi"/>
          <w:szCs w:val="24"/>
        </w:rPr>
      </w:pPr>
      <w:r w:rsidRPr="007C0274">
        <w:rPr>
          <w:szCs w:val="24"/>
        </w:rPr>
        <w:t>Before each targeted intervention</w:t>
      </w:r>
      <w:r>
        <w:rPr>
          <w:szCs w:val="24"/>
        </w:rPr>
        <w:t>,</w:t>
      </w:r>
      <w:r w:rsidRPr="007C0274">
        <w:rPr>
          <w:szCs w:val="24"/>
        </w:rPr>
        <w:t xml:space="preserve"> </w:t>
      </w:r>
      <w:r>
        <w:rPr>
          <w:szCs w:val="24"/>
        </w:rPr>
        <w:t xml:space="preserve">predicted bias-likelihood values </w:t>
      </w:r>
      <w:r w:rsidRPr="007C0274">
        <w:rPr>
          <w:szCs w:val="24"/>
        </w:rPr>
        <w:t xml:space="preserve">and composite propensity scores </w:t>
      </w:r>
      <w:r>
        <w:rPr>
          <w:szCs w:val="24"/>
        </w:rPr>
        <w:t xml:space="preserve">will be calculated for all interview </w:t>
      </w:r>
      <w:proofErr w:type="spellStart"/>
      <w:r>
        <w:rPr>
          <w:szCs w:val="24"/>
        </w:rPr>
        <w:t>nonrespondents</w:t>
      </w:r>
      <w:proofErr w:type="spellEnd"/>
      <w:r w:rsidRPr="007C0274">
        <w:rPr>
          <w:szCs w:val="24"/>
        </w:rPr>
        <w:t xml:space="preserve">. </w:t>
      </w:r>
      <w:r>
        <w:rPr>
          <w:szCs w:val="24"/>
        </w:rPr>
        <w:t>The product of the bias-likelihood and response propensity will be used to calculate the target importance score described above</w:t>
      </w:r>
      <w:r w:rsidRPr="0078383A">
        <w:rPr>
          <w:szCs w:val="24"/>
        </w:rPr>
        <w:t>. Propensity scores above high and low cutoffs, determined by a review of the predicted distribution, will be excluded as potential targets</w:t>
      </w:r>
      <w:r w:rsidR="00767F1A" w:rsidRPr="0078383A">
        <w:rPr>
          <w:szCs w:val="24"/>
        </w:rPr>
        <w:t xml:space="preserve"> during data collection</w:t>
      </w:r>
      <w:r w:rsidRPr="0078383A">
        <w:rPr>
          <w:sz w:val="20"/>
          <w:vertAlign w:val="superscript"/>
        </w:rPr>
        <w:footnoteReference w:id="7"/>
      </w:r>
      <w:r w:rsidRPr="0078383A">
        <w:rPr>
          <w:szCs w:val="24"/>
        </w:rPr>
        <w:t>.</w:t>
      </w:r>
    </w:p>
    <w:p w14:paraId="6F11F6B7" w14:textId="401FAD14" w:rsidR="00F52E30" w:rsidRDefault="00486F2E" w:rsidP="00A8796F">
      <w:pPr>
        <w:pStyle w:val="BodyText"/>
        <w:widowControl w:val="0"/>
        <w:spacing w:line="240" w:lineRule="auto"/>
        <w:ind w:firstLine="0"/>
      </w:pPr>
      <w:r>
        <w:rPr>
          <w:b/>
          <w:bCs/>
          <w:iCs/>
        </w:rPr>
        <w:t>Pre-paid</w:t>
      </w:r>
      <w:r w:rsidRPr="00C21A71">
        <w:rPr>
          <w:b/>
          <w:bCs/>
          <w:iCs/>
        </w:rPr>
        <w:t xml:space="preserve"> calibration experiment.</w:t>
      </w:r>
      <w:r w:rsidRPr="002A02E3">
        <w:t xml:space="preserve"> </w:t>
      </w:r>
      <w:r>
        <w:t>It is widely accepted that survey response rates have been in decline in the last decade.</w:t>
      </w:r>
      <w:r w:rsidR="00F52E30">
        <w:t xml:space="preserve"> </w:t>
      </w:r>
      <w:r>
        <w:t>Incentives, and in particular prepaid incentives, can often help maximize participation. BPS will test a prepaid incentive, delivered electronically in the form of a PayPal</w:t>
      </w:r>
      <w:r w:rsidR="008C565C">
        <w:rPr>
          <w:rStyle w:val="FootnoteReference"/>
        </w:rPr>
        <w:footnoteReference w:id="8"/>
      </w:r>
      <w:r>
        <w:t xml:space="preserve"> payment, to selected sample members. </w:t>
      </w:r>
      <w:r w:rsidRPr="002A02E3">
        <w:t xml:space="preserve">Prior to the start of full-scale </w:t>
      </w:r>
      <w:r>
        <w:t xml:space="preserve">data </w:t>
      </w:r>
      <w:r w:rsidRPr="002A02E3">
        <w:t xml:space="preserve">collection, </w:t>
      </w:r>
      <w:r>
        <w:t>2,97</w:t>
      </w:r>
      <w:r w:rsidR="000F52A4">
        <w:t>0</w:t>
      </w:r>
      <w:r>
        <w:t xml:space="preserve"> members</w:t>
      </w:r>
      <w:r w:rsidRPr="002A02E3">
        <w:t xml:space="preserve"> of the </w:t>
      </w:r>
      <w:r>
        <w:t xml:space="preserve">previous respondent </w:t>
      </w:r>
      <w:r w:rsidRPr="002A02E3">
        <w:t>main sample will be i</w:t>
      </w:r>
      <w:r>
        <w:t>dentified to participate in a</w:t>
      </w:r>
      <w:r w:rsidRPr="002A02E3">
        <w:t xml:space="preserve"> calibration study </w:t>
      </w:r>
      <w:r>
        <w:t>to evaluat</w:t>
      </w:r>
      <w:r w:rsidR="000C6FE9">
        <w:t>e</w:t>
      </w:r>
      <w:r>
        <w:t xml:space="preserve"> the effectiveness of the pre-paid PayPal offer</w:t>
      </w:r>
      <w:r w:rsidRPr="002A02E3">
        <w:t>.</w:t>
      </w:r>
      <w:r>
        <w:t xml:space="preserve"> At the conclusion of this randomized calibration study, NCES will meet with </w:t>
      </w:r>
      <w:r w:rsidR="00CA1A63">
        <w:t xml:space="preserve">OMB </w:t>
      </w:r>
      <w:r>
        <w:t xml:space="preserve">to discuss the results of the experiment and to </w:t>
      </w:r>
      <w:r w:rsidR="00E06B62">
        <w:t xml:space="preserve">seek </w:t>
      </w:r>
      <w:r w:rsidR="00CA1A63">
        <w:t xml:space="preserve">OMB </w:t>
      </w:r>
      <w:r w:rsidR="00E06B62">
        <w:t>approval through a change request</w:t>
      </w:r>
      <w:r>
        <w:t xml:space="preserve"> </w:t>
      </w:r>
      <w:r w:rsidR="00CA1A63">
        <w:t xml:space="preserve">for </w:t>
      </w:r>
      <w:r>
        <w:t xml:space="preserve">the pre-paid offer for the remaining </w:t>
      </w:r>
      <w:proofErr w:type="spellStart"/>
      <w:r>
        <w:t>nonrespondent</w:t>
      </w:r>
      <w:proofErr w:type="spellEnd"/>
      <w:r>
        <w:t xml:space="preserve"> sample. </w:t>
      </w:r>
      <w:r w:rsidRPr="000350A2">
        <w:t xml:space="preserve">Half of the calibration sample will receive a $10 pre-paid PayPal </w:t>
      </w:r>
      <w:r w:rsidR="00CA1A63">
        <w:t>amount</w:t>
      </w:r>
      <w:r w:rsidRPr="000350A2">
        <w:t xml:space="preserve"> and </w:t>
      </w:r>
      <w:r w:rsidR="00CA1A63">
        <w:t>an offer to</w:t>
      </w:r>
      <w:r w:rsidRPr="000350A2">
        <w:t xml:space="preserve"> receive another $20 upon completion of the survey ($30 total).</w:t>
      </w:r>
      <w:r>
        <w:t xml:space="preserve"> </w:t>
      </w:r>
      <w:r w:rsidRPr="000350A2">
        <w:t xml:space="preserve">The other half will </w:t>
      </w:r>
      <w:r w:rsidRPr="000350A2">
        <w:lastRenderedPageBreak/>
        <w:t xml:space="preserve">receive an offer for $30 upon completion of the survey with no pre-paid </w:t>
      </w:r>
      <w:r w:rsidR="00CA1A63">
        <w:t>amount</w:t>
      </w:r>
      <w:r w:rsidRPr="000350A2">
        <w:t>.</w:t>
      </w:r>
      <w:r>
        <w:t xml:space="preserve"> </w:t>
      </w:r>
      <w:r w:rsidRPr="000350A2">
        <w:t>At six weeks the</w:t>
      </w:r>
      <w:r>
        <w:t xml:space="preserve"> response rates for the</w:t>
      </w:r>
      <w:r w:rsidRPr="000350A2">
        <w:t xml:space="preserve"> two approaches will be compared to determine if the pre-paid offer should be extended to the main sample.</w:t>
      </w:r>
      <w:r w:rsidR="00310B16">
        <w:t xml:space="preserve"> </w:t>
      </w:r>
      <w:r w:rsidR="00310B16" w:rsidRPr="00310B16">
        <w:t>For all monetary incentives, including prepayments, sample members have the option of receiving disbursements through PayPal or in the form of a check.</w:t>
      </w:r>
    </w:p>
    <w:p w14:paraId="4D0FA057" w14:textId="719B475A" w:rsidR="000F52A4" w:rsidRDefault="000F52A4" w:rsidP="000F52A4">
      <w:pPr>
        <w:pStyle w:val="BodyText"/>
        <w:spacing w:line="240" w:lineRule="auto"/>
        <w:ind w:firstLine="0"/>
      </w:pPr>
      <w:r>
        <w:t xml:space="preserve">During the calibration phase in March 2017, PayPal compliance notified RTI that three sample members designated to be given a pre-paid incentive were flagged as persons possibly sanctioned by </w:t>
      </w:r>
      <w:r w:rsidR="001A4F84">
        <w:t>U.S. Department of the Treasury’s Office of Foreign Assets Control (OFAC)</w:t>
      </w:r>
      <w:r>
        <w:t xml:space="preserve">. </w:t>
      </w:r>
      <w:r w:rsidRPr="00705A27">
        <w:t>To comply with</w:t>
      </w:r>
      <w:r>
        <w:t xml:space="preserve"> OFAC sanctions and to ensure the </w:t>
      </w:r>
      <w:r w:rsidR="001A4F84">
        <w:t xml:space="preserve">BPS:12/17 </w:t>
      </w:r>
      <w:r>
        <w:t>PayPal account remained</w:t>
      </w:r>
      <w:r w:rsidRPr="00705A27">
        <w:t xml:space="preserve"> in good standing, RTI began implementing methods to identify sample members who may match</w:t>
      </w:r>
      <w:r>
        <w:t xml:space="preserve"> to</w:t>
      </w:r>
      <w:r w:rsidRPr="00705A27">
        <w:t xml:space="preserve"> those listed on OFAC’s Specially Designated Nationals and Blocked Persons (SDN) list. Programmatic matching, using methods recommended </w:t>
      </w:r>
      <w:r w:rsidR="001A4F84">
        <w:t xml:space="preserve">in the </w:t>
      </w:r>
      <w:r w:rsidRPr="00705A27">
        <w:t xml:space="preserve">OFAC’s Web-based Sanction List Search tool, was performed on the </w:t>
      </w:r>
      <w:r>
        <w:t>entire BPS</w:t>
      </w:r>
      <w:proofErr w:type="gramStart"/>
      <w:r>
        <w:t>:12</w:t>
      </w:r>
      <w:proofErr w:type="gramEnd"/>
      <w:r>
        <w:t>/17 fielded sample (n=33,750</w:t>
      </w:r>
      <w:r w:rsidRPr="00705A27">
        <w:t xml:space="preserve">). This matching process resulted in 345 potential matches between the BPS:12/17 sample and the SDN list. The </w:t>
      </w:r>
      <w:r>
        <w:t xml:space="preserve">345 </w:t>
      </w:r>
      <w:r w:rsidRPr="00705A27">
        <w:t>cases were manually reviewed</w:t>
      </w:r>
      <w:r>
        <w:t xml:space="preserve"> against additional sources of information. Of these cases, 315 </w:t>
      </w:r>
      <w:r w:rsidRPr="00705A27">
        <w:t>individuals were ruled out as matches to individuals on the OFAC SDN list.</w:t>
      </w:r>
      <w:r>
        <w:t xml:space="preserve"> The remaining</w:t>
      </w:r>
      <w:r w:rsidRPr="00705A27">
        <w:t xml:space="preserve"> 30 cases </w:t>
      </w:r>
      <w:r>
        <w:t xml:space="preserve">in the main and calibration samples </w:t>
      </w:r>
      <w:r w:rsidRPr="00705A27">
        <w:t xml:space="preserve">could not be ruled out as sanctioned individuals. </w:t>
      </w:r>
      <w:r>
        <w:t xml:space="preserve">To comply with OFAC requirements and to avoid compliance issues with PayPal, the 315 individuals </w:t>
      </w:r>
      <w:r w:rsidR="001A4F84">
        <w:t xml:space="preserve">will be offered </w:t>
      </w:r>
      <w:r>
        <w:t>an incentive by check only. The remaining 30 cases will not be fielded in BPS</w:t>
      </w:r>
      <w:proofErr w:type="gramStart"/>
      <w:r>
        <w:t>:12</w:t>
      </w:r>
      <w:proofErr w:type="gramEnd"/>
      <w:r>
        <w:t xml:space="preserve">/17 and will </w:t>
      </w:r>
      <w:r w:rsidR="001A4F84">
        <w:t xml:space="preserve">be </w:t>
      </w:r>
      <w:r>
        <w:t>excluded from the survey. Of those excluded, 3 cases were in the calibration sample, and 27 cases were in the main sample.</w:t>
      </w:r>
    </w:p>
    <w:p w14:paraId="7A994D1D" w14:textId="2EC0DA76" w:rsidR="00F52E30" w:rsidRDefault="00486F2E" w:rsidP="00A8796F">
      <w:pPr>
        <w:pStyle w:val="BodyText"/>
        <w:widowControl w:val="0"/>
        <w:spacing w:line="240" w:lineRule="auto"/>
        <w:ind w:firstLine="0"/>
      </w:pPr>
      <w:r>
        <w:t>After</w:t>
      </w:r>
      <w:r w:rsidRPr="002A02E3">
        <w:t xml:space="preserve"> the </w:t>
      </w:r>
      <w:r>
        <w:t>calibration experiment</w:t>
      </w:r>
      <w:r w:rsidRPr="002A02E3">
        <w:t xml:space="preserve"> </w:t>
      </w:r>
      <w:r>
        <w:t>detailed</w:t>
      </w:r>
      <w:r w:rsidRPr="002A02E3">
        <w:t xml:space="preserve"> above, </w:t>
      </w:r>
      <w:r>
        <w:t xml:space="preserve">the </w:t>
      </w:r>
      <w:r w:rsidRPr="002A02E3">
        <w:t>calibration sampl</w:t>
      </w:r>
      <w:r>
        <w:t xml:space="preserve">e will join with the main sample to continue data collection efforts. </w:t>
      </w:r>
      <w:r w:rsidRPr="002A02E3">
        <w:t>These are described in detail be</w:t>
      </w:r>
      <w:r>
        <w:t xml:space="preserve">low, summarized in table </w:t>
      </w:r>
      <w:r w:rsidR="00B14EAC">
        <w:t>9</w:t>
      </w:r>
      <w:r w:rsidR="00CA1A63">
        <w:t>, and t</w:t>
      </w:r>
      <w:r>
        <w:t>h</w:t>
      </w:r>
      <w:r w:rsidR="00CA1A63">
        <w:t>e</w:t>
      </w:r>
      <w:r>
        <w:t>i</w:t>
      </w:r>
      <w:r w:rsidR="00CA1A63">
        <w:t>r</w:t>
      </w:r>
      <w:r>
        <w:t xml:space="preserve"> timeline is shown graphically in figure 1.</w:t>
      </w:r>
    </w:p>
    <w:p w14:paraId="6B876D34" w14:textId="074CBE06" w:rsidR="00486F2E" w:rsidRPr="00635093" w:rsidRDefault="00486F2E" w:rsidP="001273CB">
      <w:pPr>
        <w:pStyle w:val="TableTitle"/>
        <w:spacing w:before="120" w:after="60"/>
        <w:ind w:left="994" w:hanging="994"/>
      </w:pPr>
      <w:bookmarkStart w:id="112" w:name="_Toc456167112"/>
      <w:r>
        <w:t xml:space="preserve">Table </w:t>
      </w:r>
      <w:r w:rsidR="00B14EAC">
        <w:t>9</w:t>
      </w:r>
      <w:r w:rsidR="002B537E">
        <w:t xml:space="preserve">. </w:t>
      </w:r>
      <w:r>
        <w:t>Timeline for previous respondents</w:t>
      </w:r>
      <w:bookmarkEnd w:id="112"/>
    </w:p>
    <w:tbl>
      <w:tblPr>
        <w:tblStyle w:val="TableGrid"/>
        <w:tblW w:w="10242" w:type="dxa"/>
        <w:tblLook w:val="04A0" w:firstRow="1" w:lastRow="0" w:firstColumn="1" w:lastColumn="0" w:noHBand="0" w:noVBand="1"/>
      </w:tblPr>
      <w:tblGrid>
        <w:gridCol w:w="900"/>
        <w:gridCol w:w="1685"/>
        <w:gridCol w:w="1645"/>
        <w:gridCol w:w="2880"/>
        <w:gridCol w:w="3132"/>
      </w:tblGrid>
      <w:tr w:rsidR="00486F2E" w14:paraId="2AD4CE88" w14:textId="77777777" w:rsidTr="002539E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0" w:type="dxa"/>
            <w:shd w:val="clear" w:color="auto" w:fill="D9D9D9" w:themeFill="background1" w:themeFillShade="D9"/>
            <w:noWrap/>
            <w:hideMark/>
          </w:tcPr>
          <w:p w14:paraId="45754838" w14:textId="77777777" w:rsidR="00486F2E" w:rsidRPr="00CA41A1" w:rsidRDefault="00486F2E" w:rsidP="00A8796F">
            <w:pPr>
              <w:widowControl w:val="0"/>
              <w:spacing w:before="120" w:after="120"/>
              <w:jc w:val="center"/>
              <w:rPr>
                <w:b/>
                <w:bCs/>
                <w:color w:val="000000"/>
                <w:sz w:val="20"/>
              </w:rPr>
            </w:pPr>
            <w:r w:rsidRPr="00CA41A1">
              <w:rPr>
                <w:b/>
                <w:bCs/>
                <w:color w:val="000000"/>
                <w:sz w:val="20"/>
              </w:rPr>
              <w:t>Phase</w:t>
            </w:r>
          </w:p>
        </w:tc>
        <w:tc>
          <w:tcPr>
            <w:tcW w:w="3330" w:type="dxa"/>
            <w:gridSpan w:val="2"/>
            <w:shd w:val="clear" w:color="auto" w:fill="D9D9D9" w:themeFill="background1" w:themeFillShade="D9"/>
            <w:noWrap/>
            <w:hideMark/>
          </w:tcPr>
          <w:p w14:paraId="3F606E93" w14:textId="77777777" w:rsidR="00486F2E" w:rsidRPr="00CA41A1" w:rsidRDefault="00486F2E" w:rsidP="00A8796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Start date</w:t>
            </w:r>
          </w:p>
        </w:tc>
        <w:tc>
          <w:tcPr>
            <w:tcW w:w="6012" w:type="dxa"/>
            <w:gridSpan w:val="2"/>
            <w:shd w:val="clear" w:color="auto" w:fill="D9D9D9" w:themeFill="background1" w:themeFillShade="D9"/>
            <w:noWrap/>
            <w:hideMark/>
          </w:tcPr>
          <w:p w14:paraId="717EDC42" w14:textId="77777777" w:rsidR="00486F2E" w:rsidRPr="00CA41A1" w:rsidRDefault="00486F2E" w:rsidP="00A8796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Activity</w:t>
            </w:r>
          </w:p>
        </w:tc>
      </w:tr>
      <w:tr w:rsidR="00486F2E" w14:paraId="48447C3F" w14:textId="77777777" w:rsidTr="002539E5">
        <w:trPr>
          <w:trHeight w:val="300"/>
        </w:trPr>
        <w:tc>
          <w:tcPr>
            <w:cnfStyle w:val="001000000000" w:firstRow="0" w:lastRow="0" w:firstColumn="1" w:lastColumn="0" w:oddVBand="0" w:evenVBand="0" w:oddHBand="0" w:evenHBand="0" w:firstRowFirstColumn="0" w:firstRowLastColumn="0" w:lastRowFirstColumn="0" w:lastRowLastColumn="0"/>
            <w:tcW w:w="900" w:type="dxa"/>
            <w:shd w:val="clear" w:color="auto" w:fill="D9D9D9" w:themeFill="background1" w:themeFillShade="D9"/>
            <w:noWrap/>
            <w:hideMark/>
          </w:tcPr>
          <w:p w14:paraId="4104094E" w14:textId="77777777" w:rsidR="00486F2E" w:rsidRPr="00CA41A1" w:rsidRDefault="00486F2E" w:rsidP="00A8796F">
            <w:pPr>
              <w:widowControl w:val="0"/>
              <w:rPr>
                <w:b/>
                <w:bCs/>
                <w:color w:val="000000"/>
                <w:sz w:val="20"/>
              </w:rPr>
            </w:pPr>
          </w:p>
        </w:tc>
        <w:tc>
          <w:tcPr>
            <w:tcW w:w="1685" w:type="dxa"/>
            <w:shd w:val="clear" w:color="auto" w:fill="D9D9D9" w:themeFill="background1" w:themeFillShade="D9"/>
            <w:noWrap/>
            <w:hideMark/>
          </w:tcPr>
          <w:p w14:paraId="52E5BD44" w14:textId="4D103490"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1645" w:type="dxa"/>
            <w:shd w:val="clear" w:color="auto" w:fill="D9D9D9" w:themeFill="background1" w:themeFillShade="D9"/>
            <w:noWrap/>
            <w:hideMark/>
          </w:tcPr>
          <w:p w14:paraId="529AC1ED"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c>
          <w:tcPr>
            <w:tcW w:w="2880" w:type="dxa"/>
            <w:shd w:val="clear" w:color="auto" w:fill="D9D9D9" w:themeFill="background1" w:themeFillShade="D9"/>
            <w:noWrap/>
            <w:hideMark/>
          </w:tcPr>
          <w:p w14:paraId="160E9457" w14:textId="2ACC21D3"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3132" w:type="dxa"/>
            <w:shd w:val="clear" w:color="auto" w:fill="D9D9D9" w:themeFill="background1" w:themeFillShade="D9"/>
            <w:noWrap/>
            <w:hideMark/>
          </w:tcPr>
          <w:p w14:paraId="485D8F05"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r>
      <w:tr w:rsidR="00486F2E" w14:paraId="1554E2D4"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hideMark/>
          </w:tcPr>
          <w:p w14:paraId="065F5708" w14:textId="77777777" w:rsidR="00486F2E" w:rsidRPr="00CA41A1" w:rsidRDefault="00486F2E" w:rsidP="00A8796F">
            <w:pPr>
              <w:widowControl w:val="0"/>
              <w:spacing w:before="60" w:after="60"/>
              <w:jc w:val="center"/>
              <w:rPr>
                <w:color w:val="000000"/>
                <w:sz w:val="20"/>
              </w:rPr>
            </w:pPr>
            <w:r>
              <w:rPr>
                <w:color w:val="000000"/>
                <w:sz w:val="20"/>
              </w:rPr>
              <w:t>PR-</w:t>
            </w:r>
            <w:r w:rsidRPr="00CA41A1">
              <w:rPr>
                <w:color w:val="000000"/>
                <w:sz w:val="20"/>
              </w:rPr>
              <w:t>1</w:t>
            </w:r>
          </w:p>
        </w:tc>
        <w:tc>
          <w:tcPr>
            <w:tcW w:w="1685" w:type="dxa"/>
            <w:noWrap/>
            <w:vAlign w:val="top"/>
            <w:hideMark/>
          </w:tcPr>
          <w:p w14:paraId="129A6EBA"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0</w:t>
            </w:r>
          </w:p>
        </w:tc>
        <w:tc>
          <w:tcPr>
            <w:tcW w:w="1645" w:type="dxa"/>
            <w:noWrap/>
            <w:vAlign w:val="top"/>
            <w:hideMark/>
          </w:tcPr>
          <w:p w14:paraId="49969E7A"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7</w:t>
            </w:r>
          </w:p>
        </w:tc>
        <w:tc>
          <w:tcPr>
            <w:tcW w:w="2880" w:type="dxa"/>
            <w:vAlign w:val="top"/>
            <w:hideMark/>
          </w:tcPr>
          <w:p w14:paraId="324A7E0C" w14:textId="0B2520E4"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Begin data collection; calibration sample for $10 pre-paid offer versus no </w:t>
            </w:r>
            <w:r>
              <w:rPr>
                <w:color w:val="000000"/>
                <w:sz w:val="20"/>
              </w:rPr>
              <w:t xml:space="preserve">pre-paid </w:t>
            </w:r>
            <w:r w:rsidRPr="00C34134">
              <w:rPr>
                <w:color w:val="000000"/>
                <w:sz w:val="20"/>
              </w:rPr>
              <w:t>offer</w:t>
            </w:r>
          </w:p>
        </w:tc>
        <w:tc>
          <w:tcPr>
            <w:tcW w:w="3132" w:type="dxa"/>
            <w:vAlign w:val="top"/>
            <w:hideMark/>
          </w:tcPr>
          <w:p w14:paraId="6ED25006"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Begin data collection; make decision on implementation of pre-paid offer based on results of calibration</w:t>
            </w:r>
          </w:p>
        </w:tc>
      </w:tr>
      <w:tr w:rsidR="00486F2E" w14:paraId="7D75F5B8"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48EA12D" w14:textId="77777777" w:rsidR="00486F2E" w:rsidRPr="00CA41A1" w:rsidRDefault="00486F2E" w:rsidP="00A8796F">
            <w:pPr>
              <w:widowControl w:val="0"/>
              <w:spacing w:before="60" w:after="60"/>
              <w:jc w:val="center"/>
              <w:rPr>
                <w:color w:val="000000"/>
                <w:sz w:val="20"/>
              </w:rPr>
            </w:pPr>
            <w:r>
              <w:rPr>
                <w:color w:val="000000"/>
                <w:sz w:val="20"/>
              </w:rPr>
              <w:t>PR-2</w:t>
            </w:r>
          </w:p>
        </w:tc>
        <w:tc>
          <w:tcPr>
            <w:tcW w:w="1685" w:type="dxa"/>
            <w:noWrap/>
            <w:vAlign w:val="top"/>
          </w:tcPr>
          <w:p w14:paraId="1ECA241A"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14</w:t>
            </w:r>
          </w:p>
        </w:tc>
        <w:tc>
          <w:tcPr>
            <w:tcW w:w="1645" w:type="dxa"/>
            <w:noWrap/>
            <w:vAlign w:val="top"/>
          </w:tcPr>
          <w:p w14:paraId="4BD7AA86"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2880" w:type="dxa"/>
            <w:vAlign w:val="top"/>
          </w:tcPr>
          <w:p w14:paraId="2BB5AF8C"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incentive boost</w:t>
            </w:r>
          </w:p>
        </w:tc>
        <w:tc>
          <w:tcPr>
            <w:tcW w:w="3132" w:type="dxa"/>
            <w:vAlign w:val="top"/>
          </w:tcPr>
          <w:p w14:paraId="741C51AB"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incentive boost</w:t>
            </w:r>
          </w:p>
        </w:tc>
      </w:tr>
      <w:tr w:rsidR="00486F2E" w14:paraId="7B652C10"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31608390" w14:textId="77777777" w:rsidR="00486F2E" w:rsidRPr="00CA41A1" w:rsidRDefault="00486F2E" w:rsidP="00A8796F">
            <w:pPr>
              <w:widowControl w:val="0"/>
              <w:spacing w:before="60" w:after="60"/>
              <w:jc w:val="center"/>
              <w:rPr>
                <w:color w:val="000000"/>
                <w:sz w:val="20"/>
              </w:rPr>
            </w:pPr>
            <w:r>
              <w:rPr>
                <w:color w:val="000000"/>
                <w:sz w:val="20"/>
              </w:rPr>
              <w:t>PR-3</w:t>
            </w:r>
          </w:p>
        </w:tc>
        <w:tc>
          <w:tcPr>
            <w:tcW w:w="1685" w:type="dxa"/>
            <w:noWrap/>
            <w:vAlign w:val="top"/>
          </w:tcPr>
          <w:p w14:paraId="5EA3FE8E"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21</w:t>
            </w:r>
          </w:p>
        </w:tc>
        <w:tc>
          <w:tcPr>
            <w:tcW w:w="1645" w:type="dxa"/>
            <w:noWrap/>
            <w:vAlign w:val="top"/>
          </w:tcPr>
          <w:p w14:paraId="54698638"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21</w:t>
            </w:r>
          </w:p>
        </w:tc>
        <w:tc>
          <w:tcPr>
            <w:tcW w:w="2880" w:type="dxa"/>
            <w:vAlign w:val="top"/>
          </w:tcPr>
          <w:p w14:paraId="6F4EFD1D"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early abbreviated interview</w:t>
            </w:r>
          </w:p>
        </w:tc>
        <w:tc>
          <w:tcPr>
            <w:tcW w:w="3132" w:type="dxa"/>
            <w:vAlign w:val="top"/>
          </w:tcPr>
          <w:p w14:paraId="44513B85"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early abbreviated interview</w:t>
            </w:r>
          </w:p>
        </w:tc>
      </w:tr>
      <w:tr w:rsidR="00486F2E" w14:paraId="65DCD33B"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3585E57" w14:textId="77777777" w:rsidR="00486F2E" w:rsidRPr="001A58DC" w:rsidRDefault="00486F2E" w:rsidP="00A8796F">
            <w:pPr>
              <w:widowControl w:val="0"/>
              <w:spacing w:before="60" w:after="60"/>
              <w:jc w:val="center"/>
              <w:rPr>
                <w:color w:val="000000"/>
                <w:sz w:val="20"/>
              </w:rPr>
            </w:pPr>
            <w:r w:rsidRPr="001A58DC">
              <w:rPr>
                <w:color w:val="000000"/>
                <w:sz w:val="20"/>
              </w:rPr>
              <w:t>PR-4</w:t>
            </w:r>
          </w:p>
        </w:tc>
        <w:tc>
          <w:tcPr>
            <w:tcW w:w="1685" w:type="dxa"/>
            <w:noWrap/>
            <w:vAlign w:val="top"/>
          </w:tcPr>
          <w:p w14:paraId="20282B9D" w14:textId="77777777" w:rsidR="00486F2E" w:rsidRPr="001A58DC"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1A58DC">
              <w:rPr>
                <w:color w:val="000000"/>
                <w:sz w:val="20"/>
              </w:rPr>
              <w:t>Week 31</w:t>
            </w:r>
          </w:p>
        </w:tc>
        <w:tc>
          <w:tcPr>
            <w:tcW w:w="1645" w:type="dxa"/>
            <w:noWrap/>
            <w:vAlign w:val="top"/>
          </w:tcPr>
          <w:p w14:paraId="401DF130"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31</w:t>
            </w:r>
          </w:p>
        </w:tc>
        <w:tc>
          <w:tcPr>
            <w:tcW w:w="2880" w:type="dxa"/>
            <w:vAlign w:val="top"/>
          </w:tcPr>
          <w:p w14:paraId="57BA9F65"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Abbreviated interview for </w:t>
            </w:r>
            <w:r w:rsidRPr="00C34134">
              <w:rPr>
                <w:color w:val="000000"/>
                <w:sz w:val="20"/>
              </w:rPr>
              <w:br/>
              <w:t xml:space="preserve">all remaining </w:t>
            </w:r>
            <w:proofErr w:type="spellStart"/>
            <w:r w:rsidRPr="00C34134">
              <w:rPr>
                <w:color w:val="000000"/>
                <w:sz w:val="20"/>
              </w:rPr>
              <w:t>nonrespondents</w:t>
            </w:r>
            <w:proofErr w:type="spellEnd"/>
          </w:p>
        </w:tc>
        <w:tc>
          <w:tcPr>
            <w:tcW w:w="3132" w:type="dxa"/>
            <w:vAlign w:val="top"/>
          </w:tcPr>
          <w:p w14:paraId="2D81C12E"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Abbreviated interview for </w:t>
            </w:r>
            <w:r w:rsidRPr="00C34134">
              <w:rPr>
                <w:color w:val="000000"/>
                <w:sz w:val="20"/>
              </w:rPr>
              <w:br/>
              <w:t xml:space="preserve">all remaining </w:t>
            </w:r>
            <w:proofErr w:type="spellStart"/>
            <w:r w:rsidRPr="00C34134">
              <w:rPr>
                <w:color w:val="000000"/>
                <w:sz w:val="20"/>
              </w:rPr>
              <w:t>nonrespondents</w:t>
            </w:r>
            <w:proofErr w:type="spellEnd"/>
          </w:p>
        </w:tc>
      </w:tr>
    </w:tbl>
    <w:p w14:paraId="13386B15" w14:textId="0F603A7D" w:rsidR="006222BE" w:rsidRDefault="00486F2E" w:rsidP="000929FC">
      <w:pPr>
        <w:pStyle w:val="BodyText"/>
        <w:widowControl w:val="0"/>
        <w:spacing w:before="240" w:line="240" w:lineRule="auto"/>
        <w:ind w:firstLine="0"/>
        <w:rPr>
          <w:rFonts w:asciiTheme="majorBidi" w:hAnsiTheme="majorBidi" w:cstheme="majorBidi"/>
        </w:rPr>
      </w:pPr>
      <w:r>
        <w:rPr>
          <w:rFonts w:asciiTheme="majorBidi" w:hAnsiTheme="majorBidi" w:cstheme="majorBidi"/>
          <w:b/>
        </w:rPr>
        <w:t>Special data collection protocol for d</w:t>
      </w:r>
      <w:r w:rsidRPr="00464F52">
        <w:rPr>
          <w:rFonts w:asciiTheme="majorBidi" w:hAnsiTheme="majorBidi" w:cstheme="majorBidi"/>
          <w:b/>
        </w:rPr>
        <w:t xml:space="preserve">ouble </w:t>
      </w:r>
      <w:proofErr w:type="spellStart"/>
      <w:r w:rsidRPr="00464F52">
        <w:rPr>
          <w:rFonts w:asciiTheme="majorBidi" w:hAnsiTheme="majorBidi" w:cstheme="majorBidi"/>
          <w:b/>
        </w:rPr>
        <w:t>nonrespondent</w:t>
      </w:r>
      <w:r>
        <w:rPr>
          <w:rFonts w:asciiTheme="majorBidi" w:hAnsiTheme="majorBidi" w:cstheme="majorBidi"/>
          <w:b/>
        </w:rPr>
        <w:t>s</w:t>
      </w:r>
      <w:proofErr w:type="spellEnd"/>
      <w:r>
        <w:rPr>
          <w:rFonts w:asciiTheme="majorBidi" w:hAnsiTheme="majorBidi" w:cstheme="majorBidi"/>
          <w:b/>
        </w:rPr>
        <w:t>.</w:t>
      </w:r>
      <w:r w:rsidRPr="00464F52">
        <w:rPr>
          <w:rFonts w:asciiTheme="majorBidi" w:hAnsiTheme="majorBidi" w:cstheme="majorBidi"/>
          <w:b/>
        </w:rPr>
        <w:t xml:space="preserve"> </w:t>
      </w:r>
      <w:r>
        <w:rPr>
          <w:rFonts w:asciiTheme="majorBidi" w:hAnsiTheme="majorBidi" w:cstheme="majorBidi"/>
          <w:bCs/>
        </w:rPr>
        <w:t xml:space="preserve">Approximately 3,280 sample members (group 4 in table 2) had sufficient information in NPSAS:12 to be classified as a NPSAS:12 study member but have neither responded to the NPSAS:12 student interview nor the BPS:12/14 student interview (henceforth referred to as </w:t>
      </w:r>
      <w:r w:rsidRPr="000C6FE9">
        <w:rPr>
          <w:rFonts w:asciiTheme="majorBidi" w:hAnsiTheme="majorBidi" w:cstheme="majorBidi"/>
          <w:bCs/>
          <w:i/>
          <w:iCs/>
        </w:rPr>
        <w:t xml:space="preserve">double </w:t>
      </w:r>
      <w:proofErr w:type="spellStart"/>
      <w:r w:rsidRPr="000C6FE9">
        <w:rPr>
          <w:rFonts w:asciiTheme="majorBidi" w:hAnsiTheme="majorBidi" w:cstheme="majorBidi"/>
          <w:bCs/>
          <w:i/>
          <w:iCs/>
        </w:rPr>
        <w:t>nonrespondents</w:t>
      </w:r>
      <w:proofErr w:type="spellEnd"/>
      <w:r>
        <w:rPr>
          <w:rFonts w:asciiTheme="majorBidi" w:hAnsiTheme="majorBidi" w:cstheme="majorBidi"/>
          <w:bCs/>
        </w:rPr>
        <w:t xml:space="preserve">). </w:t>
      </w:r>
      <w:r>
        <w:rPr>
          <w:rFonts w:asciiTheme="majorBidi" w:hAnsiTheme="majorBidi" w:cstheme="majorBidi"/>
        </w:rPr>
        <w:t xml:space="preserve">In planning for the BPS:12/17 collection, we investigated </w:t>
      </w:r>
      <w:r w:rsidRPr="00E662E5">
        <w:rPr>
          <w:szCs w:val="22"/>
        </w:rPr>
        <w:t>characteristics known about this group, such as the distribution across sectors, our ability to locate them in prior rounds, and their estimated attendance and course-taking patterns using PETS:09</w:t>
      </w:r>
      <w:r>
        <w:rPr>
          <w:szCs w:val="22"/>
        </w:rPr>
        <w:t xml:space="preserve">. </w:t>
      </w:r>
      <w:r w:rsidR="00477CEE">
        <w:rPr>
          <w:szCs w:val="22"/>
        </w:rPr>
        <w:t xml:space="preserve">We found that </w:t>
      </w:r>
      <w:r w:rsidR="00477CEE">
        <w:rPr>
          <w:rFonts w:asciiTheme="majorBidi" w:hAnsiTheme="majorBidi" w:cstheme="majorBidi"/>
          <w:bCs/>
        </w:rPr>
        <w:t>w</w:t>
      </w:r>
      <w:r w:rsidR="006222BE">
        <w:rPr>
          <w:rFonts w:asciiTheme="majorBidi" w:hAnsiTheme="majorBidi" w:cstheme="majorBidi"/>
          <w:bCs/>
        </w:rPr>
        <w:t xml:space="preserve">hile this </w:t>
      </w:r>
      <w:r>
        <w:rPr>
          <w:rFonts w:asciiTheme="majorBidi" w:hAnsiTheme="majorBidi" w:cstheme="majorBidi"/>
          <w:bCs/>
        </w:rPr>
        <w:t>group constitutes approximately 10 percent of the sample</w:t>
      </w:r>
      <w:r w:rsidR="006222BE">
        <w:rPr>
          <w:rFonts w:asciiTheme="majorBidi" w:hAnsiTheme="majorBidi" w:cstheme="majorBidi"/>
          <w:bCs/>
        </w:rPr>
        <w:t xml:space="preserve">, 58 percent of double </w:t>
      </w:r>
      <w:proofErr w:type="spellStart"/>
      <w:r w:rsidR="006222BE">
        <w:rPr>
          <w:rFonts w:asciiTheme="majorBidi" w:hAnsiTheme="majorBidi" w:cstheme="majorBidi"/>
          <w:bCs/>
        </w:rPr>
        <w:t>nonrespondents</w:t>
      </w:r>
      <w:proofErr w:type="spellEnd"/>
      <w:r w:rsidR="006222BE">
        <w:rPr>
          <w:rFonts w:asciiTheme="majorBidi" w:hAnsiTheme="majorBidi" w:cstheme="majorBidi"/>
          <w:bCs/>
        </w:rPr>
        <w:t xml:space="preserve"> </w:t>
      </w:r>
      <w:r w:rsidR="00376AA3">
        <w:rPr>
          <w:rFonts w:asciiTheme="majorBidi" w:hAnsiTheme="majorBidi" w:cstheme="majorBidi"/>
          <w:bCs/>
        </w:rPr>
        <w:t xml:space="preserve">were enrolled </w:t>
      </w:r>
      <w:r>
        <w:rPr>
          <w:rFonts w:asciiTheme="majorBidi" w:hAnsiTheme="majorBidi" w:cstheme="majorBidi"/>
          <w:bCs/>
        </w:rPr>
        <w:t>within the</w:t>
      </w:r>
      <w:r>
        <w:rPr>
          <w:rFonts w:asciiTheme="majorBidi" w:hAnsiTheme="majorBidi" w:cstheme="majorBidi"/>
        </w:rPr>
        <w:t xml:space="preserve"> private for-profit sectors</w:t>
      </w:r>
      <w:r w:rsidR="00376AA3">
        <w:rPr>
          <w:rFonts w:asciiTheme="majorBidi" w:hAnsiTheme="majorBidi" w:cstheme="majorBidi"/>
        </w:rPr>
        <w:t xml:space="preserve"> in NPSAS:12</w:t>
      </w:r>
      <w:r>
        <w:rPr>
          <w:rFonts w:asciiTheme="majorBidi" w:hAnsiTheme="majorBidi" w:cstheme="majorBidi"/>
        </w:rPr>
        <w:t>.</w:t>
      </w:r>
      <w:r w:rsidR="002A4758">
        <w:rPr>
          <w:rFonts w:asciiTheme="majorBidi" w:hAnsiTheme="majorBidi" w:cstheme="majorBidi"/>
        </w:rPr>
        <w:t xml:space="preserve"> </w:t>
      </w:r>
      <w:r w:rsidR="00477CEE">
        <w:rPr>
          <w:rFonts w:asciiTheme="majorBidi" w:hAnsiTheme="majorBidi" w:cstheme="majorBidi"/>
        </w:rPr>
        <w:t xml:space="preserve">We found that over three-quarters of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had been contacted</w:t>
      </w:r>
      <w:r w:rsidR="00F3119D">
        <w:rPr>
          <w:rFonts w:asciiTheme="majorBidi" w:hAnsiTheme="majorBidi" w:cstheme="majorBidi"/>
        </w:rPr>
        <w:t>—</w:t>
      </w:r>
      <w:r w:rsidR="000929FC">
        <w:rPr>
          <w:rFonts w:asciiTheme="majorBidi" w:hAnsiTheme="majorBidi" w:cstheme="majorBidi"/>
        </w:rPr>
        <w:t>yet</w:t>
      </w:r>
      <w:r w:rsidR="00F3119D">
        <w:rPr>
          <w:rFonts w:asciiTheme="majorBidi" w:hAnsiTheme="majorBidi" w:cstheme="majorBidi"/>
        </w:rPr>
        <w:t xml:space="preserve"> </w:t>
      </w:r>
      <w:r w:rsidR="000929FC">
        <w:rPr>
          <w:rFonts w:asciiTheme="majorBidi" w:hAnsiTheme="majorBidi" w:cstheme="majorBidi"/>
        </w:rPr>
        <w:t xml:space="preserve">had not </w:t>
      </w:r>
      <w:r w:rsidR="00477CEE">
        <w:rPr>
          <w:rFonts w:asciiTheme="majorBidi" w:hAnsiTheme="majorBidi" w:cstheme="majorBidi"/>
        </w:rPr>
        <w:t>respond</w:t>
      </w:r>
      <w:r w:rsidR="000929FC">
        <w:rPr>
          <w:rFonts w:asciiTheme="majorBidi" w:hAnsiTheme="majorBidi" w:cstheme="majorBidi"/>
        </w:rPr>
        <w:t>ed</w:t>
      </w:r>
      <w:r w:rsidR="00477CEE">
        <w:rPr>
          <w:rFonts w:asciiTheme="majorBidi" w:hAnsiTheme="majorBidi" w:cstheme="majorBidi"/>
        </w:rPr>
        <w:t xml:space="preserve">. We also found, using a proxy from the BPS:04 cohort, that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differed by several characteristics of prime interest to BPS</w:t>
      </w:r>
      <w:r w:rsidR="00376AA3">
        <w:rPr>
          <w:rFonts w:asciiTheme="majorBidi" w:hAnsiTheme="majorBidi" w:cstheme="majorBidi"/>
        </w:rPr>
        <w:t xml:space="preserve">, such as </w:t>
      </w:r>
      <w:r w:rsidR="00376AA3">
        <w:rPr>
          <w:rFonts w:asciiTheme="majorBidi" w:hAnsiTheme="majorBidi" w:cstheme="majorBidi"/>
        </w:rPr>
        <w:lastRenderedPageBreak/>
        <w:t xml:space="preserve">postsecondary enrollment and </w:t>
      </w:r>
      <w:proofErr w:type="spellStart"/>
      <w:r w:rsidR="00376AA3">
        <w:rPr>
          <w:rFonts w:asciiTheme="majorBidi" w:hAnsiTheme="majorBidi" w:cstheme="majorBidi"/>
        </w:rPr>
        <w:t>coursetaking</w:t>
      </w:r>
      <w:proofErr w:type="spellEnd"/>
      <w:r w:rsidR="00376AA3">
        <w:rPr>
          <w:rFonts w:asciiTheme="majorBidi" w:hAnsiTheme="majorBidi" w:cstheme="majorBidi"/>
        </w:rPr>
        <w:t xml:space="preserve"> patterns</w:t>
      </w:r>
      <w:r w:rsidR="00477CEE">
        <w:rPr>
          <w:rFonts w:asciiTheme="majorBidi" w:hAnsiTheme="majorBidi" w:cstheme="majorBidi"/>
        </w:rPr>
        <w:t xml:space="preserve">. We concluded that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could contribute to </w:t>
      </w:r>
      <w:r w:rsidR="000B2D2A">
        <w:rPr>
          <w:rFonts w:asciiTheme="majorBidi" w:hAnsiTheme="majorBidi" w:cstheme="majorBidi"/>
        </w:rPr>
        <w:t xml:space="preserve">nonresponse </w:t>
      </w:r>
      <w:r w:rsidR="006222BE">
        <w:rPr>
          <w:rFonts w:asciiTheme="majorBidi" w:hAnsiTheme="majorBidi" w:cstheme="majorBidi"/>
        </w:rPr>
        <w:t>bias</w:t>
      </w:r>
      <w:r w:rsidR="00477CEE">
        <w:rPr>
          <w:rFonts w:asciiTheme="majorBidi" w:hAnsiTheme="majorBidi" w:cstheme="majorBidi"/>
        </w:rPr>
        <w:t xml:space="preserve">, particularly </w:t>
      </w:r>
      <w:r w:rsidR="006222BE">
        <w:rPr>
          <w:rFonts w:asciiTheme="majorBidi" w:hAnsiTheme="majorBidi" w:cstheme="majorBidi"/>
        </w:rPr>
        <w:t>in the private for-profit sector.</w:t>
      </w:r>
    </w:p>
    <w:p w14:paraId="31743BEF" w14:textId="77777777" w:rsidR="0036453F" w:rsidRDefault="00486F2E" w:rsidP="00DE32D7">
      <w:pPr>
        <w:pStyle w:val="BodyText"/>
        <w:widowControl w:val="0"/>
        <w:spacing w:before="240" w:line="240" w:lineRule="auto"/>
        <w:ind w:firstLine="0"/>
        <w:rPr>
          <w:szCs w:val="22"/>
        </w:rPr>
      </w:pPr>
      <w:r>
        <w:rPr>
          <w:szCs w:val="22"/>
        </w:rPr>
        <w:t xml:space="preserve">While we were able to locate </w:t>
      </w:r>
      <w:r w:rsidR="00AB4B45">
        <w:rPr>
          <w:szCs w:val="22"/>
        </w:rPr>
        <w:t xml:space="preserve">approximately three-quarters of </w:t>
      </w:r>
      <w:r>
        <w:rPr>
          <w:szCs w:val="22"/>
        </w:rPr>
        <w:t xml:space="preserve">these double </w:t>
      </w:r>
      <w:proofErr w:type="spellStart"/>
      <w:r>
        <w:rPr>
          <w:szCs w:val="22"/>
        </w:rPr>
        <w:t>nonrespondents</w:t>
      </w:r>
      <w:proofErr w:type="spellEnd"/>
      <w:r>
        <w:rPr>
          <w:szCs w:val="22"/>
        </w:rPr>
        <w:t xml:space="preserve"> in prior data collections, we do not know their reasons for refusing to participate. Without knowing the reasons for refusal, the optimal incentives are difficult to determine. </w:t>
      </w:r>
      <w:r w:rsidR="0018454B">
        <w:rPr>
          <w:rFonts w:asciiTheme="majorBidi" w:hAnsiTheme="majorBidi" w:cstheme="majorBidi"/>
        </w:rPr>
        <w:t xml:space="preserve">In BPS:12/14, due to the design of the importance score which excluded </w:t>
      </w:r>
      <w:r w:rsidR="00DE32D7">
        <w:rPr>
          <w:rFonts w:asciiTheme="majorBidi" w:hAnsiTheme="majorBidi" w:cstheme="majorBidi"/>
        </w:rPr>
        <w:t xml:space="preserve">the </w:t>
      </w:r>
      <w:r w:rsidR="0018454B">
        <w:rPr>
          <w:rFonts w:asciiTheme="majorBidi" w:hAnsiTheme="majorBidi" w:cstheme="majorBidi"/>
        </w:rPr>
        <w:t>low</w:t>
      </w:r>
      <w:r w:rsidR="00DE32D7">
        <w:rPr>
          <w:rFonts w:asciiTheme="majorBidi" w:hAnsiTheme="majorBidi" w:cstheme="majorBidi"/>
        </w:rPr>
        <w:t>est</w:t>
      </w:r>
      <w:r w:rsidR="0018454B">
        <w:rPr>
          <w:rFonts w:asciiTheme="majorBidi" w:hAnsiTheme="majorBidi" w:cstheme="majorBidi"/>
        </w:rPr>
        <w:t xml:space="preserve"> propensity cases, </w:t>
      </w:r>
      <w:proofErr w:type="spellStart"/>
      <w:r w:rsidR="0018454B">
        <w:rPr>
          <w:rFonts w:asciiTheme="majorBidi" w:hAnsiTheme="majorBidi" w:cstheme="majorBidi"/>
        </w:rPr>
        <w:t>nonrespondents</w:t>
      </w:r>
      <w:proofErr w:type="spellEnd"/>
      <w:r w:rsidR="0018454B">
        <w:rPr>
          <w:rFonts w:asciiTheme="majorBidi" w:hAnsiTheme="majorBidi" w:cstheme="majorBidi"/>
        </w:rPr>
        <w:t xml:space="preserve"> who were the most difficult to convert were not included in intervention targeting. As a result, very few of the double </w:t>
      </w:r>
      <w:proofErr w:type="spellStart"/>
      <w:r w:rsidR="0018454B">
        <w:rPr>
          <w:rFonts w:asciiTheme="majorBidi" w:hAnsiTheme="majorBidi" w:cstheme="majorBidi"/>
        </w:rPr>
        <w:t>nonrespondents</w:t>
      </w:r>
      <w:proofErr w:type="spellEnd"/>
      <w:r w:rsidR="0018454B">
        <w:rPr>
          <w:rFonts w:asciiTheme="majorBidi" w:hAnsiTheme="majorBidi" w:cstheme="majorBidi"/>
        </w:rPr>
        <w:t xml:space="preserve"> were ever exposed to incentive boosts or early abbreviated interviews in an attempt to convert them. In fact, after examining BPS:12/14 data, we found that less than 0.1 percent were offered more than $50 dollars and only 3.6 percent were offered more than $30. </w:t>
      </w:r>
      <w:r w:rsidR="00073286">
        <w:rPr>
          <w:rFonts w:asciiTheme="majorBidi" w:hAnsiTheme="majorBidi" w:cstheme="majorBidi"/>
        </w:rPr>
        <w:t xml:space="preserve">Similarly, we do not know if </w:t>
      </w:r>
      <w:r w:rsidR="00F0085C">
        <w:rPr>
          <w:rFonts w:asciiTheme="majorBidi" w:hAnsiTheme="majorBidi" w:cstheme="majorBidi"/>
        </w:rPr>
        <w:t xml:space="preserve">a shortened abbreviated </w:t>
      </w:r>
      <w:r w:rsidR="00073286">
        <w:rPr>
          <w:rFonts w:asciiTheme="majorBidi" w:hAnsiTheme="majorBidi" w:cstheme="majorBidi"/>
        </w:rPr>
        <w:t xml:space="preserve">interview </w:t>
      </w:r>
      <w:r w:rsidR="00F0085C">
        <w:rPr>
          <w:rFonts w:asciiTheme="majorBidi" w:hAnsiTheme="majorBidi" w:cstheme="majorBidi"/>
        </w:rPr>
        <w:t>would improve response rates for this group</w:t>
      </w:r>
      <w:r w:rsidR="00073286">
        <w:rPr>
          <w:rFonts w:asciiTheme="majorBidi" w:hAnsiTheme="majorBidi" w:cstheme="majorBidi"/>
        </w:rPr>
        <w:t xml:space="preserve">. Therefore, </w:t>
      </w:r>
      <w:r w:rsidR="00073286">
        <w:rPr>
          <w:szCs w:val="22"/>
        </w:rPr>
        <w:t xml:space="preserve">we </w:t>
      </w:r>
      <w:r w:rsidR="00DE32D7">
        <w:rPr>
          <w:szCs w:val="22"/>
        </w:rPr>
        <w:t xml:space="preserve">propose a calibration sample with </w:t>
      </w:r>
      <w:r w:rsidR="00073286">
        <w:rPr>
          <w:szCs w:val="22"/>
        </w:rPr>
        <w:t>an experimental design that evaluate</w:t>
      </w:r>
      <w:r w:rsidR="00F0085C">
        <w:rPr>
          <w:szCs w:val="22"/>
        </w:rPr>
        <w:t>s</w:t>
      </w:r>
      <w:r w:rsidR="00073286">
        <w:rPr>
          <w:szCs w:val="22"/>
        </w:rPr>
        <w:t xml:space="preserve"> </w:t>
      </w:r>
      <w:r w:rsidR="00DE32D7">
        <w:rPr>
          <w:szCs w:val="22"/>
        </w:rPr>
        <w:t xml:space="preserve">the </w:t>
      </w:r>
      <w:r w:rsidR="00376AA3">
        <w:rPr>
          <w:szCs w:val="22"/>
        </w:rPr>
        <w:t>efficacy</w:t>
      </w:r>
      <w:r w:rsidR="00DE32D7">
        <w:rPr>
          <w:szCs w:val="22"/>
        </w:rPr>
        <w:t xml:space="preserve"> of </w:t>
      </w:r>
      <w:r w:rsidR="00073286">
        <w:rPr>
          <w:szCs w:val="22"/>
        </w:rPr>
        <w:t xml:space="preserve">additional incentive </w:t>
      </w:r>
      <w:r w:rsidR="00DE32D7">
        <w:rPr>
          <w:szCs w:val="22"/>
        </w:rPr>
        <w:t xml:space="preserve">versus </w:t>
      </w:r>
      <w:r w:rsidR="00073286">
        <w:rPr>
          <w:szCs w:val="22"/>
        </w:rPr>
        <w:t>a shorter interview.</w:t>
      </w:r>
      <w:r w:rsidR="00DE32D7">
        <w:rPr>
          <w:szCs w:val="22"/>
        </w:rPr>
        <w:t xml:space="preserve"> The results of the </w:t>
      </w:r>
      <w:r w:rsidR="006A27C2">
        <w:rPr>
          <w:szCs w:val="22"/>
        </w:rPr>
        <w:t>experiment</w:t>
      </w:r>
      <w:r w:rsidR="00DE32D7">
        <w:rPr>
          <w:szCs w:val="22"/>
        </w:rPr>
        <w:t xml:space="preserve"> will inform the main sample.</w:t>
      </w:r>
    </w:p>
    <w:p w14:paraId="0223E6DA" w14:textId="7FB72E32" w:rsidR="00486F2E" w:rsidRDefault="00DE32D7" w:rsidP="00F3119D">
      <w:pPr>
        <w:pStyle w:val="BodyText"/>
        <w:widowControl w:val="0"/>
        <w:spacing w:before="240" w:line="240" w:lineRule="auto"/>
        <w:ind w:firstLine="0"/>
        <w:rPr>
          <w:rFonts w:asciiTheme="majorBidi" w:hAnsiTheme="majorBidi" w:cstheme="majorBidi"/>
        </w:rPr>
      </w:pPr>
      <w:r>
        <w:rPr>
          <w:szCs w:val="22"/>
        </w:rPr>
        <w:t>Specifically, w</w:t>
      </w:r>
      <w:r w:rsidR="00486F2E">
        <w:rPr>
          <w:rFonts w:asciiTheme="majorBidi" w:hAnsiTheme="majorBidi" w:cstheme="majorBidi"/>
        </w:rPr>
        <w:t>e propose fielding a calibration sample, consisting of 8</w:t>
      </w:r>
      <w:r w:rsidR="00A8587B">
        <w:rPr>
          <w:rFonts w:asciiTheme="majorBidi" w:hAnsiTheme="majorBidi" w:cstheme="majorBidi"/>
        </w:rPr>
        <w:t>69</w:t>
      </w:r>
      <w:r w:rsidR="00486F2E">
        <w:rPr>
          <w:rFonts w:asciiTheme="majorBidi" w:hAnsiTheme="majorBidi" w:cstheme="majorBidi"/>
        </w:rPr>
        <w:t xml:space="preserve"> double </w:t>
      </w:r>
      <w:proofErr w:type="spellStart"/>
      <w:r w:rsidR="00486F2E">
        <w:rPr>
          <w:rFonts w:asciiTheme="majorBidi" w:hAnsiTheme="majorBidi" w:cstheme="majorBidi"/>
        </w:rPr>
        <w:t>nonrespondents</w:t>
      </w:r>
      <w:proofErr w:type="spellEnd"/>
      <w:r w:rsidR="00486F2E">
        <w:rPr>
          <w:rFonts w:asciiTheme="majorBidi" w:hAnsiTheme="majorBidi" w:cstheme="majorBidi"/>
        </w:rPr>
        <w:t>, seven weeks ahead of the main sample to evaluate the two special data collection protocols for this hard-to-convert group: a shortened interview vs. a monetary incentive</w:t>
      </w:r>
      <w:r w:rsidR="000C6FE9">
        <w:rPr>
          <w:rFonts w:asciiTheme="majorBidi" w:hAnsiTheme="majorBidi" w:cstheme="majorBidi"/>
        </w:rPr>
        <w:t>.</w:t>
      </w:r>
      <w:r w:rsidR="00486F2E">
        <w:rPr>
          <w:rFonts w:asciiTheme="majorBidi" w:hAnsiTheme="majorBidi" w:cstheme="majorBidi"/>
        </w:rPr>
        <w:t xml:space="preserve"> A randomly-selected h</w:t>
      </w:r>
      <w:r w:rsidR="00486F2E" w:rsidRPr="00464F52">
        <w:rPr>
          <w:rFonts w:asciiTheme="majorBidi" w:hAnsiTheme="majorBidi" w:cstheme="majorBidi"/>
        </w:rPr>
        <w:t xml:space="preserve">alf </w:t>
      </w:r>
      <w:r w:rsidR="00486F2E">
        <w:rPr>
          <w:rFonts w:asciiTheme="majorBidi" w:hAnsiTheme="majorBidi" w:cstheme="majorBidi"/>
        </w:rPr>
        <w:t xml:space="preserve">of </w:t>
      </w:r>
      <w:r w:rsidR="00486F2E" w:rsidRPr="00464F52">
        <w:rPr>
          <w:rFonts w:asciiTheme="majorBidi" w:hAnsiTheme="majorBidi" w:cstheme="majorBidi"/>
        </w:rPr>
        <w:t xml:space="preserve">the </w:t>
      </w:r>
      <w:r w:rsidR="00486F2E" w:rsidRPr="00447B9E">
        <w:rPr>
          <w:rFonts w:asciiTheme="majorBidi" w:hAnsiTheme="majorBidi" w:cstheme="majorBidi"/>
        </w:rPr>
        <w:t xml:space="preserve">calibration sample will be offered an abbreviated interview along with a $10 pre-paid PayPal </w:t>
      </w:r>
      <w:r w:rsidR="001273CB">
        <w:rPr>
          <w:rFonts w:asciiTheme="majorBidi" w:hAnsiTheme="majorBidi" w:cstheme="majorBidi"/>
        </w:rPr>
        <w:t>amount</w:t>
      </w:r>
      <w:r w:rsidR="00486F2E" w:rsidRPr="00447B9E">
        <w:rPr>
          <w:rFonts w:asciiTheme="majorBidi" w:hAnsiTheme="majorBidi" w:cstheme="majorBidi"/>
        </w:rPr>
        <w:t xml:space="preserve"> and </w:t>
      </w:r>
      <w:r w:rsidR="001273CB">
        <w:rPr>
          <w:rFonts w:asciiTheme="majorBidi" w:hAnsiTheme="majorBidi" w:cstheme="majorBidi"/>
        </w:rPr>
        <w:t xml:space="preserve">an offer to receive another </w:t>
      </w:r>
      <w:r w:rsidR="00486F2E" w:rsidRPr="00447B9E">
        <w:rPr>
          <w:rFonts w:asciiTheme="majorBidi" w:hAnsiTheme="majorBidi" w:cstheme="majorBidi"/>
        </w:rPr>
        <w:t xml:space="preserve">$20 upon completion of the survey ($30 total). The other half will be offered the full interview along with a $10 pre-paid PayPal </w:t>
      </w:r>
      <w:r w:rsidR="001273CB">
        <w:rPr>
          <w:rFonts w:asciiTheme="majorBidi" w:hAnsiTheme="majorBidi" w:cstheme="majorBidi"/>
        </w:rPr>
        <w:t>amount</w:t>
      </w:r>
      <w:r w:rsidR="00486F2E" w:rsidRPr="00447B9E">
        <w:rPr>
          <w:rStyle w:val="FootnoteReference"/>
        </w:rPr>
        <w:footnoteReference w:id="9"/>
      </w:r>
      <w:r w:rsidR="00486F2E" w:rsidRPr="00447B9E">
        <w:rPr>
          <w:rFonts w:asciiTheme="majorBidi" w:hAnsiTheme="majorBidi" w:cstheme="majorBidi"/>
        </w:rPr>
        <w:t xml:space="preserve"> and </w:t>
      </w:r>
      <w:r w:rsidR="001273CB">
        <w:rPr>
          <w:rFonts w:asciiTheme="majorBidi" w:hAnsiTheme="majorBidi" w:cstheme="majorBidi"/>
        </w:rPr>
        <w:t xml:space="preserve">an offer to receive </w:t>
      </w:r>
      <w:r w:rsidR="00486F2E" w:rsidRPr="00447B9E">
        <w:rPr>
          <w:rFonts w:asciiTheme="majorBidi" w:hAnsiTheme="majorBidi" w:cstheme="majorBidi"/>
        </w:rPr>
        <w:t>another $65 upon completion of the survey ($75 total).</w:t>
      </w:r>
      <w:r w:rsidR="00486F2E" w:rsidRPr="00464F52">
        <w:rPr>
          <w:rFonts w:asciiTheme="majorBidi" w:hAnsiTheme="majorBidi" w:cstheme="majorBidi"/>
        </w:rPr>
        <w:t xml:space="preserve"> </w:t>
      </w:r>
      <w:r w:rsidR="00381229">
        <w:rPr>
          <w:rFonts w:asciiTheme="majorBidi" w:hAnsiTheme="majorBidi" w:cstheme="majorBidi"/>
        </w:rPr>
        <w:t>At six weeks</w:t>
      </w:r>
      <w:r w:rsidR="001273CB">
        <w:rPr>
          <w:rFonts w:asciiTheme="majorBidi" w:hAnsiTheme="majorBidi" w:cstheme="majorBidi"/>
        </w:rPr>
        <w:t>,</w:t>
      </w:r>
      <w:r w:rsidR="00381229">
        <w:rPr>
          <w:rFonts w:asciiTheme="majorBidi" w:hAnsiTheme="majorBidi" w:cstheme="majorBidi"/>
        </w:rPr>
        <w:t xml:space="preserve"> the </w:t>
      </w:r>
      <w:r w:rsidR="00486F2E" w:rsidRPr="00464F52">
        <w:rPr>
          <w:rFonts w:asciiTheme="majorBidi" w:hAnsiTheme="majorBidi" w:cstheme="majorBidi"/>
        </w:rPr>
        <w:t xml:space="preserve">two approaches will be compared </w:t>
      </w:r>
      <w:r w:rsidR="001273CB">
        <w:rPr>
          <w:rFonts w:asciiTheme="majorBidi" w:hAnsiTheme="majorBidi" w:cstheme="majorBidi"/>
        </w:rPr>
        <w:t xml:space="preserve">using a Pearson Chi-squared test </w:t>
      </w:r>
      <w:r w:rsidR="00381229">
        <w:rPr>
          <w:rFonts w:asciiTheme="majorBidi" w:hAnsiTheme="majorBidi" w:cstheme="majorBidi"/>
        </w:rPr>
        <w:t xml:space="preserve">to determine which </w:t>
      </w:r>
      <w:r w:rsidR="001273CB">
        <w:rPr>
          <w:rFonts w:asciiTheme="majorBidi" w:hAnsiTheme="majorBidi" w:cstheme="majorBidi"/>
        </w:rPr>
        <w:t>results in</w:t>
      </w:r>
      <w:r w:rsidR="00381229">
        <w:rPr>
          <w:rFonts w:asciiTheme="majorBidi" w:hAnsiTheme="majorBidi" w:cstheme="majorBidi"/>
        </w:rPr>
        <w:t xml:space="preserve"> </w:t>
      </w:r>
      <w:r w:rsidR="002B537E">
        <w:rPr>
          <w:rFonts w:asciiTheme="majorBidi" w:hAnsiTheme="majorBidi" w:cstheme="majorBidi"/>
        </w:rPr>
        <w:t xml:space="preserve">the highest </w:t>
      </w:r>
      <w:r w:rsidR="001273CB">
        <w:rPr>
          <w:rFonts w:asciiTheme="majorBidi" w:hAnsiTheme="majorBidi" w:cstheme="majorBidi"/>
        </w:rPr>
        <w:t xml:space="preserve">response </w:t>
      </w:r>
      <w:r w:rsidR="002B537E">
        <w:rPr>
          <w:rFonts w:asciiTheme="majorBidi" w:hAnsiTheme="majorBidi" w:cstheme="majorBidi"/>
        </w:rPr>
        <w:t xml:space="preserve">rate </w:t>
      </w:r>
      <w:r w:rsidR="00381229">
        <w:rPr>
          <w:rFonts w:asciiTheme="majorBidi" w:hAnsiTheme="majorBidi" w:cstheme="majorBidi"/>
        </w:rPr>
        <w:t>from this hard-to-convert population</w:t>
      </w:r>
      <w:r w:rsidR="001273CB">
        <w:rPr>
          <w:rFonts w:asciiTheme="majorBidi" w:hAnsiTheme="majorBidi" w:cstheme="majorBidi"/>
        </w:rPr>
        <w:t xml:space="preserve"> and should be proposed for </w:t>
      </w:r>
      <w:r w:rsidR="001273CB" w:rsidRPr="00464F52">
        <w:rPr>
          <w:rFonts w:asciiTheme="majorBidi" w:hAnsiTheme="majorBidi" w:cstheme="majorBidi"/>
        </w:rPr>
        <w:t xml:space="preserve">the main sample of double </w:t>
      </w:r>
      <w:proofErr w:type="spellStart"/>
      <w:r w:rsidR="001273CB" w:rsidRPr="00464F52">
        <w:rPr>
          <w:rFonts w:asciiTheme="majorBidi" w:hAnsiTheme="majorBidi" w:cstheme="majorBidi"/>
        </w:rPr>
        <w:t>nonrespondents</w:t>
      </w:r>
      <w:proofErr w:type="spellEnd"/>
      <w:r w:rsidR="00486F2E" w:rsidRPr="00464F52">
        <w:rPr>
          <w:rFonts w:asciiTheme="majorBidi" w:hAnsiTheme="majorBidi" w:cstheme="majorBidi"/>
        </w:rPr>
        <w:t>. If both perform equally</w:t>
      </w:r>
      <w:r w:rsidR="00486F2E">
        <w:rPr>
          <w:rFonts w:asciiTheme="majorBidi" w:hAnsiTheme="majorBidi" w:cstheme="majorBidi"/>
        </w:rPr>
        <w:t>,</w:t>
      </w:r>
      <w:r w:rsidR="00486F2E" w:rsidRPr="00464F52">
        <w:rPr>
          <w:rFonts w:asciiTheme="majorBidi" w:hAnsiTheme="majorBidi" w:cstheme="majorBidi"/>
        </w:rPr>
        <w:t xml:space="preserve"> we will select the $30 total baseline along with the abbreviated interview. </w:t>
      </w:r>
      <w:r w:rsidR="00486F2E">
        <w:rPr>
          <w:rFonts w:asciiTheme="majorBidi" w:hAnsiTheme="majorBidi" w:cstheme="majorBidi"/>
        </w:rPr>
        <w:t xml:space="preserve">Regardless of </w:t>
      </w:r>
      <w:r w:rsidR="001273CB">
        <w:rPr>
          <w:rFonts w:asciiTheme="majorBidi" w:hAnsiTheme="majorBidi" w:cstheme="majorBidi"/>
        </w:rPr>
        <w:t xml:space="preserve">the selected </w:t>
      </w:r>
      <w:r w:rsidR="00486F2E">
        <w:rPr>
          <w:rFonts w:asciiTheme="majorBidi" w:hAnsiTheme="majorBidi" w:cstheme="majorBidi"/>
        </w:rPr>
        <w:t>protocol, a</w:t>
      </w:r>
      <w:r w:rsidR="00486F2E" w:rsidRPr="00464F52">
        <w:rPr>
          <w:rFonts w:asciiTheme="majorBidi" w:hAnsiTheme="majorBidi" w:cstheme="majorBidi"/>
        </w:rPr>
        <w:t>t 14 weeks into data collection</w:t>
      </w:r>
      <w:r w:rsidR="001273CB">
        <w:rPr>
          <w:rFonts w:asciiTheme="majorBidi" w:hAnsiTheme="majorBidi" w:cstheme="majorBidi"/>
        </w:rPr>
        <w:t>,</w:t>
      </w:r>
      <w:r w:rsidR="00486F2E" w:rsidRPr="00464F52">
        <w:rPr>
          <w:rFonts w:asciiTheme="majorBidi" w:hAnsiTheme="majorBidi" w:cstheme="majorBidi"/>
        </w:rPr>
        <w:t xml:space="preserve"> all remaining </w:t>
      </w:r>
      <w:proofErr w:type="spellStart"/>
      <w:r w:rsidR="00486F2E" w:rsidRPr="00464F52">
        <w:rPr>
          <w:rFonts w:asciiTheme="majorBidi" w:hAnsiTheme="majorBidi" w:cstheme="majorBidi"/>
        </w:rPr>
        <w:t>nonrespondents</w:t>
      </w:r>
      <w:proofErr w:type="spellEnd"/>
      <w:r w:rsidR="00486F2E" w:rsidRPr="00464F52">
        <w:rPr>
          <w:rFonts w:asciiTheme="majorBidi" w:hAnsiTheme="majorBidi" w:cstheme="majorBidi"/>
        </w:rPr>
        <w:t xml:space="preserve"> in the double </w:t>
      </w:r>
      <w:proofErr w:type="spellStart"/>
      <w:r w:rsidR="00486F2E" w:rsidRPr="0078383A">
        <w:rPr>
          <w:rFonts w:asciiTheme="majorBidi" w:hAnsiTheme="majorBidi" w:cstheme="majorBidi"/>
        </w:rPr>
        <w:t>nonrespondent</w:t>
      </w:r>
      <w:proofErr w:type="spellEnd"/>
      <w:r w:rsidR="00486F2E" w:rsidRPr="0078383A">
        <w:rPr>
          <w:rFonts w:asciiTheme="majorBidi" w:hAnsiTheme="majorBidi" w:cstheme="majorBidi"/>
        </w:rPr>
        <w:t xml:space="preserve"> population will be offered the maximum special protocol intervention consisting of an abbreviated interview and $65 upon completion of the interview to total $75 along with the $10 pre-paid offer. In addition, at a </w:t>
      </w:r>
      <w:r w:rsidR="00767F1A" w:rsidRPr="0078383A">
        <w:rPr>
          <w:rFonts w:asciiTheme="majorBidi" w:hAnsiTheme="majorBidi" w:cstheme="majorBidi"/>
        </w:rPr>
        <w:t xml:space="preserve">later phase of data </w:t>
      </w:r>
      <w:r w:rsidR="00486F2E" w:rsidRPr="0078383A">
        <w:rPr>
          <w:rFonts w:asciiTheme="majorBidi" w:hAnsiTheme="majorBidi" w:cstheme="majorBidi"/>
        </w:rPr>
        <w:t xml:space="preserve">collection, we will move this group to a passive </w:t>
      </w:r>
      <w:r w:rsidR="00767F1A" w:rsidRPr="0078383A">
        <w:rPr>
          <w:rFonts w:asciiTheme="majorBidi" w:hAnsiTheme="majorBidi" w:cstheme="majorBidi"/>
        </w:rPr>
        <w:t xml:space="preserve">status </w:t>
      </w:r>
      <w:r w:rsidR="00486F2E" w:rsidRPr="0078383A">
        <w:rPr>
          <w:rFonts w:asciiTheme="majorBidi" w:hAnsiTheme="majorBidi" w:cstheme="majorBidi"/>
        </w:rPr>
        <w:t xml:space="preserve">by discontinuing CATI operations and relying on email contacts. The timeline for double </w:t>
      </w:r>
      <w:proofErr w:type="spellStart"/>
      <w:r w:rsidR="00486F2E" w:rsidRPr="0078383A">
        <w:rPr>
          <w:rFonts w:asciiTheme="majorBidi" w:hAnsiTheme="majorBidi" w:cstheme="majorBidi"/>
        </w:rPr>
        <w:t>nonrespondents</w:t>
      </w:r>
      <w:proofErr w:type="spellEnd"/>
      <w:r w:rsidR="00486F2E" w:rsidRPr="0078383A">
        <w:rPr>
          <w:rFonts w:asciiTheme="majorBidi" w:hAnsiTheme="majorBidi" w:cstheme="majorBidi"/>
        </w:rPr>
        <w:t xml:space="preserve"> is summarized in table </w:t>
      </w:r>
      <w:r w:rsidR="00B14EAC" w:rsidRPr="0078383A">
        <w:rPr>
          <w:rFonts w:asciiTheme="majorBidi" w:hAnsiTheme="majorBidi" w:cstheme="majorBidi"/>
        </w:rPr>
        <w:t>10</w:t>
      </w:r>
      <w:r w:rsidR="00486F2E" w:rsidRPr="0078383A">
        <w:rPr>
          <w:rFonts w:asciiTheme="majorBidi" w:hAnsiTheme="majorBidi" w:cstheme="majorBidi"/>
        </w:rPr>
        <w:t xml:space="preserve"> and figure 1.</w:t>
      </w:r>
    </w:p>
    <w:p w14:paraId="7E8DBFEC" w14:textId="3397A28C" w:rsidR="00486F2E" w:rsidRPr="00635093" w:rsidRDefault="00486F2E" w:rsidP="00A8796F">
      <w:pPr>
        <w:pStyle w:val="TableTitle"/>
        <w:keepNext w:val="0"/>
        <w:widowControl w:val="0"/>
        <w:spacing w:before="120" w:after="60"/>
        <w:ind w:left="0" w:firstLine="0"/>
      </w:pPr>
      <w:bookmarkStart w:id="113" w:name="_Toc456167113"/>
      <w:r>
        <w:t xml:space="preserve">Table </w:t>
      </w:r>
      <w:r w:rsidR="00B14EAC">
        <w:t>10</w:t>
      </w:r>
      <w:r w:rsidRPr="00D933B5">
        <w:t>.</w:t>
      </w:r>
      <w:r w:rsidR="002B537E">
        <w:t xml:space="preserve"> </w:t>
      </w:r>
      <w:r>
        <w:t xml:space="preserve">Timeline for NPSAS:12 study member double interview </w:t>
      </w:r>
      <w:proofErr w:type="spellStart"/>
      <w:r>
        <w:t>nonrespondents</w:t>
      </w:r>
      <w:bookmarkEnd w:id="113"/>
      <w:proofErr w:type="spellEnd"/>
    </w:p>
    <w:tbl>
      <w:tblPr>
        <w:tblStyle w:val="TableGrid"/>
        <w:tblW w:w="5000" w:type="pct"/>
        <w:tblLook w:val="04A0" w:firstRow="1" w:lastRow="0" w:firstColumn="1" w:lastColumn="0" w:noHBand="0" w:noVBand="1"/>
      </w:tblPr>
      <w:tblGrid>
        <w:gridCol w:w="852"/>
        <w:gridCol w:w="2062"/>
        <w:gridCol w:w="1457"/>
        <w:gridCol w:w="3231"/>
        <w:gridCol w:w="99"/>
        <w:gridCol w:w="3027"/>
      </w:tblGrid>
      <w:tr w:rsidR="00486F2E" w14:paraId="619D2FE4" w14:textId="77777777" w:rsidTr="0013617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7" w:type="pct"/>
            <w:shd w:val="clear" w:color="auto" w:fill="D9D9D9" w:themeFill="background1" w:themeFillShade="D9"/>
            <w:noWrap/>
            <w:hideMark/>
          </w:tcPr>
          <w:p w14:paraId="1F08CEE0" w14:textId="77777777" w:rsidR="00486F2E" w:rsidRPr="00CA41A1" w:rsidRDefault="00486F2E" w:rsidP="00A8796F">
            <w:pPr>
              <w:widowControl w:val="0"/>
              <w:spacing w:before="0" w:after="0"/>
              <w:ind w:left="0" w:firstLine="0"/>
              <w:rPr>
                <w:b/>
                <w:bCs/>
                <w:color w:val="000000"/>
                <w:sz w:val="20"/>
              </w:rPr>
            </w:pPr>
            <w:r w:rsidRPr="00CA41A1">
              <w:rPr>
                <w:b/>
                <w:bCs/>
                <w:color w:val="000000"/>
                <w:sz w:val="20"/>
              </w:rPr>
              <w:t>Phase</w:t>
            </w:r>
          </w:p>
        </w:tc>
        <w:tc>
          <w:tcPr>
            <w:tcW w:w="1640" w:type="pct"/>
            <w:gridSpan w:val="2"/>
            <w:shd w:val="clear" w:color="auto" w:fill="D9D9D9" w:themeFill="background1" w:themeFillShade="D9"/>
            <w:noWrap/>
            <w:hideMark/>
          </w:tcPr>
          <w:p w14:paraId="2FF530E2" w14:textId="77777777" w:rsidR="00486F2E" w:rsidRPr="00CA41A1" w:rsidRDefault="00486F2E" w:rsidP="00A8796F">
            <w:pPr>
              <w:widowControl w:val="0"/>
              <w:spacing w:before="0" w:after="0"/>
              <w:jc w:val="left"/>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Start date</w:t>
            </w:r>
          </w:p>
        </w:tc>
        <w:tc>
          <w:tcPr>
            <w:tcW w:w="2963" w:type="pct"/>
            <w:gridSpan w:val="3"/>
            <w:shd w:val="clear" w:color="auto" w:fill="D9D9D9" w:themeFill="background1" w:themeFillShade="D9"/>
            <w:noWrap/>
            <w:hideMark/>
          </w:tcPr>
          <w:p w14:paraId="6C6108D8" w14:textId="77777777" w:rsidR="00486F2E" w:rsidRPr="00CA41A1" w:rsidRDefault="00486F2E" w:rsidP="00A8796F">
            <w:pPr>
              <w:widowControl w:val="0"/>
              <w:spacing w:before="0" w:after="0"/>
              <w:jc w:val="left"/>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Activity</w:t>
            </w:r>
          </w:p>
        </w:tc>
      </w:tr>
      <w:tr w:rsidR="00486F2E" w14:paraId="64B8C2FE" w14:textId="77777777" w:rsidTr="00136179">
        <w:trPr>
          <w:trHeight w:val="300"/>
        </w:trPr>
        <w:tc>
          <w:tcPr>
            <w:cnfStyle w:val="001000000000" w:firstRow="0" w:lastRow="0" w:firstColumn="1" w:lastColumn="0" w:oddVBand="0" w:evenVBand="0" w:oddHBand="0" w:evenHBand="0" w:firstRowFirstColumn="0" w:firstRowLastColumn="0" w:lastRowFirstColumn="0" w:lastRowLastColumn="0"/>
            <w:tcW w:w="397" w:type="pct"/>
            <w:shd w:val="clear" w:color="auto" w:fill="D9D9D9" w:themeFill="background1" w:themeFillShade="D9"/>
            <w:noWrap/>
            <w:hideMark/>
          </w:tcPr>
          <w:p w14:paraId="66432D8B" w14:textId="77777777" w:rsidR="00486F2E" w:rsidRPr="00CA41A1" w:rsidRDefault="00486F2E" w:rsidP="00A8796F">
            <w:pPr>
              <w:widowControl w:val="0"/>
              <w:spacing w:before="0" w:after="0"/>
              <w:ind w:left="0" w:firstLine="0"/>
              <w:rPr>
                <w:b/>
                <w:bCs/>
                <w:color w:val="000000"/>
                <w:sz w:val="20"/>
              </w:rPr>
            </w:pPr>
          </w:p>
        </w:tc>
        <w:tc>
          <w:tcPr>
            <w:tcW w:w="961" w:type="pct"/>
            <w:shd w:val="clear" w:color="auto" w:fill="D9D9D9" w:themeFill="background1" w:themeFillShade="D9"/>
            <w:noWrap/>
            <w:hideMark/>
          </w:tcPr>
          <w:p w14:paraId="3A372708" w14:textId="60410FCA"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679" w:type="pct"/>
            <w:shd w:val="clear" w:color="auto" w:fill="D9D9D9" w:themeFill="background1" w:themeFillShade="D9"/>
            <w:noWrap/>
            <w:hideMark/>
          </w:tcPr>
          <w:p w14:paraId="70E12935" w14:textId="77777777"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c>
          <w:tcPr>
            <w:tcW w:w="1552" w:type="pct"/>
            <w:gridSpan w:val="2"/>
            <w:shd w:val="clear" w:color="auto" w:fill="D9D9D9" w:themeFill="background1" w:themeFillShade="D9"/>
            <w:noWrap/>
            <w:hideMark/>
          </w:tcPr>
          <w:p w14:paraId="08F6C527" w14:textId="2611F2E4"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1411" w:type="pct"/>
            <w:shd w:val="clear" w:color="auto" w:fill="D9D9D9" w:themeFill="background1" w:themeFillShade="D9"/>
            <w:noWrap/>
            <w:hideMark/>
          </w:tcPr>
          <w:p w14:paraId="7DF6160C" w14:textId="77777777"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r>
      <w:tr w:rsidR="00486F2E" w14:paraId="24E08686"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hideMark/>
          </w:tcPr>
          <w:p w14:paraId="1F1D7533" w14:textId="77777777" w:rsidR="00486F2E" w:rsidRPr="00CA41A1" w:rsidRDefault="00486F2E" w:rsidP="00A8796F">
            <w:pPr>
              <w:widowControl w:val="0"/>
              <w:spacing w:before="0" w:after="0"/>
              <w:ind w:left="0" w:firstLine="0"/>
              <w:rPr>
                <w:color w:val="000000"/>
                <w:sz w:val="20"/>
              </w:rPr>
            </w:pPr>
            <w:r>
              <w:rPr>
                <w:color w:val="000000"/>
                <w:sz w:val="20"/>
              </w:rPr>
              <w:t>DNR-</w:t>
            </w:r>
            <w:r w:rsidRPr="00CA41A1">
              <w:rPr>
                <w:color w:val="000000"/>
                <w:sz w:val="20"/>
              </w:rPr>
              <w:t>1</w:t>
            </w:r>
          </w:p>
        </w:tc>
        <w:tc>
          <w:tcPr>
            <w:tcW w:w="961" w:type="pct"/>
            <w:noWrap/>
            <w:vAlign w:val="top"/>
            <w:hideMark/>
          </w:tcPr>
          <w:p w14:paraId="4825E0B8"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0</w:t>
            </w:r>
          </w:p>
        </w:tc>
        <w:tc>
          <w:tcPr>
            <w:tcW w:w="679" w:type="pct"/>
            <w:noWrap/>
            <w:vAlign w:val="top"/>
            <w:hideMark/>
          </w:tcPr>
          <w:p w14:paraId="702ADFB6"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7</w:t>
            </w:r>
          </w:p>
        </w:tc>
        <w:tc>
          <w:tcPr>
            <w:tcW w:w="1506" w:type="pct"/>
            <w:vAlign w:val="top"/>
            <w:hideMark/>
          </w:tcPr>
          <w:p w14:paraId="37D54666" w14:textId="6C2E8E06"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Begin data collection; calibration sample for baseline special protocol</w:t>
            </w:r>
            <w:r w:rsidR="002832A8">
              <w:rPr>
                <w:color w:val="000000"/>
                <w:sz w:val="20"/>
              </w:rPr>
              <w:t xml:space="preserve"> (full interview and $75</w:t>
            </w:r>
            <w:r w:rsidR="00B14EAC">
              <w:rPr>
                <w:color w:val="000000"/>
                <w:sz w:val="20"/>
              </w:rPr>
              <w:t xml:space="preserve"> total</w:t>
            </w:r>
            <w:r w:rsidR="002832A8">
              <w:rPr>
                <w:color w:val="000000"/>
                <w:sz w:val="20"/>
              </w:rPr>
              <w:t xml:space="preserve"> vs. </w:t>
            </w:r>
            <w:r w:rsidR="00B14EAC">
              <w:rPr>
                <w:color w:val="000000"/>
                <w:sz w:val="20"/>
              </w:rPr>
              <w:t>abbreviated interview and $30 total)</w:t>
            </w:r>
          </w:p>
        </w:tc>
        <w:tc>
          <w:tcPr>
            <w:tcW w:w="1457" w:type="pct"/>
            <w:gridSpan w:val="2"/>
            <w:vAlign w:val="top"/>
            <w:hideMark/>
          </w:tcPr>
          <w:p w14:paraId="0BFA8582" w14:textId="17D3F954"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Begin data collection; baseline special protocol determined by </w:t>
            </w:r>
            <w:r w:rsidR="00136179" w:rsidRPr="00C34134">
              <w:rPr>
                <w:color w:val="000000"/>
                <w:sz w:val="20"/>
              </w:rPr>
              <w:t>calibration</w:t>
            </w:r>
            <w:r w:rsidR="00136179">
              <w:rPr>
                <w:color w:val="000000"/>
                <w:sz w:val="20"/>
              </w:rPr>
              <w:t xml:space="preserve"> </w:t>
            </w:r>
            <w:r w:rsidRPr="00C34134">
              <w:rPr>
                <w:color w:val="000000"/>
                <w:sz w:val="20"/>
              </w:rPr>
              <w:t xml:space="preserve">results </w:t>
            </w:r>
            <w:r w:rsidR="00447B9E">
              <w:rPr>
                <w:color w:val="000000"/>
                <w:sz w:val="20"/>
              </w:rPr>
              <w:t>(full interview and $75 total vs. abbreviated interview and $30 total)</w:t>
            </w:r>
          </w:p>
        </w:tc>
      </w:tr>
      <w:tr w:rsidR="00486F2E" w14:paraId="36660EE1"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5495824B" w14:textId="77777777" w:rsidR="00486F2E" w:rsidRPr="00CA41A1" w:rsidRDefault="00486F2E" w:rsidP="00A8796F">
            <w:pPr>
              <w:widowControl w:val="0"/>
              <w:spacing w:before="0" w:after="0"/>
              <w:ind w:left="0" w:firstLine="0"/>
              <w:rPr>
                <w:color w:val="000000"/>
                <w:sz w:val="20"/>
              </w:rPr>
            </w:pPr>
            <w:r>
              <w:rPr>
                <w:color w:val="000000"/>
                <w:sz w:val="20"/>
              </w:rPr>
              <w:t>DNR-2</w:t>
            </w:r>
          </w:p>
        </w:tc>
        <w:tc>
          <w:tcPr>
            <w:tcW w:w="961" w:type="pct"/>
            <w:noWrap/>
            <w:vAlign w:val="top"/>
          </w:tcPr>
          <w:p w14:paraId="06B45942"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679" w:type="pct"/>
            <w:noWrap/>
            <w:vAlign w:val="top"/>
          </w:tcPr>
          <w:p w14:paraId="4FD0DC91"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1506" w:type="pct"/>
            <w:vAlign w:val="top"/>
          </w:tcPr>
          <w:p w14:paraId="1AAA8B3B" w14:textId="77777777"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Offer all remaining double </w:t>
            </w:r>
            <w:proofErr w:type="spellStart"/>
            <w:r w:rsidRPr="00C34134">
              <w:rPr>
                <w:color w:val="000000"/>
                <w:sz w:val="20"/>
              </w:rPr>
              <w:t>nonrespondents</w:t>
            </w:r>
            <w:proofErr w:type="spellEnd"/>
            <w:r w:rsidRPr="00C34134">
              <w:rPr>
                <w:color w:val="000000"/>
                <w:sz w:val="20"/>
              </w:rPr>
              <w:t xml:space="preserve"> $75 incentive and abbreviated interview</w:t>
            </w:r>
          </w:p>
        </w:tc>
        <w:tc>
          <w:tcPr>
            <w:tcW w:w="1457" w:type="pct"/>
            <w:gridSpan w:val="2"/>
            <w:vAlign w:val="top"/>
          </w:tcPr>
          <w:p w14:paraId="1BAC2722" w14:textId="77777777"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Offer all remaining double </w:t>
            </w:r>
            <w:proofErr w:type="spellStart"/>
            <w:r w:rsidRPr="00C34134">
              <w:rPr>
                <w:color w:val="000000"/>
                <w:sz w:val="20"/>
              </w:rPr>
              <w:t>nonrespondents</w:t>
            </w:r>
            <w:proofErr w:type="spellEnd"/>
            <w:r w:rsidRPr="00C34134">
              <w:rPr>
                <w:color w:val="000000"/>
                <w:sz w:val="20"/>
              </w:rPr>
              <w:t xml:space="preserve"> $75 incentive and abbreviated interview</w:t>
            </w:r>
          </w:p>
        </w:tc>
      </w:tr>
      <w:tr w:rsidR="00486F2E" w14:paraId="557D5487"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0455AB2E" w14:textId="77777777" w:rsidR="00486F2E" w:rsidRPr="001A58DC" w:rsidRDefault="00486F2E" w:rsidP="00A8796F">
            <w:pPr>
              <w:widowControl w:val="0"/>
              <w:spacing w:before="0" w:after="0"/>
              <w:ind w:left="0" w:firstLine="0"/>
              <w:rPr>
                <w:color w:val="000000"/>
                <w:sz w:val="20"/>
              </w:rPr>
            </w:pPr>
            <w:r>
              <w:rPr>
                <w:color w:val="000000"/>
                <w:sz w:val="20"/>
              </w:rPr>
              <w:t>DNR-3</w:t>
            </w:r>
          </w:p>
        </w:tc>
        <w:tc>
          <w:tcPr>
            <w:tcW w:w="961" w:type="pct"/>
            <w:noWrap/>
            <w:vAlign w:val="top"/>
          </w:tcPr>
          <w:p w14:paraId="6594A43A"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TBD</w:t>
            </w:r>
          </w:p>
        </w:tc>
        <w:tc>
          <w:tcPr>
            <w:tcW w:w="679" w:type="pct"/>
            <w:noWrap/>
            <w:vAlign w:val="top"/>
          </w:tcPr>
          <w:p w14:paraId="126D3ED5"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TBD</w:t>
            </w:r>
          </w:p>
        </w:tc>
        <w:tc>
          <w:tcPr>
            <w:tcW w:w="1506" w:type="pct"/>
            <w:vAlign w:val="top"/>
          </w:tcPr>
          <w:p w14:paraId="04102B3A" w14:textId="77777777"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Move to passive data collection efforts for all remaining </w:t>
            </w:r>
            <w:proofErr w:type="spellStart"/>
            <w:r w:rsidRPr="00C34134">
              <w:rPr>
                <w:color w:val="000000"/>
                <w:sz w:val="20"/>
              </w:rPr>
              <w:t>nonrespondents</w:t>
            </w:r>
            <w:proofErr w:type="spellEnd"/>
            <w:r w:rsidRPr="00C34134">
              <w:rPr>
                <w:color w:val="000000"/>
                <w:sz w:val="20"/>
              </w:rPr>
              <w:t>; time determined bases on sample monitoring</w:t>
            </w:r>
          </w:p>
        </w:tc>
        <w:tc>
          <w:tcPr>
            <w:tcW w:w="1457" w:type="pct"/>
            <w:gridSpan w:val="2"/>
            <w:vAlign w:val="top"/>
          </w:tcPr>
          <w:p w14:paraId="7B570C3C" w14:textId="77777777"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Move to passive data collection efforts for all remaining </w:t>
            </w:r>
            <w:proofErr w:type="spellStart"/>
            <w:r w:rsidRPr="00C34134">
              <w:rPr>
                <w:color w:val="000000"/>
                <w:sz w:val="20"/>
              </w:rPr>
              <w:t>nonrespondents</w:t>
            </w:r>
            <w:proofErr w:type="spellEnd"/>
            <w:r w:rsidRPr="00C34134">
              <w:rPr>
                <w:color w:val="000000"/>
                <w:sz w:val="20"/>
              </w:rPr>
              <w:t>; time determined bases on sample monitoring</w:t>
            </w:r>
          </w:p>
        </w:tc>
      </w:tr>
    </w:tbl>
    <w:p w14:paraId="4F4217E3" w14:textId="66080888" w:rsidR="00DE32D7" w:rsidRDefault="00DE32D7">
      <w:pPr>
        <w:rPr>
          <w:rFonts w:ascii="Arial" w:hAnsi="Arial" w:cs="Arial"/>
          <w:b/>
          <w:sz w:val="20"/>
        </w:rPr>
      </w:pPr>
    </w:p>
    <w:p w14:paraId="5A148E15" w14:textId="77777777" w:rsidR="006A27C2" w:rsidRDefault="006A27C2">
      <w:pPr>
        <w:rPr>
          <w:rFonts w:ascii="Arial" w:hAnsi="Arial" w:cs="Arial"/>
          <w:b/>
          <w:sz w:val="20"/>
        </w:rPr>
      </w:pPr>
      <w:r>
        <w:rPr>
          <w:rFonts w:ascii="Arial" w:hAnsi="Arial" w:cs="Arial"/>
          <w:b/>
          <w:sz w:val="20"/>
        </w:rPr>
        <w:br w:type="page"/>
      </w:r>
    </w:p>
    <w:p w14:paraId="660D3938" w14:textId="57510408" w:rsidR="00F52E30" w:rsidRDefault="00486F2E" w:rsidP="00A8796F">
      <w:pPr>
        <w:widowControl w:val="0"/>
        <w:spacing w:before="240" w:after="60"/>
        <w:rPr>
          <w:rFonts w:ascii="Arial" w:hAnsi="Arial" w:cs="Arial"/>
          <w:b/>
          <w:sz w:val="20"/>
        </w:rPr>
      </w:pPr>
      <w:r w:rsidRPr="007C0274">
        <w:rPr>
          <w:rFonts w:ascii="Arial" w:hAnsi="Arial" w:cs="Arial"/>
          <w:b/>
          <w:sz w:val="20"/>
        </w:rPr>
        <w:lastRenderedPageBreak/>
        <w:t>Figure 1. Data collection timeline</w:t>
      </w:r>
    </w:p>
    <w:p w14:paraId="18128CC9" w14:textId="66304D2A" w:rsidR="00486F2E" w:rsidRDefault="00486F2E" w:rsidP="00486F2E">
      <w:pPr>
        <w:rPr>
          <w:b/>
          <w:szCs w:val="24"/>
        </w:rPr>
      </w:pPr>
      <w:r>
        <w:rPr>
          <w:b/>
          <w:noProof/>
          <w:szCs w:val="24"/>
        </w:rPr>
        <w:drawing>
          <wp:inline distT="0" distB="0" distL="0" distR="0" wp14:anchorId="0E8BDC6B" wp14:editId="26939E62">
            <wp:extent cx="6553200" cy="3723728"/>
            <wp:effectExtent l="19050" t="19050" r="1905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3200" cy="3723728"/>
                    </a:xfrm>
                    <a:prstGeom prst="rect">
                      <a:avLst/>
                    </a:prstGeom>
                    <a:noFill/>
                    <a:ln>
                      <a:solidFill>
                        <a:schemeClr val="accent1"/>
                      </a:solidFill>
                    </a:ln>
                  </pic:spPr>
                </pic:pic>
              </a:graphicData>
            </a:graphic>
          </wp:inline>
        </w:drawing>
      </w:r>
    </w:p>
    <w:p w14:paraId="64FE0CC7" w14:textId="2400ACAF" w:rsidR="001F2A73" w:rsidRDefault="000C6FE9" w:rsidP="00A8796F">
      <w:pPr>
        <w:spacing w:before="240" w:after="120"/>
        <w:rPr>
          <w:szCs w:val="24"/>
        </w:rPr>
      </w:pPr>
      <w:r>
        <w:rPr>
          <w:b/>
          <w:szCs w:val="24"/>
        </w:rPr>
        <w:t>Evaluation</w:t>
      </w:r>
      <w:r w:rsidR="001F2A73">
        <w:rPr>
          <w:b/>
          <w:szCs w:val="24"/>
        </w:rPr>
        <w:t xml:space="preserve"> of the BPS:12/17</w:t>
      </w:r>
      <w:r w:rsidR="001F2A73" w:rsidRPr="00551191">
        <w:rPr>
          <w:b/>
          <w:szCs w:val="24"/>
        </w:rPr>
        <w:t xml:space="preserve"> Responsive Design Effort.</w:t>
      </w:r>
      <w:r w:rsidR="00F52E30">
        <w:rPr>
          <w:b/>
          <w:bCs/>
          <w:i/>
          <w:iCs/>
          <w:szCs w:val="24"/>
        </w:rPr>
        <w:t xml:space="preserve"> </w:t>
      </w:r>
      <w:r w:rsidR="00136179">
        <w:rPr>
          <w:szCs w:val="24"/>
        </w:rPr>
        <w:t>The</w:t>
      </w:r>
      <w:r w:rsidR="001F2A73" w:rsidRPr="002A02E3">
        <w:rPr>
          <w:szCs w:val="24"/>
        </w:rPr>
        <w:t xml:space="preserve"> analysis plan is based upon </w:t>
      </w:r>
      <w:r w:rsidR="001F2A73">
        <w:rPr>
          <w:szCs w:val="24"/>
        </w:rPr>
        <w:t>two</w:t>
      </w:r>
      <w:r w:rsidR="001F2A73" w:rsidRPr="002A02E3">
        <w:rPr>
          <w:szCs w:val="24"/>
        </w:rPr>
        <w:t xml:space="preserve"> premises: (1) </w:t>
      </w:r>
      <w:r w:rsidR="001F2A73">
        <w:rPr>
          <w:color w:val="000000" w:themeColor="text1"/>
        </w:rPr>
        <w:t>o</w:t>
      </w:r>
      <w:r w:rsidR="001F2A73" w:rsidRPr="00AA0E41">
        <w:rPr>
          <w:color w:val="000000" w:themeColor="text1"/>
        </w:rPr>
        <w:t xml:space="preserve">ffering special </w:t>
      </w:r>
      <w:r w:rsidR="001F2A73">
        <w:rPr>
          <w:color w:val="000000" w:themeColor="text1"/>
        </w:rPr>
        <w:t>interventions</w:t>
      </w:r>
      <w:r w:rsidR="001F2A73" w:rsidRPr="00AA0E41">
        <w:rPr>
          <w:color w:val="000000" w:themeColor="text1"/>
        </w:rPr>
        <w:t xml:space="preserve"> to some, targeted, sample members will increase participation in the aggregate for those sample members </w:t>
      </w:r>
      <w:r w:rsidR="001F2A73">
        <w:rPr>
          <w:color w:val="000000" w:themeColor="text1"/>
        </w:rPr>
        <w:t>and (2) i</w:t>
      </w:r>
      <w:r w:rsidR="001F2A73" w:rsidRPr="00AA0E41">
        <w:rPr>
          <w:color w:val="000000" w:themeColor="text1"/>
        </w:rPr>
        <w:t xml:space="preserve">ncreasing participation among the targeted sample members will produce estimates with lower bias than if no targeting </w:t>
      </w:r>
      <w:r>
        <w:rPr>
          <w:color w:val="000000" w:themeColor="text1"/>
        </w:rPr>
        <w:t>were</w:t>
      </w:r>
      <w:r w:rsidR="001F2A73" w:rsidRPr="00AA0E41">
        <w:rPr>
          <w:color w:val="000000" w:themeColor="text1"/>
        </w:rPr>
        <w:t xml:space="preserve"> implemented.</w:t>
      </w:r>
      <w:r w:rsidR="00F52E30">
        <w:rPr>
          <w:szCs w:val="24"/>
        </w:rPr>
        <w:t xml:space="preserve"> </w:t>
      </w:r>
      <w:r w:rsidR="001F2A73" w:rsidRPr="006D7052">
        <w:rPr>
          <w:szCs w:val="24"/>
        </w:rPr>
        <w:t>In an effort to maximize the utility of this research, the analysis of the responsive design and its implementation will be described in a technical report that includes the</w:t>
      </w:r>
      <w:r w:rsidR="001F2A73">
        <w:rPr>
          <w:szCs w:val="24"/>
        </w:rPr>
        <w:t>se</w:t>
      </w:r>
      <w:r w:rsidR="001F2A73" w:rsidRPr="006D7052">
        <w:rPr>
          <w:szCs w:val="24"/>
        </w:rPr>
        <w:t xml:space="preserve"> t</w:t>
      </w:r>
      <w:r w:rsidR="001F2A73">
        <w:rPr>
          <w:szCs w:val="24"/>
        </w:rPr>
        <w:t>wo</w:t>
      </w:r>
      <w:r w:rsidR="001F2A73" w:rsidRPr="006D7052">
        <w:rPr>
          <w:szCs w:val="24"/>
        </w:rPr>
        <w:t xml:space="preserve"> topics and </w:t>
      </w:r>
      <w:r w:rsidR="001F2A73">
        <w:rPr>
          <w:szCs w:val="24"/>
        </w:rPr>
        <w:t xml:space="preserve">their </w:t>
      </w:r>
      <w:r w:rsidR="001F2A73" w:rsidRPr="006D7052">
        <w:rPr>
          <w:szCs w:val="24"/>
        </w:rPr>
        <w:t>related hypotheses described below.</w:t>
      </w:r>
      <w:r w:rsidR="00F52E30">
        <w:rPr>
          <w:szCs w:val="24"/>
        </w:rPr>
        <w:t xml:space="preserve"> </w:t>
      </w:r>
      <w:r w:rsidR="001F2A73" w:rsidRPr="006D7052">
        <w:rPr>
          <w:szCs w:val="24"/>
        </w:rPr>
        <w:t>We</w:t>
      </w:r>
      <w:r w:rsidR="001F2A73" w:rsidRPr="002A02E3">
        <w:rPr>
          <w:szCs w:val="24"/>
        </w:rPr>
        <w:t xml:space="preserve"> intend to examine thes</w:t>
      </w:r>
      <w:r w:rsidR="001F2A73">
        <w:rPr>
          <w:szCs w:val="24"/>
        </w:rPr>
        <w:t>e aspects of the BPS:12/17</w:t>
      </w:r>
      <w:r w:rsidR="001F2A73" w:rsidRPr="002A02E3">
        <w:rPr>
          <w:szCs w:val="24"/>
        </w:rPr>
        <w:t xml:space="preserve"> responsive design and its implementation as follows:</w:t>
      </w:r>
    </w:p>
    <w:p w14:paraId="1DF20C14" w14:textId="14FD9992" w:rsidR="001F2A73" w:rsidRPr="002A02E3" w:rsidRDefault="001F2A73" w:rsidP="00080628">
      <w:pPr>
        <w:pStyle w:val="ListParagraph"/>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the effectiveness of </w:t>
      </w:r>
      <w:r>
        <w:rPr>
          <w:rFonts w:ascii="Times New Roman" w:hAnsi="Times New Roman" w:cs="Times New Roman"/>
          <w:i/>
          <w:iCs/>
          <w:sz w:val="24"/>
          <w:szCs w:val="24"/>
        </w:rPr>
        <w:t>the calibration samples in identifying optimal intervention approaches to increase</w:t>
      </w:r>
      <w:r w:rsidRPr="002A02E3">
        <w:rPr>
          <w:rFonts w:ascii="Times New Roman" w:hAnsi="Times New Roman" w:cs="Times New Roman"/>
          <w:i/>
          <w:iCs/>
          <w:sz w:val="24"/>
          <w:szCs w:val="24"/>
        </w:rPr>
        <w:t xml:space="preserve"> participation.</w:t>
      </w:r>
    </w:p>
    <w:p w14:paraId="06925FED" w14:textId="77777777" w:rsidR="00F52E30" w:rsidRDefault="001F2A73" w:rsidP="0086642C">
      <w:pPr>
        <w:spacing w:before="120" w:after="120"/>
        <w:rPr>
          <w:szCs w:val="24"/>
        </w:rPr>
      </w:pPr>
      <w:r>
        <w:rPr>
          <w:szCs w:val="24"/>
        </w:rPr>
        <w:t xml:space="preserve">A </w:t>
      </w:r>
      <w:r w:rsidRPr="002A02E3">
        <w:rPr>
          <w:szCs w:val="24"/>
        </w:rPr>
        <w:t xml:space="preserve">key component of the </w:t>
      </w:r>
      <w:r>
        <w:rPr>
          <w:szCs w:val="24"/>
        </w:rPr>
        <w:t xml:space="preserve">BPS:12/17 </w:t>
      </w:r>
      <w:r w:rsidRPr="002A02E3">
        <w:rPr>
          <w:szCs w:val="24"/>
        </w:rPr>
        <w:t xml:space="preserve">responsive design is the effectiveness of the changes in survey protocol </w:t>
      </w:r>
      <w:r>
        <w:rPr>
          <w:szCs w:val="24"/>
        </w:rPr>
        <w:t xml:space="preserve">for </w:t>
      </w:r>
      <w:r w:rsidRPr="002A02E3">
        <w:rPr>
          <w:szCs w:val="24"/>
        </w:rPr>
        <w:t xml:space="preserve">increasing participation. </w:t>
      </w:r>
      <w:r>
        <w:rPr>
          <w:szCs w:val="24"/>
        </w:rPr>
        <w:t xml:space="preserve">The two calibration </w:t>
      </w:r>
      <w:r w:rsidR="0086642C">
        <w:rPr>
          <w:szCs w:val="24"/>
        </w:rPr>
        <w:t xml:space="preserve">experiments </w:t>
      </w:r>
      <w:r>
        <w:rPr>
          <w:szCs w:val="24"/>
        </w:rPr>
        <w:t>examine the impact of proposed</w:t>
      </w:r>
      <w:r w:rsidRPr="002A02E3">
        <w:rPr>
          <w:szCs w:val="24"/>
        </w:rPr>
        <w:t xml:space="preserve"> feature</w:t>
      </w:r>
      <w:r>
        <w:rPr>
          <w:szCs w:val="24"/>
        </w:rPr>
        <w:t>s</w:t>
      </w:r>
      <w:r w:rsidRPr="002A02E3">
        <w:rPr>
          <w:szCs w:val="24"/>
        </w:rPr>
        <w:t xml:space="preserve"> – </w:t>
      </w:r>
      <w:r>
        <w:rPr>
          <w:szCs w:val="24"/>
        </w:rPr>
        <w:t>a pre-paid PayPal offer</w:t>
      </w:r>
      <w:r w:rsidR="0086642C">
        <w:rPr>
          <w:szCs w:val="24"/>
        </w:rPr>
        <w:t xml:space="preserve"> for previous respondents</w:t>
      </w:r>
      <w:r>
        <w:rPr>
          <w:szCs w:val="24"/>
        </w:rPr>
        <w:t xml:space="preserve"> and two special protocols for double </w:t>
      </w:r>
      <w:proofErr w:type="spellStart"/>
      <w:r>
        <w:rPr>
          <w:szCs w:val="24"/>
        </w:rPr>
        <w:t>nonrespondents</w:t>
      </w:r>
      <w:proofErr w:type="spellEnd"/>
      <w:r w:rsidRPr="002A02E3">
        <w:rPr>
          <w:szCs w:val="24"/>
        </w:rPr>
        <w:t>.</w:t>
      </w:r>
    </w:p>
    <w:p w14:paraId="3F367BAF" w14:textId="77777777" w:rsidR="00F52E30" w:rsidRDefault="001F2A73" w:rsidP="000C6FE9">
      <w:pPr>
        <w:spacing w:before="120" w:after="120"/>
        <w:rPr>
          <w:szCs w:val="24"/>
        </w:rPr>
      </w:pPr>
      <w:r w:rsidRPr="002A02E3">
        <w:rPr>
          <w:szCs w:val="24"/>
        </w:rPr>
        <w:t xml:space="preserve">Evaluation of the </w:t>
      </w:r>
      <w:r w:rsidR="00080628">
        <w:rPr>
          <w:szCs w:val="24"/>
        </w:rPr>
        <w:t xml:space="preserve">experiments with calibration samples </w:t>
      </w:r>
      <w:r w:rsidRPr="002A02E3">
        <w:rPr>
          <w:szCs w:val="24"/>
        </w:rPr>
        <w:t xml:space="preserve">will occur during data collection so that findings can be implemented in the main </w:t>
      </w:r>
      <w:r w:rsidRPr="00463C97">
        <w:rPr>
          <w:szCs w:val="24"/>
        </w:rPr>
        <w:t>sample dat</w:t>
      </w:r>
      <w:r>
        <w:rPr>
          <w:szCs w:val="24"/>
        </w:rPr>
        <w:t>a collection. Approximately six</w:t>
      </w:r>
      <w:r w:rsidRPr="00463C97">
        <w:rPr>
          <w:szCs w:val="24"/>
        </w:rPr>
        <w:t xml:space="preserve"> weeks after the start of data collection for the calibration sample, </w:t>
      </w:r>
      <w:r>
        <w:rPr>
          <w:szCs w:val="24"/>
        </w:rPr>
        <w:t xml:space="preserve">response </w:t>
      </w:r>
      <w:r w:rsidR="00381229">
        <w:rPr>
          <w:szCs w:val="24"/>
        </w:rPr>
        <w:t xml:space="preserve">rates </w:t>
      </w:r>
      <w:r>
        <w:rPr>
          <w:szCs w:val="24"/>
        </w:rPr>
        <w:t xml:space="preserve">for </w:t>
      </w:r>
      <w:r w:rsidR="00381229">
        <w:rPr>
          <w:szCs w:val="24"/>
        </w:rPr>
        <w:t xml:space="preserve">the calibration </w:t>
      </w:r>
      <w:r w:rsidRPr="00AA0E41">
        <w:rPr>
          <w:i/>
          <w:szCs w:val="24"/>
        </w:rPr>
        <w:t>pre-paid offer</w:t>
      </w:r>
      <w:r w:rsidR="00381229">
        <w:rPr>
          <w:i/>
          <w:szCs w:val="24"/>
        </w:rPr>
        <w:t xml:space="preserve"> </w:t>
      </w:r>
      <w:r w:rsidR="00381229" w:rsidRPr="00381229">
        <w:rPr>
          <w:szCs w:val="24"/>
        </w:rPr>
        <w:t>group</w:t>
      </w:r>
      <w:r>
        <w:rPr>
          <w:szCs w:val="24"/>
        </w:rPr>
        <w:t xml:space="preserve"> versus </w:t>
      </w:r>
      <w:r w:rsidR="00381229">
        <w:rPr>
          <w:szCs w:val="24"/>
        </w:rPr>
        <w:t xml:space="preserve">the </w:t>
      </w:r>
      <w:r w:rsidRPr="00AA0E41">
        <w:rPr>
          <w:i/>
          <w:szCs w:val="24"/>
        </w:rPr>
        <w:t>no pre-paid offer</w:t>
      </w:r>
      <w:r>
        <w:rPr>
          <w:szCs w:val="24"/>
        </w:rPr>
        <w:t xml:space="preserve"> </w:t>
      </w:r>
      <w:r w:rsidR="00381229">
        <w:rPr>
          <w:szCs w:val="24"/>
        </w:rPr>
        <w:t xml:space="preserve">group </w:t>
      </w:r>
      <w:r>
        <w:rPr>
          <w:szCs w:val="24"/>
        </w:rPr>
        <w:t xml:space="preserve">for previous respondents will be compared using a </w:t>
      </w:r>
      <w:r w:rsidR="00381229">
        <w:rPr>
          <w:szCs w:val="24"/>
        </w:rPr>
        <w:t xml:space="preserve">Pearson </w:t>
      </w:r>
      <w:r>
        <w:rPr>
          <w:szCs w:val="24"/>
        </w:rPr>
        <w:t xml:space="preserve">chi-square test. Similarly the double </w:t>
      </w:r>
      <w:proofErr w:type="spellStart"/>
      <w:r>
        <w:rPr>
          <w:szCs w:val="24"/>
        </w:rPr>
        <w:t>nonrespondent</w:t>
      </w:r>
      <w:proofErr w:type="spellEnd"/>
      <w:r>
        <w:rPr>
          <w:szCs w:val="24"/>
        </w:rPr>
        <w:t xml:space="preserve"> group</w:t>
      </w:r>
      <w:r w:rsidRPr="00463C97">
        <w:rPr>
          <w:szCs w:val="24"/>
        </w:rPr>
        <w:t xml:space="preserve"> </w:t>
      </w:r>
      <w:r>
        <w:rPr>
          <w:szCs w:val="24"/>
        </w:rPr>
        <w:t xml:space="preserve">receiving the abbreviated interview </w:t>
      </w:r>
      <w:r w:rsidR="000C6FE9">
        <w:rPr>
          <w:szCs w:val="24"/>
        </w:rPr>
        <w:t xml:space="preserve">plus the total $30 offer </w:t>
      </w:r>
      <w:r>
        <w:rPr>
          <w:szCs w:val="24"/>
        </w:rPr>
        <w:t>will be compared to the group receiving the abbreviated interview</w:t>
      </w:r>
      <w:r w:rsidR="000C6FE9">
        <w:rPr>
          <w:szCs w:val="24"/>
        </w:rPr>
        <w:t xml:space="preserve"> plus the total $75 offer</w:t>
      </w:r>
      <w:r>
        <w:rPr>
          <w:szCs w:val="24"/>
        </w:rPr>
        <w:t>.</w:t>
      </w:r>
    </w:p>
    <w:p w14:paraId="294D8F8B" w14:textId="3876C37E" w:rsidR="001F2A73" w:rsidRPr="002A02E3" w:rsidRDefault="001F2A73" w:rsidP="001F2A73">
      <w:pPr>
        <w:pStyle w:val="ListParagraph"/>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w:t>
      </w:r>
      <w:r>
        <w:rPr>
          <w:rFonts w:ascii="Times New Roman" w:hAnsi="Times New Roman" w:cs="Times New Roman"/>
          <w:i/>
          <w:iCs/>
          <w:sz w:val="24"/>
          <w:szCs w:val="24"/>
        </w:rPr>
        <w:t xml:space="preserve">sector group level models used to </w:t>
      </w:r>
      <w:r w:rsidRPr="002A02E3">
        <w:rPr>
          <w:rFonts w:ascii="Times New Roman" w:hAnsi="Times New Roman" w:cs="Times New Roman"/>
          <w:i/>
          <w:iCs/>
          <w:sz w:val="24"/>
          <w:szCs w:val="24"/>
        </w:rPr>
        <w:t xml:space="preserve">target cases for </w:t>
      </w:r>
      <w:r>
        <w:rPr>
          <w:rFonts w:ascii="Times New Roman" w:hAnsi="Times New Roman" w:cs="Times New Roman"/>
          <w:i/>
          <w:iCs/>
          <w:sz w:val="24"/>
          <w:szCs w:val="24"/>
        </w:rPr>
        <w:t>special interventions</w:t>
      </w:r>
    </w:p>
    <w:p w14:paraId="1F888876" w14:textId="7C349C29" w:rsidR="001F2A73" w:rsidRDefault="001F2A73" w:rsidP="002B537E">
      <w:pPr>
        <w:spacing w:before="120" w:after="120"/>
        <w:rPr>
          <w:szCs w:val="24"/>
        </w:rPr>
      </w:pPr>
      <w:r w:rsidRPr="002A02E3">
        <w:rPr>
          <w:szCs w:val="24"/>
        </w:rPr>
        <w:t>To maximize th</w:t>
      </w:r>
      <w:r>
        <w:rPr>
          <w:szCs w:val="24"/>
        </w:rPr>
        <w:t>e effectiveness of the BPS:12/17</w:t>
      </w:r>
      <w:r w:rsidRPr="002A02E3">
        <w:rPr>
          <w:szCs w:val="24"/>
        </w:rPr>
        <w:t xml:space="preserve"> responsive design approach, targeted cases need to be associated with survey responses that are underrepresented among the respondents</w:t>
      </w:r>
      <w:r>
        <w:rPr>
          <w:szCs w:val="24"/>
        </w:rPr>
        <w:t>,</w:t>
      </w:r>
      <w:r w:rsidRPr="002A02E3">
        <w:rPr>
          <w:szCs w:val="24"/>
        </w:rPr>
        <w:t xml:space="preserve"> and the targeted groups need to be large enough to change observed estimates.</w:t>
      </w:r>
      <w:r w:rsidR="00F52E30">
        <w:rPr>
          <w:szCs w:val="24"/>
        </w:rPr>
        <w:t xml:space="preserve"> </w:t>
      </w:r>
      <w:r w:rsidRPr="002A02E3">
        <w:rPr>
          <w:szCs w:val="24"/>
        </w:rPr>
        <w:t>In addition to assessing model fit metrics</w:t>
      </w:r>
      <w:r>
        <w:rPr>
          <w:szCs w:val="24"/>
        </w:rPr>
        <w:t xml:space="preserve"> and the effective identification of cases contributing to nonresponse bias</w:t>
      </w:r>
      <w:r w:rsidRPr="002A02E3">
        <w:rPr>
          <w:szCs w:val="24"/>
        </w:rPr>
        <w:t xml:space="preserve"> for each of the models used in the importance score calculation, the distributions of the targeted cases will be reviewed </w:t>
      </w:r>
      <w:r>
        <w:rPr>
          <w:szCs w:val="24"/>
        </w:rPr>
        <w:t>for</w:t>
      </w:r>
      <w:r w:rsidRPr="002A02E3">
        <w:rPr>
          <w:szCs w:val="24"/>
        </w:rPr>
        <w:t xml:space="preserve"> key variables</w:t>
      </w:r>
      <w:r>
        <w:rPr>
          <w:szCs w:val="24"/>
        </w:rPr>
        <w:t>,</w:t>
      </w:r>
      <w:r w:rsidRPr="002A02E3">
        <w:rPr>
          <w:szCs w:val="24"/>
        </w:rPr>
        <w:t xml:space="preserve"> </w:t>
      </w:r>
      <w:r>
        <w:rPr>
          <w:szCs w:val="24"/>
        </w:rPr>
        <w:t xml:space="preserve">overall and </w:t>
      </w:r>
      <w:r w:rsidRPr="002A02E3">
        <w:rPr>
          <w:szCs w:val="24"/>
        </w:rPr>
        <w:t>within sector</w:t>
      </w:r>
      <w:r>
        <w:rPr>
          <w:szCs w:val="24"/>
        </w:rPr>
        <w:t>,</w:t>
      </w:r>
      <w:r w:rsidRPr="002A02E3">
        <w:rPr>
          <w:szCs w:val="24"/>
        </w:rPr>
        <w:t xml:space="preserve"> prior to identifying final targeted cases. </w:t>
      </w:r>
      <w:r w:rsidR="00320C2F">
        <w:rPr>
          <w:szCs w:val="24"/>
        </w:rPr>
        <w:t xml:space="preserve">Again, these key variables include </w:t>
      </w:r>
      <w:r w:rsidR="00320C2F" w:rsidRPr="002A02E3">
        <w:rPr>
          <w:szCs w:val="24"/>
        </w:rPr>
        <w:t>base-</w:t>
      </w:r>
      <w:r w:rsidR="00320C2F" w:rsidRPr="002A02E3">
        <w:rPr>
          <w:szCs w:val="24"/>
        </w:rPr>
        <w:lastRenderedPageBreak/>
        <w:t xml:space="preserve">year survey responses, </w:t>
      </w:r>
      <w:r w:rsidR="00320C2F">
        <w:rPr>
          <w:szCs w:val="24"/>
        </w:rPr>
        <w:t>institution</w:t>
      </w:r>
      <w:r w:rsidR="00320C2F" w:rsidRPr="002A02E3">
        <w:rPr>
          <w:szCs w:val="24"/>
        </w:rPr>
        <w:t xml:space="preserve"> characteristics, and sampling frame information</w:t>
      </w:r>
      <w:r w:rsidR="00320C2F">
        <w:rPr>
          <w:szCs w:val="24"/>
        </w:rPr>
        <w:t xml:space="preserve"> as shown in table 7</w:t>
      </w:r>
      <w:r w:rsidR="00320C2F" w:rsidRPr="002A02E3">
        <w:rPr>
          <w:szCs w:val="24"/>
        </w:rPr>
        <w:t xml:space="preserve">. </w:t>
      </w:r>
      <w:r w:rsidRPr="002A02E3">
        <w:rPr>
          <w:szCs w:val="24"/>
        </w:rPr>
        <w:t>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14:paraId="53E7DCD9" w14:textId="77777777" w:rsidR="001F2A73" w:rsidRPr="002A02E3" w:rsidRDefault="001F2A73" w:rsidP="00447B9E">
      <w:pPr>
        <w:spacing w:before="120" w:after="120"/>
        <w:rPr>
          <w:szCs w:val="24"/>
        </w:rPr>
      </w:pPr>
      <w:r>
        <w:rPr>
          <w:szCs w:val="24"/>
        </w:rPr>
        <w:t xml:space="preserve">The importance score used to select targeted cases will be calculated based on both the nonresponse bias potential and on an </w:t>
      </w:r>
      <w:r w:rsidRPr="00551B59">
        <w:rPr>
          <w:i/>
          <w:szCs w:val="24"/>
        </w:rPr>
        <w:t>a priori</w:t>
      </w:r>
      <w:r>
        <w:rPr>
          <w:szCs w:val="24"/>
        </w:rPr>
        <w:t xml:space="preserve"> response propensity score. To evaluate how well the response propensity measure predicted actual response, we will compare the predicted response rates to observed response rates at the conclusion of data collection. These comparisons will be made at the sector group level as well as in aggregate.</w:t>
      </w:r>
    </w:p>
    <w:p w14:paraId="011063B4" w14:textId="77777777" w:rsidR="001F2A73" w:rsidRPr="002A02E3" w:rsidRDefault="001F2A73" w:rsidP="00A8796F">
      <w:pPr>
        <w:pStyle w:val="ListParagraph"/>
        <w:widowControl w:val="0"/>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the ability </w:t>
      </w:r>
      <w:r>
        <w:rPr>
          <w:rFonts w:ascii="Times New Roman" w:hAnsi="Times New Roman" w:cs="Times New Roman"/>
          <w:i/>
          <w:iCs/>
          <w:sz w:val="24"/>
          <w:szCs w:val="24"/>
        </w:rPr>
        <w:t xml:space="preserve">of the targeted interventions </w:t>
      </w:r>
      <w:r w:rsidRPr="002A02E3">
        <w:rPr>
          <w:rFonts w:ascii="Times New Roman" w:hAnsi="Times New Roman" w:cs="Times New Roman"/>
          <w:i/>
          <w:iCs/>
          <w:sz w:val="24"/>
          <w:szCs w:val="24"/>
        </w:rPr>
        <w:t xml:space="preserve">to reduce </w:t>
      </w:r>
      <w:r>
        <w:rPr>
          <w:rFonts w:ascii="Times New Roman" w:hAnsi="Times New Roman" w:cs="Times New Roman"/>
          <w:i/>
          <w:iCs/>
          <w:sz w:val="24"/>
          <w:szCs w:val="24"/>
        </w:rPr>
        <w:t>unit n</w:t>
      </w:r>
      <w:r w:rsidRPr="002A02E3">
        <w:rPr>
          <w:rFonts w:ascii="Times New Roman" w:hAnsi="Times New Roman" w:cs="Times New Roman"/>
          <w:i/>
          <w:iCs/>
          <w:sz w:val="24"/>
          <w:szCs w:val="24"/>
        </w:rPr>
        <w:t>onresponse bias</w:t>
      </w:r>
      <w:r>
        <w:rPr>
          <w:rFonts w:ascii="Times New Roman" w:hAnsi="Times New Roman" w:cs="Times New Roman"/>
          <w:i/>
          <w:iCs/>
          <w:sz w:val="24"/>
          <w:szCs w:val="24"/>
        </w:rPr>
        <w:t xml:space="preserve"> through increased participation</w:t>
      </w:r>
      <w:r w:rsidRPr="002A02E3">
        <w:rPr>
          <w:rFonts w:ascii="Times New Roman" w:hAnsi="Times New Roman" w:cs="Times New Roman"/>
          <w:i/>
          <w:iCs/>
          <w:sz w:val="24"/>
          <w:szCs w:val="24"/>
        </w:rPr>
        <w:t>.</w:t>
      </w:r>
    </w:p>
    <w:p w14:paraId="6D27B782" w14:textId="5F5534CB" w:rsidR="00080628" w:rsidRDefault="001F2A73" w:rsidP="00A8796F">
      <w:pPr>
        <w:widowControl w:val="0"/>
        <w:spacing w:before="120" w:after="120"/>
        <w:rPr>
          <w:szCs w:val="24"/>
        </w:rPr>
      </w:pPr>
      <w:r w:rsidRPr="009F6058">
        <w:rPr>
          <w:szCs w:val="24"/>
        </w:rPr>
        <w:t>To test the impact of the targeted interventions to reduce nonresponse bias versus not targeting for interventions</w:t>
      </w:r>
      <w:r w:rsidR="00080628">
        <w:rPr>
          <w:szCs w:val="24"/>
        </w:rPr>
        <w:t>,</w:t>
      </w:r>
      <w:r w:rsidRPr="009F6058">
        <w:rPr>
          <w:szCs w:val="24"/>
        </w:rPr>
        <w:t xml:space="preserve"> we require a set of similar cases that are held aside from the targeting process. </w:t>
      </w:r>
      <w:r>
        <w:rPr>
          <w:szCs w:val="24"/>
        </w:rPr>
        <w:t>A</w:t>
      </w:r>
      <w:r w:rsidRPr="009F6058">
        <w:rPr>
          <w:szCs w:val="24"/>
        </w:rPr>
        <w:t xml:space="preserve"> random subset of </w:t>
      </w:r>
      <w:r>
        <w:rPr>
          <w:szCs w:val="24"/>
        </w:rPr>
        <w:t xml:space="preserve">all sample members will be pulled </w:t>
      </w:r>
      <w:r w:rsidRPr="009F6058">
        <w:rPr>
          <w:szCs w:val="24"/>
        </w:rPr>
        <w:t xml:space="preserve">aside as a control sample that is not eligible for intervention targeting. The remaining </w:t>
      </w:r>
      <w:r>
        <w:rPr>
          <w:szCs w:val="24"/>
        </w:rPr>
        <w:t xml:space="preserve">sample member </w:t>
      </w:r>
      <w:r w:rsidRPr="009F6058">
        <w:rPr>
          <w:szCs w:val="24"/>
        </w:rPr>
        <w:t xml:space="preserve">cases will be referred to as the treatment sample and the targeting methods will be applied to that group. </w:t>
      </w:r>
      <w:r>
        <w:rPr>
          <w:szCs w:val="24"/>
        </w:rPr>
        <w:t>Sample members will be randomly assigned to the control group within each of the five sector groups. In all, the control group will be composed of 3,6</w:t>
      </w:r>
      <w:r w:rsidR="00875689">
        <w:rPr>
          <w:szCs w:val="24"/>
        </w:rPr>
        <w:t>06</w:t>
      </w:r>
      <w:r>
        <w:rPr>
          <w:szCs w:val="24"/>
        </w:rPr>
        <w:t xml:space="preserve"> individuals (</w:t>
      </w:r>
      <w:r w:rsidR="00875689">
        <w:rPr>
          <w:szCs w:val="24"/>
        </w:rPr>
        <w:t xml:space="preserve">approximately </w:t>
      </w:r>
      <w:r>
        <w:rPr>
          <w:szCs w:val="24"/>
        </w:rPr>
        <w:t>72</w:t>
      </w:r>
      <w:r w:rsidR="00875689">
        <w:rPr>
          <w:szCs w:val="24"/>
        </w:rPr>
        <w:t>1</w:t>
      </w:r>
      <w:r>
        <w:rPr>
          <w:szCs w:val="24"/>
        </w:rPr>
        <w:t xml:space="preserve"> per sector group) </w:t>
      </w:r>
      <w:r w:rsidR="00940B08">
        <w:rPr>
          <w:szCs w:val="24"/>
        </w:rPr>
        <w:t>who form</w:t>
      </w:r>
      <w:r>
        <w:rPr>
          <w:szCs w:val="24"/>
        </w:rPr>
        <w:t xml:space="preserve"> </w:t>
      </w:r>
      <w:r w:rsidR="00546E88">
        <w:rPr>
          <w:szCs w:val="24"/>
        </w:rPr>
        <w:t xml:space="preserve">nearly </w:t>
      </w:r>
      <w:r>
        <w:rPr>
          <w:szCs w:val="24"/>
        </w:rPr>
        <w:t>1</w:t>
      </w:r>
      <w:r w:rsidR="00546E88">
        <w:rPr>
          <w:szCs w:val="24"/>
        </w:rPr>
        <w:t>1</w:t>
      </w:r>
      <w:r w:rsidR="00080628">
        <w:rPr>
          <w:szCs w:val="24"/>
        </w:rPr>
        <w:t xml:space="preserve"> percent</w:t>
      </w:r>
      <w:r>
        <w:rPr>
          <w:szCs w:val="24"/>
        </w:rPr>
        <w:t xml:space="preserve"> of the total </w:t>
      </w:r>
      <w:r w:rsidR="00940B08">
        <w:rPr>
          <w:szCs w:val="24"/>
        </w:rPr>
        <w:t xml:space="preserve">fielded </w:t>
      </w:r>
      <w:r>
        <w:rPr>
          <w:szCs w:val="24"/>
        </w:rPr>
        <w:t>sample.</w:t>
      </w:r>
    </w:p>
    <w:p w14:paraId="24F25168" w14:textId="29A8DA22" w:rsidR="001F2A73" w:rsidRPr="009F6058" w:rsidRDefault="001F2A73" w:rsidP="00A8796F">
      <w:pPr>
        <w:widowControl w:val="0"/>
        <w:spacing w:before="120" w:after="120"/>
        <w:rPr>
          <w:szCs w:val="24"/>
        </w:rPr>
      </w:pPr>
      <w:r>
        <w:rPr>
          <w:szCs w:val="24"/>
        </w:rPr>
        <w:t>For evaluation purposes, the</w:t>
      </w:r>
      <w:r w:rsidRPr="009F6058">
        <w:rPr>
          <w:szCs w:val="24"/>
        </w:rPr>
        <w:t xml:space="preserve"> targeted interventions </w:t>
      </w:r>
      <w:r>
        <w:rPr>
          <w:szCs w:val="24"/>
        </w:rPr>
        <w:t>will be the only difference between the control and treatment samples</w:t>
      </w:r>
      <w:r w:rsidRPr="009F6058">
        <w:rPr>
          <w:szCs w:val="24"/>
        </w:rPr>
        <w:t>. Therefor</w:t>
      </w:r>
      <w:r>
        <w:rPr>
          <w:szCs w:val="24"/>
        </w:rPr>
        <w:t>e</w:t>
      </w:r>
      <w:r w:rsidRPr="009F6058">
        <w:rPr>
          <w:szCs w:val="24"/>
        </w:rPr>
        <w:t xml:space="preserve"> both the control and treatment samples </w:t>
      </w:r>
      <w:r>
        <w:rPr>
          <w:szCs w:val="24"/>
        </w:rPr>
        <w:t xml:space="preserve">will consist of previous round respondents and double </w:t>
      </w:r>
      <w:proofErr w:type="spellStart"/>
      <w:r>
        <w:rPr>
          <w:szCs w:val="24"/>
        </w:rPr>
        <w:t>nonrespondents</w:t>
      </w:r>
      <w:proofErr w:type="spellEnd"/>
      <w:r>
        <w:rPr>
          <w:szCs w:val="24"/>
        </w:rPr>
        <w:t>, and they will both be involved in the calibration samples and will both follow the same data collection timelines.</w:t>
      </w:r>
    </w:p>
    <w:p w14:paraId="7F29C04B" w14:textId="77777777" w:rsidR="001F2A73" w:rsidRPr="002A02E3" w:rsidRDefault="001F2A73" w:rsidP="00A8796F">
      <w:pPr>
        <w:widowControl w:val="0"/>
        <w:spacing w:before="120" w:after="120"/>
        <w:rPr>
          <w:szCs w:val="24"/>
        </w:rPr>
      </w:pPr>
      <w:r w:rsidRPr="002A02E3">
        <w:rPr>
          <w:szCs w:val="24"/>
        </w:rPr>
        <w:t>The frame, administrative, and prior</w:t>
      </w:r>
      <w:r>
        <w:rPr>
          <w:szCs w:val="24"/>
        </w:rPr>
        <w:t>-round</w:t>
      </w:r>
      <w:r w:rsidRPr="002A02E3">
        <w:rPr>
          <w:szCs w:val="24"/>
        </w:rPr>
        <w:t xml:space="preserve"> data used in determining cases to target for </w:t>
      </w:r>
      <w:r>
        <w:rPr>
          <w:szCs w:val="24"/>
        </w:rPr>
        <w:t xml:space="preserve">unit </w:t>
      </w:r>
      <w:r w:rsidRPr="002A02E3">
        <w:rPr>
          <w:szCs w:val="24"/>
        </w:rPr>
        <w:t xml:space="preserve">nonresponse bias reduction can, in turn, be used to evaluate (1) </w:t>
      </w:r>
      <w:r>
        <w:rPr>
          <w:szCs w:val="24"/>
        </w:rPr>
        <w:t xml:space="preserve">unit </w:t>
      </w:r>
      <w:r w:rsidRPr="002A02E3">
        <w:rPr>
          <w:szCs w:val="24"/>
        </w:rPr>
        <w:t xml:space="preserve">nonresponse bias in the final estimates and (2) changes in </w:t>
      </w:r>
      <w:r>
        <w:rPr>
          <w:szCs w:val="24"/>
        </w:rPr>
        <w:t xml:space="preserve">unit </w:t>
      </w:r>
      <w:r w:rsidRPr="002A02E3">
        <w:rPr>
          <w:szCs w:val="24"/>
        </w:rPr>
        <w:t xml:space="preserve">nonresponse bias over the course of data collection. Unweighted and </w:t>
      </w:r>
      <w:r>
        <w:rPr>
          <w:szCs w:val="24"/>
        </w:rPr>
        <w:t>weighted (using design weights)</w:t>
      </w:r>
      <w:r w:rsidRPr="002A02E3">
        <w:rPr>
          <w:szCs w:val="24"/>
        </w:rPr>
        <w:t xml:space="preserve"> estimates of absolute nonresponse bias will be computed for each variable used in the models:</w:t>
      </w:r>
    </w:p>
    <w:p w14:paraId="7FC30251" w14:textId="77777777" w:rsidR="001F2A73" w:rsidRPr="002A02E3" w:rsidRDefault="001F2A73" w:rsidP="00A8796F">
      <w:pPr>
        <w:widowControl w:val="0"/>
        <w:spacing w:before="120" w:after="120"/>
        <w:jc w:val="center"/>
        <w:rPr>
          <w:szCs w:val="24"/>
        </w:rPr>
      </w:pPr>
      <w:r>
        <w:rPr>
          <w:noProof/>
          <w:szCs w:val="24"/>
        </w:rPr>
        <w:drawing>
          <wp:inline distT="0" distB="0" distL="0" distR="0" wp14:anchorId="15BE4288" wp14:editId="3F0B236A">
            <wp:extent cx="514422" cy="2381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bias.png"/>
                    <pic:cNvPicPr/>
                  </pic:nvPicPr>
                  <pic:blipFill>
                    <a:blip r:embed="rId17">
                      <a:extLst>
                        <a:ext uri="{28A0092B-C50C-407E-A947-70E740481C1C}">
                          <a14:useLocalDpi xmlns:a14="http://schemas.microsoft.com/office/drawing/2010/main" val="0"/>
                        </a:ext>
                      </a:extLst>
                    </a:blip>
                    <a:stretch>
                      <a:fillRect/>
                    </a:stretch>
                  </pic:blipFill>
                  <pic:spPr>
                    <a:xfrm>
                      <a:off x="0" y="0"/>
                      <a:ext cx="514422" cy="238158"/>
                    </a:xfrm>
                    <a:prstGeom prst="rect">
                      <a:avLst/>
                    </a:prstGeom>
                  </pic:spPr>
                </pic:pic>
              </a:graphicData>
            </a:graphic>
          </wp:inline>
        </w:drawing>
      </w:r>
    </w:p>
    <w:p w14:paraId="65E40099" w14:textId="77777777" w:rsidR="00F52E30" w:rsidRDefault="001F2A73" w:rsidP="00A8796F">
      <w:pPr>
        <w:widowControl w:val="0"/>
        <w:spacing w:before="120" w:after="120"/>
        <w:rPr>
          <w:iCs/>
          <w:szCs w:val="24"/>
        </w:rPr>
      </w:pPr>
      <w:r w:rsidRPr="002A02E3">
        <w:rPr>
          <w:iCs/>
          <w:szCs w:val="24"/>
        </w:rPr>
        <w:t xml:space="preserve">where </w:t>
      </w:r>
      <w:r>
        <w:rPr>
          <w:i/>
          <w:noProof/>
          <w:szCs w:val="24"/>
        </w:rPr>
        <w:drawing>
          <wp:inline distT="0" distB="0" distL="0" distR="0" wp14:anchorId="295A6257" wp14:editId="0B7B6C5D">
            <wp:extent cx="182880" cy="224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A02E3">
        <w:rPr>
          <w:i/>
          <w:iCs/>
          <w:szCs w:val="24"/>
        </w:rPr>
        <w:t> </w:t>
      </w:r>
      <w:r w:rsidRPr="002A02E3">
        <w:rPr>
          <w:iCs/>
          <w:szCs w:val="24"/>
        </w:rPr>
        <w:t>is the respondent mean and</w:t>
      </w:r>
      <w:r w:rsidRPr="002A02E3">
        <w:rPr>
          <w:i/>
          <w:iCs/>
          <w:szCs w:val="24"/>
        </w:rPr>
        <w:t xml:space="preserve"> </w:t>
      </w:r>
      <w:r>
        <w:rPr>
          <w:i/>
          <w:noProof/>
          <w:szCs w:val="24"/>
        </w:rPr>
        <w:drawing>
          <wp:inline distT="0" distB="0" distL="0" distR="0" wp14:anchorId="18F8ED93" wp14:editId="20BEE650">
            <wp:extent cx="186055"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A02E3">
        <w:rPr>
          <w:i/>
          <w:iCs/>
          <w:szCs w:val="24"/>
        </w:rPr>
        <w:t> </w:t>
      </w:r>
      <w:r w:rsidRPr="002A02E3">
        <w:rPr>
          <w:iCs/>
          <w:szCs w:val="24"/>
        </w:rPr>
        <w:t xml:space="preserve">is the full sample mean. </w:t>
      </w:r>
      <w:r>
        <w:rPr>
          <w:iCs/>
          <w:szCs w:val="24"/>
        </w:rPr>
        <w:t>Bias estimates will be calculated separately for treatment and control groups and statistically compared under the hypothesis that treatment interventions yields estimates with lower bias.</w:t>
      </w:r>
    </w:p>
    <w:p w14:paraId="5E045447" w14:textId="2833CA48" w:rsidR="001F2A73" w:rsidRDefault="001F2A73" w:rsidP="00A8796F">
      <w:pPr>
        <w:pStyle w:val="Heading4"/>
        <w:keepNext w:val="0"/>
        <w:widowControl w:val="0"/>
        <w:spacing w:before="120" w:after="120"/>
        <w:ind w:left="0"/>
        <w:rPr>
          <w:rFonts w:ascii="Times New Roman" w:hAnsi="Times New Roman"/>
          <w:b w:val="0"/>
          <w:sz w:val="24"/>
          <w:szCs w:val="24"/>
        </w:rPr>
      </w:pPr>
      <w:r w:rsidRPr="007419C2">
        <w:rPr>
          <w:rFonts w:ascii="Times New Roman" w:hAnsi="Times New Roman"/>
          <w:b w:val="0"/>
          <w:i/>
          <w:sz w:val="24"/>
          <w:szCs w:val="24"/>
        </w:rPr>
        <w:t>BPS:12/1</w:t>
      </w:r>
      <w:r>
        <w:rPr>
          <w:rFonts w:ascii="Times New Roman" w:hAnsi="Times New Roman"/>
          <w:b w:val="0"/>
          <w:i/>
          <w:sz w:val="24"/>
          <w:szCs w:val="24"/>
        </w:rPr>
        <w:t>7</w:t>
      </w:r>
      <w:r w:rsidRPr="007419C2">
        <w:rPr>
          <w:rFonts w:ascii="Times New Roman" w:hAnsi="Times New Roman"/>
          <w:b w:val="0"/>
          <w:i/>
          <w:sz w:val="24"/>
          <w:szCs w:val="24"/>
        </w:rPr>
        <w:t xml:space="preserve"> Responsive Design Research Questions</w:t>
      </w:r>
      <w:r>
        <w:rPr>
          <w:rFonts w:ascii="Times New Roman" w:hAnsi="Times New Roman"/>
          <w:b w:val="0"/>
          <w:i/>
          <w:sz w:val="24"/>
          <w:szCs w:val="24"/>
        </w:rPr>
        <w:t>.</w:t>
      </w:r>
      <w:r w:rsidR="00F52E30">
        <w:rPr>
          <w:rFonts w:ascii="Times New Roman" w:hAnsi="Times New Roman"/>
          <w:b w:val="0"/>
          <w:i/>
          <w:sz w:val="24"/>
          <w:szCs w:val="24"/>
        </w:rPr>
        <w:t xml:space="preserve"> </w:t>
      </w:r>
      <w:r w:rsidRPr="007419C2">
        <w:rPr>
          <w:rFonts w:ascii="Times New Roman" w:hAnsi="Times New Roman"/>
          <w:b w:val="0"/>
          <w:sz w:val="24"/>
          <w:szCs w:val="24"/>
        </w:rPr>
        <w:t>With the assumption that increasing the rate of response among targeted</w:t>
      </w:r>
      <w:r>
        <w:rPr>
          <w:rFonts w:ascii="Times New Roman" w:hAnsi="Times New Roman"/>
          <w:b w:val="0"/>
          <w:sz w:val="24"/>
          <w:szCs w:val="24"/>
        </w:rPr>
        <w:t>, underrepresented</w:t>
      </w:r>
      <w:r w:rsidRPr="007419C2">
        <w:rPr>
          <w:rFonts w:ascii="Times New Roman" w:hAnsi="Times New Roman"/>
          <w:b w:val="0"/>
          <w:sz w:val="24"/>
          <w:szCs w:val="24"/>
        </w:rPr>
        <w:t xml:space="preserve"> cases will reduce nonresponse bias, the BPS:12/1</w:t>
      </w:r>
      <w:r>
        <w:rPr>
          <w:rFonts w:ascii="Times New Roman" w:hAnsi="Times New Roman"/>
          <w:b w:val="0"/>
          <w:sz w:val="24"/>
          <w:szCs w:val="24"/>
        </w:rPr>
        <w:t>7</w:t>
      </w:r>
      <w:r w:rsidRPr="007419C2">
        <w:rPr>
          <w:rFonts w:ascii="Times New Roman" w:hAnsi="Times New Roman"/>
          <w:b w:val="0"/>
          <w:sz w:val="24"/>
          <w:szCs w:val="24"/>
        </w:rPr>
        <w:t xml:space="preserve"> responsive design experiment will explore the following research questions which </w:t>
      </w:r>
      <w:r w:rsidRPr="00C6110A">
        <w:rPr>
          <w:rFonts w:ascii="Times New Roman" w:hAnsi="Times New Roman"/>
          <w:b w:val="0"/>
          <w:sz w:val="24"/>
          <w:szCs w:val="24"/>
        </w:rPr>
        <w:t>may be stated in terms of a null hypothesis as follows:</w:t>
      </w:r>
    </w:p>
    <w:p w14:paraId="1EBDBCF7" w14:textId="77777777" w:rsidR="00F52E30" w:rsidRDefault="001F2A73" w:rsidP="00A8796F">
      <w:pPr>
        <w:pStyle w:val="ListNumber3"/>
        <w:widowControl w:val="0"/>
        <w:numPr>
          <w:ilvl w:val="0"/>
          <w:numId w:val="36"/>
        </w:numPr>
        <w:spacing w:before="120" w:after="120"/>
        <w:contextualSpacing w:val="0"/>
        <w:rPr>
          <w:szCs w:val="24"/>
        </w:rPr>
      </w:pPr>
      <w:r w:rsidRPr="00C6110A">
        <w:rPr>
          <w:u w:val="single"/>
        </w:rPr>
        <w:t>Research question 1</w:t>
      </w:r>
      <w:r w:rsidRPr="00C6110A">
        <w:t xml:space="preserve">: </w:t>
      </w:r>
      <w:r>
        <w:rPr>
          <w:szCs w:val="24"/>
        </w:rPr>
        <w:t xml:space="preserve">Did the </w:t>
      </w:r>
      <w:r w:rsidRPr="00551B59">
        <w:rPr>
          <w:i/>
          <w:szCs w:val="24"/>
        </w:rPr>
        <w:t>a priori</w:t>
      </w:r>
      <w:r>
        <w:rPr>
          <w:szCs w:val="24"/>
        </w:rPr>
        <w:t xml:space="preserve"> response propensity model predict overall unweighted BPS:12/17 response</w:t>
      </w:r>
      <w:r w:rsidRPr="00C6110A">
        <w:rPr>
          <w:szCs w:val="24"/>
        </w:rPr>
        <w:t>?</w:t>
      </w:r>
    </w:p>
    <w:p w14:paraId="2137B7E9" w14:textId="76F7E29E" w:rsidR="001F2A73"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At the end of data collection, there will be no association between </w:t>
      </w:r>
      <w:r w:rsidRPr="00551B59">
        <w:rPr>
          <w:i/>
        </w:rPr>
        <w:t>a priori</w:t>
      </w:r>
      <w:r w:rsidRPr="00C6110A">
        <w:t xml:space="preserve"> propensity predictions and observed response rates.</w:t>
      </w:r>
    </w:p>
    <w:p w14:paraId="71972807" w14:textId="77777777" w:rsidR="001F2A73" w:rsidRPr="00C6110A" w:rsidRDefault="001F2A73" w:rsidP="00A8796F">
      <w:pPr>
        <w:pStyle w:val="BodyTextnoindent0"/>
        <w:widowControl w:val="0"/>
        <w:numPr>
          <w:ilvl w:val="0"/>
          <w:numId w:val="36"/>
        </w:numPr>
        <w:spacing w:line="240" w:lineRule="auto"/>
        <w:rPr>
          <w:u w:val="single"/>
        </w:rPr>
      </w:pPr>
      <w:r>
        <w:rPr>
          <w:u w:val="single"/>
        </w:rPr>
        <w:t>Research question 2</w:t>
      </w:r>
      <w:r w:rsidRPr="00AA0E41">
        <w:t>:</w:t>
      </w:r>
      <w:r w:rsidRPr="00C6110A">
        <w:t xml:space="preserve"> Do</w:t>
      </w:r>
      <w:r>
        <w:t>es</w:t>
      </w:r>
      <w:r w:rsidRPr="00C6110A">
        <w:t xml:space="preserve"> </w:t>
      </w:r>
      <w:r>
        <w:t>one special protocol</w:t>
      </w:r>
      <w:r w:rsidRPr="00C6110A">
        <w:t xml:space="preserve"> increase response rates for </w:t>
      </w:r>
      <w:r>
        <w:t xml:space="preserve">double </w:t>
      </w:r>
      <w:proofErr w:type="spellStart"/>
      <w:r>
        <w:t>nonrespondents</w:t>
      </w:r>
      <w:proofErr w:type="spellEnd"/>
      <w:r>
        <w:t xml:space="preserve"> versus the other protocol</w:t>
      </w:r>
      <w:r w:rsidRPr="00C6110A">
        <w:t>?</w:t>
      </w:r>
    </w:p>
    <w:p w14:paraId="580D1A2F" w14:textId="77777777" w:rsidR="00F52E30"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At the end of the </w:t>
      </w:r>
      <w:r>
        <w:t xml:space="preserve">double </w:t>
      </w:r>
      <w:proofErr w:type="spellStart"/>
      <w:r>
        <w:t>nonrespondent</w:t>
      </w:r>
      <w:proofErr w:type="spellEnd"/>
      <w:r>
        <w:t xml:space="preserve"> </w:t>
      </w:r>
      <w:r w:rsidRPr="00C6110A">
        <w:t xml:space="preserve">calibration sample, there will be no difference in response rates </w:t>
      </w:r>
      <w:r>
        <w:t>between a $75 baseline offer along with a full interview and a $30 baseline offer along with an abbreviated interview</w:t>
      </w:r>
      <w:r w:rsidRPr="00C6110A">
        <w:t>.</w:t>
      </w:r>
    </w:p>
    <w:p w14:paraId="24E07988" w14:textId="7007030E" w:rsidR="001F2A73" w:rsidRPr="00C6110A" w:rsidRDefault="001F2A73" w:rsidP="00A8796F">
      <w:pPr>
        <w:pStyle w:val="BodyTextnoindent0"/>
        <w:widowControl w:val="0"/>
        <w:numPr>
          <w:ilvl w:val="0"/>
          <w:numId w:val="36"/>
        </w:numPr>
        <w:spacing w:line="240" w:lineRule="auto"/>
        <w:rPr>
          <w:u w:val="single"/>
        </w:rPr>
      </w:pPr>
      <w:r>
        <w:rPr>
          <w:u w:val="single"/>
        </w:rPr>
        <w:t>Research question 3</w:t>
      </w:r>
      <w:r w:rsidRPr="00AA0E41">
        <w:t>:</w:t>
      </w:r>
      <w:r w:rsidRPr="00C6110A">
        <w:t xml:space="preserve"> Do</w:t>
      </w:r>
      <w:r>
        <w:t>es a $10 pre-paid PayPal offer</w:t>
      </w:r>
      <w:r w:rsidRPr="00C6110A">
        <w:t xml:space="preserve"> increase early response rates?</w:t>
      </w:r>
    </w:p>
    <w:p w14:paraId="52A3296D" w14:textId="77777777" w:rsidR="001F2A73" w:rsidRPr="00C6110A" w:rsidRDefault="001F2A73" w:rsidP="00A8796F">
      <w:pPr>
        <w:pStyle w:val="BodyTextnoindent0"/>
        <w:widowControl w:val="0"/>
        <w:numPr>
          <w:ilvl w:val="1"/>
          <w:numId w:val="36"/>
        </w:numPr>
        <w:spacing w:line="240" w:lineRule="auto"/>
      </w:pPr>
      <w:r w:rsidRPr="00C6110A">
        <w:lastRenderedPageBreak/>
        <w:t>H</w:t>
      </w:r>
      <w:r w:rsidRPr="00C6110A">
        <w:rPr>
          <w:vertAlign w:val="subscript"/>
        </w:rPr>
        <w:t>0</w:t>
      </w:r>
      <w:r w:rsidRPr="00C6110A">
        <w:t xml:space="preserve">: At the end of the </w:t>
      </w:r>
      <w:r>
        <w:t xml:space="preserve">previous respondent </w:t>
      </w:r>
      <w:r w:rsidRPr="00C6110A">
        <w:t xml:space="preserve">calibration sample, there will be no difference in response rates between cases that receive </w:t>
      </w:r>
      <w:r>
        <w:t>a $10 pre-paid PayPal offer and those that do not</w:t>
      </w:r>
      <w:r w:rsidRPr="00C6110A">
        <w:t>.</w:t>
      </w:r>
    </w:p>
    <w:p w14:paraId="58791E53" w14:textId="77777777" w:rsidR="001F2A73" w:rsidRPr="00C6110A" w:rsidRDefault="001F2A73" w:rsidP="00A8796F">
      <w:pPr>
        <w:pStyle w:val="BodyTextnoindent0"/>
        <w:widowControl w:val="0"/>
        <w:numPr>
          <w:ilvl w:val="0"/>
          <w:numId w:val="36"/>
        </w:numPr>
        <w:spacing w:line="240" w:lineRule="auto"/>
      </w:pPr>
      <w:r w:rsidRPr="00C6110A">
        <w:rPr>
          <w:u w:val="single"/>
        </w:rPr>
        <w:t xml:space="preserve">Research question </w:t>
      </w:r>
      <w:r>
        <w:rPr>
          <w:u w:val="single"/>
        </w:rPr>
        <w:t>4</w:t>
      </w:r>
      <w:r w:rsidRPr="00AA0E41">
        <w:t xml:space="preserve">: </w:t>
      </w:r>
      <w:r w:rsidRPr="00C6110A">
        <w:t>Are targeted respondents different from non-targeted respondents on key variables?</w:t>
      </w:r>
    </w:p>
    <w:p w14:paraId="1AE8133B" w14:textId="77777777" w:rsidR="00F52E30"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w:t>
      </w:r>
      <w:r>
        <w:t>Right before the two targeted interventions</w:t>
      </w:r>
      <w:r w:rsidRPr="00C6110A">
        <w:t>, and the end of data collection, there will be no difference between targeted respondents and non-targeted and never-targeted respondents in weighted or unweighted estimates of key variables not included in the importance score calculation.</w:t>
      </w:r>
    </w:p>
    <w:p w14:paraId="7CDAE260" w14:textId="09B25EB6" w:rsidR="001F2A73" w:rsidRPr="00C6110A" w:rsidRDefault="001F2A73" w:rsidP="00A8796F">
      <w:pPr>
        <w:pStyle w:val="BodyTextnoindent0"/>
        <w:widowControl w:val="0"/>
        <w:numPr>
          <w:ilvl w:val="0"/>
          <w:numId w:val="36"/>
        </w:numPr>
        <w:spacing w:line="240" w:lineRule="auto"/>
      </w:pPr>
      <w:r w:rsidRPr="00C6110A">
        <w:rPr>
          <w:u w:val="single"/>
        </w:rPr>
        <w:t>Research question 5</w:t>
      </w:r>
      <w:r w:rsidRPr="00C6110A">
        <w:t>:</w:t>
      </w:r>
      <w:r w:rsidR="00F52E30">
        <w:t xml:space="preserve"> </w:t>
      </w:r>
      <w:r w:rsidRPr="00C6110A">
        <w:t>Did targeted cases respond at higher rates than non-targeted cases?</w:t>
      </w:r>
    </w:p>
    <w:p w14:paraId="742B7C8D" w14:textId="77777777" w:rsidR="001F2A73" w:rsidRPr="00C6110A" w:rsidRDefault="001F2A73" w:rsidP="00A8796F">
      <w:pPr>
        <w:pStyle w:val="ListNumber3"/>
        <w:widowControl w:val="0"/>
        <w:numPr>
          <w:ilvl w:val="1"/>
          <w:numId w:val="36"/>
        </w:numPr>
        <w:spacing w:before="120" w:after="120"/>
        <w:contextualSpacing w:val="0"/>
        <w:rPr>
          <w:szCs w:val="24"/>
        </w:rPr>
      </w:pPr>
      <w:r w:rsidRPr="00C6110A">
        <w:rPr>
          <w:szCs w:val="24"/>
        </w:rPr>
        <w:t>H</w:t>
      </w:r>
      <w:r w:rsidRPr="00C6110A">
        <w:rPr>
          <w:szCs w:val="24"/>
          <w:vertAlign w:val="subscript"/>
        </w:rPr>
        <w:t>0</w:t>
      </w:r>
      <w:r w:rsidRPr="00C6110A">
        <w:rPr>
          <w:szCs w:val="24"/>
        </w:rPr>
        <w:t xml:space="preserve">: At the end of </w:t>
      </w:r>
      <w:r>
        <w:rPr>
          <w:szCs w:val="24"/>
        </w:rPr>
        <w:t>the targeted interventions</w:t>
      </w:r>
      <w:r w:rsidRPr="00C6110A">
        <w:rPr>
          <w:szCs w:val="24"/>
        </w:rPr>
        <w:t xml:space="preserve">, and at the end of data collection, there will be no difference in weighted or unweighted response rates between </w:t>
      </w:r>
      <w:r>
        <w:rPr>
          <w:szCs w:val="24"/>
        </w:rPr>
        <w:t>the treatment sample and the control sample</w:t>
      </w:r>
      <w:r w:rsidRPr="00C6110A">
        <w:rPr>
          <w:szCs w:val="24"/>
        </w:rPr>
        <w:t>.</w:t>
      </w:r>
    </w:p>
    <w:p w14:paraId="4C6E5342" w14:textId="77777777" w:rsidR="00F52E30" w:rsidRDefault="001F2A73" w:rsidP="00A8796F">
      <w:pPr>
        <w:pStyle w:val="BodyTextnoindent0"/>
        <w:widowControl w:val="0"/>
        <w:numPr>
          <w:ilvl w:val="0"/>
          <w:numId w:val="36"/>
        </w:numPr>
        <w:spacing w:line="240" w:lineRule="auto"/>
      </w:pPr>
      <w:r w:rsidRPr="00C6110A">
        <w:rPr>
          <w:u w:val="single"/>
        </w:rPr>
        <w:t>Research question 6</w:t>
      </w:r>
      <w:r w:rsidRPr="00C6110A">
        <w:t>:</w:t>
      </w:r>
      <w:r w:rsidR="00F52E30">
        <w:t xml:space="preserve"> </w:t>
      </w:r>
      <w:r w:rsidRPr="00C6110A">
        <w:t xml:space="preserve">Did conversion of targeted cases reduce </w:t>
      </w:r>
      <w:r>
        <w:t xml:space="preserve">unit </w:t>
      </w:r>
      <w:r w:rsidRPr="00C6110A">
        <w:t>nonresponse bias?</w:t>
      </w:r>
    </w:p>
    <w:p w14:paraId="35E171E9" w14:textId="77777777" w:rsidR="00F52E30" w:rsidRDefault="001F2A73" w:rsidP="00A8796F">
      <w:pPr>
        <w:pStyle w:val="ListNumber3"/>
        <w:widowControl w:val="0"/>
        <w:numPr>
          <w:ilvl w:val="1"/>
          <w:numId w:val="36"/>
        </w:numPr>
        <w:spacing w:before="120" w:after="120"/>
        <w:contextualSpacing w:val="0"/>
        <w:rPr>
          <w:szCs w:val="24"/>
        </w:rPr>
      </w:pPr>
      <w:r w:rsidRPr="00C6110A">
        <w:rPr>
          <w:szCs w:val="24"/>
        </w:rPr>
        <w:t>H</w:t>
      </w:r>
      <w:r w:rsidRPr="00C6110A">
        <w:rPr>
          <w:szCs w:val="24"/>
          <w:vertAlign w:val="subscript"/>
        </w:rPr>
        <w:t>0</w:t>
      </w:r>
      <w:r w:rsidRPr="00C6110A">
        <w:rPr>
          <w:szCs w:val="24"/>
        </w:rPr>
        <w:t xml:space="preserve">: At the end of data collection, there will be no difference in absolute nonresponse bias </w:t>
      </w:r>
      <w:r>
        <w:rPr>
          <w:szCs w:val="24"/>
        </w:rPr>
        <w:t>of key estimates between the treatment and control samples</w:t>
      </w:r>
      <w:r w:rsidRPr="00C6110A">
        <w:rPr>
          <w:szCs w:val="24"/>
        </w:rPr>
        <w:t>.</w:t>
      </w:r>
    </w:p>
    <w:p w14:paraId="4388FE55" w14:textId="62D74130" w:rsidR="001F2A73" w:rsidRDefault="001F2A73" w:rsidP="00447B9E">
      <w:pPr>
        <w:spacing w:before="120" w:after="120"/>
        <w:rPr>
          <w:szCs w:val="24"/>
        </w:rPr>
      </w:pPr>
      <w:r w:rsidRPr="009D0F99">
        <w:rPr>
          <w:b/>
          <w:szCs w:val="24"/>
        </w:rPr>
        <w:t>Power calculations.</w:t>
      </w:r>
      <w:r w:rsidRPr="009D0F99">
        <w:rPr>
          <w:szCs w:val="24"/>
        </w:rPr>
        <w:t xml:space="preserve"> </w:t>
      </w:r>
      <w:r>
        <w:rPr>
          <w:szCs w:val="24"/>
        </w:rPr>
        <w:t xml:space="preserve">The first step in the power analysis was to determine the number of sample members to allocate to the control and treatment groups. For each of the five institution sector groups, </w:t>
      </w:r>
      <w:r w:rsidR="005C7DFC">
        <w:rPr>
          <w:szCs w:val="24"/>
        </w:rPr>
        <w:t xml:space="preserve">roughly 721 </w:t>
      </w:r>
      <w:r>
        <w:rPr>
          <w:szCs w:val="24"/>
        </w:rPr>
        <w:t>sample members will be randomly selected into the control group that will not be exposed to any targeted interventions. The remaining sample within each sector group will be assigned to the treatment group. We will then compare absolute measures of bias between the treatment and control groups under the hypothesis that the treatments, that is, the targeted interventions, reduce absolute bias. As we will be comparing absolute bias estimates, which range between zero and one, a power analysis was conducted u</w:t>
      </w:r>
      <w:r w:rsidRPr="009D0F99">
        <w:rPr>
          <w:szCs w:val="24"/>
        </w:rPr>
        <w:t xml:space="preserve">sing a </w:t>
      </w:r>
      <w:r>
        <w:rPr>
          <w:szCs w:val="24"/>
        </w:rPr>
        <w:t xml:space="preserve">one-sided, </w:t>
      </w:r>
      <w:r w:rsidRPr="009D0F99">
        <w:rPr>
          <w:szCs w:val="24"/>
        </w:rPr>
        <w:t>two-group chi-square test of equal proportions with unequal sample sizes in each group</w:t>
      </w:r>
      <w:r>
        <w:rPr>
          <w:szCs w:val="24"/>
        </w:rPr>
        <w:t>. The absolute bias estimates will be weighted and statistical comparisons will take into account the underlying BPS:12/17 sampling design; therefore, the power analysis assumes a relatively conservative design effect of 3. Table 1</w:t>
      </w:r>
      <w:r w:rsidR="00D75AC0">
        <w:rPr>
          <w:szCs w:val="24"/>
        </w:rPr>
        <w:t>1</w:t>
      </w:r>
      <w:r>
        <w:rPr>
          <w:szCs w:val="24"/>
        </w:rPr>
        <w:t xml:space="preserve"> shows the resulting power based on different assumptions for the base absolute bias estimates.</w:t>
      </w:r>
    </w:p>
    <w:p w14:paraId="7991EC60" w14:textId="671F3CC5" w:rsidR="001F2A73" w:rsidRDefault="001F2A73" w:rsidP="001273CB">
      <w:pPr>
        <w:pStyle w:val="TableTitle"/>
        <w:spacing w:before="120" w:after="60"/>
        <w:ind w:left="994" w:hanging="994"/>
      </w:pPr>
      <w:bookmarkStart w:id="114" w:name="_Toc456167114"/>
      <w:proofErr w:type="gramStart"/>
      <w:r>
        <w:t>Table 1</w:t>
      </w:r>
      <w:r w:rsidR="00447B9E">
        <w:t>1</w:t>
      </w:r>
      <w:r w:rsidRPr="00D933B5">
        <w:t>.</w:t>
      </w:r>
      <w:proofErr w:type="gramEnd"/>
      <w:r w:rsidR="002B537E">
        <w:t xml:space="preserve"> </w:t>
      </w:r>
      <w:r>
        <w:t>Power for control versus treatment comparisons across multiple assumptions</w:t>
      </w:r>
      <w:bookmarkEnd w:id="114"/>
    </w:p>
    <w:tbl>
      <w:tblPr>
        <w:tblW w:w="10170" w:type="dxa"/>
        <w:tblLayout w:type="fixed"/>
        <w:tblLook w:val="04A0" w:firstRow="1" w:lastRow="0" w:firstColumn="1" w:lastColumn="0" w:noHBand="0" w:noVBand="1"/>
      </w:tblPr>
      <w:tblGrid>
        <w:gridCol w:w="810"/>
        <w:gridCol w:w="3300"/>
        <w:gridCol w:w="840"/>
        <w:gridCol w:w="900"/>
        <w:gridCol w:w="1170"/>
        <w:gridCol w:w="990"/>
        <w:gridCol w:w="1221"/>
        <w:gridCol w:w="939"/>
      </w:tblGrid>
      <w:tr w:rsidR="001F2A73" w:rsidRPr="00647524" w14:paraId="204C72F4" w14:textId="77777777" w:rsidTr="00A8796F">
        <w:trPr>
          <w:trHeight w:val="144"/>
        </w:trPr>
        <w:tc>
          <w:tcPr>
            <w:tcW w:w="810" w:type="dxa"/>
            <w:tcBorders>
              <w:top w:val="nil"/>
              <w:left w:val="nil"/>
              <w:bottom w:val="nil"/>
              <w:right w:val="nil"/>
            </w:tcBorders>
            <w:shd w:val="clear" w:color="auto" w:fill="auto"/>
            <w:noWrap/>
            <w:vAlign w:val="bottom"/>
            <w:hideMark/>
          </w:tcPr>
          <w:p w14:paraId="6E26157C" w14:textId="77777777" w:rsidR="001F2A73" w:rsidRPr="00647524" w:rsidRDefault="001F2A73" w:rsidP="00080628">
            <w:pPr>
              <w:rPr>
                <w:sz w:val="20"/>
                <w:szCs w:val="24"/>
              </w:rPr>
            </w:pPr>
          </w:p>
        </w:tc>
        <w:tc>
          <w:tcPr>
            <w:tcW w:w="3300" w:type="dxa"/>
            <w:tcBorders>
              <w:top w:val="nil"/>
              <w:left w:val="nil"/>
              <w:bottom w:val="nil"/>
              <w:right w:val="nil"/>
            </w:tcBorders>
            <w:shd w:val="clear" w:color="auto" w:fill="auto"/>
            <w:hideMark/>
          </w:tcPr>
          <w:p w14:paraId="46132491" w14:textId="77777777" w:rsidR="001F2A73" w:rsidRPr="00647524" w:rsidRDefault="001F2A73" w:rsidP="00080628">
            <w:pPr>
              <w:rPr>
                <w:sz w:val="20"/>
              </w:rPr>
            </w:pPr>
          </w:p>
        </w:tc>
        <w:tc>
          <w:tcPr>
            <w:tcW w:w="840" w:type="dxa"/>
            <w:tcBorders>
              <w:top w:val="nil"/>
              <w:left w:val="nil"/>
              <w:bottom w:val="nil"/>
              <w:right w:val="nil"/>
            </w:tcBorders>
            <w:shd w:val="clear" w:color="auto" w:fill="auto"/>
            <w:hideMark/>
          </w:tcPr>
          <w:p w14:paraId="676EA584"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D0A6CD" w14:textId="77777777" w:rsidR="001F2A73" w:rsidRPr="00647524" w:rsidRDefault="001F2A73" w:rsidP="00080628">
            <w:pPr>
              <w:jc w:val="right"/>
              <w:rPr>
                <w:b/>
                <w:bCs/>
                <w:color w:val="000000"/>
                <w:sz w:val="20"/>
              </w:rPr>
            </w:pPr>
            <w:r w:rsidRPr="00647524">
              <w:rPr>
                <w:b/>
                <w:bCs/>
                <w:color w:val="000000"/>
                <w:sz w:val="20"/>
              </w:rPr>
              <w:t>Alpha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19BC4E3" w14:textId="77777777" w:rsidR="001F2A73" w:rsidRPr="00647524" w:rsidRDefault="001F2A73" w:rsidP="00080628">
            <w:pPr>
              <w:jc w:val="right"/>
              <w:rPr>
                <w:b/>
                <w:bCs/>
                <w:color w:val="000000"/>
                <w:sz w:val="20"/>
              </w:rPr>
            </w:pPr>
            <w:r w:rsidRPr="00647524">
              <w:rPr>
                <w:b/>
                <w:bCs/>
                <w:color w:val="000000"/>
                <w:sz w:val="20"/>
              </w:rPr>
              <w:t>0.05</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5FDD1E11" w14:textId="77777777" w:rsidR="001F2A73" w:rsidRPr="00647524" w:rsidRDefault="001F2A73" w:rsidP="00080628">
            <w:pPr>
              <w:jc w:val="right"/>
              <w:rPr>
                <w:b/>
                <w:bCs/>
                <w:color w:val="000000"/>
                <w:sz w:val="20"/>
              </w:rPr>
            </w:pPr>
            <w:r w:rsidRPr="00647524">
              <w:rPr>
                <w:b/>
                <w:bCs/>
                <w:color w:val="000000"/>
                <w:sz w:val="20"/>
              </w:rPr>
              <w:t>0.05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40D757B4" w14:textId="77777777" w:rsidR="001F2A73" w:rsidRPr="00647524" w:rsidRDefault="001F2A73" w:rsidP="00080628">
            <w:pPr>
              <w:jc w:val="right"/>
              <w:rPr>
                <w:b/>
                <w:bCs/>
                <w:color w:val="000000"/>
                <w:sz w:val="20"/>
              </w:rPr>
            </w:pPr>
            <w:r w:rsidRPr="00647524">
              <w:rPr>
                <w:b/>
                <w:bCs/>
                <w:color w:val="000000"/>
                <w:sz w:val="20"/>
              </w:rPr>
              <w:t>0.05</w:t>
            </w:r>
          </w:p>
        </w:tc>
      </w:tr>
      <w:tr w:rsidR="001F2A73" w:rsidRPr="00647524" w14:paraId="317D6CDE" w14:textId="77777777" w:rsidTr="00A8796F">
        <w:trPr>
          <w:trHeight w:val="144"/>
        </w:trPr>
        <w:tc>
          <w:tcPr>
            <w:tcW w:w="810" w:type="dxa"/>
            <w:tcBorders>
              <w:top w:val="nil"/>
              <w:left w:val="nil"/>
              <w:bottom w:val="nil"/>
              <w:right w:val="nil"/>
            </w:tcBorders>
            <w:shd w:val="clear" w:color="auto" w:fill="auto"/>
            <w:noWrap/>
            <w:vAlign w:val="bottom"/>
            <w:hideMark/>
          </w:tcPr>
          <w:p w14:paraId="2FE2B6F6" w14:textId="77777777" w:rsidR="001F2A73" w:rsidRPr="00647524" w:rsidRDefault="001F2A73" w:rsidP="00080628">
            <w:pPr>
              <w:jc w:val="right"/>
              <w:rPr>
                <w:b/>
                <w:bCs/>
                <w:color w:val="000000"/>
                <w:sz w:val="20"/>
              </w:rPr>
            </w:pPr>
          </w:p>
        </w:tc>
        <w:tc>
          <w:tcPr>
            <w:tcW w:w="3300" w:type="dxa"/>
            <w:tcBorders>
              <w:top w:val="nil"/>
              <w:left w:val="nil"/>
              <w:bottom w:val="nil"/>
              <w:right w:val="nil"/>
            </w:tcBorders>
            <w:shd w:val="clear" w:color="auto" w:fill="auto"/>
            <w:hideMark/>
          </w:tcPr>
          <w:p w14:paraId="2791B750" w14:textId="77777777" w:rsidR="001F2A73" w:rsidRPr="00647524" w:rsidRDefault="001F2A73" w:rsidP="00080628">
            <w:pPr>
              <w:rPr>
                <w:sz w:val="20"/>
              </w:rPr>
            </w:pPr>
          </w:p>
        </w:tc>
        <w:tc>
          <w:tcPr>
            <w:tcW w:w="840" w:type="dxa"/>
            <w:tcBorders>
              <w:top w:val="nil"/>
              <w:left w:val="nil"/>
              <w:bottom w:val="nil"/>
              <w:right w:val="nil"/>
            </w:tcBorders>
            <w:shd w:val="clear" w:color="auto" w:fill="auto"/>
            <w:hideMark/>
          </w:tcPr>
          <w:p w14:paraId="1C323787"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890A1D" w14:textId="77777777" w:rsidR="001F2A73" w:rsidRPr="00647524" w:rsidRDefault="001F2A73" w:rsidP="00080628">
            <w:pPr>
              <w:jc w:val="right"/>
              <w:rPr>
                <w:b/>
                <w:bCs/>
                <w:color w:val="000000"/>
                <w:sz w:val="20"/>
              </w:rPr>
            </w:pPr>
            <w:r w:rsidRPr="00647524">
              <w:rPr>
                <w:b/>
                <w:bCs/>
                <w:color w:val="000000"/>
                <w:sz w:val="20"/>
              </w:rPr>
              <w:t>Treatment Abs. Bias</w:t>
            </w:r>
          </w:p>
        </w:tc>
        <w:tc>
          <w:tcPr>
            <w:tcW w:w="990" w:type="dxa"/>
            <w:tcBorders>
              <w:top w:val="nil"/>
              <w:left w:val="nil"/>
              <w:bottom w:val="single" w:sz="4" w:space="0" w:color="auto"/>
              <w:right w:val="single" w:sz="4" w:space="0" w:color="auto"/>
            </w:tcBorders>
            <w:shd w:val="clear" w:color="auto" w:fill="auto"/>
            <w:noWrap/>
            <w:vAlign w:val="bottom"/>
            <w:hideMark/>
          </w:tcPr>
          <w:p w14:paraId="1D55CCBC" w14:textId="77777777" w:rsidR="001F2A73" w:rsidRPr="00647524" w:rsidRDefault="001F2A73" w:rsidP="00080628">
            <w:pPr>
              <w:jc w:val="right"/>
              <w:rPr>
                <w:b/>
                <w:bCs/>
                <w:color w:val="000000"/>
                <w:sz w:val="20"/>
              </w:rPr>
            </w:pPr>
            <w:r w:rsidRPr="00647524">
              <w:rPr>
                <w:b/>
                <w:bCs/>
                <w:color w:val="000000"/>
                <w:sz w:val="20"/>
              </w:rPr>
              <w:t>0.4</w:t>
            </w:r>
          </w:p>
        </w:tc>
        <w:tc>
          <w:tcPr>
            <w:tcW w:w="1221" w:type="dxa"/>
            <w:tcBorders>
              <w:top w:val="nil"/>
              <w:left w:val="nil"/>
              <w:bottom w:val="single" w:sz="4" w:space="0" w:color="auto"/>
              <w:right w:val="single" w:sz="4" w:space="0" w:color="auto"/>
            </w:tcBorders>
            <w:shd w:val="clear" w:color="auto" w:fill="auto"/>
            <w:noWrap/>
            <w:vAlign w:val="bottom"/>
            <w:hideMark/>
          </w:tcPr>
          <w:p w14:paraId="7F9C05BC" w14:textId="77777777" w:rsidR="001F2A73" w:rsidRPr="00647524" w:rsidRDefault="001F2A73" w:rsidP="00080628">
            <w:pPr>
              <w:jc w:val="right"/>
              <w:rPr>
                <w:b/>
                <w:bCs/>
                <w:color w:val="000000"/>
                <w:sz w:val="20"/>
              </w:rPr>
            </w:pPr>
            <w:r w:rsidRPr="00647524">
              <w:rPr>
                <w:b/>
                <w:bCs/>
                <w:color w:val="000000"/>
                <w:sz w:val="20"/>
              </w:rPr>
              <w:t>0.2</w:t>
            </w:r>
          </w:p>
        </w:tc>
        <w:tc>
          <w:tcPr>
            <w:tcW w:w="939" w:type="dxa"/>
            <w:tcBorders>
              <w:top w:val="nil"/>
              <w:left w:val="nil"/>
              <w:bottom w:val="single" w:sz="4" w:space="0" w:color="auto"/>
              <w:right w:val="single" w:sz="4" w:space="0" w:color="auto"/>
            </w:tcBorders>
            <w:shd w:val="clear" w:color="auto" w:fill="auto"/>
            <w:noWrap/>
            <w:vAlign w:val="bottom"/>
            <w:hideMark/>
          </w:tcPr>
          <w:p w14:paraId="1F94FB67" w14:textId="77777777" w:rsidR="001F2A73" w:rsidRPr="00647524" w:rsidRDefault="001F2A73" w:rsidP="00080628">
            <w:pPr>
              <w:jc w:val="right"/>
              <w:rPr>
                <w:b/>
                <w:bCs/>
                <w:color w:val="000000"/>
                <w:sz w:val="20"/>
              </w:rPr>
            </w:pPr>
            <w:r w:rsidRPr="00647524">
              <w:rPr>
                <w:b/>
                <w:bCs/>
                <w:color w:val="000000"/>
                <w:sz w:val="20"/>
              </w:rPr>
              <w:t>0.125</w:t>
            </w:r>
          </w:p>
        </w:tc>
      </w:tr>
      <w:tr w:rsidR="001F2A73" w:rsidRPr="00647524" w14:paraId="1DC17899" w14:textId="77777777" w:rsidTr="00A8796F">
        <w:trPr>
          <w:trHeight w:val="144"/>
        </w:trPr>
        <w:tc>
          <w:tcPr>
            <w:tcW w:w="810" w:type="dxa"/>
            <w:tcBorders>
              <w:top w:val="nil"/>
              <w:left w:val="nil"/>
              <w:bottom w:val="nil"/>
              <w:right w:val="nil"/>
            </w:tcBorders>
            <w:shd w:val="clear" w:color="auto" w:fill="auto"/>
            <w:noWrap/>
            <w:vAlign w:val="bottom"/>
            <w:hideMark/>
          </w:tcPr>
          <w:p w14:paraId="33C6614F" w14:textId="77777777" w:rsidR="001F2A73" w:rsidRPr="00647524" w:rsidRDefault="001F2A73" w:rsidP="00080628">
            <w:pPr>
              <w:jc w:val="right"/>
              <w:rPr>
                <w:b/>
                <w:bCs/>
                <w:color w:val="000000"/>
                <w:sz w:val="20"/>
              </w:rPr>
            </w:pPr>
          </w:p>
        </w:tc>
        <w:tc>
          <w:tcPr>
            <w:tcW w:w="3300" w:type="dxa"/>
            <w:tcBorders>
              <w:top w:val="nil"/>
              <w:left w:val="nil"/>
              <w:bottom w:val="nil"/>
              <w:right w:val="nil"/>
            </w:tcBorders>
            <w:shd w:val="clear" w:color="auto" w:fill="auto"/>
            <w:noWrap/>
            <w:vAlign w:val="bottom"/>
            <w:hideMark/>
          </w:tcPr>
          <w:p w14:paraId="5C8FD350" w14:textId="77777777" w:rsidR="001F2A73" w:rsidRPr="00647524" w:rsidRDefault="001F2A73" w:rsidP="00080628">
            <w:pPr>
              <w:rPr>
                <w:sz w:val="20"/>
              </w:rPr>
            </w:pPr>
          </w:p>
        </w:tc>
        <w:tc>
          <w:tcPr>
            <w:tcW w:w="840" w:type="dxa"/>
            <w:tcBorders>
              <w:top w:val="nil"/>
              <w:left w:val="nil"/>
              <w:bottom w:val="nil"/>
              <w:right w:val="nil"/>
            </w:tcBorders>
            <w:shd w:val="clear" w:color="auto" w:fill="auto"/>
            <w:noWrap/>
            <w:vAlign w:val="bottom"/>
            <w:hideMark/>
          </w:tcPr>
          <w:p w14:paraId="14AA8612"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E62A7E" w14:textId="77777777" w:rsidR="001F2A73" w:rsidRPr="00647524" w:rsidRDefault="001F2A73" w:rsidP="00080628">
            <w:pPr>
              <w:jc w:val="right"/>
              <w:rPr>
                <w:b/>
                <w:bCs/>
                <w:color w:val="000000"/>
                <w:sz w:val="20"/>
              </w:rPr>
            </w:pPr>
            <w:r w:rsidRPr="00647524">
              <w:rPr>
                <w:b/>
                <w:bCs/>
                <w:color w:val="000000"/>
                <w:sz w:val="20"/>
              </w:rPr>
              <w:t>Control Abs. Bias</w:t>
            </w:r>
          </w:p>
        </w:tc>
        <w:tc>
          <w:tcPr>
            <w:tcW w:w="990" w:type="dxa"/>
            <w:tcBorders>
              <w:top w:val="nil"/>
              <w:left w:val="nil"/>
              <w:bottom w:val="single" w:sz="4" w:space="0" w:color="auto"/>
              <w:right w:val="single" w:sz="4" w:space="0" w:color="auto"/>
            </w:tcBorders>
            <w:shd w:val="clear" w:color="auto" w:fill="auto"/>
            <w:noWrap/>
            <w:vAlign w:val="bottom"/>
            <w:hideMark/>
          </w:tcPr>
          <w:p w14:paraId="54F90854" w14:textId="77777777" w:rsidR="001F2A73" w:rsidRPr="00647524" w:rsidRDefault="001F2A73" w:rsidP="00080628">
            <w:pPr>
              <w:jc w:val="right"/>
              <w:rPr>
                <w:b/>
                <w:bCs/>
                <w:color w:val="000000"/>
                <w:sz w:val="20"/>
              </w:rPr>
            </w:pPr>
            <w:r w:rsidRPr="00647524">
              <w:rPr>
                <w:b/>
                <w:bCs/>
                <w:color w:val="000000"/>
                <w:sz w:val="20"/>
              </w:rPr>
              <w:t>0.5</w:t>
            </w:r>
          </w:p>
        </w:tc>
        <w:tc>
          <w:tcPr>
            <w:tcW w:w="1221" w:type="dxa"/>
            <w:tcBorders>
              <w:top w:val="nil"/>
              <w:left w:val="nil"/>
              <w:bottom w:val="single" w:sz="4" w:space="0" w:color="auto"/>
              <w:right w:val="single" w:sz="4" w:space="0" w:color="auto"/>
            </w:tcBorders>
            <w:shd w:val="clear" w:color="auto" w:fill="auto"/>
            <w:noWrap/>
            <w:vAlign w:val="bottom"/>
            <w:hideMark/>
          </w:tcPr>
          <w:p w14:paraId="70C14F5C" w14:textId="77777777" w:rsidR="001F2A73" w:rsidRPr="00647524" w:rsidRDefault="001F2A73" w:rsidP="00080628">
            <w:pPr>
              <w:jc w:val="right"/>
              <w:rPr>
                <w:b/>
                <w:bCs/>
                <w:color w:val="000000"/>
                <w:sz w:val="20"/>
              </w:rPr>
            </w:pPr>
            <w:r w:rsidRPr="00647524">
              <w:rPr>
                <w:b/>
                <w:bCs/>
                <w:color w:val="000000"/>
                <w:sz w:val="20"/>
              </w:rPr>
              <w:t>0.3</w:t>
            </w:r>
          </w:p>
        </w:tc>
        <w:tc>
          <w:tcPr>
            <w:tcW w:w="939" w:type="dxa"/>
            <w:tcBorders>
              <w:top w:val="nil"/>
              <w:left w:val="nil"/>
              <w:bottom w:val="single" w:sz="4" w:space="0" w:color="auto"/>
              <w:right w:val="single" w:sz="4" w:space="0" w:color="auto"/>
            </w:tcBorders>
            <w:shd w:val="clear" w:color="auto" w:fill="auto"/>
            <w:noWrap/>
            <w:vAlign w:val="bottom"/>
            <w:hideMark/>
          </w:tcPr>
          <w:p w14:paraId="430E7C40" w14:textId="77777777" w:rsidR="001F2A73" w:rsidRPr="00647524" w:rsidRDefault="001F2A73" w:rsidP="00080628">
            <w:pPr>
              <w:jc w:val="right"/>
              <w:rPr>
                <w:b/>
                <w:bCs/>
                <w:color w:val="000000"/>
                <w:sz w:val="20"/>
              </w:rPr>
            </w:pPr>
            <w:r w:rsidRPr="00647524">
              <w:rPr>
                <w:b/>
                <w:bCs/>
                <w:color w:val="000000"/>
                <w:sz w:val="20"/>
              </w:rPr>
              <w:t>0.2</w:t>
            </w:r>
          </w:p>
        </w:tc>
      </w:tr>
      <w:tr w:rsidR="001F2A73" w:rsidRPr="00647524" w14:paraId="0737FBC1" w14:textId="77777777" w:rsidTr="00A8796F">
        <w:trPr>
          <w:trHeight w:val="144"/>
        </w:trPr>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3C34CA" w14:textId="77777777" w:rsidR="001F2A73" w:rsidRPr="00647524" w:rsidRDefault="001F2A73" w:rsidP="00080628">
            <w:pPr>
              <w:jc w:val="center"/>
              <w:rPr>
                <w:b/>
                <w:bCs/>
                <w:color w:val="000000"/>
                <w:sz w:val="20"/>
              </w:rPr>
            </w:pPr>
            <w:r w:rsidRPr="00647524">
              <w:rPr>
                <w:b/>
                <w:bCs/>
                <w:color w:val="000000"/>
                <w:sz w:val="20"/>
              </w:rPr>
              <w:t>Sector Group</w:t>
            </w:r>
          </w:p>
        </w:tc>
        <w:tc>
          <w:tcPr>
            <w:tcW w:w="3300" w:type="dxa"/>
            <w:tcBorders>
              <w:top w:val="single" w:sz="4" w:space="0" w:color="auto"/>
              <w:left w:val="nil"/>
              <w:bottom w:val="single" w:sz="4" w:space="0" w:color="auto"/>
              <w:right w:val="single" w:sz="4" w:space="0" w:color="auto"/>
            </w:tcBorders>
            <w:shd w:val="clear" w:color="000000" w:fill="D9D9D9"/>
            <w:vAlign w:val="center"/>
            <w:hideMark/>
          </w:tcPr>
          <w:p w14:paraId="7AC1ED7D" w14:textId="77777777" w:rsidR="001F2A73" w:rsidRPr="00647524" w:rsidRDefault="001F2A73" w:rsidP="00080628">
            <w:pPr>
              <w:jc w:val="center"/>
              <w:rPr>
                <w:b/>
                <w:bCs/>
                <w:color w:val="000000"/>
                <w:sz w:val="20"/>
              </w:rPr>
            </w:pPr>
            <w:r w:rsidRPr="00647524">
              <w:rPr>
                <w:b/>
                <w:bCs/>
                <w:color w:val="000000"/>
                <w:sz w:val="20"/>
              </w:rPr>
              <w:t>Sectors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CC0D8E1" w14:textId="77777777" w:rsidR="001F2A73" w:rsidRPr="00647524" w:rsidRDefault="001F2A73" w:rsidP="00080628">
            <w:pPr>
              <w:jc w:val="center"/>
              <w:rPr>
                <w:b/>
                <w:bCs/>
                <w:color w:val="000000"/>
                <w:sz w:val="20"/>
              </w:rPr>
            </w:pPr>
            <w:r w:rsidRPr="00647524">
              <w:rPr>
                <w:b/>
                <w:bCs/>
                <w:color w:val="000000"/>
                <w:sz w:val="20"/>
              </w:rPr>
              <w:t>Total Count</w:t>
            </w:r>
          </w:p>
        </w:tc>
        <w:tc>
          <w:tcPr>
            <w:tcW w:w="900" w:type="dxa"/>
            <w:tcBorders>
              <w:top w:val="nil"/>
              <w:left w:val="nil"/>
              <w:bottom w:val="single" w:sz="4" w:space="0" w:color="auto"/>
              <w:right w:val="single" w:sz="4" w:space="0" w:color="auto"/>
            </w:tcBorders>
            <w:shd w:val="clear" w:color="000000" w:fill="D9D9D9"/>
            <w:vAlign w:val="center"/>
            <w:hideMark/>
          </w:tcPr>
          <w:p w14:paraId="0D4D3557" w14:textId="77777777" w:rsidR="001F2A73" w:rsidRPr="00647524" w:rsidRDefault="001F2A73" w:rsidP="00080628">
            <w:pPr>
              <w:jc w:val="center"/>
              <w:rPr>
                <w:b/>
                <w:bCs/>
                <w:color w:val="000000"/>
                <w:sz w:val="20"/>
              </w:rPr>
            </w:pPr>
            <w:r w:rsidRPr="00647524">
              <w:rPr>
                <w:b/>
                <w:bCs/>
                <w:color w:val="000000"/>
                <w:sz w:val="20"/>
              </w:rPr>
              <w:t>Control Sample</w:t>
            </w:r>
          </w:p>
        </w:tc>
        <w:tc>
          <w:tcPr>
            <w:tcW w:w="1170" w:type="dxa"/>
            <w:tcBorders>
              <w:top w:val="nil"/>
              <w:left w:val="nil"/>
              <w:bottom w:val="single" w:sz="4" w:space="0" w:color="auto"/>
              <w:right w:val="single" w:sz="4" w:space="0" w:color="auto"/>
            </w:tcBorders>
            <w:shd w:val="clear" w:color="000000" w:fill="D9D9D9"/>
            <w:vAlign w:val="center"/>
            <w:hideMark/>
          </w:tcPr>
          <w:p w14:paraId="6603F8FC" w14:textId="77777777" w:rsidR="001F2A73" w:rsidRPr="00647524" w:rsidRDefault="001F2A73" w:rsidP="00080628">
            <w:pPr>
              <w:jc w:val="center"/>
              <w:rPr>
                <w:b/>
                <w:bCs/>
                <w:color w:val="000000"/>
                <w:sz w:val="20"/>
              </w:rPr>
            </w:pPr>
            <w:r w:rsidRPr="00647524">
              <w:rPr>
                <w:b/>
                <w:bCs/>
                <w:color w:val="000000"/>
                <w:sz w:val="20"/>
              </w:rPr>
              <w:t>Treatment Sample</w:t>
            </w:r>
          </w:p>
        </w:tc>
        <w:tc>
          <w:tcPr>
            <w:tcW w:w="990" w:type="dxa"/>
            <w:tcBorders>
              <w:top w:val="nil"/>
              <w:left w:val="nil"/>
              <w:bottom w:val="single" w:sz="4" w:space="0" w:color="auto"/>
              <w:right w:val="single" w:sz="4" w:space="0" w:color="auto"/>
            </w:tcBorders>
            <w:shd w:val="clear" w:color="000000" w:fill="D9D9D9"/>
            <w:vAlign w:val="center"/>
            <w:hideMark/>
          </w:tcPr>
          <w:p w14:paraId="4173C618" w14:textId="77777777" w:rsidR="001F2A73" w:rsidRPr="00647524" w:rsidRDefault="001F2A73" w:rsidP="00080628">
            <w:pPr>
              <w:jc w:val="center"/>
              <w:rPr>
                <w:b/>
                <w:bCs/>
                <w:color w:val="000000"/>
                <w:sz w:val="20"/>
              </w:rPr>
            </w:pPr>
            <w:r w:rsidRPr="00647524">
              <w:rPr>
                <w:b/>
                <w:bCs/>
                <w:color w:val="000000"/>
                <w:sz w:val="20"/>
              </w:rPr>
              <w:t>Unequal Group Power</w:t>
            </w:r>
          </w:p>
        </w:tc>
        <w:tc>
          <w:tcPr>
            <w:tcW w:w="1221" w:type="dxa"/>
            <w:tcBorders>
              <w:top w:val="nil"/>
              <w:left w:val="nil"/>
              <w:bottom w:val="single" w:sz="4" w:space="0" w:color="auto"/>
              <w:right w:val="single" w:sz="4" w:space="0" w:color="auto"/>
            </w:tcBorders>
            <w:shd w:val="clear" w:color="000000" w:fill="D9D9D9"/>
            <w:vAlign w:val="center"/>
            <w:hideMark/>
          </w:tcPr>
          <w:p w14:paraId="11836BCD" w14:textId="77777777" w:rsidR="001F2A73" w:rsidRPr="00647524" w:rsidRDefault="001F2A73" w:rsidP="00080628">
            <w:pPr>
              <w:jc w:val="center"/>
              <w:rPr>
                <w:b/>
                <w:bCs/>
                <w:color w:val="000000"/>
                <w:sz w:val="20"/>
              </w:rPr>
            </w:pPr>
            <w:r w:rsidRPr="00647524">
              <w:rPr>
                <w:b/>
                <w:bCs/>
                <w:color w:val="000000"/>
                <w:sz w:val="20"/>
              </w:rPr>
              <w:t>Unequal Group Power</w:t>
            </w:r>
          </w:p>
        </w:tc>
        <w:tc>
          <w:tcPr>
            <w:tcW w:w="939" w:type="dxa"/>
            <w:tcBorders>
              <w:top w:val="nil"/>
              <w:left w:val="nil"/>
              <w:bottom w:val="single" w:sz="4" w:space="0" w:color="auto"/>
              <w:right w:val="single" w:sz="4" w:space="0" w:color="auto"/>
            </w:tcBorders>
            <w:shd w:val="clear" w:color="000000" w:fill="D9D9D9"/>
            <w:vAlign w:val="center"/>
            <w:hideMark/>
          </w:tcPr>
          <w:p w14:paraId="79CB4C38" w14:textId="77777777" w:rsidR="001F2A73" w:rsidRPr="00647524" w:rsidRDefault="001F2A73" w:rsidP="00080628">
            <w:pPr>
              <w:jc w:val="center"/>
              <w:rPr>
                <w:b/>
                <w:bCs/>
                <w:color w:val="000000"/>
                <w:sz w:val="20"/>
              </w:rPr>
            </w:pPr>
            <w:r w:rsidRPr="00647524">
              <w:rPr>
                <w:b/>
                <w:bCs/>
                <w:color w:val="000000"/>
                <w:sz w:val="20"/>
              </w:rPr>
              <w:t>Unequal Group Power</w:t>
            </w:r>
          </w:p>
        </w:tc>
      </w:tr>
      <w:tr w:rsidR="003A0478" w:rsidRPr="00647524" w14:paraId="799DC34F" w14:textId="77777777" w:rsidTr="00A8796F">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9C1D4E3" w14:textId="77777777" w:rsidR="003A0478" w:rsidRPr="00647524" w:rsidRDefault="003A0478" w:rsidP="003A0478">
            <w:pPr>
              <w:rPr>
                <w:b/>
                <w:bCs/>
                <w:color w:val="000000"/>
                <w:sz w:val="20"/>
              </w:rPr>
            </w:pPr>
            <w:r w:rsidRPr="00647524">
              <w:rPr>
                <w:b/>
                <w:bCs/>
                <w:color w:val="000000"/>
                <w:sz w:val="20"/>
              </w:rPr>
              <w:t>A</w:t>
            </w:r>
          </w:p>
        </w:tc>
        <w:tc>
          <w:tcPr>
            <w:tcW w:w="3300" w:type="dxa"/>
            <w:tcBorders>
              <w:top w:val="nil"/>
              <w:left w:val="nil"/>
              <w:bottom w:val="single" w:sz="4" w:space="0" w:color="auto"/>
              <w:right w:val="single" w:sz="4" w:space="0" w:color="auto"/>
            </w:tcBorders>
            <w:shd w:val="clear" w:color="auto" w:fill="auto"/>
            <w:vAlign w:val="center"/>
            <w:hideMark/>
          </w:tcPr>
          <w:p w14:paraId="6C10BDA9" w14:textId="39D5559E" w:rsidR="003A0478" w:rsidRPr="00647524" w:rsidRDefault="003A0478" w:rsidP="003A0478">
            <w:pPr>
              <w:ind w:left="270" w:hanging="270"/>
              <w:rPr>
                <w:color w:val="000000"/>
                <w:sz w:val="20"/>
              </w:rPr>
            </w:pPr>
            <w:r w:rsidRPr="00647524">
              <w:rPr>
                <w:color w:val="000000"/>
                <w:sz w:val="20"/>
              </w:rPr>
              <w:t>1:</w:t>
            </w:r>
            <w:r>
              <w:rPr>
                <w:color w:val="000000"/>
                <w:sz w:val="20"/>
              </w:rPr>
              <w:t xml:space="preserve"> </w:t>
            </w:r>
            <w:r w:rsidRPr="00647524">
              <w:rPr>
                <w:color w:val="000000"/>
                <w:sz w:val="20"/>
              </w:rPr>
              <w:t>Public less-than-2-year</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48FB3F" w14:textId="3A66EB67" w:rsidR="003A0478" w:rsidRPr="00647524" w:rsidRDefault="003A0478" w:rsidP="003A0478">
            <w:pPr>
              <w:jc w:val="center"/>
              <w:rPr>
                <w:color w:val="000000"/>
                <w:sz w:val="20"/>
              </w:rPr>
            </w:pPr>
            <w:r>
              <w:rPr>
                <w:color w:val="000000"/>
                <w:sz w:val="20"/>
              </w:rPr>
              <w:t>10,345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FDB8DA8" w14:textId="19619D78" w:rsidR="003A0478" w:rsidRPr="00647524" w:rsidRDefault="003A0478" w:rsidP="003A0478">
            <w:pPr>
              <w:jc w:val="center"/>
              <w:rPr>
                <w:color w:val="000000"/>
                <w:sz w:val="20"/>
              </w:rPr>
            </w:pPr>
            <w:r>
              <w:rPr>
                <w:color w:val="000000"/>
                <w:sz w:val="20"/>
              </w:rPr>
              <w:t>721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643D8" w14:textId="0C01F7B2" w:rsidR="003A0478" w:rsidRPr="00647524" w:rsidRDefault="003A0478" w:rsidP="003A0478">
            <w:pPr>
              <w:jc w:val="center"/>
              <w:rPr>
                <w:color w:val="000000"/>
                <w:sz w:val="20"/>
              </w:rPr>
            </w:pPr>
            <w:r>
              <w:rPr>
                <w:color w:val="000000"/>
                <w:sz w:val="20"/>
              </w:rPr>
              <w:t>9,624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F578D5" w14:textId="42881572" w:rsidR="003A0478" w:rsidRPr="00647524" w:rsidRDefault="003A0478" w:rsidP="003A0478">
            <w:pPr>
              <w:jc w:val="center"/>
              <w:rPr>
                <w:color w:val="000000"/>
                <w:sz w:val="20"/>
              </w:rPr>
            </w:pPr>
            <w:r>
              <w:rPr>
                <w:color w:val="000000"/>
                <w:sz w:val="20"/>
              </w:rPr>
              <w:t>0.915</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9422C" w14:textId="79AB8F93" w:rsidR="003A0478" w:rsidRPr="00647524" w:rsidRDefault="003A0478" w:rsidP="003A0478">
            <w:pPr>
              <w:jc w:val="center"/>
              <w:rPr>
                <w:color w:val="000000"/>
                <w:sz w:val="20"/>
              </w:rPr>
            </w:pPr>
            <w:r>
              <w:rPr>
                <w:color w:val="000000"/>
                <w:sz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C4DB4" w14:textId="45B00073" w:rsidR="003A0478" w:rsidRPr="00647524" w:rsidRDefault="003A0478" w:rsidP="003A0478">
            <w:pPr>
              <w:jc w:val="center"/>
              <w:rPr>
                <w:color w:val="000000"/>
                <w:sz w:val="20"/>
              </w:rPr>
            </w:pPr>
            <w:r>
              <w:rPr>
                <w:color w:val="000000"/>
                <w:sz w:val="20"/>
              </w:rPr>
              <w:t>0.924</w:t>
            </w:r>
          </w:p>
        </w:tc>
      </w:tr>
      <w:tr w:rsidR="003A0478" w:rsidRPr="00647524" w14:paraId="65611FDF"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345AB47F" w14:textId="77777777" w:rsidR="003A0478" w:rsidRPr="00647524" w:rsidRDefault="003A0478" w:rsidP="003A047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16CB3D49" w14:textId="34C8AA4E" w:rsidR="003A0478" w:rsidRPr="00647524" w:rsidRDefault="003A0478" w:rsidP="003A0478">
            <w:pPr>
              <w:ind w:left="270" w:hanging="270"/>
              <w:rPr>
                <w:color w:val="000000"/>
                <w:sz w:val="20"/>
              </w:rPr>
            </w:pPr>
            <w:r w:rsidRPr="00647524">
              <w:rPr>
                <w:color w:val="000000"/>
                <w:sz w:val="20"/>
              </w:rPr>
              <w:t>2:</w:t>
            </w:r>
            <w:r>
              <w:rPr>
                <w:color w:val="000000"/>
                <w:sz w:val="20"/>
              </w:rPr>
              <w:t xml:space="preserve"> </w:t>
            </w:r>
            <w:r w:rsidRPr="00647524">
              <w:rPr>
                <w:color w:val="000000"/>
                <w:sz w:val="20"/>
              </w:rPr>
              <w:t>Public 2-year</w:t>
            </w:r>
          </w:p>
        </w:tc>
        <w:tc>
          <w:tcPr>
            <w:tcW w:w="840" w:type="dxa"/>
            <w:vMerge/>
            <w:tcBorders>
              <w:top w:val="nil"/>
              <w:left w:val="single" w:sz="4" w:space="0" w:color="auto"/>
              <w:bottom w:val="single" w:sz="4" w:space="0" w:color="auto"/>
              <w:right w:val="single" w:sz="4" w:space="0" w:color="auto"/>
            </w:tcBorders>
            <w:vAlign w:val="center"/>
            <w:hideMark/>
          </w:tcPr>
          <w:p w14:paraId="0DFAE87F" w14:textId="77777777" w:rsidR="003A0478" w:rsidRPr="00647524" w:rsidRDefault="003A0478" w:rsidP="003A047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6DB614D8" w14:textId="77777777" w:rsidR="003A0478" w:rsidRPr="00647524" w:rsidRDefault="003A0478" w:rsidP="003A047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7D4A91F5" w14:textId="77777777" w:rsidR="003A0478" w:rsidRPr="00647524" w:rsidRDefault="003A0478" w:rsidP="003A047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30CE6EFF" w14:textId="77777777" w:rsidR="003A0478" w:rsidRPr="00647524" w:rsidRDefault="003A0478" w:rsidP="003A047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7A850460" w14:textId="77777777" w:rsidR="003A0478" w:rsidRPr="00647524" w:rsidRDefault="003A0478" w:rsidP="003A047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5C05CB9D" w14:textId="77777777" w:rsidR="003A0478" w:rsidRPr="00647524" w:rsidRDefault="003A0478" w:rsidP="003A0478">
            <w:pPr>
              <w:rPr>
                <w:color w:val="000000"/>
                <w:sz w:val="20"/>
              </w:rPr>
            </w:pPr>
          </w:p>
        </w:tc>
      </w:tr>
      <w:tr w:rsidR="003A0478" w:rsidRPr="00647524" w14:paraId="06B8BC6C" w14:textId="77777777" w:rsidTr="00A8796F">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A10A60C" w14:textId="77777777" w:rsidR="003A0478" w:rsidRPr="00647524" w:rsidRDefault="003A0478" w:rsidP="003A0478">
            <w:pPr>
              <w:rPr>
                <w:b/>
                <w:bCs/>
                <w:color w:val="000000"/>
                <w:sz w:val="20"/>
              </w:rPr>
            </w:pPr>
            <w:r w:rsidRPr="00647524">
              <w:rPr>
                <w:b/>
                <w:bCs/>
                <w:color w:val="000000"/>
                <w:sz w:val="20"/>
              </w:rPr>
              <w:t>B</w:t>
            </w:r>
          </w:p>
        </w:tc>
        <w:tc>
          <w:tcPr>
            <w:tcW w:w="3300" w:type="dxa"/>
            <w:tcBorders>
              <w:top w:val="nil"/>
              <w:left w:val="nil"/>
              <w:bottom w:val="single" w:sz="4" w:space="0" w:color="auto"/>
              <w:right w:val="single" w:sz="4" w:space="0" w:color="auto"/>
            </w:tcBorders>
            <w:shd w:val="clear" w:color="auto" w:fill="auto"/>
            <w:vAlign w:val="center"/>
            <w:hideMark/>
          </w:tcPr>
          <w:p w14:paraId="4BBEF3C0" w14:textId="0224E792" w:rsidR="003A0478" w:rsidRPr="00647524" w:rsidRDefault="003A0478" w:rsidP="003A0478">
            <w:pPr>
              <w:ind w:left="270" w:hanging="270"/>
              <w:rPr>
                <w:color w:val="000000"/>
                <w:sz w:val="20"/>
              </w:rPr>
            </w:pPr>
            <w:r w:rsidRPr="00647524">
              <w:rPr>
                <w:color w:val="000000"/>
                <w:sz w:val="20"/>
              </w:rPr>
              <w:t>3:</w:t>
            </w:r>
            <w:r>
              <w:rPr>
                <w:color w:val="000000"/>
                <w:sz w:val="20"/>
              </w:rPr>
              <w:t xml:space="preserve"> </w:t>
            </w:r>
            <w:r w:rsidRPr="00647524">
              <w:rPr>
                <w:color w:val="000000"/>
                <w:sz w:val="20"/>
              </w:rPr>
              <w:t>Public 4-year non-doctorate-granting</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9DAF9" w14:textId="0C0E13F9" w:rsidR="003A0478" w:rsidRPr="00647524" w:rsidRDefault="003A0478" w:rsidP="003A0478">
            <w:pPr>
              <w:jc w:val="center"/>
              <w:rPr>
                <w:color w:val="000000"/>
                <w:sz w:val="20"/>
              </w:rPr>
            </w:pPr>
            <w:r>
              <w:rPr>
                <w:color w:val="000000"/>
                <w:sz w:val="20"/>
              </w:rPr>
              <w:t>10,445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4727492" w14:textId="1320E2EB" w:rsidR="003A0478" w:rsidRPr="00647524" w:rsidRDefault="003A0478" w:rsidP="003A0478">
            <w:pPr>
              <w:jc w:val="center"/>
              <w:rPr>
                <w:color w:val="000000"/>
                <w:sz w:val="20"/>
              </w:rPr>
            </w:pPr>
            <w:r>
              <w:rPr>
                <w:color w:val="000000"/>
                <w:sz w:val="20"/>
              </w:rPr>
              <w:t>721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EF775" w14:textId="637404B8" w:rsidR="003A0478" w:rsidRPr="00647524" w:rsidRDefault="003A0478" w:rsidP="003A0478">
            <w:pPr>
              <w:jc w:val="center"/>
              <w:rPr>
                <w:color w:val="000000"/>
                <w:sz w:val="20"/>
              </w:rPr>
            </w:pPr>
            <w:r>
              <w:rPr>
                <w:color w:val="000000"/>
                <w:sz w:val="20"/>
              </w:rPr>
              <w:t>9,724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9804FF" w14:textId="74E60013" w:rsidR="003A0478" w:rsidRPr="00647524" w:rsidRDefault="003A0478" w:rsidP="003A0478">
            <w:pPr>
              <w:jc w:val="center"/>
              <w:rPr>
                <w:color w:val="000000"/>
                <w:sz w:val="20"/>
              </w:rPr>
            </w:pPr>
            <w:r>
              <w:rPr>
                <w:color w:val="000000"/>
                <w:sz w:val="20"/>
              </w:rPr>
              <w:t>0.916</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454AB" w14:textId="369DD50F" w:rsidR="003A0478" w:rsidRPr="00647524" w:rsidRDefault="003A0478" w:rsidP="003A0478">
            <w:pPr>
              <w:jc w:val="center"/>
              <w:rPr>
                <w:color w:val="000000"/>
                <w:sz w:val="20"/>
              </w:rPr>
            </w:pPr>
            <w:r>
              <w:rPr>
                <w:color w:val="000000"/>
                <w:sz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312080" w14:textId="6003798A" w:rsidR="003A0478" w:rsidRPr="00647524" w:rsidRDefault="003A0478" w:rsidP="003A0478">
            <w:pPr>
              <w:jc w:val="center"/>
              <w:rPr>
                <w:color w:val="000000"/>
                <w:sz w:val="20"/>
              </w:rPr>
            </w:pPr>
            <w:r>
              <w:rPr>
                <w:color w:val="000000"/>
                <w:sz w:val="20"/>
              </w:rPr>
              <w:t>0.924</w:t>
            </w:r>
          </w:p>
        </w:tc>
      </w:tr>
      <w:tr w:rsidR="003A0478" w:rsidRPr="00647524" w14:paraId="5E32ADDD"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7821409D" w14:textId="77777777" w:rsidR="003A0478" w:rsidRPr="00647524" w:rsidRDefault="003A0478" w:rsidP="003A047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2EB8CEE2" w14:textId="5E6C254A" w:rsidR="003A0478" w:rsidRPr="00647524" w:rsidRDefault="003A0478" w:rsidP="003A0478">
            <w:pPr>
              <w:ind w:left="270" w:hanging="270"/>
              <w:rPr>
                <w:color w:val="000000"/>
                <w:sz w:val="20"/>
              </w:rPr>
            </w:pPr>
            <w:r w:rsidRPr="00647524">
              <w:rPr>
                <w:color w:val="000000"/>
                <w:sz w:val="20"/>
              </w:rPr>
              <w:t>4:</w:t>
            </w:r>
            <w:r>
              <w:rPr>
                <w:color w:val="000000"/>
                <w:sz w:val="20"/>
              </w:rPr>
              <w:t xml:space="preserve"> </w:t>
            </w:r>
            <w:r w:rsidRPr="00647524">
              <w:rPr>
                <w:color w:val="000000"/>
                <w:sz w:val="20"/>
              </w:rPr>
              <w:t>Public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02E573B8" w14:textId="77777777" w:rsidR="003A0478" w:rsidRPr="00647524" w:rsidRDefault="003A0478" w:rsidP="003A047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3795157D" w14:textId="77777777" w:rsidR="003A0478" w:rsidRPr="00647524" w:rsidRDefault="003A0478" w:rsidP="003A047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6D66265D" w14:textId="77777777" w:rsidR="003A0478" w:rsidRPr="00647524" w:rsidRDefault="003A0478" w:rsidP="003A047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02DAB959" w14:textId="77777777" w:rsidR="003A0478" w:rsidRPr="00647524" w:rsidRDefault="003A0478" w:rsidP="003A047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1C052CAD" w14:textId="77777777" w:rsidR="003A0478" w:rsidRPr="00647524" w:rsidRDefault="003A0478" w:rsidP="003A047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0D8FBC2C" w14:textId="77777777" w:rsidR="003A0478" w:rsidRPr="00647524" w:rsidRDefault="003A0478" w:rsidP="003A0478">
            <w:pPr>
              <w:rPr>
                <w:color w:val="000000"/>
                <w:sz w:val="20"/>
              </w:rPr>
            </w:pPr>
          </w:p>
        </w:tc>
      </w:tr>
      <w:tr w:rsidR="003A0478" w:rsidRPr="00647524" w14:paraId="064EBA0E"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5944D4DF" w14:textId="77777777" w:rsidR="003A0478" w:rsidRPr="00647524" w:rsidRDefault="003A0478" w:rsidP="003A047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40A743D5" w14:textId="1A3853E4" w:rsidR="003A0478" w:rsidRPr="00647524" w:rsidRDefault="003A0478" w:rsidP="003A0478">
            <w:pPr>
              <w:ind w:left="270" w:hanging="270"/>
              <w:rPr>
                <w:color w:val="000000"/>
                <w:sz w:val="20"/>
              </w:rPr>
            </w:pPr>
            <w:r w:rsidRPr="00647524">
              <w:rPr>
                <w:color w:val="000000"/>
                <w:sz w:val="20"/>
              </w:rPr>
              <w:t>5:</w:t>
            </w:r>
            <w:r>
              <w:rPr>
                <w:color w:val="000000"/>
                <w:sz w:val="20"/>
              </w:rPr>
              <w:t xml:space="preserve"> </w:t>
            </w:r>
            <w:r w:rsidRPr="00647524">
              <w:rPr>
                <w:color w:val="000000"/>
                <w:sz w:val="20"/>
              </w:rPr>
              <w:t>Private nonprofit less than 4-year</w:t>
            </w:r>
          </w:p>
        </w:tc>
        <w:tc>
          <w:tcPr>
            <w:tcW w:w="840" w:type="dxa"/>
            <w:vMerge/>
            <w:tcBorders>
              <w:top w:val="nil"/>
              <w:left w:val="single" w:sz="4" w:space="0" w:color="auto"/>
              <w:bottom w:val="single" w:sz="4" w:space="0" w:color="auto"/>
              <w:right w:val="single" w:sz="4" w:space="0" w:color="auto"/>
            </w:tcBorders>
            <w:vAlign w:val="center"/>
            <w:hideMark/>
          </w:tcPr>
          <w:p w14:paraId="6BE20D88" w14:textId="77777777" w:rsidR="003A0478" w:rsidRPr="00647524" w:rsidRDefault="003A0478" w:rsidP="003A047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5A2DFB5D" w14:textId="77777777" w:rsidR="003A0478" w:rsidRPr="00647524" w:rsidRDefault="003A0478" w:rsidP="003A047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3110FA6C" w14:textId="77777777" w:rsidR="003A0478" w:rsidRPr="00647524" w:rsidRDefault="003A0478" w:rsidP="003A047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7363E0B1" w14:textId="77777777" w:rsidR="003A0478" w:rsidRPr="00647524" w:rsidRDefault="003A0478" w:rsidP="003A047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59AFCFE0" w14:textId="77777777" w:rsidR="003A0478" w:rsidRPr="00647524" w:rsidRDefault="003A0478" w:rsidP="003A047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48C69BAB" w14:textId="77777777" w:rsidR="003A0478" w:rsidRPr="00647524" w:rsidRDefault="003A0478" w:rsidP="003A0478">
            <w:pPr>
              <w:rPr>
                <w:color w:val="000000"/>
                <w:sz w:val="20"/>
              </w:rPr>
            </w:pPr>
          </w:p>
        </w:tc>
      </w:tr>
      <w:tr w:rsidR="003A0478" w:rsidRPr="00647524" w14:paraId="138A94D6"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154450C7" w14:textId="77777777" w:rsidR="003A0478" w:rsidRPr="00647524" w:rsidRDefault="003A0478" w:rsidP="003A047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78DBA3C7" w14:textId="0D339DBB" w:rsidR="003A0478" w:rsidRPr="00647524" w:rsidRDefault="003A0478" w:rsidP="003A0478">
            <w:pPr>
              <w:ind w:left="270" w:hanging="270"/>
              <w:rPr>
                <w:color w:val="000000"/>
                <w:sz w:val="20"/>
              </w:rPr>
            </w:pPr>
            <w:r w:rsidRPr="00647524">
              <w:rPr>
                <w:color w:val="000000"/>
                <w:sz w:val="20"/>
              </w:rPr>
              <w:t>6:</w:t>
            </w:r>
            <w:r>
              <w:rPr>
                <w:color w:val="000000"/>
                <w:sz w:val="20"/>
              </w:rPr>
              <w:t xml:space="preserve"> </w:t>
            </w:r>
            <w:r w:rsidRPr="00647524">
              <w:rPr>
                <w:color w:val="000000"/>
                <w:sz w:val="20"/>
              </w:rPr>
              <w:t xml:space="preserve">Private nonprofit 4-year </w:t>
            </w:r>
            <w:proofErr w:type="spellStart"/>
            <w:r w:rsidRPr="00647524">
              <w:rPr>
                <w:color w:val="000000"/>
                <w:sz w:val="20"/>
              </w:rPr>
              <w:t>nondoctorate</w:t>
            </w:r>
            <w:proofErr w:type="spellEnd"/>
          </w:p>
        </w:tc>
        <w:tc>
          <w:tcPr>
            <w:tcW w:w="840" w:type="dxa"/>
            <w:vMerge/>
            <w:tcBorders>
              <w:top w:val="nil"/>
              <w:left w:val="single" w:sz="4" w:space="0" w:color="auto"/>
              <w:bottom w:val="single" w:sz="4" w:space="0" w:color="auto"/>
              <w:right w:val="single" w:sz="4" w:space="0" w:color="auto"/>
            </w:tcBorders>
            <w:vAlign w:val="center"/>
            <w:hideMark/>
          </w:tcPr>
          <w:p w14:paraId="1D27000F" w14:textId="77777777" w:rsidR="003A0478" w:rsidRPr="00647524" w:rsidRDefault="003A0478" w:rsidP="003A047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7C39EF2D" w14:textId="77777777" w:rsidR="003A0478" w:rsidRPr="00647524" w:rsidRDefault="003A0478" w:rsidP="003A047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5599863C" w14:textId="77777777" w:rsidR="003A0478" w:rsidRPr="00647524" w:rsidRDefault="003A0478" w:rsidP="003A047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7DBF936B" w14:textId="77777777" w:rsidR="003A0478" w:rsidRPr="00647524" w:rsidRDefault="003A0478" w:rsidP="003A047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39877817" w14:textId="77777777" w:rsidR="003A0478" w:rsidRPr="00647524" w:rsidRDefault="003A0478" w:rsidP="003A047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1D16ECE3" w14:textId="77777777" w:rsidR="003A0478" w:rsidRPr="00647524" w:rsidRDefault="003A0478" w:rsidP="003A0478">
            <w:pPr>
              <w:rPr>
                <w:color w:val="000000"/>
                <w:sz w:val="20"/>
              </w:rPr>
            </w:pPr>
          </w:p>
        </w:tc>
      </w:tr>
      <w:tr w:rsidR="003A0478" w:rsidRPr="00647524" w14:paraId="04998E02"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467C9D73" w14:textId="77777777" w:rsidR="003A0478" w:rsidRPr="00647524" w:rsidRDefault="003A0478" w:rsidP="003A047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35B11819" w14:textId="1E4059AA" w:rsidR="003A0478" w:rsidRPr="00647524" w:rsidRDefault="003A0478" w:rsidP="003A0478">
            <w:pPr>
              <w:ind w:left="270" w:hanging="270"/>
              <w:rPr>
                <w:color w:val="000000"/>
                <w:sz w:val="20"/>
              </w:rPr>
            </w:pPr>
            <w:r w:rsidRPr="00647524">
              <w:rPr>
                <w:color w:val="000000"/>
                <w:sz w:val="20"/>
              </w:rPr>
              <w:t>7:</w:t>
            </w:r>
            <w:r>
              <w:rPr>
                <w:color w:val="000000"/>
                <w:sz w:val="20"/>
              </w:rPr>
              <w:t xml:space="preserve"> </w:t>
            </w:r>
            <w:r w:rsidRPr="00647524">
              <w:rPr>
                <w:color w:val="000000"/>
                <w:sz w:val="20"/>
              </w:rPr>
              <w:t>Private nonprofit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65F65052" w14:textId="77777777" w:rsidR="003A0478" w:rsidRPr="00647524" w:rsidRDefault="003A0478" w:rsidP="003A047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35744071" w14:textId="77777777" w:rsidR="003A0478" w:rsidRPr="00647524" w:rsidRDefault="003A0478" w:rsidP="003A047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47D9030C" w14:textId="77777777" w:rsidR="003A0478" w:rsidRPr="00647524" w:rsidRDefault="003A0478" w:rsidP="003A047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6B56AE96" w14:textId="77777777" w:rsidR="003A0478" w:rsidRPr="00647524" w:rsidRDefault="003A0478" w:rsidP="003A047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7774986A" w14:textId="77777777" w:rsidR="003A0478" w:rsidRPr="00647524" w:rsidRDefault="003A0478" w:rsidP="003A047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4F081850" w14:textId="77777777" w:rsidR="003A0478" w:rsidRPr="00647524" w:rsidRDefault="003A0478" w:rsidP="003A0478">
            <w:pPr>
              <w:rPr>
                <w:color w:val="000000"/>
                <w:sz w:val="20"/>
              </w:rPr>
            </w:pPr>
          </w:p>
        </w:tc>
      </w:tr>
      <w:tr w:rsidR="003A0478" w:rsidRPr="00647524" w14:paraId="2BD1ADC4"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1E98725" w14:textId="77777777" w:rsidR="003A0478" w:rsidRPr="00647524" w:rsidRDefault="003A0478" w:rsidP="003A0478">
            <w:pPr>
              <w:rPr>
                <w:b/>
                <w:bCs/>
                <w:color w:val="000000"/>
                <w:sz w:val="20"/>
              </w:rPr>
            </w:pPr>
            <w:r w:rsidRPr="00647524">
              <w:rPr>
                <w:b/>
                <w:bCs/>
                <w:color w:val="000000"/>
                <w:sz w:val="20"/>
              </w:rPr>
              <w:t>C</w:t>
            </w:r>
          </w:p>
        </w:tc>
        <w:tc>
          <w:tcPr>
            <w:tcW w:w="3300" w:type="dxa"/>
            <w:tcBorders>
              <w:top w:val="nil"/>
              <w:left w:val="nil"/>
              <w:bottom w:val="single" w:sz="4" w:space="0" w:color="auto"/>
              <w:right w:val="single" w:sz="4" w:space="0" w:color="auto"/>
            </w:tcBorders>
            <w:shd w:val="clear" w:color="auto" w:fill="auto"/>
            <w:vAlign w:val="center"/>
            <w:hideMark/>
          </w:tcPr>
          <w:p w14:paraId="46F2548F" w14:textId="5088D3AB" w:rsidR="003A0478" w:rsidRPr="00647524" w:rsidRDefault="003A0478" w:rsidP="003A0478">
            <w:pPr>
              <w:ind w:left="270" w:hanging="270"/>
              <w:rPr>
                <w:color w:val="000000"/>
                <w:sz w:val="20"/>
              </w:rPr>
            </w:pPr>
            <w:r w:rsidRPr="00647524">
              <w:rPr>
                <w:color w:val="000000"/>
                <w:sz w:val="20"/>
              </w:rPr>
              <w:t>8:</w:t>
            </w:r>
            <w:r>
              <w:rPr>
                <w:color w:val="000000"/>
                <w:sz w:val="20"/>
              </w:rPr>
              <w:t xml:space="preserve"> </w:t>
            </w:r>
            <w:r w:rsidRPr="00647524">
              <w:rPr>
                <w:color w:val="000000"/>
                <w:sz w:val="20"/>
              </w:rPr>
              <w:t>Private for</w:t>
            </w:r>
            <w:r>
              <w:rPr>
                <w:color w:val="000000"/>
                <w:sz w:val="20"/>
              </w:rPr>
              <w:t>-</w:t>
            </w:r>
            <w:r w:rsidRPr="00647524">
              <w:rPr>
                <w:color w:val="000000"/>
                <w:sz w:val="20"/>
              </w:rPr>
              <w:t>profit less-than-2-year</w:t>
            </w:r>
          </w:p>
        </w:tc>
        <w:tc>
          <w:tcPr>
            <w:tcW w:w="840" w:type="dxa"/>
            <w:tcBorders>
              <w:top w:val="nil"/>
              <w:left w:val="nil"/>
              <w:bottom w:val="single" w:sz="4" w:space="0" w:color="auto"/>
              <w:right w:val="single" w:sz="4" w:space="0" w:color="auto"/>
            </w:tcBorders>
            <w:shd w:val="clear" w:color="auto" w:fill="auto"/>
            <w:noWrap/>
            <w:vAlign w:val="center"/>
            <w:hideMark/>
          </w:tcPr>
          <w:p w14:paraId="59A2BBAD" w14:textId="005A7BDA" w:rsidR="003A0478" w:rsidRPr="00647524" w:rsidRDefault="003A0478" w:rsidP="003A0478">
            <w:pPr>
              <w:jc w:val="center"/>
              <w:rPr>
                <w:color w:val="000000"/>
                <w:sz w:val="20"/>
              </w:rPr>
            </w:pPr>
            <w:r>
              <w:rPr>
                <w:color w:val="000000"/>
                <w:sz w:val="20"/>
              </w:rPr>
              <w:t>1,463</w:t>
            </w:r>
          </w:p>
        </w:tc>
        <w:tc>
          <w:tcPr>
            <w:tcW w:w="900" w:type="dxa"/>
            <w:tcBorders>
              <w:top w:val="nil"/>
              <w:left w:val="nil"/>
              <w:bottom w:val="single" w:sz="4" w:space="0" w:color="auto"/>
              <w:right w:val="single" w:sz="4" w:space="0" w:color="auto"/>
            </w:tcBorders>
            <w:shd w:val="clear" w:color="auto" w:fill="auto"/>
            <w:vAlign w:val="center"/>
            <w:hideMark/>
          </w:tcPr>
          <w:p w14:paraId="5306D1DC" w14:textId="2A4E1012" w:rsidR="003A0478" w:rsidRPr="00647524" w:rsidRDefault="003A0478" w:rsidP="003A0478">
            <w:pPr>
              <w:jc w:val="center"/>
              <w:rPr>
                <w:color w:val="000000"/>
                <w:sz w:val="20"/>
              </w:rPr>
            </w:pPr>
            <w:r>
              <w:rPr>
                <w:color w:val="000000"/>
                <w:sz w:val="20"/>
              </w:rPr>
              <w:t>722</w:t>
            </w:r>
          </w:p>
        </w:tc>
        <w:tc>
          <w:tcPr>
            <w:tcW w:w="1170" w:type="dxa"/>
            <w:tcBorders>
              <w:top w:val="nil"/>
              <w:left w:val="nil"/>
              <w:bottom w:val="single" w:sz="4" w:space="0" w:color="auto"/>
              <w:right w:val="single" w:sz="4" w:space="0" w:color="auto"/>
            </w:tcBorders>
            <w:shd w:val="clear" w:color="auto" w:fill="auto"/>
            <w:noWrap/>
            <w:vAlign w:val="center"/>
            <w:hideMark/>
          </w:tcPr>
          <w:p w14:paraId="47ADC1FC" w14:textId="0FCB4D06" w:rsidR="003A0478" w:rsidRPr="00647524" w:rsidRDefault="003A0478" w:rsidP="003A0478">
            <w:pPr>
              <w:jc w:val="center"/>
              <w:rPr>
                <w:color w:val="000000"/>
                <w:sz w:val="20"/>
              </w:rPr>
            </w:pPr>
            <w:r>
              <w:rPr>
                <w:color w:val="000000"/>
                <w:sz w:val="20"/>
              </w:rPr>
              <w:t>741</w:t>
            </w:r>
          </w:p>
        </w:tc>
        <w:tc>
          <w:tcPr>
            <w:tcW w:w="990" w:type="dxa"/>
            <w:tcBorders>
              <w:top w:val="nil"/>
              <w:left w:val="nil"/>
              <w:bottom w:val="single" w:sz="4" w:space="0" w:color="auto"/>
              <w:right w:val="single" w:sz="4" w:space="0" w:color="auto"/>
            </w:tcBorders>
            <w:shd w:val="clear" w:color="auto" w:fill="auto"/>
            <w:noWrap/>
            <w:vAlign w:val="center"/>
            <w:hideMark/>
          </w:tcPr>
          <w:p w14:paraId="6FF7AAF3" w14:textId="05568FD0" w:rsidR="003A0478" w:rsidRPr="00647524" w:rsidRDefault="003A0478" w:rsidP="003A0478">
            <w:pPr>
              <w:jc w:val="center"/>
              <w:rPr>
                <w:color w:val="000000"/>
                <w:sz w:val="20"/>
              </w:rPr>
            </w:pPr>
            <w:r>
              <w:rPr>
                <w:color w:val="000000"/>
                <w:sz w:val="20"/>
              </w:rPr>
              <w:t>0.718</w:t>
            </w:r>
          </w:p>
        </w:tc>
        <w:tc>
          <w:tcPr>
            <w:tcW w:w="1221" w:type="dxa"/>
            <w:tcBorders>
              <w:top w:val="nil"/>
              <w:left w:val="nil"/>
              <w:bottom w:val="single" w:sz="4" w:space="0" w:color="auto"/>
              <w:right w:val="single" w:sz="4" w:space="0" w:color="auto"/>
            </w:tcBorders>
            <w:shd w:val="clear" w:color="auto" w:fill="auto"/>
            <w:noWrap/>
            <w:vAlign w:val="center"/>
            <w:hideMark/>
          </w:tcPr>
          <w:p w14:paraId="0B661448" w14:textId="64D7CD9E" w:rsidR="003A0478" w:rsidRPr="00647524" w:rsidRDefault="003A0478" w:rsidP="003A0478">
            <w:pPr>
              <w:jc w:val="center"/>
              <w:rPr>
                <w:color w:val="000000"/>
                <w:sz w:val="20"/>
              </w:rPr>
            </w:pPr>
            <w:r>
              <w:rPr>
                <w:color w:val="000000"/>
                <w:sz w:val="20"/>
              </w:rPr>
              <w:t>0.819</w:t>
            </w:r>
          </w:p>
        </w:tc>
        <w:tc>
          <w:tcPr>
            <w:tcW w:w="939" w:type="dxa"/>
            <w:tcBorders>
              <w:top w:val="nil"/>
              <w:left w:val="nil"/>
              <w:bottom w:val="single" w:sz="4" w:space="0" w:color="auto"/>
              <w:right w:val="single" w:sz="4" w:space="0" w:color="auto"/>
            </w:tcBorders>
            <w:shd w:val="clear" w:color="auto" w:fill="auto"/>
            <w:noWrap/>
            <w:vAlign w:val="center"/>
            <w:hideMark/>
          </w:tcPr>
          <w:p w14:paraId="6624C620" w14:textId="45F802EF" w:rsidR="003A0478" w:rsidRPr="00647524" w:rsidRDefault="003A0478" w:rsidP="003A0478">
            <w:pPr>
              <w:jc w:val="center"/>
              <w:rPr>
                <w:color w:val="000000"/>
                <w:sz w:val="20"/>
              </w:rPr>
            </w:pPr>
            <w:r>
              <w:rPr>
                <w:color w:val="000000"/>
                <w:sz w:val="20"/>
              </w:rPr>
              <w:t>0.727</w:t>
            </w:r>
          </w:p>
        </w:tc>
      </w:tr>
      <w:tr w:rsidR="003A0478" w:rsidRPr="00647524" w14:paraId="0EA45EAD"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6040083" w14:textId="77777777" w:rsidR="003A0478" w:rsidRPr="00647524" w:rsidRDefault="003A0478" w:rsidP="003A0478">
            <w:pPr>
              <w:rPr>
                <w:b/>
                <w:bCs/>
                <w:color w:val="000000"/>
                <w:sz w:val="20"/>
              </w:rPr>
            </w:pPr>
            <w:r w:rsidRPr="00647524">
              <w:rPr>
                <w:b/>
                <w:bCs/>
                <w:color w:val="000000"/>
                <w:sz w:val="20"/>
              </w:rPr>
              <w:t>D</w:t>
            </w:r>
          </w:p>
        </w:tc>
        <w:tc>
          <w:tcPr>
            <w:tcW w:w="3300" w:type="dxa"/>
            <w:tcBorders>
              <w:top w:val="nil"/>
              <w:left w:val="nil"/>
              <w:bottom w:val="single" w:sz="4" w:space="0" w:color="auto"/>
              <w:right w:val="single" w:sz="4" w:space="0" w:color="auto"/>
            </w:tcBorders>
            <w:shd w:val="clear" w:color="auto" w:fill="auto"/>
            <w:vAlign w:val="center"/>
            <w:hideMark/>
          </w:tcPr>
          <w:p w14:paraId="02945FEF" w14:textId="5C10FB1F" w:rsidR="003A0478" w:rsidRPr="00647524" w:rsidRDefault="003A0478" w:rsidP="003A0478">
            <w:pPr>
              <w:ind w:left="270" w:hanging="270"/>
              <w:rPr>
                <w:color w:val="000000"/>
                <w:sz w:val="20"/>
              </w:rPr>
            </w:pPr>
            <w:r w:rsidRPr="00647524">
              <w:rPr>
                <w:color w:val="000000"/>
                <w:sz w:val="20"/>
              </w:rPr>
              <w:t>9:</w:t>
            </w:r>
            <w:r>
              <w:rPr>
                <w:color w:val="000000"/>
                <w:sz w:val="20"/>
              </w:rPr>
              <w:t xml:space="preserve"> </w:t>
            </w:r>
            <w:r w:rsidRPr="00647524">
              <w:rPr>
                <w:color w:val="000000"/>
                <w:sz w:val="20"/>
              </w:rPr>
              <w:t>Private for</w:t>
            </w:r>
            <w:r>
              <w:rPr>
                <w:color w:val="000000"/>
                <w:sz w:val="20"/>
              </w:rPr>
              <w:t>-</w:t>
            </w:r>
            <w:r w:rsidRPr="00647524">
              <w:rPr>
                <w:color w:val="000000"/>
                <w:sz w:val="20"/>
              </w:rPr>
              <w:t>profit 2-year</w:t>
            </w:r>
          </w:p>
        </w:tc>
        <w:tc>
          <w:tcPr>
            <w:tcW w:w="840" w:type="dxa"/>
            <w:tcBorders>
              <w:top w:val="nil"/>
              <w:left w:val="nil"/>
              <w:bottom w:val="single" w:sz="4" w:space="0" w:color="auto"/>
              <w:right w:val="single" w:sz="4" w:space="0" w:color="auto"/>
            </w:tcBorders>
            <w:shd w:val="clear" w:color="auto" w:fill="auto"/>
            <w:noWrap/>
            <w:vAlign w:val="center"/>
            <w:hideMark/>
          </w:tcPr>
          <w:p w14:paraId="11310C19" w14:textId="5695712D" w:rsidR="003A0478" w:rsidRPr="00647524" w:rsidRDefault="003A0478" w:rsidP="003A0478">
            <w:pPr>
              <w:jc w:val="center"/>
              <w:rPr>
                <w:color w:val="000000"/>
                <w:sz w:val="20"/>
              </w:rPr>
            </w:pPr>
            <w:r>
              <w:rPr>
                <w:color w:val="000000"/>
                <w:sz w:val="20"/>
              </w:rPr>
              <w:t>3,132</w:t>
            </w:r>
          </w:p>
        </w:tc>
        <w:tc>
          <w:tcPr>
            <w:tcW w:w="900" w:type="dxa"/>
            <w:tcBorders>
              <w:top w:val="nil"/>
              <w:left w:val="nil"/>
              <w:bottom w:val="single" w:sz="4" w:space="0" w:color="auto"/>
              <w:right w:val="single" w:sz="4" w:space="0" w:color="auto"/>
            </w:tcBorders>
            <w:shd w:val="clear" w:color="auto" w:fill="auto"/>
            <w:vAlign w:val="center"/>
            <w:hideMark/>
          </w:tcPr>
          <w:p w14:paraId="21A9DE5F" w14:textId="3E23A9D5" w:rsidR="003A0478" w:rsidRPr="00647524" w:rsidRDefault="003A0478" w:rsidP="003A0478">
            <w:pPr>
              <w:jc w:val="center"/>
              <w:rPr>
                <w:color w:val="000000"/>
                <w:sz w:val="20"/>
              </w:rPr>
            </w:pPr>
            <w:r>
              <w:rPr>
                <w:color w:val="000000"/>
                <w:sz w:val="20"/>
              </w:rPr>
              <w:t>721</w:t>
            </w:r>
          </w:p>
        </w:tc>
        <w:tc>
          <w:tcPr>
            <w:tcW w:w="1170" w:type="dxa"/>
            <w:tcBorders>
              <w:top w:val="nil"/>
              <w:left w:val="nil"/>
              <w:bottom w:val="single" w:sz="4" w:space="0" w:color="auto"/>
              <w:right w:val="single" w:sz="4" w:space="0" w:color="auto"/>
            </w:tcBorders>
            <w:shd w:val="clear" w:color="auto" w:fill="auto"/>
            <w:noWrap/>
            <w:vAlign w:val="center"/>
            <w:hideMark/>
          </w:tcPr>
          <w:p w14:paraId="0CC4B157" w14:textId="18F86230" w:rsidR="003A0478" w:rsidRPr="00647524" w:rsidRDefault="003A0478" w:rsidP="003A0478">
            <w:pPr>
              <w:jc w:val="center"/>
              <w:rPr>
                <w:color w:val="000000"/>
                <w:sz w:val="20"/>
              </w:rPr>
            </w:pPr>
            <w:r>
              <w:rPr>
                <w:color w:val="000000"/>
                <w:sz w:val="20"/>
              </w:rPr>
              <w:t>2,411</w:t>
            </w:r>
          </w:p>
        </w:tc>
        <w:tc>
          <w:tcPr>
            <w:tcW w:w="990" w:type="dxa"/>
            <w:tcBorders>
              <w:top w:val="nil"/>
              <w:left w:val="nil"/>
              <w:bottom w:val="single" w:sz="4" w:space="0" w:color="auto"/>
              <w:right w:val="single" w:sz="4" w:space="0" w:color="auto"/>
            </w:tcBorders>
            <w:shd w:val="clear" w:color="auto" w:fill="auto"/>
            <w:noWrap/>
            <w:vAlign w:val="center"/>
            <w:hideMark/>
          </w:tcPr>
          <w:p w14:paraId="70D40D60" w14:textId="0BDB83A3" w:rsidR="003A0478" w:rsidRPr="00647524" w:rsidRDefault="003A0478" w:rsidP="003A0478">
            <w:pPr>
              <w:jc w:val="center"/>
              <w:rPr>
                <w:color w:val="000000"/>
                <w:sz w:val="20"/>
              </w:rPr>
            </w:pPr>
            <w:r>
              <w:rPr>
                <w:color w:val="000000"/>
                <w:sz w:val="20"/>
              </w:rPr>
              <w:t>0.864</w:t>
            </w:r>
          </w:p>
        </w:tc>
        <w:tc>
          <w:tcPr>
            <w:tcW w:w="1221" w:type="dxa"/>
            <w:tcBorders>
              <w:top w:val="nil"/>
              <w:left w:val="nil"/>
              <w:bottom w:val="single" w:sz="4" w:space="0" w:color="auto"/>
              <w:right w:val="single" w:sz="4" w:space="0" w:color="auto"/>
            </w:tcBorders>
            <w:shd w:val="clear" w:color="auto" w:fill="auto"/>
            <w:noWrap/>
            <w:vAlign w:val="center"/>
            <w:hideMark/>
          </w:tcPr>
          <w:p w14:paraId="1212139D" w14:textId="7F55C087" w:rsidR="003A0478" w:rsidRPr="00647524" w:rsidRDefault="003A0478" w:rsidP="003A0478">
            <w:pPr>
              <w:jc w:val="center"/>
              <w:rPr>
                <w:color w:val="000000"/>
                <w:sz w:val="20"/>
              </w:rPr>
            </w:pPr>
            <w:r>
              <w:rPr>
                <w:color w:val="000000"/>
                <w:sz w:val="20"/>
              </w:rPr>
              <w:t>0.935</w:t>
            </w:r>
          </w:p>
        </w:tc>
        <w:tc>
          <w:tcPr>
            <w:tcW w:w="939" w:type="dxa"/>
            <w:tcBorders>
              <w:top w:val="nil"/>
              <w:left w:val="nil"/>
              <w:bottom w:val="single" w:sz="4" w:space="0" w:color="auto"/>
              <w:right w:val="single" w:sz="4" w:space="0" w:color="auto"/>
            </w:tcBorders>
            <w:shd w:val="clear" w:color="auto" w:fill="auto"/>
            <w:noWrap/>
            <w:vAlign w:val="center"/>
            <w:hideMark/>
          </w:tcPr>
          <w:p w14:paraId="5A872BB3" w14:textId="17C803B7" w:rsidR="003A0478" w:rsidRPr="00647524" w:rsidRDefault="003A0478" w:rsidP="003A0478">
            <w:pPr>
              <w:jc w:val="center"/>
              <w:rPr>
                <w:color w:val="000000"/>
                <w:sz w:val="20"/>
              </w:rPr>
            </w:pPr>
            <w:r>
              <w:rPr>
                <w:color w:val="000000"/>
                <w:sz w:val="20"/>
              </w:rPr>
              <w:t>0.876</w:t>
            </w:r>
          </w:p>
        </w:tc>
      </w:tr>
      <w:tr w:rsidR="003A0478" w:rsidRPr="00647524" w14:paraId="20EEAB68"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2D0D4DC" w14:textId="77777777" w:rsidR="003A0478" w:rsidRPr="00647524" w:rsidRDefault="003A0478" w:rsidP="003A0478">
            <w:pPr>
              <w:rPr>
                <w:b/>
                <w:bCs/>
                <w:color w:val="000000"/>
                <w:sz w:val="20"/>
              </w:rPr>
            </w:pPr>
            <w:r w:rsidRPr="00647524">
              <w:rPr>
                <w:b/>
                <w:bCs/>
                <w:color w:val="000000"/>
                <w:sz w:val="20"/>
              </w:rPr>
              <w:t>E</w:t>
            </w:r>
          </w:p>
        </w:tc>
        <w:tc>
          <w:tcPr>
            <w:tcW w:w="3300" w:type="dxa"/>
            <w:tcBorders>
              <w:top w:val="nil"/>
              <w:left w:val="nil"/>
              <w:bottom w:val="single" w:sz="4" w:space="0" w:color="auto"/>
              <w:right w:val="single" w:sz="4" w:space="0" w:color="auto"/>
            </w:tcBorders>
            <w:shd w:val="clear" w:color="auto" w:fill="auto"/>
            <w:vAlign w:val="center"/>
            <w:hideMark/>
          </w:tcPr>
          <w:p w14:paraId="3082D6BC" w14:textId="77777777" w:rsidR="003A0478" w:rsidRPr="00647524" w:rsidRDefault="003A0478" w:rsidP="003A0478">
            <w:pPr>
              <w:ind w:left="270" w:hanging="270"/>
              <w:rPr>
                <w:color w:val="000000"/>
                <w:sz w:val="20"/>
              </w:rPr>
            </w:pPr>
            <w:r w:rsidRPr="00647524">
              <w:rPr>
                <w:color w:val="000000"/>
                <w:sz w:val="20"/>
              </w:rPr>
              <w:t>10: Private for</w:t>
            </w:r>
            <w:r>
              <w:rPr>
                <w:color w:val="000000"/>
                <w:sz w:val="20"/>
              </w:rPr>
              <w:t>-</w:t>
            </w:r>
            <w:r w:rsidRPr="00647524">
              <w:rPr>
                <w:color w:val="000000"/>
                <w:sz w:val="20"/>
              </w:rPr>
              <w:t>profit 4-year</w:t>
            </w:r>
          </w:p>
        </w:tc>
        <w:tc>
          <w:tcPr>
            <w:tcW w:w="840" w:type="dxa"/>
            <w:tcBorders>
              <w:top w:val="nil"/>
              <w:left w:val="nil"/>
              <w:bottom w:val="single" w:sz="4" w:space="0" w:color="auto"/>
              <w:right w:val="single" w:sz="4" w:space="0" w:color="auto"/>
            </w:tcBorders>
            <w:shd w:val="clear" w:color="auto" w:fill="auto"/>
            <w:noWrap/>
            <w:vAlign w:val="center"/>
            <w:hideMark/>
          </w:tcPr>
          <w:p w14:paraId="2674C9D5" w14:textId="6F4342F1" w:rsidR="003A0478" w:rsidRPr="00647524" w:rsidRDefault="003A0478" w:rsidP="003A0478">
            <w:pPr>
              <w:jc w:val="center"/>
              <w:rPr>
                <w:color w:val="000000"/>
                <w:sz w:val="20"/>
              </w:rPr>
            </w:pPr>
            <w:r>
              <w:rPr>
                <w:color w:val="000000"/>
                <w:sz w:val="20"/>
              </w:rPr>
              <w:t>8,340</w:t>
            </w:r>
          </w:p>
        </w:tc>
        <w:tc>
          <w:tcPr>
            <w:tcW w:w="900" w:type="dxa"/>
            <w:tcBorders>
              <w:top w:val="nil"/>
              <w:left w:val="nil"/>
              <w:bottom w:val="single" w:sz="4" w:space="0" w:color="auto"/>
              <w:right w:val="single" w:sz="4" w:space="0" w:color="auto"/>
            </w:tcBorders>
            <w:shd w:val="clear" w:color="auto" w:fill="auto"/>
            <w:vAlign w:val="center"/>
            <w:hideMark/>
          </w:tcPr>
          <w:p w14:paraId="696FBA8E" w14:textId="026C11FD" w:rsidR="003A0478" w:rsidRPr="00647524" w:rsidRDefault="003A0478" w:rsidP="003A0478">
            <w:pPr>
              <w:jc w:val="center"/>
              <w:rPr>
                <w:color w:val="000000"/>
                <w:sz w:val="20"/>
              </w:rPr>
            </w:pPr>
            <w:r>
              <w:rPr>
                <w:color w:val="000000"/>
                <w:sz w:val="20"/>
              </w:rPr>
              <w:t>721</w:t>
            </w:r>
          </w:p>
        </w:tc>
        <w:tc>
          <w:tcPr>
            <w:tcW w:w="1170" w:type="dxa"/>
            <w:tcBorders>
              <w:top w:val="nil"/>
              <w:left w:val="nil"/>
              <w:bottom w:val="single" w:sz="4" w:space="0" w:color="auto"/>
              <w:right w:val="single" w:sz="4" w:space="0" w:color="auto"/>
            </w:tcBorders>
            <w:shd w:val="clear" w:color="auto" w:fill="auto"/>
            <w:noWrap/>
            <w:vAlign w:val="center"/>
            <w:hideMark/>
          </w:tcPr>
          <w:p w14:paraId="7E54D30B" w14:textId="53844588" w:rsidR="003A0478" w:rsidRPr="00647524" w:rsidRDefault="003A0478" w:rsidP="003A0478">
            <w:pPr>
              <w:jc w:val="center"/>
              <w:rPr>
                <w:color w:val="000000"/>
                <w:sz w:val="20"/>
              </w:rPr>
            </w:pPr>
            <w:r>
              <w:rPr>
                <w:color w:val="000000"/>
                <w:sz w:val="20"/>
              </w:rPr>
              <w:t>7,619</w:t>
            </w:r>
          </w:p>
        </w:tc>
        <w:tc>
          <w:tcPr>
            <w:tcW w:w="990" w:type="dxa"/>
            <w:tcBorders>
              <w:top w:val="nil"/>
              <w:left w:val="nil"/>
              <w:bottom w:val="single" w:sz="4" w:space="0" w:color="auto"/>
              <w:right w:val="single" w:sz="4" w:space="0" w:color="auto"/>
            </w:tcBorders>
            <w:shd w:val="clear" w:color="auto" w:fill="auto"/>
            <w:noWrap/>
            <w:vAlign w:val="center"/>
            <w:hideMark/>
          </w:tcPr>
          <w:p w14:paraId="173137B2" w14:textId="146C4F8C" w:rsidR="003A0478" w:rsidRPr="00647524" w:rsidRDefault="003A0478" w:rsidP="003A0478">
            <w:pPr>
              <w:jc w:val="center"/>
              <w:rPr>
                <w:color w:val="000000"/>
                <w:sz w:val="20"/>
              </w:rPr>
            </w:pPr>
            <w:r>
              <w:rPr>
                <w:color w:val="000000"/>
                <w:sz w:val="20"/>
              </w:rPr>
              <w:t>0.911</w:t>
            </w:r>
          </w:p>
        </w:tc>
        <w:tc>
          <w:tcPr>
            <w:tcW w:w="1221" w:type="dxa"/>
            <w:tcBorders>
              <w:top w:val="nil"/>
              <w:left w:val="nil"/>
              <w:bottom w:val="single" w:sz="4" w:space="0" w:color="auto"/>
              <w:right w:val="single" w:sz="4" w:space="0" w:color="auto"/>
            </w:tcBorders>
            <w:shd w:val="clear" w:color="auto" w:fill="auto"/>
            <w:noWrap/>
            <w:vAlign w:val="center"/>
            <w:hideMark/>
          </w:tcPr>
          <w:p w14:paraId="56327451" w14:textId="1A3458DF" w:rsidR="003A0478" w:rsidRPr="00647524" w:rsidRDefault="003A0478" w:rsidP="003A0478">
            <w:pPr>
              <w:jc w:val="center"/>
              <w:rPr>
                <w:color w:val="000000"/>
                <w:sz w:val="20"/>
              </w:rPr>
            </w:pPr>
            <w:r>
              <w:rPr>
                <w:color w:val="000000"/>
                <w:sz w:val="20"/>
              </w:rPr>
              <w:t>0.963</w:t>
            </w:r>
          </w:p>
        </w:tc>
        <w:tc>
          <w:tcPr>
            <w:tcW w:w="939" w:type="dxa"/>
            <w:tcBorders>
              <w:top w:val="nil"/>
              <w:left w:val="nil"/>
              <w:bottom w:val="single" w:sz="4" w:space="0" w:color="auto"/>
              <w:right w:val="single" w:sz="4" w:space="0" w:color="auto"/>
            </w:tcBorders>
            <w:shd w:val="clear" w:color="auto" w:fill="auto"/>
            <w:noWrap/>
            <w:vAlign w:val="center"/>
            <w:hideMark/>
          </w:tcPr>
          <w:p w14:paraId="68A51A4B" w14:textId="65422087" w:rsidR="003A0478" w:rsidRPr="00647524" w:rsidRDefault="003A0478" w:rsidP="003A0478">
            <w:pPr>
              <w:jc w:val="center"/>
              <w:rPr>
                <w:color w:val="000000"/>
                <w:sz w:val="20"/>
              </w:rPr>
            </w:pPr>
            <w:r>
              <w:rPr>
                <w:color w:val="000000"/>
                <w:sz w:val="20"/>
              </w:rPr>
              <w:t>0.920</w:t>
            </w:r>
          </w:p>
        </w:tc>
      </w:tr>
    </w:tbl>
    <w:p w14:paraId="5EA4D7A2" w14:textId="77777777" w:rsidR="0036453F" w:rsidRDefault="00ED5F9E" w:rsidP="005F5E55">
      <w:pPr>
        <w:pStyle w:val="FootnoteText"/>
      </w:pPr>
      <w:r>
        <w:t xml:space="preserve">NOTE: </w:t>
      </w:r>
      <w:r w:rsidR="00D82EB1">
        <w:t>After sampling for BPS:12/17, t</w:t>
      </w:r>
      <w:r>
        <w:t>hree cases were determined to be deceased, and have been removed from the power calculations.</w:t>
      </w:r>
      <w:r w:rsidR="00875689">
        <w:t xml:space="preserve"> In addition, this table does not include 30 cases that were excluded based on matching to the OFAC SDN list.</w:t>
      </w:r>
    </w:p>
    <w:p w14:paraId="2B4D73EF" w14:textId="532C1EC2" w:rsidR="0036453F" w:rsidRDefault="0036453F" w:rsidP="0036453F">
      <w:pPr>
        <w:spacing w:before="120" w:after="120"/>
        <w:rPr>
          <w:szCs w:val="24"/>
        </w:rPr>
      </w:pPr>
      <w:r>
        <w:rPr>
          <w:szCs w:val="24"/>
        </w:rPr>
        <w:t>The final three columns of table 11 show how</w:t>
      </w:r>
      <w:r w:rsidRPr="009D0F99">
        <w:rPr>
          <w:szCs w:val="24"/>
        </w:rPr>
        <w:t xml:space="preserve"> the power estimates vary depending upon the assumed values of the underlying </w:t>
      </w:r>
      <w:r>
        <w:rPr>
          <w:szCs w:val="24"/>
        </w:rPr>
        <w:t xml:space="preserve">absolute bias measures, and the third to last column specifically shows the worst case </w:t>
      </w:r>
      <w:r>
        <w:rPr>
          <w:szCs w:val="24"/>
        </w:rPr>
        <w:lastRenderedPageBreak/>
        <w:t>scenario where the bias measures are</w:t>
      </w:r>
      <w:r w:rsidRPr="009D0F99">
        <w:rPr>
          <w:szCs w:val="24"/>
        </w:rPr>
        <w:t xml:space="preserve"> 50 percent.</w:t>
      </w:r>
      <w:r>
        <w:rPr>
          <w:szCs w:val="24"/>
        </w:rPr>
        <w:t xml:space="preserve"> The overall control sample size is driven by sector group C which has the lowest available sample, and for some bias domains we may need to combine sectors C and D for analysis purposes. </w:t>
      </w:r>
      <w:r w:rsidRPr="009D0F99">
        <w:rPr>
          <w:szCs w:val="24"/>
        </w:rPr>
        <w:t xml:space="preserve">Given the sensitivity of power estimates to assumptions regarding the underlying </w:t>
      </w:r>
      <w:r>
        <w:rPr>
          <w:szCs w:val="24"/>
        </w:rPr>
        <w:t>treatment effect</w:t>
      </w:r>
      <w:r w:rsidRPr="009D0F99">
        <w:rPr>
          <w:szCs w:val="24"/>
        </w:rPr>
        <w:t xml:space="preserve">, there appears to be sufficient power to support the proposed calibration experiment across a wide range of possible </w:t>
      </w:r>
      <w:r>
        <w:rPr>
          <w:szCs w:val="24"/>
        </w:rPr>
        <w:t>scenarios.</w:t>
      </w:r>
    </w:p>
    <w:p w14:paraId="4BB6DF12" w14:textId="1FE0881B" w:rsidR="001F2A73" w:rsidRPr="009D0F99" w:rsidRDefault="006B4CEB" w:rsidP="0036453F">
      <w:pPr>
        <w:spacing w:before="120" w:after="120"/>
        <w:rPr>
          <w:szCs w:val="24"/>
        </w:rPr>
      </w:pPr>
      <w:r>
        <w:rPr>
          <w:szCs w:val="24"/>
        </w:rPr>
        <w:t>After t</w:t>
      </w:r>
      <w:r w:rsidR="001F2A73">
        <w:rPr>
          <w:szCs w:val="24"/>
        </w:rPr>
        <w:t>he assignment of sample members to treatment and control groups</w:t>
      </w:r>
      <w:r w:rsidR="00546E88">
        <w:rPr>
          <w:szCs w:val="24"/>
        </w:rPr>
        <w:t>,</w:t>
      </w:r>
      <w:r w:rsidR="001F2A73">
        <w:rPr>
          <w:szCs w:val="24"/>
        </w:rPr>
        <w:t xml:space="preserve"> </w:t>
      </w:r>
      <w:r>
        <w:rPr>
          <w:szCs w:val="24"/>
        </w:rPr>
        <w:t xml:space="preserve">we </w:t>
      </w:r>
      <w:r w:rsidR="001F2A73">
        <w:rPr>
          <w:szCs w:val="24"/>
        </w:rPr>
        <w:t xml:space="preserve">will </w:t>
      </w:r>
      <w:r>
        <w:rPr>
          <w:szCs w:val="24"/>
        </w:rPr>
        <w:t>construct</w:t>
      </w:r>
      <w:r w:rsidR="001F2A73">
        <w:rPr>
          <w:szCs w:val="24"/>
        </w:rPr>
        <w:t xml:space="preserve"> the </w:t>
      </w:r>
      <w:r>
        <w:rPr>
          <w:szCs w:val="24"/>
        </w:rPr>
        <w:t xml:space="preserve">two </w:t>
      </w:r>
      <w:r w:rsidR="001F2A73">
        <w:rPr>
          <w:szCs w:val="24"/>
        </w:rPr>
        <w:t>calibration samples</w:t>
      </w:r>
      <w:r>
        <w:rPr>
          <w:szCs w:val="24"/>
        </w:rPr>
        <w:t xml:space="preserve">: 1) previous respondents and 2) double </w:t>
      </w:r>
      <w:proofErr w:type="spellStart"/>
      <w:r>
        <w:rPr>
          <w:szCs w:val="24"/>
        </w:rPr>
        <w:t>nonrespondents</w:t>
      </w:r>
      <w:proofErr w:type="spellEnd"/>
      <w:r w:rsidR="001F2A73">
        <w:rPr>
          <w:szCs w:val="24"/>
        </w:rPr>
        <w:t xml:space="preserve">. </w:t>
      </w:r>
      <w:r w:rsidR="001F2A73" w:rsidRPr="009D0F99">
        <w:rPr>
          <w:szCs w:val="24"/>
        </w:rPr>
        <w:t xml:space="preserve">The calibration sample </w:t>
      </w:r>
      <w:r>
        <w:rPr>
          <w:szCs w:val="24"/>
        </w:rPr>
        <w:t xml:space="preserve">of </w:t>
      </w:r>
      <w:r w:rsidRPr="009D0F99">
        <w:rPr>
          <w:szCs w:val="24"/>
        </w:rPr>
        <w:t>previous respondent</w:t>
      </w:r>
      <w:r>
        <w:rPr>
          <w:szCs w:val="24"/>
        </w:rPr>
        <w:t>s</w:t>
      </w:r>
      <w:r w:rsidRPr="009D0F99">
        <w:rPr>
          <w:szCs w:val="24"/>
        </w:rPr>
        <w:t xml:space="preserve"> </w:t>
      </w:r>
      <w:r>
        <w:rPr>
          <w:szCs w:val="24"/>
        </w:rPr>
        <w:t>(</w:t>
      </w:r>
      <w:r w:rsidR="007C69D1">
        <w:rPr>
          <w:szCs w:val="24"/>
        </w:rPr>
        <w:t>n=</w:t>
      </w:r>
      <w:r>
        <w:rPr>
          <w:szCs w:val="24"/>
        </w:rPr>
        <w:t>2,97</w:t>
      </w:r>
      <w:r w:rsidR="004B1627">
        <w:rPr>
          <w:szCs w:val="24"/>
        </w:rPr>
        <w:t>0</w:t>
      </w:r>
      <w:r>
        <w:rPr>
          <w:szCs w:val="24"/>
        </w:rPr>
        <w:t xml:space="preserve">) </w:t>
      </w:r>
      <w:r w:rsidR="001F2A73" w:rsidRPr="009D0F99">
        <w:rPr>
          <w:szCs w:val="24"/>
        </w:rPr>
        <w:t>will be random</w:t>
      </w:r>
      <w:r w:rsidR="001F2A73">
        <w:rPr>
          <w:szCs w:val="24"/>
        </w:rPr>
        <w:t>ly</w:t>
      </w:r>
      <w:r w:rsidR="001F2A73" w:rsidRPr="009D0F99">
        <w:rPr>
          <w:szCs w:val="24"/>
        </w:rPr>
        <w:t xml:space="preserve"> split into two</w:t>
      </w:r>
      <w:r w:rsidR="0036453F">
        <w:rPr>
          <w:szCs w:val="24"/>
        </w:rPr>
        <w:t xml:space="preserve"> </w:t>
      </w:r>
      <w:r w:rsidR="001F2A73" w:rsidRPr="009D0F99">
        <w:rPr>
          <w:szCs w:val="24"/>
        </w:rPr>
        <w:t>groups</w:t>
      </w:r>
      <w:r w:rsidR="004B1627">
        <w:rPr>
          <w:szCs w:val="24"/>
        </w:rPr>
        <w:t>, with</w:t>
      </w:r>
      <w:r w:rsidR="001F2A73">
        <w:rPr>
          <w:szCs w:val="24"/>
        </w:rPr>
        <w:t xml:space="preserve"> 1,486 sample members</w:t>
      </w:r>
      <w:r w:rsidR="004B1627">
        <w:rPr>
          <w:szCs w:val="24"/>
        </w:rPr>
        <w:t xml:space="preserve"> in the treatment group and 1,484 in the control group</w:t>
      </w:r>
      <w:r w:rsidR="004B1627">
        <w:rPr>
          <w:rStyle w:val="FootnoteReference"/>
        </w:rPr>
        <w:footnoteReference w:id="10"/>
      </w:r>
      <w:r w:rsidR="001F2A73" w:rsidRPr="009D0F99">
        <w:rPr>
          <w:szCs w:val="24"/>
        </w:rPr>
        <w:t>.</w:t>
      </w:r>
      <w:r w:rsidR="00F52E30">
        <w:rPr>
          <w:szCs w:val="24"/>
        </w:rPr>
        <w:t xml:space="preserve"> </w:t>
      </w:r>
      <w:r w:rsidR="001F2A73" w:rsidRPr="009D0F99">
        <w:rPr>
          <w:szCs w:val="24"/>
        </w:rPr>
        <w:t>One group will receive a $10 pre-paid offer while the other will not receive the</w:t>
      </w:r>
      <w:r w:rsidR="00546E88">
        <w:rPr>
          <w:szCs w:val="24"/>
        </w:rPr>
        <w:t xml:space="preserve"> pre-paid</w:t>
      </w:r>
      <w:r w:rsidR="001F2A73" w:rsidRPr="009D0F99">
        <w:rPr>
          <w:szCs w:val="24"/>
        </w:rPr>
        <w:t xml:space="preserve"> offer.</w:t>
      </w:r>
      <w:r w:rsidR="001F2A73" w:rsidRPr="00DB7713">
        <w:rPr>
          <w:color w:val="00B0F0"/>
        </w:rPr>
        <w:t xml:space="preserve"> </w:t>
      </w:r>
      <w:r w:rsidR="001F2A73" w:rsidRPr="00DB7713">
        <w:rPr>
          <w:color w:val="000000" w:themeColor="text1"/>
        </w:rPr>
        <w:t>For a power of 0.80, a confidence level of 95 percent, and give</w:t>
      </w:r>
      <w:r w:rsidR="001F2A73">
        <w:rPr>
          <w:color w:val="000000" w:themeColor="text1"/>
        </w:rPr>
        <w:t>n</w:t>
      </w:r>
      <w:r w:rsidR="001F2A73" w:rsidRPr="00DB7713">
        <w:rPr>
          <w:color w:val="000000" w:themeColor="text1"/>
        </w:rPr>
        <w:t xml:space="preserve"> </w:t>
      </w:r>
      <w:r w:rsidR="001F2A73">
        <w:rPr>
          <w:color w:val="000000" w:themeColor="text1"/>
        </w:rPr>
        <w:t xml:space="preserve">the sample </w:t>
      </w:r>
      <w:r w:rsidR="001F2A73" w:rsidRPr="00DB7713">
        <w:rPr>
          <w:color w:val="000000" w:themeColor="text1"/>
        </w:rPr>
        <w:t xml:space="preserve">within each condition, </w:t>
      </w:r>
      <w:r>
        <w:rPr>
          <w:color w:val="000000" w:themeColor="text1"/>
        </w:rPr>
        <w:t xml:space="preserve">the </w:t>
      </w:r>
      <w:r w:rsidR="001F2A73" w:rsidRPr="00DB7713">
        <w:rPr>
          <w:color w:val="000000" w:themeColor="text1"/>
        </w:rPr>
        <w:t xml:space="preserve">experiment </w:t>
      </w:r>
      <w:r w:rsidR="007C69D1">
        <w:rPr>
          <w:color w:val="000000" w:themeColor="text1"/>
        </w:rPr>
        <w:t xml:space="preserve">of pre-paid amounts should detect </w:t>
      </w:r>
      <w:r w:rsidR="001F2A73" w:rsidRPr="00DB7713">
        <w:rPr>
          <w:color w:val="000000" w:themeColor="text1"/>
        </w:rPr>
        <w:t xml:space="preserve">a </w:t>
      </w:r>
      <w:r w:rsidR="001F2A73">
        <w:rPr>
          <w:color w:val="000000" w:themeColor="text1"/>
        </w:rPr>
        <w:t>5</w:t>
      </w:r>
      <w:r w:rsidR="001F2A73" w:rsidRPr="00DB7713">
        <w:rPr>
          <w:color w:val="000000" w:themeColor="text1"/>
        </w:rPr>
        <w:t>.0 percent</w:t>
      </w:r>
      <w:r w:rsidR="007C69D1">
        <w:rPr>
          <w:color w:val="000000" w:themeColor="text1"/>
        </w:rPr>
        <w:t>age</w:t>
      </w:r>
      <w:r w:rsidR="001F2A73" w:rsidRPr="00DB7713">
        <w:rPr>
          <w:color w:val="000000" w:themeColor="text1"/>
        </w:rPr>
        <w:t xml:space="preserve"> point difference in response rate using Pearson’s chi-square</w:t>
      </w:r>
      <w:r w:rsidR="001F2A73" w:rsidRPr="00DB7713">
        <w:rPr>
          <w:rStyle w:val="FootnoteReference"/>
          <w:color w:val="000000" w:themeColor="text1"/>
        </w:rPr>
        <w:footnoteReference w:id="11"/>
      </w:r>
      <w:r w:rsidR="001F2A73" w:rsidRPr="00DB7713">
        <w:rPr>
          <w:color w:val="000000" w:themeColor="text1"/>
        </w:rPr>
        <w:t>.</w:t>
      </w:r>
      <w:r w:rsidR="001F2A73">
        <w:rPr>
          <w:color w:val="000000" w:themeColor="text1"/>
        </w:rPr>
        <w:t xml:space="preserve"> This power calculation assumes a two-sided test of proportions as we are uncertain of the effect of offering the pre-paid incentive. In addition, for the </w:t>
      </w:r>
      <w:r w:rsidR="007C69D1">
        <w:rPr>
          <w:color w:val="000000" w:themeColor="text1"/>
        </w:rPr>
        <w:t xml:space="preserve">power </w:t>
      </w:r>
      <w:r w:rsidR="001F2A73">
        <w:rPr>
          <w:color w:val="000000" w:themeColor="text1"/>
        </w:rPr>
        <w:t xml:space="preserve">calculation, an initial baseline response rate of 36.0 percent was selected </w:t>
      </w:r>
      <w:r w:rsidR="0083786A">
        <w:rPr>
          <w:color w:val="000000" w:themeColor="text1"/>
        </w:rPr>
        <w:t>given that this</w:t>
      </w:r>
      <w:r w:rsidR="001F2A73">
        <w:rPr>
          <w:color w:val="000000" w:themeColor="text1"/>
        </w:rPr>
        <w:t xml:space="preserve"> was the observed response rate after six weeks of data collection for the BPS:12/14 full scale study.</w:t>
      </w:r>
    </w:p>
    <w:p w14:paraId="64A6C660" w14:textId="69FDFBF4" w:rsidR="00F52E30" w:rsidRDefault="001F2A73" w:rsidP="000C6FE9">
      <w:pPr>
        <w:spacing w:before="120" w:after="120"/>
        <w:ind w:firstLine="720"/>
        <w:rPr>
          <w:color w:val="000000" w:themeColor="text1"/>
        </w:rPr>
      </w:pPr>
      <w:r w:rsidRPr="009D0F99">
        <w:rPr>
          <w:szCs w:val="24"/>
        </w:rPr>
        <w:t>Similarly</w:t>
      </w:r>
      <w:r w:rsidR="007C69D1">
        <w:rPr>
          <w:szCs w:val="24"/>
        </w:rPr>
        <w:t>, we will randomly split</w:t>
      </w:r>
      <w:r w:rsidRPr="009D0F99">
        <w:rPr>
          <w:szCs w:val="24"/>
        </w:rPr>
        <w:t xml:space="preserve"> the </w:t>
      </w:r>
      <w:r w:rsidR="007C69D1">
        <w:rPr>
          <w:szCs w:val="24"/>
        </w:rPr>
        <w:t xml:space="preserve">calibration sample of </w:t>
      </w:r>
      <w:r w:rsidRPr="009D0F99">
        <w:rPr>
          <w:szCs w:val="24"/>
        </w:rPr>
        <w:t xml:space="preserve">double </w:t>
      </w:r>
      <w:proofErr w:type="spellStart"/>
      <w:r w:rsidRPr="009D0F99">
        <w:rPr>
          <w:szCs w:val="24"/>
        </w:rPr>
        <w:t>nonrespondent</w:t>
      </w:r>
      <w:r w:rsidR="007C69D1">
        <w:rPr>
          <w:szCs w:val="24"/>
        </w:rPr>
        <w:t>s</w:t>
      </w:r>
      <w:proofErr w:type="spellEnd"/>
      <w:r w:rsidR="007C69D1">
        <w:rPr>
          <w:szCs w:val="24"/>
        </w:rPr>
        <w:t xml:space="preserve"> (n=8</w:t>
      </w:r>
      <w:r w:rsidR="004B1627">
        <w:rPr>
          <w:szCs w:val="24"/>
        </w:rPr>
        <w:t>69</w:t>
      </w:r>
      <w:r w:rsidR="007C69D1">
        <w:rPr>
          <w:szCs w:val="24"/>
        </w:rPr>
        <w:t>)</w:t>
      </w:r>
      <w:r w:rsidR="004B1627">
        <w:rPr>
          <w:rStyle w:val="FootnoteReference"/>
        </w:rPr>
        <w:footnoteReference w:id="12"/>
      </w:r>
      <w:r w:rsidRPr="009D0F99">
        <w:rPr>
          <w:szCs w:val="24"/>
        </w:rPr>
        <w:t xml:space="preserve"> into two groups where one group </w:t>
      </w:r>
      <w:r w:rsidR="004B1627">
        <w:rPr>
          <w:szCs w:val="24"/>
        </w:rPr>
        <w:t xml:space="preserve">(n=435) </w:t>
      </w:r>
      <w:r w:rsidRPr="009D0F99">
        <w:rPr>
          <w:szCs w:val="24"/>
        </w:rPr>
        <w:t>will receive a $30 baseline offer with an abbreviated interview</w:t>
      </w:r>
      <w:r w:rsidR="0083786A">
        <w:rPr>
          <w:szCs w:val="24"/>
        </w:rPr>
        <w:t>,</w:t>
      </w:r>
      <w:r w:rsidRPr="009D0F99">
        <w:rPr>
          <w:szCs w:val="24"/>
        </w:rPr>
        <w:t xml:space="preserve"> while the other </w:t>
      </w:r>
      <w:r w:rsidR="004B1627">
        <w:rPr>
          <w:szCs w:val="24"/>
        </w:rPr>
        <w:t xml:space="preserve">group (n=434) </w:t>
      </w:r>
      <w:r w:rsidR="0083786A">
        <w:rPr>
          <w:szCs w:val="24"/>
        </w:rPr>
        <w:t xml:space="preserve">will </w:t>
      </w:r>
      <w:r w:rsidRPr="009D0F99">
        <w:rPr>
          <w:szCs w:val="24"/>
        </w:rPr>
        <w:t>be offered the full interview</w:t>
      </w:r>
      <w:r w:rsidR="007C69D1">
        <w:rPr>
          <w:szCs w:val="24"/>
        </w:rPr>
        <w:t xml:space="preserve"> and a total of $75</w:t>
      </w:r>
      <w:r w:rsidRPr="009D0F99">
        <w:rPr>
          <w:szCs w:val="24"/>
        </w:rPr>
        <w:t>.</w:t>
      </w:r>
      <w:r>
        <w:rPr>
          <w:szCs w:val="24"/>
        </w:rPr>
        <w:t xml:space="preserve"> Using</w:t>
      </w:r>
      <w:r w:rsidRPr="00DB7713">
        <w:rPr>
          <w:color w:val="000000" w:themeColor="text1"/>
        </w:rPr>
        <w:t xml:space="preserve"> a power of 0.80, a confidence level of 95 percent, and give</w:t>
      </w:r>
      <w:r>
        <w:rPr>
          <w:color w:val="000000" w:themeColor="text1"/>
        </w:rPr>
        <w:t>n</w:t>
      </w:r>
      <w:r w:rsidRPr="00DB7713">
        <w:rPr>
          <w:color w:val="000000" w:themeColor="text1"/>
        </w:rPr>
        <w:t xml:space="preserve"> </w:t>
      </w:r>
      <w:r>
        <w:rPr>
          <w:color w:val="000000" w:themeColor="text1"/>
        </w:rPr>
        <w:t xml:space="preserve">sample available </w:t>
      </w:r>
      <w:r w:rsidRPr="00DB7713">
        <w:rPr>
          <w:color w:val="000000" w:themeColor="text1"/>
        </w:rPr>
        <w:t xml:space="preserve">within each condition, </w:t>
      </w:r>
      <w:r w:rsidR="007C69D1">
        <w:rPr>
          <w:color w:val="000000" w:themeColor="text1"/>
        </w:rPr>
        <w:t xml:space="preserve">the experiment among double </w:t>
      </w:r>
      <w:proofErr w:type="spellStart"/>
      <w:r w:rsidR="007C69D1">
        <w:rPr>
          <w:color w:val="000000" w:themeColor="text1"/>
        </w:rPr>
        <w:t>nonrespondents</w:t>
      </w:r>
      <w:proofErr w:type="spellEnd"/>
      <w:r w:rsidR="007C69D1">
        <w:rPr>
          <w:color w:val="000000" w:themeColor="text1"/>
        </w:rPr>
        <w:t xml:space="preserve"> should detect </w:t>
      </w:r>
      <w:r w:rsidRPr="00DB7713">
        <w:rPr>
          <w:color w:val="000000" w:themeColor="text1"/>
        </w:rPr>
        <w:t xml:space="preserve">a </w:t>
      </w:r>
      <w:r>
        <w:rPr>
          <w:color w:val="000000" w:themeColor="text1"/>
        </w:rPr>
        <w:t>5</w:t>
      </w:r>
      <w:r w:rsidRPr="00DB7713">
        <w:rPr>
          <w:color w:val="000000" w:themeColor="text1"/>
        </w:rPr>
        <w:t>.0 percent point difference in response rate using Pearson’s chi-square</w:t>
      </w:r>
      <w:r>
        <w:rPr>
          <w:color w:val="000000" w:themeColor="text1"/>
        </w:rPr>
        <w:t>.</w:t>
      </w:r>
      <w:r w:rsidR="007C69D1">
        <w:rPr>
          <w:color w:val="000000" w:themeColor="text1"/>
        </w:rPr>
        <w:t xml:space="preserve"> This </w:t>
      </w:r>
      <w:r w:rsidR="007C69D1">
        <w:rPr>
          <w:szCs w:val="24"/>
        </w:rPr>
        <w:t>power calculation assumes a two-sided test of proportions, as we have no prior data for which special protocol will perform better with respect to response rate.</w:t>
      </w:r>
      <w:r w:rsidR="00F52E30">
        <w:rPr>
          <w:szCs w:val="24"/>
        </w:rPr>
        <w:t xml:space="preserve"> </w:t>
      </w:r>
      <w:r>
        <w:rPr>
          <w:color w:val="000000" w:themeColor="text1"/>
        </w:rPr>
        <w:t>For this calculation</w:t>
      </w:r>
      <w:r w:rsidR="0083786A">
        <w:rPr>
          <w:color w:val="000000" w:themeColor="text1"/>
        </w:rPr>
        <w:t>,</w:t>
      </w:r>
      <w:r>
        <w:rPr>
          <w:color w:val="000000" w:themeColor="text1"/>
        </w:rPr>
        <w:t xml:space="preserve"> we assumed the six week response rate for the protocol with the lower response rate would be 5.0 percent.</w:t>
      </w:r>
      <w:r w:rsidR="00520736">
        <w:rPr>
          <w:color w:val="000000" w:themeColor="text1"/>
        </w:rPr>
        <w:t xml:space="preserve"> For a test between two proportions</w:t>
      </w:r>
      <w:r w:rsidR="000C6FE9">
        <w:rPr>
          <w:color w:val="000000" w:themeColor="text1"/>
        </w:rPr>
        <w:t>,</w:t>
      </w:r>
      <w:r w:rsidR="00520736">
        <w:rPr>
          <w:color w:val="000000" w:themeColor="text1"/>
        </w:rPr>
        <w:t xml:space="preserve"> the power to detect a difference is dependent on the initial</w:t>
      </w:r>
      <w:r w:rsidR="000C6FE9">
        <w:rPr>
          <w:color w:val="000000" w:themeColor="text1"/>
        </w:rPr>
        <w:t>ly</w:t>
      </w:r>
      <w:r w:rsidR="00520736">
        <w:rPr>
          <w:color w:val="000000" w:themeColor="text1"/>
        </w:rPr>
        <w:t xml:space="preserve"> assumed baseline response rate. In </w:t>
      </w:r>
      <w:r w:rsidR="00940B08">
        <w:rPr>
          <w:color w:val="000000" w:themeColor="text1"/>
        </w:rPr>
        <w:t>the proposed</w:t>
      </w:r>
      <w:r w:rsidR="00520736">
        <w:rPr>
          <w:color w:val="000000" w:themeColor="text1"/>
        </w:rPr>
        <w:t xml:space="preserve"> scenario, with a one-sided test, </w:t>
      </w:r>
      <w:r w:rsidR="00940B08">
        <w:rPr>
          <w:color w:val="000000" w:themeColor="text1"/>
        </w:rPr>
        <w:t>the</w:t>
      </w:r>
      <w:r w:rsidR="00520736">
        <w:rPr>
          <w:color w:val="000000" w:themeColor="text1"/>
        </w:rPr>
        <w:t xml:space="preserve"> baseline response rate would be the response rate for the approach with the lower response rate at six weeks. We assumed that this response rate would be 5% for power calculations. If the six week response rate differs from 5% then the power of the test to detect a 5% difference in response rates would fluctuate as shown in table 12 below.</w:t>
      </w:r>
    </w:p>
    <w:p w14:paraId="6509A334" w14:textId="17F87877" w:rsidR="001273CB" w:rsidRPr="00417DBA" w:rsidRDefault="00520736" w:rsidP="00417DBA">
      <w:pPr>
        <w:pStyle w:val="TableTitle"/>
        <w:spacing w:before="120" w:after="60"/>
        <w:ind w:left="994" w:hanging="994"/>
      </w:pPr>
      <w:r w:rsidRPr="002B537E">
        <w:t xml:space="preserve"> </w:t>
      </w:r>
      <w:bookmarkStart w:id="115" w:name="_Toc456167115"/>
      <w:r w:rsidRPr="002B537E">
        <w:t>Table 12.</w:t>
      </w:r>
      <w:r w:rsidR="002B537E">
        <w:t xml:space="preserve"> </w:t>
      </w:r>
      <w:r w:rsidRPr="002B537E">
        <w:t>Power to detect 5</w:t>
      </w:r>
      <w:r w:rsidR="002B537E">
        <w:t xml:space="preserve"> percent</w:t>
      </w:r>
      <w:r w:rsidRPr="002B537E">
        <w:t xml:space="preserve"> difference in response rate based on different baseline response rates</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370"/>
      </w:tblGrid>
      <w:tr w:rsidR="00417DBA" w:rsidRPr="00647524" w14:paraId="4EB3BDC9" w14:textId="77777777" w:rsidTr="00417DBA">
        <w:trPr>
          <w:trHeight w:val="144"/>
        </w:trPr>
        <w:tc>
          <w:tcPr>
            <w:tcW w:w="5000" w:type="pct"/>
            <w:gridSpan w:val="2"/>
            <w:shd w:val="clear" w:color="auto" w:fill="auto"/>
            <w:vAlign w:val="center"/>
          </w:tcPr>
          <w:p w14:paraId="15288645" w14:textId="12245C60" w:rsidR="00417DBA" w:rsidRPr="00647524" w:rsidRDefault="00417DBA" w:rsidP="002B537E">
            <w:pPr>
              <w:jc w:val="center"/>
              <w:rPr>
                <w:b/>
                <w:bCs/>
                <w:color w:val="000000"/>
                <w:sz w:val="20"/>
              </w:rPr>
            </w:pPr>
            <w:r w:rsidRPr="00647524">
              <w:rPr>
                <w:b/>
                <w:bCs/>
                <w:color w:val="000000"/>
                <w:sz w:val="20"/>
              </w:rPr>
              <w:t>Alpha</w:t>
            </w:r>
            <w:r>
              <w:rPr>
                <w:b/>
                <w:bCs/>
                <w:color w:val="000000"/>
                <w:sz w:val="20"/>
              </w:rPr>
              <w:t xml:space="preserve"> </w:t>
            </w:r>
            <w:r w:rsidRPr="00647524">
              <w:rPr>
                <w:b/>
                <w:bCs/>
                <w:color w:val="000000"/>
                <w:sz w:val="20"/>
              </w:rPr>
              <w:t>0.05</w:t>
            </w:r>
            <w:r>
              <w:rPr>
                <w:b/>
                <w:bCs/>
                <w:color w:val="000000"/>
                <w:sz w:val="20"/>
              </w:rPr>
              <w:t>, Sample Size per group = 435, Detectable Difference 5%</w:t>
            </w:r>
          </w:p>
        </w:tc>
      </w:tr>
      <w:tr w:rsidR="00520736" w:rsidRPr="00647524" w14:paraId="031CD5E9" w14:textId="77777777" w:rsidTr="001273CB">
        <w:trPr>
          <w:trHeight w:val="144"/>
        </w:trPr>
        <w:tc>
          <w:tcPr>
            <w:tcW w:w="2497" w:type="pct"/>
            <w:shd w:val="clear" w:color="000000" w:fill="D9D9D9"/>
            <w:vAlign w:val="center"/>
            <w:hideMark/>
          </w:tcPr>
          <w:p w14:paraId="3B67AEF0" w14:textId="1A98E0D0" w:rsidR="00520736" w:rsidRPr="00647524" w:rsidRDefault="00520736" w:rsidP="002B537E">
            <w:pPr>
              <w:jc w:val="center"/>
              <w:rPr>
                <w:b/>
                <w:bCs/>
                <w:color w:val="000000"/>
                <w:sz w:val="20"/>
              </w:rPr>
            </w:pPr>
            <w:r>
              <w:rPr>
                <w:b/>
                <w:bCs/>
                <w:color w:val="000000"/>
                <w:sz w:val="20"/>
              </w:rPr>
              <w:t>Assumed Response Rate</w:t>
            </w:r>
          </w:p>
        </w:tc>
        <w:tc>
          <w:tcPr>
            <w:tcW w:w="2503" w:type="pct"/>
            <w:shd w:val="clear" w:color="000000" w:fill="D9D9D9"/>
            <w:vAlign w:val="center"/>
            <w:hideMark/>
          </w:tcPr>
          <w:p w14:paraId="3BBED3F3" w14:textId="77DAF671" w:rsidR="00520736" w:rsidRPr="00647524" w:rsidRDefault="00520736" w:rsidP="002B537E">
            <w:pPr>
              <w:jc w:val="center"/>
              <w:rPr>
                <w:b/>
                <w:bCs/>
                <w:color w:val="000000"/>
                <w:sz w:val="20"/>
              </w:rPr>
            </w:pPr>
            <w:r w:rsidRPr="00647524">
              <w:rPr>
                <w:b/>
                <w:bCs/>
                <w:color w:val="000000"/>
                <w:sz w:val="20"/>
              </w:rPr>
              <w:t>Power</w:t>
            </w:r>
            <w:r>
              <w:rPr>
                <w:b/>
                <w:bCs/>
                <w:color w:val="000000"/>
                <w:sz w:val="20"/>
              </w:rPr>
              <w:t xml:space="preserve"> to Detect Difference</w:t>
            </w:r>
          </w:p>
        </w:tc>
      </w:tr>
      <w:tr w:rsidR="00520736" w:rsidRPr="00647524" w14:paraId="120521CB" w14:textId="77777777" w:rsidTr="001273CB">
        <w:trPr>
          <w:trHeight w:val="144"/>
        </w:trPr>
        <w:tc>
          <w:tcPr>
            <w:tcW w:w="2497" w:type="pct"/>
            <w:shd w:val="clear" w:color="auto" w:fill="auto"/>
            <w:vAlign w:val="center"/>
            <w:hideMark/>
          </w:tcPr>
          <w:p w14:paraId="044708CA" w14:textId="44442771" w:rsidR="00520736" w:rsidRPr="00647524" w:rsidRDefault="00520736" w:rsidP="002B537E">
            <w:pPr>
              <w:jc w:val="center"/>
              <w:rPr>
                <w:color w:val="000000"/>
                <w:sz w:val="20"/>
              </w:rPr>
            </w:pPr>
            <w:r>
              <w:rPr>
                <w:color w:val="000000"/>
                <w:sz w:val="20"/>
              </w:rPr>
              <w:t>1%</w:t>
            </w:r>
          </w:p>
        </w:tc>
        <w:tc>
          <w:tcPr>
            <w:tcW w:w="2503" w:type="pct"/>
            <w:shd w:val="clear" w:color="auto" w:fill="auto"/>
            <w:noWrap/>
            <w:vAlign w:val="center"/>
            <w:hideMark/>
          </w:tcPr>
          <w:p w14:paraId="2089321B" w14:textId="4ECE7A91" w:rsidR="00520736" w:rsidRPr="00647524" w:rsidRDefault="00520736" w:rsidP="002B537E">
            <w:pPr>
              <w:jc w:val="center"/>
              <w:rPr>
                <w:color w:val="000000"/>
                <w:sz w:val="20"/>
              </w:rPr>
            </w:pPr>
            <w:r>
              <w:rPr>
                <w:color w:val="000000"/>
                <w:sz w:val="20"/>
              </w:rPr>
              <w:t>98%</w:t>
            </w:r>
          </w:p>
        </w:tc>
      </w:tr>
      <w:tr w:rsidR="00520736" w:rsidRPr="00647524" w14:paraId="272FE009" w14:textId="77777777" w:rsidTr="001273CB">
        <w:trPr>
          <w:trHeight w:val="144"/>
        </w:trPr>
        <w:tc>
          <w:tcPr>
            <w:tcW w:w="2497" w:type="pct"/>
            <w:vAlign w:val="center"/>
          </w:tcPr>
          <w:p w14:paraId="4FE553FC" w14:textId="6409C2FB" w:rsidR="00520736" w:rsidRPr="00647524" w:rsidRDefault="00520736" w:rsidP="00520736">
            <w:pPr>
              <w:jc w:val="center"/>
              <w:rPr>
                <w:color w:val="000000"/>
                <w:sz w:val="20"/>
              </w:rPr>
            </w:pPr>
            <w:r>
              <w:rPr>
                <w:color w:val="000000"/>
                <w:sz w:val="20"/>
              </w:rPr>
              <w:t>5%</w:t>
            </w:r>
          </w:p>
        </w:tc>
        <w:tc>
          <w:tcPr>
            <w:tcW w:w="2503" w:type="pct"/>
            <w:vAlign w:val="center"/>
          </w:tcPr>
          <w:p w14:paraId="7824647C" w14:textId="6240E1CB" w:rsidR="00520736" w:rsidRPr="00647524" w:rsidRDefault="00520736" w:rsidP="00520736">
            <w:pPr>
              <w:jc w:val="center"/>
              <w:rPr>
                <w:color w:val="000000"/>
                <w:sz w:val="20"/>
              </w:rPr>
            </w:pPr>
            <w:r>
              <w:rPr>
                <w:color w:val="000000"/>
                <w:sz w:val="20"/>
              </w:rPr>
              <w:t>80%</w:t>
            </w:r>
          </w:p>
        </w:tc>
      </w:tr>
      <w:tr w:rsidR="00520736" w:rsidRPr="00647524" w14:paraId="369588B9" w14:textId="77777777" w:rsidTr="001273CB">
        <w:trPr>
          <w:trHeight w:val="144"/>
        </w:trPr>
        <w:tc>
          <w:tcPr>
            <w:tcW w:w="2497" w:type="pct"/>
            <w:vAlign w:val="center"/>
          </w:tcPr>
          <w:p w14:paraId="7E08C14D" w14:textId="658A0673" w:rsidR="00520736" w:rsidRPr="00647524" w:rsidRDefault="00520736" w:rsidP="00520736">
            <w:pPr>
              <w:jc w:val="center"/>
              <w:rPr>
                <w:color w:val="000000"/>
                <w:sz w:val="20"/>
              </w:rPr>
            </w:pPr>
            <w:r>
              <w:rPr>
                <w:color w:val="000000"/>
                <w:sz w:val="20"/>
              </w:rPr>
              <w:t>10%</w:t>
            </w:r>
          </w:p>
        </w:tc>
        <w:tc>
          <w:tcPr>
            <w:tcW w:w="2503" w:type="pct"/>
            <w:vAlign w:val="center"/>
          </w:tcPr>
          <w:p w14:paraId="7EE51CF9" w14:textId="6E230FC5" w:rsidR="00520736" w:rsidRPr="00647524" w:rsidRDefault="00520736" w:rsidP="00520736">
            <w:pPr>
              <w:jc w:val="center"/>
              <w:rPr>
                <w:color w:val="000000"/>
                <w:sz w:val="20"/>
              </w:rPr>
            </w:pPr>
            <w:r>
              <w:rPr>
                <w:color w:val="000000"/>
                <w:sz w:val="20"/>
              </w:rPr>
              <w:t>61%</w:t>
            </w:r>
          </w:p>
        </w:tc>
      </w:tr>
    </w:tbl>
    <w:p w14:paraId="0D59FF57" w14:textId="4B6BE6BE" w:rsidR="00447B9E" w:rsidRPr="00447B9E" w:rsidRDefault="00447B9E" w:rsidP="00447B9E">
      <w:pPr>
        <w:pStyle w:val="Heading3"/>
        <w:rPr>
          <w:b w:val="0"/>
          <w:bCs w:val="0"/>
          <w:i/>
          <w:iCs/>
        </w:rPr>
      </w:pPr>
      <w:bookmarkStart w:id="116" w:name="_Toc459815572"/>
      <w:r w:rsidRPr="00447B9E">
        <w:rPr>
          <w:b w:val="0"/>
          <w:bCs w:val="0"/>
          <w:i/>
          <w:iCs/>
          <w:sz w:val="22"/>
          <w:szCs w:val="22"/>
        </w:rPr>
        <w:t>BPS:12 PETS Pilot Collection</w:t>
      </w:r>
      <w:bookmarkEnd w:id="116"/>
    </w:p>
    <w:p w14:paraId="61FD2A2A" w14:textId="7C6412A9" w:rsidR="00F52E30" w:rsidRDefault="00570838" w:rsidP="00B14EAC">
      <w:pPr>
        <w:pStyle w:val="BodyTextnoindent0"/>
        <w:spacing w:line="240" w:lineRule="auto"/>
      </w:pPr>
      <w:r>
        <w:t xml:space="preserve">The BPS:12/17 transcript collection provides an opportunity to test procedures and methods, particularly those associated with data that can be obtained from both interview and transcript sources. A </w:t>
      </w:r>
      <w:r w:rsidR="005167EF">
        <w:t xml:space="preserve">pilot </w:t>
      </w:r>
      <w:r>
        <w:t xml:space="preserve">transcript collection, limited to respondents to the BPS:12/17 pilot test interview, offers an opportunity to compare </w:t>
      </w:r>
      <w:r w:rsidR="0083786A">
        <w:t xml:space="preserve">transcript records with participants’ </w:t>
      </w:r>
      <w:r>
        <w:t>responses to interview questions about remedial and math course-taking</w:t>
      </w:r>
      <w:r w:rsidR="0083786A">
        <w:t>. T</w:t>
      </w:r>
      <w:r>
        <w:t xml:space="preserve">he results </w:t>
      </w:r>
      <w:r w:rsidR="00B14EAC">
        <w:t xml:space="preserve">will inform </w:t>
      </w:r>
      <w:r>
        <w:t xml:space="preserve">development of interview questions and </w:t>
      </w:r>
      <w:r w:rsidR="0083786A">
        <w:t>evaluation</w:t>
      </w:r>
      <w:r>
        <w:t xml:space="preserve"> of </w:t>
      </w:r>
      <w:r w:rsidR="0083786A">
        <w:t xml:space="preserve">what are the </w:t>
      </w:r>
      <w:r>
        <w:t xml:space="preserve">preferred sources for </w:t>
      </w:r>
      <w:r w:rsidR="00B14EAC">
        <w:t xml:space="preserve">derived variables for the released </w:t>
      </w:r>
      <w:r>
        <w:t>data. The BPS:12/17 interview included questions about remedial courses, a separate question asking about completion of specific math topics (e.g. pre-college algebra</w:t>
      </w:r>
      <w:r w:rsidR="0083786A">
        <w:t xml:space="preserve"> or</w:t>
      </w:r>
      <w:r>
        <w:t xml:space="preserve"> calculus), and about credits earned through pre-enrollment non-course activities (e.g. credit for military service or work experience). The transcripts collected for pilot test interview respondents will be reviewed </w:t>
      </w:r>
      <w:r>
        <w:lastRenderedPageBreak/>
        <w:t>and data will be collected exclusively for the analysis of these specific questions</w:t>
      </w:r>
      <w:r w:rsidR="00CB78F3">
        <w:t xml:space="preserve"> and </w:t>
      </w:r>
      <w:r>
        <w:t>for comparison of interview responses to data found on transcripts</w:t>
      </w:r>
      <w:r w:rsidR="00CB78F3">
        <w:t>. C</w:t>
      </w:r>
      <w:r>
        <w:t>omprehensive transcript keying and coding will not be performed.</w:t>
      </w:r>
    </w:p>
    <w:p w14:paraId="03AE73AB" w14:textId="6D153773" w:rsidR="005E17C4" w:rsidRPr="00570838" w:rsidRDefault="005E17C4" w:rsidP="00CF1337">
      <w:pPr>
        <w:pStyle w:val="Heading2"/>
        <w:spacing w:line="240" w:lineRule="auto"/>
        <w:rPr>
          <w:sz w:val="22"/>
          <w:szCs w:val="24"/>
        </w:rPr>
      </w:pPr>
      <w:bookmarkStart w:id="117" w:name="_Toc174183429"/>
      <w:bookmarkStart w:id="118" w:name="_Toc174435838"/>
      <w:bookmarkStart w:id="119" w:name="_Toc175106865"/>
      <w:bookmarkStart w:id="120" w:name="_Toc179362241"/>
      <w:bookmarkStart w:id="121" w:name="_Toc281573449"/>
      <w:bookmarkStart w:id="122" w:name="_Toc322354457"/>
      <w:bookmarkStart w:id="123" w:name="_Toc370482434"/>
      <w:bookmarkStart w:id="124" w:name="_Toc459815573"/>
      <w:bookmarkStart w:id="125" w:name="_Toc174182946"/>
      <w:bookmarkStart w:id="126" w:name="_Toc174437466"/>
      <w:bookmarkEnd w:id="63"/>
      <w:r w:rsidRPr="00570838">
        <w:rPr>
          <w:sz w:val="22"/>
          <w:szCs w:val="24"/>
        </w:rPr>
        <w:t>Reviewing Statisticians and Individuals Responsible for Designing and Conducting the Study</w:t>
      </w:r>
      <w:bookmarkEnd w:id="117"/>
      <w:bookmarkEnd w:id="118"/>
      <w:bookmarkEnd w:id="119"/>
      <w:bookmarkEnd w:id="120"/>
      <w:bookmarkEnd w:id="121"/>
      <w:bookmarkEnd w:id="122"/>
      <w:bookmarkEnd w:id="123"/>
      <w:bookmarkEnd w:id="124"/>
    </w:p>
    <w:p w14:paraId="5EA53BC0" w14:textId="77777777" w:rsidR="00083498" w:rsidRDefault="00C0770C" w:rsidP="005167EF">
      <w:pPr>
        <w:pStyle w:val="BodyTextnoindent0"/>
        <w:spacing w:before="0" w:line="240" w:lineRule="auto"/>
      </w:pPr>
      <w:bookmarkStart w:id="127" w:name="_Toc370482435"/>
      <w:bookmarkStart w:id="128" w:name="_Toc174183430"/>
      <w:bookmarkStart w:id="129" w:name="_Toc174435839"/>
      <w:bookmarkStart w:id="130" w:name="_Toc175106866"/>
      <w:bookmarkStart w:id="131" w:name="_Toc179362242"/>
      <w:bookmarkStart w:id="132" w:name="_Toc281573450"/>
      <w:bookmarkStart w:id="133" w:name="_Toc322354458"/>
      <w:r>
        <w:t xml:space="preserve">The study is being conducted by the National Center for Education Statistics (NCES), </w:t>
      </w:r>
      <w:r w:rsidR="00CB78F3">
        <w:t xml:space="preserve">within the </w:t>
      </w:r>
      <w:r>
        <w:t>U.S. Department of Education. The fo</w:t>
      </w:r>
      <w:r w:rsidR="00454678">
        <w:t>llowing statisticians at NCES ar</w:t>
      </w:r>
      <w:r>
        <w:t>e responsible for the statistical aspects of the study:</w:t>
      </w:r>
      <w:r w:rsidRPr="00DB3D8E">
        <w:t xml:space="preserve"> Dr. </w:t>
      </w:r>
      <w:r>
        <w:t>David Richards, Dr. T</w:t>
      </w:r>
      <w:r w:rsidRPr="00DB3D8E">
        <w:t xml:space="preserve">racy Hunt-White, </w:t>
      </w:r>
      <w:r>
        <w:t xml:space="preserve">Mr. </w:t>
      </w:r>
      <w:r w:rsidRPr="00DB3D8E">
        <w:t xml:space="preserve">Ted Socha, Dr. Sean Simone, </w:t>
      </w:r>
      <w:r>
        <w:t xml:space="preserve">Dr. Elise Christopher, Dr. Gail Mulligan, Dr. Chris Chapman, and Dr. Marilyn </w:t>
      </w:r>
      <w:proofErr w:type="spellStart"/>
      <w:r>
        <w:t>Seastrom</w:t>
      </w:r>
      <w:proofErr w:type="spellEnd"/>
      <w:r>
        <w:t xml:space="preserve">. NCES’s prime contractor for BPS:12/17 is RTI International. The following staff at RTI are working on the statistical aspects of the study design: Mr. Jason Hill, Dr. David Wilson, Dr. Jennifer Wine, Mr. Darryl Cooney, Dr. Emilia </w:t>
      </w:r>
      <w:proofErr w:type="spellStart"/>
      <w:r>
        <w:t>Peytcheva</w:t>
      </w:r>
      <w:proofErr w:type="spellEnd"/>
      <w:r>
        <w:t xml:space="preserve">, Ms. Nicole </w:t>
      </w:r>
      <w:proofErr w:type="spellStart"/>
      <w:r>
        <w:t>Ifill</w:t>
      </w:r>
      <w:proofErr w:type="spellEnd"/>
      <w:r>
        <w:t xml:space="preserve">, Dr. T. Austin Lacy, Mr. Peter Siegel, and Dr. Andy </w:t>
      </w:r>
      <w:proofErr w:type="spellStart"/>
      <w:r>
        <w:t>Peytchev</w:t>
      </w:r>
      <w:proofErr w:type="spellEnd"/>
      <w:r>
        <w:t>.</w:t>
      </w:r>
      <w:r w:rsidR="00CB78F3" w:rsidRPr="00CB78F3">
        <w:t xml:space="preserve"> </w:t>
      </w:r>
      <w:r w:rsidR="00CB78F3">
        <w:t xml:space="preserve">Principal professional RTI staff, not listed above, who are assigned to the study include: Mr. Jeff Franklin, Mr. Michael Bryan, Ms. Kristin Dudley, Dr. Alexandria Radford, Ms. Donna Anderson, Ms. Chris Rasmussen, and Ms. Tiffany Mattox. </w:t>
      </w:r>
      <w:r>
        <w:t>Subcontractors include Coffey Consulting</w:t>
      </w:r>
      <w:r w:rsidR="00CB78F3">
        <w:t>;</w:t>
      </w:r>
      <w:r>
        <w:t xml:space="preserve"> HR Directions</w:t>
      </w:r>
      <w:r w:rsidR="00CB78F3">
        <w:t>;</w:t>
      </w:r>
      <w:r>
        <w:t xml:space="preserve"> </w:t>
      </w:r>
      <w:proofErr w:type="spellStart"/>
      <w:r>
        <w:t>Kforce</w:t>
      </w:r>
      <w:proofErr w:type="spellEnd"/>
      <w:r>
        <w:t xml:space="preserve"> Government Solutions, Inc.; Research Support Services; and Strategic Communications, Ltd.</w:t>
      </w:r>
    </w:p>
    <w:p w14:paraId="7FE81B76" w14:textId="1DA5045E" w:rsidR="000C6FE9" w:rsidRDefault="000C6FE9" w:rsidP="005167EF">
      <w:pPr>
        <w:pStyle w:val="BodyTextnoindent0"/>
        <w:spacing w:before="0" w:line="240" w:lineRule="auto"/>
      </w:pPr>
    </w:p>
    <w:p w14:paraId="78C50CC7" w14:textId="67738B33" w:rsidR="005E17C4" w:rsidRPr="00570838" w:rsidRDefault="002A74DE" w:rsidP="00A8796F">
      <w:pPr>
        <w:pStyle w:val="Heading1"/>
        <w:keepNext w:val="0"/>
        <w:widowControl w:val="0"/>
        <w:spacing w:before="120"/>
        <w:rPr>
          <w:sz w:val="22"/>
          <w:szCs w:val="16"/>
        </w:rPr>
      </w:pPr>
      <w:bookmarkStart w:id="134" w:name="_Toc459815574"/>
      <w:bookmarkEnd w:id="127"/>
      <w:bookmarkEnd w:id="128"/>
      <w:bookmarkEnd w:id="129"/>
      <w:bookmarkEnd w:id="130"/>
      <w:bookmarkEnd w:id="131"/>
      <w:bookmarkEnd w:id="132"/>
      <w:bookmarkEnd w:id="133"/>
      <w:r w:rsidRPr="00570838">
        <w:rPr>
          <w:sz w:val="22"/>
          <w:szCs w:val="16"/>
        </w:rPr>
        <w:t>References</w:t>
      </w:r>
      <w:bookmarkEnd w:id="134"/>
    </w:p>
    <w:bookmarkEnd w:id="125"/>
    <w:bookmarkEnd w:id="126"/>
    <w:p w14:paraId="176E2148" w14:textId="5D4A6438" w:rsidR="00C0770C" w:rsidRDefault="00C0770C" w:rsidP="00A8796F">
      <w:pPr>
        <w:pStyle w:val="Biblio"/>
        <w:keepLines w:val="0"/>
        <w:widowControl w:val="0"/>
        <w:tabs>
          <w:tab w:val="left" w:pos="3420"/>
        </w:tabs>
        <w:spacing w:before="120" w:after="120"/>
      </w:pPr>
      <w:r>
        <w:t>Becker, G.S. (1975). Human Capital: A Theoretical and Empirical Analysis, With Special Reference to Education. 2nd ed. New York: Columbia University Press.</w:t>
      </w:r>
    </w:p>
    <w:p w14:paraId="76FF85F1" w14:textId="77777777" w:rsidR="00C0770C" w:rsidRPr="003916E3" w:rsidRDefault="00C0770C" w:rsidP="00A8796F">
      <w:pPr>
        <w:pStyle w:val="Biblio"/>
        <w:keepLines w:val="0"/>
        <w:widowControl w:val="0"/>
        <w:spacing w:before="120" w:after="120"/>
        <w:rPr>
          <w:noProof/>
        </w:rPr>
      </w:pPr>
      <w:r w:rsidRPr="003916E3">
        <w:rPr>
          <w:noProof/>
        </w:rPr>
        <w:t xml:space="preserve">Chromy, J.R. (1979). Sequential Sample Selection Methods. In </w:t>
      </w:r>
      <w:r w:rsidRPr="003916E3">
        <w:rPr>
          <w:i/>
          <w:noProof/>
        </w:rPr>
        <w:t>Proceedings of the Section on Survey Research Methods, American Statistical Association</w:t>
      </w:r>
      <w:r w:rsidRPr="003916E3">
        <w:rPr>
          <w:noProof/>
        </w:rPr>
        <w:t xml:space="preserve"> (pp. 401–406). Alexandria, VA: American Statistical Association.</w:t>
      </w:r>
    </w:p>
    <w:p w14:paraId="43C276FF" w14:textId="7023538B" w:rsidR="00C0770C" w:rsidRDefault="00C0770C" w:rsidP="00A8796F">
      <w:pPr>
        <w:pStyle w:val="Biblio"/>
        <w:keepLines w:val="0"/>
        <w:widowControl w:val="0"/>
        <w:tabs>
          <w:tab w:val="left" w:pos="3420"/>
        </w:tabs>
        <w:spacing w:before="120" w:after="120"/>
      </w:pPr>
      <w:r>
        <w:t>Folsom, R.E., Potter, F.J., &amp;</w:t>
      </w:r>
      <w:r w:rsidRPr="00AE34AC">
        <w:t xml:space="preserve"> Williams, S.R. (1987). Note</w:t>
      </w:r>
      <w:r w:rsidR="003600CF">
        <w:t xml:space="preserve">s </w:t>
      </w:r>
      <w:r w:rsidRPr="00AE34AC">
        <w:t xml:space="preserve">on a Composite Size Measure for Self-Weighting Samples in Multiple Domains. </w:t>
      </w:r>
      <w:r w:rsidRPr="00AE34AC">
        <w:rPr>
          <w:i/>
          <w:iCs/>
        </w:rPr>
        <w:t>Proceedings of the Section on Survey Research Methods of the American Statistical Association</w:t>
      </w:r>
      <w:r w:rsidRPr="00AE34AC">
        <w:t>, 792-796.</w:t>
      </w:r>
    </w:p>
    <w:p w14:paraId="165BE5A3" w14:textId="77777777" w:rsidR="00C0770C" w:rsidRDefault="00C0770C" w:rsidP="00A8796F">
      <w:pPr>
        <w:pStyle w:val="Biblio"/>
        <w:keepLines w:val="0"/>
        <w:widowControl w:val="0"/>
        <w:tabs>
          <w:tab w:val="left" w:pos="3420"/>
        </w:tabs>
        <w:spacing w:before="120" w:after="120"/>
      </w:pPr>
      <w:r w:rsidRPr="00C0770C">
        <w:t xml:space="preserve">Groves, Robert M.; </w:t>
      </w:r>
      <w:proofErr w:type="spellStart"/>
      <w:r w:rsidRPr="00C0770C">
        <w:t>Heeringa</w:t>
      </w:r>
      <w:proofErr w:type="spellEnd"/>
      <w:r w:rsidRPr="00C0770C">
        <w:t>, Steven G. Responsive design for household surveys: tools for actively controlling survey errors and costs. Journal of the Royal Statistical Society: Series A (Statistics in Society), July 2006, Volume 169, Issue 3, pages 439–457.</w:t>
      </w:r>
    </w:p>
    <w:p w14:paraId="4C71D0C2" w14:textId="0DC9D0C1" w:rsidR="00C0770C" w:rsidRPr="00A8796F" w:rsidRDefault="00C0770C" w:rsidP="00A8796F">
      <w:pPr>
        <w:widowControl w:val="0"/>
        <w:spacing w:before="120" w:after="120"/>
        <w:ind w:left="720" w:hanging="720"/>
        <w:rPr>
          <w:szCs w:val="24"/>
        </w:rPr>
      </w:pPr>
      <w:r w:rsidRPr="009426E5">
        <w:rPr>
          <w:szCs w:val="24"/>
        </w:rPr>
        <w:t xml:space="preserve">Little, R. J. and </w:t>
      </w:r>
      <w:proofErr w:type="spellStart"/>
      <w:r w:rsidRPr="009426E5">
        <w:rPr>
          <w:szCs w:val="24"/>
        </w:rPr>
        <w:t>Vartivarian</w:t>
      </w:r>
      <w:proofErr w:type="spellEnd"/>
      <w:r w:rsidRPr="009426E5">
        <w:rPr>
          <w:szCs w:val="24"/>
        </w:rPr>
        <w:t>, S. (2005). Does Weighting for Nonresponse Increase the Variance of Survey Means?. Statistics Canada, 31: 161-168.</w:t>
      </w:r>
    </w:p>
    <w:sectPr w:rsidR="00C0770C" w:rsidRPr="00A8796F" w:rsidSect="0078383A">
      <w:headerReference w:type="even" r:id="rId20"/>
      <w:headerReference w:type="default" r:id="rId21"/>
      <w:footerReference w:type="default" r:id="rId22"/>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63CA3" w14:textId="77777777" w:rsidR="00DE2F42" w:rsidRDefault="00DE2F42">
      <w:r>
        <w:separator/>
      </w:r>
    </w:p>
  </w:endnote>
  <w:endnote w:type="continuationSeparator" w:id="0">
    <w:p w14:paraId="32EF6D4A" w14:textId="77777777" w:rsidR="00DE2F42" w:rsidRDefault="00DE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ACDB" w14:textId="74737657" w:rsidR="001A4F84" w:rsidRDefault="001A4F84" w:rsidP="001C7180">
    <w:pPr>
      <w:pStyle w:val="NCESevenfooter"/>
      <w:tabs>
        <w:tab w:val="clear" w:pos="9360"/>
      </w:tabs>
      <w:jc w:val="center"/>
    </w:pPr>
    <w:r>
      <w:fldChar w:fldCharType="begin"/>
    </w:r>
    <w:r>
      <w:instrText xml:space="preserve"> PAGE   \* MERGEFORMAT </w:instrText>
    </w:r>
    <w:r>
      <w:fldChar w:fldCharType="separate"/>
    </w:r>
    <w:r w:rsidR="0036453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E34B5" w14:textId="77777777" w:rsidR="001A4F84" w:rsidRDefault="001A4F84">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79A8" w14:textId="5F4A2928" w:rsidR="001A4F84" w:rsidRDefault="001A4F84" w:rsidP="007061B3">
    <w:pPr>
      <w:pStyle w:val="NCESevenfooter"/>
      <w:tabs>
        <w:tab w:val="clear" w:pos="9360"/>
      </w:tabs>
      <w:jc w:val="center"/>
    </w:pPr>
    <w:r>
      <w:fldChar w:fldCharType="begin"/>
    </w:r>
    <w:r>
      <w:instrText xml:space="preserve"> PAGE   \* MERGEFORMAT </w:instrText>
    </w:r>
    <w:r>
      <w:fldChar w:fldCharType="separate"/>
    </w:r>
    <w:r w:rsidR="0036453F">
      <w:rPr>
        <w:noProof/>
      </w:rPr>
      <w:t>20</w:t>
    </w:r>
    <w:r>
      <w:rPr>
        <w:noProof/>
      </w:rPr>
      <w:fldChar w:fldCharType="end"/>
    </w:r>
  </w:p>
  <w:p w14:paraId="1FA1DD60" w14:textId="77777777" w:rsidR="001A4F84" w:rsidRDefault="001A4F84" w:rsidP="00E717BB">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9F76" w14:textId="76BBFFB9" w:rsidR="001A4F84" w:rsidRDefault="001A4F84" w:rsidP="00383836">
    <w:pPr>
      <w:pStyle w:val="NCESevenfooter"/>
      <w:tabs>
        <w:tab w:val="clear" w:pos="9360"/>
      </w:tabs>
      <w:jc w:val="center"/>
    </w:pPr>
    <w:r>
      <w:fldChar w:fldCharType="begin"/>
    </w:r>
    <w:r>
      <w:instrText xml:space="preserve"> PAGE   \* MERGEFORMAT </w:instrText>
    </w:r>
    <w:r>
      <w:fldChar w:fldCharType="separate"/>
    </w:r>
    <w:r w:rsidR="0036453F">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4017E" w14:textId="77777777" w:rsidR="00DE2F42" w:rsidRDefault="00DE2F42">
      <w:r>
        <w:separator/>
      </w:r>
    </w:p>
  </w:footnote>
  <w:footnote w:type="continuationSeparator" w:id="0">
    <w:p w14:paraId="61B25200" w14:textId="77777777" w:rsidR="00DE2F42" w:rsidRDefault="00DE2F42">
      <w:r>
        <w:continuationSeparator/>
      </w:r>
    </w:p>
  </w:footnote>
  <w:footnote w:id="1">
    <w:p w14:paraId="39BC5C0A" w14:textId="77777777" w:rsidR="001A4F84" w:rsidRDefault="001A4F84" w:rsidP="00C47264">
      <w:pPr>
        <w:pStyle w:val="FootnoteText"/>
      </w:pPr>
      <w:r>
        <w:rPr>
          <w:rStyle w:val="FootnoteReference"/>
        </w:rPr>
        <w:footnoteRef/>
      </w:r>
      <w:r>
        <w:t xml:space="preserve"> </w:t>
      </w:r>
      <w:r w:rsidRPr="004A68B4">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(SSIG) and the National Early Intervention Scholarship and Partnership (NEISP) programs.</w:t>
      </w:r>
    </w:p>
  </w:footnote>
  <w:footnote w:id="2">
    <w:p w14:paraId="0A23CB65" w14:textId="77777777" w:rsidR="001A4F84" w:rsidRPr="00384EC8" w:rsidRDefault="001A4F84" w:rsidP="00C47264">
      <w:pPr>
        <w:pStyle w:val="FootnoteText"/>
        <w:rPr>
          <w:szCs w:val="18"/>
        </w:rPr>
      </w:pPr>
      <w:r w:rsidRPr="00384EC8">
        <w:rPr>
          <w:rStyle w:val="FootnoteReference"/>
        </w:rPr>
        <w:footnoteRef/>
      </w:r>
      <w:r w:rsidRPr="00384EC8">
        <w:rPr>
          <w:szCs w:val="18"/>
        </w:rPr>
        <w:t xml:space="preserve"> A student identified by the institution on the enrollment list as an FTB who turns out to not be an FTB is a false positive.</w:t>
      </w:r>
    </w:p>
  </w:footnote>
  <w:footnote w:id="3">
    <w:p w14:paraId="5062F1C8" w14:textId="68711B94" w:rsidR="001A4F84" w:rsidRDefault="001A4F84">
      <w:pPr>
        <w:pStyle w:val="FootnoteText"/>
      </w:pPr>
      <w:r>
        <w:rPr>
          <w:rStyle w:val="FootnoteReference"/>
        </w:rPr>
        <w:footnoteRef/>
      </w:r>
      <w:r>
        <w:t xml:space="preserve"> Detailed information about matching to OFAC can be found in Part </w:t>
      </w:r>
      <w:proofErr w:type="gramStart"/>
      <w:r>
        <w:t>A</w:t>
      </w:r>
      <w:proofErr w:type="gramEnd"/>
      <w:r>
        <w:t xml:space="preserve"> section A.9.</w:t>
      </w:r>
    </w:p>
  </w:footnote>
  <w:footnote w:id="4">
    <w:p w14:paraId="77B42E0F" w14:textId="5DEDD02B" w:rsidR="001A4F84" w:rsidRDefault="001A4F84" w:rsidP="00120B0C">
      <w:pPr>
        <w:pStyle w:val="FootnoteText"/>
      </w:pPr>
      <w:r>
        <w:rPr>
          <w:rStyle w:val="FootnoteReference"/>
        </w:rPr>
        <w:footnoteRef/>
      </w:r>
      <w:r>
        <w:t xml:space="preserve"> This section addresses the following BPS terms of clearance: (1) 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roofErr w:type="gramStart"/>
      <w:r>
        <w:t>”;</w:t>
      </w:r>
      <w:proofErr w:type="gramEnd"/>
      <w:r>
        <w:t xml:space="preserve"> and (2) From OMB# 1850-0631 v.9: “Terms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footnote>
  <w:footnote w:id="5">
    <w:p w14:paraId="4FBBDC7E" w14:textId="77777777" w:rsidR="001A4F84" w:rsidRDefault="001A4F84" w:rsidP="00331231">
      <w:pPr>
        <w:pStyle w:val="FootnoteText"/>
      </w:pPr>
      <w:r>
        <w:rPr>
          <w:rStyle w:val="FootnoteReference"/>
        </w:rPr>
        <w:footnoteRef/>
      </w:r>
      <w:r>
        <w:t xml:space="preserve"> For the continuous variables, except for age, categories were formed based on quartiles.</w:t>
      </w:r>
    </w:p>
  </w:footnote>
  <w:footnote w:id="6">
    <w:p w14:paraId="28447E51" w14:textId="77777777" w:rsidR="001A4F84" w:rsidRDefault="001A4F84" w:rsidP="00486F2E">
      <w:pPr>
        <w:pStyle w:val="FootnoteText"/>
      </w:pPr>
      <w:r>
        <w:rPr>
          <w:rStyle w:val="FootnoteReference"/>
        </w:rPr>
        <w:footnoteRef/>
      </w:r>
      <w:r>
        <w:t xml:space="preserve"> Key variables will use imputed data to account for nonresponse in the base year data.</w:t>
      </w:r>
    </w:p>
  </w:footnote>
  <w:footnote w:id="7">
    <w:p w14:paraId="66AEBB9F" w14:textId="3319CC16" w:rsidR="001A4F84" w:rsidRPr="0078383A" w:rsidRDefault="001A4F84" w:rsidP="00486F2E">
      <w:pPr>
        <w:pStyle w:val="FootnoteText"/>
      </w:pPr>
      <w:r>
        <w:rPr>
          <w:rStyle w:val="FootnoteReference"/>
        </w:rPr>
        <w:footnoteRef/>
      </w:r>
      <w:r>
        <w:t xml:space="preserve"> These adjustments will help ensure that currently over-represented groups, high propensity/low importance cases, and very-difficult-to-convert </w:t>
      </w:r>
      <w:proofErr w:type="spellStart"/>
      <w:r>
        <w:t>nonrespondents</w:t>
      </w:r>
      <w:proofErr w:type="spellEnd"/>
      <w:r>
        <w:t xml:space="preserve"> are not included in the target set of </w:t>
      </w:r>
      <w:proofErr w:type="spellStart"/>
      <w:r w:rsidRPr="0078383A">
        <w:t>nonrespondents</w:t>
      </w:r>
      <w:proofErr w:type="spellEnd"/>
      <w:r w:rsidRPr="0078383A">
        <w:t>. The number of targeted cases will be determined by BPS staff</w:t>
      </w:r>
      <w:r w:rsidR="0036453F">
        <w:t xml:space="preserve"> </w:t>
      </w:r>
      <w:r w:rsidRPr="0078383A">
        <w:t>during the phased data collection and will be based on the overall and within sector distributions of importance scores.</w:t>
      </w:r>
    </w:p>
  </w:footnote>
  <w:footnote w:id="8">
    <w:p w14:paraId="6557F51E" w14:textId="791B92C1" w:rsidR="001A4F84" w:rsidRDefault="001A4F84">
      <w:pPr>
        <w:pStyle w:val="FootnoteText"/>
      </w:pPr>
      <w:r w:rsidRPr="0078383A">
        <w:rPr>
          <w:rStyle w:val="FootnoteReference"/>
        </w:rPr>
        <w:footnoteRef/>
      </w:r>
      <w:r w:rsidRPr="0078383A">
        <w:t xml:space="preserve"> </w:t>
      </w:r>
      <w:r w:rsidRPr="0078383A">
        <w:rPr>
          <w:rFonts w:asciiTheme="majorBidi" w:hAnsiTheme="majorBidi" w:cstheme="majorBidi"/>
          <w:szCs w:val="18"/>
        </w:rPr>
        <w:t>A prepaid check will be mailed to sample members who request it. Sample members can also open a PayPal account</w:t>
      </w:r>
      <w:r>
        <w:rPr>
          <w:rFonts w:asciiTheme="majorBidi" w:hAnsiTheme="majorBidi" w:cstheme="majorBidi"/>
          <w:szCs w:val="18"/>
        </w:rPr>
        <w:t xml:space="preserve"> when notified of the incentive. Any prepaid sample member who neither accepts the prepaid PayPal incentive nor check would receive the full incentive amount upon completion by the disbursement of their choice (i.e. check or PayPal).</w:t>
      </w:r>
    </w:p>
  </w:footnote>
  <w:footnote w:id="9">
    <w:p w14:paraId="0EE2E06C" w14:textId="142C3474" w:rsidR="001A4F84" w:rsidRDefault="001A4F84" w:rsidP="00A8796F">
      <w:pPr>
        <w:pStyle w:val="FootnoteText"/>
        <w:keepLines w:val="0"/>
        <w:widowControl w:val="0"/>
      </w:pPr>
      <w:r>
        <w:rPr>
          <w:rStyle w:val="FootnoteReference"/>
        </w:rPr>
        <w:footnoteRef/>
      </w:r>
      <w:r>
        <w:t xml:space="preserve"> </w:t>
      </w:r>
      <w:r w:rsidRPr="00464F52">
        <w:rPr>
          <w:rFonts w:asciiTheme="majorBidi" w:hAnsiTheme="majorBidi" w:cstheme="majorBidi"/>
          <w:szCs w:val="24"/>
        </w:rPr>
        <w:t xml:space="preserve">All double </w:t>
      </w:r>
      <w:proofErr w:type="spellStart"/>
      <w:r w:rsidRPr="00464F52">
        <w:rPr>
          <w:rFonts w:asciiTheme="majorBidi" w:hAnsiTheme="majorBidi" w:cstheme="majorBidi"/>
          <w:szCs w:val="24"/>
        </w:rPr>
        <w:t>nonrespondents</w:t>
      </w:r>
      <w:proofErr w:type="spellEnd"/>
      <w:r w:rsidRPr="00464F52">
        <w:rPr>
          <w:rFonts w:asciiTheme="majorBidi" w:hAnsiTheme="majorBidi" w:cstheme="majorBidi"/>
          <w:szCs w:val="24"/>
        </w:rPr>
        <w:t xml:space="preserve"> </w:t>
      </w:r>
      <w:r>
        <w:rPr>
          <w:rFonts w:asciiTheme="majorBidi" w:hAnsiTheme="majorBidi" w:cstheme="majorBidi"/>
          <w:szCs w:val="24"/>
        </w:rPr>
        <w:t xml:space="preserve">will be </w:t>
      </w:r>
      <w:r w:rsidRPr="00464F52">
        <w:rPr>
          <w:rFonts w:asciiTheme="majorBidi" w:hAnsiTheme="majorBidi" w:cstheme="majorBidi"/>
          <w:szCs w:val="24"/>
        </w:rPr>
        <w:t xml:space="preserve">offered the $10 pre-paid PayPal </w:t>
      </w:r>
      <w:r>
        <w:rPr>
          <w:rFonts w:asciiTheme="majorBidi" w:hAnsiTheme="majorBidi" w:cstheme="majorBidi"/>
          <w:szCs w:val="24"/>
        </w:rPr>
        <w:t>amount</w:t>
      </w:r>
      <w:r w:rsidRPr="00464F52">
        <w:rPr>
          <w:rFonts w:asciiTheme="majorBidi" w:hAnsiTheme="majorBidi" w:cstheme="majorBidi"/>
          <w:szCs w:val="24"/>
        </w:rPr>
        <w:t xml:space="preserve"> in an attempt to convert them t</w:t>
      </w:r>
      <w:r>
        <w:rPr>
          <w:rFonts w:asciiTheme="majorBidi" w:hAnsiTheme="majorBidi" w:cstheme="majorBidi"/>
          <w:szCs w:val="24"/>
        </w:rPr>
        <w:t xml:space="preserve">o respondents. </w:t>
      </w:r>
      <w:r w:rsidRPr="00164A9D">
        <w:t>For all monetary incentives, including prepayments, sample members have the option of receiving disbursements through PayPal or in the form of a check.</w:t>
      </w:r>
    </w:p>
  </w:footnote>
  <w:footnote w:id="10">
    <w:p w14:paraId="48CDB3C8" w14:textId="737B4F70" w:rsidR="001A4F84" w:rsidRDefault="001A4F84" w:rsidP="004B1627">
      <w:pPr>
        <w:pStyle w:val="FootnoteText"/>
      </w:pPr>
      <w:r>
        <w:rPr>
          <w:rStyle w:val="FootnoteReference"/>
        </w:rPr>
        <w:footnoteRef/>
      </w:r>
      <w:r>
        <w:t xml:space="preserve"> After 30 cases were excluded from the BPS</w:t>
      </w:r>
      <w:proofErr w:type="gramStart"/>
      <w:r>
        <w:t>:12</w:t>
      </w:r>
      <w:proofErr w:type="gramEnd"/>
      <w:r>
        <w:t xml:space="preserve">/17 sample to comply with OFAC sanctions, two cases that were originally assigned to the previous respondent control group were removed. </w:t>
      </w:r>
    </w:p>
  </w:footnote>
  <w:footnote w:id="11">
    <w:p w14:paraId="1C10F555" w14:textId="125A4120" w:rsidR="001A4F84" w:rsidRDefault="001A4F84" w:rsidP="00A8796F">
      <w:pPr>
        <w:pStyle w:val="FootnoteText"/>
        <w:keepLines w:val="0"/>
        <w:widowControl w:val="0"/>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2">
    <w:p w14:paraId="19A86F8C" w14:textId="01D663AF" w:rsidR="001A4F84" w:rsidRDefault="001A4F84" w:rsidP="004B1627">
      <w:pPr>
        <w:pStyle w:val="FootnoteText"/>
      </w:pPr>
      <w:r>
        <w:rPr>
          <w:rStyle w:val="FootnoteReference"/>
        </w:rPr>
        <w:footnoteRef/>
      </w:r>
      <w:r>
        <w:t xml:space="preserve"> After 30 cases were excluded from the BPS</w:t>
      </w:r>
      <w:proofErr w:type="gramStart"/>
      <w:r>
        <w:t>:12</w:t>
      </w:r>
      <w:proofErr w:type="gramEnd"/>
      <w:r>
        <w:t xml:space="preserve">/17 sample to comply with OFAC sanctions, one case that was originally assigned to the double </w:t>
      </w:r>
      <w:proofErr w:type="spellStart"/>
      <w:r>
        <w:t>nonrespondent</w:t>
      </w:r>
      <w:proofErr w:type="spellEnd"/>
      <w:r>
        <w:t xml:space="preserve"> treatment group that received the $75 offer for a full interview was removed</w:t>
      </w:r>
      <w:r w:rsidR="003645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047D" w14:textId="77777777" w:rsidR="001A4F84" w:rsidRDefault="001A4F84" w:rsidP="00683057">
    <w:pPr>
      <w:pStyle w:val="NCESheadereven"/>
      <w:pBdr>
        <w:bottom w:val="single" w:sz="4" w:space="1" w:color="auto"/>
      </w:pBdr>
    </w:pPr>
    <w:r w:rsidRPr="00683057">
      <w:t>B.</w:t>
    </w:r>
    <w:r>
      <w:t xml:space="preserve"> </w:t>
    </w:r>
    <w:r w:rsidRPr="00683057">
      <w:t>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658"/>
      <w:gridCol w:w="12307"/>
    </w:tblGrid>
    <w:tr w:rsidR="001A4F84" w:rsidRPr="007C3FAB" w14:paraId="16A27C03" w14:textId="77777777" w:rsidTr="00E717BB">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59E68163" w14:textId="77777777" w:rsidR="001A4F84" w:rsidRPr="004728E7" w:rsidRDefault="001A4F84" w:rsidP="00E717BB">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7AFEA8E6" w14:textId="77777777" w:rsidR="001A4F84" w:rsidRPr="004F5C07" w:rsidRDefault="001A4F84" w:rsidP="00E717BB">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fldSimple w:instr=" STYLEREF  \s 1 \* MERGEFORMAT ">
            <w:r>
              <w:rPr>
                <w:noProof/>
              </w:rPr>
              <w:t>B</w:t>
            </w:r>
          </w:fldSimple>
          <w:r w:rsidRPr="00CB4FF7">
            <w:t>.</w:t>
          </w:r>
          <w:r w:rsidRPr="00CB4FF7">
            <w:br/>
          </w:r>
          <w:fldSimple w:instr=" STYLEREF  &quot;Heading 1&quot; ">
            <w:r>
              <w:rPr>
                <w:noProof/>
              </w:rPr>
              <w:t>Collection of Information Employing Statistical Methods</w:t>
            </w:r>
          </w:fldSimple>
        </w:p>
      </w:tc>
    </w:tr>
  </w:tbl>
  <w:p w14:paraId="727C4DB0" w14:textId="77777777" w:rsidR="001A4F84" w:rsidRDefault="001A4F84" w:rsidP="00E717BB">
    <w:pPr>
      <w:pStyle w:val="Footer"/>
      <w:tabs>
        <w:tab w:val="center" w:pos="245"/>
        <w:tab w:val="left" w:pos="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0A24" w14:textId="77777777" w:rsidR="001A4F84" w:rsidRPr="00051164" w:rsidRDefault="001A4F84" w:rsidP="00E717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533"/>
      <w:gridCol w:w="9984"/>
    </w:tblGrid>
    <w:tr w:rsidR="001A4F84" w:rsidRPr="007C3FAB" w14:paraId="00B8258C" w14:textId="77777777" w:rsidTr="00E717BB">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1F119AAD" w14:textId="77777777" w:rsidR="001A4F84" w:rsidRPr="004728E7" w:rsidRDefault="001A4F84" w:rsidP="00E717BB">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0167A882" w14:textId="77777777" w:rsidR="001A4F84" w:rsidRPr="004F5C07" w:rsidRDefault="001A4F84" w:rsidP="00E717BB">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fldSimple w:instr=" STYLEREF  \s 1 \* MERGEFORMAT ">
            <w:r>
              <w:rPr>
                <w:noProof/>
              </w:rPr>
              <w:t>B</w:t>
            </w:r>
          </w:fldSimple>
          <w:r w:rsidRPr="00CB4FF7">
            <w:t>.</w:t>
          </w:r>
          <w:r w:rsidRPr="00CB4FF7">
            <w:br/>
          </w:r>
          <w:fldSimple w:instr=" STYLEREF  &quot;Heading 1&quot; ">
            <w:r>
              <w:rPr>
                <w:noProof/>
              </w:rPr>
              <w:t>Collection of Information Employing Statistical Methods</w:t>
            </w:r>
          </w:fldSimple>
        </w:p>
      </w:tc>
    </w:tr>
  </w:tbl>
  <w:p w14:paraId="338526AE" w14:textId="77777777" w:rsidR="001A4F84" w:rsidRDefault="001A4F84" w:rsidP="00E717BB">
    <w:pPr>
      <w:pStyle w:val="Footer"/>
      <w:tabs>
        <w:tab w:val="center" w:pos="245"/>
        <w:tab w:val="left" w:pos="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2148" w14:textId="77777777" w:rsidR="001A4F84" w:rsidRPr="00051164" w:rsidRDefault="001A4F84" w:rsidP="00E71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FFFFFF89"/>
    <w:multiLevelType w:val="singleLevel"/>
    <w:tmpl w:val="C0D093FC"/>
    <w:lvl w:ilvl="0">
      <w:start w:val="1"/>
      <w:numFmt w:val="bullet"/>
      <w:lvlText w:val=""/>
      <w:lvlJc w:val="left"/>
      <w:pPr>
        <w:tabs>
          <w:tab w:val="num" w:pos="360"/>
        </w:tabs>
        <w:ind w:left="360" w:hanging="360"/>
      </w:pPr>
      <w:rPr>
        <w:rFonts w:ascii="Symbol" w:hAnsi="Symbol" w:hint="default"/>
      </w:rPr>
    </w:lvl>
  </w:abstractNum>
  <w:abstractNum w:abstractNumId="5">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6440DC3"/>
    <w:multiLevelType w:val="hybridMultilevel"/>
    <w:tmpl w:val="D5D4D2BC"/>
    <w:lvl w:ilvl="0" w:tplc="04090001">
      <w:start w:val="1"/>
      <w:numFmt w:val="bullet"/>
      <w:lvlText w:val=""/>
      <w:lvlJc w:val="left"/>
      <w:pPr>
        <w:ind w:left="720" w:hanging="360"/>
      </w:pPr>
      <w:rPr>
        <w:rFonts w:ascii="Symbol" w:hAnsi="Symbol" w:hint="default"/>
      </w:rPr>
    </w:lvl>
    <w:lvl w:ilvl="1" w:tplc="078A8E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23419"/>
    <w:multiLevelType w:val="hybridMultilevel"/>
    <w:tmpl w:val="ABD82D38"/>
    <w:lvl w:ilvl="0" w:tplc="253E23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90126F"/>
    <w:multiLevelType w:val="hybridMultilevel"/>
    <w:tmpl w:val="BF080B7A"/>
    <w:lvl w:ilvl="0" w:tplc="B990578E">
      <w:start w:val="1"/>
      <w:numFmt w:val="bullet"/>
      <w:lvlText w:val="–"/>
      <w:lvlJc w:val="left"/>
      <w:pPr>
        <w:tabs>
          <w:tab w:val="num" w:pos="720"/>
        </w:tabs>
        <w:ind w:left="720" w:hanging="360"/>
      </w:pPr>
      <w:rPr>
        <w:rFonts w:ascii="Arial" w:hAnsi="Arial" w:hint="default"/>
      </w:rPr>
    </w:lvl>
    <w:lvl w:ilvl="1" w:tplc="5F1E82BE">
      <w:start w:val="1"/>
      <w:numFmt w:val="bullet"/>
      <w:lvlText w:val="–"/>
      <w:lvlJc w:val="left"/>
      <w:pPr>
        <w:tabs>
          <w:tab w:val="num" w:pos="1440"/>
        </w:tabs>
        <w:ind w:left="1440" w:hanging="360"/>
      </w:pPr>
      <w:rPr>
        <w:rFonts w:ascii="Arial" w:hAnsi="Arial" w:hint="default"/>
      </w:rPr>
    </w:lvl>
    <w:lvl w:ilvl="2" w:tplc="29146366" w:tentative="1">
      <w:start w:val="1"/>
      <w:numFmt w:val="bullet"/>
      <w:lvlText w:val="–"/>
      <w:lvlJc w:val="left"/>
      <w:pPr>
        <w:tabs>
          <w:tab w:val="num" w:pos="2160"/>
        </w:tabs>
        <w:ind w:left="2160" w:hanging="360"/>
      </w:pPr>
      <w:rPr>
        <w:rFonts w:ascii="Arial" w:hAnsi="Arial" w:hint="default"/>
      </w:rPr>
    </w:lvl>
    <w:lvl w:ilvl="3" w:tplc="9A623CDC" w:tentative="1">
      <w:start w:val="1"/>
      <w:numFmt w:val="bullet"/>
      <w:lvlText w:val="–"/>
      <w:lvlJc w:val="left"/>
      <w:pPr>
        <w:tabs>
          <w:tab w:val="num" w:pos="2880"/>
        </w:tabs>
        <w:ind w:left="2880" w:hanging="360"/>
      </w:pPr>
      <w:rPr>
        <w:rFonts w:ascii="Arial" w:hAnsi="Arial" w:hint="default"/>
      </w:rPr>
    </w:lvl>
    <w:lvl w:ilvl="4" w:tplc="5204B22E" w:tentative="1">
      <w:start w:val="1"/>
      <w:numFmt w:val="bullet"/>
      <w:lvlText w:val="–"/>
      <w:lvlJc w:val="left"/>
      <w:pPr>
        <w:tabs>
          <w:tab w:val="num" w:pos="3600"/>
        </w:tabs>
        <w:ind w:left="3600" w:hanging="360"/>
      </w:pPr>
      <w:rPr>
        <w:rFonts w:ascii="Arial" w:hAnsi="Arial" w:hint="default"/>
      </w:rPr>
    </w:lvl>
    <w:lvl w:ilvl="5" w:tplc="1ED8BDB6" w:tentative="1">
      <w:start w:val="1"/>
      <w:numFmt w:val="bullet"/>
      <w:lvlText w:val="–"/>
      <w:lvlJc w:val="left"/>
      <w:pPr>
        <w:tabs>
          <w:tab w:val="num" w:pos="4320"/>
        </w:tabs>
        <w:ind w:left="4320" w:hanging="360"/>
      </w:pPr>
      <w:rPr>
        <w:rFonts w:ascii="Arial" w:hAnsi="Arial" w:hint="default"/>
      </w:rPr>
    </w:lvl>
    <w:lvl w:ilvl="6" w:tplc="96F00956" w:tentative="1">
      <w:start w:val="1"/>
      <w:numFmt w:val="bullet"/>
      <w:lvlText w:val="–"/>
      <w:lvlJc w:val="left"/>
      <w:pPr>
        <w:tabs>
          <w:tab w:val="num" w:pos="5040"/>
        </w:tabs>
        <w:ind w:left="5040" w:hanging="360"/>
      </w:pPr>
      <w:rPr>
        <w:rFonts w:ascii="Arial" w:hAnsi="Arial" w:hint="default"/>
      </w:rPr>
    </w:lvl>
    <w:lvl w:ilvl="7" w:tplc="7DC08B2E" w:tentative="1">
      <w:start w:val="1"/>
      <w:numFmt w:val="bullet"/>
      <w:lvlText w:val="–"/>
      <w:lvlJc w:val="left"/>
      <w:pPr>
        <w:tabs>
          <w:tab w:val="num" w:pos="5760"/>
        </w:tabs>
        <w:ind w:left="5760" w:hanging="360"/>
      </w:pPr>
      <w:rPr>
        <w:rFonts w:ascii="Arial" w:hAnsi="Arial" w:hint="default"/>
      </w:rPr>
    </w:lvl>
    <w:lvl w:ilvl="8" w:tplc="0CD8FD62" w:tentative="1">
      <w:start w:val="1"/>
      <w:numFmt w:val="bullet"/>
      <w:lvlText w:val="–"/>
      <w:lvlJc w:val="left"/>
      <w:pPr>
        <w:tabs>
          <w:tab w:val="num" w:pos="6480"/>
        </w:tabs>
        <w:ind w:left="6480" w:hanging="360"/>
      </w:pPr>
      <w:rPr>
        <w:rFonts w:ascii="Arial" w:hAnsi="Arial" w:hint="default"/>
      </w:rPr>
    </w:lvl>
  </w:abstractNum>
  <w:abstractNum w:abstractNumId="10">
    <w:nsid w:val="1C1E6B4C"/>
    <w:multiLevelType w:val="hybridMultilevel"/>
    <w:tmpl w:val="30162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7">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8">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B40526"/>
    <w:multiLevelType w:val="hybridMultilevel"/>
    <w:tmpl w:val="3F564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DFA1290"/>
    <w:multiLevelType w:val="hybridMultilevel"/>
    <w:tmpl w:val="32AA1F8C"/>
    <w:lvl w:ilvl="0" w:tplc="326CB48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nsid w:val="6EAE6B78"/>
    <w:multiLevelType w:val="hybridMultilevel"/>
    <w:tmpl w:val="69322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3"/>
  </w:num>
  <w:num w:numId="4">
    <w:abstractNumId w:val="2"/>
  </w:num>
  <w:num w:numId="5">
    <w:abstractNumId w:val="18"/>
  </w:num>
  <w:num w:numId="6">
    <w:abstractNumId w:val="16"/>
  </w:num>
  <w:num w:numId="7">
    <w:abstractNumId w:val="3"/>
  </w:num>
  <w:num w:numId="8">
    <w:abstractNumId w:val="19"/>
  </w:num>
  <w:num w:numId="9">
    <w:abstractNumId w:val="1"/>
  </w:num>
  <w:num w:numId="10">
    <w:abstractNumId w:val="0"/>
  </w:num>
  <w:num w:numId="11">
    <w:abstractNumId w:val="7"/>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0"/>
    <w:lvlOverride w:ilvl="0">
      <w:startOverride w:val="1"/>
    </w:lvlOverride>
  </w:num>
  <w:num w:numId="17">
    <w:abstractNumId w:val="26"/>
  </w:num>
  <w:num w:numId="18">
    <w:abstractNumId w:val="8"/>
  </w:num>
  <w:num w:numId="19">
    <w:abstractNumId w:val="28"/>
  </w:num>
  <w:num w:numId="20">
    <w:abstractNumId w:val="11"/>
  </w:num>
  <w:num w:numId="21">
    <w:abstractNumId w:val="19"/>
    <w:lvlOverride w:ilvl="0">
      <w:startOverride w:val="1"/>
    </w:lvlOverride>
  </w:num>
  <w:num w:numId="22">
    <w:abstractNumId w:val="9"/>
  </w:num>
  <w:num w:numId="23">
    <w:abstractNumId w:val="22"/>
  </w:num>
  <w:num w:numId="24">
    <w:abstractNumId w:val="12"/>
  </w:num>
  <w:num w:numId="25">
    <w:abstractNumId w:val="21"/>
  </w:num>
  <w:num w:numId="26">
    <w:abstractNumId w:val="24"/>
  </w:num>
  <w:num w:numId="27">
    <w:abstractNumId w:val="27"/>
  </w:num>
  <w:num w:numId="28">
    <w:abstractNumId w:val="10"/>
  </w:num>
  <w:num w:numId="29">
    <w:abstractNumId w:val="17"/>
  </w:num>
  <w:num w:numId="30">
    <w:abstractNumId w:val="19"/>
    <w:lvlOverride w:ilvl="0">
      <w:startOverride w:val="1"/>
    </w:lvlOverride>
  </w:num>
  <w:num w:numId="31">
    <w:abstractNumId w:val="5"/>
  </w:num>
  <w:num w:numId="32">
    <w:abstractNumId w:val="4"/>
  </w:num>
  <w:num w:numId="33">
    <w:abstractNumId w:val="19"/>
    <w:lvlOverride w:ilvl="0">
      <w:startOverride w:val="1"/>
    </w:lvlOverride>
  </w:num>
  <w:num w:numId="34">
    <w:abstractNumId w:val="6"/>
  </w:num>
  <w:num w:numId="35">
    <w:abstractNumId w:val="15"/>
  </w:num>
  <w:num w:numId="36">
    <w:abstractNumId w:val="20"/>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Jason">
    <w15:presenceInfo w15:providerId="AD" w15:userId="S-1-5-21-2101533902-423532799-1776743176-4204"/>
  </w15:person>
  <w15:person w15:author="Bryan, Michael">
    <w15:presenceInfo w15:providerId="AD" w15:userId="S-1-5-21-2101533902-423532799-1776743176-4857"/>
  </w15:person>
  <w15:person w15:author="Cooney, Darryl">
    <w15:presenceInfo w15:providerId="AD" w15:userId="S-1-5-21-2101533902-423532799-1776743176-2471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B1F"/>
    <w:rsid w:val="00003958"/>
    <w:rsid w:val="00004B8D"/>
    <w:rsid w:val="00004D46"/>
    <w:rsid w:val="00004DA3"/>
    <w:rsid w:val="0000562B"/>
    <w:rsid w:val="000056D7"/>
    <w:rsid w:val="000064C5"/>
    <w:rsid w:val="000068C9"/>
    <w:rsid w:val="00006A86"/>
    <w:rsid w:val="00006DD2"/>
    <w:rsid w:val="00006ECC"/>
    <w:rsid w:val="000071C1"/>
    <w:rsid w:val="00007997"/>
    <w:rsid w:val="00007AAE"/>
    <w:rsid w:val="00007F8A"/>
    <w:rsid w:val="00010C4F"/>
    <w:rsid w:val="0001147D"/>
    <w:rsid w:val="00011A49"/>
    <w:rsid w:val="0001207D"/>
    <w:rsid w:val="00012483"/>
    <w:rsid w:val="000135CF"/>
    <w:rsid w:val="00013B2D"/>
    <w:rsid w:val="00013C7D"/>
    <w:rsid w:val="000140D8"/>
    <w:rsid w:val="00014256"/>
    <w:rsid w:val="00014705"/>
    <w:rsid w:val="00014A08"/>
    <w:rsid w:val="00014D25"/>
    <w:rsid w:val="00015145"/>
    <w:rsid w:val="00015CD5"/>
    <w:rsid w:val="00016217"/>
    <w:rsid w:val="000166A8"/>
    <w:rsid w:val="00016DC5"/>
    <w:rsid w:val="0001749A"/>
    <w:rsid w:val="00017C1E"/>
    <w:rsid w:val="000205BE"/>
    <w:rsid w:val="00020893"/>
    <w:rsid w:val="00020BDD"/>
    <w:rsid w:val="00020D75"/>
    <w:rsid w:val="0002110E"/>
    <w:rsid w:val="00021560"/>
    <w:rsid w:val="00021572"/>
    <w:rsid w:val="00022F74"/>
    <w:rsid w:val="00023398"/>
    <w:rsid w:val="00023A4F"/>
    <w:rsid w:val="00023C08"/>
    <w:rsid w:val="00023CF3"/>
    <w:rsid w:val="00023EA0"/>
    <w:rsid w:val="00024665"/>
    <w:rsid w:val="00024667"/>
    <w:rsid w:val="00025088"/>
    <w:rsid w:val="000253C9"/>
    <w:rsid w:val="00025575"/>
    <w:rsid w:val="00025A15"/>
    <w:rsid w:val="00025C8C"/>
    <w:rsid w:val="00025C8F"/>
    <w:rsid w:val="00026991"/>
    <w:rsid w:val="000301B4"/>
    <w:rsid w:val="000307E7"/>
    <w:rsid w:val="0003109E"/>
    <w:rsid w:val="00031E5C"/>
    <w:rsid w:val="0003284A"/>
    <w:rsid w:val="000329F7"/>
    <w:rsid w:val="00033B6D"/>
    <w:rsid w:val="00033DF5"/>
    <w:rsid w:val="00034418"/>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0B0F"/>
    <w:rsid w:val="00041240"/>
    <w:rsid w:val="00041BE0"/>
    <w:rsid w:val="00042D5D"/>
    <w:rsid w:val="000437E1"/>
    <w:rsid w:val="00043DC0"/>
    <w:rsid w:val="00044904"/>
    <w:rsid w:val="0004539F"/>
    <w:rsid w:val="00045447"/>
    <w:rsid w:val="00045455"/>
    <w:rsid w:val="00045DA9"/>
    <w:rsid w:val="000465B3"/>
    <w:rsid w:val="00046CD1"/>
    <w:rsid w:val="00046F23"/>
    <w:rsid w:val="0004770E"/>
    <w:rsid w:val="000477A7"/>
    <w:rsid w:val="00050C10"/>
    <w:rsid w:val="00050C3E"/>
    <w:rsid w:val="0005133B"/>
    <w:rsid w:val="000516A4"/>
    <w:rsid w:val="00051F75"/>
    <w:rsid w:val="00052421"/>
    <w:rsid w:val="0005248C"/>
    <w:rsid w:val="0005293B"/>
    <w:rsid w:val="00052F28"/>
    <w:rsid w:val="000531FD"/>
    <w:rsid w:val="000539BD"/>
    <w:rsid w:val="00053D57"/>
    <w:rsid w:val="00054DB6"/>
    <w:rsid w:val="00054E68"/>
    <w:rsid w:val="0005768D"/>
    <w:rsid w:val="00057E39"/>
    <w:rsid w:val="00060019"/>
    <w:rsid w:val="000604CC"/>
    <w:rsid w:val="00060932"/>
    <w:rsid w:val="00060CB6"/>
    <w:rsid w:val="00060D38"/>
    <w:rsid w:val="00061193"/>
    <w:rsid w:val="00061737"/>
    <w:rsid w:val="00061BB0"/>
    <w:rsid w:val="00061E39"/>
    <w:rsid w:val="000624C0"/>
    <w:rsid w:val="00062EF6"/>
    <w:rsid w:val="00063377"/>
    <w:rsid w:val="000634E6"/>
    <w:rsid w:val="000644BB"/>
    <w:rsid w:val="00064F6B"/>
    <w:rsid w:val="000650FB"/>
    <w:rsid w:val="000657F7"/>
    <w:rsid w:val="0006599F"/>
    <w:rsid w:val="00065FD8"/>
    <w:rsid w:val="00066744"/>
    <w:rsid w:val="00066B55"/>
    <w:rsid w:val="00066DB4"/>
    <w:rsid w:val="00067205"/>
    <w:rsid w:val="0006754F"/>
    <w:rsid w:val="000675AA"/>
    <w:rsid w:val="00067714"/>
    <w:rsid w:val="0007023C"/>
    <w:rsid w:val="000702A5"/>
    <w:rsid w:val="00070366"/>
    <w:rsid w:val="0007064F"/>
    <w:rsid w:val="00070D9D"/>
    <w:rsid w:val="000710D4"/>
    <w:rsid w:val="0007178A"/>
    <w:rsid w:val="000718D9"/>
    <w:rsid w:val="0007244B"/>
    <w:rsid w:val="00072A1E"/>
    <w:rsid w:val="00072D1A"/>
    <w:rsid w:val="00073286"/>
    <w:rsid w:val="00073AEF"/>
    <w:rsid w:val="00073C6B"/>
    <w:rsid w:val="00073E4C"/>
    <w:rsid w:val="00074C4D"/>
    <w:rsid w:val="00075476"/>
    <w:rsid w:val="00076A2B"/>
    <w:rsid w:val="00076AC8"/>
    <w:rsid w:val="00076FA5"/>
    <w:rsid w:val="000775AB"/>
    <w:rsid w:val="00077EAF"/>
    <w:rsid w:val="00080628"/>
    <w:rsid w:val="00081361"/>
    <w:rsid w:val="00082CE8"/>
    <w:rsid w:val="00083229"/>
    <w:rsid w:val="00083498"/>
    <w:rsid w:val="00083935"/>
    <w:rsid w:val="000841CF"/>
    <w:rsid w:val="00085322"/>
    <w:rsid w:val="00085355"/>
    <w:rsid w:val="00086117"/>
    <w:rsid w:val="00086659"/>
    <w:rsid w:val="0008668A"/>
    <w:rsid w:val="00086AD0"/>
    <w:rsid w:val="000870E5"/>
    <w:rsid w:val="00087971"/>
    <w:rsid w:val="0009020F"/>
    <w:rsid w:val="000907DE"/>
    <w:rsid w:val="00091671"/>
    <w:rsid w:val="00091CEC"/>
    <w:rsid w:val="000929FC"/>
    <w:rsid w:val="00092AA2"/>
    <w:rsid w:val="00092C0F"/>
    <w:rsid w:val="00093F25"/>
    <w:rsid w:val="0009412E"/>
    <w:rsid w:val="00094547"/>
    <w:rsid w:val="0009636B"/>
    <w:rsid w:val="00096B68"/>
    <w:rsid w:val="000971BA"/>
    <w:rsid w:val="000A000E"/>
    <w:rsid w:val="000A062A"/>
    <w:rsid w:val="000A0DBE"/>
    <w:rsid w:val="000A2219"/>
    <w:rsid w:val="000A270E"/>
    <w:rsid w:val="000A4B22"/>
    <w:rsid w:val="000A5792"/>
    <w:rsid w:val="000A57B8"/>
    <w:rsid w:val="000A5CE0"/>
    <w:rsid w:val="000A6DCB"/>
    <w:rsid w:val="000A730B"/>
    <w:rsid w:val="000A782D"/>
    <w:rsid w:val="000A79D0"/>
    <w:rsid w:val="000A7C73"/>
    <w:rsid w:val="000A7DA0"/>
    <w:rsid w:val="000B03CB"/>
    <w:rsid w:val="000B065A"/>
    <w:rsid w:val="000B1069"/>
    <w:rsid w:val="000B168D"/>
    <w:rsid w:val="000B1AB7"/>
    <w:rsid w:val="000B1FFE"/>
    <w:rsid w:val="000B25B8"/>
    <w:rsid w:val="000B25C2"/>
    <w:rsid w:val="000B2955"/>
    <w:rsid w:val="000B2D2A"/>
    <w:rsid w:val="000B34A7"/>
    <w:rsid w:val="000B364C"/>
    <w:rsid w:val="000B3C21"/>
    <w:rsid w:val="000B3F61"/>
    <w:rsid w:val="000B3F6D"/>
    <w:rsid w:val="000B3FC2"/>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C"/>
    <w:rsid w:val="000C133D"/>
    <w:rsid w:val="000C17A7"/>
    <w:rsid w:val="000C26B9"/>
    <w:rsid w:val="000C2F42"/>
    <w:rsid w:val="000C3189"/>
    <w:rsid w:val="000C31CD"/>
    <w:rsid w:val="000C383D"/>
    <w:rsid w:val="000C559D"/>
    <w:rsid w:val="000C63EA"/>
    <w:rsid w:val="000C650A"/>
    <w:rsid w:val="000C6527"/>
    <w:rsid w:val="000C6FE9"/>
    <w:rsid w:val="000C735B"/>
    <w:rsid w:val="000D0D78"/>
    <w:rsid w:val="000D0DF5"/>
    <w:rsid w:val="000D11FE"/>
    <w:rsid w:val="000D1AE6"/>
    <w:rsid w:val="000D2493"/>
    <w:rsid w:val="000D2623"/>
    <w:rsid w:val="000D29F5"/>
    <w:rsid w:val="000D3289"/>
    <w:rsid w:val="000D3840"/>
    <w:rsid w:val="000D3E1A"/>
    <w:rsid w:val="000D4376"/>
    <w:rsid w:val="000D4786"/>
    <w:rsid w:val="000D49B4"/>
    <w:rsid w:val="000D56FE"/>
    <w:rsid w:val="000D623F"/>
    <w:rsid w:val="000D69D6"/>
    <w:rsid w:val="000D6BF1"/>
    <w:rsid w:val="000D7397"/>
    <w:rsid w:val="000D7BC4"/>
    <w:rsid w:val="000D7D39"/>
    <w:rsid w:val="000E0289"/>
    <w:rsid w:val="000E06C8"/>
    <w:rsid w:val="000E1906"/>
    <w:rsid w:val="000E1AFD"/>
    <w:rsid w:val="000E1C19"/>
    <w:rsid w:val="000E2746"/>
    <w:rsid w:val="000E32AA"/>
    <w:rsid w:val="000E35F7"/>
    <w:rsid w:val="000E3E35"/>
    <w:rsid w:val="000E3F47"/>
    <w:rsid w:val="000E43A5"/>
    <w:rsid w:val="000E43D5"/>
    <w:rsid w:val="000E4FDD"/>
    <w:rsid w:val="000E54DD"/>
    <w:rsid w:val="000E5B16"/>
    <w:rsid w:val="000E5E67"/>
    <w:rsid w:val="000E779A"/>
    <w:rsid w:val="000E7F26"/>
    <w:rsid w:val="000F0577"/>
    <w:rsid w:val="000F0B44"/>
    <w:rsid w:val="000F1B56"/>
    <w:rsid w:val="000F1E97"/>
    <w:rsid w:val="000F2CAB"/>
    <w:rsid w:val="000F38FB"/>
    <w:rsid w:val="000F3928"/>
    <w:rsid w:val="000F3A15"/>
    <w:rsid w:val="000F3CE5"/>
    <w:rsid w:val="000F3FD1"/>
    <w:rsid w:val="000F4FF9"/>
    <w:rsid w:val="000F52A4"/>
    <w:rsid w:val="000F578D"/>
    <w:rsid w:val="000F5BB9"/>
    <w:rsid w:val="000F64A4"/>
    <w:rsid w:val="000F68CB"/>
    <w:rsid w:val="000F7F8A"/>
    <w:rsid w:val="001009F0"/>
    <w:rsid w:val="00100F59"/>
    <w:rsid w:val="00102018"/>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0BB2"/>
    <w:rsid w:val="001113FE"/>
    <w:rsid w:val="00111CB1"/>
    <w:rsid w:val="00111E00"/>
    <w:rsid w:val="00111F63"/>
    <w:rsid w:val="001136F9"/>
    <w:rsid w:val="00114309"/>
    <w:rsid w:val="001144A0"/>
    <w:rsid w:val="0011452F"/>
    <w:rsid w:val="00114867"/>
    <w:rsid w:val="00115048"/>
    <w:rsid w:val="00115438"/>
    <w:rsid w:val="00115698"/>
    <w:rsid w:val="0011574B"/>
    <w:rsid w:val="001157A9"/>
    <w:rsid w:val="00115984"/>
    <w:rsid w:val="00115B7F"/>
    <w:rsid w:val="00116312"/>
    <w:rsid w:val="00116D15"/>
    <w:rsid w:val="0011706B"/>
    <w:rsid w:val="00117191"/>
    <w:rsid w:val="0011778A"/>
    <w:rsid w:val="001177DF"/>
    <w:rsid w:val="0011788C"/>
    <w:rsid w:val="00117D29"/>
    <w:rsid w:val="00120034"/>
    <w:rsid w:val="00120B0C"/>
    <w:rsid w:val="00120BF7"/>
    <w:rsid w:val="00121E61"/>
    <w:rsid w:val="001227AB"/>
    <w:rsid w:val="00122827"/>
    <w:rsid w:val="00122D4F"/>
    <w:rsid w:val="00122F99"/>
    <w:rsid w:val="00122FC2"/>
    <w:rsid w:val="00123689"/>
    <w:rsid w:val="001239D8"/>
    <w:rsid w:val="00124110"/>
    <w:rsid w:val="001243E5"/>
    <w:rsid w:val="001244B3"/>
    <w:rsid w:val="00124ABC"/>
    <w:rsid w:val="001254B1"/>
    <w:rsid w:val="0012587A"/>
    <w:rsid w:val="00126614"/>
    <w:rsid w:val="001266C4"/>
    <w:rsid w:val="0012676F"/>
    <w:rsid w:val="00126924"/>
    <w:rsid w:val="00126B41"/>
    <w:rsid w:val="00126B64"/>
    <w:rsid w:val="00126ECD"/>
    <w:rsid w:val="00127186"/>
    <w:rsid w:val="001273CB"/>
    <w:rsid w:val="00127B32"/>
    <w:rsid w:val="00130739"/>
    <w:rsid w:val="0013084B"/>
    <w:rsid w:val="00131F0A"/>
    <w:rsid w:val="00132CB2"/>
    <w:rsid w:val="00132CE8"/>
    <w:rsid w:val="0013323A"/>
    <w:rsid w:val="00133361"/>
    <w:rsid w:val="001338DF"/>
    <w:rsid w:val="0013522E"/>
    <w:rsid w:val="00135581"/>
    <w:rsid w:val="001357FA"/>
    <w:rsid w:val="00135DCB"/>
    <w:rsid w:val="00136179"/>
    <w:rsid w:val="00137344"/>
    <w:rsid w:val="001379E1"/>
    <w:rsid w:val="00140597"/>
    <w:rsid w:val="00141320"/>
    <w:rsid w:val="0014155A"/>
    <w:rsid w:val="00142317"/>
    <w:rsid w:val="00142A4B"/>
    <w:rsid w:val="00142CA8"/>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0DDD"/>
    <w:rsid w:val="00151625"/>
    <w:rsid w:val="0015184A"/>
    <w:rsid w:val="0015189C"/>
    <w:rsid w:val="00151998"/>
    <w:rsid w:val="00152223"/>
    <w:rsid w:val="00152327"/>
    <w:rsid w:val="001524E2"/>
    <w:rsid w:val="00152766"/>
    <w:rsid w:val="00152AB9"/>
    <w:rsid w:val="00152AD3"/>
    <w:rsid w:val="00152FDD"/>
    <w:rsid w:val="001530C3"/>
    <w:rsid w:val="00153145"/>
    <w:rsid w:val="00153185"/>
    <w:rsid w:val="00153442"/>
    <w:rsid w:val="00153802"/>
    <w:rsid w:val="00154A38"/>
    <w:rsid w:val="00154CB9"/>
    <w:rsid w:val="00155782"/>
    <w:rsid w:val="00155786"/>
    <w:rsid w:val="001557B6"/>
    <w:rsid w:val="00155890"/>
    <w:rsid w:val="00155D19"/>
    <w:rsid w:val="00155E95"/>
    <w:rsid w:val="00156214"/>
    <w:rsid w:val="00156286"/>
    <w:rsid w:val="00156B48"/>
    <w:rsid w:val="001573A7"/>
    <w:rsid w:val="00160371"/>
    <w:rsid w:val="001606D6"/>
    <w:rsid w:val="00160924"/>
    <w:rsid w:val="00160945"/>
    <w:rsid w:val="00161114"/>
    <w:rsid w:val="00161407"/>
    <w:rsid w:val="00162410"/>
    <w:rsid w:val="001634D8"/>
    <w:rsid w:val="00163C8C"/>
    <w:rsid w:val="00163F95"/>
    <w:rsid w:val="0016414C"/>
    <w:rsid w:val="0016415A"/>
    <w:rsid w:val="00164879"/>
    <w:rsid w:val="001649BA"/>
    <w:rsid w:val="00164A9D"/>
    <w:rsid w:val="0016557F"/>
    <w:rsid w:val="0016571E"/>
    <w:rsid w:val="00165F17"/>
    <w:rsid w:val="00166C12"/>
    <w:rsid w:val="00166D0C"/>
    <w:rsid w:val="00166D14"/>
    <w:rsid w:val="00170478"/>
    <w:rsid w:val="00170C78"/>
    <w:rsid w:val="00170E6A"/>
    <w:rsid w:val="00171804"/>
    <w:rsid w:val="00171DB8"/>
    <w:rsid w:val="00171DD2"/>
    <w:rsid w:val="0017223E"/>
    <w:rsid w:val="00172D0C"/>
    <w:rsid w:val="00173838"/>
    <w:rsid w:val="00174018"/>
    <w:rsid w:val="001743C6"/>
    <w:rsid w:val="0017561E"/>
    <w:rsid w:val="00176538"/>
    <w:rsid w:val="00176A41"/>
    <w:rsid w:val="00176DD2"/>
    <w:rsid w:val="001775C0"/>
    <w:rsid w:val="00177F97"/>
    <w:rsid w:val="00180041"/>
    <w:rsid w:val="001804B1"/>
    <w:rsid w:val="001804D1"/>
    <w:rsid w:val="00180AF6"/>
    <w:rsid w:val="00181271"/>
    <w:rsid w:val="00181CAB"/>
    <w:rsid w:val="0018210B"/>
    <w:rsid w:val="00182118"/>
    <w:rsid w:val="0018259F"/>
    <w:rsid w:val="00182B24"/>
    <w:rsid w:val="001835D7"/>
    <w:rsid w:val="00183D81"/>
    <w:rsid w:val="0018454B"/>
    <w:rsid w:val="00184E6B"/>
    <w:rsid w:val="001851EB"/>
    <w:rsid w:val="0018530D"/>
    <w:rsid w:val="00185923"/>
    <w:rsid w:val="00186D4C"/>
    <w:rsid w:val="00186DED"/>
    <w:rsid w:val="001877BC"/>
    <w:rsid w:val="00187ACD"/>
    <w:rsid w:val="00187F41"/>
    <w:rsid w:val="001904CA"/>
    <w:rsid w:val="001907BC"/>
    <w:rsid w:val="00190D0C"/>
    <w:rsid w:val="00191433"/>
    <w:rsid w:val="001914F4"/>
    <w:rsid w:val="00191509"/>
    <w:rsid w:val="00191E9C"/>
    <w:rsid w:val="001924FF"/>
    <w:rsid w:val="0019274B"/>
    <w:rsid w:val="00193015"/>
    <w:rsid w:val="00193DCC"/>
    <w:rsid w:val="00193DD9"/>
    <w:rsid w:val="00193F8B"/>
    <w:rsid w:val="001950D7"/>
    <w:rsid w:val="00195334"/>
    <w:rsid w:val="00195846"/>
    <w:rsid w:val="00195BF9"/>
    <w:rsid w:val="001963A7"/>
    <w:rsid w:val="00196C16"/>
    <w:rsid w:val="001974E6"/>
    <w:rsid w:val="001A0373"/>
    <w:rsid w:val="001A054D"/>
    <w:rsid w:val="001A135B"/>
    <w:rsid w:val="001A1405"/>
    <w:rsid w:val="001A3546"/>
    <w:rsid w:val="001A3918"/>
    <w:rsid w:val="001A3CD4"/>
    <w:rsid w:val="001A4428"/>
    <w:rsid w:val="001A4442"/>
    <w:rsid w:val="001A4F84"/>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3CC5"/>
    <w:rsid w:val="001B4AEF"/>
    <w:rsid w:val="001B5343"/>
    <w:rsid w:val="001B5431"/>
    <w:rsid w:val="001B5986"/>
    <w:rsid w:val="001B5D9D"/>
    <w:rsid w:val="001B77EF"/>
    <w:rsid w:val="001B792F"/>
    <w:rsid w:val="001B794B"/>
    <w:rsid w:val="001C0B0F"/>
    <w:rsid w:val="001C10CB"/>
    <w:rsid w:val="001C14FE"/>
    <w:rsid w:val="001C1602"/>
    <w:rsid w:val="001C1A71"/>
    <w:rsid w:val="001C2603"/>
    <w:rsid w:val="001C32A7"/>
    <w:rsid w:val="001C3409"/>
    <w:rsid w:val="001C3516"/>
    <w:rsid w:val="001C3A50"/>
    <w:rsid w:val="001C3BFB"/>
    <w:rsid w:val="001C3C83"/>
    <w:rsid w:val="001C4137"/>
    <w:rsid w:val="001C483E"/>
    <w:rsid w:val="001C4CDA"/>
    <w:rsid w:val="001C4DBF"/>
    <w:rsid w:val="001C4DEE"/>
    <w:rsid w:val="001C568A"/>
    <w:rsid w:val="001C5C35"/>
    <w:rsid w:val="001C6283"/>
    <w:rsid w:val="001C6C06"/>
    <w:rsid w:val="001C7180"/>
    <w:rsid w:val="001C735C"/>
    <w:rsid w:val="001C7770"/>
    <w:rsid w:val="001C7BE3"/>
    <w:rsid w:val="001D006E"/>
    <w:rsid w:val="001D0AED"/>
    <w:rsid w:val="001D0E45"/>
    <w:rsid w:val="001D105E"/>
    <w:rsid w:val="001D1D9F"/>
    <w:rsid w:val="001D24BC"/>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782"/>
    <w:rsid w:val="001E5D86"/>
    <w:rsid w:val="001E63BB"/>
    <w:rsid w:val="001E67EB"/>
    <w:rsid w:val="001E6852"/>
    <w:rsid w:val="001E6FCB"/>
    <w:rsid w:val="001E7082"/>
    <w:rsid w:val="001E7A49"/>
    <w:rsid w:val="001E7FAC"/>
    <w:rsid w:val="001F087F"/>
    <w:rsid w:val="001F196C"/>
    <w:rsid w:val="001F1FD9"/>
    <w:rsid w:val="001F27F6"/>
    <w:rsid w:val="001F2925"/>
    <w:rsid w:val="001F2A73"/>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1F742B"/>
    <w:rsid w:val="002012F3"/>
    <w:rsid w:val="00201EEE"/>
    <w:rsid w:val="0020207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2D"/>
    <w:rsid w:val="002102E3"/>
    <w:rsid w:val="00210E6E"/>
    <w:rsid w:val="00211048"/>
    <w:rsid w:val="002125FD"/>
    <w:rsid w:val="00212E18"/>
    <w:rsid w:val="0021371D"/>
    <w:rsid w:val="00213F6A"/>
    <w:rsid w:val="00214BB6"/>
    <w:rsid w:val="0021599F"/>
    <w:rsid w:val="0021656C"/>
    <w:rsid w:val="00216885"/>
    <w:rsid w:val="00217AAD"/>
    <w:rsid w:val="00217BDD"/>
    <w:rsid w:val="00220E2B"/>
    <w:rsid w:val="00220EFA"/>
    <w:rsid w:val="002210E9"/>
    <w:rsid w:val="00221348"/>
    <w:rsid w:val="0022144B"/>
    <w:rsid w:val="00221C87"/>
    <w:rsid w:val="00221DEF"/>
    <w:rsid w:val="00222325"/>
    <w:rsid w:val="00222853"/>
    <w:rsid w:val="002233A7"/>
    <w:rsid w:val="00223484"/>
    <w:rsid w:val="00223FD3"/>
    <w:rsid w:val="002241E3"/>
    <w:rsid w:val="00224294"/>
    <w:rsid w:val="002242B9"/>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8F"/>
    <w:rsid w:val="0023649F"/>
    <w:rsid w:val="0023692E"/>
    <w:rsid w:val="00240A6F"/>
    <w:rsid w:val="00240BFA"/>
    <w:rsid w:val="0024196D"/>
    <w:rsid w:val="00241D5E"/>
    <w:rsid w:val="00242A24"/>
    <w:rsid w:val="00242F68"/>
    <w:rsid w:val="00242FA4"/>
    <w:rsid w:val="00243AA4"/>
    <w:rsid w:val="00243B79"/>
    <w:rsid w:val="002442A7"/>
    <w:rsid w:val="002447B5"/>
    <w:rsid w:val="00244A15"/>
    <w:rsid w:val="00244B03"/>
    <w:rsid w:val="00244F84"/>
    <w:rsid w:val="00245507"/>
    <w:rsid w:val="00245677"/>
    <w:rsid w:val="002456CD"/>
    <w:rsid w:val="0024588E"/>
    <w:rsid w:val="00245C48"/>
    <w:rsid w:val="002462DD"/>
    <w:rsid w:val="00246687"/>
    <w:rsid w:val="00246715"/>
    <w:rsid w:val="00247B2F"/>
    <w:rsid w:val="00247CC5"/>
    <w:rsid w:val="00247F40"/>
    <w:rsid w:val="002510EF"/>
    <w:rsid w:val="00251904"/>
    <w:rsid w:val="00251A03"/>
    <w:rsid w:val="00251D5E"/>
    <w:rsid w:val="00251D8E"/>
    <w:rsid w:val="00252035"/>
    <w:rsid w:val="00252225"/>
    <w:rsid w:val="00252791"/>
    <w:rsid w:val="00252A45"/>
    <w:rsid w:val="002539E5"/>
    <w:rsid w:val="00254A89"/>
    <w:rsid w:val="00254B2B"/>
    <w:rsid w:val="00254BA2"/>
    <w:rsid w:val="00254CED"/>
    <w:rsid w:val="00254DAC"/>
    <w:rsid w:val="00255253"/>
    <w:rsid w:val="0025562C"/>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E7"/>
    <w:rsid w:val="00264DFF"/>
    <w:rsid w:val="00265415"/>
    <w:rsid w:val="002656C7"/>
    <w:rsid w:val="0026582B"/>
    <w:rsid w:val="00265D69"/>
    <w:rsid w:val="0026646C"/>
    <w:rsid w:val="00266A4B"/>
    <w:rsid w:val="00266B75"/>
    <w:rsid w:val="00266C99"/>
    <w:rsid w:val="0026703F"/>
    <w:rsid w:val="002673BE"/>
    <w:rsid w:val="0026782A"/>
    <w:rsid w:val="0026795E"/>
    <w:rsid w:val="00267DEE"/>
    <w:rsid w:val="00267F90"/>
    <w:rsid w:val="0027047D"/>
    <w:rsid w:val="00270C11"/>
    <w:rsid w:val="00271F23"/>
    <w:rsid w:val="002729E7"/>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2A8"/>
    <w:rsid w:val="002832F1"/>
    <w:rsid w:val="002834E4"/>
    <w:rsid w:val="002840D9"/>
    <w:rsid w:val="0028476A"/>
    <w:rsid w:val="00284771"/>
    <w:rsid w:val="002849B7"/>
    <w:rsid w:val="00285517"/>
    <w:rsid w:val="00285A1E"/>
    <w:rsid w:val="002863B6"/>
    <w:rsid w:val="002865AE"/>
    <w:rsid w:val="00286776"/>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4758"/>
    <w:rsid w:val="002A5CD2"/>
    <w:rsid w:val="002A63BB"/>
    <w:rsid w:val="002A6C43"/>
    <w:rsid w:val="002A6D0A"/>
    <w:rsid w:val="002A72F8"/>
    <w:rsid w:val="002A74DE"/>
    <w:rsid w:val="002A78C6"/>
    <w:rsid w:val="002A7A47"/>
    <w:rsid w:val="002B0795"/>
    <w:rsid w:val="002B09C6"/>
    <w:rsid w:val="002B1168"/>
    <w:rsid w:val="002B164B"/>
    <w:rsid w:val="002B1E92"/>
    <w:rsid w:val="002B27AA"/>
    <w:rsid w:val="002B3613"/>
    <w:rsid w:val="002B3B43"/>
    <w:rsid w:val="002B3FCA"/>
    <w:rsid w:val="002B4186"/>
    <w:rsid w:val="002B537E"/>
    <w:rsid w:val="002B53AE"/>
    <w:rsid w:val="002B5715"/>
    <w:rsid w:val="002B59B2"/>
    <w:rsid w:val="002B5C03"/>
    <w:rsid w:val="002B64D5"/>
    <w:rsid w:val="002B6B53"/>
    <w:rsid w:val="002B6D06"/>
    <w:rsid w:val="002B73FE"/>
    <w:rsid w:val="002C0158"/>
    <w:rsid w:val="002C0962"/>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5D82"/>
    <w:rsid w:val="002D6E82"/>
    <w:rsid w:val="002D6F61"/>
    <w:rsid w:val="002D7219"/>
    <w:rsid w:val="002D7919"/>
    <w:rsid w:val="002D7ABF"/>
    <w:rsid w:val="002D7E3C"/>
    <w:rsid w:val="002E0200"/>
    <w:rsid w:val="002E0779"/>
    <w:rsid w:val="002E0E8F"/>
    <w:rsid w:val="002E100A"/>
    <w:rsid w:val="002E164E"/>
    <w:rsid w:val="002E2618"/>
    <w:rsid w:val="002E2CBB"/>
    <w:rsid w:val="002E2D50"/>
    <w:rsid w:val="002E33FB"/>
    <w:rsid w:val="002E3805"/>
    <w:rsid w:val="002E3981"/>
    <w:rsid w:val="002E3C1C"/>
    <w:rsid w:val="002E5421"/>
    <w:rsid w:val="002E57E0"/>
    <w:rsid w:val="002E593E"/>
    <w:rsid w:val="002E5D7C"/>
    <w:rsid w:val="002E5EE0"/>
    <w:rsid w:val="002E6461"/>
    <w:rsid w:val="002E65D3"/>
    <w:rsid w:val="002E6B0A"/>
    <w:rsid w:val="002E6C81"/>
    <w:rsid w:val="002E6D94"/>
    <w:rsid w:val="002E7210"/>
    <w:rsid w:val="002E7552"/>
    <w:rsid w:val="002E77FE"/>
    <w:rsid w:val="002E7AF2"/>
    <w:rsid w:val="002E7B43"/>
    <w:rsid w:val="002F0B68"/>
    <w:rsid w:val="002F0C5D"/>
    <w:rsid w:val="002F0C9D"/>
    <w:rsid w:val="002F0D15"/>
    <w:rsid w:val="002F1757"/>
    <w:rsid w:val="002F26D0"/>
    <w:rsid w:val="002F31F4"/>
    <w:rsid w:val="002F3813"/>
    <w:rsid w:val="002F3ACF"/>
    <w:rsid w:val="002F3DCD"/>
    <w:rsid w:val="002F41C9"/>
    <w:rsid w:val="002F46F4"/>
    <w:rsid w:val="002F4A39"/>
    <w:rsid w:val="002F580B"/>
    <w:rsid w:val="002F6112"/>
    <w:rsid w:val="002F69C8"/>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69C3"/>
    <w:rsid w:val="00307021"/>
    <w:rsid w:val="003070E3"/>
    <w:rsid w:val="003072A5"/>
    <w:rsid w:val="0030760F"/>
    <w:rsid w:val="00307D92"/>
    <w:rsid w:val="003107A4"/>
    <w:rsid w:val="00310B16"/>
    <w:rsid w:val="00310CD3"/>
    <w:rsid w:val="003116F8"/>
    <w:rsid w:val="00311C49"/>
    <w:rsid w:val="0031203F"/>
    <w:rsid w:val="0031253A"/>
    <w:rsid w:val="0031285D"/>
    <w:rsid w:val="003129AB"/>
    <w:rsid w:val="00313AB5"/>
    <w:rsid w:val="00313F8E"/>
    <w:rsid w:val="00314C6C"/>
    <w:rsid w:val="003150F2"/>
    <w:rsid w:val="00315729"/>
    <w:rsid w:val="003159E9"/>
    <w:rsid w:val="00316BBE"/>
    <w:rsid w:val="00316CE0"/>
    <w:rsid w:val="0031755F"/>
    <w:rsid w:val="00317CE8"/>
    <w:rsid w:val="00320C2F"/>
    <w:rsid w:val="00321007"/>
    <w:rsid w:val="00321169"/>
    <w:rsid w:val="003212F5"/>
    <w:rsid w:val="00321E70"/>
    <w:rsid w:val="00321FA1"/>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2742F"/>
    <w:rsid w:val="003301DA"/>
    <w:rsid w:val="00330393"/>
    <w:rsid w:val="003308DD"/>
    <w:rsid w:val="00331231"/>
    <w:rsid w:val="003314B0"/>
    <w:rsid w:val="0033203F"/>
    <w:rsid w:val="003320AE"/>
    <w:rsid w:val="0033269A"/>
    <w:rsid w:val="00332732"/>
    <w:rsid w:val="00332C07"/>
    <w:rsid w:val="0033333D"/>
    <w:rsid w:val="00334084"/>
    <w:rsid w:val="003344D6"/>
    <w:rsid w:val="00334BA3"/>
    <w:rsid w:val="0033601E"/>
    <w:rsid w:val="00336346"/>
    <w:rsid w:val="00336445"/>
    <w:rsid w:val="003365B9"/>
    <w:rsid w:val="00336B0B"/>
    <w:rsid w:val="00337634"/>
    <w:rsid w:val="003377C0"/>
    <w:rsid w:val="00337824"/>
    <w:rsid w:val="00337CC0"/>
    <w:rsid w:val="003408E4"/>
    <w:rsid w:val="00340A75"/>
    <w:rsid w:val="00340E69"/>
    <w:rsid w:val="00341826"/>
    <w:rsid w:val="00341EC4"/>
    <w:rsid w:val="00342008"/>
    <w:rsid w:val="00342CBB"/>
    <w:rsid w:val="0034372C"/>
    <w:rsid w:val="00344210"/>
    <w:rsid w:val="00345805"/>
    <w:rsid w:val="00345816"/>
    <w:rsid w:val="00346186"/>
    <w:rsid w:val="00346705"/>
    <w:rsid w:val="00346759"/>
    <w:rsid w:val="00346809"/>
    <w:rsid w:val="00346A85"/>
    <w:rsid w:val="003473E0"/>
    <w:rsid w:val="00352A1B"/>
    <w:rsid w:val="00352ACC"/>
    <w:rsid w:val="00352DF8"/>
    <w:rsid w:val="003538E0"/>
    <w:rsid w:val="00353DA4"/>
    <w:rsid w:val="00353E3A"/>
    <w:rsid w:val="00354128"/>
    <w:rsid w:val="0035558C"/>
    <w:rsid w:val="00355B01"/>
    <w:rsid w:val="003564AC"/>
    <w:rsid w:val="00356870"/>
    <w:rsid w:val="003568FD"/>
    <w:rsid w:val="00356B34"/>
    <w:rsid w:val="00356ECF"/>
    <w:rsid w:val="003571BE"/>
    <w:rsid w:val="003576E8"/>
    <w:rsid w:val="003600CF"/>
    <w:rsid w:val="0036034E"/>
    <w:rsid w:val="00360E0F"/>
    <w:rsid w:val="00360EC9"/>
    <w:rsid w:val="00361862"/>
    <w:rsid w:val="00361BD5"/>
    <w:rsid w:val="003626B6"/>
    <w:rsid w:val="003628C0"/>
    <w:rsid w:val="0036420F"/>
    <w:rsid w:val="0036453F"/>
    <w:rsid w:val="00365502"/>
    <w:rsid w:val="00366169"/>
    <w:rsid w:val="00366A33"/>
    <w:rsid w:val="003673A2"/>
    <w:rsid w:val="0037024A"/>
    <w:rsid w:val="0037064A"/>
    <w:rsid w:val="00370966"/>
    <w:rsid w:val="00370BEE"/>
    <w:rsid w:val="00370E12"/>
    <w:rsid w:val="0037119B"/>
    <w:rsid w:val="003712B0"/>
    <w:rsid w:val="00372745"/>
    <w:rsid w:val="003753EF"/>
    <w:rsid w:val="00375850"/>
    <w:rsid w:val="00376083"/>
    <w:rsid w:val="003762EE"/>
    <w:rsid w:val="00376AA3"/>
    <w:rsid w:val="0037768A"/>
    <w:rsid w:val="0037783B"/>
    <w:rsid w:val="00377974"/>
    <w:rsid w:val="00377A8B"/>
    <w:rsid w:val="00377C87"/>
    <w:rsid w:val="00377E60"/>
    <w:rsid w:val="00381229"/>
    <w:rsid w:val="00381988"/>
    <w:rsid w:val="00381E63"/>
    <w:rsid w:val="0038211A"/>
    <w:rsid w:val="00382A49"/>
    <w:rsid w:val="00382BC3"/>
    <w:rsid w:val="003837CA"/>
    <w:rsid w:val="00383836"/>
    <w:rsid w:val="00383B17"/>
    <w:rsid w:val="00384EC8"/>
    <w:rsid w:val="003851CC"/>
    <w:rsid w:val="0038548A"/>
    <w:rsid w:val="003859E0"/>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1D72"/>
    <w:rsid w:val="00393429"/>
    <w:rsid w:val="00393653"/>
    <w:rsid w:val="0039385A"/>
    <w:rsid w:val="003939C7"/>
    <w:rsid w:val="00394643"/>
    <w:rsid w:val="00394B26"/>
    <w:rsid w:val="00394BB0"/>
    <w:rsid w:val="00394BC9"/>
    <w:rsid w:val="00394C8C"/>
    <w:rsid w:val="00394D03"/>
    <w:rsid w:val="0039527D"/>
    <w:rsid w:val="0039579D"/>
    <w:rsid w:val="0039612A"/>
    <w:rsid w:val="003967B8"/>
    <w:rsid w:val="00396C0D"/>
    <w:rsid w:val="00396D61"/>
    <w:rsid w:val="00396F06"/>
    <w:rsid w:val="00397250"/>
    <w:rsid w:val="003973AE"/>
    <w:rsid w:val="003975AD"/>
    <w:rsid w:val="00397BF1"/>
    <w:rsid w:val="00397CB3"/>
    <w:rsid w:val="003A0478"/>
    <w:rsid w:val="003A08D5"/>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1EB1"/>
    <w:rsid w:val="003B2440"/>
    <w:rsid w:val="003B2F9A"/>
    <w:rsid w:val="003B3267"/>
    <w:rsid w:val="003B32CA"/>
    <w:rsid w:val="003B3F41"/>
    <w:rsid w:val="003B42B8"/>
    <w:rsid w:val="003B4740"/>
    <w:rsid w:val="003B48DF"/>
    <w:rsid w:val="003B4B55"/>
    <w:rsid w:val="003B4D95"/>
    <w:rsid w:val="003B676B"/>
    <w:rsid w:val="003B6824"/>
    <w:rsid w:val="003B6B60"/>
    <w:rsid w:val="003B6F9D"/>
    <w:rsid w:val="003B735A"/>
    <w:rsid w:val="003B794A"/>
    <w:rsid w:val="003B7A12"/>
    <w:rsid w:val="003B7E77"/>
    <w:rsid w:val="003C01DC"/>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58F3"/>
    <w:rsid w:val="003C6094"/>
    <w:rsid w:val="003C622D"/>
    <w:rsid w:val="003C63C9"/>
    <w:rsid w:val="003C6733"/>
    <w:rsid w:val="003C6C82"/>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A3"/>
    <w:rsid w:val="003D6BDB"/>
    <w:rsid w:val="003D6EFA"/>
    <w:rsid w:val="003D7238"/>
    <w:rsid w:val="003D7955"/>
    <w:rsid w:val="003E0233"/>
    <w:rsid w:val="003E1893"/>
    <w:rsid w:val="003E199C"/>
    <w:rsid w:val="003E1AD0"/>
    <w:rsid w:val="003E1B95"/>
    <w:rsid w:val="003E2D79"/>
    <w:rsid w:val="003E2EBB"/>
    <w:rsid w:val="003E3324"/>
    <w:rsid w:val="003E3D15"/>
    <w:rsid w:val="003E52FC"/>
    <w:rsid w:val="003E5548"/>
    <w:rsid w:val="003E6C33"/>
    <w:rsid w:val="003F0825"/>
    <w:rsid w:val="003F089F"/>
    <w:rsid w:val="003F0D93"/>
    <w:rsid w:val="003F11E9"/>
    <w:rsid w:val="003F1B2E"/>
    <w:rsid w:val="003F1F6C"/>
    <w:rsid w:val="003F2C55"/>
    <w:rsid w:val="003F2D41"/>
    <w:rsid w:val="003F3DAA"/>
    <w:rsid w:val="003F3FA3"/>
    <w:rsid w:val="003F4AFD"/>
    <w:rsid w:val="003F4F87"/>
    <w:rsid w:val="003F4F89"/>
    <w:rsid w:val="003F50D8"/>
    <w:rsid w:val="003F5291"/>
    <w:rsid w:val="003F54AB"/>
    <w:rsid w:val="003F5643"/>
    <w:rsid w:val="003F574B"/>
    <w:rsid w:val="003F57AF"/>
    <w:rsid w:val="003F650A"/>
    <w:rsid w:val="003F71AB"/>
    <w:rsid w:val="003F7208"/>
    <w:rsid w:val="003F72EC"/>
    <w:rsid w:val="003F753B"/>
    <w:rsid w:val="003F7B22"/>
    <w:rsid w:val="003F7CA9"/>
    <w:rsid w:val="003F7F1E"/>
    <w:rsid w:val="004000C2"/>
    <w:rsid w:val="00400408"/>
    <w:rsid w:val="00400531"/>
    <w:rsid w:val="00400F51"/>
    <w:rsid w:val="00400FF8"/>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4CDD"/>
    <w:rsid w:val="004154C9"/>
    <w:rsid w:val="004154CB"/>
    <w:rsid w:val="00415686"/>
    <w:rsid w:val="00415D09"/>
    <w:rsid w:val="00416076"/>
    <w:rsid w:val="004169AC"/>
    <w:rsid w:val="00416A8F"/>
    <w:rsid w:val="0041703F"/>
    <w:rsid w:val="00417457"/>
    <w:rsid w:val="004177E0"/>
    <w:rsid w:val="00417D32"/>
    <w:rsid w:val="00417DBA"/>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49A2"/>
    <w:rsid w:val="0042550F"/>
    <w:rsid w:val="004257D0"/>
    <w:rsid w:val="004257E4"/>
    <w:rsid w:val="00425D5E"/>
    <w:rsid w:val="004260BF"/>
    <w:rsid w:val="004268FB"/>
    <w:rsid w:val="004269BA"/>
    <w:rsid w:val="004272F5"/>
    <w:rsid w:val="004275C7"/>
    <w:rsid w:val="00427C7B"/>
    <w:rsid w:val="00430287"/>
    <w:rsid w:val="004309CF"/>
    <w:rsid w:val="00430F7A"/>
    <w:rsid w:val="00430FE9"/>
    <w:rsid w:val="00431FF9"/>
    <w:rsid w:val="00432214"/>
    <w:rsid w:val="00432A4A"/>
    <w:rsid w:val="0043377D"/>
    <w:rsid w:val="00433D42"/>
    <w:rsid w:val="0043483B"/>
    <w:rsid w:val="00434CCA"/>
    <w:rsid w:val="004351B4"/>
    <w:rsid w:val="004352C1"/>
    <w:rsid w:val="004359E1"/>
    <w:rsid w:val="00435DE9"/>
    <w:rsid w:val="0043607C"/>
    <w:rsid w:val="0043671D"/>
    <w:rsid w:val="00437343"/>
    <w:rsid w:val="004377AB"/>
    <w:rsid w:val="004404C1"/>
    <w:rsid w:val="004405DF"/>
    <w:rsid w:val="004406B8"/>
    <w:rsid w:val="00440799"/>
    <w:rsid w:val="00440B76"/>
    <w:rsid w:val="00441B96"/>
    <w:rsid w:val="00442247"/>
    <w:rsid w:val="00442734"/>
    <w:rsid w:val="004431E7"/>
    <w:rsid w:val="00443340"/>
    <w:rsid w:val="00443670"/>
    <w:rsid w:val="00444DB3"/>
    <w:rsid w:val="0044521D"/>
    <w:rsid w:val="00445FEA"/>
    <w:rsid w:val="00446444"/>
    <w:rsid w:val="00446543"/>
    <w:rsid w:val="00447047"/>
    <w:rsid w:val="004478B3"/>
    <w:rsid w:val="00447A96"/>
    <w:rsid w:val="00447B3B"/>
    <w:rsid w:val="00447B9E"/>
    <w:rsid w:val="00447F94"/>
    <w:rsid w:val="0045033F"/>
    <w:rsid w:val="00450E60"/>
    <w:rsid w:val="00451209"/>
    <w:rsid w:val="00451448"/>
    <w:rsid w:val="00451622"/>
    <w:rsid w:val="0045196B"/>
    <w:rsid w:val="00451B9B"/>
    <w:rsid w:val="00451D5A"/>
    <w:rsid w:val="00452A5E"/>
    <w:rsid w:val="00453223"/>
    <w:rsid w:val="00453404"/>
    <w:rsid w:val="004539E3"/>
    <w:rsid w:val="00453AE1"/>
    <w:rsid w:val="00453C9B"/>
    <w:rsid w:val="004543F7"/>
    <w:rsid w:val="00454678"/>
    <w:rsid w:val="0045471A"/>
    <w:rsid w:val="00454911"/>
    <w:rsid w:val="00454AF8"/>
    <w:rsid w:val="00454EF2"/>
    <w:rsid w:val="004556A9"/>
    <w:rsid w:val="00455877"/>
    <w:rsid w:val="00455D03"/>
    <w:rsid w:val="00455EB1"/>
    <w:rsid w:val="004561FD"/>
    <w:rsid w:val="0045656C"/>
    <w:rsid w:val="00456E78"/>
    <w:rsid w:val="00456F87"/>
    <w:rsid w:val="004571A9"/>
    <w:rsid w:val="00460683"/>
    <w:rsid w:val="004606F3"/>
    <w:rsid w:val="00461133"/>
    <w:rsid w:val="004618E5"/>
    <w:rsid w:val="00461C5E"/>
    <w:rsid w:val="00461DF5"/>
    <w:rsid w:val="00461EB3"/>
    <w:rsid w:val="00462551"/>
    <w:rsid w:val="00462D25"/>
    <w:rsid w:val="00463038"/>
    <w:rsid w:val="00463C97"/>
    <w:rsid w:val="00464CDE"/>
    <w:rsid w:val="0046513F"/>
    <w:rsid w:val="004654C1"/>
    <w:rsid w:val="00465ADD"/>
    <w:rsid w:val="00465F33"/>
    <w:rsid w:val="00466FFC"/>
    <w:rsid w:val="0046745E"/>
    <w:rsid w:val="00467769"/>
    <w:rsid w:val="00467E74"/>
    <w:rsid w:val="00467FFC"/>
    <w:rsid w:val="0047095D"/>
    <w:rsid w:val="0047108B"/>
    <w:rsid w:val="004711F7"/>
    <w:rsid w:val="00471437"/>
    <w:rsid w:val="00471563"/>
    <w:rsid w:val="00471BB0"/>
    <w:rsid w:val="00472045"/>
    <w:rsid w:val="004725AB"/>
    <w:rsid w:val="004726F2"/>
    <w:rsid w:val="00472F8A"/>
    <w:rsid w:val="004734D3"/>
    <w:rsid w:val="00473E1D"/>
    <w:rsid w:val="00474C2C"/>
    <w:rsid w:val="004752F4"/>
    <w:rsid w:val="004755B7"/>
    <w:rsid w:val="00475771"/>
    <w:rsid w:val="00475B0B"/>
    <w:rsid w:val="004766C8"/>
    <w:rsid w:val="00477A3E"/>
    <w:rsid w:val="00477A4D"/>
    <w:rsid w:val="00477CEE"/>
    <w:rsid w:val="00477DA8"/>
    <w:rsid w:val="00477DDB"/>
    <w:rsid w:val="00477E52"/>
    <w:rsid w:val="00480435"/>
    <w:rsid w:val="00480AF9"/>
    <w:rsid w:val="00480EB5"/>
    <w:rsid w:val="00481EAC"/>
    <w:rsid w:val="00482911"/>
    <w:rsid w:val="0048436F"/>
    <w:rsid w:val="00484818"/>
    <w:rsid w:val="00484EE6"/>
    <w:rsid w:val="004857B4"/>
    <w:rsid w:val="00486088"/>
    <w:rsid w:val="004860F7"/>
    <w:rsid w:val="00486F2E"/>
    <w:rsid w:val="00487183"/>
    <w:rsid w:val="00487A31"/>
    <w:rsid w:val="00487AC6"/>
    <w:rsid w:val="004901DF"/>
    <w:rsid w:val="004908DC"/>
    <w:rsid w:val="00490B98"/>
    <w:rsid w:val="004914A0"/>
    <w:rsid w:val="00491817"/>
    <w:rsid w:val="0049195E"/>
    <w:rsid w:val="00491CA2"/>
    <w:rsid w:val="004924FA"/>
    <w:rsid w:val="00493A24"/>
    <w:rsid w:val="00493B3D"/>
    <w:rsid w:val="00495022"/>
    <w:rsid w:val="004951DD"/>
    <w:rsid w:val="004956A8"/>
    <w:rsid w:val="004957C4"/>
    <w:rsid w:val="00495820"/>
    <w:rsid w:val="00495920"/>
    <w:rsid w:val="0049733C"/>
    <w:rsid w:val="00497552"/>
    <w:rsid w:val="004A00B2"/>
    <w:rsid w:val="004A0330"/>
    <w:rsid w:val="004A0420"/>
    <w:rsid w:val="004A0799"/>
    <w:rsid w:val="004A0819"/>
    <w:rsid w:val="004A09C9"/>
    <w:rsid w:val="004A09DF"/>
    <w:rsid w:val="004A128E"/>
    <w:rsid w:val="004A17B2"/>
    <w:rsid w:val="004A1ABB"/>
    <w:rsid w:val="004A26CF"/>
    <w:rsid w:val="004A26D0"/>
    <w:rsid w:val="004A3842"/>
    <w:rsid w:val="004A3CC6"/>
    <w:rsid w:val="004A4093"/>
    <w:rsid w:val="004A43EF"/>
    <w:rsid w:val="004A4568"/>
    <w:rsid w:val="004A5199"/>
    <w:rsid w:val="004A57C7"/>
    <w:rsid w:val="004A6543"/>
    <w:rsid w:val="004B0934"/>
    <w:rsid w:val="004B0E1C"/>
    <w:rsid w:val="004B0F98"/>
    <w:rsid w:val="004B1367"/>
    <w:rsid w:val="004B1627"/>
    <w:rsid w:val="004B1B07"/>
    <w:rsid w:val="004B217A"/>
    <w:rsid w:val="004B2788"/>
    <w:rsid w:val="004B4444"/>
    <w:rsid w:val="004B4F49"/>
    <w:rsid w:val="004B5552"/>
    <w:rsid w:val="004B59A4"/>
    <w:rsid w:val="004B5AE3"/>
    <w:rsid w:val="004B5E9C"/>
    <w:rsid w:val="004B6022"/>
    <w:rsid w:val="004B6705"/>
    <w:rsid w:val="004B6916"/>
    <w:rsid w:val="004B71CC"/>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3894"/>
    <w:rsid w:val="004D424D"/>
    <w:rsid w:val="004D4848"/>
    <w:rsid w:val="004D4FDB"/>
    <w:rsid w:val="004D586F"/>
    <w:rsid w:val="004D5EAF"/>
    <w:rsid w:val="004D6131"/>
    <w:rsid w:val="004D667D"/>
    <w:rsid w:val="004D6802"/>
    <w:rsid w:val="004D687F"/>
    <w:rsid w:val="004D7A45"/>
    <w:rsid w:val="004D7F11"/>
    <w:rsid w:val="004E0347"/>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4B5"/>
    <w:rsid w:val="004E758A"/>
    <w:rsid w:val="004F07A7"/>
    <w:rsid w:val="004F1ECF"/>
    <w:rsid w:val="004F2AAA"/>
    <w:rsid w:val="004F33BC"/>
    <w:rsid w:val="004F3826"/>
    <w:rsid w:val="004F3908"/>
    <w:rsid w:val="004F3DB1"/>
    <w:rsid w:val="004F3DDE"/>
    <w:rsid w:val="004F409C"/>
    <w:rsid w:val="004F465F"/>
    <w:rsid w:val="004F469C"/>
    <w:rsid w:val="004F48EA"/>
    <w:rsid w:val="004F4E2F"/>
    <w:rsid w:val="004F67B5"/>
    <w:rsid w:val="004F767F"/>
    <w:rsid w:val="004F7729"/>
    <w:rsid w:val="004F7F72"/>
    <w:rsid w:val="005000DC"/>
    <w:rsid w:val="005003F8"/>
    <w:rsid w:val="00500DD9"/>
    <w:rsid w:val="00500DE4"/>
    <w:rsid w:val="00500E8C"/>
    <w:rsid w:val="005012BA"/>
    <w:rsid w:val="005013EA"/>
    <w:rsid w:val="005013EF"/>
    <w:rsid w:val="005014BA"/>
    <w:rsid w:val="00501EB9"/>
    <w:rsid w:val="005022F1"/>
    <w:rsid w:val="00502303"/>
    <w:rsid w:val="00503E1F"/>
    <w:rsid w:val="00503F69"/>
    <w:rsid w:val="00503F9A"/>
    <w:rsid w:val="00504318"/>
    <w:rsid w:val="00504371"/>
    <w:rsid w:val="00504C42"/>
    <w:rsid w:val="0050558D"/>
    <w:rsid w:val="005059BB"/>
    <w:rsid w:val="00505AFC"/>
    <w:rsid w:val="005061BA"/>
    <w:rsid w:val="0050640F"/>
    <w:rsid w:val="00507688"/>
    <w:rsid w:val="00507AD8"/>
    <w:rsid w:val="00507B33"/>
    <w:rsid w:val="0051013E"/>
    <w:rsid w:val="005102D0"/>
    <w:rsid w:val="005118F6"/>
    <w:rsid w:val="0051244B"/>
    <w:rsid w:val="00513432"/>
    <w:rsid w:val="00513478"/>
    <w:rsid w:val="005139F7"/>
    <w:rsid w:val="00514D41"/>
    <w:rsid w:val="00514D7D"/>
    <w:rsid w:val="00514E6E"/>
    <w:rsid w:val="0051556C"/>
    <w:rsid w:val="005166DB"/>
    <w:rsid w:val="005167EF"/>
    <w:rsid w:val="00516BDE"/>
    <w:rsid w:val="00516DAA"/>
    <w:rsid w:val="005179E9"/>
    <w:rsid w:val="0052062D"/>
    <w:rsid w:val="00520736"/>
    <w:rsid w:val="005207B5"/>
    <w:rsid w:val="00521036"/>
    <w:rsid w:val="00521D32"/>
    <w:rsid w:val="005221AD"/>
    <w:rsid w:val="00522427"/>
    <w:rsid w:val="00522BB5"/>
    <w:rsid w:val="00522BDF"/>
    <w:rsid w:val="00524A74"/>
    <w:rsid w:val="00524D1C"/>
    <w:rsid w:val="005255A4"/>
    <w:rsid w:val="00526BC2"/>
    <w:rsid w:val="005270FE"/>
    <w:rsid w:val="005271BF"/>
    <w:rsid w:val="0052720A"/>
    <w:rsid w:val="005300E7"/>
    <w:rsid w:val="005311E1"/>
    <w:rsid w:val="0053276C"/>
    <w:rsid w:val="00532B10"/>
    <w:rsid w:val="00532F5B"/>
    <w:rsid w:val="00533206"/>
    <w:rsid w:val="00534AFE"/>
    <w:rsid w:val="00535419"/>
    <w:rsid w:val="0053590A"/>
    <w:rsid w:val="00536A80"/>
    <w:rsid w:val="005372C3"/>
    <w:rsid w:val="00537607"/>
    <w:rsid w:val="00537E3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1F5"/>
    <w:rsid w:val="00545A43"/>
    <w:rsid w:val="00545B0B"/>
    <w:rsid w:val="00545B15"/>
    <w:rsid w:val="0054629A"/>
    <w:rsid w:val="00546E88"/>
    <w:rsid w:val="00547169"/>
    <w:rsid w:val="00547D5C"/>
    <w:rsid w:val="00547FA9"/>
    <w:rsid w:val="00550461"/>
    <w:rsid w:val="00550741"/>
    <w:rsid w:val="00551191"/>
    <w:rsid w:val="0055190E"/>
    <w:rsid w:val="00551B24"/>
    <w:rsid w:val="00551B59"/>
    <w:rsid w:val="00551BE7"/>
    <w:rsid w:val="0055273E"/>
    <w:rsid w:val="0055274E"/>
    <w:rsid w:val="00552B1F"/>
    <w:rsid w:val="005530A6"/>
    <w:rsid w:val="00553643"/>
    <w:rsid w:val="00553A55"/>
    <w:rsid w:val="00553AD3"/>
    <w:rsid w:val="00553BBA"/>
    <w:rsid w:val="00553F65"/>
    <w:rsid w:val="00554CD4"/>
    <w:rsid w:val="00554DF6"/>
    <w:rsid w:val="00554EC2"/>
    <w:rsid w:val="00555222"/>
    <w:rsid w:val="005553C8"/>
    <w:rsid w:val="00555603"/>
    <w:rsid w:val="00556E85"/>
    <w:rsid w:val="00557EAA"/>
    <w:rsid w:val="005600F7"/>
    <w:rsid w:val="00560610"/>
    <w:rsid w:val="00560779"/>
    <w:rsid w:val="00561429"/>
    <w:rsid w:val="005617C4"/>
    <w:rsid w:val="00561822"/>
    <w:rsid w:val="0056260C"/>
    <w:rsid w:val="0056327A"/>
    <w:rsid w:val="005632BC"/>
    <w:rsid w:val="005633DF"/>
    <w:rsid w:val="0056358A"/>
    <w:rsid w:val="00563D2A"/>
    <w:rsid w:val="0056433E"/>
    <w:rsid w:val="005653C0"/>
    <w:rsid w:val="0056542E"/>
    <w:rsid w:val="00565EBD"/>
    <w:rsid w:val="005665B9"/>
    <w:rsid w:val="00566BE6"/>
    <w:rsid w:val="005678C1"/>
    <w:rsid w:val="005679C4"/>
    <w:rsid w:val="00567F26"/>
    <w:rsid w:val="00570838"/>
    <w:rsid w:val="00570876"/>
    <w:rsid w:val="005708A4"/>
    <w:rsid w:val="00570FBE"/>
    <w:rsid w:val="00571294"/>
    <w:rsid w:val="005717C1"/>
    <w:rsid w:val="00571CCD"/>
    <w:rsid w:val="005721C3"/>
    <w:rsid w:val="00572656"/>
    <w:rsid w:val="005726E4"/>
    <w:rsid w:val="0057298C"/>
    <w:rsid w:val="00572F28"/>
    <w:rsid w:val="00573082"/>
    <w:rsid w:val="005736C6"/>
    <w:rsid w:val="0057396E"/>
    <w:rsid w:val="00573A46"/>
    <w:rsid w:val="005747B6"/>
    <w:rsid w:val="00574B2D"/>
    <w:rsid w:val="005758D6"/>
    <w:rsid w:val="00575BC9"/>
    <w:rsid w:val="0057660C"/>
    <w:rsid w:val="00576813"/>
    <w:rsid w:val="005770D9"/>
    <w:rsid w:val="005771D9"/>
    <w:rsid w:val="00580203"/>
    <w:rsid w:val="00580853"/>
    <w:rsid w:val="0058221A"/>
    <w:rsid w:val="0058223C"/>
    <w:rsid w:val="00582523"/>
    <w:rsid w:val="00582B7F"/>
    <w:rsid w:val="00582DDA"/>
    <w:rsid w:val="005835B1"/>
    <w:rsid w:val="0058364B"/>
    <w:rsid w:val="0058366F"/>
    <w:rsid w:val="00583929"/>
    <w:rsid w:val="00583EE0"/>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0DF0"/>
    <w:rsid w:val="005A2E2D"/>
    <w:rsid w:val="005A34E3"/>
    <w:rsid w:val="005A3C1D"/>
    <w:rsid w:val="005A3FDC"/>
    <w:rsid w:val="005A51AB"/>
    <w:rsid w:val="005A5251"/>
    <w:rsid w:val="005A52DD"/>
    <w:rsid w:val="005A5CBF"/>
    <w:rsid w:val="005A6619"/>
    <w:rsid w:val="005A6633"/>
    <w:rsid w:val="005A6AB6"/>
    <w:rsid w:val="005A6BE4"/>
    <w:rsid w:val="005A706A"/>
    <w:rsid w:val="005B0A33"/>
    <w:rsid w:val="005B0C2B"/>
    <w:rsid w:val="005B1427"/>
    <w:rsid w:val="005B19CE"/>
    <w:rsid w:val="005B1B38"/>
    <w:rsid w:val="005B1E8A"/>
    <w:rsid w:val="005B1EA5"/>
    <w:rsid w:val="005B1EEB"/>
    <w:rsid w:val="005B1F51"/>
    <w:rsid w:val="005B21B3"/>
    <w:rsid w:val="005B238B"/>
    <w:rsid w:val="005B2589"/>
    <w:rsid w:val="005B27AA"/>
    <w:rsid w:val="005B298E"/>
    <w:rsid w:val="005B3863"/>
    <w:rsid w:val="005B43C4"/>
    <w:rsid w:val="005B474A"/>
    <w:rsid w:val="005B4E6C"/>
    <w:rsid w:val="005B512F"/>
    <w:rsid w:val="005B51E1"/>
    <w:rsid w:val="005B5322"/>
    <w:rsid w:val="005B60AD"/>
    <w:rsid w:val="005B61E6"/>
    <w:rsid w:val="005B6383"/>
    <w:rsid w:val="005B6BC8"/>
    <w:rsid w:val="005B6D68"/>
    <w:rsid w:val="005B7B5B"/>
    <w:rsid w:val="005B7DF3"/>
    <w:rsid w:val="005C0028"/>
    <w:rsid w:val="005C1288"/>
    <w:rsid w:val="005C1772"/>
    <w:rsid w:val="005C1DC4"/>
    <w:rsid w:val="005C26EF"/>
    <w:rsid w:val="005C2C01"/>
    <w:rsid w:val="005C2FC3"/>
    <w:rsid w:val="005C30CC"/>
    <w:rsid w:val="005C3371"/>
    <w:rsid w:val="005C4DAE"/>
    <w:rsid w:val="005C5388"/>
    <w:rsid w:val="005C53A3"/>
    <w:rsid w:val="005C5765"/>
    <w:rsid w:val="005C58CA"/>
    <w:rsid w:val="005C6C98"/>
    <w:rsid w:val="005C6CE1"/>
    <w:rsid w:val="005C6FFD"/>
    <w:rsid w:val="005C7689"/>
    <w:rsid w:val="005C79E2"/>
    <w:rsid w:val="005C7A9D"/>
    <w:rsid w:val="005C7DFC"/>
    <w:rsid w:val="005D0106"/>
    <w:rsid w:val="005D0313"/>
    <w:rsid w:val="005D03BE"/>
    <w:rsid w:val="005D04AA"/>
    <w:rsid w:val="005D0DB1"/>
    <w:rsid w:val="005D0F27"/>
    <w:rsid w:val="005D147A"/>
    <w:rsid w:val="005D1753"/>
    <w:rsid w:val="005D189B"/>
    <w:rsid w:val="005D2406"/>
    <w:rsid w:val="005D2D17"/>
    <w:rsid w:val="005D383A"/>
    <w:rsid w:val="005D3DEB"/>
    <w:rsid w:val="005D412B"/>
    <w:rsid w:val="005D4A51"/>
    <w:rsid w:val="005D4FD9"/>
    <w:rsid w:val="005D657B"/>
    <w:rsid w:val="005D6EB0"/>
    <w:rsid w:val="005D6FA0"/>
    <w:rsid w:val="005D7616"/>
    <w:rsid w:val="005D76C1"/>
    <w:rsid w:val="005D78D5"/>
    <w:rsid w:val="005D7B05"/>
    <w:rsid w:val="005E028F"/>
    <w:rsid w:val="005E02D4"/>
    <w:rsid w:val="005E0650"/>
    <w:rsid w:val="005E0B4E"/>
    <w:rsid w:val="005E16B2"/>
    <w:rsid w:val="005E17C4"/>
    <w:rsid w:val="005E1DE2"/>
    <w:rsid w:val="005E36E4"/>
    <w:rsid w:val="005E47AC"/>
    <w:rsid w:val="005E52F6"/>
    <w:rsid w:val="005E5491"/>
    <w:rsid w:val="005E5738"/>
    <w:rsid w:val="005E601E"/>
    <w:rsid w:val="005E63A1"/>
    <w:rsid w:val="005E66FD"/>
    <w:rsid w:val="005E6B16"/>
    <w:rsid w:val="005E7A06"/>
    <w:rsid w:val="005F012F"/>
    <w:rsid w:val="005F0DB2"/>
    <w:rsid w:val="005F11FD"/>
    <w:rsid w:val="005F1B98"/>
    <w:rsid w:val="005F1BB0"/>
    <w:rsid w:val="005F2E8C"/>
    <w:rsid w:val="005F3575"/>
    <w:rsid w:val="005F3AC3"/>
    <w:rsid w:val="005F4129"/>
    <w:rsid w:val="005F4579"/>
    <w:rsid w:val="005F45A9"/>
    <w:rsid w:val="005F496F"/>
    <w:rsid w:val="005F5341"/>
    <w:rsid w:val="005F535E"/>
    <w:rsid w:val="005F5419"/>
    <w:rsid w:val="005F5B2F"/>
    <w:rsid w:val="005F5E55"/>
    <w:rsid w:val="005F6921"/>
    <w:rsid w:val="005F6BCA"/>
    <w:rsid w:val="005F7293"/>
    <w:rsid w:val="005F7540"/>
    <w:rsid w:val="005F77B7"/>
    <w:rsid w:val="00600198"/>
    <w:rsid w:val="00601F9E"/>
    <w:rsid w:val="006027E3"/>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22BE"/>
    <w:rsid w:val="0062395E"/>
    <w:rsid w:val="00623C5E"/>
    <w:rsid w:val="00623D9F"/>
    <w:rsid w:val="0062405E"/>
    <w:rsid w:val="00624EA6"/>
    <w:rsid w:val="00626C86"/>
    <w:rsid w:val="00626D4C"/>
    <w:rsid w:val="00626D57"/>
    <w:rsid w:val="0062743D"/>
    <w:rsid w:val="00627E4B"/>
    <w:rsid w:val="0063081A"/>
    <w:rsid w:val="0063096F"/>
    <w:rsid w:val="00631218"/>
    <w:rsid w:val="0063156D"/>
    <w:rsid w:val="00631595"/>
    <w:rsid w:val="00631677"/>
    <w:rsid w:val="00631683"/>
    <w:rsid w:val="00632337"/>
    <w:rsid w:val="00632826"/>
    <w:rsid w:val="00632BD9"/>
    <w:rsid w:val="00633207"/>
    <w:rsid w:val="006336C2"/>
    <w:rsid w:val="0063394D"/>
    <w:rsid w:val="0063401E"/>
    <w:rsid w:val="00634930"/>
    <w:rsid w:val="00634C18"/>
    <w:rsid w:val="00634E37"/>
    <w:rsid w:val="00635D6C"/>
    <w:rsid w:val="006360ED"/>
    <w:rsid w:val="00636ADA"/>
    <w:rsid w:val="0063701C"/>
    <w:rsid w:val="00637143"/>
    <w:rsid w:val="0063716C"/>
    <w:rsid w:val="00637331"/>
    <w:rsid w:val="006375A9"/>
    <w:rsid w:val="00637860"/>
    <w:rsid w:val="0064000F"/>
    <w:rsid w:val="0064038D"/>
    <w:rsid w:val="006406A1"/>
    <w:rsid w:val="00640DE1"/>
    <w:rsid w:val="006413C6"/>
    <w:rsid w:val="00641645"/>
    <w:rsid w:val="00642031"/>
    <w:rsid w:val="006427A7"/>
    <w:rsid w:val="00642D38"/>
    <w:rsid w:val="00642E48"/>
    <w:rsid w:val="0064303B"/>
    <w:rsid w:val="00643290"/>
    <w:rsid w:val="006439A7"/>
    <w:rsid w:val="00644662"/>
    <w:rsid w:val="0064493B"/>
    <w:rsid w:val="00644A97"/>
    <w:rsid w:val="0064503E"/>
    <w:rsid w:val="00645751"/>
    <w:rsid w:val="00645A74"/>
    <w:rsid w:val="006463FF"/>
    <w:rsid w:val="006465AF"/>
    <w:rsid w:val="00646E15"/>
    <w:rsid w:val="00646F2C"/>
    <w:rsid w:val="00647524"/>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807"/>
    <w:rsid w:val="006579F6"/>
    <w:rsid w:val="00657B5A"/>
    <w:rsid w:val="00660240"/>
    <w:rsid w:val="00661934"/>
    <w:rsid w:val="00662150"/>
    <w:rsid w:val="0066274A"/>
    <w:rsid w:val="006628FA"/>
    <w:rsid w:val="00662A96"/>
    <w:rsid w:val="0066437A"/>
    <w:rsid w:val="006658AF"/>
    <w:rsid w:val="00665EB7"/>
    <w:rsid w:val="00665F68"/>
    <w:rsid w:val="00666B7E"/>
    <w:rsid w:val="00670F9D"/>
    <w:rsid w:val="00671720"/>
    <w:rsid w:val="0067194B"/>
    <w:rsid w:val="006720A9"/>
    <w:rsid w:val="006729BE"/>
    <w:rsid w:val="00672A5E"/>
    <w:rsid w:val="00672DBF"/>
    <w:rsid w:val="00673593"/>
    <w:rsid w:val="006736F7"/>
    <w:rsid w:val="00673F9A"/>
    <w:rsid w:val="00674F14"/>
    <w:rsid w:val="00674F3A"/>
    <w:rsid w:val="006752EF"/>
    <w:rsid w:val="006753C4"/>
    <w:rsid w:val="00675429"/>
    <w:rsid w:val="0067558D"/>
    <w:rsid w:val="0067606F"/>
    <w:rsid w:val="006761BC"/>
    <w:rsid w:val="006766EC"/>
    <w:rsid w:val="006770E0"/>
    <w:rsid w:val="006802FE"/>
    <w:rsid w:val="0068051D"/>
    <w:rsid w:val="006805CA"/>
    <w:rsid w:val="00680E51"/>
    <w:rsid w:val="00681B17"/>
    <w:rsid w:val="00682089"/>
    <w:rsid w:val="006826F4"/>
    <w:rsid w:val="00682CA1"/>
    <w:rsid w:val="00683057"/>
    <w:rsid w:val="00684359"/>
    <w:rsid w:val="00684863"/>
    <w:rsid w:val="00684968"/>
    <w:rsid w:val="00684A12"/>
    <w:rsid w:val="006854C2"/>
    <w:rsid w:val="006855CF"/>
    <w:rsid w:val="0068616B"/>
    <w:rsid w:val="0068673A"/>
    <w:rsid w:val="00687372"/>
    <w:rsid w:val="00687650"/>
    <w:rsid w:val="00687B88"/>
    <w:rsid w:val="00687E79"/>
    <w:rsid w:val="00690403"/>
    <w:rsid w:val="00690866"/>
    <w:rsid w:val="00690B50"/>
    <w:rsid w:val="00690D4F"/>
    <w:rsid w:val="006911DC"/>
    <w:rsid w:val="00691242"/>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4D1"/>
    <w:rsid w:val="006A1779"/>
    <w:rsid w:val="006A1875"/>
    <w:rsid w:val="006A1D27"/>
    <w:rsid w:val="006A1D4A"/>
    <w:rsid w:val="006A273A"/>
    <w:rsid w:val="006A27C2"/>
    <w:rsid w:val="006A2FCF"/>
    <w:rsid w:val="006A305C"/>
    <w:rsid w:val="006A357B"/>
    <w:rsid w:val="006A3701"/>
    <w:rsid w:val="006A3D34"/>
    <w:rsid w:val="006A5786"/>
    <w:rsid w:val="006A5814"/>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3414"/>
    <w:rsid w:val="006B450A"/>
    <w:rsid w:val="006B45C4"/>
    <w:rsid w:val="006B4910"/>
    <w:rsid w:val="006B4CEB"/>
    <w:rsid w:val="006B5156"/>
    <w:rsid w:val="006B5496"/>
    <w:rsid w:val="006B6586"/>
    <w:rsid w:val="006B6C74"/>
    <w:rsid w:val="006B714C"/>
    <w:rsid w:val="006B719A"/>
    <w:rsid w:val="006C1678"/>
    <w:rsid w:val="006C18C5"/>
    <w:rsid w:val="006C1B45"/>
    <w:rsid w:val="006C2F92"/>
    <w:rsid w:val="006C2FB0"/>
    <w:rsid w:val="006C319C"/>
    <w:rsid w:val="006C3367"/>
    <w:rsid w:val="006C3455"/>
    <w:rsid w:val="006C3BA5"/>
    <w:rsid w:val="006C3E3B"/>
    <w:rsid w:val="006C4033"/>
    <w:rsid w:val="006C415B"/>
    <w:rsid w:val="006C44FF"/>
    <w:rsid w:val="006C5298"/>
    <w:rsid w:val="006C56E1"/>
    <w:rsid w:val="006C574F"/>
    <w:rsid w:val="006C5A57"/>
    <w:rsid w:val="006C60D4"/>
    <w:rsid w:val="006C6C17"/>
    <w:rsid w:val="006C6D79"/>
    <w:rsid w:val="006D006E"/>
    <w:rsid w:val="006D02B1"/>
    <w:rsid w:val="006D077D"/>
    <w:rsid w:val="006D0819"/>
    <w:rsid w:val="006D14DC"/>
    <w:rsid w:val="006D17D0"/>
    <w:rsid w:val="006D1EA5"/>
    <w:rsid w:val="006D2315"/>
    <w:rsid w:val="006D25F5"/>
    <w:rsid w:val="006D2863"/>
    <w:rsid w:val="006D31C7"/>
    <w:rsid w:val="006D380A"/>
    <w:rsid w:val="006D4543"/>
    <w:rsid w:val="006D45A9"/>
    <w:rsid w:val="006D4607"/>
    <w:rsid w:val="006D478A"/>
    <w:rsid w:val="006D52CC"/>
    <w:rsid w:val="006D6278"/>
    <w:rsid w:val="006D6555"/>
    <w:rsid w:val="006D6DDB"/>
    <w:rsid w:val="006D7052"/>
    <w:rsid w:val="006D70A3"/>
    <w:rsid w:val="006D74BD"/>
    <w:rsid w:val="006D7799"/>
    <w:rsid w:val="006E022F"/>
    <w:rsid w:val="006E0AE9"/>
    <w:rsid w:val="006E0BB8"/>
    <w:rsid w:val="006E0F18"/>
    <w:rsid w:val="006E1A7E"/>
    <w:rsid w:val="006E317C"/>
    <w:rsid w:val="006E32AE"/>
    <w:rsid w:val="006E357C"/>
    <w:rsid w:val="006E3A81"/>
    <w:rsid w:val="006E3D7A"/>
    <w:rsid w:val="006E4927"/>
    <w:rsid w:val="006E4D5D"/>
    <w:rsid w:val="006E4FE4"/>
    <w:rsid w:val="006E643C"/>
    <w:rsid w:val="006E674F"/>
    <w:rsid w:val="006E6765"/>
    <w:rsid w:val="006E69CC"/>
    <w:rsid w:val="006E76BE"/>
    <w:rsid w:val="006E77C8"/>
    <w:rsid w:val="006E7ACA"/>
    <w:rsid w:val="006E7F06"/>
    <w:rsid w:val="006F0872"/>
    <w:rsid w:val="006F08C1"/>
    <w:rsid w:val="006F0EFB"/>
    <w:rsid w:val="006F10BD"/>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013"/>
    <w:rsid w:val="00701D4F"/>
    <w:rsid w:val="007024BA"/>
    <w:rsid w:val="007028C3"/>
    <w:rsid w:val="00703422"/>
    <w:rsid w:val="00703C40"/>
    <w:rsid w:val="00703CBA"/>
    <w:rsid w:val="00703F7A"/>
    <w:rsid w:val="00703F9C"/>
    <w:rsid w:val="007044D2"/>
    <w:rsid w:val="0070462F"/>
    <w:rsid w:val="00704C2E"/>
    <w:rsid w:val="00705001"/>
    <w:rsid w:val="007051DB"/>
    <w:rsid w:val="00705214"/>
    <w:rsid w:val="00705A0F"/>
    <w:rsid w:val="007061B3"/>
    <w:rsid w:val="0070650E"/>
    <w:rsid w:val="007065E5"/>
    <w:rsid w:val="007069B5"/>
    <w:rsid w:val="00706CB7"/>
    <w:rsid w:val="00707932"/>
    <w:rsid w:val="0071040B"/>
    <w:rsid w:val="00711790"/>
    <w:rsid w:val="00711931"/>
    <w:rsid w:val="00712902"/>
    <w:rsid w:val="007133BA"/>
    <w:rsid w:val="0071595E"/>
    <w:rsid w:val="00715A6D"/>
    <w:rsid w:val="00715C2E"/>
    <w:rsid w:val="007164BC"/>
    <w:rsid w:val="007171AF"/>
    <w:rsid w:val="00717646"/>
    <w:rsid w:val="0071766B"/>
    <w:rsid w:val="0071773A"/>
    <w:rsid w:val="00717796"/>
    <w:rsid w:val="00720771"/>
    <w:rsid w:val="00721352"/>
    <w:rsid w:val="00721848"/>
    <w:rsid w:val="00721B6C"/>
    <w:rsid w:val="00721CFB"/>
    <w:rsid w:val="0072254B"/>
    <w:rsid w:val="007226C2"/>
    <w:rsid w:val="00722A14"/>
    <w:rsid w:val="00722E5B"/>
    <w:rsid w:val="0072310D"/>
    <w:rsid w:val="0072312A"/>
    <w:rsid w:val="00723540"/>
    <w:rsid w:val="007235B8"/>
    <w:rsid w:val="007237D0"/>
    <w:rsid w:val="007240E9"/>
    <w:rsid w:val="00724B53"/>
    <w:rsid w:val="00725022"/>
    <w:rsid w:val="00725FB4"/>
    <w:rsid w:val="00725FC0"/>
    <w:rsid w:val="00726A2E"/>
    <w:rsid w:val="00727B8D"/>
    <w:rsid w:val="00727B9C"/>
    <w:rsid w:val="00727E5D"/>
    <w:rsid w:val="00730EBF"/>
    <w:rsid w:val="00730EFA"/>
    <w:rsid w:val="00731287"/>
    <w:rsid w:val="00731381"/>
    <w:rsid w:val="007326E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8B4"/>
    <w:rsid w:val="007419C2"/>
    <w:rsid w:val="00741BCE"/>
    <w:rsid w:val="00741F17"/>
    <w:rsid w:val="00741F64"/>
    <w:rsid w:val="00742659"/>
    <w:rsid w:val="00742D90"/>
    <w:rsid w:val="00743BA2"/>
    <w:rsid w:val="00743BF1"/>
    <w:rsid w:val="00744152"/>
    <w:rsid w:val="00744597"/>
    <w:rsid w:val="00744E38"/>
    <w:rsid w:val="00745DD2"/>
    <w:rsid w:val="007467E0"/>
    <w:rsid w:val="007474C4"/>
    <w:rsid w:val="0074781F"/>
    <w:rsid w:val="00747AF5"/>
    <w:rsid w:val="00747EAB"/>
    <w:rsid w:val="00747EC0"/>
    <w:rsid w:val="00750013"/>
    <w:rsid w:val="00750241"/>
    <w:rsid w:val="0075068A"/>
    <w:rsid w:val="007508BD"/>
    <w:rsid w:val="00750976"/>
    <w:rsid w:val="00750B73"/>
    <w:rsid w:val="00750C6F"/>
    <w:rsid w:val="00751712"/>
    <w:rsid w:val="00751B3A"/>
    <w:rsid w:val="00751DB2"/>
    <w:rsid w:val="00751EEB"/>
    <w:rsid w:val="0075340E"/>
    <w:rsid w:val="0075446B"/>
    <w:rsid w:val="00754D6A"/>
    <w:rsid w:val="00755902"/>
    <w:rsid w:val="00755A94"/>
    <w:rsid w:val="00755C0D"/>
    <w:rsid w:val="00755DBE"/>
    <w:rsid w:val="00756225"/>
    <w:rsid w:val="0075656A"/>
    <w:rsid w:val="0075727B"/>
    <w:rsid w:val="00757877"/>
    <w:rsid w:val="00760928"/>
    <w:rsid w:val="00760DA5"/>
    <w:rsid w:val="0076153B"/>
    <w:rsid w:val="00761899"/>
    <w:rsid w:val="0076314E"/>
    <w:rsid w:val="0076356C"/>
    <w:rsid w:val="00763EFC"/>
    <w:rsid w:val="00763F13"/>
    <w:rsid w:val="00764282"/>
    <w:rsid w:val="0076476B"/>
    <w:rsid w:val="007648C0"/>
    <w:rsid w:val="007656B3"/>
    <w:rsid w:val="00765B77"/>
    <w:rsid w:val="00766436"/>
    <w:rsid w:val="00766516"/>
    <w:rsid w:val="0076746E"/>
    <w:rsid w:val="007676E7"/>
    <w:rsid w:val="00767F1A"/>
    <w:rsid w:val="00770D97"/>
    <w:rsid w:val="007712B6"/>
    <w:rsid w:val="007712D4"/>
    <w:rsid w:val="0077135E"/>
    <w:rsid w:val="007718CA"/>
    <w:rsid w:val="00771921"/>
    <w:rsid w:val="00772044"/>
    <w:rsid w:val="00772AB8"/>
    <w:rsid w:val="00773A0B"/>
    <w:rsid w:val="00773EE2"/>
    <w:rsid w:val="00774495"/>
    <w:rsid w:val="007748AF"/>
    <w:rsid w:val="00775C37"/>
    <w:rsid w:val="00775F78"/>
    <w:rsid w:val="0077674E"/>
    <w:rsid w:val="00776CEF"/>
    <w:rsid w:val="00777668"/>
    <w:rsid w:val="00777B68"/>
    <w:rsid w:val="00780386"/>
    <w:rsid w:val="00780D2A"/>
    <w:rsid w:val="007810E6"/>
    <w:rsid w:val="00781C09"/>
    <w:rsid w:val="00781CFF"/>
    <w:rsid w:val="007822FE"/>
    <w:rsid w:val="00782933"/>
    <w:rsid w:val="00783038"/>
    <w:rsid w:val="0078383A"/>
    <w:rsid w:val="00783C3F"/>
    <w:rsid w:val="00785330"/>
    <w:rsid w:val="00785592"/>
    <w:rsid w:val="007863FA"/>
    <w:rsid w:val="00787578"/>
    <w:rsid w:val="00787BF6"/>
    <w:rsid w:val="00787DA8"/>
    <w:rsid w:val="0079045E"/>
    <w:rsid w:val="00790EE5"/>
    <w:rsid w:val="00791517"/>
    <w:rsid w:val="00791536"/>
    <w:rsid w:val="00791545"/>
    <w:rsid w:val="0079155A"/>
    <w:rsid w:val="00792A2D"/>
    <w:rsid w:val="0079302D"/>
    <w:rsid w:val="0079362E"/>
    <w:rsid w:val="007941F6"/>
    <w:rsid w:val="0079438B"/>
    <w:rsid w:val="00794882"/>
    <w:rsid w:val="00794B48"/>
    <w:rsid w:val="00795225"/>
    <w:rsid w:val="00795C21"/>
    <w:rsid w:val="00796226"/>
    <w:rsid w:val="00796800"/>
    <w:rsid w:val="00797AE2"/>
    <w:rsid w:val="007A008E"/>
    <w:rsid w:val="007A01E3"/>
    <w:rsid w:val="007A0335"/>
    <w:rsid w:val="007A03F8"/>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27"/>
    <w:rsid w:val="007A6B5D"/>
    <w:rsid w:val="007A75F9"/>
    <w:rsid w:val="007A7688"/>
    <w:rsid w:val="007A7E59"/>
    <w:rsid w:val="007A7F69"/>
    <w:rsid w:val="007B0051"/>
    <w:rsid w:val="007B04C4"/>
    <w:rsid w:val="007B04CF"/>
    <w:rsid w:val="007B050A"/>
    <w:rsid w:val="007B0ABA"/>
    <w:rsid w:val="007B0B42"/>
    <w:rsid w:val="007B0EAE"/>
    <w:rsid w:val="007B0F8F"/>
    <w:rsid w:val="007B155A"/>
    <w:rsid w:val="007B220E"/>
    <w:rsid w:val="007B2447"/>
    <w:rsid w:val="007B25CA"/>
    <w:rsid w:val="007B3807"/>
    <w:rsid w:val="007B3D8B"/>
    <w:rsid w:val="007B3E04"/>
    <w:rsid w:val="007B402D"/>
    <w:rsid w:val="007B474B"/>
    <w:rsid w:val="007B524E"/>
    <w:rsid w:val="007B54C5"/>
    <w:rsid w:val="007B578B"/>
    <w:rsid w:val="007B5DCC"/>
    <w:rsid w:val="007B6203"/>
    <w:rsid w:val="007B6DF6"/>
    <w:rsid w:val="007C0222"/>
    <w:rsid w:val="007C05BA"/>
    <w:rsid w:val="007C0B8D"/>
    <w:rsid w:val="007C0F1D"/>
    <w:rsid w:val="007C13A6"/>
    <w:rsid w:val="007C18DE"/>
    <w:rsid w:val="007C1C19"/>
    <w:rsid w:val="007C2D46"/>
    <w:rsid w:val="007C3166"/>
    <w:rsid w:val="007C3538"/>
    <w:rsid w:val="007C36C8"/>
    <w:rsid w:val="007C4DD7"/>
    <w:rsid w:val="007C69D1"/>
    <w:rsid w:val="007C6A18"/>
    <w:rsid w:val="007C6D9E"/>
    <w:rsid w:val="007D00A2"/>
    <w:rsid w:val="007D0553"/>
    <w:rsid w:val="007D12C1"/>
    <w:rsid w:val="007D13E7"/>
    <w:rsid w:val="007D1856"/>
    <w:rsid w:val="007D2457"/>
    <w:rsid w:val="007D27CF"/>
    <w:rsid w:val="007D28ED"/>
    <w:rsid w:val="007D2D64"/>
    <w:rsid w:val="007D2EC1"/>
    <w:rsid w:val="007D3298"/>
    <w:rsid w:val="007D3388"/>
    <w:rsid w:val="007D35F2"/>
    <w:rsid w:val="007D376D"/>
    <w:rsid w:val="007D4605"/>
    <w:rsid w:val="007D4D42"/>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2E1"/>
    <w:rsid w:val="007E441C"/>
    <w:rsid w:val="007E5488"/>
    <w:rsid w:val="007E555E"/>
    <w:rsid w:val="007E56E3"/>
    <w:rsid w:val="007E5CEF"/>
    <w:rsid w:val="007E5F04"/>
    <w:rsid w:val="007E6064"/>
    <w:rsid w:val="007E650F"/>
    <w:rsid w:val="007E6E55"/>
    <w:rsid w:val="007E7CC1"/>
    <w:rsid w:val="007E7DC0"/>
    <w:rsid w:val="007F0351"/>
    <w:rsid w:val="007F0559"/>
    <w:rsid w:val="007F110B"/>
    <w:rsid w:val="007F1738"/>
    <w:rsid w:val="007F1D7D"/>
    <w:rsid w:val="007F22AA"/>
    <w:rsid w:val="007F3F49"/>
    <w:rsid w:val="007F4173"/>
    <w:rsid w:val="007F44A5"/>
    <w:rsid w:val="007F4CA0"/>
    <w:rsid w:val="007F54D5"/>
    <w:rsid w:val="007F5FC8"/>
    <w:rsid w:val="007F6D34"/>
    <w:rsid w:val="007F733A"/>
    <w:rsid w:val="007F74D3"/>
    <w:rsid w:val="007F768A"/>
    <w:rsid w:val="007F7AE0"/>
    <w:rsid w:val="008013E1"/>
    <w:rsid w:val="0080169C"/>
    <w:rsid w:val="00802512"/>
    <w:rsid w:val="008027CB"/>
    <w:rsid w:val="008028E4"/>
    <w:rsid w:val="00802B79"/>
    <w:rsid w:val="00802D21"/>
    <w:rsid w:val="00802E69"/>
    <w:rsid w:val="00802FFF"/>
    <w:rsid w:val="00804881"/>
    <w:rsid w:val="00804B2B"/>
    <w:rsid w:val="00804C63"/>
    <w:rsid w:val="008050D9"/>
    <w:rsid w:val="0080556B"/>
    <w:rsid w:val="00805A33"/>
    <w:rsid w:val="00806169"/>
    <w:rsid w:val="008066C3"/>
    <w:rsid w:val="00806930"/>
    <w:rsid w:val="00806A28"/>
    <w:rsid w:val="008075C1"/>
    <w:rsid w:val="008078FE"/>
    <w:rsid w:val="008108F5"/>
    <w:rsid w:val="00810E5A"/>
    <w:rsid w:val="00810EC2"/>
    <w:rsid w:val="0081161A"/>
    <w:rsid w:val="008116C6"/>
    <w:rsid w:val="0081177B"/>
    <w:rsid w:val="0081216B"/>
    <w:rsid w:val="00812FB2"/>
    <w:rsid w:val="008136F9"/>
    <w:rsid w:val="00813ED8"/>
    <w:rsid w:val="00814327"/>
    <w:rsid w:val="00814D17"/>
    <w:rsid w:val="0081584F"/>
    <w:rsid w:val="008159F0"/>
    <w:rsid w:val="00815B90"/>
    <w:rsid w:val="008162D3"/>
    <w:rsid w:val="0081630A"/>
    <w:rsid w:val="008210BD"/>
    <w:rsid w:val="00821757"/>
    <w:rsid w:val="00822048"/>
    <w:rsid w:val="008226DD"/>
    <w:rsid w:val="00822C1D"/>
    <w:rsid w:val="00822C4E"/>
    <w:rsid w:val="00822D04"/>
    <w:rsid w:val="008237D1"/>
    <w:rsid w:val="00823B85"/>
    <w:rsid w:val="00823E33"/>
    <w:rsid w:val="00824363"/>
    <w:rsid w:val="0082685A"/>
    <w:rsid w:val="00826D55"/>
    <w:rsid w:val="00827196"/>
    <w:rsid w:val="00827309"/>
    <w:rsid w:val="00827642"/>
    <w:rsid w:val="008310FE"/>
    <w:rsid w:val="0083132E"/>
    <w:rsid w:val="00831797"/>
    <w:rsid w:val="008326D3"/>
    <w:rsid w:val="0083276A"/>
    <w:rsid w:val="00833208"/>
    <w:rsid w:val="008338D9"/>
    <w:rsid w:val="00833918"/>
    <w:rsid w:val="00834029"/>
    <w:rsid w:val="00834F7A"/>
    <w:rsid w:val="008353FD"/>
    <w:rsid w:val="008357C3"/>
    <w:rsid w:val="00835FB4"/>
    <w:rsid w:val="0083626E"/>
    <w:rsid w:val="00836592"/>
    <w:rsid w:val="00836E46"/>
    <w:rsid w:val="00836FE6"/>
    <w:rsid w:val="00837049"/>
    <w:rsid w:val="00837051"/>
    <w:rsid w:val="008370AC"/>
    <w:rsid w:val="00837317"/>
    <w:rsid w:val="008376C1"/>
    <w:rsid w:val="0083786A"/>
    <w:rsid w:val="008407C4"/>
    <w:rsid w:val="00840A4C"/>
    <w:rsid w:val="008418C9"/>
    <w:rsid w:val="00841AAF"/>
    <w:rsid w:val="00842DE4"/>
    <w:rsid w:val="008433D9"/>
    <w:rsid w:val="00843855"/>
    <w:rsid w:val="008438B2"/>
    <w:rsid w:val="008469E6"/>
    <w:rsid w:val="00847C56"/>
    <w:rsid w:val="008500CD"/>
    <w:rsid w:val="008501C9"/>
    <w:rsid w:val="0085035D"/>
    <w:rsid w:val="00850671"/>
    <w:rsid w:val="00851184"/>
    <w:rsid w:val="0085122A"/>
    <w:rsid w:val="008514C5"/>
    <w:rsid w:val="008519BD"/>
    <w:rsid w:val="00851B62"/>
    <w:rsid w:val="00851CBB"/>
    <w:rsid w:val="008522A1"/>
    <w:rsid w:val="008526C5"/>
    <w:rsid w:val="0085300F"/>
    <w:rsid w:val="0085361C"/>
    <w:rsid w:val="00853C6C"/>
    <w:rsid w:val="008544E6"/>
    <w:rsid w:val="00854A6F"/>
    <w:rsid w:val="00855464"/>
    <w:rsid w:val="008554C3"/>
    <w:rsid w:val="008557D8"/>
    <w:rsid w:val="00855B8D"/>
    <w:rsid w:val="00856D8F"/>
    <w:rsid w:val="00856FC2"/>
    <w:rsid w:val="00857334"/>
    <w:rsid w:val="00857B7E"/>
    <w:rsid w:val="008602A6"/>
    <w:rsid w:val="008605DE"/>
    <w:rsid w:val="00860A77"/>
    <w:rsid w:val="00861347"/>
    <w:rsid w:val="0086149D"/>
    <w:rsid w:val="00861E55"/>
    <w:rsid w:val="00861E95"/>
    <w:rsid w:val="00862575"/>
    <w:rsid w:val="0086372D"/>
    <w:rsid w:val="00864462"/>
    <w:rsid w:val="0086458C"/>
    <w:rsid w:val="008647C4"/>
    <w:rsid w:val="00865F18"/>
    <w:rsid w:val="0086642C"/>
    <w:rsid w:val="0086667B"/>
    <w:rsid w:val="008669C6"/>
    <w:rsid w:val="00866B19"/>
    <w:rsid w:val="00866C77"/>
    <w:rsid w:val="0086742B"/>
    <w:rsid w:val="0086752A"/>
    <w:rsid w:val="008705A8"/>
    <w:rsid w:val="00870D71"/>
    <w:rsid w:val="0087130F"/>
    <w:rsid w:val="00871951"/>
    <w:rsid w:val="00871BF3"/>
    <w:rsid w:val="0087211D"/>
    <w:rsid w:val="008722A5"/>
    <w:rsid w:val="008726B2"/>
    <w:rsid w:val="008728FF"/>
    <w:rsid w:val="00872A4D"/>
    <w:rsid w:val="00872BA1"/>
    <w:rsid w:val="00873C10"/>
    <w:rsid w:val="00874095"/>
    <w:rsid w:val="0087411A"/>
    <w:rsid w:val="0087437F"/>
    <w:rsid w:val="0087467F"/>
    <w:rsid w:val="00874A70"/>
    <w:rsid w:val="00874E76"/>
    <w:rsid w:val="00875689"/>
    <w:rsid w:val="00875715"/>
    <w:rsid w:val="008757B7"/>
    <w:rsid w:val="00875B19"/>
    <w:rsid w:val="00875DFA"/>
    <w:rsid w:val="00876182"/>
    <w:rsid w:val="008766FB"/>
    <w:rsid w:val="0087701F"/>
    <w:rsid w:val="00877601"/>
    <w:rsid w:val="0087775B"/>
    <w:rsid w:val="00877798"/>
    <w:rsid w:val="00877B2B"/>
    <w:rsid w:val="00880438"/>
    <w:rsid w:val="00880817"/>
    <w:rsid w:val="00880B1A"/>
    <w:rsid w:val="008813A3"/>
    <w:rsid w:val="00881A66"/>
    <w:rsid w:val="00881F97"/>
    <w:rsid w:val="0088222B"/>
    <w:rsid w:val="00882549"/>
    <w:rsid w:val="00882794"/>
    <w:rsid w:val="00882A2E"/>
    <w:rsid w:val="00882E04"/>
    <w:rsid w:val="00882E61"/>
    <w:rsid w:val="00884A62"/>
    <w:rsid w:val="00884AF4"/>
    <w:rsid w:val="00884E4F"/>
    <w:rsid w:val="00884F7E"/>
    <w:rsid w:val="00885489"/>
    <w:rsid w:val="00885797"/>
    <w:rsid w:val="00886697"/>
    <w:rsid w:val="00886EB8"/>
    <w:rsid w:val="00887615"/>
    <w:rsid w:val="008906C1"/>
    <w:rsid w:val="00890FB6"/>
    <w:rsid w:val="00892286"/>
    <w:rsid w:val="0089249E"/>
    <w:rsid w:val="00892758"/>
    <w:rsid w:val="00892F9C"/>
    <w:rsid w:val="00893C0A"/>
    <w:rsid w:val="00894A87"/>
    <w:rsid w:val="00896595"/>
    <w:rsid w:val="008966D3"/>
    <w:rsid w:val="008A1390"/>
    <w:rsid w:val="008A2FD9"/>
    <w:rsid w:val="008A3528"/>
    <w:rsid w:val="008A369C"/>
    <w:rsid w:val="008A3F83"/>
    <w:rsid w:val="008A3F9D"/>
    <w:rsid w:val="008A4380"/>
    <w:rsid w:val="008A444D"/>
    <w:rsid w:val="008A45C0"/>
    <w:rsid w:val="008A54D9"/>
    <w:rsid w:val="008A5567"/>
    <w:rsid w:val="008A601C"/>
    <w:rsid w:val="008A6FB9"/>
    <w:rsid w:val="008A74AF"/>
    <w:rsid w:val="008A7503"/>
    <w:rsid w:val="008B0064"/>
    <w:rsid w:val="008B0E06"/>
    <w:rsid w:val="008B1571"/>
    <w:rsid w:val="008B26FF"/>
    <w:rsid w:val="008B27A3"/>
    <w:rsid w:val="008B2FEF"/>
    <w:rsid w:val="008B3BA6"/>
    <w:rsid w:val="008B6068"/>
    <w:rsid w:val="008B62C9"/>
    <w:rsid w:val="008B6503"/>
    <w:rsid w:val="008B6CD0"/>
    <w:rsid w:val="008C0DFC"/>
    <w:rsid w:val="008C12D8"/>
    <w:rsid w:val="008C146F"/>
    <w:rsid w:val="008C16E3"/>
    <w:rsid w:val="008C1829"/>
    <w:rsid w:val="008C20B7"/>
    <w:rsid w:val="008C238C"/>
    <w:rsid w:val="008C26B8"/>
    <w:rsid w:val="008C2973"/>
    <w:rsid w:val="008C2A3A"/>
    <w:rsid w:val="008C2BE1"/>
    <w:rsid w:val="008C2FBB"/>
    <w:rsid w:val="008C3265"/>
    <w:rsid w:val="008C33CF"/>
    <w:rsid w:val="008C4A83"/>
    <w:rsid w:val="008C511D"/>
    <w:rsid w:val="008C520A"/>
    <w:rsid w:val="008C565C"/>
    <w:rsid w:val="008C570C"/>
    <w:rsid w:val="008C5951"/>
    <w:rsid w:val="008C5D3A"/>
    <w:rsid w:val="008C79AF"/>
    <w:rsid w:val="008D0A6B"/>
    <w:rsid w:val="008D0D1E"/>
    <w:rsid w:val="008D1003"/>
    <w:rsid w:val="008D12F1"/>
    <w:rsid w:val="008D3112"/>
    <w:rsid w:val="008D312F"/>
    <w:rsid w:val="008D42B6"/>
    <w:rsid w:val="008D46AA"/>
    <w:rsid w:val="008D4A7C"/>
    <w:rsid w:val="008D591F"/>
    <w:rsid w:val="008D5DE8"/>
    <w:rsid w:val="008D5FA4"/>
    <w:rsid w:val="008D6BB6"/>
    <w:rsid w:val="008D729C"/>
    <w:rsid w:val="008D79F2"/>
    <w:rsid w:val="008E0EF3"/>
    <w:rsid w:val="008E1D76"/>
    <w:rsid w:val="008E1F65"/>
    <w:rsid w:val="008E25E6"/>
    <w:rsid w:val="008E31DE"/>
    <w:rsid w:val="008E397C"/>
    <w:rsid w:val="008E3A7E"/>
    <w:rsid w:val="008E3B78"/>
    <w:rsid w:val="008E4748"/>
    <w:rsid w:val="008E4ABC"/>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B96"/>
    <w:rsid w:val="008F7E60"/>
    <w:rsid w:val="009005CA"/>
    <w:rsid w:val="009010B2"/>
    <w:rsid w:val="00901232"/>
    <w:rsid w:val="0090205B"/>
    <w:rsid w:val="009026D8"/>
    <w:rsid w:val="00904587"/>
    <w:rsid w:val="00904881"/>
    <w:rsid w:val="0090489E"/>
    <w:rsid w:val="00904C41"/>
    <w:rsid w:val="00904D8A"/>
    <w:rsid w:val="0090529B"/>
    <w:rsid w:val="00905388"/>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6089"/>
    <w:rsid w:val="00917CA6"/>
    <w:rsid w:val="00920232"/>
    <w:rsid w:val="0092048C"/>
    <w:rsid w:val="00920958"/>
    <w:rsid w:val="00920E7F"/>
    <w:rsid w:val="00920FAC"/>
    <w:rsid w:val="00921268"/>
    <w:rsid w:val="0092285C"/>
    <w:rsid w:val="00922EC7"/>
    <w:rsid w:val="009232D4"/>
    <w:rsid w:val="00923647"/>
    <w:rsid w:val="0092386E"/>
    <w:rsid w:val="00923D91"/>
    <w:rsid w:val="00924064"/>
    <w:rsid w:val="00924234"/>
    <w:rsid w:val="0092429D"/>
    <w:rsid w:val="009248FB"/>
    <w:rsid w:val="00925301"/>
    <w:rsid w:val="00925D8D"/>
    <w:rsid w:val="0092671D"/>
    <w:rsid w:val="0092672E"/>
    <w:rsid w:val="00926843"/>
    <w:rsid w:val="00926AA1"/>
    <w:rsid w:val="00926B0A"/>
    <w:rsid w:val="00926E04"/>
    <w:rsid w:val="00926E2A"/>
    <w:rsid w:val="0092702C"/>
    <w:rsid w:val="009272EE"/>
    <w:rsid w:val="0092781F"/>
    <w:rsid w:val="00927E5A"/>
    <w:rsid w:val="00927F55"/>
    <w:rsid w:val="009301CF"/>
    <w:rsid w:val="009302BA"/>
    <w:rsid w:val="009307A7"/>
    <w:rsid w:val="009312F2"/>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37DB5"/>
    <w:rsid w:val="009404B4"/>
    <w:rsid w:val="00940B08"/>
    <w:rsid w:val="009414B9"/>
    <w:rsid w:val="00941D72"/>
    <w:rsid w:val="00942519"/>
    <w:rsid w:val="009426E5"/>
    <w:rsid w:val="00943A33"/>
    <w:rsid w:val="009444F0"/>
    <w:rsid w:val="009447C6"/>
    <w:rsid w:val="009455AD"/>
    <w:rsid w:val="009459A1"/>
    <w:rsid w:val="00945C3C"/>
    <w:rsid w:val="00945EE4"/>
    <w:rsid w:val="0094690E"/>
    <w:rsid w:val="00946E66"/>
    <w:rsid w:val="009471FD"/>
    <w:rsid w:val="0094727E"/>
    <w:rsid w:val="00947950"/>
    <w:rsid w:val="00947D11"/>
    <w:rsid w:val="00950257"/>
    <w:rsid w:val="00950ADF"/>
    <w:rsid w:val="00950E41"/>
    <w:rsid w:val="00952B34"/>
    <w:rsid w:val="00952C21"/>
    <w:rsid w:val="00952D74"/>
    <w:rsid w:val="00952D8B"/>
    <w:rsid w:val="009534B8"/>
    <w:rsid w:val="009538A5"/>
    <w:rsid w:val="00953EEF"/>
    <w:rsid w:val="009551F7"/>
    <w:rsid w:val="00955681"/>
    <w:rsid w:val="00955E26"/>
    <w:rsid w:val="00956126"/>
    <w:rsid w:val="00956C66"/>
    <w:rsid w:val="00957B99"/>
    <w:rsid w:val="00957E52"/>
    <w:rsid w:val="00961BAB"/>
    <w:rsid w:val="00961D0E"/>
    <w:rsid w:val="00962294"/>
    <w:rsid w:val="0096287B"/>
    <w:rsid w:val="00962CC3"/>
    <w:rsid w:val="00962EA3"/>
    <w:rsid w:val="00963118"/>
    <w:rsid w:val="00963459"/>
    <w:rsid w:val="009635E2"/>
    <w:rsid w:val="00963781"/>
    <w:rsid w:val="00963A0E"/>
    <w:rsid w:val="00963A40"/>
    <w:rsid w:val="009645D3"/>
    <w:rsid w:val="0096495F"/>
    <w:rsid w:val="009658F9"/>
    <w:rsid w:val="009659EA"/>
    <w:rsid w:val="00965B3D"/>
    <w:rsid w:val="0096633E"/>
    <w:rsid w:val="00966384"/>
    <w:rsid w:val="009664F0"/>
    <w:rsid w:val="009667F0"/>
    <w:rsid w:val="00966E88"/>
    <w:rsid w:val="00966FC8"/>
    <w:rsid w:val="00966FFE"/>
    <w:rsid w:val="009671B7"/>
    <w:rsid w:val="00967C17"/>
    <w:rsid w:val="00970C91"/>
    <w:rsid w:val="00970EF1"/>
    <w:rsid w:val="009711EB"/>
    <w:rsid w:val="00971331"/>
    <w:rsid w:val="009718E2"/>
    <w:rsid w:val="00971978"/>
    <w:rsid w:val="00972740"/>
    <w:rsid w:val="00972998"/>
    <w:rsid w:val="009737DB"/>
    <w:rsid w:val="00973C61"/>
    <w:rsid w:val="009751E4"/>
    <w:rsid w:val="00975F45"/>
    <w:rsid w:val="00977042"/>
    <w:rsid w:val="00977346"/>
    <w:rsid w:val="009777A2"/>
    <w:rsid w:val="009777CC"/>
    <w:rsid w:val="009778EF"/>
    <w:rsid w:val="00977A50"/>
    <w:rsid w:val="00980F16"/>
    <w:rsid w:val="00981331"/>
    <w:rsid w:val="009818B2"/>
    <w:rsid w:val="00983496"/>
    <w:rsid w:val="009837ED"/>
    <w:rsid w:val="00983C62"/>
    <w:rsid w:val="00983EDE"/>
    <w:rsid w:val="009849D7"/>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41"/>
    <w:rsid w:val="00995897"/>
    <w:rsid w:val="00995C5E"/>
    <w:rsid w:val="00996338"/>
    <w:rsid w:val="009967B8"/>
    <w:rsid w:val="0099777A"/>
    <w:rsid w:val="00997A2D"/>
    <w:rsid w:val="00997E3D"/>
    <w:rsid w:val="009A0033"/>
    <w:rsid w:val="009A06E3"/>
    <w:rsid w:val="009A0B8F"/>
    <w:rsid w:val="009A0CCF"/>
    <w:rsid w:val="009A0DCF"/>
    <w:rsid w:val="009A0F5D"/>
    <w:rsid w:val="009A1262"/>
    <w:rsid w:val="009A24FF"/>
    <w:rsid w:val="009A25F6"/>
    <w:rsid w:val="009A2C48"/>
    <w:rsid w:val="009A34CB"/>
    <w:rsid w:val="009A361E"/>
    <w:rsid w:val="009A40B5"/>
    <w:rsid w:val="009A42FF"/>
    <w:rsid w:val="009A4348"/>
    <w:rsid w:val="009A4718"/>
    <w:rsid w:val="009A48D1"/>
    <w:rsid w:val="009A4DB5"/>
    <w:rsid w:val="009A4DED"/>
    <w:rsid w:val="009A5066"/>
    <w:rsid w:val="009A5374"/>
    <w:rsid w:val="009A5982"/>
    <w:rsid w:val="009A6554"/>
    <w:rsid w:val="009A7D36"/>
    <w:rsid w:val="009A7D93"/>
    <w:rsid w:val="009B0238"/>
    <w:rsid w:val="009B0694"/>
    <w:rsid w:val="009B0EE7"/>
    <w:rsid w:val="009B128E"/>
    <w:rsid w:val="009B132C"/>
    <w:rsid w:val="009B273F"/>
    <w:rsid w:val="009B276C"/>
    <w:rsid w:val="009B290F"/>
    <w:rsid w:val="009B32B0"/>
    <w:rsid w:val="009B35B4"/>
    <w:rsid w:val="009B4B64"/>
    <w:rsid w:val="009B522D"/>
    <w:rsid w:val="009B632D"/>
    <w:rsid w:val="009B6CF0"/>
    <w:rsid w:val="009B713A"/>
    <w:rsid w:val="009B72B4"/>
    <w:rsid w:val="009C0149"/>
    <w:rsid w:val="009C02A8"/>
    <w:rsid w:val="009C0354"/>
    <w:rsid w:val="009C0C00"/>
    <w:rsid w:val="009C1282"/>
    <w:rsid w:val="009C1306"/>
    <w:rsid w:val="009C13FC"/>
    <w:rsid w:val="009C151E"/>
    <w:rsid w:val="009C1E4E"/>
    <w:rsid w:val="009C2025"/>
    <w:rsid w:val="009C309A"/>
    <w:rsid w:val="009C3CB2"/>
    <w:rsid w:val="009C400F"/>
    <w:rsid w:val="009C4401"/>
    <w:rsid w:val="009C46BF"/>
    <w:rsid w:val="009C476E"/>
    <w:rsid w:val="009C4923"/>
    <w:rsid w:val="009C5457"/>
    <w:rsid w:val="009C55DD"/>
    <w:rsid w:val="009C62E8"/>
    <w:rsid w:val="009C678B"/>
    <w:rsid w:val="009C6DCE"/>
    <w:rsid w:val="009C763F"/>
    <w:rsid w:val="009C7893"/>
    <w:rsid w:val="009D076D"/>
    <w:rsid w:val="009D08AB"/>
    <w:rsid w:val="009D0F99"/>
    <w:rsid w:val="009D129F"/>
    <w:rsid w:val="009D18EF"/>
    <w:rsid w:val="009D1AF5"/>
    <w:rsid w:val="009D1C74"/>
    <w:rsid w:val="009D2098"/>
    <w:rsid w:val="009D2396"/>
    <w:rsid w:val="009D2DF4"/>
    <w:rsid w:val="009D33C1"/>
    <w:rsid w:val="009D388D"/>
    <w:rsid w:val="009D3D07"/>
    <w:rsid w:val="009D505F"/>
    <w:rsid w:val="009D550F"/>
    <w:rsid w:val="009D5DB4"/>
    <w:rsid w:val="009D5E72"/>
    <w:rsid w:val="009D6676"/>
    <w:rsid w:val="009D707B"/>
    <w:rsid w:val="009D720A"/>
    <w:rsid w:val="009D738F"/>
    <w:rsid w:val="009D75E9"/>
    <w:rsid w:val="009D767A"/>
    <w:rsid w:val="009D7A24"/>
    <w:rsid w:val="009E0579"/>
    <w:rsid w:val="009E20C3"/>
    <w:rsid w:val="009E2AFD"/>
    <w:rsid w:val="009E38B0"/>
    <w:rsid w:val="009E3E12"/>
    <w:rsid w:val="009E3EBF"/>
    <w:rsid w:val="009E67DF"/>
    <w:rsid w:val="009E6949"/>
    <w:rsid w:val="009E726A"/>
    <w:rsid w:val="009E75B3"/>
    <w:rsid w:val="009E76A4"/>
    <w:rsid w:val="009E772D"/>
    <w:rsid w:val="009E7F9D"/>
    <w:rsid w:val="009F0D4D"/>
    <w:rsid w:val="009F23F1"/>
    <w:rsid w:val="009F2D76"/>
    <w:rsid w:val="009F3374"/>
    <w:rsid w:val="009F4286"/>
    <w:rsid w:val="009F43E2"/>
    <w:rsid w:val="009F4564"/>
    <w:rsid w:val="009F45EC"/>
    <w:rsid w:val="009F4AB0"/>
    <w:rsid w:val="009F4D8D"/>
    <w:rsid w:val="009F5247"/>
    <w:rsid w:val="009F545A"/>
    <w:rsid w:val="009F571C"/>
    <w:rsid w:val="009F5B2B"/>
    <w:rsid w:val="009F6418"/>
    <w:rsid w:val="009F6B52"/>
    <w:rsid w:val="009F6E66"/>
    <w:rsid w:val="009F73F4"/>
    <w:rsid w:val="009F775C"/>
    <w:rsid w:val="009F7B2A"/>
    <w:rsid w:val="009F7C45"/>
    <w:rsid w:val="009F7F61"/>
    <w:rsid w:val="00A001C1"/>
    <w:rsid w:val="00A00F69"/>
    <w:rsid w:val="00A01A7E"/>
    <w:rsid w:val="00A02178"/>
    <w:rsid w:val="00A02C99"/>
    <w:rsid w:val="00A036BB"/>
    <w:rsid w:val="00A03760"/>
    <w:rsid w:val="00A041D7"/>
    <w:rsid w:val="00A042C1"/>
    <w:rsid w:val="00A0465E"/>
    <w:rsid w:val="00A04DC6"/>
    <w:rsid w:val="00A0573A"/>
    <w:rsid w:val="00A05885"/>
    <w:rsid w:val="00A05A65"/>
    <w:rsid w:val="00A06199"/>
    <w:rsid w:val="00A0629D"/>
    <w:rsid w:val="00A0687F"/>
    <w:rsid w:val="00A06BCC"/>
    <w:rsid w:val="00A076E4"/>
    <w:rsid w:val="00A07899"/>
    <w:rsid w:val="00A07B27"/>
    <w:rsid w:val="00A07DC0"/>
    <w:rsid w:val="00A10135"/>
    <w:rsid w:val="00A10CCE"/>
    <w:rsid w:val="00A11116"/>
    <w:rsid w:val="00A116A5"/>
    <w:rsid w:val="00A128D5"/>
    <w:rsid w:val="00A12BB6"/>
    <w:rsid w:val="00A132CF"/>
    <w:rsid w:val="00A13419"/>
    <w:rsid w:val="00A13AB6"/>
    <w:rsid w:val="00A14AD6"/>
    <w:rsid w:val="00A1503A"/>
    <w:rsid w:val="00A157CB"/>
    <w:rsid w:val="00A15B2F"/>
    <w:rsid w:val="00A17214"/>
    <w:rsid w:val="00A17292"/>
    <w:rsid w:val="00A17465"/>
    <w:rsid w:val="00A211A0"/>
    <w:rsid w:val="00A2181D"/>
    <w:rsid w:val="00A21994"/>
    <w:rsid w:val="00A21B8C"/>
    <w:rsid w:val="00A21BD0"/>
    <w:rsid w:val="00A21D87"/>
    <w:rsid w:val="00A22AEA"/>
    <w:rsid w:val="00A22B53"/>
    <w:rsid w:val="00A23355"/>
    <w:rsid w:val="00A23A9A"/>
    <w:rsid w:val="00A23FEE"/>
    <w:rsid w:val="00A24099"/>
    <w:rsid w:val="00A241E2"/>
    <w:rsid w:val="00A24453"/>
    <w:rsid w:val="00A244C6"/>
    <w:rsid w:val="00A25DF8"/>
    <w:rsid w:val="00A26375"/>
    <w:rsid w:val="00A2652F"/>
    <w:rsid w:val="00A268E6"/>
    <w:rsid w:val="00A269A6"/>
    <w:rsid w:val="00A26D25"/>
    <w:rsid w:val="00A26EFD"/>
    <w:rsid w:val="00A27B2B"/>
    <w:rsid w:val="00A30217"/>
    <w:rsid w:val="00A302BD"/>
    <w:rsid w:val="00A30A2F"/>
    <w:rsid w:val="00A30C8D"/>
    <w:rsid w:val="00A30F28"/>
    <w:rsid w:val="00A31972"/>
    <w:rsid w:val="00A3200F"/>
    <w:rsid w:val="00A32109"/>
    <w:rsid w:val="00A325F8"/>
    <w:rsid w:val="00A32698"/>
    <w:rsid w:val="00A32A2A"/>
    <w:rsid w:val="00A32ACC"/>
    <w:rsid w:val="00A334EF"/>
    <w:rsid w:val="00A33708"/>
    <w:rsid w:val="00A33D55"/>
    <w:rsid w:val="00A33DE7"/>
    <w:rsid w:val="00A33FAA"/>
    <w:rsid w:val="00A34335"/>
    <w:rsid w:val="00A3459F"/>
    <w:rsid w:val="00A34910"/>
    <w:rsid w:val="00A34AC5"/>
    <w:rsid w:val="00A34E27"/>
    <w:rsid w:val="00A34E67"/>
    <w:rsid w:val="00A351C7"/>
    <w:rsid w:val="00A36ACC"/>
    <w:rsid w:val="00A36CDB"/>
    <w:rsid w:val="00A3751B"/>
    <w:rsid w:val="00A3758D"/>
    <w:rsid w:val="00A3765B"/>
    <w:rsid w:val="00A37D72"/>
    <w:rsid w:val="00A37E56"/>
    <w:rsid w:val="00A4011E"/>
    <w:rsid w:val="00A402DA"/>
    <w:rsid w:val="00A403BD"/>
    <w:rsid w:val="00A40753"/>
    <w:rsid w:val="00A408F7"/>
    <w:rsid w:val="00A40CCB"/>
    <w:rsid w:val="00A4130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06"/>
    <w:rsid w:val="00A47CEA"/>
    <w:rsid w:val="00A47DC2"/>
    <w:rsid w:val="00A506DC"/>
    <w:rsid w:val="00A51381"/>
    <w:rsid w:val="00A52DCF"/>
    <w:rsid w:val="00A53D49"/>
    <w:rsid w:val="00A54209"/>
    <w:rsid w:val="00A54EA0"/>
    <w:rsid w:val="00A55B80"/>
    <w:rsid w:val="00A56358"/>
    <w:rsid w:val="00A566A9"/>
    <w:rsid w:val="00A56A71"/>
    <w:rsid w:val="00A56BF1"/>
    <w:rsid w:val="00A56DF6"/>
    <w:rsid w:val="00A56FD9"/>
    <w:rsid w:val="00A574C6"/>
    <w:rsid w:val="00A60547"/>
    <w:rsid w:val="00A6112E"/>
    <w:rsid w:val="00A6118C"/>
    <w:rsid w:val="00A61406"/>
    <w:rsid w:val="00A618A3"/>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022F"/>
    <w:rsid w:val="00A71249"/>
    <w:rsid w:val="00A71777"/>
    <w:rsid w:val="00A71E3D"/>
    <w:rsid w:val="00A725B6"/>
    <w:rsid w:val="00A72A95"/>
    <w:rsid w:val="00A72BBC"/>
    <w:rsid w:val="00A72C52"/>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77DB2"/>
    <w:rsid w:val="00A8013E"/>
    <w:rsid w:val="00A81129"/>
    <w:rsid w:val="00A82EFE"/>
    <w:rsid w:val="00A8410E"/>
    <w:rsid w:val="00A84202"/>
    <w:rsid w:val="00A84C09"/>
    <w:rsid w:val="00A8587B"/>
    <w:rsid w:val="00A85C50"/>
    <w:rsid w:val="00A86285"/>
    <w:rsid w:val="00A86C55"/>
    <w:rsid w:val="00A8796F"/>
    <w:rsid w:val="00A87A39"/>
    <w:rsid w:val="00A87AD4"/>
    <w:rsid w:val="00A90526"/>
    <w:rsid w:val="00A90704"/>
    <w:rsid w:val="00A90A88"/>
    <w:rsid w:val="00A913AC"/>
    <w:rsid w:val="00A9173C"/>
    <w:rsid w:val="00A91A64"/>
    <w:rsid w:val="00A92277"/>
    <w:rsid w:val="00A92929"/>
    <w:rsid w:val="00A92F1E"/>
    <w:rsid w:val="00A93ECF"/>
    <w:rsid w:val="00A9531C"/>
    <w:rsid w:val="00A957B9"/>
    <w:rsid w:val="00A95BAB"/>
    <w:rsid w:val="00A95D68"/>
    <w:rsid w:val="00A96279"/>
    <w:rsid w:val="00A9655B"/>
    <w:rsid w:val="00A966F8"/>
    <w:rsid w:val="00A96C69"/>
    <w:rsid w:val="00A9780B"/>
    <w:rsid w:val="00A978CB"/>
    <w:rsid w:val="00AA0803"/>
    <w:rsid w:val="00AA0A3C"/>
    <w:rsid w:val="00AA0A4A"/>
    <w:rsid w:val="00AA0C84"/>
    <w:rsid w:val="00AA11B7"/>
    <w:rsid w:val="00AA2310"/>
    <w:rsid w:val="00AA233A"/>
    <w:rsid w:val="00AA2839"/>
    <w:rsid w:val="00AA2D02"/>
    <w:rsid w:val="00AA361C"/>
    <w:rsid w:val="00AA3809"/>
    <w:rsid w:val="00AA3A72"/>
    <w:rsid w:val="00AA40C2"/>
    <w:rsid w:val="00AA4106"/>
    <w:rsid w:val="00AA4371"/>
    <w:rsid w:val="00AA5A79"/>
    <w:rsid w:val="00AA5FD3"/>
    <w:rsid w:val="00AA6019"/>
    <w:rsid w:val="00AA6A77"/>
    <w:rsid w:val="00AA77D9"/>
    <w:rsid w:val="00AA7A48"/>
    <w:rsid w:val="00AB0B94"/>
    <w:rsid w:val="00AB0F1D"/>
    <w:rsid w:val="00AB0F49"/>
    <w:rsid w:val="00AB141B"/>
    <w:rsid w:val="00AB1556"/>
    <w:rsid w:val="00AB16D7"/>
    <w:rsid w:val="00AB1CD8"/>
    <w:rsid w:val="00AB1CEC"/>
    <w:rsid w:val="00AB1DD5"/>
    <w:rsid w:val="00AB1F72"/>
    <w:rsid w:val="00AB21C2"/>
    <w:rsid w:val="00AB2349"/>
    <w:rsid w:val="00AB2443"/>
    <w:rsid w:val="00AB29F0"/>
    <w:rsid w:val="00AB2C77"/>
    <w:rsid w:val="00AB2D0A"/>
    <w:rsid w:val="00AB4B45"/>
    <w:rsid w:val="00AB5823"/>
    <w:rsid w:val="00AB5A13"/>
    <w:rsid w:val="00AB5C55"/>
    <w:rsid w:val="00AB5EA0"/>
    <w:rsid w:val="00AB5F6A"/>
    <w:rsid w:val="00AB671E"/>
    <w:rsid w:val="00AB77E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3946"/>
    <w:rsid w:val="00AC4760"/>
    <w:rsid w:val="00AC4C9A"/>
    <w:rsid w:val="00AC5396"/>
    <w:rsid w:val="00AC6007"/>
    <w:rsid w:val="00AC67E7"/>
    <w:rsid w:val="00AC7551"/>
    <w:rsid w:val="00AC7671"/>
    <w:rsid w:val="00AC7B25"/>
    <w:rsid w:val="00AC7C4F"/>
    <w:rsid w:val="00AC7EC0"/>
    <w:rsid w:val="00AD1460"/>
    <w:rsid w:val="00AD1F90"/>
    <w:rsid w:val="00AD20F9"/>
    <w:rsid w:val="00AD26C0"/>
    <w:rsid w:val="00AD28BB"/>
    <w:rsid w:val="00AD2AF3"/>
    <w:rsid w:val="00AD37AA"/>
    <w:rsid w:val="00AD4442"/>
    <w:rsid w:val="00AD44EB"/>
    <w:rsid w:val="00AD49A8"/>
    <w:rsid w:val="00AD58D4"/>
    <w:rsid w:val="00AD5AE0"/>
    <w:rsid w:val="00AD668D"/>
    <w:rsid w:val="00AD6809"/>
    <w:rsid w:val="00AD6835"/>
    <w:rsid w:val="00AD6E69"/>
    <w:rsid w:val="00AD717C"/>
    <w:rsid w:val="00AD757F"/>
    <w:rsid w:val="00AE02A8"/>
    <w:rsid w:val="00AE02ED"/>
    <w:rsid w:val="00AE0A59"/>
    <w:rsid w:val="00AE14EF"/>
    <w:rsid w:val="00AE1D41"/>
    <w:rsid w:val="00AE1F26"/>
    <w:rsid w:val="00AE2205"/>
    <w:rsid w:val="00AE2764"/>
    <w:rsid w:val="00AE28DE"/>
    <w:rsid w:val="00AE28EF"/>
    <w:rsid w:val="00AE29FA"/>
    <w:rsid w:val="00AE2F18"/>
    <w:rsid w:val="00AE36BB"/>
    <w:rsid w:val="00AE38CF"/>
    <w:rsid w:val="00AE4E65"/>
    <w:rsid w:val="00AE50F2"/>
    <w:rsid w:val="00AE58F2"/>
    <w:rsid w:val="00AE5947"/>
    <w:rsid w:val="00AE599D"/>
    <w:rsid w:val="00AE6044"/>
    <w:rsid w:val="00AE65BE"/>
    <w:rsid w:val="00AE673C"/>
    <w:rsid w:val="00AE6E82"/>
    <w:rsid w:val="00AE72DE"/>
    <w:rsid w:val="00AE7B9F"/>
    <w:rsid w:val="00AF0491"/>
    <w:rsid w:val="00AF0CFF"/>
    <w:rsid w:val="00AF14BB"/>
    <w:rsid w:val="00AF1ABB"/>
    <w:rsid w:val="00AF2F3C"/>
    <w:rsid w:val="00AF30C4"/>
    <w:rsid w:val="00AF33A7"/>
    <w:rsid w:val="00AF3EEC"/>
    <w:rsid w:val="00AF4700"/>
    <w:rsid w:val="00AF4D81"/>
    <w:rsid w:val="00AF4E9D"/>
    <w:rsid w:val="00AF5497"/>
    <w:rsid w:val="00AF58A4"/>
    <w:rsid w:val="00AF5A82"/>
    <w:rsid w:val="00AF5E31"/>
    <w:rsid w:val="00AF5F59"/>
    <w:rsid w:val="00AF640C"/>
    <w:rsid w:val="00AF6AEA"/>
    <w:rsid w:val="00B00F7A"/>
    <w:rsid w:val="00B013CE"/>
    <w:rsid w:val="00B01816"/>
    <w:rsid w:val="00B02521"/>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341"/>
    <w:rsid w:val="00B07A40"/>
    <w:rsid w:val="00B07CE3"/>
    <w:rsid w:val="00B108AA"/>
    <w:rsid w:val="00B115E8"/>
    <w:rsid w:val="00B11E33"/>
    <w:rsid w:val="00B11EAE"/>
    <w:rsid w:val="00B1205C"/>
    <w:rsid w:val="00B1226C"/>
    <w:rsid w:val="00B122D9"/>
    <w:rsid w:val="00B12760"/>
    <w:rsid w:val="00B12F7D"/>
    <w:rsid w:val="00B13A65"/>
    <w:rsid w:val="00B13D95"/>
    <w:rsid w:val="00B14241"/>
    <w:rsid w:val="00B14725"/>
    <w:rsid w:val="00B14D48"/>
    <w:rsid w:val="00B14EAC"/>
    <w:rsid w:val="00B14FE5"/>
    <w:rsid w:val="00B15E11"/>
    <w:rsid w:val="00B15F4B"/>
    <w:rsid w:val="00B15F67"/>
    <w:rsid w:val="00B16798"/>
    <w:rsid w:val="00B16B51"/>
    <w:rsid w:val="00B1701E"/>
    <w:rsid w:val="00B17024"/>
    <w:rsid w:val="00B1767F"/>
    <w:rsid w:val="00B17AA4"/>
    <w:rsid w:val="00B2010C"/>
    <w:rsid w:val="00B2012F"/>
    <w:rsid w:val="00B20635"/>
    <w:rsid w:val="00B208AD"/>
    <w:rsid w:val="00B2090B"/>
    <w:rsid w:val="00B20BE7"/>
    <w:rsid w:val="00B21018"/>
    <w:rsid w:val="00B2154C"/>
    <w:rsid w:val="00B218E9"/>
    <w:rsid w:val="00B218F4"/>
    <w:rsid w:val="00B219A5"/>
    <w:rsid w:val="00B21EB2"/>
    <w:rsid w:val="00B22061"/>
    <w:rsid w:val="00B22C22"/>
    <w:rsid w:val="00B23940"/>
    <w:rsid w:val="00B23B05"/>
    <w:rsid w:val="00B23DCD"/>
    <w:rsid w:val="00B23EE3"/>
    <w:rsid w:val="00B24C88"/>
    <w:rsid w:val="00B2572C"/>
    <w:rsid w:val="00B259FD"/>
    <w:rsid w:val="00B25B8B"/>
    <w:rsid w:val="00B25B9A"/>
    <w:rsid w:val="00B25BAB"/>
    <w:rsid w:val="00B26338"/>
    <w:rsid w:val="00B2659A"/>
    <w:rsid w:val="00B26F15"/>
    <w:rsid w:val="00B27106"/>
    <w:rsid w:val="00B309DD"/>
    <w:rsid w:val="00B311DB"/>
    <w:rsid w:val="00B318AF"/>
    <w:rsid w:val="00B32062"/>
    <w:rsid w:val="00B321E2"/>
    <w:rsid w:val="00B32828"/>
    <w:rsid w:val="00B32980"/>
    <w:rsid w:val="00B336B0"/>
    <w:rsid w:val="00B337DF"/>
    <w:rsid w:val="00B33A45"/>
    <w:rsid w:val="00B33CD1"/>
    <w:rsid w:val="00B3410B"/>
    <w:rsid w:val="00B34621"/>
    <w:rsid w:val="00B34C2A"/>
    <w:rsid w:val="00B34FEE"/>
    <w:rsid w:val="00B353E0"/>
    <w:rsid w:val="00B35523"/>
    <w:rsid w:val="00B35F2E"/>
    <w:rsid w:val="00B36077"/>
    <w:rsid w:val="00B36517"/>
    <w:rsid w:val="00B36854"/>
    <w:rsid w:val="00B36A0A"/>
    <w:rsid w:val="00B372CB"/>
    <w:rsid w:val="00B37601"/>
    <w:rsid w:val="00B404A5"/>
    <w:rsid w:val="00B409CB"/>
    <w:rsid w:val="00B41AA7"/>
    <w:rsid w:val="00B42711"/>
    <w:rsid w:val="00B42A44"/>
    <w:rsid w:val="00B4304D"/>
    <w:rsid w:val="00B434B7"/>
    <w:rsid w:val="00B43A1F"/>
    <w:rsid w:val="00B44304"/>
    <w:rsid w:val="00B445A9"/>
    <w:rsid w:val="00B447B5"/>
    <w:rsid w:val="00B4491D"/>
    <w:rsid w:val="00B45486"/>
    <w:rsid w:val="00B458BB"/>
    <w:rsid w:val="00B459B0"/>
    <w:rsid w:val="00B45F03"/>
    <w:rsid w:val="00B46A72"/>
    <w:rsid w:val="00B46C88"/>
    <w:rsid w:val="00B46DE6"/>
    <w:rsid w:val="00B46F80"/>
    <w:rsid w:val="00B470A0"/>
    <w:rsid w:val="00B475FD"/>
    <w:rsid w:val="00B47954"/>
    <w:rsid w:val="00B47EC1"/>
    <w:rsid w:val="00B47F4C"/>
    <w:rsid w:val="00B501F0"/>
    <w:rsid w:val="00B50AB5"/>
    <w:rsid w:val="00B50F9D"/>
    <w:rsid w:val="00B51DE1"/>
    <w:rsid w:val="00B52F7F"/>
    <w:rsid w:val="00B533EF"/>
    <w:rsid w:val="00B536B2"/>
    <w:rsid w:val="00B5374A"/>
    <w:rsid w:val="00B53B22"/>
    <w:rsid w:val="00B5413D"/>
    <w:rsid w:val="00B5446A"/>
    <w:rsid w:val="00B5491C"/>
    <w:rsid w:val="00B54F03"/>
    <w:rsid w:val="00B55C1E"/>
    <w:rsid w:val="00B563CD"/>
    <w:rsid w:val="00B564CA"/>
    <w:rsid w:val="00B56759"/>
    <w:rsid w:val="00B56A98"/>
    <w:rsid w:val="00B57002"/>
    <w:rsid w:val="00B5770E"/>
    <w:rsid w:val="00B579E6"/>
    <w:rsid w:val="00B57CB7"/>
    <w:rsid w:val="00B606CD"/>
    <w:rsid w:val="00B6085D"/>
    <w:rsid w:val="00B60896"/>
    <w:rsid w:val="00B60FA7"/>
    <w:rsid w:val="00B623A6"/>
    <w:rsid w:val="00B628EE"/>
    <w:rsid w:val="00B632BA"/>
    <w:rsid w:val="00B634D9"/>
    <w:rsid w:val="00B63809"/>
    <w:rsid w:val="00B63F3F"/>
    <w:rsid w:val="00B6446E"/>
    <w:rsid w:val="00B64836"/>
    <w:rsid w:val="00B65C00"/>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6A2F"/>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70F"/>
    <w:rsid w:val="00B9286B"/>
    <w:rsid w:val="00B92A79"/>
    <w:rsid w:val="00B92C1D"/>
    <w:rsid w:val="00B92EB3"/>
    <w:rsid w:val="00B93813"/>
    <w:rsid w:val="00B93AA9"/>
    <w:rsid w:val="00B93AFF"/>
    <w:rsid w:val="00B947FB"/>
    <w:rsid w:val="00B94DD3"/>
    <w:rsid w:val="00B95A3D"/>
    <w:rsid w:val="00B965C0"/>
    <w:rsid w:val="00B97229"/>
    <w:rsid w:val="00B97669"/>
    <w:rsid w:val="00BA04C3"/>
    <w:rsid w:val="00BA0CC5"/>
    <w:rsid w:val="00BA1A6A"/>
    <w:rsid w:val="00BA1B9E"/>
    <w:rsid w:val="00BA3939"/>
    <w:rsid w:val="00BA4531"/>
    <w:rsid w:val="00BA482E"/>
    <w:rsid w:val="00BA4EEC"/>
    <w:rsid w:val="00BA61D3"/>
    <w:rsid w:val="00BA699C"/>
    <w:rsid w:val="00BA7212"/>
    <w:rsid w:val="00BA7C4C"/>
    <w:rsid w:val="00BB036C"/>
    <w:rsid w:val="00BB06B7"/>
    <w:rsid w:val="00BB0B12"/>
    <w:rsid w:val="00BB170B"/>
    <w:rsid w:val="00BB1720"/>
    <w:rsid w:val="00BB17DA"/>
    <w:rsid w:val="00BB3F6B"/>
    <w:rsid w:val="00BB4399"/>
    <w:rsid w:val="00BB45C5"/>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68D4"/>
    <w:rsid w:val="00BC715B"/>
    <w:rsid w:val="00BC769B"/>
    <w:rsid w:val="00BC7ABE"/>
    <w:rsid w:val="00BD03FA"/>
    <w:rsid w:val="00BD0B2B"/>
    <w:rsid w:val="00BD0B70"/>
    <w:rsid w:val="00BD0E80"/>
    <w:rsid w:val="00BD2FD9"/>
    <w:rsid w:val="00BD3533"/>
    <w:rsid w:val="00BD35B7"/>
    <w:rsid w:val="00BD412C"/>
    <w:rsid w:val="00BD440B"/>
    <w:rsid w:val="00BD4606"/>
    <w:rsid w:val="00BD52E8"/>
    <w:rsid w:val="00BD54C2"/>
    <w:rsid w:val="00BD5CF4"/>
    <w:rsid w:val="00BD62D7"/>
    <w:rsid w:val="00BD6D3D"/>
    <w:rsid w:val="00BD7884"/>
    <w:rsid w:val="00BE0D88"/>
    <w:rsid w:val="00BE106F"/>
    <w:rsid w:val="00BE12E2"/>
    <w:rsid w:val="00BE2357"/>
    <w:rsid w:val="00BE245A"/>
    <w:rsid w:val="00BE27BA"/>
    <w:rsid w:val="00BE28D6"/>
    <w:rsid w:val="00BE28D7"/>
    <w:rsid w:val="00BE30DE"/>
    <w:rsid w:val="00BE38E5"/>
    <w:rsid w:val="00BE3CE2"/>
    <w:rsid w:val="00BE3DD3"/>
    <w:rsid w:val="00BE3E5B"/>
    <w:rsid w:val="00BE47B9"/>
    <w:rsid w:val="00BE536D"/>
    <w:rsid w:val="00BE662D"/>
    <w:rsid w:val="00BE6EA0"/>
    <w:rsid w:val="00BE6EB1"/>
    <w:rsid w:val="00BE7583"/>
    <w:rsid w:val="00BE79C9"/>
    <w:rsid w:val="00BE7EE6"/>
    <w:rsid w:val="00BF1865"/>
    <w:rsid w:val="00BF1FEA"/>
    <w:rsid w:val="00BF241C"/>
    <w:rsid w:val="00BF2E96"/>
    <w:rsid w:val="00BF32AA"/>
    <w:rsid w:val="00BF3609"/>
    <w:rsid w:val="00BF394B"/>
    <w:rsid w:val="00BF46F0"/>
    <w:rsid w:val="00BF486C"/>
    <w:rsid w:val="00BF640F"/>
    <w:rsid w:val="00BF69EC"/>
    <w:rsid w:val="00BF6D80"/>
    <w:rsid w:val="00BF702C"/>
    <w:rsid w:val="00BF7DC8"/>
    <w:rsid w:val="00C0061A"/>
    <w:rsid w:val="00C0067B"/>
    <w:rsid w:val="00C007D2"/>
    <w:rsid w:val="00C00B9A"/>
    <w:rsid w:val="00C01068"/>
    <w:rsid w:val="00C01ACC"/>
    <w:rsid w:val="00C02B74"/>
    <w:rsid w:val="00C032B4"/>
    <w:rsid w:val="00C03AF8"/>
    <w:rsid w:val="00C03DBA"/>
    <w:rsid w:val="00C04181"/>
    <w:rsid w:val="00C052E9"/>
    <w:rsid w:val="00C06039"/>
    <w:rsid w:val="00C062FE"/>
    <w:rsid w:val="00C0688A"/>
    <w:rsid w:val="00C069B0"/>
    <w:rsid w:val="00C0770C"/>
    <w:rsid w:val="00C078F5"/>
    <w:rsid w:val="00C07AD4"/>
    <w:rsid w:val="00C10AAC"/>
    <w:rsid w:val="00C10B51"/>
    <w:rsid w:val="00C1126B"/>
    <w:rsid w:val="00C1126C"/>
    <w:rsid w:val="00C11555"/>
    <w:rsid w:val="00C116A0"/>
    <w:rsid w:val="00C11890"/>
    <w:rsid w:val="00C118EE"/>
    <w:rsid w:val="00C12069"/>
    <w:rsid w:val="00C1266D"/>
    <w:rsid w:val="00C1311F"/>
    <w:rsid w:val="00C14855"/>
    <w:rsid w:val="00C14D2B"/>
    <w:rsid w:val="00C14D93"/>
    <w:rsid w:val="00C15A7C"/>
    <w:rsid w:val="00C15CDB"/>
    <w:rsid w:val="00C15DE6"/>
    <w:rsid w:val="00C160D6"/>
    <w:rsid w:val="00C163F7"/>
    <w:rsid w:val="00C1759F"/>
    <w:rsid w:val="00C1791E"/>
    <w:rsid w:val="00C17A90"/>
    <w:rsid w:val="00C20D36"/>
    <w:rsid w:val="00C20DEA"/>
    <w:rsid w:val="00C21A71"/>
    <w:rsid w:val="00C21EBD"/>
    <w:rsid w:val="00C2261C"/>
    <w:rsid w:val="00C22F51"/>
    <w:rsid w:val="00C238F9"/>
    <w:rsid w:val="00C2396A"/>
    <w:rsid w:val="00C23C93"/>
    <w:rsid w:val="00C24331"/>
    <w:rsid w:val="00C24B80"/>
    <w:rsid w:val="00C2529A"/>
    <w:rsid w:val="00C25586"/>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9E"/>
    <w:rsid w:val="00C428B6"/>
    <w:rsid w:val="00C441CB"/>
    <w:rsid w:val="00C44971"/>
    <w:rsid w:val="00C44BBB"/>
    <w:rsid w:val="00C44BE9"/>
    <w:rsid w:val="00C454EF"/>
    <w:rsid w:val="00C4561A"/>
    <w:rsid w:val="00C4659B"/>
    <w:rsid w:val="00C46DBB"/>
    <w:rsid w:val="00C47264"/>
    <w:rsid w:val="00C50140"/>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82"/>
    <w:rsid w:val="00C541E2"/>
    <w:rsid w:val="00C54296"/>
    <w:rsid w:val="00C54ECA"/>
    <w:rsid w:val="00C5534F"/>
    <w:rsid w:val="00C55451"/>
    <w:rsid w:val="00C556EC"/>
    <w:rsid w:val="00C55F5F"/>
    <w:rsid w:val="00C568D3"/>
    <w:rsid w:val="00C569BD"/>
    <w:rsid w:val="00C56C57"/>
    <w:rsid w:val="00C60300"/>
    <w:rsid w:val="00C60963"/>
    <w:rsid w:val="00C60AE6"/>
    <w:rsid w:val="00C60C91"/>
    <w:rsid w:val="00C6110A"/>
    <w:rsid w:val="00C6177C"/>
    <w:rsid w:val="00C61B87"/>
    <w:rsid w:val="00C6251A"/>
    <w:rsid w:val="00C6294A"/>
    <w:rsid w:val="00C63328"/>
    <w:rsid w:val="00C63B9B"/>
    <w:rsid w:val="00C64271"/>
    <w:rsid w:val="00C65330"/>
    <w:rsid w:val="00C6581B"/>
    <w:rsid w:val="00C65847"/>
    <w:rsid w:val="00C65AFF"/>
    <w:rsid w:val="00C6660A"/>
    <w:rsid w:val="00C67053"/>
    <w:rsid w:val="00C670FE"/>
    <w:rsid w:val="00C67A9E"/>
    <w:rsid w:val="00C67AB6"/>
    <w:rsid w:val="00C70F67"/>
    <w:rsid w:val="00C71906"/>
    <w:rsid w:val="00C71AE2"/>
    <w:rsid w:val="00C71B75"/>
    <w:rsid w:val="00C71E99"/>
    <w:rsid w:val="00C7229C"/>
    <w:rsid w:val="00C7241B"/>
    <w:rsid w:val="00C72EDB"/>
    <w:rsid w:val="00C731BE"/>
    <w:rsid w:val="00C737A7"/>
    <w:rsid w:val="00C73827"/>
    <w:rsid w:val="00C73BD4"/>
    <w:rsid w:val="00C73BDF"/>
    <w:rsid w:val="00C741A8"/>
    <w:rsid w:val="00C74664"/>
    <w:rsid w:val="00C74A2F"/>
    <w:rsid w:val="00C74B58"/>
    <w:rsid w:val="00C7551A"/>
    <w:rsid w:val="00C757CD"/>
    <w:rsid w:val="00C75D7B"/>
    <w:rsid w:val="00C765FA"/>
    <w:rsid w:val="00C76C73"/>
    <w:rsid w:val="00C76CEA"/>
    <w:rsid w:val="00C76FB0"/>
    <w:rsid w:val="00C77721"/>
    <w:rsid w:val="00C7790C"/>
    <w:rsid w:val="00C77A66"/>
    <w:rsid w:val="00C77F53"/>
    <w:rsid w:val="00C80450"/>
    <w:rsid w:val="00C8063C"/>
    <w:rsid w:val="00C8134F"/>
    <w:rsid w:val="00C81BAC"/>
    <w:rsid w:val="00C82106"/>
    <w:rsid w:val="00C823B0"/>
    <w:rsid w:val="00C82657"/>
    <w:rsid w:val="00C82844"/>
    <w:rsid w:val="00C82DFB"/>
    <w:rsid w:val="00C838CB"/>
    <w:rsid w:val="00C84364"/>
    <w:rsid w:val="00C848DC"/>
    <w:rsid w:val="00C849B0"/>
    <w:rsid w:val="00C84D62"/>
    <w:rsid w:val="00C85512"/>
    <w:rsid w:val="00C85ECB"/>
    <w:rsid w:val="00C85F58"/>
    <w:rsid w:val="00C864C8"/>
    <w:rsid w:val="00C86858"/>
    <w:rsid w:val="00C86AD1"/>
    <w:rsid w:val="00C86C05"/>
    <w:rsid w:val="00C87828"/>
    <w:rsid w:val="00C87FDE"/>
    <w:rsid w:val="00C908F2"/>
    <w:rsid w:val="00C909CE"/>
    <w:rsid w:val="00C90E3D"/>
    <w:rsid w:val="00C91285"/>
    <w:rsid w:val="00C91880"/>
    <w:rsid w:val="00C91A9F"/>
    <w:rsid w:val="00C91C92"/>
    <w:rsid w:val="00C92594"/>
    <w:rsid w:val="00C92709"/>
    <w:rsid w:val="00C92CB3"/>
    <w:rsid w:val="00C92FE1"/>
    <w:rsid w:val="00C93056"/>
    <w:rsid w:val="00C94785"/>
    <w:rsid w:val="00C952BE"/>
    <w:rsid w:val="00C955EC"/>
    <w:rsid w:val="00C9582D"/>
    <w:rsid w:val="00C959D4"/>
    <w:rsid w:val="00C965FE"/>
    <w:rsid w:val="00C96CB0"/>
    <w:rsid w:val="00C9733B"/>
    <w:rsid w:val="00C97A1D"/>
    <w:rsid w:val="00CA036F"/>
    <w:rsid w:val="00CA0652"/>
    <w:rsid w:val="00CA0F5D"/>
    <w:rsid w:val="00CA1059"/>
    <w:rsid w:val="00CA1A63"/>
    <w:rsid w:val="00CA1B0E"/>
    <w:rsid w:val="00CA1D84"/>
    <w:rsid w:val="00CA2A05"/>
    <w:rsid w:val="00CA2D93"/>
    <w:rsid w:val="00CA31F2"/>
    <w:rsid w:val="00CA3552"/>
    <w:rsid w:val="00CA377C"/>
    <w:rsid w:val="00CA44B9"/>
    <w:rsid w:val="00CA5089"/>
    <w:rsid w:val="00CA5E82"/>
    <w:rsid w:val="00CA660E"/>
    <w:rsid w:val="00CA6D5A"/>
    <w:rsid w:val="00CA7265"/>
    <w:rsid w:val="00CA7A47"/>
    <w:rsid w:val="00CB0CF5"/>
    <w:rsid w:val="00CB0D15"/>
    <w:rsid w:val="00CB0EC5"/>
    <w:rsid w:val="00CB151A"/>
    <w:rsid w:val="00CB1FB2"/>
    <w:rsid w:val="00CB204B"/>
    <w:rsid w:val="00CB25C8"/>
    <w:rsid w:val="00CB287C"/>
    <w:rsid w:val="00CB2B38"/>
    <w:rsid w:val="00CB2CD3"/>
    <w:rsid w:val="00CB325C"/>
    <w:rsid w:val="00CB3311"/>
    <w:rsid w:val="00CB39FC"/>
    <w:rsid w:val="00CB452D"/>
    <w:rsid w:val="00CB50CF"/>
    <w:rsid w:val="00CB5370"/>
    <w:rsid w:val="00CB53E8"/>
    <w:rsid w:val="00CB559A"/>
    <w:rsid w:val="00CB5970"/>
    <w:rsid w:val="00CB7731"/>
    <w:rsid w:val="00CB78F3"/>
    <w:rsid w:val="00CC1961"/>
    <w:rsid w:val="00CC1C9F"/>
    <w:rsid w:val="00CC1D50"/>
    <w:rsid w:val="00CC1E69"/>
    <w:rsid w:val="00CC211E"/>
    <w:rsid w:val="00CC26D9"/>
    <w:rsid w:val="00CC2BC0"/>
    <w:rsid w:val="00CC2C96"/>
    <w:rsid w:val="00CC2F5C"/>
    <w:rsid w:val="00CC30F8"/>
    <w:rsid w:val="00CC3852"/>
    <w:rsid w:val="00CC3BDE"/>
    <w:rsid w:val="00CC4573"/>
    <w:rsid w:val="00CC4F63"/>
    <w:rsid w:val="00CC5568"/>
    <w:rsid w:val="00CC5949"/>
    <w:rsid w:val="00CC7340"/>
    <w:rsid w:val="00CC748F"/>
    <w:rsid w:val="00CC7966"/>
    <w:rsid w:val="00CC7DBA"/>
    <w:rsid w:val="00CD09F4"/>
    <w:rsid w:val="00CD0B27"/>
    <w:rsid w:val="00CD0E44"/>
    <w:rsid w:val="00CD167A"/>
    <w:rsid w:val="00CD1973"/>
    <w:rsid w:val="00CD1A9F"/>
    <w:rsid w:val="00CD2529"/>
    <w:rsid w:val="00CD2FF6"/>
    <w:rsid w:val="00CD3222"/>
    <w:rsid w:val="00CD334E"/>
    <w:rsid w:val="00CD358E"/>
    <w:rsid w:val="00CD383F"/>
    <w:rsid w:val="00CD40B0"/>
    <w:rsid w:val="00CD4236"/>
    <w:rsid w:val="00CD48BC"/>
    <w:rsid w:val="00CD4DE5"/>
    <w:rsid w:val="00CD5052"/>
    <w:rsid w:val="00CD511F"/>
    <w:rsid w:val="00CD5E27"/>
    <w:rsid w:val="00CD68AC"/>
    <w:rsid w:val="00CD6C8A"/>
    <w:rsid w:val="00CE0882"/>
    <w:rsid w:val="00CE0EAE"/>
    <w:rsid w:val="00CE1C23"/>
    <w:rsid w:val="00CE1E4D"/>
    <w:rsid w:val="00CE202F"/>
    <w:rsid w:val="00CE2498"/>
    <w:rsid w:val="00CE2B8F"/>
    <w:rsid w:val="00CE3231"/>
    <w:rsid w:val="00CE39FB"/>
    <w:rsid w:val="00CE44FB"/>
    <w:rsid w:val="00CE4635"/>
    <w:rsid w:val="00CE4828"/>
    <w:rsid w:val="00CE4E50"/>
    <w:rsid w:val="00CE5A28"/>
    <w:rsid w:val="00CE62EE"/>
    <w:rsid w:val="00CE6334"/>
    <w:rsid w:val="00CE6882"/>
    <w:rsid w:val="00CE68EA"/>
    <w:rsid w:val="00CE6BA3"/>
    <w:rsid w:val="00CE6D0A"/>
    <w:rsid w:val="00CE7387"/>
    <w:rsid w:val="00CE774F"/>
    <w:rsid w:val="00CE792C"/>
    <w:rsid w:val="00CE7F89"/>
    <w:rsid w:val="00CF1337"/>
    <w:rsid w:val="00CF1408"/>
    <w:rsid w:val="00CF1AB0"/>
    <w:rsid w:val="00CF1B99"/>
    <w:rsid w:val="00CF20DD"/>
    <w:rsid w:val="00CF257A"/>
    <w:rsid w:val="00CF2C1E"/>
    <w:rsid w:val="00CF356C"/>
    <w:rsid w:val="00CF369E"/>
    <w:rsid w:val="00CF386D"/>
    <w:rsid w:val="00CF4321"/>
    <w:rsid w:val="00CF442A"/>
    <w:rsid w:val="00CF4579"/>
    <w:rsid w:val="00CF47F9"/>
    <w:rsid w:val="00CF48E2"/>
    <w:rsid w:val="00CF4C19"/>
    <w:rsid w:val="00CF55D0"/>
    <w:rsid w:val="00CF5BA2"/>
    <w:rsid w:val="00CF5C3D"/>
    <w:rsid w:val="00CF6082"/>
    <w:rsid w:val="00CF63A7"/>
    <w:rsid w:val="00CF7431"/>
    <w:rsid w:val="00CF762D"/>
    <w:rsid w:val="00CF766D"/>
    <w:rsid w:val="00CF793C"/>
    <w:rsid w:val="00CF7E30"/>
    <w:rsid w:val="00CF7FC5"/>
    <w:rsid w:val="00D00383"/>
    <w:rsid w:val="00D006BA"/>
    <w:rsid w:val="00D01A86"/>
    <w:rsid w:val="00D01AC0"/>
    <w:rsid w:val="00D020AF"/>
    <w:rsid w:val="00D02182"/>
    <w:rsid w:val="00D02335"/>
    <w:rsid w:val="00D024DE"/>
    <w:rsid w:val="00D029D7"/>
    <w:rsid w:val="00D02B00"/>
    <w:rsid w:val="00D03E88"/>
    <w:rsid w:val="00D04EDF"/>
    <w:rsid w:val="00D056E8"/>
    <w:rsid w:val="00D05CF6"/>
    <w:rsid w:val="00D05D2A"/>
    <w:rsid w:val="00D06364"/>
    <w:rsid w:val="00D064ED"/>
    <w:rsid w:val="00D06AB2"/>
    <w:rsid w:val="00D06CC8"/>
    <w:rsid w:val="00D074D1"/>
    <w:rsid w:val="00D0784C"/>
    <w:rsid w:val="00D079ED"/>
    <w:rsid w:val="00D07C98"/>
    <w:rsid w:val="00D10595"/>
    <w:rsid w:val="00D10CF2"/>
    <w:rsid w:val="00D10DCE"/>
    <w:rsid w:val="00D10DF5"/>
    <w:rsid w:val="00D11188"/>
    <w:rsid w:val="00D113AC"/>
    <w:rsid w:val="00D118F9"/>
    <w:rsid w:val="00D12CF9"/>
    <w:rsid w:val="00D13760"/>
    <w:rsid w:val="00D13D12"/>
    <w:rsid w:val="00D13FE8"/>
    <w:rsid w:val="00D14173"/>
    <w:rsid w:val="00D1436F"/>
    <w:rsid w:val="00D14457"/>
    <w:rsid w:val="00D14849"/>
    <w:rsid w:val="00D149D9"/>
    <w:rsid w:val="00D158A6"/>
    <w:rsid w:val="00D16A1B"/>
    <w:rsid w:val="00D16E6D"/>
    <w:rsid w:val="00D1742E"/>
    <w:rsid w:val="00D17496"/>
    <w:rsid w:val="00D20373"/>
    <w:rsid w:val="00D207D1"/>
    <w:rsid w:val="00D20E3A"/>
    <w:rsid w:val="00D217B6"/>
    <w:rsid w:val="00D21E2A"/>
    <w:rsid w:val="00D22025"/>
    <w:rsid w:val="00D22AF0"/>
    <w:rsid w:val="00D22C56"/>
    <w:rsid w:val="00D23566"/>
    <w:rsid w:val="00D23F72"/>
    <w:rsid w:val="00D24E10"/>
    <w:rsid w:val="00D2534E"/>
    <w:rsid w:val="00D25561"/>
    <w:rsid w:val="00D25F79"/>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4BB3"/>
    <w:rsid w:val="00D351CE"/>
    <w:rsid w:val="00D35DDF"/>
    <w:rsid w:val="00D36A38"/>
    <w:rsid w:val="00D372A3"/>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0DB5"/>
    <w:rsid w:val="00D5120E"/>
    <w:rsid w:val="00D51641"/>
    <w:rsid w:val="00D5184C"/>
    <w:rsid w:val="00D518A6"/>
    <w:rsid w:val="00D52037"/>
    <w:rsid w:val="00D52563"/>
    <w:rsid w:val="00D528FA"/>
    <w:rsid w:val="00D52D13"/>
    <w:rsid w:val="00D53B6F"/>
    <w:rsid w:val="00D5420F"/>
    <w:rsid w:val="00D54F65"/>
    <w:rsid w:val="00D5535C"/>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0E3F"/>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086"/>
    <w:rsid w:val="00D652C5"/>
    <w:rsid w:val="00D659F2"/>
    <w:rsid w:val="00D65D4F"/>
    <w:rsid w:val="00D65F49"/>
    <w:rsid w:val="00D66040"/>
    <w:rsid w:val="00D66B22"/>
    <w:rsid w:val="00D67048"/>
    <w:rsid w:val="00D67F1C"/>
    <w:rsid w:val="00D70555"/>
    <w:rsid w:val="00D70828"/>
    <w:rsid w:val="00D711C0"/>
    <w:rsid w:val="00D71B97"/>
    <w:rsid w:val="00D7237E"/>
    <w:rsid w:val="00D724BA"/>
    <w:rsid w:val="00D7259A"/>
    <w:rsid w:val="00D73528"/>
    <w:rsid w:val="00D73EDC"/>
    <w:rsid w:val="00D7446C"/>
    <w:rsid w:val="00D74599"/>
    <w:rsid w:val="00D74A07"/>
    <w:rsid w:val="00D74C81"/>
    <w:rsid w:val="00D75AC0"/>
    <w:rsid w:val="00D75D3E"/>
    <w:rsid w:val="00D75EF0"/>
    <w:rsid w:val="00D7649B"/>
    <w:rsid w:val="00D77886"/>
    <w:rsid w:val="00D801BB"/>
    <w:rsid w:val="00D80592"/>
    <w:rsid w:val="00D80E38"/>
    <w:rsid w:val="00D81484"/>
    <w:rsid w:val="00D817CC"/>
    <w:rsid w:val="00D81ADB"/>
    <w:rsid w:val="00D823DF"/>
    <w:rsid w:val="00D823EF"/>
    <w:rsid w:val="00D824FD"/>
    <w:rsid w:val="00D82EB1"/>
    <w:rsid w:val="00D8354F"/>
    <w:rsid w:val="00D83938"/>
    <w:rsid w:val="00D8428C"/>
    <w:rsid w:val="00D843D7"/>
    <w:rsid w:val="00D847B9"/>
    <w:rsid w:val="00D84C88"/>
    <w:rsid w:val="00D857FF"/>
    <w:rsid w:val="00D85E33"/>
    <w:rsid w:val="00D86172"/>
    <w:rsid w:val="00D8626E"/>
    <w:rsid w:val="00D86308"/>
    <w:rsid w:val="00D86E30"/>
    <w:rsid w:val="00D86F53"/>
    <w:rsid w:val="00D8733E"/>
    <w:rsid w:val="00D87979"/>
    <w:rsid w:val="00D90572"/>
    <w:rsid w:val="00D907BD"/>
    <w:rsid w:val="00D920E5"/>
    <w:rsid w:val="00D921F8"/>
    <w:rsid w:val="00D928F6"/>
    <w:rsid w:val="00D92AE0"/>
    <w:rsid w:val="00D93A87"/>
    <w:rsid w:val="00D94222"/>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6755"/>
    <w:rsid w:val="00DA7351"/>
    <w:rsid w:val="00DA7685"/>
    <w:rsid w:val="00DA78C1"/>
    <w:rsid w:val="00DA7E96"/>
    <w:rsid w:val="00DB016B"/>
    <w:rsid w:val="00DB0886"/>
    <w:rsid w:val="00DB1499"/>
    <w:rsid w:val="00DB1501"/>
    <w:rsid w:val="00DB1A02"/>
    <w:rsid w:val="00DB1A8F"/>
    <w:rsid w:val="00DB3124"/>
    <w:rsid w:val="00DB34D5"/>
    <w:rsid w:val="00DB3D8E"/>
    <w:rsid w:val="00DB4872"/>
    <w:rsid w:val="00DB5427"/>
    <w:rsid w:val="00DB6228"/>
    <w:rsid w:val="00DB66BE"/>
    <w:rsid w:val="00DB6FD1"/>
    <w:rsid w:val="00DB7713"/>
    <w:rsid w:val="00DB7F61"/>
    <w:rsid w:val="00DC1003"/>
    <w:rsid w:val="00DC18A2"/>
    <w:rsid w:val="00DC18BE"/>
    <w:rsid w:val="00DC1B92"/>
    <w:rsid w:val="00DC1FD7"/>
    <w:rsid w:val="00DC2192"/>
    <w:rsid w:val="00DC2432"/>
    <w:rsid w:val="00DC26CF"/>
    <w:rsid w:val="00DC2E3B"/>
    <w:rsid w:val="00DC2E4D"/>
    <w:rsid w:val="00DC31B7"/>
    <w:rsid w:val="00DC4814"/>
    <w:rsid w:val="00DC5099"/>
    <w:rsid w:val="00DC6070"/>
    <w:rsid w:val="00DC6827"/>
    <w:rsid w:val="00DC6E4A"/>
    <w:rsid w:val="00DC703B"/>
    <w:rsid w:val="00DC7FF4"/>
    <w:rsid w:val="00DD0564"/>
    <w:rsid w:val="00DD0649"/>
    <w:rsid w:val="00DD1968"/>
    <w:rsid w:val="00DD1DA0"/>
    <w:rsid w:val="00DD3671"/>
    <w:rsid w:val="00DD449F"/>
    <w:rsid w:val="00DD5332"/>
    <w:rsid w:val="00DD543A"/>
    <w:rsid w:val="00DD559E"/>
    <w:rsid w:val="00DD59FC"/>
    <w:rsid w:val="00DD5E59"/>
    <w:rsid w:val="00DD690A"/>
    <w:rsid w:val="00DD6C3A"/>
    <w:rsid w:val="00DD6DF9"/>
    <w:rsid w:val="00DD79B9"/>
    <w:rsid w:val="00DD7A80"/>
    <w:rsid w:val="00DD7EE9"/>
    <w:rsid w:val="00DE0BAF"/>
    <w:rsid w:val="00DE0BC8"/>
    <w:rsid w:val="00DE1302"/>
    <w:rsid w:val="00DE199E"/>
    <w:rsid w:val="00DE2F42"/>
    <w:rsid w:val="00DE32D7"/>
    <w:rsid w:val="00DE33D0"/>
    <w:rsid w:val="00DE3956"/>
    <w:rsid w:val="00DE4314"/>
    <w:rsid w:val="00DE4466"/>
    <w:rsid w:val="00DE4ACF"/>
    <w:rsid w:val="00DE4C11"/>
    <w:rsid w:val="00DE50DF"/>
    <w:rsid w:val="00DE50EF"/>
    <w:rsid w:val="00DE5170"/>
    <w:rsid w:val="00DE5FC2"/>
    <w:rsid w:val="00DE65DE"/>
    <w:rsid w:val="00DE7669"/>
    <w:rsid w:val="00DE7B8D"/>
    <w:rsid w:val="00DE7E6F"/>
    <w:rsid w:val="00DF05BC"/>
    <w:rsid w:val="00DF097A"/>
    <w:rsid w:val="00DF185E"/>
    <w:rsid w:val="00DF2045"/>
    <w:rsid w:val="00DF271A"/>
    <w:rsid w:val="00DF2B54"/>
    <w:rsid w:val="00DF2EA6"/>
    <w:rsid w:val="00DF2F3D"/>
    <w:rsid w:val="00DF327A"/>
    <w:rsid w:val="00DF380A"/>
    <w:rsid w:val="00DF46C3"/>
    <w:rsid w:val="00DF5636"/>
    <w:rsid w:val="00DF59B5"/>
    <w:rsid w:val="00DF62DB"/>
    <w:rsid w:val="00DF6634"/>
    <w:rsid w:val="00DF6E1C"/>
    <w:rsid w:val="00DF7449"/>
    <w:rsid w:val="00DF74BE"/>
    <w:rsid w:val="00DF791B"/>
    <w:rsid w:val="00E00014"/>
    <w:rsid w:val="00E00312"/>
    <w:rsid w:val="00E00AE1"/>
    <w:rsid w:val="00E00B2B"/>
    <w:rsid w:val="00E00E48"/>
    <w:rsid w:val="00E00F20"/>
    <w:rsid w:val="00E02BE1"/>
    <w:rsid w:val="00E03096"/>
    <w:rsid w:val="00E03242"/>
    <w:rsid w:val="00E04139"/>
    <w:rsid w:val="00E05EBC"/>
    <w:rsid w:val="00E06B62"/>
    <w:rsid w:val="00E0777A"/>
    <w:rsid w:val="00E07859"/>
    <w:rsid w:val="00E07926"/>
    <w:rsid w:val="00E07946"/>
    <w:rsid w:val="00E1061B"/>
    <w:rsid w:val="00E10FEE"/>
    <w:rsid w:val="00E11786"/>
    <w:rsid w:val="00E11B4D"/>
    <w:rsid w:val="00E11B92"/>
    <w:rsid w:val="00E11D52"/>
    <w:rsid w:val="00E120E9"/>
    <w:rsid w:val="00E12592"/>
    <w:rsid w:val="00E1280A"/>
    <w:rsid w:val="00E12C6C"/>
    <w:rsid w:val="00E13584"/>
    <w:rsid w:val="00E13F73"/>
    <w:rsid w:val="00E14394"/>
    <w:rsid w:val="00E1459E"/>
    <w:rsid w:val="00E145CE"/>
    <w:rsid w:val="00E14752"/>
    <w:rsid w:val="00E14BD1"/>
    <w:rsid w:val="00E1552B"/>
    <w:rsid w:val="00E15556"/>
    <w:rsid w:val="00E166F4"/>
    <w:rsid w:val="00E16826"/>
    <w:rsid w:val="00E17216"/>
    <w:rsid w:val="00E17F24"/>
    <w:rsid w:val="00E20803"/>
    <w:rsid w:val="00E20F1F"/>
    <w:rsid w:val="00E22677"/>
    <w:rsid w:val="00E226D7"/>
    <w:rsid w:val="00E226E4"/>
    <w:rsid w:val="00E22CD8"/>
    <w:rsid w:val="00E23CA6"/>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50E2"/>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7A0"/>
    <w:rsid w:val="00E44A9C"/>
    <w:rsid w:val="00E44CA4"/>
    <w:rsid w:val="00E4514E"/>
    <w:rsid w:val="00E452A9"/>
    <w:rsid w:val="00E46B2B"/>
    <w:rsid w:val="00E474D6"/>
    <w:rsid w:val="00E477B6"/>
    <w:rsid w:val="00E50616"/>
    <w:rsid w:val="00E514B2"/>
    <w:rsid w:val="00E516D4"/>
    <w:rsid w:val="00E51FB6"/>
    <w:rsid w:val="00E51FEA"/>
    <w:rsid w:val="00E52790"/>
    <w:rsid w:val="00E537E8"/>
    <w:rsid w:val="00E538DE"/>
    <w:rsid w:val="00E53F79"/>
    <w:rsid w:val="00E54177"/>
    <w:rsid w:val="00E5428A"/>
    <w:rsid w:val="00E547A5"/>
    <w:rsid w:val="00E55456"/>
    <w:rsid w:val="00E55BEC"/>
    <w:rsid w:val="00E56108"/>
    <w:rsid w:val="00E572EB"/>
    <w:rsid w:val="00E57BCB"/>
    <w:rsid w:val="00E605B7"/>
    <w:rsid w:val="00E61359"/>
    <w:rsid w:val="00E617D0"/>
    <w:rsid w:val="00E61E1F"/>
    <w:rsid w:val="00E62340"/>
    <w:rsid w:val="00E62CB4"/>
    <w:rsid w:val="00E63475"/>
    <w:rsid w:val="00E63843"/>
    <w:rsid w:val="00E63DF5"/>
    <w:rsid w:val="00E63E7C"/>
    <w:rsid w:val="00E640D6"/>
    <w:rsid w:val="00E64587"/>
    <w:rsid w:val="00E645CD"/>
    <w:rsid w:val="00E64897"/>
    <w:rsid w:val="00E64900"/>
    <w:rsid w:val="00E64AED"/>
    <w:rsid w:val="00E64DB0"/>
    <w:rsid w:val="00E64ED3"/>
    <w:rsid w:val="00E6600B"/>
    <w:rsid w:val="00E66068"/>
    <w:rsid w:val="00E67146"/>
    <w:rsid w:val="00E67A4B"/>
    <w:rsid w:val="00E70103"/>
    <w:rsid w:val="00E70138"/>
    <w:rsid w:val="00E707BF"/>
    <w:rsid w:val="00E715B7"/>
    <w:rsid w:val="00E717BB"/>
    <w:rsid w:val="00E71A45"/>
    <w:rsid w:val="00E71CCD"/>
    <w:rsid w:val="00E71E3A"/>
    <w:rsid w:val="00E722DB"/>
    <w:rsid w:val="00E73320"/>
    <w:rsid w:val="00E73ED5"/>
    <w:rsid w:val="00E74666"/>
    <w:rsid w:val="00E747D0"/>
    <w:rsid w:val="00E74C63"/>
    <w:rsid w:val="00E74C79"/>
    <w:rsid w:val="00E75430"/>
    <w:rsid w:val="00E759BB"/>
    <w:rsid w:val="00E75D12"/>
    <w:rsid w:val="00E766FB"/>
    <w:rsid w:val="00E76EC2"/>
    <w:rsid w:val="00E7731C"/>
    <w:rsid w:val="00E7742A"/>
    <w:rsid w:val="00E77612"/>
    <w:rsid w:val="00E810C4"/>
    <w:rsid w:val="00E8113E"/>
    <w:rsid w:val="00E8224A"/>
    <w:rsid w:val="00E8279B"/>
    <w:rsid w:val="00E82B01"/>
    <w:rsid w:val="00E83CF6"/>
    <w:rsid w:val="00E84C5E"/>
    <w:rsid w:val="00E84DB5"/>
    <w:rsid w:val="00E8520F"/>
    <w:rsid w:val="00E853CB"/>
    <w:rsid w:val="00E85634"/>
    <w:rsid w:val="00E85C54"/>
    <w:rsid w:val="00E866FA"/>
    <w:rsid w:val="00E86ED8"/>
    <w:rsid w:val="00E87637"/>
    <w:rsid w:val="00E90168"/>
    <w:rsid w:val="00E908A7"/>
    <w:rsid w:val="00E91111"/>
    <w:rsid w:val="00E915EC"/>
    <w:rsid w:val="00E922AF"/>
    <w:rsid w:val="00E92622"/>
    <w:rsid w:val="00E9264D"/>
    <w:rsid w:val="00E92B15"/>
    <w:rsid w:val="00E92CAE"/>
    <w:rsid w:val="00E92EDC"/>
    <w:rsid w:val="00E94E32"/>
    <w:rsid w:val="00E9504A"/>
    <w:rsid w:val="00E9554B"/>
    <w:rsid w:val="00E95BF8"/>
    <w:rsid w:val="00E96ADE"/>
    <w:rsid w:val="00E96EEF"/>
    <w:rsid w:val="00E97528"/>
    <w:rsid w:val="00E9778B"/>
    <w:rsid w:val="00E979EC"/>
    <w:rsid w:val="00E97A1A"/>
    <w:rsid w:val="00E97B98"/>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17F"/>
    <w:rsid w:val="00EB0483"/>
    <w:rsid w:val="00EB0497"/>
    <w:rsid w:val="00EB0DEB"/>
    <w:rsid w:val="00EB0F3A"/>
    <w:rsid w:val="00EB16A6"/>
    <w:rsid w:val="00EB198F"/>
    <w:rsid w:val="00EB1C38"/>
    <w:rsid w:val="00EB1C82"/>
    <w:rsid w:val="00EB24F5"/>
    <w:rsid w:val="00EB29F6"/>
    <w:rsid w:val="00EB30DD"/>
    <w:rsid w:val="00EB34D8"/>
    <w:rsid w:val="00EB384C"/>
    <w:rsid w:val="00EB5119"/>
    <w:rsid w:val="00EB57C1"/>
    <w:rsid w:val="00EB591C"/>
    <w:rsid w:val="00EB5FC1"/>
    <w:rsid w:val="00EB60DD"/>
    <w:rsid w:val="00EB6DA4"/>
    <w:rsid w:val="00EB75BD"/>
    <w:rsid w:val="00EB77F8"/>
    <w:rsid w:val="00EB797E"/>
    <w:rsid w:val="00EB7B74"/>
    <w:rsid w:val="00EB7BD5"/>
    <w:rsid w:val="00EC0F86"/>
    <w:rsid w:val="00EC126F"/>
    <w:rsid w:val="00EC136D"/>
    <w:rsid w:val="00EC2764"/>
    <w:rsid w:val="00EC2EA9"/>
    <w:rsid w:val="00EC303B"/>
    <w:rsid w:val="00EC3AD4"/>
    <w:rsid w:val="00EC3D1D"/>
    <w:rsid w:val="00EC46EE"/>
    <w:rsid w:val="00EC471C"/>
    <w:rsid w:val="00EC4720"/>
    <w:rsid w:val="00EC4A2C"/>
    <w:rsid w:val="00EC5905"/>
    <w:rsid w:val="00EC61B9"/>
    <w:rsid w:val="00EC61BA"/>
    <w:rsid w:val="00EC622B"/>
    <w:rsid w:val="00EC645B"/>
    <w:rsid w:val="00EC6D29"/>
    <w:rsid w:val="00EC6DA7"/>
    <w:rsid w:val="00EC6FC1"/>
    <w:rsid w:val="00EC7157"/>
    <w:rsid w:val="00EC727F"/>
    <w:rsid w:val="00EC7751"/>
    <w:rsid w:val="00ED0159"/>
    <w:rsid w:val="00ED129D"/>
    <w:rsid w:val="00ED12A5"/>
    <w:rsid w:val="00ED1FA5"/>
    <w:rsid w:val="00ED30CE"/>
    <w:rsid w:val="00ED4C23"/>
    <w:rsid w:val="00ED4FC6"/>
    <w:rsid w:val="00ED512D"/>
    <w:rsid w:val="00ED545C"/>
    <w:rsid w:val="00ED58BE"/>
    <w:rsid w:val="00ED5F9E"/>
    <w:rsid w:val="00ED61D5"/>
    <w:rsid w:val="00ED6EE4"/>
    <w:rsid w:val="00ED7A75"/>
    <w:rsid w:val="00ED7CCF"/>
    <w:rsid w:val="00EE00E6"/>
    <w:rsid w:val="00EE0167"/>
    <w:rsid w:val="00EE04A0"/>
    <w:rsid w:val="00EE0658"/>
    <w:rsid w:val="00EE06A6"/>
    <w:rsid w:val="00EE15A6"/>
    <w:rsid w:val="00EE2253"/>
    <w:rsid w:val="00EE2C51"/>
    <w:rsid w:val="00EE2D61"/>
    <w:rsid w:val="00EE30D4"/>
    <w:rsid w:val="00EE382B"/>
    <w:rsid w:val="00EE4AA5"/>
    <w:rsid w:val="00EE4B43"/>
    <w:rsid w:val="00EE4E8A"/>
    <w:rsid w:val="00EE4EE1"/>
    <w:rsid w:val="00EE5299"/>
    <w:rsid w:val="00EE5D8B"/>
    <w:rsid w:val="00EE61BA"/>
    <w:rsid w:val="00EE6312"/>
    <w:rsid w:val="00EE6359"/>
    <w:rsid w:val="00EE6B11"/>
    <w:rsid w:val="00EE6D19"/>
    <w:rsid w:val="00EE7670"/>
    <w:rsid w:val="00EE7716"/>
    <w:rsid w:val="00EE7F21"/>
    <w:rsid w:val="00EF0193"/>
    <w:rsid w:val="00EF03D7"/>
    <w:rsid w:val="00EF0682"/>
    <w:rsid w:val="00EF0C22"/>
    <w:rsid w:val="00EF0E9E"/>
    <w:rsid w:val="00EF0ED4"/>
    <w:rsid w:val="00EF142E"/>
    <w:rsid w:val="00EF17FA"/>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6404"/>
    <w:rsid w:val="00EF6A32"/>
    <w:rsid w:val="00EF707C"/>
    <w:rsid w:val="00EF744C"/>
    <w:rsid w:val="00EF7803"/>
    <w:rsid w:val="00EF7837"/>
    <w:rsid w:val="00EF78F7"/>
    <w:rsid w:val="00EF7BA1"/>
    <w:rsid w:val="00EF7DEF"/>
    <w:rsid w:val="00F0085C"/>
    <w:rsid w:val="00F00D08"/>
    <w:rsid w:val="00F00DE8"/>
    <w:rsid w:val="00F01C76"/>
    <w:rsid w:val="00F01E96"/>
    <w:rsid w:val="00F02212"/>
    <w:rsid w:val="00F02263"/>
    <w:rsid w:val="00F03BBA"/>
    <w:rsid w:val="00F03DB3"/>
    <w:rsid w:val="00F03EAD"/>
    <w:rsid w:val="00F0421C"/>
    <w:rsid w:val="00F04D2B"/>
    <w:rsid w:val="00F04F2B"/>
    <w:rsid w:val="00F054A0"/>
    <w:rsid w:val="00F05862"/>
    <w:rsid w:val="00F05A93"/>
    <w:rsid w:val="00F061E2"/>
    <w:rsid w:val="00F06A32"/>
    <w:rsid w:val="00F07448"/>
    <w:rsid w:val="00F1006F"/>
    <w:rsid w:val="00F106CC"/>
    <w:rsid w:val="00F11BBD"/>
    <w:rsid w:val="00F11F18"/>
    <w:rsid w:val="00F1208A"/>
    <w:rsid w:val="00F121FF"/>
    <w:rsid w:val="00F12547"/>
    <w:rsid w:val="00F12AB8"/>
    <w:rsid w:val="00F12BB1"/>
    <w:rsid w:val="00F12DD5"/>
    <w:rsid w:val="00F135CF"/>
    <w:rsid w:val="00F156B9"/>
    <w:rsid w:val="00F15BB2"/>
    <w:rsid w:val="00F15FA1"/>
    <w:rsid w:val="00F164D6"/>
    <w:rsid w:val="00F16AB8"/>
    <w:rsid w:val="00F16B20"/>
    <w:rsid w:val="00F1758E"/>
    <w:rsid w:val="00F17D1A"/>
    <w:rsid w:val="00F20213"/>
    <w:rsid w:val="00F20337"/>
    <w:rsid w:val="00F2059C"/>
    <w:rsid w:val="00F2109B"/>
    <w:rsid w:val="00F215C4"/>
    <w:rsid w:val="00F2170F"/>
    <w:rsid w:val="00F21E87"/>
    <w:rsid w:val="00F221D8"/>
    <w:rsid w:val="00F2237D"/>
    <w:rsid w:val="00F2258A"/>
    <w:rsid w:val="00F22623"/>
    <w:rsid w:val="00F22F91"/>
    <w:rsid w:val="00F23149"/>
    <w:rsid w:val="00F237D9"/>
    <w:rsid w:val="00F23FA3"/>
    <w:rsid w:val="00F24957"/>
    <w:rsid w:val="00F2498B"/>
    <w:rsid w:val="00F24E0C"/>
    <w:rsid w:val="00F25174"/>
    <w:rsid w:val="00F26130"/>
    <w:rsid w:val="00F26695"/>
    <w:rsid w:val="00F2678D"/>
    <w:rsid w:val="00F26F9A"/>
    <w:rsid w:val="00F27662"/>
    <w:rsid w:val="00F2777B"/>
    <w:rsid w:val="00F27781"/>
    <w:rsid w:val="00F27A0E"/>
    <w:rsid w:val="00F27A7F"/>
    <w:rsid w:val="00F27BE6"/>
    <w:rsid w:val="00F27D25"/>
    <w:rsid w:val="00F305E4"/>
    <w:rsid w:val="00F306CC"/>
    <w:rsid w:val="00F306D9"/>
    <w:rsid w:val="00F3119D"/>
    <w:rsid w:val="00F31EC0"/>
    <w:rsid w:val="00F31F40"/>
    <w:rsid w:val="00F32E3F"/>
    <w:rsid w:val="00F32F8A"/>
    <w:rsid w:val="00F332D4"/>
    <w:rsid w:val="00F3375E"/>
    <w:rsid w:val="00F33C4C"/>
    <w:rsid w:val="00F345AD"/>
    <w:rsid w:val="00F34749"/>
    <w:rsid w:val="00F34FD9"/>
    <w:rsid w:val="00F35E56"/>
    <w:rsid w:val="00F35F54"/>
    <w:rsid w:val="00F366EF"/>
    <w:rsid w:val="00F36B8E"/>
    <w:rsid w:val="00F3703F"/>
    <w:rsid w:val="00F37B7E"/>
    <w:rsid w:val="00F37BFD"/>
    <w:rsid w:val="00F37E21"/>
    <w:rsid w:val="00F40952"/>
    <w:rsid w:val="00F40B9E"/>
    <w:rsid w:val="00F41878"/>
    <w:rsid w:val="00F41E04"/>
    <w:rsid w:val="00F422AF"/>
    <w:rsid w:val="00F426CB"/>
    <w:rsid w:val="00F44864"/>
    <w:rsid w:val="00F45802"/>
    <w:rsid w:val="00F45F64"/>
    <w:rsid w:val="00F464FB"/>
    <w:rsid w:val="00F4679A"/>
    <w:rsid w:val="00F46977"/>
    <w:rsid w:val="00F46EB5"/>
    <w:rsid w:val="00F4752C"/>
    <w:rsid w:val="00F4787F"/>
    <w:rsid w:val="00F47B8C"/>
    <w:rsid w:val="00F47F60"/>
    <w:rsid w:val="00F502BC"/>
    <w:rsid w:val="00F5093A"/>
    <w:rsid w:val="00F50A29"/>
    <w:rsid w:val="00F512A9"/>
    <w:rsid w:val="00F51419"/>
    <w:rsid w:val="00F517F8"/>
    <w:rsid w:val="00F52326"/>
    <w:rsid w:val="00F52513"/>
    <w:rsid w:val="00F527C4"/>
    <w:rsid w:val="00F52D3B"/>
    <w:rsid w:val="00F52E30"/>
    <w:rsid w:val="00F5329E"/>
    <w:rsid w:val="00F53516"/>
    <w:rsid w:val="00F535B0"/>
    <w:rsid w:val="00F536BE"/>
    <w:rsid w:val="00F53E0B"/>
    <w:rsid w:val="00F53FCF"/>
    <w:rsid w:val="00F544ED"/>
    <w:rsid w:val="00F55228"/>
    <w:rsid w:val="00F5546C"/>
    <w:rsid w:val="00F55992"/>
    <w:rsid w:val="00F55BF7"/>
    <w:rsid w:val="00F56388"/>
    <w:rsid w:val="00F565E5"/>
    <w:rsid w:val="00F56DAB"/>
    <w:rsid w:val="00F57567"/>
    <w:rsid w:val="00F5789E"/>
    <w:rsid w:val="00F611CD"/>
    <w:rsid w:val="00F61AA9"/>
    <w:rsid w:val="00F61FE1"/>
    <w:rsid w:val="00F625A8"/>
    <w:rsid w:val="00F62A57"/>
    <w:rsid w:val="00F62C84"/>
    <w:rsid w:val="00F62DCF"/>
    <w:rsid w:val="00F63963"/>
    <w:rsid w:val="00F639E6"/>
    <w:rsid w:val="00F63CFE"/>
    <w:rsid w:val="00F642C8"/>
    <w:rsid w:val="00F64594"/>
    <w:rsid w:val="00F645ED"/>
    <w:rsid w:val="00F64A90"/>
    <w:rsid w:val="00F64D90"/>
    <w:rsid w:val="00F650AE"/>
    <w:rsid w:val="00F659EB"/>
    <w:rsid w:val="00F661F5"/>
    <w:rsid w:val="00F66499"/>
    <w:rsid w:val="00F667D6"/>
    <w:rsid w:val="00F66B35"/>
    <w:rsid w:val="00F66FF5"/>
    <w:rsid w:val="00F67894"/>
    <w:rsid w:val="00F679A7"/>
    <w:rsid w:val="00F67C75"/>
    <w:rsid w:val="00F702E1"/>
    <w:rsid w:val="00F70302"/>
    <w:rsid w:val="00F70480"/>
    <w:rsid w:val="00F707CB"/>
    <w:rsid w:val="00F712B2"/>
    <w:rsid w:val="00F71DFC"/>
    <w:rsid w:val="00F722B3"/>
    <w:rsid w:val="00F7277B"/>
    <w:rsid w:val="00F727BC"/>
    <w:rsid w:val="00F7353F"/>
    <w:rsid w:val="00F743E5"/>
    <w:rsid w:val="00F7686B"/>
    <w:rsid w:val="00F7708C"/>
    <w:rsid w:val="00F77E41"/>
    <w:rsid w:val="00F81389"/>
    <w:rsid w:val="00F81551"/>
    <w:rsid w:val="00F81890"/>
    <w:rsid w:val="00F81A8F"/>
    <w:rsid w:val="00F81FE5"/>
    <w:rsid w:val="00F82C30"/>
    <w:rsid w:val="00F82D12"/>
    <w:rsid w:val="00F8309A"/>
    <w:rsid w:val="00F831C0"/>
    <w:rsid w:val="00F832A4"/>
    <w:rsid w:val="00F835F1"/>
    <w:rsid w:val="00F83884"/>
    <w:rsid w:val="00F845B4"/>
    <w:rsid w:val="00F85B94"/>
    <w:rsid w:val="00F86712"/>
    <w:rsid w:val="00F86AF7"/>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39A"/>
    <w:rsid w:val="00F95D86"/>
    <w:rsid w:val="00F95EF5"/>
    <w:rsid w:val="00F96AE6"/>
    <w:rsid w:val="00F978DE"/>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1DBB"/>
    <w:rsid w:val="00FB3756"/>
    <w:rsid w:val="00FB3E8F"/>
    <w:rsid w:val="00FB4269"/>
    <w:rsid w:val="00FB436A"/>
    <w:rsid w:val="00FB4E3A"/>
    <w:rsid w:val="00FB4E87"/>
    <w:rsid w:val="00FB531C"/>
    <w:rsid w:val="00FB58F8"/>
    <w:rsid w:val="00FB5FE5"/>
    <w:rsid w:val="00FB62C8"/>
    <w:rsid w:val="00FB6807"/>
    <w:rsid w:val="00FB6F6F"/>
    <w:rsid w:val="00FB72F5"/>
    <w:rsid w:val="00FB7602"/>
    <w:rsid w:val="00FC17DF"/>
    <w:rsid w:val="00FC1C52"/>
    <w:rsid w:val="00FC1CF5"/>
    <w:rsid w:val="00FC26A7"/>
    <w:rsid w:val="00FC28BF"/>
    <w:rsid w:val="00FC2ADE"/>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0F6D"/>
    <w:rsid w:val="00FD1048"/>
    <w:rsid w:val="00FD10CF"/>
    <w:rsid w:val="00FD16A0"/>
    <w:rsid w:val="00FD17F5"/>
    <w:rsid w:val="00FD1839"/>
    <w:rsid w:val="00FD1BBA"/>
    <w:rsid w:val="00FD2DF3"/>
    <w:rsid w:val="00FD3006"/>
    <w:rsid w:val="00FD30C4"/>
    <w:rsid w:val="00FD3403"/>
    <w:rsid w:val="00FD468B"/>
    <w:rsid w:val="00FD5B86"/>
    <w:rsid w:val="00FD602E"/>
    <w:rsid w:val="00FD60D1"/>
    <w:rsid w:val="00FD68F5"/>
    <w:rsid w:val="00FD6EC1"/>
    <w:rsid w:val="00FD6F2D"/>
    <w:rsid w:val="00FD798B"/>
    <w:rsid w:val="00FD7B02"/>
    <w:rsid w:val="00FD7B8C"/>
    <w:rsid w:val="00FD7DF8"/>
    <w:rsid w:val="00FE0450"/>
    <w:rsid w:val="00FE045F"/>
    <w:rsid w:val="00FE07F3"/>
    <w:rsid w:val="00FE0E3B"/>
    <w:rsid w:val="00FE0F14"/>
    <w:rsid w:val="00FE16F9"/>
    <w:rsid w:val="00FE1803"/>
    <w:rsid w:val="00FE20FA"/>
    <w:rsid w:val="00FE2263"/>
    <w:rsid w:val="00FE261A"/>
    <w:rsid w:val="00FE290A"/>
    <w:rsid w:val="00FE34B3"/>
    <w:rsid w:val="00FE3689"/>
    <w:rsid w:val="00FE37FB"/>
    <w:rsid w:val="00FE3B2A"/>
    <w:rsid w:val="00FE3BB3"/>
    <w:rsid w:val="00FE3FCA"/>
    <w:rsid w:val="00FE403D"/>
    <w:rsid w:val="00FE4112"/>
    <w:rsid w:val="00FE47B6"/>
    <w:rsid w:val="00FE4E84"/>
    <w:rsid w:val="00FE6063"/>
    <w:rsid w:val="00FF0041"/>
    <w:rsid w:val="00FF00E0"/>
    <w:rsid w:val="00FF02D4"/>
    <w:rsid w:val="00FF0371"/>
    <w:rsid w:val="00FF08CA"/>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83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F1,footnote text 9 pt,ft9"/>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F1 Char,footnote text 9 pt Char1,ft9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locked/>
    <w:rsid w:val="00C6660A"/>
    <w:rPr>
      <w:rFonts w:ascii="Arial" w:hAnsi="Arial"/>
      <w:sz w:val="20"/>
      <w:szCs w:val="20"/>
    </w:rPr>
  </w:style>
  <w:style w:type="paragraph" w:customStyle="1" w:styleId="Tabletext">
    <w:name w:val="Table text"/>
    <w:basedOn w:val="Normal"/>
    <w:link w:val="TabletextChar"/>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rsid w:val="00ED30CE"/>
    <w:pPr>
      <w:numPr>
        <w:numId w:val="1"/>
      </w:numPr>
      <w:spacing w:after="120"/>
    </w:pPr>
    <w:rPr>
      <w:rFonts w:cs="Arial"/>
    </w:rPr>
  </w:style>
  <w:style w:type="character" w:customStyle="1" w:styleId="bulletroundChar">
    <w:name w:val="bullet round Char"/>
    <w:basedOn w:val="DefaultParagraphFont"/>
    <w:link w:val="bulletround"/>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4E5F1C"/>
    <w:pPr>
      <w:spacing w:before="40" w:after="40"/>
    </w:pPr>
    <w:rPr>
      <w:rFonts w:ascii="Arial" w:hAnsi="Arial"/>
      <w:sz w:val="20"/>
      <w:szCs w:val="20"/>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link w:val="ExhibitTitleChar"/>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footnote text 9 pt Char,ft9 Char"/>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 w:type="table" w:customStyle="1" w:styleId="TableGrid1">
    <w:name w:val="Table Grid1"/>
    <w:basedOn w:val="TableNormal"/>
    <w:next w:val="TableGrid"/>
    <w:rsid w:val="005451F5"/>
    <w:pPr>
      <w:spacing w:before="20" w:after="20"/>
    </w:pPr>
    <w:rPr>
      <w:rFonts w:ascii="Arial" w:hAnsi="Arial"/>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995841"/>
    <w:rPr>
      <w:rFonts w:ascii="Arial" w:hAnsi="Arial"/>
      <w:b/>
      <w:sz w:val="20"/>
      <w:szCs w:val="20"/>
    </w:rPr>
  </w:style>
  <w:style w:type="table" w:customStyle="1" w:styleId="Headerevenpageastable">
    <w:name w:val="Header even page as table"/>
    <w:basedOn w:val="TableNormal"/>
    <w:uiPriority w:val="99"/>
    <w:rsid w:val="007061B3"/>
    <w:pPr>
      <w:tabs>
        <w:tab w:val="left" w:pos="230"/>
      </w:tabs>
      <w:spacing w:line="200" w:lineRule="exact"/>
    </w:pPr>
    <w:rPr>
      <w:rFonts w:ascii="Arial Narrow" w:eastAsia="Calibri" w:hAnsi="Arial Narrow"/>
      <w:caps/>
      <w:sz w:val="16"/>
      <w:szCs w:val="20"/>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7061B3"/>
    <w:pPr>
      <w:tabs>
        <w:tab w:val="left" w:pos="230"/>
      </w:tabs>
      <w:spacing w:line="200" w:lineRule="exact"/>
      <w:ind w:left="230" w:right="230"/>
      <w:jc w:val="right"/>
    </w:pPr>
    <w:rPr>
      <w:rFonts w:ascii="Arial Narrow" w:eastAsia="Calibri" w:hAnsi="Arial Narrow"/>
      <w:caps/>
      <w:sz w:val="16"/>
    </w:rPr>
  </w:style>
  <w:style w:type="paragraph" w:customStyle="1" w:styleId="Figure">
    <w:name w:val="Figure"/>
    <w:basedOn w:val="Normal"/>
    <w:next w:val="Source"/>
    <w:rsid w:val="007061B3"/>
    <w:pPr>
      <w:keepNext/>
    </w:pPr>
    <w:rPr>
      <w:rFonts w:asciiTheme="minorHAnsi" w:hAnsiTheme="minorHAnsi"/>
      <w:noProof/>
      <w:szCs w:val="24"/>
    </w:rPr>
  </w:style>
  <w:style w:type="paragraph" w:customStyle="1" w:styleId="Tabletextcolumn1">
    <w:name w:val="Table text column 1"/>
    <w:basedOn w:val="Tabletext"/>
    <w:qFormat/>
    <w:rsid w:val="006A305C"/>
    <w:pPr>
      <w:spacing w:before="0" w:after="0"/>
      <w:ind w:left="187" w:hanging="187"/>
    </w:pPr>
  </w:style>
  <w:style w:type="paragraph" w:customStyle="1" w:styleId="question">
    <w:name w:val="question"/>
    <w:basedOn w:val="Normal"/>
    <w:uiPriority w:val="99"/>
    <w:rsid w:val="006A305C"/>
    <w:pPr>
      <w:numPr>
        <w:numId w:val="31"/>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6A305C"/>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6A305C"/>
    <w:rPr>
      <w:rFonts w:ascii="Arial" w:hAnsi="Arial"/>
      <w:sz w:val="18"/>
      <w:szCs w:val="18"/>
    </w:rPr>
  </w:style>
  <w:style w:type="paragraph" w:customStyle="1" w:styleId="Tabletextcolumn1indent1">
    <w:name w:val="Table text column 1 indent 1"/>
    <w:basedOn w:val="Normal"/>
    <w:qFormat/>
    <w:rsid w:val="006A305C"/>
    <w:pPr>
      <w:spacing w:line="240" w:lineRule="atLeast"/>
      <w:ind w:left="346" w:firstLineChars="100" w:firstLine="201"/>
    </w:pPr>
    <w:rPr>
      <w:rFonts w:ascii="Arial" w:hAnsi="Arial" w:cs="Arial"/>
      <w:bCs/>
      <w:sz w:val="20"/>
    </w:rPr>
  </w:style>
  <w:style w:type="paragraph" w:customStyle="1" w:styleId="Tabletextcolumn1indent2">
    <w:name w:val="Table text column 1 indent 2"/>
    <w:qFormat/>
    <w:rsid w:val="006A305C"/>
    <w:pPr>
      <w:spacing w:after="160" w:line="259" w:lineRule="auto"/>
      <w:ind w:left="346" w:firstLineChars="200" w:firstLine="40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F1,footnote text 9 pt,ft9"/>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F1 Char,footnote text 9 pt Char1,ft9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locked/>
    <w:rsid w:val="00C6660A"/>
    <w:rPr>
      <w:rFonts w:ascii="Arial" w:hAnsi="Arial"/>
      <w:sz w:val="20"/>
      <w:szCs w:val="20"/>
    </w:rPr>
  </w:style>
  <w:style w:type="paragraph" w:customStyle="1" w:styleId="Tabletext">
    <w:name w:val="Table text"/>
    <w:basedOn w:val="Normal"/>
    <w:link w:val="TabletextChar"/>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rsid w:val="00ED30CE"/>
    <w:pPr>
      <w:numPr>
        <w:numId w:val="1"/>
      </w:numPr>
      <w:spacing w:after="120"/>
    </w:pPr>
    <w:rPr>
      <w:rFonts w:cs="Arial"/>
    </w:rPr>
  </w:style>
  <w:style w:type="character" w:customStyle="1" w:styleId="bulletroundChar">
    <w:name w:val="bullet round Char"/>
    <w:basedOn w:val="DefaultParagraphFont"/>
    <w:link w:val="bulletround"/>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4E5F1C"/>
    <w:pPr>
      <w:spacing w:before="40" w:after="40"/>
    </w:pPr>
    <w:rPr>
      <w:rFonts w:ascii="Arial" w:hAnsi="Arial"/>
      <w:sz w:val="20"/>
      <w:szCs w:val="20"/>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link w:val="ExhibitTitleChar"/>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footnote text 9 pt Char,ft9 Char"/>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 w:type="table" w:customStyle="1" w:styleId="TableGrid1">
    <w:name w:val="Table Grid1"/>
    <w:basedOn w:val="TableNormal"/>
    <w:next w:val="TableGrid"/>
    <w:rsid w:val="005451F5"/>
    <w:pPr>
      <w:spacing w:before="20" w:after="20"/>
    </w:pPr>
    <w:rPr>
      <w:rFonts w:ascii="Arial" w:hAnsi="Arial"/>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995841"/>
    <w:rPr>
      <w:rFonts w:ascii="Arial" w:hAnsi="Arial"/>
      <w:b/>
      <w:sz w:val="20"/>
      <w:szCs w:val="20"/>
    </w:rPr>
  </w:style>
  <w:style w:type="table" w:customStyle="1" w:styleId="Headerevenpageastable">
    <w:name w:val="Header even page as table"/>
    <w:basedOn w:val="TableNormal"/>
    <w:uiPriority w:val="99"/>
    <w:rsid w:val="007061B3"/>
    <w:pPr>
      <w:tabs>
        <w:tab w:val="left" w:pos="230"/>
      </w:tabs>
      <w:spacing w:line="200" w:lineRule="exact"/>
    </w:pPr>
    <w:rPr>
      <w:rFonts w:ascii="Arial Narrow" w:eastAsia="Calibri" w:hAnsi="Arial Narrow"/>
      <w:caps/>
      <w:sz w:val="16"/>
      <w:szCs w:val="20"/>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7061B3"/>
    <w:pPr>
      <w:tabs>
        <w:tab w:val="left" w:pos="230"/>
      </w:tabs>
      <w:spacing w:line="200" w:lineRule="exact"/>
      <w:ind w:left="230" w:right="230"/>
      <w:jc w:val="right"/>
    </w:pPr>
    <w:rPr>
      <w:rFonts w:ascii="Arial Narrow" w:eastAsia="Calibri" w:hAnsi="Arial Narrow"/>
      <w:caps/>
      <w:sz w:val="16"/>
    </w:rPr>
  </w:style>
  <w:style w:type="paragraph" w:customStyle="1" w:styleId="Figure">
    <w:name w:val="Figure"/>
    <w:basedOn w:val="Normal"/>
    <w:next w:val="Source"/>
    <w:rsid w:val="007061B3"/>
    <w:pPr>
      <w:keepNext/>
    </w:pPr>
    <w:rPr>
      <w:rFonts w:asciiTheme="minorHAnsi" w:hAnsiTheme="minorHAnsi"/>
      <w:noProof/>
      <w:szCs w:val="24"/>
    </w:rPr>
  </w:style>
  <w:style w:type="paragraph" w:customStyle="1" w:styleId="Tabletextcolumn1">
    <w:name w:val="Table text column 1"/>
    <w:basedOn w:val="Tabletext"/>
    <w:qFormat/>
    <w:rsid w:val="006A305C"/>
    <w:pPr>
      <w:spacing w:before="0" w:after="0"/>
      <w:ind w:left="187" w:hanging="187"/>
    </w:pPr>
  </w:style>
  <w:style w:type="paragraph" w:customStyle="1" w:styleId="question">
    <w:name w:val="question"/>
    <w:basedOn w:val="Normal"/>
    <w:uiPriority w:val="99"/>
    <w:rsid w:val="006A305C"/>
    <w:pPr>
      <w:numPr>
        <w:numId w:val="31"/>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6A305C"/>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6A305C"/>
    <w:rPr>
      <w:rFonts w:ascii="Arial" w:hAnsi="Arial"/>
      <w:sz w:val="18"/>
      <w:szCs w:val="18"/>
    </w:rPr>
  </w:style>
  <w:style w:type="paragraph" w:customStyle="1" w:styleId="Tabletextcolumn1indent1">
    <w:name w:val="Table text column 1 indent 1"/>
    <w:basedOn w:val="Normal"/>
    <w:qFormat/>
    <w:rsid w:val="006A305C"/>
    <w:pPr>
      <w:spacing w:line="240" w:lineRule="atLeast"/>
      <w:ind w:left="346" w:firstLineChars="100" w:firstLine="201"/>
    </w:pPr>
    <w:rPr>
      <w:rFonts w:ascii="Arial" w:hAnsi="Arial" w:cs="Arial"/>
      <w:bCs/>
      <w:sz w:val="20"/>
    </w:rPr>
  </w:style>
  <w:style w:type="paragraph" w:customStyle="1" w:styleId="Tabletextcolumn1indent2">
    <w:name w:val="Table text column 1 indent 2"/>
    <w:qFormat/>
    <w:rsid w:val="006A305C"/>
    <w:pPr>
      <w:spacing w:after="160" w:line="259" w:lineRule="auto"/>
      <w:ind w:left="346" w:firstLineChars="200" w:firstLine="40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099">
      <w:bodyDiv w:val="1"/>
      <w:marLeft w:val="0"/>
      <w:marRight w:val="0"/>
      <w:marTop w:val="0"/>
      <w:marBottom w:val="0"/>
      <w:divBdr>
        <w:top w:val="none" w:sz="0" w:space="0" w:color="auto"/>
        <w:left w:val="none" w:sz="0" w:space="0" w:color="auto"/>
        <w:bottom w:val="none" w:sz="0" w:space="0" w:color="auto"/>
        <w:right w:val="none" w:sz="0" w:space="0" w:color="auto"/>
      </w:divBdr>
    </w:div>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213398354">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381439553">
      <w:bodyDiv w:val="1"/>
      <w:marLeft w:val="0"/>
      <w:marRight w:val="0"/>
      <w:marTop w:val="0"/>
      <w:marBottom w:val="0"/>
      <w:divBdr>
        <w:top w:val="none" w:sz="0" w:space="0" w:color="auto"/>
        <w:left w:val="none" w:sz="0" w:space="0" w:color="auto"/>
        <w:bottom w:val="none" w:sz="0" w:space="0" w:color="auto"/>
        <w:right w:val="none" w:sz="0" w:space="0" w:color="auto"/>
      </w:divBdr>
    </w:div>
    <w:div w:id="426465589">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740324459">
      <w:bodyDiv w:val="1"/>
      <w:marLeft w:val="0"/>
      <w:marRight w:val="0"/>
      <w:marTop w:val="0"/>
      <w:marBottom w:val="0"/>
      <w:divBdr>
        <w:top w:val="none" w:sz="0" w:space="0" w:color="auto"/>
        <w:left w:val="none" w:sz="0" w:space="0" w:color="auto"/>
        <w:bottom w:val="none" w:sz="0" w:space="0" w:color="auto"/>
        <w:right w:val="none" w:sz="0" w:space="0" w:color="auto"/>
      </w:divBdr>
    </w:div>
    <w:div w:id="799571577">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99668752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142232115">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488128457">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737823929">
      <w:bodyDiv w:val="1"/>
      <w:marLeft w:val="0"/>
      <w:marRight w:val="0"/>
      <w:marTop w:val="0"/>
      <w:marBottom w:val="0"/>
      <w:divBdr>
        <w:top w:val="none" w:sz="0" w:space="0" w:color="auto"/>
        <w:left w:val="none" w:sz="0" w:space="0" w:color="auto"/>
        <w:bottom w:val="none" w:sz="0" w:space="0" w:color="auto"/>
        <w:right w:val="none" w:sz="0" w:space="0" w:color="auto"/>
      </w:divBdr>
    </w:div>
    <w:div w:id="1826700024">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04524091">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4186-636A-4801-91EA-92BD3C98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31</Pages>
  <Words>15994</Words>
  <Characters>91168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106949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Kubzdela, Kashka</cp:lastModifiedBy>
  <cp:revision>14</cp:revision>
  <cp:lastPrinted>2016-08-09T19:42:00Z</cp:lastPrinted>
  <dcterms:created xsi:type="dcterms:W3CDTF">2016-08-31T21:00:00Z</dcterms:created>
  <dcterms:modified xsi:type="dcterms:W3CDTF">2017-04-27T03:15:00Z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