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3F9A44" w14:textId="77777777" w:rsidR="00C2153D" w:rsidRPr="000D740B" w:rsidRDefault="00A01190" w:rsidP="000D740B">
      <w:pPr>
        <w:pStyle w:val="BodyText3"/>
        <w:spacing w:line="276" w:lineRule="auto"/>
        <w:rPr>
          <w:rFonts w:ascii="Times New Roman" w:hAnsi="Times New Roman"/>
          <w:b/>
          <w:bCs/>
          <w:szCs w:val="24"/>
        </w:rPr>
      </w:pPr>
      <w:r w:rsidRPr="000D740B">
        <w:rPr>
          <w:rFonts w:ascii="Times New Roman" w:hAnsi="Times New Roman"/>
          <w:b/>
          <w:bCs/>
          <w:sz w:val="32"/>
        </w:rPr>
        <w:t>Memorandum</w:t>
      </w:r>
      <w:r w:rsidRPr="000D740B">
        <w:rPr>
          <w:rFonts w:ascii="Times New Roman" w:hAnsi="Times New Roman"/>
          <w:b/>
          <w:bCs/>
        </w:rPr>
        <w:t xml:space="preserve"> </w:t>
      </w:r>
      <w:r w:rsidRPr="000D740B">
        <w:rPr>
          <w:rFonts w:ascii="Times New Roman" w:hAnsi="Times New Roman"/>
          <w:b/>
          <w:bCs/>
        </w:rPr>
        <w:tab/>
      </w:r>
      <w:r w:rsidRPr="000D740B">
        <w:rPr>
          <w:rFonts w:ascii="Times New Roman" w:hAnsi="Times New Roman"/>
          <w:b/>
          <w:bCs/>
        </w:rPr>
        <w:tab/>
      </w:r>
      <w:r w:rsidRPr="000D740B">
        <w:rPr>
          <w:rFonts w:ascii="Times New Roman" w:hAnsi="Times New Roman"/>
          <w:b/>
          <w:bCs/>
        </w:rPr>
        <w:tab/>
      </w:r>
      <w:r w:rsidRPr="000D740B">
        <w:rPr>
          <w:rFonts w:ascii="Times New Roman" w:hAnsi="Times New Roman"/>
          <w:b/>
          <w:bCs/>
        </w:rPr>
        <w:tab/>
      </w:r>
      <w:r w:rsidRPr="000D740B">
        <w:rPr>
          <w:rFonts w:ascii="Times New Roman" w:hAnsi="Times New Roman"/>
          <w:b/>
          <w:bCs/>
        </w:rPr>
        <w:tab/>
      </w:r>
      <w:r w:rsidRPr="000D740B">
        <w:rPr>
          <w:rFonts w:ascii="Times New Roman" w:hAnsi="Times New Roman"/>
          <w:b/>
          <w:bCs/>
          <w:szCs w:val="24"/>
        </w:rPr>
        <w:t>United States Department of Education</w:t>
      </w:r>
    </w:p>
    <w:p w14:paraId="160DCC11" w14:textId="77777777" w:rsidR="00C2153D" w:rsidRPr="000D740B" w:rsidRDefault="00A01190" w:rsidP="000D740B">
      <w:pPr>
        <w:pStyle w:val="BodyText3"/>
        <w:spacing w:line="276" w:lineRule="auto"/>
        <w:ind w:left="3600" w:firstLine="720"/>
        <w:rPr>
          <w:rFonts w:ascii="Times New Roman" w:hAnsi="Times New Roman"/>
          <w:b/>
          <w:bCs/>
          <w:szCs w:val="24"/>
        </w:rPr>
      </w:pPr>
      <w:r w:rsidRPr="000D740B">
        <w:rPr>
          <w:rFonts w:ascii="Times New Roman" w:hAnsi="Times New Roman"/>
          <w:b/>
          <w:bCs/>
          <w:szCs w:val="24"/>
        </w:rPr>
        <w:tab/>
        <w:t>Institute of Education Sciences</w:t>
      </w:r>
    </w:p>
    <w:p w14:paraId="2A5A65D8" w14:textId="77777777" w:rsidR="00C2153D" w:rsidRPr="000D740B" w:rsidRDefault="00A01190" w:rsidP="000D740B">
      <w:pPr>
        <w:pStyle w:val="Heading8"/>
        <w:pBdr>
          <w:bottom w:val="single" w:sz="12" w:space="1" w:color="auto"/>
        </w:pBdr>
        <w:spacing w:line="276" w:lineRule="auto"/>
        <w:rPr>
          <w:sz w:val="28"/>
        </w:rPr>
      </w:pPr>
      <w:r w:rsidRPr="000D740B">
        <w:rPr>
          <w:sz w:val="28"/>
        </w:rPr>
        <w:tab/>
      </w:r>
      <w:r w:rsidRPr="000D740B">
        <w:rPr>
          <w:sz w:val="28"/>
        </w:rPr>
        <w:tab/>
      </w:r>
      <w:r w:rsidRPr="000D740B">
        <w:rPr>
          <w:sz w:val="28"/>
        </w:rPr>
        <w:tab/>
      </w:r>
      <w:r w:rsidRPr="000D740B">
        <w:rPr>
          <w:sz w:val="28"/>
        </w:rPr>
        <w:tab/>
      </w:r>
      <w:r w:rsidRPr="000D740B">
        <w:rPr>
          <w:sz w:val="28"/>
        </w:rPr>
        <w:tab/>
      </w:r>
      <w:r w:rsidRPr="000D740B">
        <w:rPr>
          <w:sz w:val="28"/>
        </w:rPr>
        <w:tab/>
      </w:r>
      <w:r w:rsidRPr="000D740B">
        <w:rPr>
          <w:sz w:val="28"/>
        </w:rPr>
        <w:tab/>
        <w:t>National Center for Education Statistics</w:t>
      </w:r>
    </w:p>
    <w:p w14:paraId="6901D5C0" w14:textId="77777777" w:rsidR="00C2153D" w:rsidRPr="000D740B" w:rsidRDefault="00C2153D" w:rsidP="000D740B">
      <w:pPr>
        <w:spacing w:line="276" w:lineRule="auto"/>
        <w:rPr>
          <w:sz w:val="28"/>
        </w:rPr>
      </w:pPr>
    </w:p>
    <w:p w14:paraId="06720F21" w14:textId="4ADC5089" w:rsidR="00D90962" w:rsidRDefault="00C2153D" w:rsidP="00010A3B">
      <w:pPr>
        <w:spacing w:line="276" w:lineRule="auto"/>
      </w:pPr>
      <w:r w:rsidRPr="00E56FFB">
        <w:t>DATE:</w:t>
      </w:r>
      <w:r w:rsidRPr="00E56FFB">
        <w:tab/>
      </w:r>
      <w:r w:rsidR="00A14445">
        <w:tab/>
      </w:r>
      <w:r w:rsidR="000842C5">
        <w:t>April 5, 2017, revised April 7, 2017</w:t>
      </w:r>
      <w:bookmarkStart w:id="0" w:name="_GoBack"/>
      <w:bookmarkEnd w:id="0"/>
    </w:p>
    <w:p w14:paraId="60BB1970" w14:textId="77777777" w:rsidR="00C2153D" w:rsidRPr="009B4A44" w:rsidRDefault="00C2153D" w:rsidP="009B4A44">
      <w:pPr>
        <w:rPr>
          <w:sz w:val="20"/>
          <w:szCs w:val="20"/>
        </w:rPr>
      </w:pPr>
    </w:p>
    <w:p w14:paraId="04CBBD3A" w14:textId="77777777" w:rsidR="00D018C6" w:rsidRPr="000D740B" w:rsidRDefault="00026D24" w:rsidP="000D740B">
      <w:pPr>
        <w:spacing w:line="276" w:lineRule="auto"/>
      </w:pPr>
      <w:r w:rsidRPr="000D740B">
        <w:t>TO:</w:t>
      </w:r>
      <w:r w:rsidRPr="000D740B">
        <w:tab/>
      </w:r>
      <w:r w:rsidRPr="000D740B">
        <w:tab/>
      </w:r>
      <w:r w:rsidR="00295AD2" w:rsidRPr="00295AD2">
        <w:t xml:space="preserve">Robert </w:t>
      </w:r>
      <w:proofErr w:type="spellStart"/>
      <w:r w:rsidR="00295AD2" w:rsidRPr="00295AD2">
        <w:t>Sivinski</w:t>
      </w:r>
      <w:proofErr w:type="spellEnd"/>
      <w:r w:rsidR="00295AD2" w:rsidRPr="00295AD2">
        <w:t xml:space="preserve"> and E. Ann Carson</w:t>
      </w:r>
      <w:r w:rsidR="00D018C6" w:rsidRPr="000D740B">
        <w:t>, OMB</w:t>
      </w:r>
    </w:p>
    <w:p w14:paraId="1726FDE4" w14:textId="77777777" w:rsidR="009B4A44" w:rsidRPr="009B4A44" w:rsidRDefault="009B4A44" w:rsidP="009B4A44">
      <w:pPr>
        <w:rPr>
          <w:sz w:val="20"/>
          <w:szCs w:val="20"/>
        </w:rPr>
      </w:pPr>
    </w:p>
    <w:p w14:paraId="4DE6C08F" w14:textId="77777777" w:rsidR="00C2153D" w:rsidRPr="000D740B" w:rsidRDefault="00026D24" w:rsidP="000D740B">
      <w:pPr>
        <w:spacing w:line="276" w:lineRule="auto"/>
      </w:pPr>
      <w:r w:rsidRPr="000D740B">
        <w:t>THROUGH</w:t>
      </w:r>
      <w:r w:rsidR="00C2153D" w:rsidRPr="000D740B">
        <w:t>:</w:t>
      </w:r>
      <w:r w:rsidRPr="000D740B">
        <w:tab/>
      </w:r>
      <w:r w:rsidR="000E3482" w:rsidRPr="000D740B">
        <w:t>Kashka Kubzdela</w:t>
      </w:r>
      <w:r w:rsidR="007D64A0" w:rsidRPr="000D740B">
        <w:t xml:space="preserve">, OMB Liaison, </w:t>
      </w:r>
      <w:proofErr w:type="gramStart"/>
      <w:r w:rsidR="00C2153D" w:rsidRPr="000D740B">
        <w:t>NCES</w:t>
      </w:r>
      <w:proofErr w:type="gramEnd"/>
    </w:p>
    <w:p w14:paraId="287618A6" w14:textId="77777777" w:rsidR="009B4A44" w:rsidRPr="009B4A44" w:rsidRDefault="009B4A44" w:rsidP="009B4A44">
      <w:pPr>
        <w:rPr>
          <w:sz w:val="20"/>
          <w:szCs w:val="20"/>
        </w:rPr>
      </w:pPr>
    </w:p>
    <w:p w14:paraId="559C64F5" w14:textId="77777777" w:rsidR="00603E5F" w:rsidRDefault="00C2153D" w:rsidP="00371862">
      <w:pPr>
        <w:spacing w:line="276" w:lineRule="auto"/>
      </w:pPr>
      <w:r w:rsidRPr="000D740B">
        <w:t>FROM:</w:t>
      </w:r>
      <w:r w:rsidRPr="000D740B">
        <w:tab/>
      </w:r>
      <w:r w:rsidR="00CC2ABA">
        <w:t>David Richards, BPS</w:t>
      </w:r>
      <w:proofErr w:type="gramStart"/>
      <w:r w:rsidR="00CC2ABA">
        <w:t>:12</w:t>
      </w:r>
      <w:proofErr w:type="gramEnd"/>
      <w:r w:rsidR="00CC2ABA">
        <w:t xml:space="preserve">/17 </w:t>
      </w:r>
      <w:r w:rsidR="00CC2ABA" w:rsidRPr="000D740B">
        <w:t>Project Officer, NCES</w:t>
      </w:r>
    </w:p>
    <w:p w14:paraId="6BD9DDDF" w14:textId="77777777" w:rsidR="00CC2ABA" w:rsidRPr="000D740B" w:rsidRDefault="00371862" w:rsidP="00CC2ABA">
      <w:pPr>
        <w:spacing w:line="276" w:lineRule="auto"/>
        <w:ind w:left="720" w:firstLine="720"/>
      </w:pPr>
      <w:r>
        <w:t>Tracy Hunt-White</w:t>
      </w:r>
      <w:r w:rsidRPr="000D740B">
        <w:t xml:space="preserve">, </w:t>
      </w:r>
      <w:r>
        <w:t>Team Lead, Postsecondary Longitudinal and Sample Surveys, NCES</w:t>
      </w:r>
    </w:p>
    <w:p w14:paraId="2021B02C" w14:textId="77777777" w:rsidR="009B4A44" w:rsidRPr="009B4A44" w:rsidRDefault="009B4A44" w:rsidP="009B4A44">
      <w:pPr>
        <w:rPr>
          <w:sz w:val="20"/>
          <w:szCs w:val="20"/>
        </w:rPr>
      </w:pPr>
    </w:p>
    <w:p w14:paraId="47703AB6" w14:textId="77777777" w:rsidR="007D6DCD" w:rsidRPr="007D6DCD" w:rsidRDefault="00C2153D" w:rsidP="00133B9A">
      <w:pPr>
        <w:pStyle w:val="Cov-Title"/>
        <w:ind w:left="1440" w:hanging="1440"/>
        <w:jc w:val="left"/>
        <w:rPr>
          <w:rFonts w:ascii="Times New Roman" w:hAnsi="Times New Roman"/>
          <w:sz w:val="24"/>
          <w:szCs w:val="24"/>
        </w:rPr>
      </w:pPr>
      <w:r w:rsidRPr="007D6DCD">
        <w:rPr>
          <w:rFonts w:ascii="Times New Roman" w:hAnsi="Times New Roman"/>
          <w:sz w:val="24"/>
          <w:szCs w:val="24"/>
        </w:rPr>
        <w:t>SUBJECT:</w:t>
      </w:r>
      <w:r w:rsidRPr="007D6DCD">
        <w:rPr>
          <w:rFonts w:ascii="Times New Roman" w:hAnsi="Times New Roman"/>
          <w:sz w:val="24"/>
          <w:szCs w:val="24"/>
        </w:rPr>
        <w:tab/>
      </w:r>
      <w:r w:rsidR="00603E5F" w:rsidRPr="00603E5F">
        <w:rPr>
          <w:rFonts w:ascii="Times New Roman" w:hAnsi="Times New Roman"/>
          <w:sz w:val="24"/>
          <w:szCs w:val="24"/>
        </w:rPr>
        <w:t xml:space="preserve">2012/17 Beginning Postsecondary </w:t>
      </w:r>
      <w:r w:rsidR="00603E5F" w:rsidRPr="002712A2">
        <w:rPr>
          <w:rFonts w:ascii="Times New Roman" w:hAnsi="Times New Roman"/>
          <w:sz w:val="24"/>
          <w:szCs w:val="24"/>
        </w:rPr>
        <w:t>Students Longitudinal Study: (BPS</w:t>
      </w:r>
      <w:proofErr w:type="gramStart"/>
      <w:r w:rsidR="00603E5F" w:rsidRPr="002712A2">
        <w:rPr>
          <w:rFonts w:ascii="Times New Roman" w:hAnsi="Times New Roman"/>
          <w:sz w:val="24"/>
          <w:szCs w:val="24"/>
        </w:rPr>
        <w:t>:12</w:t>
      </w:r>
      <w:proofErr w:type="gramEnd"/>
      <w:r w:rsidR="00603E5F" w:rsidRPr="002712A2">
        <w:rPr>
          <w:rFonts w:ascii="Times New Roman" w:hAnsi="Times New Roman"/>
          <w:sz w:val="24"/>
          <w:szCs w:val="24"/>
        </w:rPr>
        <w:t xml:space="preserve">/17) </w:t>
      </w:r>
      <w:r w:rsidR="00295AD2">
        <w:rPr>
          <w:rFonts w:ascii="Times New Roman" w:hAnsi="Times New Roman"/>
          <w:sz w:val="24"/>
          <w:szCs w:val="24"/>
        </w:rPr>
        <w:t>Incentives</w:t>
      </w:r>
      <w:r w:rsidR="009D24E2" w:rsidRPr="002712A2">
        <w:rPr>
          <w:rFonts w:ascii="Times New Roman" w:hAnsi="Times New Roman"/>
          <w:sz w:val="24"/>
          <w:szCs w:val="24"/>
        </w:rPr>
        <w:t xml:space="preserve"> Change Request</w:t>
      </w:r>
      <w:r w:rsidR="001325AB" w:rsidRPr="002712A2">
        <w:rPr>
          <w:rFonts w:ascii="Times New Roman" w:hAnsi="Times New Roman"/>
          <w:sz w:val="24"/>
          <w:szCs w:val="24"/>
        </w:rPr>
        <w:t xml:space="preserve"> </w:t>
      </w:r>
      <w:r w:rsidR="007D6DCD" w:rsidRPr="002712A2">
        <w:rPr>
          <w:rFonts w:ascii="Times New Roman" w:hAnsi="Times New Roman"/>
          <w:sz w:val="24"/>
          <w:szCs w:val="24"/>
        </w:rPr>
        <w:t xml:space="preserve">(OMB# </w:t>
      </w:r>
      <w:r w:rsidR="00D43F7F" w:rsidRPr="002712A2">
        <w:rPr>
          <w:rFonts w:ascii="Times New Roman" w:hAnsi="Times New Roman"/>
          <w:sz w:val="24"/>
          <w:szCs w:val="24"/>
        </w:rPr>
        <w:t>1850-</w:t>
      </w:r>
      <w:r w:rsidR="009D24E2" w:rsidRPr="002712A2">
        <w:rPr>
          <w:rFonts w:ascii="Times New Roman" w:hAnsi="Times New Roman"/>
          <w:sz w:val="24"/>
          <w:szCs w:val="24"/>
        </w:rPr>
        <w:t>0631</w:t>
      </w:r>
      <w:r w:rsidR="00D43F7F" w:rsidRPr="002712A2">
        <w:rPr>
          <w:rFonts w:ascii="Times New Roman" w:hAnsi="Times New Roman"/>
          <w:sz w:val="24"/>
          <w:szCs w:val="24"/>
        </w:rPr>
        <w:t xml:space="preserve"> v.</w:t>
      </w:r>
      <w:r w:rsidR="009D24E2" w:rsidRPr="002712A2">
        <w:rPr>
          <w:rFonts w:ascii="Times New Roman" w:hAnsi="Times New Roman"/>
          <w:sz w:val="24"/>
          <w:szCs w:val="24"/>
        </w:rPr>
        <w:t>1</w:t>
      </w:r>
      <w:r w:rsidR="00295AD2">
        <w:rPr>
          <w:rFonts w:ascii="Times New Roman" w:hAnsi="Times New Roman"/>
          <w:sz w:val="24"/>
          <w:szCs w:val="24"/>
        </w:rPr>
        <w:t>3</w:t>
      </w:r>
      <w:r w:rsidR="007D6DCD" w:rsidRPr="002712A2">
        <w:rPr>
          <w:rFonts w:ascii="Times New Roman" w:hAnsi="Times New Roman"/>
          <w:sz w:val="24"/>
          <w:szCs w:val="24"/>
        </w:rPr>
        <w:t>)</w:t>
      </w:r>
    </w:p>
    <w:p w14:paraId="378930D5" w14:textId="77777777" w:rsidR="006C5ACA" w:rsidRDefault="006C5ACA" w:rsidP="005E46AA">
      <w:pPr>
        <w:pStyle w:val="Bodytextnoindent"/>
        <w:spacing w:before="0" w:line="276" w:lineRule="auto"/>
      </w:pPr>
    </w:p>
    <w:p w14:paraId="2523379E" w14:textId="6D274DF1" w:rsidR="00DC1DD6" w:rsidRDefault="005A657F" w:rsidP="005E46AA">
      <w:pPr>
        <w:pStyle w:val="Bodytextnoindent"/>
        <w:spacing w:before="0" w:line="276" w:lineRule="auto"/>
      </w:pPr>
      <w:r w:rsidRPr="005A657F">
        <w:t>The 2012/17 Beginning Postsecondary Students Longitudinal Study (BPS</w:t>
      </w:r>
      <w:proofErr w:type="gramStart"/>
      <w:r w:rsidRPr="005A657F">
        <w:t>:12</w:t>
      </w:r>
      <w:proofErr w:type="gramEnd"/>
      <w:r w:rsidRPr="005A657F">
        <w:t xml:space="preserve">/17) is conducted by the National Center for Education Statistics (NCES), within the U.S. Department of Education (ED). BPS is designed to follow a cohort of students who enroll in postsecondary education for the first time during the same academic year, irrespective of the date of high school completion. Data from BPS are used to help researchers and policymakers better understand how financial aid influences persistence and completion, what percentages of students complete various degree programs, what are the early employment and wage outcomes for certificate and degree </w:t>
      </w:r>
      <w:proofErr w:type="spellStart"/>
      <w:r w:rsidRPr="005A657F">
        <w:t>attainers</w:t>
      </w:r>
      <w:proofErr w:type="spellEnd"/>
      <w:r w:rsidRPr="005A657F">
        <w:t>, and why students leave school. The request to conduct the BPS</w:t>
      </w:r>
      <w:proofErr w:type="gramStart"/>
      <w:r w:rsidRPr="005A657F">
        <w:t>:12</w:t>
      </w:r>
      <w:proofErr w:type="gramEnd"/>
      <w:r w:rsidRPr="005A657F">
        <w:t>/17 full-scale data collection</w:t>
      </w:r>
      <w:r w:rsidR="004077BB">
        <w:t xml:space="preserve"> </w:t>
      </w:r>
      <w:r w:rsidRPr="005A657F">
        <w:t>was approved by OMB in December 2016 (1850-0631 v.10)</w:t>
      </w:r>
      <w:r w:rsidR="00CB72F0">
        <w:t xml:space="preserve"> with change requests approved in January and </w:t>
      </w:r>
      <w:r w:rsidR="00AD4DDE">
        <w:t>February 2017</w:t>
      </w:r>
      <w:r w:rsidR="00CB72F0">
        <w:t xml:space="preserve"> (OMB# </w:t>
      </w:r>
      <w:r w:rsidR="00AD4DDE">
        <w:t>1850-0631 v.11</w:t>
      </w:r>
      <w:r w:rsidR="00CB72F0">
        <w:t>-12</w:t>
      </w:r>
      <w:r w:rsidR="00AD4DDE" w:rsidRPr="005A657F">
        <w:t>)</w:t>
      </w:r>
      <w:r w:rsidR="00603E5F">
        <w:t>.</w:t>
      </w:r>
      <w:r w:rsidR="004077BB">
        <w:t xml:space="preserve"> </w:t>
      </w:r>
      <w:r w:rsidR="0056480B">
        <w:t>This request is to (1) use specific incentive strategies with the main</w:t>
      </w:r>
      <w:r w:rsidR="0056480B" w:rsidRPr="0056480B">
        <w:t xml:space="preserve"> </w:t>
      </w:r>
      <w:r w:rsidR="0056480B" w:rsidRPr="005A657F">
        <w:t>BPS</w:t>
      </w:r>
      <w:proofErr w:type="gramStart"/>
      <w:r w:rsidR="0056480B" w:rsidRPr="005A657F">
        <w:t>:12</w:t>
      </w:r>
      <w:proofErr w:type="gramEnd"/>
      <w:r w:rsidR="0056480B" w:rsidRPr="005A657F">
        <w:t>/17</w:t>
      </w:r>
      <w:r w:rsidR="0056480B">
        <w:t xml:space="preserve"> sample, b</w:t>
      </w:r>
      <w:r w:rsidR="00CB72F0">
        <w:t>ased on the recent data collection results from the calibration sample</w:t>
      </w:r>
      <w:r w:rsidR="00EA4D63">
        <w:t xml:space="preserve">, </w:t>
      </w:r>
      <w:r w:rsidR="0056480B">
        <w:t>and (</w:t>
      </w:r>
      <w:r w:rsidR="00C41800">
        <w:t>2</w:t>
      </w:r>
      <w:r w:rsidR="0056480B">
        <w:t xml:space="preserve">) to alter recruitment plans for sample member matched to a sanctions list maintained by the U.S. Treasury’s </w:t>
      </w:r>
      <w:r w:rsidR="0056480B" w:rsidRPr="00121464">
        <w:t>Office of Foreign Assets Controls (OFAC)</w:t>
      </w:r>
      <w:r w:rsidR="0056480B">
        <w:t xml:space="preserve">. </w:t>
      </w:r>
      <w:r w:rsidR="009D25EE">
        <w:rPr>
          <w:szCs w:val="24"/>
        </w:rPr>
        <w:t xml:space="preserve">This </w:t>
      </w:r>
      <w:r w:rsidR="0056480B">
        <w:rPr>
          <w:szCs w:val="24"/>
        </w:rPr>
        <w:t>request</w:t>
      </w:r>
      <w:r w:rsidR="009D25EE" w:rsidRPr="002712A2">
        <w:rPr>
          <w:szCs w:val="24"/>
        </w:rPr>
        <w:t xml:space="preserve"> does not </w:t>
      </w:r>
      <w:r w:rsidR="009D25EE" w:rsidRPr="002712A2">
        <w:t>introduce changes to survey content, respondent burden, or the cost to the federal government.</w:t>
      </w:r>
    </w:p>
    <w:p w14:paraId="531972E0" w14:textId="77777777" w:rsidR="004077BB" w:rsidRPr="004077BB" w:rsidRDefault="004077BB" w:rsidP="005E46AA">
      <w:pPr>
        <w:pStyle w:val="Bodytextnoindent"/>
        <w:spacing w:before="0" w:line="276" w:lineRule="auto"/>
        <w:rPr>
          <w:b/>
          <w:u w:val="single"/>
        </w:rPr>
      </w:pPr>
      <w:r w:rsidRPr="004077BB">
        <w:rPr>
          <w:b/>
          <w:u w:val="single"/>
        </w:rPr>
        <w:t>Responsive design plan</w:t>
      </w:r>
      <w:r w:rsidR="00755CBE">
        <w:rPr>
          <w:b/>
          <w:u w:val="single"/>
        </w:rPr>
        <w:t xml:space="preserve"> and calibration sample experiments</w:t>
      </w:r>
    </w:p>
    <w:p w14:paraId="1258EA59" w14:textId="77777777" w:rsidR="00EA11FF" w:rsidRDefault="00DC1DD6" w:rsidP="005E46AA">
      <w:pPr>
        <w:pStyle w:val="Bodytextnoindent"/>
        <w:spacing w:before="0" w:line="276" w:lineRule="auto"/>
      </w:pPr>
      <w:r>
        <w:t xml:space="preserve">The approach to </w:t>
      </w:r>
      <w:r w:rsidR="00980C95">
        <w:t>the BPS</w:t>
      </w:r>
      <w:proofErr w:type="gramStart"/>
      <w:r w:rsidR="00980C95">
        <w:t>:12</w:t>
      </w:r>
      <w:r w:rsidR="0061524D">
        <w:t>:17</w:t>
      </w:r>
      <w:proofErr w:type="gramEnd"/>
      <w:r w:rsidR="00980C95">
        <w:t xml:space="preserve"> </w:t>
      </w:r>
      <w:r>
        <w:t>responsive design</w:t>
      </w:r>
      <w:r w:rsidR="0061524D">
        <w:t xml:space="preserve"> </w:t>
      </w:r>
      <w:r>
        <w:t xml:space="preserve">plan </w:t>
      </w:r>
      <w:r w:rsidR="00300C8B">
        <w:t xml:space="preserve">employs an early calibration sample to identify treatments in the main study, </w:t>
      </w:r>
      <w:r w:rsidR="00980C95">
        <w:t xml:space="preserve">and </w:t>
      </w:r>
      <w:r w:rsidR="00300C8B">
        <w:t>t</w:t>
      </w:r>
      <w:r w:rsidR="00300C8B" w:rsidRPr="00300C8B">
        <w:t>arget</w:t>
      </w:r>
      <w:r w:rsidR="00300C8B">
        <w:t>s</w:t>
      </w:r>
      <w:r w:rsidR="00300C8B" w:rsidRPr="00300C8B">
        <w:t xml:space="preserve"> </w:t>
      </w:r>
      <w:proofErr w:type="spellStart"/>
      <w:r w:rsidR="00300C8B" w:rsidRPr="00300C8B">
        <w:t>nonrespondents</w:t>
      </w:r>
      <w:proofErr w:type="spellEnd"/>
      <w:r w:rsidR="00300C8B" w:rsidRPr="00300C8B">
        <w:t xml:space="preserve"> for specialized treatments to reduce nonresponse bias</w:t>
      </w:r>
      <w:r w:rsidR="00980C95">
        <w:t xml:space="preserve">. The targeting </w:t>
      </w:r>
      <w:r w:rsidR="00300C8B">
        <w:t>u</w:t>
      </w:r>
      <w:r w:rsidR="00300C8B" w:rsidRPr="00300C8B">
        <w:t>tilize</w:t>
      </w:r>
      <w:r w:rsidR="00980C95">
        <w:t>s</w:t>
      </w:r>
      <w:r w:rsidR="00300C8B" w:rsidRPr="00300C8B">
        <w:t xml:space="preserve"> an </w:t>
      </w:r>
      <w:r w:rsidR="00300C8B" w:rsidRPr="00980C95">
        <w:rPr>
          <w:i/>
        </w:rPr>
        <w:t>importance</w:t>
      </w:r>
      <w:r w:rsidR="00300C8B" w:rsidRPr="00300C8B">
        <w:t xml:space="preserve"> measure for </w:t>
      </w:r>
      <w:r w:rsidR="0061524D">
        <w:t xml:space="preserve">selecting </w:t>
      </w:r>
      <w:proofErr w:type="spellStart"/>
      <w:r w:rsidR="00300C8B" w:rsidRPr="00300C8B">
        <w:t>nonrespondents</w:t>
      </w:r>
      <w:proofErr w:type="spellEnd"/>
      <w:r w:rsidR="00300C8B" w:rsidRPr="00300C8B">
        <w:t xml:space="preserve"> with </w:t>
      </w:r>
      <w:r w:rsidR="004B6E23">
        <w:t>moderate</w:t>
      </w:r>
      <w:r w:rsidR="00300C8B" w:rsidRPr="00300C8B">
        <w:t xml:space="preserve"> likelihood to respond and high potential impact on </w:t>
      </w:r>
      <w:r w:rsidR="00F12898" w:rsidRPr="00300C8B">
        <w:t>bias</w:t>
      </w:r>
      <w:r w:rsidR="00F12898">
        <w:t xml:space="preserve">. </w:t>
      </w:r>
      <w:r w:rsidR="009D25EE">
        <w:t xml:space="preserve">For reference, </w:t>
      </w:r>
      <w:r w:rsidR="00583E16">
        <w:t xml:space="preserve">Attachment </w:t>
      </w:r>
      <w:r w:rsidR="00EF1D30">
        <w:t>A</w:t>
      </w:r>
      <w:r w:rsidR="00583E16">
        <w:t xml:space="preserve"> includes </w:t>
      </w:r>
      <w:r w:rsidR="009D25EE">
        <w:t>an excerpt from Part B of the full-scale study submission that descr</w:t>
      </w:r>
      <w:r w:rsidR="00F51A86">
        <w:t>ibes the responsive design plan</w:t>
      </w:r>
      <w:r w:rsidR="009D25EE">
        <w:t xml:space="preserve">. </w:t>
      </w:r>
      <w:r w:rsidR="00583E16">
        <w:t xml:space="preserve">Within Attachment </w:t>
      </w:r>
      <w:r w:rsidR="00EF1D30">
        <w:t>A</w:t>
      </w:r>
      <w:r w:rsidR="00583E16">
        <w:t>, t</w:t>
      </w:r>
      <w:r w:rsidR="00F12898">
        <w:t>he</w:t>
      </w:r>
      <w:r w:rsidR="00980C95">
        <w:t xml:space="preserve"> features and results of the BPS</w:t>
      </w:r>
      <w:proofErr w:type="gramStart"/>
      <w:r w:rsidR="00980C95">
        <w:t>:12</w:t>
      </w:r>
      <w:proofErr w:type="gramEnd"/>
      <w:r w:rsidR="00980C95">
        <w:t xml:space="preserve">/14 responsive design plan can be found in </w:t>
      </w:r>
      <w:r w:rsidR="009D25EE">
        <w:t>Section 4.a</w:t>
      </w:r>
      <w:r w:rsidR="003B7342">
        <w:t xml:space="preserve">, and </w:t>
      </w:r>
      <w:r w:rsidR="00F51A86">
        <w:t xml:space="preserve">the BPS:12/17 plan </w:t>
      </w:r>
      <w:r w:rsidR="00766AF8">
        <w:t xml:space="preserve">can be found </w:t>
      </w:r>
      <w:r w:rsidR="00F51A86">
        <w:t>in Section 4.b</w:t>
      </w:r>
    </w:p>
    <w:p w14:paraId="78230C2E" w14:textId="77777777" w:rsidR="00EA11FF" w:rsidRDefault="00181264" w:rsidP="005E46AA">
      <w:pPr>
        <w:pStyle w:val="Bodytextnoindent"/>
        <w:spacing w:before="0" w:line="276" w:lineRule="auto"/>
      </w:pPr>
      <w:r w:rsidRPr="00414BE7">
        <w:t xml:space="preserve">While </w:t>
      </w:r>
      <w:r w:rsidR="0061524D" w:rsidRPr="00414BE7">
        <w:t>similar in approach</w:t>
      </w:r>
      <w:r w:rsidRPr="00414BE7">
        <w:t xml:space="preserve">, </w:t>
      </w:r>
      <w:r w:rsidR="006F3A86" w:rsidRPr="00414BE7">
        <w:t xml:space="preserve">the </w:t>
      </w:r>
      <w:r w:rsidR="00B76FF6" w:rsidRPr="00414BE7">
        <w:t>BPS</w:t>
      </w:r>
      <w:proofErr w:type="gramStart"/>
      <w:r w:rsidR="00B76FF6" w:rsidRPr="00414BE7">
        <w:t>:12</w:t>
      </w:r>
      <w:proofErr w:type="gramEnd"/>
      <w:r w:rsidR="00B76FF6" w:rsidRPr="00414BE7">
        <w:t>/17</w:t>
      </w:r>
      <w:r w:rsidRPr="00414BE7">
        <w:t xml:space="preserve"> </w:t>
      </w:r>
      <w:r w:rsidR="006F3A86" w:rsidRPr="00414BE7">
        <w:t xml:space="preserve">design </w:t>
      </w:r>
      <w:r w:rsidRPr="00414BE7">
        <w:t xml:space="preserve">includes </w:t>
      </w:r>
      <w:r w:rsidR="0061524D" w:rsidRPr="00414BE7">
        <w:t>unique</w:t>
      </w:r>
      <w:r w:rsidR="006F3A86" w:rsidRPr="00414BE7">
        <w:t xml:space="preserve"> </w:t>
      </w:r>
      <w:r w:rsidR="00B76FF6" w:rsidRPr="00414BE7">
        <w:t>features</w:t>
      </w:r>
      <w:r w:rsidR="00D24519" w:rsidRPr="00414BE7">
        <w:t xml:space="preserve"> compared to BPS:12/14</w:t>
      </w:r>
      <w:r w:rsidR="006F3A86" w:rsidRPr="00414BE7">
        <w:t>:</w:t>
      </w:r>
      <w:r w:rsidR="00EA11FF">
        <w:t xml:space="preserve"> </w:t>
      </w:r>
      <w:r w:rsidR="007E5A22" w:rsidRPr="00414BE7">
        <w:t xml:space="preserve">different </w:t>
      </w:r>
      <w:r w:rsidR="0061524D" w:rsidRPr="00414BE7">
        <w:t xml:space="preserve">experiments during the calibration sample, </w:t>
      </w:r>
      <w:r w:rsidR="007E5A22" w:rsidRPr="00414BE7">
        <w:t xml:space="preserve">a special protocol for one </w:t>
      </w:r>
      <w:r w:rsidR="00766AF8" w:rsidRPr="00414BE7">
        <w:t>sub</w:t>
      </w:r>
      <w:r w:rsidR="007E5A22" w:rsidRPr="00414BE7">
        <w:t>group</w:t>
      </w:r>
      <w:r w:rsidR="0061524D" w:rsidRPr="00414BE7">
        <w:t xml:space="preserve"> (double </w:t>
      </w:r>
      <w:proofErr w:type="spellStart"/>
      <w:r w:rsidR="0061524D" w:rsidRPr="00414BE7">
        <w:t>nonrespondents</w:t>
      </w:r>
      <w:proofErr w:type="spellEnd"/>
      <w:r w:rsidR="0061524D" w:rsidRPr="00414BE7">
        <w:t>)</w:t>
      </w:r>
      <w:r w:rsidR="007E5A22" w:rsidRPr="00414BE7">
        <w:t xml:space="preserve">, </w:t>
      </w:r>
      <w:r w:rsidR="00D24519" w:rsidRPr="00414BE7">
        <w:t>targeting selected cases that would reduce nonresponse bias within institutional sector estimate</w:t>
      </w:r>
      <w:r w:rsidR="00121464">
        <w:t>s</w:t>
      </w:r>
      <w:r w:rsidR="00D24519" w:rsidRPr="00414BE7">
        <w:t>, and a different</w:t>
      </w:r>
      <w:r w:rsidR="0061524D" w:rsidRPr="00414BE7">
        <w:t xml:space="preserve"> </w:t>
      </w:r>
      <w:r w:rsidR="00C37F47" w:rsidRPr="00414BE7">
        <w:t xml:space="preserve">series of </w:t>
      </w:r>
      <w:r w:rsidR="0061524D" w:rsidRPr="00414BE7">
        <w:t>interventions during main sample</w:t>
      </w:r>
      <w:r w:rsidR="00121464">
        <w:t xml:space="preserve"> data collection</w:t>
      </w:r>
      <w:r w:rsidR="00B76FF6" w:rsidRPr="00414BE7">
        <w:t xml:space="preserve">. </w:t>
      </w:r>
      <w:r w:rsidR="00766AF8" w:rsidRPr="00414BE7">
        <w:t xml:space="preserve">First, </w:t>
      </w:r>
      <w:r w:rsidR="0061524D" w:rsidRPr="00414BE7">
        <w:t>the calibration sample test</w:t>
      </w:r>
      <w:r w:rsidR="00B0387E">
        <w:t>s</w:t>
      </w:r>
      <w:r w:rsidR="0061524D" w:rsidRPr="00414BE7">
        <w:t xml:space="preserve"> the efficacy of a prepaid incentive, and the efficacy of offering a higher incentive amount versus an abbreviated interview. Secondly, for double </w:t>
      </w:r>
      <w:proofErr w:type="spellStart"/>
      <w:r w:rsidR="0061524D" w:rsidRPr="00414BE7">
        <w:t>nonrespondents</w:t>
      </w:r>
      <w:proofErr w:type="spellEnd"/>
      <w:r w:rsidR="0061524D" w:rsidRPr="00414BE7">
        <w:t xml:space="preserve"> (</w:t>
      </w:r>
      <w:r w:rsidR="001C5077">
        <w:t xml:space="preserve">those </w:t>
      </w:r>
      <w:r w:rsidR="0061524D" w:rsidRPr="00414BE7">
        <w:t xml:space="preserve">who have responded to </w:t>
      </w:r>
      <w:r w:rsidR="0061524D" w:rsidRPr="00414BE7">
        <w:lastRenderedPageBreak/>
        <w:t>neither the NPSAS</w:t>
      </w:r>
      <w:proofErr w:type="gramStart"/>
      <w:r w:rsidR="0061524D" w:rsidRPr="00414BE7">
        <w:t>:12</w:t>
      </w:r>
      <w:proofErr w:type="gramEnd"/>
      <w:r w:rsidR="0061524D" w:rsidRPr="00414BE7">
        <w:t xml:space="preserve"> nor the BPS:12/14 </w:t>
      </w:r>
      <w:r w:rsidR="004B6E23" w:rsidRPr="00414BE7">
        <w:t xml:space="preserve">student </w:t>
      </w:r>
      <w:r w:rsidR="0061524D" w:rsidRPr="00414BE7">
        <w:t>interviews)</w:t>
      </w:r>
      <w:r w:rsidR="00C37F47" w:rsidRPr="00414BE7">
        <w:t xml:space="preserve">, BPS:12/17 includes a special data collection protocol that </w:t>
      </w:r>
      <w:r w:rsidR="002F52A8">
        <w:t xml:space="preserve">potentially </w:t>
      </w:r>
      <w:r w:rsidR="00C37F47" w:rsidRPr="00414BE7">
        <w:t>includes a larger incentive amount, and an accelerated timeline</w:t>
      </w:r>
      <w:r w:rsidR="00D24519" w:rsidRPr="00414BE7">
        <w:t xml:space="preserve"> for data collection interventions</w:t>
      </w:r>
      <w:r w:rsidR="0061524D" w:rsidRPr="00414BE7">
        <w:t xml:space="preserve">. Lastly, </w:t>
      </w:r>
      <w:r w:rsidR="00766AF8" w:rsidRPr="00414BE7">
        <w:t>u</w:t>
      </w:r>
      <w:r w:rsidR="00B76FF6" w:rsidRPr="00414BE7">
        <w:t xml:space="preserve">sing the </w:t>
      </w:r>
      <w:r w:rsidR="00B76FF6" w:rsidRPr="00414BE7">
        <w:rPr>
          <w:i/>
        </w:rPr>
        <w:t>importance</w:t>
      </w:r>
      <w:r w:rsidR="00B76FF6" w:rsidRPr="00414BE7">
        <w:t xml:space="preserve"> score to select </w:t>
      </w:r>
      <w:proofErr w:type="spellStart"/>
      <w:r w:rsidR="00B76FF6" w:rsidRPr="00414BE7">
        <w:t>nonrespondents</w:t>
      </w:r>
      <w:proofErr w:type="spellEnd"/>
      <w:r w:rsidR="00D24519" w:rsidRPr="00414BE7">
        <w:t xml:space="preserve"> that have potential to reduce nonresponse bias within institutional sector estimates</w:t>
      </w:r>
      <w:r w:rsidR="00B76FF6" w:rsidRPr="00414BE7">
        <w:t xml:space="preserve">, the </w:t>
      </w:r>
      <w:r w:rsidR="00766AF8" w:rsidRPr="00414BE7">
        <w:t xml:space="preserve">BPS:12/17 </w:t>
      </w:r>
      <w:r w:rsidR="00B76FF6" w:rsidRPr="00414BE7">
        <w:t xml:space="preserve">plan includes </w:t>
      </w:r>
      <w:r w:rsidR="00531328" w:rsidRPr="00414BE7">
        <w:t xml:space="preserve">two points </w:t>
      </w:r>
      <w:r w:rsidR="00B76FF6" w:rsidRPr="00414BE7">
        <w:t xml:space="preserve">in the main sample data collection </w:t>
      </w:r>
      <w:r w:rsidR="00531328" w:rsidRPr="00414BE7">
        <w:t xml:space="preserve">at which nonresponding </w:t>
      </w:r>
      <w:r w:rsidR="00B76FF6" w:rsidRPr="00414BE7">
        <w:t xml:space="preserve">sample members will be targeted – the first </w:t>
      </w:r>
      <w:r w:rsidR="00766AF8" w:rsidRPr="00414BE7">
        <w:t xml:space="preserve">using </w:t>
      </w:r>
      <w:r w:rsidR="00B76FF6" w:rsidRPr="00414BE7">
        <w:t xml:space="preserve">a $45 incentive boost, and the second </w:t>
      </w:r>
      <w:r w:rsidR="00766AF8" w:rsidRPr="00414BE7">
        <w:t xml:space="preserve">with </w:t>
      </w:r>
      <w:r w:rsidR="00B76FF6" w:rsidRPr="00414BE7">
        <w:t xml:space="preserve">an </w:t>
      </w:r>
      <w:r w:rsidR="0061524D" w:rsidRPr="00414BE7">
        <w:t>offer of an abbreviated survey</w:t>
      </w:r>
      <w:r w:rsidR="00B76FF6" w:rsidRPr="00414BE7">
        <w:t>.</w:t>
      </w:r>
    </w:p>
    <w:p w14:paraId="73973539" w14:textId="77777777" w:rsidR="00C31954" w:rsidRDefault="00C35F47" w:rsidP="005E46AA">
      <w:pPr>
        <w:pStyle w:val="Bodytextnoindent"/>
        <w:spacing w:before="0" w:line="276" w:lineRule="auto"/>
      </w:pPr>
      <w:proofErr w:type="gramStart"/>
      <w:r w:rsidRPr="007043AF">
        <w:rPr>
          <w:i/>
          <w:u w:val="single"/>
        </w:rPr>
        <w:t xml:space="preserve">Experiment #1 </w:t>
      </w:r>
      <w:r w:rsidR="007B2EC3" w:rsidRPr="007043AF">
        <w:rPr>
          <w:i/>
          <w:u w:val="single"/>
        </w:rPr>
        <w:t>for p</w:t>
      </w:r>
      <w:r w:rsidR="00F12898" w:rsidRPr="007043AF">
        <w:rPr>
          <w:i/>
          <w:u w:val="single"/>
        </w:rPr>
        <w:t>revious</w:t>
      </w:r>
      <w:r w:rsidRPr="007043AF">
        <w:rPr>
          <w:i/>
          <w:u w:val="single"/>
        </w:rPr>
        <w:t xml:space="preserve"> respondents</w:t>
      </w:r>
      <w:r w:rsidR="007B2EC3" w:rsidRPr="00603863">
        <w:rPr>
          <w:i/>
        </w:rPr>
        <w:t>.</w:t>
      </w:r>
      <w:proofErr w:type="gramEnd"/>
      <w:r w:rsidR="007B2EC3" w:rsidRPr="00603863">
        <w:rPr>
          <w:i/>
        </w:rPr>
        <w:t xml:space="preserve"> </w:t>
      </w:r>
      <w:r w:rsidR="007B2EC3" w:rsidRPr="007B2EC3">
        <w:t>Previous respondents</w:t>
      </w:r>
      <w:r>
        <w:t xml:space="preserve"> are NPSAS</w:t>
      </w:r>
      <w:proofErr w:type="gramStart"/>
      <w:r>
        <w:t>:12</w:t>
      </w:r>
      <w:proofErr w:type="gramEnd"/>
      <w:r>
        <w:t xml:space="preserve"> study members who responded to either or both the NPSAS:12 or BPS:12/14 student interviews. As demonstrated </w:t>
      </w:r>
      <w:r w:rsidR="00766AF8">
        <w:t>in</w:t>
      </w:r>
      <w:r>
        <w:t xml:space="preserve"> previous rounds, this group can be motivated to complete an interview but may require a series of </w:t>
      </w:r>
      <w:r w:rsidR="00766AF8">
        <w:t>prompts and</w:t>
      </w:r>
      <w:r>
        <w:t xml:space="preserve"> communications, such as emails, letters, and CATI outbound calling. </w:t>
      </w:r>
      <w:r w:rsidR="00766AF8">
        <w:t xml:space="preserve">As </w:t>
      </w:r>
      <w:r>
        <w:t>NCES continues to seek new ways to encourage completion</w:t>
      </w:r>
      <w:r w:rsidR="00766AF8">
        <w:t>, e</w:t>
      </w:r>
      <w:r>
        <w:t xml:space="preserve">xperiment #1 is designed to test the efficacy of a </w:t>
      </w:r>
      <w:r w:rsidR="00A566AD">
        <w:t xml:space="preserve">non-contingent </w:t>
      </w:r>
      <w:r>
        <w:t>$</w:t>
      </w:r>
      <w:r w:rsidR="007E5A22">
        <w:t>1</w:t>
      </w:r>
      <w:r>
        <w:t xml:space="preserve">0 prepaid incentive </w:t>
      </w:r>
      <w:r w:rsidR="00A566AD">
        <w:t xml:space="preserve">delivered </w:t>
      </w:r>
      <w:r>
        <w:t xml:space="preserve">through PayPal. </w:t>
      </w:r>
      <w:r w:rsidR="007E5A22">
        <w:t>Upon completion</w:t>
      </w:r>
      <w:r w:rsidR="00A566AD">
        <w:t xml:space="preserve"> of the interview</w:t>
      </w:r>
      <w:r w:rsidR="007E5A22">
        <w:t>, the respondent receives a</w:t>
      </w:r>
      <w:r>
        <w:t xml:space="preserve">n </w:t>
      </w:r>
      <w:r w:rsidR="00F12898">
        <w:t>additional</w:t>
      </w:r>
      <w:r>
        <w:t xml:space="preserve"> $</w:t>
      </w:r>
      <w:r w:rsidR="007E5A22">
        <w:t>20 (for a total of $30)</w:t>
      </w:r>
      <w:r>
        <w:t xml:space="preserve">. The previous respondents in the </w:t>
      </w:r>
      <w:r w:rsidR="00F12898">
        <w:t>calibration</w:t>
      </w:r>
      <w:r>
        <w:t xml:space="preserve"> </w:t>
      </w:r>
      <w:r w:rsidR="00F12898">
        <w:t>sample</w:t>
      </w:r>
      <w:r>
        <w:t xml:space="preserve"> (n</w:t>
      </w:r>
      <w:r w:rsidR="00F12898">
        <w:t>=</w:t>
      </w:r>
      <w:r>
        <w:t xml:space="preserve">2,972) were </w:t>
      </w:r>
      <w:r w:rsidR="00F12898">
        <w:t>randomly</w:t>
      </w:r>
      <w:r>
        <w:t xml:space="preserve"> assigned to the two treatment groups</w:t>
      </w:r>
      <w:r w:rsidR="00603863">
        <w:t xml:space="preserve">: 1) a </w:t>
      </w:r>
      <w:r w:rsidR="00361734" w:rsidRPr="00603863">
        <w:t>$10 pre-paid offer with $20 promise incentive</w:t>
      </w:r>
      <w:r w:rsidR="00603863">
        <w:t>, and 2) n</w:t>
      </w:r>
      <w:r w:rsidR="00361734" w:rsidRPr="00603863">
        <w:t>o pre-paid offer ($30 promise incentive)</w:t>
      </w:r>
      <w:r w:rsidR="008C5036">
        <w:t>.</w:t>
      </w:r>
    </w:p>
    <w:p w14:paraId="0AE1B6EF" w14:textId="77777777" w:rsidR="008C5036" w:rsidRDefault="008C5036" w:rsidP="005E46AA">
      <w:pPr>
        <w:pStyle w:val="Bodytextnoindent"/>
        <w:spacing w:before="0" w:line="276" w:lineRule="auto"/>
      </w:pPr>
      <w:r w:rsidRPr="00316EDF">
        <w:t xml:space="preserve">Table 1 displays the results of the first experiment </w:t>
      </w:r>
      <w:r>
        <w:t>that examines the</w:t>
      </w:r>
      <w:r w:rsidRPr="00316EDF">
        <w:t xml:space="preserve"> impact </w:t>
      </w:r>
      <w:r>
        <w:t xml:space="preserve">of </w:t>
      </w:r>
      <w:r w:rsidRPr="00316EDF">
        <w:t xml:space="preserve">a $10 pre-paid offer versus </w:t>
      </w:r>
      <w:r>
        <w:t xml:space="preserve">no </w:t>
      </w:r>
      <w:r w:rsidRPr="00316EDF">
        <w:t xml:space="preserve">pre-paid </w:t>
      </w:r>
      <w:r>
        <w:t xml:space="preserve">amount </w:t>
      </w:r>
      <w:r w:rsidRPr="00316EDF">
        <w:t xml:space="preserve">for previous respondents. A Pearson chi-squared test was used to measure statistical significance with the null hypothesis being that there was no difference in response rate between the two experiment conditions. This test was a two-sided test as we had no prior belief that one of the conditions would outperform the other. Using the numbers below, the </w:t>
      </w:r>
      <w:r w:rsidRPr="00316EDF">
        <w:rPr>
          <w:i/>
        </w:rPr>
        <w:t>p</w:t>
      </w:r>
      <w:r w:rsidRPr="00316EDF">
        <w:t xml:space="preserve">-value for the statistic was less than 0.0001 which allowed us to reject the null hypothesis and conclude that the response rates between the two groups significantly differ. </w:t>
      </w:r>
      <w:r>
        <w:t>The r</w:t>
      </w:r>
      <w:r w:rsidRPr="00316EDF">
        <w:t>esponse rate for the experimental condition with no pre-paid offer was higher</w:t>
      </w:r>
      <w:r>
        <w:t xml:space="preserve"> (</w:t>
      </w:r>
      <w:r w:rsidRPr="00316EDF">
        <w:t>34.9</w:t>
      </w:r>
      <w:r>
        <w:t xml:space="preserve"> percent) than the response rate </w:t>
      </w:r>
      <w:r w:rsidRPr="00316EDF">
        <w:t xml:space="preserve">of </w:t>
      </w:r>
      <w:r>
        <w:t xml:space="preserve">those offered </w:t>
      </w:r>
      <w:r w:rsidRPr="00316EDF">
        <w:t>a $10 pre-paid PayPal offer</w:t>
      </w:r>
      <w:r>
        <w:t xml:space="preserve"> (</w:t>
      </w:r>
      <w:r w:rsidRPr="00316EDF">
        <w:t>28.0</w:t>
      </w:r>
      <w:r>
        <w:t xml:space="preserve"> percent)</w:t>
      </w:r>
      <w:r w:rsidRPr="00316EDF">
        <w:t>.</w:t>
      </w:r>
    </w:p>
    <w:p w14:paraId="10339F9B" w14:textId="77777777" w:rsidR="00531328" w:rsidRDefault="00531328" w:rsidP="00B0387E">
      <w:pPr>
        <w:pStyle w:val="Bodytextnoindent"/>
        <w:spacing w:before="0" w:after="0" w:line="276" w:lineRule="auto"/>
      </w:pPr>
      <w:proofErr w:type="gramStart"/>
      <w:r w:rsidRPr="00531328">
        <w:t>Table 1.</w:t>
      </w:r>
      <w:proofErr w:type="gramEnd"/>
      <w:r w:rsidRPr="00531328">
        <w:t xml:space="preserve"> </w:t>
      </w:r>
      <w:r>
        <w:t>Results of pre-paid $10 experiment (#1)</w:t>
      </w:r>
    </w:p>
    <w:tbl>
      <w:tblPr>
        <w:tblW w:w="5000" w:type="pct"/>
        <w:tblLook w:val="0420" w:firstRow="1" w:lastRow="0" w:firstColumn="0" w:lastColumn="0" w:noHBand="0" w:noVBand="1"/>
      </w:tblPr>
      <w:tblGrid>
        <w:gridCol w:w="3050"/>
        <w:gridCol w:w="1604"/>
        <w:gridCol w:w="1631"/>
        <w:gridCol w:w="1814"/>
        <w:gridCol w:w="2341"/>
      </w:tblGrid>
      <w:tr w:rsidR="00685205" w14:paraId="774E59A8" w14:textId="77777777" w:rsidTr="00B0387E">
        <w:trPr>
          <w:trHeight w:val="315"/>
        </w:trPr>
        <w:tc>
          <w:tcPr>
            <w:tcW w:w="1461" w:type="pct"/>
            <w:tcBorders>
              <w:top w:val="single" w:sz="4" w:space="0" w:color="auto"/>
              <w:left w:val="single" w:sz="4" w:space="0" w:color="auto"/>
              <w:bottom w:val="nil"/>
              <w:right w:val="single" w:sz="4" w:space="0" w:color="auto"/>
            </w:tcBorders>
            <w:shd w:val="clear" w:color="auto" w:fill="auto"/>
            <w:hideMark/>
          </w:tcPr>
          <w:p w14:paraId="277EBA4D" w14:textId="77777777" w:rsidR="00685205" w:rsidRPr="00685205" w:rsidRDefault="00685205">
            <w:pPr>
              <w:ind w:firstLineChars="100" w:firstLine="200"/>
              <w:rPr>
                <w:sz w:val="20"/>
                <w:szCs w:val="20"/>
              </w:rPr>
            </w:pPr>
          </w:p>
        </w:tc>
        <w:tc>
          <w:tcPr>
            <w:tcW w:w="1549" w:type="pct"/>
            <w:gridSpan w:val="2"/>
            <w:tcBorders>
              <w:top w:val="single" w:sz="4" w:space="0" w:color="auto"/>
              <w:left w:val="nil"/>
              <w:bottom w:val="nil"/>
              <w:right w:val="single" w:sz="4" w:space="0" w:color="auto"/>
            </w:tcBorders>
            <w:shd w:val="clear" w:color="auto" w:fill="auto"/>
            <w:vAlign w:val="center"/>
            <w:hideMark/>
          </w:tcPr>
          <w:p w14:paraId="43BDF044" w14:textId="77777777" w:rsidR="00685205" w:rsidRPr="00685205" w:rsidRDefault="00685205">
            <w:pPr>
              <w:jc w:val="center"/>
              <w:rPr>
                <w:b/>
                <w:bCs/>
              </w:rPr>
            </w:pPr>
            <w:r w:rsidRPr="00685205">
              <w:rPr>
                <w:b/>
                <w:bCs/>
              </w:rPr>
              <w:t>Respondent</w:t>
            </w:r>
          </w:p>
        </w:tc>
        <w:tc>
          <w:tcPr>
            <w:tcW w:w="869"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8B747CD" w14:textId="77777777" w:rsidR="00685205" w:rsidRPr="00685205" w:rsidRDefault="00685205">
            <w:pPr>
              <w:jc w:val="center"/>
              <w:rPr>
                <w:b/>
                <w:bCs/>
              </w:rPr>
            </w:pPr>
            <w:r w:rsidRPr="00685205">
              <w:rPr>
                <w:b/>
                <w:bCs/>
              </w:rPr>
              <w:t>Total</w:t>
            </w:r>
          </w:p>
        </w:tc>
        <w:tc>
          <w:tcPr>
            <w:tcW w:w="1121"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A4A8147" w14:textId="77777777" w:rsidR="00685205" w:rsidRPr="00685205" w:rsidRDefault="00685205">
            <w:pPr>
              <w:jc w:val="center"/>
              <w:rPr>
                <w:b/>
                <w:bCs/>
              </w:rPr>
            </w:pPr>
            <w:r w:rsidRPr="00685205">
              <w:rPr>
                <w:b/>
                <w:bCs/>
              </w:rPr>
              <w:t>Response Rate</w:t>
            </w:r>
          </w:p>
        </w:tc>
      </w:tr>
      <w:tr w:rsidR="00685205" w14:paraId="70DAAE81" w14:textId="77777777" w:rsidTr="00B0387E">
        <w:trPr>
          <w:trHeight w:val="315"/>
        </w:trPr>
        <w:tc>
          <w:tcPr>
            <w:tcW w:w="1461" w:type="pct"/>
            <w:tcBorders>
              <w:top w:val="nil"/>
              <w:left w:val="single" w:sz="4" w:space="0" w:color="auto"/>
              <w:bottom w:val="single" w:sz="4" w:space="0" w:color="auto"/>
              <w:right w:val="single" w:sz="4" w:space="0" w:color="auto"/>
            </w:tcBorders>
            <w:shd w:val="clear" w:color="auto" w:fill="auto"/>
            <w:vAlign w:val="center"/>
            <w:hideMark/>
          </w:tcPr>
          <w:p w14:paraId="13D26C35" w14:textId="77777777" w:rsidR="00685205" w:rsidRPr="00685205" w:rsidRDefault="00685205" w:rsidP="000842C5">
            <w:pPr>
              <w:ind w:firstLineChars="100" w:firstLine="241"/>
              <w:rPr>
                <w:b/>
                <w:bCs/>
              </w:rPr>
            </w:pPr>
            <w:r w:rsidRPr="00685205">
              <w:rPr>
                <w:b/>
                <w:bCs/>
              </w:rPr>
              <w:t>Calibration</w:t>
            </w:r>
          </w:p>
        </w:tc>
        <w:tc>
          <w:tcPr>
            <w:tcW w:w="768" w:type="pct"/>
            <w:tcBorders>
              <w:top w:val="single" w:sz="4" w:space="0" w:color="auto"/>
              <w:left w:val="nil"/>
              <w:bottom w:val="single" w:sz="4" w:space="0" w:color="auto"/>
              <w:right w:val="single" w:sz="4" w:space="0" w:color="auto"/>
            </w:tcBorders>
            <w:shd w:val="clear" w:color="auto" w:fill="auto"/>
            <w:vAlign w:val="center"/>
            <w:hideMark/>
          </w:tcPr>
          <w:p w14:paraId="0A8DEF92" w14:textId="77777777" w:rsidR="00685205" w:rsidRPr="00685205" w:rsidRDefault="00685205">
            <w:pPr>
              <w:jc w:val="center"/>
              <w:rPr>
                <w:b/>
                <w:bCs/>
              </w:rPr>
            </w:pPr>
            <w:r w:rsidRPr="00685205">
              <w:rPr>
                <w:b/>
                <w:bCs/>
              </w:rPr>
              <w:t>No</w:t>
            </w:r>
          </w:p>
        </w:tc>
        <w:tc>
          <w:tcPr>
            <w:tcW w:w="781" w:type="pct"/>
            <w:tcBorders>
              <w:top w:val="single" w:sz="4" w:space="0" w:color="auto"/>
              <w:left w:val="nil"/>
              <w:bottom w:val="single" w:sz="4" w:space="0" w:color="auto"/>
              <w:right w:val="single" w:sz="4" w:space="0" w:color="auto"/>
            </w:tcBorders>
            <w:shd w:val="clear" w:color="auto" w:fill="auto"/>
            <w:vAlign w:val="center"/>
            <w:hideMark/>
          </w:tcPr>
          <w:p w14:paraId="022C5E01" w14:textId="77777777" w:rsidR="00685205" w:rsidRPr="00685205" w:rsidRDefault="00685205">
            <w:pPr>
              <w:jc w:val="center"/>
              <w:rPr>
                <w:b/>
                <w:bCs/>
              </w:rPr>
            </w:pPr>
            <w:r w:rsidRPr="00685205">
              <w:rPr>
                <w:b/>
                <w:bCs/>
              </w:rPr>
              <w:t>Yes</w:t>
            </w:r>
          </w:p>
        </w:tc>
        <w:tc>
          <w:tcPr>
            <w:tcW w:w="869" w:type="pct"/>
            <w:vMerge/>
            <w:tcBorders>
              <w:top w:val="single" w:sz="4" w:space="0" w:color="auto"/>
              <w:left w:val="single" w:sz="4" w:space="0" w:color="auto"/>
              <w:bottom w:val="single" w:sz="4" w:space="0" w:color="000000"/>
              <w:right w:val="single" w:sz="4" w:space="0" w:color="auto"/>
            </w:tcBorders>
            <w:vAlign w:val="center"/>
            <w:hideMark/>
          </w:tcPr>
          <w:p w14:paraId="7B1EF50C" w14:textId="77777777" w:rsidR="00685205" w:rsidRPr="00685205" w:rsidRDefault="00685205">
            <w:pPr>
              <w:rPr>
                <w:b/>
                <w:bCs/>
              </w:rPr>
            </w:pPr>
          </w:p>
        </w:tc>
        <w:tc>
          <w:tcPr>
            <w:tcW w:w="1121" w:type="pct"/>
            <w:vMerge/>
            <w:tcBorders>
              <w:top w:val="single" w:sz="4" w:space="0" w:color="auto"/>
              <w:left w:val="single" w:sz="4" w:space="0" w:color="auto"/>
              <w:bottom w:val="single" w:sz="4" w:space="0" w:color="000000"/>
              <w:right w:val="single" w:sz="4" w:space="0" w:color="auto"/>
            </w:tcBorders>
            <w:vAlign w:val="center"/>
            <w:hideMark/>
          </w:tcPr>
          <w:p w14:paraId="6DABBF66" w14:textId="77777777" w:rsidR="00685205" w:rsidRPr="00685205" w:rsidRDefault="00685205">
            <w:pPr>
              <w:rPr>
                <w:b/>
                <w:bCs/>
              </w:rPr>
            </w:pPr>
          </w:p>
        </w:tc>
      </w:tr>
      <w:tr w:rsidR="00685205" w14:paraId="2EE3199A" w14:textId="77777777" w:rsidTr="00B0387E">
        <w:trPr>
          <w:trHeight w:val="432"/>
        </w:trPr>
        <w:tc>
          <w:tcPr>
            <w:tcW w:w="1461" w:type="pct"/>
            <w:tcBorders>
              <w:top w:val="nil"/>
              <w:left w:val="single" w:sz="4" w:space="0" w:color="auto"/>
              <w:bottom w:val="single" w:sz="4" w:space="0" w:color="auto"/>
              <w:right w:val="single" w:sz="4" w:space="0" w:color="auto"/>
            </w:tcBorders>
            <w:shd w:val="clear" w:color="auto" w:fill="auto"/>
            <w:vAlign w:val="center"/>
            <w:hideMark/>
          </w:tcPr>
          <w:p w14:paraId="10656DD9" w14:textId="77777777" w:rsidR="00685205" w:rsidRPr="00685205" w:rsidRDefault="00685205" w:rsidP="000842C5">
            <w:pPr>
              <w:ind w:firstLineChars="100" w:firstLine="241"/>
              <w:rPr>
                <w:b/>
                <w:bCs/>
              </w:rPr>
            </w:pPr>
            <w:r w:rsidRPr="00685205">
              <w:rPr>
                <w:b/>
                <w:bCs/>
              </w:rPr>
              <w:t>No pre-paid</w:t>
            </w:r>
          </w:p>
        </w:tc>
        <w:tc>
          <w:tcPr>
            <w:tcW w:w="768" w:type="pct"/>
            <w:tcBorders>
              <w:top w:val="nil"/>
              <w:left w:val="nil"/>
              <w:bottom w:val="single" w:sz="4" w:space="0" w:color="auto"/>
              <w:right w:val="single" w:sz="4" w:space="0" w:color="auto"/>
            </w:tcBorders>
            <w:shd w:val="clear" w:color="auto" w:fill="auto"/>
            <w:vAlign w:val="center"/>
            <w:hideMark/>
          </w:tcPr>
          <w:p w14:paraId="1E33CF5D" w14:textId="77777777" w:rsidR="00685205" w:rsidRPr="00685205" w:rsidRDefault="00685205" w:rsidP="000842C5">
            <w:pPr>
              <w:ind w:firstLineChars="100" w:firstLine="241"/>
              <w:jc w:val="right"/>
              <w:rPr>
                <w:b/>
                <w:bCs/>
              </w:rPr>
            </w:pPr>
            <w:r w:rsidRPr="00685205">
              <w:rPr>
                <w:b/>
                <w:bCs/>
              </w:rPr>
              <w:t>968</w:t>
            </w:r>
          </w:p>
        </w:tc>
        <w:tc>
          <w:tcPr>
            <w:tcW w:w="781" w:type="pct"/>
            <w:tcBorders>
              <w:top w:val="nil"/>
              <w:left w:val="nil"/>
              <w:bottom w:val="single" w:sz="4" w:space="0" w:color="auto"/>
              <w:right w:val="single" w:sz="4" w:space="0" w:color="auto"/>
            </w:tcBorders>
            <w:shd w:val="clear" w:color="auto" w:fill="auto"/>
            <w:vAlign w:val="center"/>
            <w:hideMark/>
          </w:tcPr>
          <w:p w14:paraId="44A6D8BC" w14:textId="77777777" w:rsidR="00685205" w:rsidRPr="00685205" w:rsidRDefault="00685205" w:rsidP="000842C5">
            <w:pPr>
              <w:ind w:firstLineChars="100" w:firstLine="241"/>
              <w:jc w:val="right"/>
              <w:rPr>
                <w:b/>
                <w:bCs/>
              </w:rPr>
            </w:pPr>
            <w:r w:rsidRPr="00685205">
              <w:rPr>
                <w:b/>
                <w:bCs/>
              </w:rPr>
              <w:t>518</w:t>
            </w:r>
          </w:p>
        </w:tc>
        <w:tc>
          <w:tcPr>
            <w:tcW w:w="869" w:type="pct"/>
            <w:tcBorders>
              <w:top w:val="nil"/>
              <w:left w:val="nil"/>
              <w:bottom w:val="single" w:sz="4" w:space="0" w:color="auto"/>
              <w:right w:val="single" w:sz="4" w:space="0" w:color="auto"/>
            </w:tcBorders>
            <w:shd w:val="clear" w:color="auto" w:fill="auto"/>
            <w:vAlign w:val="center"/>
            <w:hideMark/>
          </w:tcPr>
          <w:p w14:paraId="4FD575BE" w14:textId="77777777" w:rsidR="00685205" w:rsidRPr="00685205" w:rsidRDefault="00685205">
            <w:pPr>
              <w:ind w:firstLineChars="100" w:firstLine="240"/>
              <w:jc w:val="right"/>
            </w:pPr>
            <w:r w:rsidRPr="00685205">
              <w:t>1,486</w:t>
            </w:r>
          </w:p>
        </w:tc>
        <w:tc>
          <w:tcPr>
            <w:tcW w:w="1121" w:type="pct"/>
            <w:tcBorders>
              <w:top w:val="nil"/>
              <w:left w:val="nil"/>
              <w:bottom w:val="single" w:sz="4" w:space="0" w:color="auto"/>
              <w:right w:val="single" w:sz="4" w:space="0" w:color="auto"/>
            </w:tcBorders>
            <w:shd w:val="clear" w:color="auto" w:fill="auto"/>
            <w:vAlign w:val="center"/>
            <w:hideMark/>
          </w:tcPr>
          <w:p w14:paraId="4B12E4DF" w14:textId="77777777" w:rsidR="00685205" w:rsidRPr="00685205" w:rsidRDefault="00685205" w:rsidP="00455378">
            <w:pPr>
              <w:ind w:firstLineChars="100" w:firstLine="240"/>
              <w:jc w:val="right"/>
            </w:pPr>
            <w:r w:rsidRPr="00685205">
              <w:t>34.9%</w:t>
            </w:r>
          </w:p>
        </w:tc>
      </w:tr>
      <w:tr w:rsidR="00685205" w14:paraId="10CFF65D" w14:textId="77777777" w:rsidTr="00B0387E">
        <w:trPr>
          <w:trHeight w:val="432"/>
        </w:trPr>
        <w:tc>
          <w:tcPr>
            <w:tcW w:w="1461" w:type="pct"/>
            <w:tcBorders>
              <w:top w:val="nil"/>
              <w:left w:val="single" w:sz="4" w:space="0" w:color="auto"/>
              <w:bottom w:val="single" w:sz="4" w:space="0" w:color="auto"/>
              <w:right w:val="single" w:sz="4" w:space="0" w:color="auto"/>
            </w:tcBorders>
            <w:shd w:val="clear" w:color="auto" w:fill="auto"/>
            <w:vAlign w:val="center"/>
            <w:hideMark/>
          </w:tcPr>
          <w:p w14:paraId="5959F393" w14:textId="77777777" w:rsidR="00685205" w:rsidRPr="00685205" w:rsidRDefault="00685205" w:rsidP="000842C5">
            <w:pPr>
              <w:ind w:firstLineChars="100" w:firstLine="241"/>
              <w:rPr>
                <w:b/>
                <w:bCs/>
              </w:rPr>
            </w:pPr>
            <w:r w:rsidRPr="00685205">
              <w:rPr>
                <w:b/>
                <w:bCs/>
              </w:rPr>
              <w:t>Pre-paid</w:t>
            </w:r>
          </w:p>
        </w:tc>
        <w:tc>
          <w:tcPr>
            <w:tcW w:w="768" w:type="pct"/>
            <w:tcBorders>
              <w:top w:val="nil"/>
              <w:left w:val="nil"/>
              <w:bottom w:val="single" w:sz="4" w:space="0" w:color="auto"/>
              <w:right w:val="single" w:sz="4" w:space="0" w:color="auto"/>
            </w:tcBorders>
            <w:shd w:val="clear" w:color="auto" w:fill="auto"/>
            <w:vAlign w:val="center"/>
            <w:hideMark/>
          </w:tcPr>
          <w:p w14:paraId="6AE224F1" w14:textId="77777777" w:rsidR="00685205" w:rsidRPr="00685205" w:rsidRDefault="00685205" w:rsidP="000842C5">
            <w:pPr>
              <w:ind w:firstLineChars="100" w:firstLine="241"/>
              <w:jc w:val="right"/>
              <w:rPr>
                <w:b/>
                <w:bCs/>
              </w:rPr>
            </w:pPr>
            <w:r w:rsidRPr="00685205">
              <w:rPr>
                <w:b/>
                <w:bCs/>
              </w:rPr>
              <w:t>1,070</w:t>
            </w:r>
          </w:p>
        </w:tc>
        <w:tc>
          <w:tcPr>
            <w:tcW w:w="781" w:type="pct"/>
            <w:tcBorders>
              <w:top w:val="nil"/>
              <w:left w:val="nil"/>
              <w:bottom w:val="single" w:sz="4" w:space="0" w:color="auto"/>
              <w:right w:val="single" w:sz="4" w:space="0" w:color="auto"/>
            </w:tcBorders>
            <w:shd w:val="clear" w:color="auto" w:fill="auto"/>
            <w:vAlign w:val="center"/>
            <w:hideMark/>
          </w:tcPr>
          <w:p w14:paraId="00B029E4" w14:textId="77777777" w:rsidR="00685205" w:rsidRPr="00685205" w:rsidRDefault="00685205" w:rsidP="000842C5">
            <w:pPr>
              <w:ind w:firstLineChars="100" w:firstLine="241"/>
              <w:jc w:val="right"/>
              <w:rPr>
                <w:b/>
                <w:bCs/>
              </w:rPr>
            </w:pPr>
            <w:r w:rsidRPr="00685205">
              <w:rPr>
                <w:b/>
                <w:bCs/>
              </w:rPr>
              <w:t>416</w:t>
            </w:r>
          </w:p>
        </w:tc>
        <w:tc>
          <w:tcPr>
            <w:tcW w:w="869" w:type="pct"/>
            <w:tcBorders>
              <w:top w:val="nil"/>
              <w:left w:val="nil"/>
              <w:bottom w:val="single" w:sz="4" w:space="0" w:color="auto"/>
              <w:right w:val="single" w:sz="4" w:space="0" w:color="auto"/>
            </w:tcBorders>
            <w:shd w:val="clear" w:color="auto" w:fill="auto"/>
            <w:vAlign w:val="center"/>
            <w:hideMark/>
          </w:tcPr>
          <w:p w14:paraId="0143B885" w14:textId="77777777" w:rsidR="00685205" w:rsidRPr="00685205" w:rsidRDefault="00685205">
            <w:pPr>
              <w:ind w:firstLineChars="100" w:firstLine="240"/>
              <w:jc w:val="right"/>
            </w:pPr>
            <w:r w:rsidRPr="00685205">
              <w:t>1,486</w:t>
            </w:r>
          </w:p>
        </w:tc>
        <w:tc>
          <w:tcPr>
            <w:tcW w:w="1121" w:type="pct"/>
            <w:tcBorders>
              <w:top w:val="nil"/>
              <w:left w:val="nil"/>
              <w:bottom w:val="single" w:sz="4" w:space="0" w:color="auto"/>
              <w:right w:val="single" w:sz="4" w:space="0" w:color="auto"/>
            </w:tcBorders>
            <w:shd w:val="clear" w:color="auto" w:fill="auto"/>
            <w:vAlign w:val="center"/>
            <w:hideMark/>
          </w:tcPr>
          <w:p w14:paraId="1E0A6BA2" w14:textId="77777777" w:rsidR="00685205" w:rsidRPr="00685205" w:rsidRDefault="00685205" w:rsidP="00455378">
            <w:pPr>
              <w:ind w:firstLineChars="100" w:firstLine="240"/>
              <w:jc w:val="right"/>
            </w:pPr>
            <w:r w:rsidRPr="00685205">
              <w:t>28.0%</w:t>
            </w:r>
          </w:p>
        </w:tc>
      </w:tr>
      <w:tr w:rsidR="00685205" w14:paraId="049E2111" w14:textId="77777777" w:rsidTr="00B0387E">
        <w:trPr>
          <w:trHeight w:val="432"/>
        </w:trPr>
        <w:tc>
          <w:tcPr>
            <w:tcW w:w="1461" w:type="pct"/>
            <w:tcBorders>
              <w:top w:val="nil"/>
              <w:left w:val="single" w:sz="4" w:space="0" w:color="auto"/>
              <w:bottom w:val="single" w:sz="4" w:space="0" w:color="auto"/>
              <w:right w:val="single" w:sz="4" w:space="0" w:color="auto"/>
            </w:tcBorders>
            <w:shd w:val="clear" w:color="auto" w:fill="auto"/>
            <w:vAlign w:val="center"/>
            <w:hideMark/>
          </w:tcPr>
          <w:p w14:paraId="152B0413" w14:textId="77777777" w:rsidR="00685205" w:rsidRPr="00685205" w:rsidRDefault="00685205" w:rsidP="000842C5">
            <w:pPr>
              <w:ind w:firstLineChars="100" w:firstLine="241"/>
              <w:rPr>
                <w:b/>
                <w:bCs/>
              </w:rPr>
            </w:pPr>
            <w:r w:rsidRPr="00685205">
              <w:rPr>
                <w:b/>
                <w:bCs/>
              </w:rPr>
              <w:t>Total</w:t>
            </w:r>
          </w:p>
        </w:tc>
        <w:tc>
          <w:tcPr>
            <w:tcW w:w="768" w:type="pct"/>
            <w:tcBorders>
              <w:top w:val="nil"/>
              <w:left w:val="nil"/>
              <w:bottom w:val="single" w:sz="4" w:space="0" w:color="auto"/>
              <w:right w:val="single" w:sz="4" w:space="0" w:color="auto"/>
            </w:tcBorders>
            <w:shd w:val="clear" w:color="auto" w:fill="auto"/>
            <w:vAlign w:val="center"/>
            <w:hideMark/>
          </w:tcPr>
          <w:p w14:paraId="2E48042A" w14:textId="77777777" w:rsidR="00685205" w:rsidRPr="00685205" w:rsidRDefault="00685205">
            <w:pPr>
              <w:ind w:firstLineChars="100" w:firstLine="240"/>
              <w:jc w:val="right"/>
            </w:pPr>
            <w:r w:rsidRPr="00685205">
              <w:t>2,038</w:t>
            </w:r>
          </w:p>
        </w:tc>
        <w:tc>
          <w:tcPr>
            <w:tcW w:w="781" w:type="pct"/>
            <w:tcBorders>
              <w:top w:val="nil"/>
              <w:left w:val="nil"/>
              <w:bottom w:val="single" w:sz="4" w:space="0" w:color="auto"/>
              <w:right w:val="single" w:sz="4" w:space="0" w:color="auto"/>
            </w:tcBorders>
            <w:shd w:val="clear" w:color="auto" w:fill="auto"/>
            <w:vAlign w:val="center"/>
            <w:hideMark/>
          </w:tcPr>
          <w:p w14:paraId="1BD48462" w14:textId="77777777" w:rsidR="00685205" w:rsidRPr="00685205" w:rsidRDefault="00685205">
            <w:pPr>
              <w:ind w:firstLineChars="100" w:firstLine="240"/>
              <w:jc w:val="right"/>
            </w:pPr>
            <w:r w:rsidRPr="00685205">
              <w:t>934</w:t>
            </w:r>
          </w:p>
        </w:tc>
        <w:tc>
          <w:tcPr>
            <w:tcW w:w="869" w:type="pct"/>
            <w:tcBorders>
              <w:top w:val="nil"/>
              <w:left w:val="nil"/>
              <w:bottom w:val="single" w:sz="4" w:space="0" w:color="auto"/>
              <w:right w:val="single" w:sz="4" w:space="0" w:color="auto"/>
            </w:tcBorders>
            <w:shd w:val="clear" w:color="auto" w:fill="auto"/>
            <w:vAlign w:val="center"/>
            <w:hideMark/>
          </w:tcPr>
          <w:p w14:paraId="42E75983" w14:textId="77777777" w:rsidR="00685205" w:rsidRPr="00685205" w:rsidRDefault="00685205">
            <w:pPr>
              <w:ind w:firstLineChars="100" w:firstLine="240"/>
              <w:jc w:val="right"/>
            </w:pPr>
            <w:r w:rsidRPr="00685205">
              <w:t>2,972</w:t>
            </w:r>
          </w:p>
        </w:tc>
        <w:tc>
          <w:tcPr>
            <w:tcW w:w="1121" w:type="pct"/>
            <w:tcBorders>
              <w:top w:val="nil"/>
              <w:left w:val="nil"/>
              <w:bottom w:val="single" w:sz="4" w:space="0" w:color="auto"/>
              <w:right w:val="single" w:sz="4" w:space="0" w:color="auto"/>
            </w:tcBorders>
            <w:shd w:val="clear" w:color="auto" w:fill="auto"/>
            <w:vAlign w:val="center"/>
            <w:hideMark/>
          </w:tcPr>
          <w:p w14:paraId="4061D7BC" w14:textId="77777777" w:rsidR="00685205" w:rsidRPr="00685205" w:rsidRDefault="00685205" w:rsidP="00455378">
            <w:pPr>
              <w:ind w:firstLineChars="100" w:firstLine="240"/>
              <w:jc w:val="right"/>
            </w:pPr>
            <w:r w:rsidRPr="00685205">
              <w:t>31.4%</w:t>
            </w:r>
          </w:p>
        </w:tc>
      </w:tr>
    </w:tbl>
    <w:p w14:paraId="2E49FE77" w14:textId="30D1B5CF" w:rsidR="00755CBE" w:rsidRDefault="00755CBE" w:rsidP="005E46AA">
      <w:pPr>
        <w:pStyle w:val="Bodytextnoindent"/>
        <w:spacing w:before="0" w:line="276" w:lineRule="auto"/>
      </w:pPr>
      <w:proofErr w:type="gramStart"/>
      <w:r w:rsidRPr="007043AF">
        <w:rPr>
          <w:i/>
          <w:u w:val="single"/>
        </w:rPr>
        <w:t xml:space="preserve">Experiment #2 for double </w:t>
      </w:r>
      <w:proofErr w:type="spellStart"/>
      <w:r w:rsidRPr="007043AF">
        <w:rPr>
          <w:i/>
          <w:u w:val="single"/>
        </w:rPr>
        <w:t>nonrespondents</w:t>
      </w:r>
      <w:proofErr w:type="spellEnd"/>
      <w:r>
        <w:rPr>
          <w:i/>
        </w:rPr>
        <w:t>.</w:t>
      </w:r>
      <w:proofErr w:type="gramEnd"/>
      <w:r>
        <w:rPr>
          <w:i/>
        </w:rPr>
        <w:t xml:space="preserve"> </w:t>
      </w:r>
      <w:r w:rsidRPr="007B2EC3">
        <w:t xml:space="preserve">Double </w:t>
      </w:r>
      <w:proofErr w:type="spellStart"/>
      <w:r w:rsidRPr="007B2EC3">
        <w:t>nonrespondents</w:t>
      </w:r>
      <w:proofErr w:type="spellEnd"/>
      <w:r>
        <w:t xml:space="preserve"> are NPSAS</w:t>
      </w:r>
      <w:proofErr w:type="gramStart"/>
      <w:r>
        <w:t>:12</w:t>
      </w:r>
      <w:proofErr w:type="gramEnd"/>
      <w:r>
        <w:t xml:space="preserve"> study members who responded to neither the NPSAS:12 nor the BPS:12/14 student interview. </w:t>
      </w:r>
      <w:r w:rsidR="00490F63">
        <w:t>In this experiment</w:t>
      </w:r>
      <w:r w:rsidR="00C41800">
        <w:t xml:space="preserve">, </w:t>
      </w:r>
      <w:r>
        <w:rPr>
          <w:rFonts w:asciiTheme="majorBidi" w:hAnsiTheme="majorBidi" w:cstheme="majorBidi"/>
        </w:rPr>
        <w:t xml:space="preserve">NCES </w:t>
      </w:r>
      <w:r w:rsidR="005D6573">
        <w:rPr>
          <w:rFonts w:asciiTheme="majorBidi" w:hAnsiTheme="majorBidi" w:cstheme="majorBidi"/>
        </w:rPr>
        <w:t xml:space="preserve">attempted </w:t>
      </w:r>
      <w:r>
        <w:rPr>
          <w:rFonts w:asciiTheme="majorBidi" w:hAnsiTheme="majorBidi" w:cstheme="majorBidi"/>
        </w:rPr>
        <w:t>to determine if an additional incentive or a less burdensome interview would motivate a response. Experiment #2 was designed to test the impact of offering a $75 incentive for completion of the full interview response versus a $30</w:t>
      </w:r>
      <w:r>
        <w:t xml:space="preserve"> incentive for an abbreviated interview</w:t>
      </w:r>
      <w:r>
        <w:rPr>
          <w:rStyle w:val="FootnoteReference"/>
        </w:rPr>
        <w:footnoteReference w:id="1"/>
      </w:r>
      <w:r>
        <w:t xml:space="preserve">. The double </w:t>
      </w:r>
      <w:proofErr w:type="spellStart"/>
      <w:r>
        <w:t>nonrespondents</w:t>
      </w:r>
      <w:proofErr w:type="spellEnd"/>
      <w:r>
        <w:t xml:space="preserve"> in the calibration sample (n=870) were randomly assigned to the two treatment groups.</w:t>
      </w:r>
    </w:p>
    <w:p w14:paraId="67B3E914" w14:textId="77777777" w:rsidR="00316EDF" w:rsidRPr="00316EDF" w:rsidRDefault="00237B49" w:rsidP="005E46AA">
      <w:pPr>
        <w:pStyle w:val="Bodytextnoindent"/>
        <w:spacing w:before="0" w:line="276" w:lineRule="auto"/>
      </w:pPr>
      <w:r>
        <w:t>T</w:t>
      </w:r>
      <w:r w:rsidR="00D77B49" w:rsidRPr="00316EDF">
        <w:t xml:space="preserve">able 2 displays the results of the second experiment </w:t>
      </w:r>
      <w:r>
        <w:t>that examines</w:t>
      </w:r>
      <w:r w:rsidR="00D77B49" w:rsidRPr="00316EDF">
        <w:t xml:space="preserve"> the special protocol for double </w:t>
      </w:r>
      <w:proofErr w:type="spellStart"/>
      <w:r w:rsidR="00D77B49" w:rsidRPr="00316EDF">
        <w:t>nonrespondents</w:t>
      </w:r>
      <w:proofErr w:type="spellEnd"/>
      <w:r>
        <w:t>:</w:t>
      </w:r>
      <w:r w:rsidR="00D77B49" w:rsidRPr="00316EDF">
        <w:t xml:space="preserve"> a full interview with a $75 total incentive versus an abbreviated interview and $30 total incentive. </w:t>
      </w:r>
      <w:r>
        <w:t xml:space="preserve">Using </w:t>
      </w:r>
      <w:r w:rsidR="00D418B4" w:rsidRPr="00316EDF">
        <w:t>a</w:t>
      </w:r>
      <w:r w:rsidR="00D77B49" w:rsidRPr="00316EDF">
        <w:t xml:space="preserve"> </w:t>
      </w:r>
      <w:r w:rsidR="00D418B4" w:rsidRPr="00316EDF">
        <w:t xml:space="preserve">two-sided </w:t>
      </w:r>
      <w:r w:rsidR="00D77B49" w:rsidRPr="00316EDF">
        <w:t>Pearson chi-squared test to measure statistical significance</w:t>
      </w:r>
      <w:r>
        <w:t xml:space="preserve">, </w:t>
      </w:r>
      <w:r w:rsidR="00D77B49" w:rsidRPr="00316EDF">
        <w:t xml:space="preserve">the null hypothesis was no difference in response rate between the two experiment conditions. </w:t>
      </w:r>
      <w:r w:rsidR="00D418B4" w:rsidRPr="00316EDF">
        <w:t>T</w:t>
      </w:r>
      <w:r w:rsidR="00D77B49" w:rsidRPr="00316EDF">
        <w:t xml:space="preserve">he </w:t>
      </w:r>
      <w:r w:rsidR="00D77B49" w:rsidRPr="00237B49">
        <w:rPr>
          <w:i/>
        </w:rPr>
        <w:t>p</w:t>
      </w:r>
      <w:r w:rsidR="00D77B49" w:rsidRPr="00316EDF">
        <w:t xml:space="preserve">-value for the </w:t>
      </w:r>
      <w:r w:rsidR="00D77B49" w:rsidRPr="00316EDF">
        <w:lastRenderedPageBreak/>
        <w:t xml:space="preserve">statistic </w:t>
      </w:r>
      <w:r w:rsidR="00D418B4" w:rsidRPr="00316EDF">
        <w:t>was 0.0</w:t>
      </w:r>
      <w:r w:rsidR="00D77B49" w:rsidRPr="00316EDF">
        <w:t>1</w:t>
      </w:r>
      <w:r w:rsidR="00D418B4" w:rsidRPr="00316EDF">
        <w:t>3 which allowed</w:t>
      </w:r>
      <w:r w:rsidR="00D77B49" w:rsidRPr="00316EDF">
        <w:t xml:space="preserve"> us to reject the null hypothesis and conclude that the response rates between the two groups significantly differ. </w:t>
      </w:r>
      <w:r w:rsidR="00D418B4" w:rsidRPr="00316EDF">
        <w:t>The</w:t>
      </w:r>
      <w:r w:rsidR="00D77B49" w:rsidRPr="00316EDF">
        <w:t xml:space="preserve"> response rate for </w:t>
      </w:r>
      <w:r w:rsidR="00D418B4" w:rsidRPr="00316EDF">
        <w:t xml:space="preserve">the full interview with $75 total incentive was higher, </w:t>
      </w:r>
      <w:r>
        <w:t>(</w:t>
      </w:r>
      <w:r w:rsidR="00D418B4" w:rsidRPr="00316EDF">
        <w:t>4.1</w:t>
      </w:r>
      <w:r>
        <w:t xml:space="preserve"> percent) than response rate (</w:t>
      </w:r>
      <w:r w:rsidRPr="00316EDF">
        <w:t>1.4</w:t>
      </w:r>
      <w:r>
        <w:t xml:space="preserve"> percent) of those offered </w:t>
      </w:r>
      <w:r w:rsidR="00D77B49" w:rsidRPr="00316EDF">
        <w:t xml:space="preserve">the </w:t>
      </w:r>
      <w:r w:rsidR="00D418B4" w:rsidRPr="00316EDF">
        <w:t>abbreviated interview with $30 total incentive</w:t>
      </w:r>
      <w:r w:rsidR="00D77B49" w:rsidRPr="00316EDF">
        <w:t>.</w:t>
      </w:r>
    </w:p>
    <w:p w14:paraId="7C0199E6" w14:textId="77777777" w:rsidR="00531328" w:rsidRDefault="00531328" w:rsidP="00B0387E">
      <w:pPr>
        <w:pStyle w:val="Bodytextnoindent"/>
        <w:spacing w:before="0" w:after="0" w:line="276" w:lineRule="auto"/>
        <w:rPr>
          <w:szCs w:val="24"/>
        </w:rPr>
      </w:pPr>
      <w:proofErr w:type="gramStart"/>
      <w:r w:rsidRPr="00531328">
        <w:rPr>
          <w:szCs w:val="24"/>
        </w:rPr>
        <w:t>Table 2.</w:t>
      </w:r>
      <w:proofErr w:type="gramEnd"/>
      <w:r w:rsidRPr="00531328">
        <w:rPr>
          <w:szCs w:val="24"/>
        </w:rPr>
        <w:t xml:space="preserve"> </w:t>
      </w:r>
      <w:r>
        <w:rPr>
          <w:szCs w:val="24"/>
        </w:rPr>
        <w:t>Results of larger incentive vs. shorter survey experiment (#2)</w:t>
      </w:r>
    </w:p>
    <w:tbl>
      <w:tblPr>
        <w:tblW w:w="5000" w:type="pct"/>
        <w:tblLook w:val="0420" w:firstRow="1" w:lastRow="0" w:firstColumn="0" w:lastColumn="0" w:noHBand="0" w:noVBand="1"/>
      </w:tblPr>
      <w:tblGrid>
        <w:gridCol w:w="3050"/>
        <w:gridCol w:w="1604"/>
        <w:gridCol w:w="1631"/>
        <w:gridCol w:w="1814"/>
        <w:gridCol w:w="2341"/>
      </w:tblGrid>
      <w:tr w:rsidR="00685205" w:rsidRPr="00685205" w14:paraId="4432CE7E" w14:textId="77777777" w:rsidTr="00B0387E">
        <w:trPr>
          <w:trHeight w:val="330"/>
        </w:trPr>
        <w:tc>
          <w:tcPr>
            <w:tcW w:w="1461" w:type="pct"/>
            <w:tcBorders>
              <w:top w:val="single" w:sz="4" w:space="0" w:color="auto"/>
              <w:left w:val="single" w:sz="4" w:space="0" w:color="auto"/>
              <w:bottom w:val="nil"/>
              <w:right w:val="single" w:sz="4" w:space="0" w:color="auto"/>
            </w:tcBorders>
            <w:shd w:val="clear" w:color="auto" w:fill="auto"/>
            <w:hideMark/>
          </w:tcPr>
          <w:p w14:paraId="647A1380" w14:textId="77777777" w:rsidR="00685205" w:rsidRPr="00685205" w:rsidRDefault="00685205">
            <w:pPr>
              <w:ind w:firstLineChars="100" w:firstLine="200"/>
              <w:rPr>
                <w:sz w:val="20"/>
                <w:szCs w:val="20"/>
              </w:rPr>
            </w:pPr>
            <w:r w:rsidRPr="00685205">
              <w:rPr>
                <w:sz w:val="20"/>
                <w:szCs w:val="20"/>
              </w:rPr>
              <w:t> </w:t>
            </w:r>
          </w:p>
        </w:tc>
        <w:tc>
          <w:tcPr>
            <w:tcW w:w="1549" w:type="pct"/>
            <w:gridSpan w:val="2"/>
            <w:tcBorders>
              <w:top w:val="single" w:sz="4" w:space="0" w:color="auto"/>
              <w:left w:val="nil"/>
              <w:bottom w:val="single" w:sz="4" w:space="0" w:color="auto"/>
              <w:right w:val="single" w:sz="4" w:space="0" w:color="auto"/>
            </w:tcBorders>
            <w:shd w:val="clear" w:color="auto" w:fill="auto"/>
            <w:vAlign w:val="center"/>
            <w:hideMark/>
          </w:tcPr>
          <w:p w14:paraId="3A4AF496" w14:textId="77777777" w:rsidR="00685205" w:rsidRPr="00685205" w:rsidRDefault="00685205">
            <w:pPr>
              <w:jc w:val="center"/>
              <w:rPr>
                <w:b/>
                <w:bCs/>
              </w:rPr>
            </w:pPr>
            <w:r w:rsidRPr="00685205">
              <w:rPr>
                <w:b/>
                <w:bCs/>
              </w:rPr>
              <w:t>Respondent</w:t>
            </w:r>
          </w:p>
        </w:tc>
        <w:tc>
          <w:tcPr>
            <w:tcW w:w="86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895E539" w14:textId="77777777" w:rsidR="00685205" w:rsidRPr="00685205" w:rsidRDefault="00685205">
            <w:pPr>
              <w:jc w:val="center"/>
              <w:rPr>
                <w:b/>
                <w:bCs/>
              </w:rPr>
            </w:pPr>
            <w:r w:rsidRPr="00685205">
              <w:rPr>
                <w:b/>
                <w:bCs/>
              </w:rPr>
              <w:t>Total</w:t>
            </w:r>
          </w:p>
        </w:tc>
        <w:tc>
          <w:tcPr>
            <w:tcW w:w="112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987A787" w14:textId="77777777" w:rsidR="00685205" w:rsidRPr="00685205" w:rsidRDefault="00685205">
            <w:pPr>
              <w:jc w:val="center"/>
              <w:rPr>
                <w:b/>
                <w:bCs/>
              </w:rPr>
            </w:pPr>
            <w:r w:rsidRPr="00685205">
              <w:rPr>
                <w:b/>
                <w:bCs/>
              </w:rPr>
              <w:t>Response Rate</w:t>
            </w:r>
          </w:p>
        </w:tc>
      </w:tr>
      <w:tr w:rsidR="00685205" w:rsidRPr="00685205" w14:paraId="082E2D54" w14:textId="77777777" w:rsidTr="00B0387E">
        <w:trPr>
          <w:trHeight w:val="315"/>
        </w:trPr>
        <w:tc>
          <w:tcPr>
            <w:tcW w:w="1461" w:type="pct"/>
            <w:tcBorders>
              <w:top w:val="nil"/>
              <w:left w:val="single" w:sz="4" w:space="0" w:color="auto"/>
              <w:bottom w:val="single" w:sz="4" w:space="0" w:color="auto"/>
              <w:right w:val="single" w:sz="4" w:space="0" w:color="auto"/>
            </w:tcBorders>
            <w:shd w:val="clear" w:color="auto" w:fill="auto"/>
            <w:vAlign w:val="center"/>
            <w:hideMark/>
          </w:tcPr>
          <w:p w14:paraId="6C28998D" w14:textId="77777777" w:rsidR="00685205" w:rsidRPr="00685205" w:rsidRDefault="00685205" w:rsidP="000842C5">
            <w:pPr>
              <w:ind w:firstLineChars="100" w:firstLine="241"/>
              <w:rPr>
                <w:b/>
                <w:bCs/>
              </w:rPr>
            </w:pPr>
            <w:r w:rsidRPr="00685205">
              <w:rPr>
                <w:b/>
                <w:bCs/>
              </w:rPr>
              <w:t>Calibration</w:t>
            </w:r>
          </w:p>
        </w:tc>
        <w:tc>
          <w:tcPr>
            <w:tcW w:w="768" w:type="pct"/>
            <w:tcBorders>
              <w:top w:val="nil"/>
              <w:left w:val="nil"/>
              <w:bottom w:val="single" w:sz="4" w:space="0" w:color="auto"/>
              <w:right w:val="single" w:sz="4" w:space="0" w:color="auto"/>
            </w:tcBorders>
            <w:shd w:val="clear" w:color="auto" w:fill="auto"/>
            <w:vAlign w:val="center"/>
            <w:hideMark/>
          </w:tcPr>
          <w:p w14:paraId="6C97B7FF" w14:textId="77777777" w:rsidR="00685205" w:rsidRPr="00685205" w:rsidRDefault="00685205">
            <w:pPr>
              <w:jc w:val="center"/>
              <w:rPr>
                <w:b/>
                <w:bCs/>
              </w:rPr>
            </w:pPr>
            <w:r w:rsidRPr="00685205">
              <w:rPr>
                <w:b/>
                <w:bCs/>
              </w:rPr>
              <w:t>No</w:t>
            </w:r>
          </w:p>
        </w:tc>
        <w:tc>
          <w:tcPr>
            <w:tcW w:w="781" w:type="pct"/>
            <w:tcBorders>
              <w:top w:val="nil"/>
              <w:left w:val="nil"/>
              <w:bottom w:val="single" w:sz="4" w:space="0" w:color="auto"/>
              <w:right w:val="single" w:sz="4" w:space="0" w:color="auto"/>
            </w:tcBorders>
            <w:shd w:val="clear" w:color="auto" w:fill="auto"/>
            <w:vAlign w:val="center"/>
            <w:hideMark/>
          </w:tcPr>
          <w:p w14:paraId="137AA28F" w14:textId="77777777" w:rsidR="00685205" w:rsidRPr="00685205" w:rsidRDefault="00685205">
            <w:pPr>
              <w:jc w:val="center"/>
              <w:rPr>
                <w:b/>
                <w:bCs/>
              </w:rPr>
            </w:pPr>
            <w:r w:rsidRPr="00685205">
              <w:rPr>
                <w:b/>
                <w:bCs/>
              </w:rPr>
              <w:t>Yes</w:t>
            </w:r>
          </w:p>
        </w:tc>
        <w:tc>
          <w:tcPr>
            <w:tcW w:w="869" w:type="pct"/>
            <w:vMerge/>
            <w:tcBorders>
              <w:top w:val="single" w:sz="4" w:space="0" w:color="auto"/>
              <w:left w:val="single" w:sz="4" w:space="0" w:color="auto"/>
              <w:bottom w:val="single" w:sz="4" w:space="0" w:color="auto"/>
              <w:right w:val="single" w:sz="4" w:space="0" w:color="auto"/>
            </w:tcBorders>
            <w:vAlign w:val="center"/>
            <w:hideMark/>
          </w:tcPr>
          <w:p w14:paraId="62BAF13C" w14:textId="77777777" w:rsidR="00685205" w:rsidRPr="00685205" w:rsidRDefault="00685205">
            <w:pPr>
              <w:rPr>
                <w:b/>
                <w:bCs/>
              </w:rPr>
            </w:pPr>
          </w:p>
        </w:tc>
        <w:tc>
          <w:tcPr>
            <w:tcW w:w="1121" w:type="pct"/>
            <w:vMerge/>
            <w:tcBorders>
              <w:top w:val="single" w:sz="4" w:space="0" w:color="auto"/>
              <w:left w:val="single" w:sz="4" w:space="0" w:color="auto"/>
              <w:bottom w:val="single" w:sz="4" w:space="0" w:color="auto"/>
              <w:right w:val="single" w:sz="4" w:space="0" w:color="auto"/>
            </w:tcBorders>
            <w:vAlign w:val="center"/>
            <w:hideMark/>
          </w:tcPr>
          <w:p w14:paraId="38C567DC" w14:textId="77777777" w:rsidR="00685205" w:rsidRPr="00685205" w:rsidRDefault="00685205">
            <w:pPr>
              <w:rPr>
                <w:b/>
                <w:bCs/>
              </w:rPr>
            </w:pPr>
          </w:p>
        </w:tc>
      </w:tr>
      <w:tr w:rsidR="00685205" w:rsidRPr="00685205" w14:paraId="779E17AC" w14:textId="77777777" w:rsidTr="00B0387E">
        <w:trPr>
          <w:trHeight w:val="432"/>
        </w:trPr>
        <w:tc>
          <w:tcPr>
            <w:tcW w:w="1461" w:type="pct"/>
            <w:tcBorders>
              <w:top w:val="nil"/>
              <w:left w:val="single" w:sz="4" w:space="0" w:color="auto"/>
              <w:bottom w:val="single" w:sz="4" w:space="0" w:color="auto"/>
              <w:right w:val="single" w:sz="4" w:space="0" w:color="auto"/>
            </w:tcBorders>
            <w:shd w:val="clear" w:color="auto" w:fill="auto"/>
            <w:vAlign w:val="center"/>
            <w:hideMark/>
          </w:tcPr>
          <w:p w14:paraId="6E8DB126" w14:textId="77777777" w:rsidR="00685205" w:rsidRPr="00685205" w:rsidRDefault="00685205" w:rsidP="000842C5">
            <w:pPr>
              <w:ind w:firstLineChars="100" w:firstLine="241"/>
              <w:rPr>
                <w:b/>
                <w:bCs/>
              </w:rPr>
            </w:pPr>
            <w:r w:rsidRPr="00685205">
              <w:rPr>
                <w:b/>
                <w:bCs/>
              </w:rPr>
              <w:t>Full/$75</w:t>
            </w:r>
          </w:p>
        </w:tc>
        <w:tc>
          <w:tcPr>
            <w:tcW w:w="768" w:type="pct"/>
            <w:tcBorders>
              <w:top w:val="nil"/>
              <w:left w:val="nil"/>
              <w:bottom w:val="single" w:sz="4" w:space="0" w:color="auto"/>
              <w:right w:val="single" w:sz="4" w:space="0" w:color="auto"/>
            </w:tcBorders>
            <w:shd w:val="clear" w:color="auto" w:fill="auto"/>
            <w:vAlign w:val="center"/>
            <w:hideMark/>
          </w:tcPr>
          <w:p w14:paraId="4CD20381" w14:textId="77777777" w:rsidR="00685205" w:rsidRPr="00685205" w:rsidRDefault="00685205" w:rsidP="000842C5">
            <w:pPr>
              <w:ind w:firstLineChars="100" w:firstLine="241"/>
              <w:jc w:val="right"/>
              <w:rPr>
                <w:b/>
                <w:bCs/>
              </w:rPr>
            </w:pPr>
            <w:r w:rsidRPr="00685205">
              <w:rPr>
                <w:b/>
                <w:bCs/>
              </w:rPr>
              <w:t>417</w:t>
            </w:r>
          </w:p>
        </w:tc>
        <w:tc>
          <w:tcPr>
            <w:tcW w:w="781" w:type="pct"/>
            <w:tcBorders>
              <w:top w:val="nil"/>
              <w:left w:val="nil"/>
              <w:bottom w:val="single" w:sz="4" w:space="0" w:color="auto"/>
              <w:right w:val="single" w:sz="4" w:space="0" w:color="auto"/>
            </w:tcBorders>
            <w:shd w:val="clear" w:color="auto" w:fill="auto"/>
            <w:vAlign w:val="center"/>
            <w:hideMark/>
          </w:tcPr>
          <w:p w14:paraId="2FDD39B7" w14:textId="77777777" w:rsidR="00685205" w:rsidRPr="00685205" w:rsidRDefault="00685205" w:rsidP="000842C5">
            <w:pPr>
              <w:ind w:firstLineChars="100" w:firstLine="241"/>
              <w:jc w:val="right"/>
              <w:rPr>
                <w:b/>
                <w:bCs/>
              </w:rPr>
            </w:pPr>
            <w:r w:rsidRPr="00685205">
              <w:rPr>
                <w:b/>
                <w:bCs/>
              </w:rPr>
              <w:t>18</w:t>
            </w:r>
          </w:p>
        </w:tc>
        <w:tc>
          <w:tcPr>
            <w:tcW w:w="869" w:type="pct"/>
            <w:tcBorders>
              <w:top w:val="nil"/>
              <w:left w:val="nil"/>
              <w:bottom w:val="single" w:sz="4" w:space="0" w:color="auto"/>
              <w:right w:val="single" w:sz="4" w:space="0" w:color="auto"/>
            </w:tcBorders>
            <w:shd w:val="clear" w:color="auto" w:fill="auto"/>
            <w:vAlign w:val="center"/>
            <w:hideMark/>
          </w:tcPr>
          <w:p w14:paraId="54FBF0C1" w14:textId="77777777" w:rsidR="00685205" w:rsidRPr="00685205" w:rsidRDefault="00685205">
            <w:pPr>
              <w:ind w:firstLineChars="100" w:firstLine="240"/>
              <w:jc w:val="right"/>
            </w:pPr>
            <w:r w:rsidRPr="00685205">
              <w:t>435</w:t>
            </w:r>
          </w:p>
        </w:tc>
        <w:tc>
          <w:tcPr>
            <w:tcW w:w="1121" w:type="pct"/>
            <w:tcBorders>
              <w:top w:val="nil"/>
              <w:left w:val="nil"/>
              <w:bottom w:val="single" w:sz="4" w:space="0" w:color="auto"/>
              <w:right w:val="single" w:sz="4" w:space="0" w:color="auto"/>
            </w:tcBorders>
            <w:shd w:val="clear" w:color="auto" w:fill="auto"/>
            <w:vAlign w:val="center"/>
            <w:hideMark/>
          </w:tcPr>
          <w:p w14:paraId="604FFCB2" w14:textId="77777777" w:rsidR="00685205" w:rsidRPr="00685205" w:rsidRDefault="00685205" w:rsidP="00685205">
            <w:pPr>
              <w:ind w:firstLineChars="100" w:firstLine="240"/>
              <w:jc w:val="right"/>
            </w:pPr>
            <w:r w:rsidRPr="00685205">
              <w:t>4.1%</w:t>
            </w:r>
          </w:p>
        </w:tc>
      </w:tr>
      <w:tr w:rsidR="00685205" w:rsidRPr="00685205" w14:paraId="67411515" w14:textId="77777777" w:rsidTr="00B0387E">
        <w:trPr>
          <w:trHeight w:val="432"/>
        </w:trPr>
        <w:tc>
          <w:tcPr>
            <w:tcW w:w="1461" w:type="pct"/>
            <w:tcBorders>
              <w:top w:val="nil"/>
              <w:left w:val="single" w:sz="4" w:space="0" w:color="auto"/>
              <w:bottom w:val="single" w:sz="4" w:space="0" w:color="auto"/>
              <w:right w:val="single" w:sz="4" w:space="0" w:color="auto"/>
            </w:tcBorders>
            <w:shd w:val="clear" w:color="auto" w:fill="auto"/>
            <w:vAlign w:val="center"/>
            <w:hideMark/>
          </w:tcPr>
          <w:p w14:paraId="06FF079E" w14:textId="77777777" w:rsidR="00685205" w:rsidRPr="00685205" w:rsidRDefault="00685205" w:rsidP="000842C5">
            <w:pPr>
              <w:ind w:firstLineChars="100" w:firstLine="241"/>
              <w:rPr>
                <w:b/>
                <w:bCs/>
              </w:rPr>
            </w:pPr>
            <w:r w:rsidRPr="00685205">
              <w:rPr>
                <w:b/>
                <w:bCs/>
              </w:rPr>
              <w:t>Abbrev./$30</w:t>
            </w:r>
          </w:p>
        </w:tc>
        <w:tc>
          <w:tcPr>
            <w:tcW w:w="768" w:type="pct"/>
            <w:tcBorders>
              <w:top w:val="nil"/>
              <w:left w:val="nil"/>
              <w:bottom w:val="single" w:sz="4" w:space="0" w:color="auto"/>
              <w:right w:val="single" w:sz="4" w:space="0" w:color="auto"/>
            </w:tcBorders>
            <w:shd w:val="clear" w:color="auto" w:fill="auto"/>
            <w:vAlign w:val="center"/>
            <w:hideMark/>
          </w:tcPr>
          <w:p w14:paraId="00D3DBB2" w14:textId="77777777" w:rsidR="00685205" w:rsidRPr="00685205" w:rsidRDefault="00685205" w:rsidP="000842C5">
            <w:pPr>
              <w:ind w:firstLineChars="100" w:firstLine="241"/>
              <w:jc w:val="right"/>
              <w:rPr>
                <w:b/>
                <w:bCs/>
              </w:rPr>
            </w:pPr>
            <w:r w:rsidRPr="00685205">
              <w:rPr>
                <w:b/>
                <w:bCs/>
              </w:rPr>
              <w:t>429</w:t>
            </w:r>
          </w:p>
        </w:tc>
        <w:tc>
          <w:tcPr>
            <w:tcW w:w="781" w:type="pct"/>
            <w:tcBorders>
              <w:top w:val="nil"/>
              <w:left w:val="nil"/>
              <w:bottom w:val="single" w:sz="4" w:space="0" w:color="auto"/>
              <w:right w:val="single" w:sz="4" w:space="0" w:color="auto"/>
            </w:tcBorders>
            <w:shd w:val="clear" w:color="auto" w:fill="auto"/>
            <w:vAlign w:val="center"/>
            <w:hideMark/>
          </w:tcPr>
          <w:p w14:paraId="5A9FDDFB" w14:textId="77777777" w:rsidR="00685205" w:rsidRPr="00685205" w:rsidRDefault="00685205" w:rsidP="000842C5">
            <w:pPr>
              <w:ind w:firstLineChars="100" w:firstLine="241"/>
              <w:jc w:val="right"/>
              <w:rPr>
                <w:b/>
                <w:bCs/>
              </w:rPr>
            </w:pPr>
            <w:r w:rsidRPr="00685205">
              <w:rPr>
                <w:b/>
                <w:bCs/>
              </w:rPr>
              <w:t>6</w:t>
            </w:r>
          </w:p>
        </w:tc>
        <w:tc>
          <w:tcPr>
            <w:tcW w:w="869" w:type="pct"/>
            <w:tcBorders>
              <w:top w:val="nil"/>
              <w:left w:val="nil"/>
              <w:bottom w:val="single" w:sz="4" w:space="0" w:color="auto"/>
              <w:right w:val="single" w:sz="4" w:space="0" w:color="auto"/>
            </w:tcBorders>
            <w:shd w:val="clear" w:color="auto" w:fill="auto"/>
            <w:vAlign w:val="center"/>
            <w:hideMark/>
          </w:tcPr>
          <w:p w14:paraId="4213C75E" w14:textId="77777777" w:rsidR="00685205" w:rsidRPr="00685205" w:rsidRDefault="00685205">
            <w:pPr>
              <w:ind w:firstLineChars="100" w:firstLine="240"/>
              <w:jc w:val="right"/>
            </w:pPr>
            <w:r w:rsidRPr="00685205">
              <w:t>435</w:t>
            </w:r>
          </w:p>
        </w:tc>
        <w:tc>
          <w:tcPr>
            <w:tcW w:w="1121" w:type="pct"/>
            <w:tcBorders>
              <w:top w:val="nil"/>
              <w:left w:val="nil"/>
              <w:bottom w:val="single" w:sz="4" w:space="0" w:color="auto"/>
              <w:right w:val="single" w:sz="4" w:space="0" w:color="auto"/>
            </w:tcBorders>
            <w:shd w:val="clear" w:color="auto" w:fill="auto"/>
            <w:vAlign w:val="center"/>
            <w:hideMark/>
          </w:tcPr>
          <w:p w14:paraId="0BD436A5" w14:textId="77777777" w:rsidR="00685205" w:rsidRPr="00685205" w:rsidRDefault="00685205">
            <w:pPr>
              <w:ind w:firstLineChars="100" w:firstLine="240"/>
              <w:jc w:val="right"/>
            </w:pPr>
            <w:r>
              <w:t>1.4</w:t>
            </w:r>
            <w:r w:rsidRPr="00685205">
              <w:t>%</w:t>
            </w:r>
          </w:p>
        </w:tc>
      </w:tr>
      <w:tr w:rsidR="00685205" w:rsidRPr="00685205" w14:paraId="527FE99E" w14:textId="77777777" w:rsidTr="00B0387E">
        <w:trPr>
          <w:trHeight w:val="432"/>
        </w:trPr>
        <w:tc>
          <w:tcPr>
            <w:tcW w:w="1461" w:type="pct"/>
            <w:tcBorders>
              <w:top w:val="nil"/>
              <w:left w:val="single" w:sz="4" w:space="0" w:color="auto"/>
              <w:bottom w:val="single" w:sz="4" w:space="0" w:color="auto"/>
              <w:right w:val="single" w:sz="4" w:space="0" w:color="auto"/>
            </w:tcBorders>
            <w:shd w:val="clear" w:color="auto" w:fill="auto"/>
            <w:vAlign w:val="center"/>
            <w:hideMark/>
          </w:tcPr>
          <w:p w14:paraId="46D2A8DC" w14:textId="77777777" w:rsidR="00685205" w:rsidRPr="00685205" w:rsidRDefault="00685205" w:rsidP="000842C5">
            <w:pPr>
              <w:ind w:firstLineChars="100" w:firstLine="241"/>
              <w:rPr>
                <w:b/>
                <w:bCs/>
              </w:rPr>
            </w:pPr>
            <w:r w:rsidRPr="00685205">
              <w:rPr>
                <w:b/>
                <w:bCs/>
              </w:rPr>
              <w:t>Total</w:t>
            </w:r>
          </w:p>
        </w:tc>
        <w:tc>
          <w:tcPr>
            <w:tcW w:w="768" w:type="pct"/>
            <w:tcBorders>
              <w:top w:val="nil"/>
              <w:left w:val="nil"/>
              <w:bottom w:val="single" w:sz="4" w:space="0" w:color="auto"/>
              <w:right w:val="single" w:sz="4" w:space="0" w:color="auto"/>
            </w:tcBorders>
            <w:shd w:val="clear" w:color="auto" w:fill="auto"/>
            <w:vAlign w:val="center"/>
            <w:hideMark/>
          </w:tcPr>
          <w:p w14:paraId="1AA4DEC9" w14:textId="77777777" w:rsidR="00685205" w:rsidRPr="00685205" w:rsidRDefault="00685205">
            <w:pPr>
              <w:ind w:firstLineChars="100" w:firstLine="240"/>
              <w:jc w:val="right"/>
            </w:pPr>
            <w:r w:rsidRPr="00685205">
              <w:t>846</w:t>
            </w:r>
          </w:p>
        </w:tc>
        <w:tc>
          <w:tcPr>
            <w:tcW w:w="781" w:type="pct"/>
            <w:tcBorders>
              <w:top w:val="nil"/>
              <w:left w:val="nil"/>
              <w:bottom w:val="single" w:sz="4" w:space="0" w:color="auto"/>
              <w:right w:val="single" w:sz="4" w:space="0" w:color="auto"/>
            </w:tcBorders>
            <w:shd w:val="clear" w:color="auto" w:fill="auto"/>
            <w:vAlign w:val="center"/>
            <w:hideMark/>
          </w:tcPr>
          <w:p w14:paraId="420376D9" w14:textId="77777777" w:rsidR="00685205" w:rsidRPr="00685205" w:rsidRDefault="00685205">
            <w:pPr>
              <w:ind w:firstLineChars="100" w:firstLine="240"/>
              <w:jc w:val="right"/>
            </w:pPr>
            <w:r w:rsidRPr="00685205">
              <w:t>24</w:t>
            </w:r>
          </w:p>
        </w:tc>
        <w:tc>
          <w:tcPr>
            <w:tcW w:w="869" w:type="pct"/>
            <w:tcBorders>
              <w:top w:val="nil"/>
              <w:left w:val="nil"/>
              <w:bottom w:val="single" w:sz="4" w:space="0" w:color="auto"/>
              <w:right w:val="single" w:sz="4" w:space="0" w:color="auto"/>
            </w:tcBorders>
            <w:shd w:val="clear" w:color="auto" w:fill="auto"/>
            <w:vAlign w:val="center"/>
            <w:hideMark/>
          </w:tcPr>
          <w:p w14:paraId="19F334A8" w14:textId="77777777" w:rsidR="00685205" w:rsidRPr="00685205" w:rsidRDefault="00685205">
            <w:pPr>
              <w:ind w:firstLineChars="100" w:firstLine="240"/>
              <w:jc w:val="right"/>
            </w:pPr>
            <w:r w:rsidRPr="00685205">
              <w:t>870</w:t>
            </w:r>
          </w:p>
        </w:tc>
        <w:tc>
          <w:tcPr>
            <w:tcW w:w="1121" w:type="pct"/>
            <w:tcBorders>
              <w:top w:val="nil"/>
              <w:left w:val="nil"/>
              <w:bottom w:val="single" w:sz="4" w:space="0" w:color="auto"/>
              <w:right w:val="single" w:sz="4" w:space="0" w:color="auto"/>
            </w:tcBorders>
            <w:shd w:val="clear" w:color="auto" w:fill="auto"/>
            <w:vAlign w:val="center"/>
            <w:hideMark/>
          </w:tcPr>
          <w:p w14:paraId="2237D1FF" w14:textId="77777777" w:rsidR="00685205" w:rsidRPr="00685205" w:rsidRDefault="00685205" w:rsidP="00685205">
            <w:pPr>
              <w:ind w:firstLineChars="100" w:firstLine="240"/>
              <w:jc w:val="right"/>
            </w:pPr>
            <w:r w:rsidRPr="00685205">
              <w:t>2.8%</w:t>
            </w:r>
          </w:p>
        </w:tc>
      </w:tr>
    </w:tbl>
    <w:p w14:paraId="10324544" w14:textId="77777777" w:rsidR="00C41800" w:rsidRDefault="00C41800" w:rsidP="005E46AA">
      <w:pPr>
        <w:pStyle w:val="Bodytextnoindent"/>
        <w:spacing w:before="0" w:line="276" w:lineRule="auto"/>
      </w:pPr>
    </w:p>
    <w:p w14:paraId="2FA870E0" w14:textId="77777777" w:rsidR="00DA1F0B" w:rsidRDefault="0084592D" w:rsidP="001B3DE0">
      <w:pPr>
        <w:pStyle w:val="Bodytextnoindent"/>
        <w:spacing w:before="0" w:line="276" w:lineRule="auto"/>
      </w:pPr>
      <w:r>
        <w:t>However, g</w:t>
      </w:r>
      <w:r w:rsidR="001B3DE0">
        <w:t>iven the low overall response rate for this group after 4 weeks of data collection (</w:t>
      </w:r>
      <w:r>
        <w:t>2.8</w:t>
      </w:r>
      <w:r w:rsidR="001B3DE0">
        <w:t xml:space="preserve"> percent), we conducted additional analyses to assess the impact of double </w:t>
      </w:r>
      <w:proofErr w:type="spellStart"/>
      <w:r w:rsidR="001B3DE0">
        <w:t>nonrespondents</w:t>
      </w:r>
      <w:proofErr w:type="spellEnd"/>
      <w:r>
        <w:t xml:space="preserve"> on estimates</w:t>
      </w:r>
      <w:r w:rsidR="001B3DE0">
        <w:t xml:space="preserve">. While only 10 percent of the entire sample (calibration and main sample), 58 percent of double </w:t>
      </w:r>
      <w:proofErr w:type="spellStart"/>
      <w:r w:rsidR="001B3DE0">
        <w:t>nonrespondents</w:t>
      </w:r>
      <w:proofErr w:type="spellEnd"/>
      <w:r w:rsidR="001B3DE0">
        <w:t xml:space="preserve"> were enrolled in private for-profit institutions in NPSAS</w:t>
      </w:r>
      <w:proofErr w:type="gramStart"/>
      <w:r w:rsidR="001B3DE0">
        <w:t>:12</w:t>
      </w:r>
      <w:proofErr w:type="gramEnd"/>
      <w:r w:rsidR="001B3DE0">
        <w:t>. As a result of this clustering in the for-profit sectors, we attempted to assess potential impact of this group on nonresponse bias and on the precision of estimates.</w:t>
      </w:r>
    </w:p>
    <w:p w14:paraId="2A437940" w14:textId="2A9EF84D" w:rsidR="001B3DE0" w:rsidRDefault="001B3DE0" w:rsidP="001B3DE0">
      <w:pPr>
        <w:pStyle w:val="Bodytextnoindent"/>
        <w:spacing w:before="0" w:line="276" w:lineRule="auto"/>
      </w:pPr>
      <w:r>
        <w:t xml:space="preserve">For nonresponse bias, we know little about how double </w:t>
      </w:r>
      <w:proofErr w:type="spellStart"/>
      <w:r>
        <w:t>nonrespondents</w:t>
      </w:r>
      <w:proofErr w:type="spellEnd"/>
      <w:r>
        <w:t xml:space="preserve"> differ </w:t>
      </w:r>
      <w:r w:rsidR="0084592D">
        <w:t xml:space="preserve">on key measures </w:t>
      </w:r>
      <w:r>
        <w:t xml:space="preserve">from previous respondents, but were able to estimate </w:t>
      </w:r>
      <w:r w:rsidR="00680945">
        <w:t xml:space="preserve">some differences </w:t>
      </w:r>
      <w:r>
        <w:t xml:space="preserve">using </w:t>
      </w:r>
      <w:r w:rsidRPr="0061242E">
        <w:t>transcript data in the BPS</w:t>
      </w:r>
      <w:proofErr w:type="gramStart"/>
      <w:r w:rsidRPr="0061242E">
        <w:t>:04</w:t>
      </w:r>
      <w:proofErr w:type="gramEnd"/>
      <w:r w:rsidRPr="0061242E">
        <w:t xml:space="preserve"> cohort. Though not perfectly analogous to the BPS</w:t>
      </w:r>
      <w:proofErr w:type="gramStart"/>
      <w:r w:rsidRPr="0061242E">
        <w:t>:12</w:t>
      </w:r>
      <w:proofErr w:type="gramEnd"/>
      <w:r w:rsidRPr="0061242E">
        <w:t xml:space="preserve"> double </w:t>
      </w:r>
      <w:proofErr w:type="spellStart"/>
      <w:r w:rsidRPr="0061242E">
        <w:t>nonrespondents</w:t>
      </w:r>
      <w:proofErr w:type="spellEnd"/>
      <w:r w:rsidRPr="0061242E">
        <w:t xml:space="preserve">, we used the PETS:09 data to create a proxy and to infer postsecondary attendance and </w:t>
      </w:r>
      <w:proofErr w:type="spellStart"/>
      <w:r w:rsidRPr="0061242E">
        <w:t>coursetaking</w:t>
      </w:r>
      <w:proofErr w:type="spellEnd"/>
      <w:r w:rsidRPr="0061242E">
        <w:t xml:space="preserve"> patterns. </w:t>
      </w:r>
      <w:r>
        <w:t xml:space="preserve">From this analysis, we concluded that double </w:t>
      </w:r>
      <w:proofErr w:type="spellStart"/>
      <w:r>
        <w:t>nonrespondents</w:t>
      </w:r>
      <w:proofErr w:type="spellEnd"/>
      <w:r>
        <w:t xml:space="preserve"> have higher rates of </w:t>
      </w:r>
      <w:r w:rsidRPr="00E662E5">
        <w:rPr>
          <w:szCs w:val="28"/>
        </w:rPr>
        <w:t>enrollment at 2-year and less-than-2-year institutions</w:t>
      </w:r>
      <w:r>
        <w:rPr>
          <w:szCs w:val="28"/>
        </w:rPr>
        <w:t>, enroll</w:t>
      </w:r>
      <w:r w:rsidRPr="00E662E5">
        <w:rPr>
          <w:szCs w:val="28"/>
        </w:rPr>
        <w:t xml:space="preserve"> at for-profit institutions at higher rates, and </w:t>
      </w:r>
      <w:r>
        <w:rPr>
          <w:szCs w:val="28"/>
        </w:rPr>
        <w:t xml:space="preserve">are </w:t>
      </w:r>
      <w:r w:rsidRPr="00E662E5">
        <w:rPr>
          <w:szCs w:val="28"/>
        </w:rPr>
        <w:t>less likely to attain a degree</w:t>
      </w:r>
      <w:r>
        <w:rPr>
          <w:szCs w:val="28"/>
        </w:rPr>
        <w:t xml:space="preserve"> or certificate</w:t>
      </w:r>
      <w:r w:rsidRPr="00E662E5">
        <w:rPr>
          <w:szCs w:val="28"/>
        </w:rPr>
        <w:t xml:space="preserve">. In summary, we </w:t>
      </w:r>
      <w:r>
        <w:rPr>
          <w:szCs w:val="28"/>
        </w:rPr>
        <w:t xml:space="preserve">conclude </w:t>
      </w:r>
      <w:r w:rsidRPr="00E662E5">
        <w:rPr>
          <w:szCs w:val="28"/>
        </w:rPr>
        <w:t xml:space="preserve">that </w:t>
      </w:r>
      <w:r>
        <w:rPr>
          <w:szCs w:val="28"/>
        </w:rPr>
        <w:t xml:space="preserve">double </w:t>
      </w:r>
      <w:proofErr w:type="spellStart"/>
      <w:r w:rsidRPr="00E662E5">
        <w:rPr>
          <w:szCs w:val="28"/>
        </w:rPr>
        <w:t>nonrespondents</w:t>
      </w:r>
      <w:proofErr w:type="spellEnd"/>
      <w:r>
        <w:rPr>
          <w:szCs w:val="28"/>
        </w:rPr>
        <w:t xml:space="preserve">, modeled </w:t>
      </w:r>
      <w:r w:rsidR="0084592D">
        <w:rPr>
          <w:szCs w:val="28"/>
        </w:rPr>
        <w:t xml:space="preserve">on </w:t>
      </w:r>
      <w:r>
        <w:rPr>
          <w:szCs w:val="28"/>
        </w:rPr>
        <w:t>the BPS</w:t>
      </w:r>
      <w:proofErr w:type="gramStart"/>
      <w:r>
        <w:rPr>
          <w:szCs w:val="28"/>
        </w:rPr>
        <w:t>:04</w:t>
      </w:r>
      <w:proofErr w:type="gramEnd"/>
      <w:r>
        <w:rPr>
          <w:szCs w:val="28"/>
        </w:rPr>
        <w:t xml:space="preserve"> cohort,</w:t>
      </w:r>
      <w:r w:rsidRPr="00E662E5">
        <w:rPr>
          <w:szCs w:val="28"/>
        </w:rPr>
        <w:t xml:space="preserve"> differ by several characteristics of prime interest to BPS:12/17, thereby potentially contributing to nonresponse bias.</w:t>
      </w:r>
    </w:p>
    <w:p w14:paraId="798F6496" w14:textId="06653C14" w:rsidR="001B3DE0" w:rsidRDefault="0084592D" w:rsidP="001B3DE0">
      <w:pPr>
        <w:pStyle w:val="Bodytextnoindent"/>
        <w:spacing w:before="0" w:line="276" w:lineRule="auto"/>
      </w:pPr>
      <w:r>
        <w:t>W</w:t>
      </w:r>
      <w:r w:rsidR="001B3DE0">
        <w:t xml:space="preserve">e </w:t>
      </w:r>
      <w:r>
        <w:t xml:space="preserve">also </w:t>
      </w:r>
      <w:r w:rsidR="001B3DE0">
        <w:t xml:space="preserve">assessed the increase in precision </w:t>
      </w:r>
      <w:r>
        <w:t xml:space="preserve">if we field </w:t>
      </w:r>
      <w:r w:rsidR="001B3DE0">
        <w:t xml:space="preserve">double </w:t>
      </w:r>
      <w:proofErr w:type="spellStart"/>
      <w:r w:rsidR="001B3DE0">
        <w:t>nonrespondents</w:t>
      </w:r>
      <w:proofErr w:type="spellEnd"/>
      <w:r w:rsidR="001B3DE0">
        <w:t>. We estimated the standard error of the sample proportion of respondents, attending private for-profit institutions, receiving Pell grants under two scenarios:</w:t>
      </w:r>
      <w:r>
        <w:t xml:space="preserve"> a</w:t>
      </w:r>
      <w:r w:rsidR="001B3DE0">
        <w:t xml:space="preserve">) pursuing double </w:t>
      </w:r>
      <w:proofErr w:type="spellStart"/>
      <w:r w:rsidR="001B3DE0">
        <w:t>nonrespondents</w:t>
      </w:r>
      <w:proofErr w:type="spellEnd"/>
      <w:r w:rsidR="001B3DE0">
        <w:t xml:space="preserve">, and </w:t>
      </w:r>
      <w:r>
        <w:t>b</w:t>
      </w:r>
      <w:r w:rsidR="001B3DE0">
        <w:t xml:space="preserve">) excluding double </w:t>
      </w:r>
      <w:proofErr w:type="spellStart"/>
      <w:r w:rsidR="001B3DE0">
        <w:t>nonrespondents</w:t>
      </w:r>
      <w:proofErr w:type="spellEnd"/>
      <w:r w:rsidR="001B3DE0">
        <w:t>. We then calculated the estimated standard errors under these scenarios by taking the ratio of the standard error under scenario #1 to the standard error under scenario #2.</w:t>
      </w:r>
      <w:r w:rsidR="00DA1F0B">
        <w:t xml:space="preserve"> </w:t>
      </w:r>
      <w:r w:rsidR="001B3DE0">
        <w:t xml:space="preserve">To estimate standard errors, we had to make assumptions about the rate at which double </w:t>
      </w:r>
      <w:proofErr w:type="spellStart"/>
      <w:r w:rsidR="001B3DE0">
        <w:t>nonrespondents</w:t>
      </w:r>
      <w:proofErr w:type="spellEnd"/>
      <w:r w:rsidR="001B3DE0">
        <w:t xml:space="preserve"> and previous respondents would participate by the end of data collection.</w:t>
      </w:r>
      <w:r w:rsidR="00DA1F0B">
        <w:t xml:space="preserve"> </w:t>
      </w:r>
      <w:r>
        <w:t>To convey the range of possibilities, w</w:t>
      </w:r>
      <w:r w:rsidR="001B3DE0">
        <w:t xml:space="preserve">e considered six different participation rates </w:t>
      </w:r>
      <w:r>
        <w:t xml:space="preserve">for double </w:t>
      </w:r>
      <w:proofErr w:type="spellStart"/>
      <w:r>
        <w:t>nonrespondent</w:t>
      </w:r>
      <w:r w:rsidR="0071252D">
        <w:t>s</w:t>
      </w:r>
      <w:proofErr w:type="spellEnd"/>
      <w:r>
        <w:t xml:space="preserve"> </w:t>
      </w:r>
      <w:r w:rsidR="001B3DE0">
        <w:t xml:space="preserve">and five </w:t>
      </w:r>
      <w:r>
        <w:t xml:space="preserve">different </w:t>
      </w:r>
      <w:r w:rsidR="001B3DE0">
        <w:t xml:space="preserve">participation rates </w:t>
      </w:r>
      <w:r>
        <w:t xml:space="preserve">for previous respondents - </w:t>
      </w:r>
      <w:r w:rsidR="001B3DE0">
        <w:t>for a total of 30 different combinations. The percent reduction in standard error for each combination of rates is provided in the following table 3.</w:t>
      </w:r>
    </w:p>
    <w:p w14:paraId="5ED5E8E0" w14:textId="6723410A" w:rsidR="001B3DE0" w:rsidRPr="00937BAB" w:rsidRDefault="001B3DE0" w:rsidP="00680945">
      <w:pPr>
        <w:pStyle w:val="Bodytextnoindent"/>
        <w:keepNext/>
        <w:spacing w:before="0" w:after="0"/>
      </w:pPr>
      <w:proofErr w:type="gramStart"/>
      <w:r w:rsidRPr="00937BAB">
        <w:lastRenderedPageBreak/>
        <w:t>Table 3.</w:t>
      </w:r>
      <w:proofErr w:type="gramEnd"/>
      <w:r w:rsidRPr="00937BAB">
        <w:t xml:space="preserve"> Percent Reduction in Standard Error Arising from Pursuit of Double </w:t>
      </w:r>
      <w:proofErr w:type="spellStart"/>
      <w:r w:rsidRPr="00937BAB">
        <w:t>Nonrespondents</w:t>
      </w:r>
      <w:proofErr w:type="spellEnd"/>
      <w:r w:rsidRPr="00937BAB">
        <w:t>, by Assumed Participation Rates</w:t>
      </w:r>
      <w:r w:rsidR="00680945">
        <w:t xml:space="preserve">, </w:t>
      </w:r>
      <w:r w:rsidR="00680945" w:rsidRPr="00680945">
        <w:t>at For-Profit Institutions</w:t>
      </w:r>
    </w:p>
    <w:tbl>
      <w:tblPr>
        <w:tblW w:w="5000" w:type="pct"/>
        <w:tblLayout w:type="fixed"/>
        <w:tblLook w:val="04A0" w:firstRow="1" w:lastRow="0" w:firstColumn="1" w:lastColumn="0" w:noHBand="0" w:noVBand="1"/>
      </w:tblPr>
      <w:tblGrid>
        <w:gridCol w:w="4340"/>
        <w:gridCol w:w="1973"/>
        <w:gridCol w:w="1034"/>
        <w:gridCol w:w="1031"/>
        <w:gridCol w:w="1031"/>
        <w:gridCol w:w="1031"/>
      </w:tblGrid>
      <w:tr w:rsidR="001B3DE0" w:rsidRPr="00937BAB" w14:paraId="0147A9A6" w14:textId="77777777" w:rsidTr="00680945">
        <w:trPr>
          <w:trHeight w:val="300"/>
        </w:trPr>
        <w:tc>
          <w:tcPr>
            <w:tcW w:w="20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53C293" w14:textId="77777777" w:rsidR="001B3DE0" w:rsidRPr="00937BAB" w:rsidRDefault="001B3DE0" w:rsidP="002A25F0">
            <w:pPr>
              <w:keepNext/>
              <w:rPr>
                <w:color w:val="000000"/>
              </w:rPr>
            </w:pPr>
            <w:r w:rsidRPr="00937BAB">
              <w:rPr>
                <w:color w:val="000000"/>
              </w:rPr>
              <w:t> </w:t>
            </w:r>
          </w:p>
        </w:tc>
        <w:tc>
          <w:tcPr>
            <w:tcW w:w="2922" w:type="pct"/>
            <w:gridSpan w:val="5"/>
            <w:tcBorders>
              <w:top w:val="single" w:sz="4" w:space="0" w:color="auto"/>
              <w:left w:val="nil"/>
              <w:bottom w:val="single" w:sz="4" w:space="0" w:color="auto"/>
              <w:right w:val="single" w:sz="4" w:space="0" w:color="auto"/>
            </w:tcBorders>
            <w:shd w:val="clear" w:color="auto" w:fill="auto"/>
            <w:noWrap/>
            <w:vAlign w:val="bottom"/>
            <w:hideMark/>
          </w:tcPr>
          <w:p w14:paraId="5B5C5C24" w14:textId="77777777" w:rsidR="001B3DE0" w:rsidRPr="00937BAB" w:rsidRDefault="001B3DE0" w:rsidP="002A25F0">
            <w:pPr>
              <w:keepNext/>
              <w:jc w:val="center"/>
              <w:rPr>
                <w:color w:val="000000"/>
              </w:rPr>
            </w:pPr>
            <w:r w:rsidRPr="00937BAB">
              <w:rPr>
                <w:b/>
                <w:bCs/>
                <w:color w:val="000000"/>
              </w:rPr>
              <w:t>Assumed participation rate of previous respondents</w:t>
            </w:r>
          </w:p>
        </w:tc>
      </w:tr>
      <w:tr w:rsidR="001B3DE0" w:rsidRPr="00937BAB" w14:paraId="287AAEF0" w14:textId="77777777" w:rsidTr="00680945">
        <w:trPr>
          <w:trHeight w:val="300"/>
        </w:trPr>
        <w:tc>
          <w:tcPr>
            <w:tcW w:w="2078" w:type="pct"/>
            <w:tcBorders>
              <w:top w:val="nil"/>
              <w:left w:val="single" w:sz="4" w:space="0" w:color="auto"/>
              <w:bottom w:val="single" w:sz="4" w:space="0" w:color="auto"/>
              <w:right w:val="single" w:sz="4" w:space="0" w:color="auto"/>
            </w:tcBorders>
            <w:shd w:val="clear" w:color="auto" w:fill="auto"/>
            <w:noWrap/>
            <w:vAlign w:val="bottom"/>
            <w:hideMark/>
          </w:tcPr>
          <w:p w14:paraId="3543ED3E" w14:textId="77777777" w:rsidR="001B3DE0" w:rsidRPr="00937BAB" w:rsidRDefault="001B3DE0" w:rsidP="002A25F0">
            <w:pPr>
              <w:keepNext/>
              <w:rPr>
                <w:b/>
                <w:bCs/>
                <w:color w:val="000000"/>
              </w:rPr>
            </w:pPr>
            <w:r w:rsidRPr="00937BAB">
              <w:rPr>
                <w:b/>
                <w:bCs/>
                <w:color w:val="000000"/>
              </w:rPr>
              <w:t xml:space="preserve">Assumed participation rate of double </w:t>
            </w:r>
            <w:proofErr w:type="spellStart"/>
            <w:r w:rsidRPr="00937BAB">
              <w:rPr>
                <w:b/>
                <w:bCs/>
                <w:color w:val="000000"/>
              </w:rPr>
              <w:t>nonrespondents</w:t>
            </w:r>
            <w:proofErr w:type="spellEnd"/>
          </w:p>
        </w:tc>
        <w:tc>
          <w:tcPr>
            <w:tcW w:w="945" w:type="pct"/>
            <w:tcBorders>
              <w:top w:val="nil"/>
              <w:left w:val="nil"/>
              <w:bottom w:val="single" w:sz="4" w:space="0" w:color="auto"/>
              <w:right w:val="single" w:sz="4" w:space="0" w:color="auto"/>
            </w:tcBorders>
            <w:shd w:val="clear" w:color="auto" w:fill="auto"/>
            <w:noWrap/>
            <w:vAlign w:val="bottom"/>
            <w:hideMark/>
          </w:tcPr>
          <w:p w14:paraId="09F13640" w14:textId="77777777" w:rsidR="001B3DE0" w:rsidRPr="00937BAB" w:rsidRDefault="001B3DE0" w:rsidP="002A25F0">
            <w:pPr>
              <w:keepNext/>
              <w:jc w:val="right"/>
              <w:rPr>
                <w:b/>
                <w:color w:val="000000"/>
              </w:rPr>
            </w:pPr>
            <w:r w:rsidRPr="00937BAB">
              <w:rPr>
                <w:b/>
                <w:color w:val="000000"/>
              </w:rPr>
              <w:t>55%</w:t>
            </w:r>
          </w:p>
        </w:tc>
        <w:tc>
          <w:tcPr>
            <w:tcW w:w="495" w:type="pct"/>
            <w:tcBorders>
              <w:top w:val="nil"/>
              <w:left w:val="nil"/>
              <w:bottom w:val="single" w:sz="4" w:space="0" w:color="auto"/>
              <w:right w:val="single" w:sz="4" w:space="0" w:color="auto"/>
            </w:tcBorders>
            <w:shd w:val="clear" w:color="auto" w:fill="auto"/>
            <w:noWrap/>
            <w:vAlign w:val="bottom"/>
            <w:hideMark/>
          </w:tcPr>
          <w:p w14:paraId="05BAE240" w14:textId="77777777" w:rsidR="001B3DE0" w:rsidRPr="00937BAB" w:rsidRDefault="001B3DE0" w:rsidP="002A25F0">
            <w:pPr>
              <w:keepNext/>
              <w:jc w:val="right"/>
              <w:rPr>
                <w:b/>
                <w:color w:val="000000"/>
              </w:rPr>
            </w:pPr>
            <w:r w:rsidRPr="00937BAB">
              <w:rPr>
                <w:b/>
                <w:color w:val="000000"/>
              </w:rPr>
              <w:t>60%</w:t>
            </w:r>
          </w:p>
        </w:tc>
        <w:tc>
          <w:tcPr>
            <w:tcW w:w="494" w:type="pct"/>
            <w:tcBorders>
              <w:top w:val="nil"/>
              <w:left w:val="nil"/>
              <w:bottom w:val="single" w:sz="4" w:space="0" w:color="auto"/>
              <w:right w:val="single" w:sz="4" w:space="0" w:color="auto"/>
            </w:tcBorders>
            <w:shd w:val="clear" w:color="auto" w:fill="auto"/>
            <w:noWrap/>
            <w:vAlign w:val="bottom"/>
            <w:hideMark/>
          </w:tcPr>
          <w:p w14:paraId="6D86546D" w14:textId="77777777" w:rsidR="001B3DE0" w:rsidRPr="00937BAB" w:rsidRDefault="001B3DE0" w:rsidP="002A25F0">
            <w:pPr>
              <w:keepNext/>
              <w:jc w:val="right"/>
              <w:rPr>
                <w:b/>
                <w:color w:val="000000"/>
              </w:rPr>
            </w:pPr>
            <w:r w:rsidRPr="00937BAB">
              <w:rPr>
                <w:b/>
                <w:color w:val="000000"/>
              </w:rPr>
              <w:t>65%</w:t>
            </w:r>
          </w:p>
        </w:tc>
        <w:tc>
          <w:tcPr>
            <w:tcW w:w="494" w:type="pct"/>
            <w:tcBorders>
              <w:top w:val="nil"/>
              <w:left w:val="nil"/>
              <w:bottom w:val="single" w:sz="4" w:space="0" w:color="auto"/>
              <w:right w:val="single" w:sz="4" w:space="0" w:color="auto"/>
            </w:tcBorders>
            <w:shd w:val="clear" w:color="auto" w:fill="auto"/>
            <w:noWrap/>
            <w:vAlign w:val="bottom"/>
            <w:hideMark/>
          </w:tcPr>
          <w:p w14:paraId="5561D15F" w14:textId="77777777" w:rsidR="001B3DE0" w:rsidRPr="00937BAB" w:rsidRDefault="001B3DE0" w:rsidP="002A25F0">
            <w:pPr>
              <w:keepNext/>
              <w:jc w:val="right"/>
              <w:rPr>
                <w:b/>
                <w:color w:val="000000"/>
              </w:rPr>
            </w:pPr>
            <w:r w:rsidRPr="00937BAB">
              <w:rPr>
                <w:b/>
                <w:color w:val="000000"/>
              </w:rPr>
              <w:t>70%</w:t>
            </w:r>
          </w:p>
        </w:tc>
        <w:tc>
          <w:tcPr>
            <w:tcW w:w="494" w:type="pct"/>
            <w:tcBorders>
              <w:top w:val="nil"/>
              <w:left w:val="nil"/>
              <w:bottom w:val="single" w:sz="4" w:space="0" w:color="auto"/>
              <w:right w:val="single" w:sz="4" w:space="0" w:color="auto"/>
            </w:tcBorders>
            <w:shd w:val="clear" w:color="auto" w:fill="auto"/>
            <w:noWrap/>
            <w:vAlign w:val="bottom"/>
            <w:hideMark/>
          </w:tcPr>
          <w:p w14:paraId="24A9FDCF" w14:textId="77777777" w:rsidR="001B3DE0" w:rsidRPr="00937BAB" w:rsidRDefault="001B3DE0" w:rsidP="002A25F0">
            <w:pPr>
              <w:keepNext/>
              <w:jc w:val="right"/>
              <w:rPr>
                <w:b/>
                <w:color w:val="000000"/>
              </w:rPr>
            </w:pPr>
            <w:r w:rsidRPr="00937BAB">
              <w:rPr>
                <w:b/>
                <w:color w:val="000000"/>
              </w:rPr>
              <w:t>75%</w:t>
            </w:r>
          </w:p>
        </w:tc>
      </w:tr>
      <w:tr w:rsidR="001B3DE0" w:rsidRPr="00937BAB" w14:paraId="753A62FC" w14:textId="77777777" w:rsidTr="00680945">
        <w:trPr>
          <w:trHeight w:val="300"/>
        </w:trPr>
        <w:tc>
          <w:tcPr>
            <w:tcW w:w="2078" w:type="pct"/>
            <w:tcBorders>
              <w:top w:val="nil"/>
              <w:left w:val="single" w:sz="4" w:space="0" w:color="auto"/>
              <w:bottom w:val="single" w:sz="4" w:space="0" w:color="auto"/>
              <w:right w:val="single" w:sz="4" w:space="0" w:color="auto"/>
            </w:tcBorders>
            <w:shd w:val="clear" w:color="auto" w:fill="auto"/>
            <w:noWrap/>
            <w:vAlign w:val="bottom"/>
            <w:hideMark/>
          </w:tcPr>
          <w:p w14:paraId="059604A2" w14:textId="77777777" w:rsidR="001B3DE0" w:rsidRPr="00937BAB" w:rsidRDefault="001B3DE0" w:rsidP="002A25F0">
            <w:pPr>
              <w:keepNext/>
              <w:rPr>
                <w:color w:val="000000"/>
              </w:rPr>
            </w:pPr>
            <w:r w:rsidRPr="00937BAB">
              <w:rPr>
                <w:color w:val="000000"/>
              </w:rPr>
              <w:t>4%</w:t>
            </w:r>
          </w:p>
        </w:tc>
        <w:tc>
          <w:tcPr>
            <w:tcW w:w="945" w:type="pct"/>
            <w:tcBorders>
              <w:top w:val="nil"/>
              <w:left w:val="nil"/>
              <w:bottom w:val="single" w:sz="4" w:space="0" w:color="auto"/>
              <w:right w:val="single" w:sz="4" w:space="0" w:color="auto"/>
            </w:tcBorders>
            <w:shd w:val="clear" w:color="auto" w:fill="auto"/>
            <w:noWrap/>
            <w:vAlign w:val="bottom"/>
            <w:hideMark/>
          </w:tcPr>
          <w:p w14:paraId="673C6D5A" w14:textId="77777777" w:rsidR="001B3DE0" w:rsidRPr="00937BAB" w:rsidRDefault="001B3DE0" w:rsidP="002A25F0">
            <w:pPr>
              <w:keepNext/>
              <w:jc w:val="right"/>
              <w:rPr>
                <w:color w:val="000000"/>
              </w:rPr>
            </w:pPr>
            <w:r w:rsidRPr="00937BAB">
              <w:rPr>
                <w:color w:val="000000"/>
              </w:rPr>
              <w:t>0.5%</w:t>
            </w:r>
          </w:p>
        </w:tc>
        <w:tc>
          <w:tcPr>
            <w:tcW w:w="495" w:type="pct"/>
            <w:tcBorders>
              <w:top w:val="nil"/>
              <w:left w:val="nil"/>
              <w:bottom w:val="single" w:sz="4" w:space="0" w:color="auto"/>
              <w:right w:val="single" w:sz="4" w:space="0" w:color="auto"/>
            </w:tcBorders>
            <w:shd w:val="clear" w:color="auto" w:fill="auto"/>
            <w:noWrap/>
            <w:vAlign w:val="bottom"/>
            <w:hideMark/>
          </w:tcPr>
          <w:p w14:paraId="143BFFDF" w14:textId="77777777" w:rsidR="001B3DE0" w:rsidRPr="00937BAB" w:rsidRDefault="001B3DE0" w:rsidP="002A25F0">
            <w:pPr>
              <w:keepNext/>
              <w:jc w:val="right"/>
              <w:rPr>
                <w:color w:val="000000"/>
              </w:rPr>
            </w:pPr>
            <w:r w:rsidRPr="00937BAB">
              <w:rPr>
                <w:color w:val="000000"/>
              </w:rPr>
              <w:t>0.5%</w:t>
            </w:r>
          </w:p>
        </w:tc>
        <w:tc>
          <w:tcPr>
            <w:tcW w:w="494" w:type="pct"/>
            <w:tcBorders>
              <w:top w:val="nil"/>
              <w:left w:val="nil"/>
              <w:bottom w:val="single" w:sz="4" w:space="0" w:color="auto"/>
              <w:right w:val="single" w:sz="4" w:space="0" w:color="auto"/>
            </w:tcBorders>
            <w:shd w:val="clear" w:color="auto" w:fill="auto"/>
            <w:noWrap/>
            <w:vAlign w:val="bottom"/>
            <w:hideMark/>
          </w:tcPr>
          <w:p w14:paraId="5CD3D03F" w14:textId="77777777" w:rsidR="001B3DE0" w:rsidRPr="00937BAB" w:rsidRDefault="001B3DE0" w:rsidP="002A25F0">
            <w:pPr>
              <w:keepNext/>
              <w:jc w:val="right"/>
              <w:rPr>
                <w:color w:val="000000"/>
              </w:rPr>
            </w:pPr>
            <w:r w:rsidRPr="00937BAB">
              <w:rPr>
                <w:color w:val="000000"/>
              </w:rPr>
              <w:t>0.4%</w:t>
            </w:r>
          </w:p>
        </w:tc>
        <w:tc>
          <w:tcPr>
            <w:tcW w:w="494" w:type="pct"/>
            <w:tcBorders>
              <w:top w:val="nil"/>
              <w:left w:val="nil"/>
              <w:bottom w:val="single" w:sz="4" w:space="0" w:color="auto"/>
              <w:right w:val="single" w:sz="4" w:space="0" w:color="auto"/>
            </w:tcBorders>
            <w:shd w:val="clear" w:color="auto" w:fill="auto"/>
            <w:noWrap/>
            <w:vAlign w:val="bottom"/>
            <w:hideMark/>
          </w:tcPr>
          <w:p w14:paraId="44E8F09B" w14:textId="77777777" w:rsidR="001B3DE0" w:rsidRPr="00937BAB" w:rsidRDefault="001B3DE0" w:rsidP="002A25F0">
            <w:pPr>
              <w:keepNext/>
              <w:jc w:val="right"/>
              <w:rPr>
                <w:color w:val="000000"/>
              </w:rPr>
            </w:pPr>
            <w:r w:rsidRPr="00937BAB">
              <w:rPr>
                <w:color w:val="000000"/>
              </w:rPr>
              <w:t>0.4%</w:t>
            </w:r>
          </w:p>
        </w:tc>
        <w:tc>
          <w:tcPr>
            <w:tcW w:w="494" w:type="pct"/>
            <w:tcBorders>
              <w:top w:val="nil"/>
              <w:left w:val="nil"/>
              <w:bottom w:val="single" w:sz="4" w:space="0" w:color="auto"/>
              <w:right w:val="single" w:sz="4" w:space="0" w:color="auto"/>
            </w:tcBorders>
            <w:shd w:val="clear" w:color="auto" w:fill="auto"/>
            <w:noWrap/>
            <w:vAlign w:val="bottom"/>
            <w:hideMark/>
          </w:tcPr>
          <w:p w14:paraId="37633D7B" w14:textId="77777777" w:rsidR="001B3DE0" w:rsidRPr="00937BAB" w:rsidRDefault="001B3DE0" w:rsidP="002A25F0">
            <w:pPr>
              <w:keepNext/>
              <w:jc w:val="right"/>
              <w:rPr>
                <w:color w:val="000000"/>
              </w:rPr>
            </w:pPr>
            <w:r w:rsidRPr="00937BAB">
              <w:rPr>
                <w:color w:val="000000"/>
              </w:rPr>
              <w:t>0.4%</w:t>
            </w:r>
          </w:p>
        </w:tc>
      </w:tr>
      <w:tr w:rsidR="001B3DE0" w:rsidRPr="00937BAB" w14:paraId="57E2CC51" w14:textId="77777777" w:rsidTr="00680945">
        <w:trPr>
          <w:trHeight w:val="300"/>
        </w:trPr>
        <w:tc>
          <w:tcPr>
            <w:tcW w:w="2078" w:type="pct"/>
            <w:tcBorders>
              <w:top w:val="nil"/>
              <w:left w:val="single" w:sz="4" w:space="0" w:color="auto"/>
              <w:bottom w:val="single" w:sz="4" w:space="0" w:color="auto"/>
              <w:right w:val="single" w:sz="4" w:space="0" w:color="auto"/>
            </w:tcBorders>
            <w:shd w:val="clear" w:color="auto" w:fill="auto"/>
            <w:noWrap/>
            <w:vAlign w:val="bottom"/>
            <w:hideMark/>
          </w:tcPr>
          <w:p w14:paraId="5BF44C70" w14:textId="77777777" w:rsidR="001B3DE0" w:rsidRPr="00937BAB" w:rsidRDefault="001B3DE0" w:rsidP="002A25F0">
            <w:pPr>
              <w:keepNext/>
              <w:rPr>
                <w:color w:val="000000"/>
              </w:rPr>
            </w:pPr>
            <w:r w:rsidRPr="00937BAB">
              <w:rPr>
                <w:color w:val="000000"/>
              </w:rPr>
              <w:t>10%</w:t>
            </w:r>
          </w:p>
        </w:tc>
        <w:tc>
          <w:tcPr>
            <w:tcW w:w="945" w:type="pct"/>
            <w:tcBorders>
              <w:top w:val="nil"/>
              <w:left w:val="nil"/>
              <w:bottom w:val="single" w:sz="4" w:space="0" w:color="auto"/>
              <w:right w:val="single" w:sz="4" w:space="0" w:color="auto"/>
            </w:tcBorders>
            <w:shd w:val="clear" w:color="auto" w:fill="auto"/>
            <w:noWrap/>
            <w:vAlign w:val="bottom"/>
            <w:hideMark/>
          </w:tcPr>
          <w:p w14:paraId="46255E4C" w14:textId="77777777" w:rsidR="001B3DE0" w:rsidRPr="00937BAB" w:rsidRDefault="001B3DE0" w:rsidP="002A25F0">
            <w:pPr>
              <w:keepNext/>
              <w:jc w:val="right"/>
              <w:rPr>
                <w:color w:val="000000"/>
              </w:rPr>
            </w:pPr>
            <w:r w:rsidRPr="00937BAB">
              <w:rPr>
                <w:color w:val="000000"/>
              </w:rPr>
              <w:t>1.2%</w:t>
            </w:r>
          </w:p>
        </w:tc>
        <w:tc>
          <w:tcPr>
            <w:tcW w:w="495" w:type="pct"/>
            <w:tcBorders>
              <w:top w:val="nil"/>
              <w:left w:val="nil"/>
              <w:bottom w:val="single" w:sz="4" w:space="0" w:color="auto"/>
              <w:right w:val="single" w:sz="4" w:space="0" w:color="auto"/>
            </w:tcBorders>
            <w:shd w:val="clear" w:color="auto" w:fill="auto"/>
            <w:noWrap/>
            <w:vAlign w:val="bottom"/>
            <w:hideMark/>
          </w:tcPr>
          <w:p w14:paraId="229F5BE2" w14:textId="77777777" w:rsidR="001B3DE0" w:rsidRPr="00937BAB" w:rsidRDefault="001B3DE0" w:rsidP="002A25F0">
            <w:pPr>
              <w:keepNext/>
              <w:jc w:val="right"/>
              <w:rPr>
                <w:color w:val="000000"/>
              </w:rPr>
            </w:pPr>
            <w:r w:rsidRPr="00937BAB">
              <w:rPr>
                <w:color w:val="000000"/>
              </w:rPr>
              <w:t>1.1%</w:t>
            </w:r>
          </w:p>
        </w:tc>
        <w:tc>
          <w:tcPr>
            <w:tcW w:w="494" w:type="pct"/>
            <w:tcBorders>
              <w:top w:val="nil"/>
              <w:left w:val="nil"/>
              <w:bottom w:val="single" w:sz="4" w:space="0" w:color="auto"/>
              <w:right w:val="single" w:sz="4" w:space="0" w:color="auto"/>
            </w:tcBorders>
            <w:shd w:val="clear" w:color="auto" w:fill="auto"/>
            <w:noWrap/>
            <w:vAlign w:val="bottom"/>
            <w:hideMark/>
          </w:tcPr>
          <w:p w14:paraId="5694B183" w14:textId="77777777" w:rsidR="001B3DE0" w:rsidRPr="00937BAB" w:rsidRDefault="001B3DE0" w:rsidP="002A25F0">
            <w:pPr>
              <w:keepNext/>
              <w:jc w:val="right"/>
              <w:rPr>
                <w:color w:val="000000"/>
              </w:rPr>
            </w:pPr>
            <w:r w:rsidRPr="00937BAB">
              <w:rPr>
                <w:color w:val="000000"/>
              </w:rPr>
              <w:t>1.1%</w:t>
            </w:r>
          </w:p>
        </w:tc>
        <w:tc>
          <w:tcPr>
            <w:tcW w:w="494" w:type="pct"/>
            <w:tcBorders>
              <w:top w:val="nil"/>
              <w:left w:val="nil"/>
              <w:bottom w:val="single" w:sz="4" w:space="0" w:color="auto"/>
              <w:right w:val="single" w:sz="4" w:space="0" w:color="auto"/>
            </w:tcBorders>
            <w:shd w:val="clear" w:color="auto" w:fill="auto"/>
            <w:noWrap/>
            <w:vAlign w:val="bottom"/>
            <w:hideMark/>
          </w:tcPr>
          <w:p w14:paraId="216AC236" w14:textId="77777777" w:rsidR="001B3DE0" w:rsidRPr="00937BAB" w:rsidRDefault="001B3DE0" w:rsidP="002A25F0">
            <w:pPr>
              <w:keepNext/>
              <w:jc w:val="right"/>
              <w:rPr>
                <w:color w:val="000000"/>
              </w:rPr>
            </w:pPr>
            <w:r w:rsidRPr="00937BAB">
              <w:rPr>
                <w:color w:val="000000"/>
              </w:rPr>
              <w:t>1.0%</w:t>
            </w:r>
          </w:p>
        </w:tc>
        <w:tc>
          <w:tcPr>
            <w:tcW w:w="494" w:type="pct"/>
            <w:tcBorders>
              <w:top w:val="nil"/>
              <w:left w:val="nil"/>
              <w:bottom w:val="single" w:sz="4" w:space="0" w:color="auto"/>
              <w:right w:val="single" w:sz="4" w:space="0" w:color="auto"/>
            </w:tcBorders>
            <w:shd w:val="clear" w:color="auto" w:fill="auto"/>
            <w:noWrap/>
            <w:vAlign w:val="bottom"/>
            <w:hideMark/>
          </w:tcPr>
          <w:p w14:paraId="17A9605F" w14:textId="77777777" w:rsidR="001B3DE0" w:rsidRPr="00937BAB" w:rsidRDefault="001B3DE0" w:rsidP="002A25F0">
            <w:pPr>
              <w:keepNext/>
              <w:jc w:val="right"/>
              <w:rPr>
                <w:color w:val="000000"/>
              </w:rPr>
            </w:pPr>
            <w:r w:rsidRPr="00937BAB">
              <w:rPr>
                <w:color w:val="000000"/>
              </w:rPr>
              <w:t>0.9%</w:t>
            </w:r>
          </w:p>
        </w:tc>
      </w:tr>
      <w:tr w:rsidR="001B3DE0" w:rsidRPr="00937BAB" w14:paraId="333A36EE" w14:textId="77777777" w:rsidTr="00680945">
        <w:trPr>
          <w:trHeight w:val="300"/>
        </w:trPr>
        <w:tc>
          <w:tcPr>
            <w:tcW w:w="2078" w:type="pct"/>
            <w:tcBorders>
              <w:top w:val="nil"/>
              <w:left w:val="single" w:sz="4" w:space="0" w:color="auto"/>
              <w:bottom w:val="single" w:sz="4" w:space="0" w:color="auto"/>
              <w:right w:val="single" w:sz="4" w:space="0" w:color="auto"/>
            </w:tcBorders>
            <w:shd w:val="clear" w:color="auto" w:fill="auto"/>
            <w:noWrap/>
            <w:vAlign w:val="bottom"/>
            <w:hideMark/>
          </w:tcPr>
          <w:p w14:paraId="32C514EC" w14:textId="77777777" w:rsidR="001B3DE0" w:rsidRPr="00937BAB" w:rsidRDefault="001B3DE0" w:rsidP="002A25F0">
            <w:pPr>
              <w:keepNext/>
              <w:rPr>
                <w:color w:val="000000"/>
              </w:rPr>
            </w:pPr>
            <w:r w:rsidRPr="00937BAB">
              <w:rPr>
                <w:color w:val="000000"/>
              </w:rPr>
              <w:t>15%</w:t>
            </w:r>
          </w:p>
        </w:tc>
        <w:tc>
          <w:tcPr>
            <w:tcW w:w="945" w:type="pct"/>
            <w:tcBorders>
              <w:top w:val="nil"/>
              <w:left w:val="nil"/>
              <w:bottom w:val="single" w:sz="4" w:space="0" w:color="auto"/>
              <w:right w:val="single" w:sz="4" w:space="0" w:color="auto"/>
            </w:tcBorders>
            <w:shd w:val="clear" w:color="auto" w:fill="auto"/>
            <w:noWrap/>
            <w:vAlign w:val="bottom"/>
            <w:hideMark/>
          </w:tcPr>
          <w:p w14:paraId="4DC05EE0" w14:textId="77777777" w:rsidR="001B3DE0" w:rsidRPr="00937BAB" w:rsidRDefault="001B3DE0" w:rsidP="002A25F0">
            <w:pPr>
              <w:keepNext/>
              <w:jc w:val="right"/>
              <w:rPr>
                <w:color w:val="000000"/>
              </w:rPr>
            </w:pPr>
            <w:r w:rsidRPr="00937BAB">
              <w:rPr>
                <w:color w:val="000000"/>
              </w:rPr>
              <w:t>1.8%</w:t>
            </w:r>
          </w:p>
        </w:tc>
        <w:tc>
          <w:tcPr>
            <w:tcW w:w="495" w:type="pct"/>
            <w:tcBorders>
              <w:top w:val="nil"/>
              <w:left w:val="nil"/>
              <w:bottom w:val="single" w:sz="4" w:space="0" w:color="auto"/>
              <w:right w:val="single" w:sz="4" w:space="0" w:color="auto"/>
            </w:tcBorders>
            <w:shd w:val="clear" w:color="auto" w:fill="auto"/>
            <w:noWrap/>
            <w:vAlign w:val="bottom"/>
            <w:hideMark/>
          </w:tcPr>
          <w:p w14:paraId="6804999B" w14:textId="77777777" w:rsidR="001B3DE0" w:rsidRPr="00937BAB" w:rsidRDefault="001B3DE0" w:rsidP="002A25F0">
            <w:pPr>
              <w:keepNext/>
              <w:jc w:val="right"/>
              <w:rPr>
                <w:color w:val="000000"/>
              </w:rPr>
            </w:pPr>
            <w:r w:rsidRPr="00937BAB">
              <w:rPr>
                <w:color w:val="000000"/>
              </w:rPr>
              <w:t>1.7%</w:t>
            </w:r>
          </w:p>
        </w:tc>
        <w:tc>
          <w:tcPr>
            <w:tcW w:w="494" w:type="pct"/>
            <w:tcBorders>
              <w:top w:val="nil"/>
              <w:left w:val="nil"/>
              <w:bottom w:val="single" w:sz="4" w:space="0" w:color="auto"/>
              <w:right w:val="single" w:sz="4" w:space="0" w:color="auto"/>
            </w:tcBorders>
            <w:shd w:val="clear" w:color="auto" w:fill="auto"/>
            <w:noWrap/>
            <w:vAlign w:val="bottom"/>
            <w:hideMark/>
          </w:tcPr>
          <w:p w14:paraId="1385AE2C" w14:textId="77777777" w:rsidR="001B3DE0" w:rsidRPr="00937BAB" w:rsidRDefault="001B3DE0" w:rsidP="002A25F0">
            <w:pPr>
              <w:keepNext/>
              <w:jc w:val="right"/>
              <w:rPr>
                <w:color w:val="000000"/>
              </w:rPr>
            </w:pPr>
            <w:r w:rsidRPr="00937BAB">
              <w:rPr>
                <w:color w:val="000000"/>
              </w:rPr>
              <w:t>1.6%</w:t>
            </w:r>
          </w:p>
        </w:tc>
        <w:tc>
          <w:tcPr>
            <w:tcW w:w="494" w:type="pct"/>
            <w:tcBorders>
              <w:top w:val="nil"/>
              <w:left w:val="nil"/>
              <w:bottom w:val="single" w:sz="4" w:space="0" w:color="auto"/>
              <w:right w:val="single" w:sz="4" w:space="0" w:color="auto"/>
            </w:tcBorders>
            <w:shd w:val="clear" w:color="auto" w:fill="auto"/>
            <w:noWrap/>
            <w:vAlign w:val="bottom"/>
            <w:hideMark/>
          </w:tcPr>
          <w:p w14:paraId="0A777FD1" w14:textId="77777777" w:rsidR="001B3DE0" w:rsidRPr="00937BAB" w:rsidRDefault="001B3DE0" w:rsidP="002A25F0">
            <w:pPr>
              <w:keepNext/>
              <w:jc w:val="right"/>
              <w:rPr>
                <w:color w:val="000000"/>
              </w:rPr>
            </w:pPr>
            <w:r w:rsidRPr="00937BAB">
              <w:rPr>
                <w:color w:val="000000"/>
              </w:rPr>
              <w:t>1.5%</w:t>
            </w:r>
          </w:p>
        </w:tc>
        <w:tc>
          <w:tcPr>
            <w:tcW w:w="494" w:type="pct"/>
            <w:tcBorders>
              <w:top w:val="nil"/>
              <w:left w:val="nil"/>
              <w:bottom w:val="single" w:sz="4" w:space="0" w:color="auto"/>
              <w:right w:val="single" w:sz="4" w:space="0" w:color="auto"/>
            </w:tcBorders>
            <w:shd w:val="clear" w:color="auto" w:fill="auto"/>
            <w:noWrap/>
            <w:vAlign w:val="bottom"/>
            <w:hideMark/>
          </w:tcPr>
          <w:p w14:paraId="256F2063" w14:textId="77777777" w:rsidR="001B3DE0" w:rsidRPr="00937BAB" w:rsidRDefault="001B3DE0" w:rsidP="002A25F0">
            <w:pPr>
              <w:keepNext/>
              <w:jc w:val="right"/>
              <w:rPr>
                <w:color w:val="000000"/>
              </w:rPr>
            </w:pPr>
            <w:r w:rsidRPr="00937BAB">
              <w:rPr>
                <w:color w:val="000000"/>
              </w:rPr>
              <w:t>1.4%</w:t>
            </w:r>
          </w:p>
        </w:tc>
      </w:tr>
      <w:tr w:rsidR="001B3DE0" w:rsidRPr="00937BAB" w14:paraId="1905144D" w14:textId="77777777" w:rsidTr="00680945">
        <w:trPr>
          <w:trHeight w:val="300"/>
        </w:trPr>
        <w:tc>
          <w:tcPr>
            <w:tcW w:w="2078" w:type="pct"/>
            <w:tcBorders>
              <w:top w:val="nil"/>
              <w:left w:val="single" w:sz="4" w:space="0" w:color="auto"/>
              <w:bottom w:val="single" w:sz="4" w:space="0" w:color="auto"/>
              <w:right w:val="single" w:sz="4" w:space="0" w:color="auto"/>
            </w:tcBorders>
            <w:shd w:val="clear" w:color="auto" w:fill="auto"/>
            <w:noWrap/>
            <w:vAlign w:val="bottom"/>
            <w:hideMark/>
          </w:tcPr>
          <w:p w14:paraId="5B5A0E71" w14:textId="77777777" w:rsidR="001B3DE0" w:rsidRPr="00937BAB" w:rsidRDefault="001B3DE0" w:rsidP="002A25F0">
            <w:pPr>
              <w:keepNext/>
              <w:rPr>
                <w:color w:val="000000"/>
              </w:rPr>
            </w:pPr>
            <w:r w:rsidRPr="00937BAB">
              <w:rPr>
                <w:color w:val="000000"/>
              </w:rPr>
              <w:t>20%</w:t>
            </w:r>
          </w:p>
        </w:tc>
        <w:tc>
          <w:tcPr>
            <w:tcW w:w="945" w:type="pct"/>
            <w:tcBorders>
              <w:top w:val="nil"/>
              <w:left w:val="nil"/>
              <w:bottom w:val="single" w:sz="4" w:space="0" w:color="auto"/>
              <w:right w:val="single" w:sz="4" w:space="0" w:color="auto"/>
            </w:tcBorders>
            <w:shd w:val="clear" w:color="auto" w:fill="auto"/>
            <w:noWrap/>
            <w:vAlign w:val="bottom"/>
            <w:hideMark/>
          </w:tcPr>
          <w:p w14:paraId="28E8F7EB" w14:textId="77777777" w:rsidR="001B3DE0" w:rsidRPr="00937BAB" w:rsidRDefault="001B3DE0" w:rsidP="002A25F0">
            <w:pPr>
              <w:keepNext/>
              <w:jc w:val="right"/>
              <w:rPr>
                <w:color w:val="000000"/>
              </w:rPr>
            </w:pPr>
            <w:r w:rsidRPr="00937BAB">
              <w:rPr>
                <w:color w:val="000000"/>
              </w:rPr>
              <w:t>2.4%</w:t>
            </w:r>
          </w:p>
        </w:tc>
        <w:tc>
          <w:tcPr>
            <w:tcW w:w="495" w:type="pct"/>
            <w:tcBorders>
              <w:top w:val="nil"/>
              <w:left w:val="nil"/>
              <w:bottom w:val="single" w:sz="4" w:space="0" w:color="auto"/>
              <w:right w:val="single" w:sz="4" w:space="0" w:color="auto"/>
            </w:tcBorders>
            <w:shd w:val="clear" w:color="auto" w:fill="auto"/>
            <w:noWrap/>
            <w:vAlign w:val="bottom"/>
            <w:hideMark/>
          </w:tcPr>
          <w:p w14:paraId="0C7BB74F" w14:textId="77777777" w:rsidR="001B3DE0" w:rsidRPr="00937BAB" w:rsidRDefault="001B3DE0" w:rsidP="002A25F0">
            <w:pPr>
              <w:keepNext/>
              <w:jc w:val="right"/>
              <w:rPr>
                <w:color w:val="000000"/>
              </w:rPr>
            </w:pPr>
            <w:r w:rsidRPr="00937BAB">
              <w:rPr>
                <w:color w:val="000000"/>
              </w:rPr>
              <w:t>2.2%</w:t>
            </w:r>
          </w:p>
        </w:tc>
        <w:tc>
          <w:tcPr>
            <w:tcW w:w="494" w:type="pct"/>
            <w:tcBorders>
              <w:top w:val="nil"/>
              <w:left w:val="nil"/>
              <w:bottom w:val="single" w:sz="4" w:space="0" w:color="auto"/>
              <w:right w:val="single" w:sz="4" w:space="0" w:color="auto"/>
            </w:tcBorders>
            <w:shd w:val="clear" w:color="auto" w:fill="auto"/>
            <w:noWrap/>
            <w:vAlign w:val="bottom"/>
            <w:hideMark/>
          </w:tcPr>
          <w:p w14:paraId="01340960" w14:textId="77777777" w:rsidR="001B3DE0" w:rsidRPr="00937BAB" w:rsidRDefault="001B3DE0" w:rsidP="002A25F0">
            <w:pPr>
              <w:keepNext/>
              <w:jc w:val="right"/>
              <w:rPr>
                <w:color w:val="000000"/>
              </w:rPr>
            </w:pPr>
            <w:r w:rsidRPr="00937BAB">
              <w:rPr>
                <w:color w:val="000000"/>
              </w:rPr>
              <w:t>2.1%</w:t>
            </w:r>
          </w:p>
        </w:tc>
        <w:tc>
          <w:tcPr>
            <w:tcW w:w="494" w:type="pct"/>
            <w:tcBorders>
              <w:top w:val="nil"/>
              <w:left w:val="nil"/>
              <w:bottom w:val="single" w:sz="4" w:space="0" w:color="auto"/>
              <w:right w:val="single" w:sz="4" w:space="0" w:color="auto"/>
            </w:tcBorders>
            <w:shd w:val="clear" w:color="auto" w:fill="auto"/>
            <w:noWrap/>
            <w:vAlign w:val="bottom"/>
            <w:hideMark/>
          </w:tcPr>
          <w:p w14:paraId="445859C7" w14:textId="77777777" w:rsidR="001B3DE0" w:rsidRPr="00937BAB" w:rsidRDefault="001B3DE0" w:rsidP="002A25F0">
            <w:pPr>
              <w:keepNext/>
              <w:jc w:val="right"/>
              <w:rPr>
                <w:color w:val="000000"/>
              </w:rPr>
            </w:pPr>
            <w:r w:rsidRPr="00937BAB">
              <w:rPr>
                <w:color w:val="000000"/>
              </w:rPr>
              <w:t>1.9%</w:t>
            </w:r>
          </w:p>
        </w:tc>
        <w:tc>
          <w:tcPr>
            <w:tcW w:w="494" w:type="pct"/>
            <w:tcBorders>
              <w:top w:val="nil"/>
              <w:left w:val="nil"/>
              <w:bottom w:val="single" w:sz="4" w:space="0" w:color="auto"/>
              <w:right w:val="single" w:sz="4" w:space="0" w:color="auto"/>
            </w:tcBorders>
            <w:shd w:val="clear" w:color="auto" w:fill="auto"/>
            <w:noWrap/>
            <w:vAlign w:val="bottom"/>
            <w:hideMark/>
          </w:tcPr>
          <w:p w14:paraId="0C790016" w14:textId="77777777" w:rsidR="001B3DE0" w:rsidRPr="00937BAB" w:rsidRDefault="001B3DE0" w:rsidP="002A25F0">
            <w:pPr>
              <w:keepNext/>
              <w:jc w:val="right"/>
              <w:rPr>
                <w:color w:val="000000"/>
              </w:rPr>
            </w:pPr>
            <w:r w:rsidRPr="00937BAB">
              <w:rPr>
                <w:color w:val="000000"/>
              </w:rPr>
              <w:t>1.8%</w:t>
            </w:r>
          </w:p>
        </w:tc>
      </w:tr>
      <w:tr w:rsidR="001B3DE0" w:rsidRPr="00937BAB" w14:paraId="4C629E06" w14:textId="77777777" w:rsidTr="00680945">
        <w:trPr>
          <w:trHeight w:val="300"/>
        </w:trPr>
        <w:tc>
          <w:tcPr>
            <w:tcW w:w="2078" w:type="pct"/>
            <w:tcBorders>
              <w:top w:val="nil"/>
              <w:left w:val="single" w:sz="4" w:space="0" w:color="auto"/>
              <w:bottom w:val="single" w:sz="4" w:space="0" w:color="auto"/>
              <w:right w:val="single" w:sz="4" w:space="0" w:color="auto"/>
            </w:tcBorders>
            <w:shd w:val="clear" w:color="auto" w:fill="auto"/>
            <w:noWrap/>
            <w:vAlign w:val="bottom"/>
            <w:hideMark/>
          </w:tcPr>
          <w:p w14:paraId="72E88C4F" w14:textId="77777777" w:rsidR="001B3DE0" w:rsidRPr="00937BAB" w:rsidRDefault="001B3DE0" w:rsidP="002A25F0">
            <w:pPr>
              <w:keepNext/>
              <w:rPr>
                <w:color w:val="000000"/>
              </w:rPr>
            </w:pPr>
            <w:r w:rsidRPr="00937BAB">
              <w:rPr>
                <w:color w:val="000000"/>
              </w:rPr>
              <w:t>25%</w:t>
            </w:r>
          </w:p>
        </w:tc>
        <w:tc>
          <w:tcPr>
            <w:tcW w:w="945" w:type="pct"/>
            <w:tcBorders>
              <w:top w:val="nil"/>
              <w:left w:val="nil"/>
              <w:bottom w:val="single" w:sz="4" w:space="0" w:color="auto"/>
              <w:right w:val="single" w:sz="4" w:space="0" w:color="auto"/>
            </w:tcBorders>
            <w:shd w:val="clear" w:color="auto" w:fill="auto"/>
            <w:noWrap/>
            <w:vAlign w:val="bottom"/>
            <w:hideMark/>
          </w:tcPr>
          <w:p w14:paraId="5E5BB7B2" w14:textId="77777777" w:rsidR="001B3DE0" w:rsidRPr="00937BAB" w:rsidRDefault="001B3DE0" w:rsidP="002A25F0">
            <w:pPr>
              <w:keepNext/>
              <w:jc w:val="right"/>
              <w:rPr>
                <w:color w:val="000000"/>
              </w:rPr>
            </w:pPr>
            <w:r w:rsidRPr="00937BAB">
              <w:rPr>
                <w:color w:val="000000"/>
              </w:rPr>
              <w:t>3.0%</w:t>
            </w:r>
          </w:p>
        </w:tc>
        <w:tc>
          <w:tcPr>
            <w:tcW w:w="495" w:type="pct"/>
            <w:tcBorders>
              <w:top w:val="nil"/>
              <w:left w:val="nil"/>
              <w:bottom w:val="single" w:sz="4" w:space="0" w:color="auto"/>
              <w:right w:val="single" w:sz="4" w:space="0" w:color="auto"/>
            </w:tcBorders>
            <w:shd w:val="clear" w:color="auto" w:fill="auto"/>
            <w:noWrap/>
            <w:vAlign w:val="bottom"/>
            <w:hideMark/>
          </w:tcPr>
          <w:p w14:paraId="7FA31162" w14:textId="77777777" w:rsidR="001B3DE0" w:rsidRPr="00937BAB" w:rsidRDefault="001B3DE0" w:rsidP="002A25F0">
            <w:pPr>
              <w:keepNext/>
              <w:jc w:val="right"/>
              <w:rPr>
                <w:color w:val="000000"/>
              </w:rPr>
            </w:pPr>
            <w:r w:rsidRPr="00937BAB">
              <w:rPr>
                <w:color w:val="000000"/>
              </w:rPr>
              <w:t>2.8%</w:t>
            </w:r>
          </w:p>
        </w:tc>
        <w:tc>
          <w:tcPr>
            <w:tcW w:w="494" w:type="pct"/>
            <w:tcBorders>
              <w:top w:val="nil"/>
              <w:left w:val="nil"/>
              <w:bottom w:val="single" w:sz="4" w:space="0" w:color="auto"/>
              <w:right w:val="single" w:sz="4" w:space="0" w:color="auto"/>
            </w:tcBorders>
            <w:shd w:val="clear" w:color="auto" w:fill="auto"/>
            <w:noWrap/>
            <w:vAlign w:val="bottom"/>
            <w:hideMark/>
          </w:tcPr>
          <w:p w14:paraId="2DDEE81F" w14:textId="77777777" w:rsidR="001B3DE0" w:rsidRPr="00937BAB" w:rsidRDefault="001B3DE0" w:rsidP="002A25F0">
            <w:pPr>
              <w:keepNext/>
              <w:jc w:val="right"/>
              <w:rPr>
                <w:color w:val="000000"/>
              </w:rPr>
            </w:pPr>
            <w:r w:rsidRPr="00937BAB">
              <w:rPr>
                <w:color w:val="000000"/>
              </w:rPr>
              <w:t>2.6%</w:t>
            </w:r>
          </w:p>
        </w:tc>
        <w:tc>
          <w:tcPr>
            <w:tcW w:w="494" w:type="pct"/>
            <w:tcBorders>
              <w:top w:val="nil"/>
              <w:left w:val="nil"/>
              <w:bottom w:val="single" w:sz="4" w:space="0" w:color="auto"/>
              <w:right w:val="single" w:sz="4" w:space="0" w:color="auto"/>
            </w:tcBorders>
            <w:shd w:val="clear" w:color="auto" w:fill="auto"/>
            <w:noWrap/>
            <w:vAlign w:val="bottom"/>
            <w:hideMark/>
          </w:tcPr>
          <w:p w14:paraId="5B7BA921" w14:textId="77777777" w:rsidR="001B3DE0" w:rsidRPr="00937BAB" w:rsidRDefault="001B3DE0" w:rsidP="002A25F0">
            <w:pPr>
              <w:keepNext/>
              <w:jc w:val="right"/>
              <w:rPr>
                <w:color w:val="000000"/>
              </w:rPr>
            </w:pPr>
            <w:r w:rsidRPr="00937BAB">
              <w:rPr>
                <w:color w:val="000000"/>
              </w:rPr>
              <w:t>2.4%</w:t>
            </w:r>
          </w:p>
        </w:tc>
        <w:tc>
          <w:tcPr>
            <w:tcW w:w="494" w:type="pct"/>
            <w:tcBorders>
              <w:top w:val="nil"/>
              <w:left w:val="nil"/>
              <w:bottom w:val="single" w:sz="4" w:space="0" w:color="auto"/>
              <w:right w:val="single" w:sz="4" w:space="0" w:color="auto"/>
            </w:tcBorders>
            <w:shd w:val="clear" w:color="auto" w:fill="auto"/>
            <w:noWrap/>
            <w:vAlign w:val="bottom"/>
            <w:hideMark/>
          </w:tcPr>
          <w:p w14:paraId="321435D9" w14:textId="77777777" w:rsidR="001B3DE0" w:rsidRPr="00937BAB" w:rsidRDefault="001B3DE0" w:rsidP="002A25F0">
            <w:pPr>
              <w:keepNext/>
              <w:jc w:val="right"/>
              <w:rPr>
                <w:color w:val="000000"/>
              </w:rPr>
            </w:pPr>
            <w:r w:rsidRPr="00937BAB">
              <w:rPr>
                <w:color w:val="000000"/>
              </w:rPr>
              <w:t>2.2%</w:t>
            </w:r>
          </w:p>
        </w:tc>
      </w:tr>
      <w:tr w:rsidR="001B3DE0" w:rsidRPr="00937BAB" w14:paraId="02955594" w14:textId="77777777" w:rsidTr="00680945">
        <w:trPr>
          <w:trHeight w:val="300"/>
        </w:trPr>
        <w:tc>
          <w:tcPr>
            <w:tcW w:w="2078" w:type="pct"/>
            <w:tcBorders>
              <w:top w:val="nil"/>
              <w:left w:val="single" w:sz="4" w:space="0" w:color="auto"/>
              <w:bottom w:val="single" w:sz="4" w:space="0" w:color="auto"/>
              <w:right w:val="single" w:sz="4" w:space="0" w:color="auto"/>
            </w:tcBorders>
            <w:shd w:val="clear" w:color="auto" w:fill="auto"/>
            <w:noWrap/>
            <w:vAlign w:val="bottom"/>
            <w:hideMark/>
          </w:tcPr>
          <w:p w14:paraId="7E551DFF" w14:textId="77777777" w:rsidR="001B3DE0" w:rsidRPr="00937BAB" w:rsidRDefault="001B3DE0" w:rsidP="0071252D">
            <w:pPr>
              <w:rPr>
                <w:color w:val="000000"/>
              </w:rPr>
            </w:pPr>
            <w:r w:rsidRPr="00937BAB">
              <w:rPr>
                <w:color w:val="000000"/>
              </w:rPr>
              <w:t>30%</w:t>
            </w:r>
          </w:p>
        </w:tc>
        <w:tc>
          <w:tcPr>
            <w:tcW w:w="945" w:type="pct"/>
            <w:tcBorders>
              <w:top w:val="nil"/>
              <w:left w:val="nil"/>
              <w:bottom w:val="single" w:sz="4" w:space="0" w:color="auto"/>
              <w:right w:val="single" w:sz="4" w:space="0" w:color="auto"/>
            </w:tcBorders>
            <w:shd w:val="clear" w:color="auto" w:fill="auto"/>
            <w:noWrap/>
            <w:vAlign w:val="bottom"/>
            <w:hideMark/>
          </w:tcPr>
          <w:p w14:paraId="226CCD54" w14:textId="77777777" w:rsidR="001B3DE0" w:rsidRPr="00937BAB" w:rsidRDefault="001B3DE0" w:rsidP="0071252D">
            <w:pPr>
              <w:jc w:val="right"/>
              <w:rPr>
                <w:color w:val="000000"/>
              </w:rPr>
            </w:pPr>
            <w:r w:rsidRPr="00937BAB">
              <w:rPr>
                <w:color w:val="000000"/>
              </w:rPr>
              <w:t>3.5%</w:t>
            </w:r>
          </w:p>
        </w:tc>
        <w:tc>
          <w:tcPr>
            <w:tcW w:w="495" w:type="pct"/>
            <w:tcBorders>
              <w:top w:val="nil"/>
              <w:left w:val="nil"/>
              <w:bottom w:val="single" w:sz="4" w:space="0" w:color="auto"/>
              <w:right w:val="single" w:sz="4" w:space="0" w:color="auto"/>
            </w:tcBorders>
            <w:shd w:val="clear" w:color="auto" w:fill="auto"/>
            <w:noWrap/>
            <w:vAlign w:val="bottom"/>
            <w:hideMark/>
          </w:tcPr>
          <w:p w14:paraId="430DD593" w14:textId="77777777" w:rsidR="001B3DE0" w:rsidRPr="00937BAB" w:rsidRDefault="001B3DE0" w:rsidP="0071252D">
            <w:pPr>
              <w:jc w:val="right"/>
              <w:rPr>
                <w:color w:val="000000"/>
              </w:rPr>
            </w:pPr>
            <w:r w:rsidRPr="00937BAB">
              <w:rPr>
                <w:color w:val="000000"/>
              </w:rPr>
              <w:t>3.3%</w:t>
            </w:r>
          </w:p>
        </w:tc>
        <w:tc>
          <w:tcPr>
            <w:tcW w:w="494" w:type="pct"/>
            <w:tcBorders>
              <w:top w:val="nil"/>
              <w:left w:val="nil"/>
              <w:bottom w:val="single" w:sz="4" w:space="0" w:color="auto"/>
              <w:right w:val="single" w:sz="4" w:space="0" w:color="auto"/>
            </w:tcBorders>
            <w:shd w:val="clear" w:color="auto" w:fill="auto"/>
            <w:noWrap/>
            <w:vAlign w:val="bottom"/>
            <w:hideMark/>
          </w:tcPr>
          <w:p w14:paraId="04C73BE0" w14:textId="77777777" w:rsidR="001B3DE0" w:rsidRPr="00937BAB" w:rsidRDefault="001B3DE0" w:rsidP="0071252D">
            <w:pPr>
              <w:jc w:val="right"/>
              <w:rPr>
                <w:color w:val="000000"/>
              </w:rPr>
            </w:pPr>
            <w:r w:rsidRPr="00937BAB">
              <w:rPr>
                <w:color w:val="000000"/>
              </w:rPr>
              <w:t>3.0%</w:t>
            </w:r>
          </w:p>
        </w:tc>
        <w:tc>
          <w:tcPr>
            <w:tcW w:w="494" w:type="pct"/>
            <w:tcBorders>
              <w:top w:val="nil"/>
              <w:left w:val="nil"/>
              <w:bottom w:val="single" w:sz="4" w:space="0" w:color="auto"/>
              <w:right w:val="single" w:sz="4" w:space="0" w:color="auto"/>
            </w:tcBorders>
            <w:shd w:val="clear" w:color="auto" w:fill="auto"/>
            <w:noWrap/>
            <w:vAlign w:val="bottom"/>
            <w:hideMark/>
          </w:tcPr>
          <w:p w14:paraId="6A50C130" w14:textId="77777777" w:rsidR="001B3DE0" w:rsidRPr="00937BAB" w:rsidRDefault="001B3DE0" w:rsidP="0071252D">
            <w:pPr>
              <w:jc w:val="right"/>
              <w:rPr>
                <w:color w:val="000000"/>
              </w:rPr>
            </w:pPr>
            <w:r w:rsidRPr="00937BAB">
              <w:rPr>
                <w:color w:val="000000"/>
              </w:rPr>
              <w:t>2.8%</w:t>
            </w:r>
          </w:p>
        </w:tc>
        <w:tc>
          <w:tcPr>
            <w:tcW w:w="494" w:type="pct"/>
            <w:tcBorders>
              <w:top w:val="nil"/>
              <w:left w:val="nil"/>
              <w:bottom w:val="single" w:sz="4" w:space="0" w:color="auto"/>
              <w:right w:val="single" w:sz="4" w:space="0" w:color="auto"/>
            </w:tcBorders>
            <w:shd w:val="clear" w:color="auto" w:fill="auto"/>
            <w:noWrap/>
            <w:vAlign w:val="bottom"/>
            <w:hideMark/>
          </w:tcPr>
          <w:p w14:paraId="37102CD9" w14:textId="77777777" w:rsidR="001B3DE0" w:rsidRPr="00937BAB" w:rsidRDefault="001B3DE0" w:rsidP="0071252D">
            <w:pPr>
              <w:jc w:val="right"/>
              <w:rPr>
                <w:color w:val="000000"/>
              </w:rPr>
            </w:pPr>
            <w:r w:rsidRPr="00937BAB">
              <w:rPr>
                <w:color w:val="000000"/>
              </w:rPr>
              <w:t>2.7%</w:t>
            </w:r>
          </w:p>
        </w:tc>
      </w:tr>
    </w:tbl>
    <w:p w14:paraId="3600D2F4" w14:textId="77777777" w:rsidR="001B3DE0" w:rsidRDefault="001B3DE0" w:rsidP="001B3DE0"/>
    <w:p w14:paraId="58A9995B" w14:textId="745F9716" w:rsidR="001B3DE0" w:rsidRDefault="001B3DE0" w:rsidP="002A25F0">
      <w:pPr>
        <w:pStyle w:val="Bodytextnoindent"/>
        <w:spacing w:before="0" w:line="276" w:lineRule="auto"/>
      </w:pPr>
      <w:r>
        <w:t xml:space="preserve">At the time of this assessment, the observed participation rate among double </w:t>
      </w:r>
      <w:proofErr w:type="spellStart"/>
      <w:r>
        <w:t>nonrespondents</w:t>
      </w:r>
      <w:proofErr w:type="spellEnd"/>
      <w:r>
        <w:t xml:space="preserve"> was 4.1</w:t>
      </w:r>
      <w:r w:rsidR="0084592D">
        <w:t xml:space="preserve"> percent</w:t>
      </w:r>
      <w:r>
        <w:t xml:space="preserve"> so we conservatively estimated a reduction in standard error of approximately </w:t>
      </w:r>
      <w:r w:rsidR="0084592D">
        <w:t>0</w:t>
      </w:r>
      <w:r>
        <w:t>.5</w:t>
      </w:r>
      <w:r w:rsidR="0084592D">
        <w:t xml:space="preserve"> percent</w:t>
      </w:r>
      <w:r>
        <w:t>.</w:t>
      </w:r>
      <w:r w:rsidR="00DA1F0B">
        <w:t xml:space="preserve"> </w:t>
      </w:r>
      <w:r>
        <w:t>The degree to which the standard error is reduced varies by participation rates.</w:t>
      </w:r>
      <w:r w:rsidR="00DA1F0B">
        <w:t xml:space="preserve"> </w:t>
      </w:r>
      <w:r>
        <w:t xml:space="preserve">The precision of the sample proportion increases as the participation rate </w:t>
      </w:r>
      <w:r w:rsidR="0084592D">
        <w:t xml:space="preserve">of double </w:t>
      </w:r>
      <w:proofErr w:type="spellStart"/>
      <w:r w:rsidR="0084592D">
        <w:t>norespondents</w:t>
      </w:r>
      <w:proofErr w:type="spellEnd"/>
      <w:r w:rsidR="0084592D">
        <w:t xml:space="preserve"> </w:t>
      </w:r>
      <w:r>
        <w:t xml:space="preserve">increases and decreases as participation rate </w:t>
      </w:r>
      <w:r w:rsidR="0084592D">
        <w:t xml:space="preserve">of previous </w:t>
      </w:r>
      <w:proofErr w:type="gramStart"/>
      <w:r w:rsidR="0084592D">
        <w:t>respondents</w:t>
      </w:r>
      <w:proofErr w:type="gramEnd"/>
      <w:r w:rsidR="0084592D">
        <w:t xml:space="preserve"> </w:t>
      </w:r>
      <w:r>
        <w:t xml:space="preserve">increases. The reduction in precision as the </w:t>
      </w:r>
      <w:r w:rsidR="0084592D">
        <w:t xml:space="preserve">previous </w:t>
      </w:r>
      <w:r>
        <w:t xml:space="preserve">respondent participation rate increases is due to the large disparity in the numbers of double </w:t>
      </w:r>
      <w:proofErr w:type="spellStart"/>
      <w:r>
        <w:t>nonrespondents</w:t>
      </w:r>
      <w:proofErr w:type="spellEnd"/>
      <w:r>
        <w:t xml:space="preserve"> (n=2,406) and prior respondents (n=27,507) in the main sample.</w:t>
      </w:r>
    </w:p>
    <w:p w14:paraId="34778688" w14:textId="77777777" w:rsidR="00EE4460" w:rsidRPr="00EE4460" w:rsidRDefault="00EE4460" w:rsidP="005E46AA">
      <w:pPr>
        <w:pStyle w:val="Bodytextnoindent"/>
        <w:spacing w:before="0" w:line="276" w:lineRule="auto"/>
        <w:rPr>
          <w:b/>
          <w:szCs w:val="24"/>
          <w:u w:val="single"/>
        </w:rPr>
      </w:pPr>
      <w:r w:rsidRPr="00EE4460">
        <w:rPr>
          <w:b/>
          <w:szCs w:val="24"/>
          <w:u w:val="single"/>
        </w:rPr>
        <w:t>Recommendations</w:t>
      </w:r>
      <w:r w:rsidR="00531328">
        <w:rPr>
          <w:b/>
          <w:szCs w:val="24"/>
          <w:u w:val="single"/>
        </w:rPr>
        <w:t xml:space="preserve"> for main sample</w:t>
      </w:r>
    </w:p>
    <w:p w14:paraId="308DEF27" w14:textId="77777777" w:rsidR="00DA1F0B" w:rsidRDefault="004946A8" w:rsidP="005E46AA">
      <w:pPr>
        <w:pStyle w:val="Bodytextnoindent"/>
        <w:spacing w:before="0" w:line="276" w:lineRule="auto"/>
      </w:pPr>
      <w:r>
        <w:t>Based on the findings of the calibration experiments, we recommend</w:t>
      </w:r>
      <w:r w:rsidR="00EE50E5">
        <w:t xml:space="preserve"> </w:t>
      </w:r>
      <w:r w:rsidR="00BC6AE7">
        <w:t xml:space="preserve">dropping the </w:t>
      </w:r>
      <w:r w:rsidR="00300C8B" w:rsidRPr="00EE4460">
        <w:t xml:space="preserve">offer </w:t>
      </w:r>
      <w:r w:rsidR="00BC6AE7">
        <w:t xml:space="preserve">of a </w:t>
      </w:r>
      <w:r w:rsidR="00300C8B" w:rsidRPr="00EE4460">
        <w:t xml:space="preserve">prepaid incentive to </w:t>
      </w:r>
      <w:r w:rsidR="007F6F83">
        <w:t>either group (</w:t>
      </w:r>
      <w:r w:rsidR="00300C8B" w:rsidRPr="00EE4460">
        <w:t>previous respondents</w:t>
      </w:r>
      <w:r w:rsidR="007F6F83">
        <w:t xml:space="preserve"> and double </w:t>
      </w:r>
      <w:proofErr w:type="spellStart"/>
      <w:r w:rsidR="007F6F83">
        <w:t>nonrespondents</w:t>
      </w:r>
      <w:proofErr w:type="spellEnd"/>
      <w:r w:rsidR="007F6F83">
        <w:t>)</w:t>
      </w:r>
      <w:r w:rsidR="002A25F0">
        <w:rPr>
          <w:rStyle w:val="FootnoteReference"/>
        </w:rPr>
        <w:footnoteReference w:id="2"/>
      </w:r>
      <w:r w:rsidR="00562722">
        <w:t>.</w:t>
      </w:r>
    </w:p>
    <w:p w14:paraId="6CFA1F81" w14:textId="77777777" w:rsidR="00DA1F0B" w:rsidRDefault="00E373DF" w:rsidP="0084592D">
      <w:pPr>
        <w:pStyle w:val="Bodytextnoindent"/>
        <w:spacing w:before="0" w:line="276" w:lineRule="auto"/>
      </w:pPr>
      <w:r>
        <w:t xml:space="preserve">For double </w:t>
      </w:r>
      <w:proofErr w:type="spellStart"/>
      <w:r>
        <w:t>nonrespondents</w:t>
      </w:r>
      <w:proofErr w:type="spellEnd"/>
      <w:r>
        <w:t>, we recommend</w:t>
      </w:r>
      <w:r w:rsidR="005D6573">
        <w:t xml:space="preserve"> </w:t>
      </w:r>
      <w:r>
        <w:t>fielding this subgroup in the main</w:t>
      </w:r>
      <w:r w:rsidR="00EA4D63">
        <w:t xml:space="preserve"> sample data collection</w:t>
      </w:r>
      <w:r w:rsidR="005D6573">
        <w:t xml:space="preserve"> with a $75 incentive offer upon completion </w:t>
      </w:r>
      <w:r w:rsidR="002A25F0">
        <w:t xml:space="preserve">of </w:t>
      </w:r>
      <w:r w:rsidR="005D6573">
        <w:t>the full interview</w:t>
      </w:r>
      <w:r>
        <w:t xml:space="preserve">. </w:t>
      </w:r>
      <w:r w:rsidR="007F6F83">
        <w:t>After data collection</w:t>
      </w:r>
      <w:r w:rsidR="0084592D">
        <w:t xml:space="preserve"> and data processing</w:t>
      </w:r>
      <w:r w:rsidR="007F6F83">
        <w:t xml:space="preserve">, NCES will </w:t>
      </w:r>
      <w:r w:rsidR="0084592D">
        <w:t>analyze</w:t>
      </w:r>
      <w:r w:rsidR="007F6F83">
        <w:t xml:space="preserve"> the </w:t>
      </w:r>
      <w:r w:rsidR="0084592D" w:rsidRPr="005D6573">
        <w:rPr>
          <w:i/>
        </w:rPr>
        <w:t>actual</w:t>
      </w:r>
      <w:r w:rsidR="0084592D">
        <w:t xml:space="preserve"> </w:t>
      </w:r>
      <w:r w:rsidR="007F6F83">
        <w:t xml:space="preserve">impact </w:t>
      </w:r>
      <w:r w:rsidR="0084592D">
        <w:t xml:space="preserve">of double </w:t>
      </w:r>
      <w:proofErr w:type="spellStart"/>
      <w:r w:rsidR="0084592D">
        <w:t>nonrespondents</w:t>
      </w:r>
      <w:proofErr w:type="spellEnd"/>
      <w:r w:rsidR="0084592D">
        <w:t xml:space="preserve"> </w:t>
      </w:r>
      <w:r w:rsidR="007F6F83">
        <w:t>on nonresponse bias in order to inform future BPS studies, as well as the HSLS and B&amp;B. If results from BPS</w:t>
      </w:r>
      <w:proofErr w:type="gramStart"/>
      <w:r w:rsidR="007F6F83">
        <w:t>:12</w:t>
      </w:r>
      <w:proofErr w:type="gramEnd"/>
      <w:r w:rsidR="007F6F83">
        <w:t>/17 show that including them has no impact on the estimates, or if we are unable to obtain enough responses, then we can conclude future studies should not expend the effort or resources for participation</w:t>
      </w:r>
      <w:r w:rsidR="002A25F0">
        <w:t xml:space="preserve"> of double </w:t>
      </w:r>
      <w:proofErr w:type="spellStart"/>
      <w:r w:rsidR="002A25F0">
        <w:t>nonrespondents</w:t>
      </w:r>
      <w:proofErr w:type="spellEnd"/>
      <w:r w:rsidR="007F6F83">
        <w:t xml:space="preserve">. However, if results demonstrate that the inclusion of double </w:t>
      </w:r>
      <w:proofErr w:type="spellStart"/>
      <w:r w:rsidR="007F6F83">
        <w:t>nonrespondents</w:t>
      </w:r>
      <w:proofErr w:type="spellEnd"/>
      <w:r w:rsidR="007F6F83">
        <w:t xml:space="preserve"> has an impact on </w:t>
      </w:r>
      <w:proofErr w:type="gramStart"/>
      <w:r w:rsidR="007F6F83">
        <w:t>estimates,</w:t>
      </w:r>
      <w:proofErr w:type="gramEnd"/>
      <w:r w:rsidR="007F6F83">
        <w:t xml:space="preserve"> NCES can either </w:t>
      </w:r>
      <w:r w:rsidR="00C62F17">
        <w:t>include them</w:t>
      </w:r>
      <w:r w:rsidR="007F6F83">
        <w:t>, or warn analyst</w:t>
      </w:r>
      <w:r w:rsidR="00C62F17">
        <w:t>s</w:t>
      </w:r>
      <w:r w:rsidR="007F6F83">
        <w:t xml:space="preserve"> of the issue in </w:t>
      </w:r>
      <w:r w:rsidR="002A25F0">
        <w:t>the data documentation</w:t>
      </w:r>
      <w:r w:rsidR="007F6F83">
        <w:t>.</w:t>
      </w:r>
    </w:p>
    <w:p w14:paraId="260C002C" w14:textId="501C6922" w:rsidR="00531328" w:rsidRDefault="005943A9" w:rsidP="005E46AA">
      <w:pPr>
        <w:pStyle w:val="Bodytextnoindent"/>
        <w:spacing w:before="0" w:line="276" w:lineRule="auto"/>
        <w:rPr>
          <w:szCs w:val="24"/>
        </w:rPr>
      </w:pPr>
      <w:r>
        <w:rPr>
          <w:szCs w:val="24"/>
        </w:rPr>
        <w:t xml:space="preserve">Data collection for the main sample is scheduled to begin on May 3, 2017. </w:t>
      </w:r>
      <w:r w:rsidR="0071252D">
        <w:rPr>
          <w:szCs w:val="24"/>
        </w:rPr>
        <w:t>T</w:t>
      </w:r>
      <w:r>
        <w:rPr>
          <w:szCs w:val="24"/>
        </w:rPr>
        <w:t>he initial contact letter</w:t>
      </w:r>
      <w:r w:rsidR="0071252D">
        <w:rPr>
          <w:szCs w:val="24"/>
        </w:rPr>
        <w:t>,</w:t>
      </w:r>
      <w:r>
        <w:rPr>
          <w:szCs w:val="24"/>
        </w:rPr>
        <w:t xml:space="preserve"> scheduled to be mailed on April 19</w:t>
      </w:r>
      <w:r w:rsidR="002A25F0">
        <w:rPr>
          <w:szCs w:val="24"/>
        </w:rPr>
        <w:t>,</w:t>
      </w:r>
      <w:r>
        <w:rPr>
          <w:szCs w:val="24"/>
        </w:rPr>
        <w:t xml:space="preserve"> </w:t>
      </w:r>
      <w:r w:rsidR="002A25F0">
        <w:rPr>
          <w:szCs w:val="24"/>
        </w:rPr>
        <w:t>2017</w:t>
      </w:r>
      <w:r w:rsidR="0071252D">
        <w:rPr>
          <w:szCs w:val="24"/>
        </w:rPr>
        <w:t xml:space="preserve">, </w:t>
      </w:r>
      <w:r>
        <w:rPr>
          <w:szCs w:val="24"/>
        </w:rPr>
        <w:t xml:space="preserve">will need to incorporate the </w:t>
      </w:r>
      <w:r w:rsidR="00184BF4">
        <w:rPr>
          <w:szCs w:val="24"/>
        </w:rPr>
        <w:t>incentive amounts we will offer the main sample</w:t>
      </w:r>
      <w:r>
        <w:rPr>
          <w:szCs w:val="24"/>
        </w:rPr>
        <w:t xml:space="preserve">. </w:t>
      </w:r>
      <w:r w:rsidR="00B5720D">
        <w:rPr>
          <w:szCs w:val="24"/>
        </w:rPr>
        <w:t xml:space="preserve">Modeling for targeted treatment of the $45 incentive boost will be conducted around June 14, 2017. Modeling for the targeted offer of the abbreviate interview is scheduled for August 9, 2017. </w:t>
      </w:r>
      <w:r w:rsidR="0048456C">
        <w:rPr>
          <w:szCs w:val="24"/>
        </w:rPr>
        <w:t xml:space="preserve">Before NCES uses these models to target sample members in the main sample, </w:t>
      </w:r>
      <w:r w:rsidR="00B5720D">
        <w:rPr>
          <w:szCs w:val="24"/>
        </w:rPr>
        <w:t>NCES will provide OMB with results of the modeling</w:t>
      </w:r>
      <w:r w:rsidR="0048456C">
        <w:rPr>
          <w:szCs w:val="24"/>
        </w:rPr>
        <w:t xml:space="preserve"> for OMB’s review and approval</w:t>
      </w:r>
      <w:r w:rsidR="00B5720D">
        <w:rPr>
          <w:szCs w:val="24"/>
        </w:rPr>
        <w:t xml:space="preserve">. </w:t>
      </w:r>
      <w:r w:rsidR="00EE50E5">
        <w:rPr>
          <w:szCs w:val="24"/>
        </w:rPr>
        <w:t>Data collection is scheduled to end on October 10, 2017.</w:t>
      </w:r>
    </w:p>
    <w:p w14:paraId="0EB6859B" w14:textId="77777777" w:rsidR="00121464" w:rsidRPr="00121464" w:rsidRDefault="00121464" w:rsidP="005E46AA">
      <w:pPr>
        <w:pStyle w:val="Bodytextnoindent"/>
        <w:spacing w:before="0" w:line="276" w:lineRule="auto"/>
        <w:rPr>
          <w:b/>
          <w:szCs w:val="24"/>
          <w:u w:val="single"/>
        </w:rPr>
      </w:pPr>
      <w:r w:rsidRPr="00121464">
        <w:rPr>
          <w:b/>
          <w:szCs w:val="24"/>
          <w:u w:val="single"/>
        </w:rPr>
        <w:t>Office of Foreign Assets Controls</w:t>
      </w:r>
      <w:r>
        <w:rPr>
          <w:b/>
          <w:szCs w:val="24"/>
          <w:u w:val="single"/>
        </w:rPr>
        <w:t>’</w:t>
      </w:r>
      <w:r w:rsidRPr="00121464">
        <w:rPr>
          <w:b/>
          <w:szCs w:val="24"/>
          <w:u w:val="single"/>
        </w:rPr>
        <w:t xml:space="preserve"> (OFAC) Specially Designated Nationals List</w:t>
      </w:r>
    </w:p>
    <w:p w14:paraId="772075AD" w14:textId="77777777" w:rsidR="009E6F32" w:rsidRDefault="009E6F32" w:rsidP="009E6F32">
      <w:pPr>
        <w:pStyle w:val="NormalWeb"/>
        <w:spacing w:after="120" w:line="276" w:lineRule="auto"/>
        <w:rPr>
          <w:color w:val="212121"/>
        </w:rPr>
      </w:pPr>
      <w:r>
        <w:rPr>
          <w:color w:val="000000"/>
        </w:rPr>
        <w:t xml:space="preserve">Prior to the start of data collection for the main sample, BPS sample members will be matched to a federal database maintained by the U.S. Department of the Treasury’s Office of Foreign Assets Controls (OFAC). </w:t>
      </w:r>
      <w:r>
        <w:rPr>
          <w:color w:val="000000"/>
        </w:rPr>
        <w:lastRenderedPageBreak/>
        <w:t>OFAC administers and enforces economic and trade sanctions based on U.S. foreign policy and national security goals. As part of its enforcement efforts, OFAC publishes a list of individuals and companies called the "</w:t>
      </w:r>
      <w:r w:rsidRPr="00734547">
        <w:rPr>
          <w:color w:val="000000"/>
        </w:rPr>
        <w:t>Specially Designated Nationals</w:t>
      </w:r>
      <w:r>
        <w:rPr>
          <w:color w:val="000000"/>
        </w:rPr>
        <w:t xml:space="preserve"> List”</w:t>
      </w:r>
      <w:r w:rsidRPr="00734547">
        <w:rPr>
          <w:color w:val="000000"/>
        </w:rPr>
        <w:t xml:space="preserve"> </w:t>
      </w:r>
      <w:r>
        <w:rPr>
          <w:color w:val="000000"/>
        </w:rPr>
        <w:t>or "SDN." Their assets are blocked and U.S. entities are prohibited from conducting trade or financial transactions with those on the list (</w:t>
      </w:r>
      <w:hyperlink r:id="rId9" w:tgtFrame="_blank" w:history="1">
        <w:r>
          <w:rPr>
            <w:rStyle w:val="Hyperlink"/>
          </w:rPr>
          <w:t>https://www.treasury.gov/resource-center/sanctions/Pages/default.aspx</w:t>
        </w:r>
      </w:hyperlink>
      <w:r>
        <w:rPr>
          <w:color w:val="000000"/>
        </w:rPr>
        <w:t>).</w:t>
      </w:r>
    </w:p>
    <w:p w14:paraId="541C3FBE" w14:textId="334F5A7F" w:rsidR="00121464" w:rsidRDefault="009E6F32" w:rsidP="009E6F32">
      <w:pPr>
        <w:pStyle w:val="NormalWeb"/>
        <w:spacing w:after="120" w:line="276" w:lineRule="auto"/>
        <w:rPr>
          <w:color w:val="212121"/>
        </w:rPr>
      </w:pPr>
      <w:r>
        <w:rPr>
          <w:color w:val="000000"/>
        </w:rPr>
        <w:t> </w:t>
      </w:r>
      <w:r w:rsidRPr="00734547">
        <w:t>In order to determine if there are any BPS</w:t>
      </w:r>
      <w:proofErr w:type="gramStart"/>
      <w:r w:rsidRPr="00734547">
        <w:t>:12</w:t>
      </w:r>
      <w:proofErr w:type="gramEnd"/>
      <w:r w:rsidRPr="00734547">
        <w:t xml:space="preserve">/17 sample members to </w:t>
      </w:r>
      <w:r>
        <w:t>whom</w:t>
      </w:r>
      <w:r w:rsidRPr="00734547">
        <w:t xml:space="preserve"> we cannot offer an </w:t>
      </w:r>
      <w:r>
        <w:rPr>
          <w:color w:val="000000"/>
        </w:rPr>
        <w:t xml:space="preserve">incentive, we are matching the sample to SDN by name using the </w:t>
      </w:r>
      <w:proofErr w:type="spellStart"/>
      <w:r>
        <w:rPr>
          <w:color w:val="000000"/>
        </w:rPr>
        <w:t>Jaro</w:t>
      </w:r>
      <w:proofErr w:type="spellEnd"/>
      <w:r>
        <w:rPr>
          <w:color w:val="000000"/>
        </w:rPr>
        <w:t xml:space="preserve">-Winkler and Soundex algorithms recommended by OFAC. To avoid over-matching, we will review the cases based on full name, date of birth, and address. The challenge is to ensure that each final match is the person on the SDN list, and not someone else, and that </w:t>
      </w:r>
      <w:r w:rsidRPr="00CA25D2">
        <w:rPr>
          <w:color w:val="000000"/>
        </w:rPr>
        <w:t>the</w:t>
      </w:r>
      <w:r w:rsidRPr="00CA25D2">
        <w:rPr>
          <w:color w:val="1F497D"/>
        </w:rPr>
        <w:t xml:space="preserve"> </w:t>
      </w:r>
      <w:r w:rsidRPr="00CA25D2">
        <w:t xml:space="preserve">matched cases </w:t>
      </w:r>
      <w:r>
        <w:rPr>
          <w:color w:val="000000"/>
        </w:rPr>
        <w:t xml:space="preserve">are not unfairly identified as ineligible for an incentive. We are still determining the procedures to be used with the final matched sample members </w:t>
      </w:r>
      <w:r w:rsidRPr="00CA25D2">
        <w:rPr>
          <w:color w:val="000000"/>
        </w:rPr>
        <w:t>and will submit to OMB a change</w:t>
      </w:r>
      <w:r>
        <w:rPr>
          <w:color w:val="000000"/>
        </w:rPr>
        <w:t xml:space="preserve"> memo in the near </w:t>
      </w:r>
      <w:r w:rsidRPr="00CA25D2">
        <w:rPr>
          <w:color w:val="000000"/>
        </w:rPr>
        <w:t xml:space="preserve">future </w:t>
      </w:r>
      <w:r>
        <w:rPr>
          <w:color w:val="000000"/>
        </w:rPr>
        <w:t>to clarify our approach. For now the final matches will not receive a survey request until an approach is determined</w:t>
      </w:r>
      <w:r w:rsidR="00121464">
        <w:rPr>
          <w:color w:val="000000"/>
        </w:rPr>
        <w:t>.</w:t>
      </w:r>
    </w:p>
    <w:p w14:paraId="5AC64958" w14:textId="77777777" w:rsidR="00EA11FF" w:rsidRDefault="002415C2" w:rsidP="005E46AA">
      <w:pPr>
        <w:keepNext/>
        <w:numPr>
          <w:ilvl w:val="1"/>
          <w:numId w:val="0"/>
        </w:numPr>
        <w:tabs>
          <w:tab w:val="num" w:pos="990"/>
          <w:tab w:val="left" w:pos="1080"/>
        </w:tabs>
        <w:overflowPunct w:val="0"/>
        <w:autoSpaceDE w:val="0"/>
        <w:autoSpaceDN w:val="0"/>
        <w:adjustRightInd w:val="0"/>
        <w:spacing w:after="120" w:line="320" w:lineRule="atLeast"/>
        <w:textAlignment w:val="baseline"/>
        <w:outlineLvl w:val="1"/>
        <w:rPr>
          <w:rFonts w:ascii="Arial" w:hAnsi="Arial" w:cs="Arial"/>
          <w:b/>
          <w:bCs/>
          <w:iCs/>
          <w:szCs w:val="28"/>
          <w:u w:val="single"/>
        </w:rPr>
      </w:pPr>
      <w:r w:rsidRPr="008C5036">
        <w:rPr>
          <w:rFonts w:ascii="Arial" w:hAnsi="Arial" w:cs="Arial"/>
          <w:b/>
          <w:bCs/>
          <w:iCs/>
          <w:szCs w:val="28"/>
          <w:u w:val="single"/>
        </w:rPr>
        <w:t>Attachment A. Excerpt of Supporting Statement Part B</w:t>
      </w:r>
    </w:p>
    <w:p w14:paraId="03F88F56" w14:textId="77777777" w:rsidR="002415C2" w:rsidRPr="002415C2" w:rsidRDefault="002415C2" w:rsidP="002415C2">
      <w:pPr>
        <w:pStyle w:val="ListParagraph"/>
        <w:keepNext/>
        <w:numPr>
          <w:ilvl w:val="0"/>
          <w:numId w:val="22"/>
        </w:numPr>
        <w:tabs>
          <w:tab w:val="num" w:pos="990"/>
          <w:tab w:val="left" w:pos="1080"/>
        </w:tabs>
        <w:overflowPunct w:val="0"/>
        <w:autoSpaceDE w:val="0"/>
        <w:autoSpaceDN w:val="0"/>
        <w:adjustRightInd w:val="0"/>
        <w:spacing w:before="240" w:after="120" w:line="320" w:lineRule="atLeast"/>
        <w:textAlignment w:val="baseline"/>
        <w:outlineLvl w:val="1"/>
        <w:rPr>
          <w:rFonts w:ascii="Arial" w:hAnsi="Arial" w:cs="Arial"/>
          <w:b/>
          <w:bCs/>
          <w:iCs/>
          <w:szCs w:val="28"/>
        </w:rPr>
      </w:pPr>
      <w:r w:rsidRPr="002415C2">
        <w:rPr>
          <w:rFonts w:ascii="Arial" w:hAnsi="Arial" w:cs="Arial"/>
          <w:b/>
          <w:bCs/>
          <w:iCs/>
          <w:szCs w:val="28"/>
        </w:rPr>
        <w:t>Tests of Procedures and Methods</w:t>
      </w:r>
    </w:p>
    <w:p w14:paraId="719F8BF7" w14:textId="77777777" w:rsidR="002415C2" w:rsidRPr="002415C2" w:rsidRDefault="002415C2" w:rsidP="002415C2">
      <w:pPr>
        <w:widowControl w:val="0"/>
        <w:spacing w:before="120" w:after="120"/>
      </w:pPr>
      <w:r w:rsidRPr="002415C2">
        <w:t>The design of the BPS:12/17 full-scale data collection—in particular, the use of responsive design principles to reduce bias associated with nonresponse—expands on data collection experiments designed for several preceding NCES studies and, particularly, on the responsive design methods employed in BPS:12/14. Section B.4.a below provides an overview of the responsive design methods employed for BPS</w:t>
      </w:r>
      <w:proofErr w:type="gramStart"/>
      <w:r w:rsidRPr="002415C2">
        <w:t>:12</w:t>
      </w:r>
      <w:proofErr w:type="gramEnd"/>
      <w:r w:rsidRPr="002415C2">
        <w:t>/14, section B.4.b provides a description of the proposed methods for BPS:12/17, and section B.4.c describes the tests that will be conducted through the BPS:12 PETS pilot study.</w:t>
      </w:r>
    </w:p>
    <w:p w14:paraId="10C965A4" w14:textId="77777777" w:rsidR="002415C2" w:rsidRPr="002415C2" w:rsidRDefault="002415C2" w:rsidP="002415C2">
      <w:pPr>
        <w:keepNext/>
        <w:numPr>
          <w:ilvl w:val="2"/>
          <w:numId w:val="0"/>
        </w:numPr>
        <w:tabs>
          <w:tab w:val="left" w:pos="1620"/>
        </w:tabs>
        <w:spacing w:before="240" w:after="120"/>
        <w:ind w:left="1627" w:hanging="547"/>
        <w:outlineLvl w:val="2"/>
        <w:rPr>
          <w:rFonts w:ascii="Arial" w:hAnsi="Arial" w:cs="Arial"/>
          <w:i/>
          <w:iCs/>
          <w:sz w:val="22"/>
          <w:szCs w:val="22"/>
        </w:rPr>
      </w:pPr>
      <w:bookmarkStart w:id="1" w:name="_Toc459815570"/>
      <w:r w:rsidRPr="002415C2">
        <w:rPr>
          <w:rFonts w:ascii="Arial" w:hAnsi="Arial" w:cs="Arial"/>
          <w:i/>
          <w:iCs/>
          <w:sz w:val="22"/>
          <w:szCs w:val="22"/>
        </w:rPr>
        <w:t>BPS</w:t>
      </w:r>
      <w:proofErr w:type="gramStart"/>
      <w:r w:rsidRPr="002415C2">
        <w:rPr>
          <w:rFonts w:ascii="Arial" w:hAnsi="Arial" w:cs="Arial"/>
          <w:i/>
          <w:iCs/>
          <w:sz w:val="22"/>
          <w:szCs w:val="22"/>
        </w:rPr>
        <w:t>:12</w:t>
      </w:r>
      <w:proofErr w:type="gramEnd"/>
      <w:r w:rsidRPr="002415C2">
        <w:rPr>
          <w:rFonts w:ascii="Arial" w:hAnsi="Arial" w:cs="Arial"/>
          <w:i/>
          <w:iCs/>
          <w:sz w:val="22"/>
          <w:szCs w:val="22"/>
        </w:rPr>
        <w:t>/14 Full Scale</w:t>
      </w:r>
      <w:r w:rsidRPr="002415C2">
        <w:rPr>
          <w:i/>
          <w:iCs/>
          <w:sz w:val="18"/>
          <w:szCs w:val="18"/>
          <w:vertAlign w:val="superscript"/>
        </w:rPr>
        <w:footnoteReference w:id="3"/>
      </w:r>
      <w:bookmarkEnd w:id="1"/>
    </w:p>
    <w:p w14:paraId="194CEF11" w14:textId="77777777" w:rsidR="002415C2" w:rsidRPr="002415C2" w:rsidRDefault="002415C2" w:rsidP="002415C2">
      <w:pPr>
        <w:spacing w:before="120" w:after="120"/>
      </w:pPr>
      <w:bookmarkStart w:id="2" w:name="_Toc370482433"/>
      <w:r w:rsidRPr="002415C2">
        <w:t>The BPS</w:t>
      </w:r>
      <w:proofErr w:type="gramStart"/>
      <w:r w:rsidRPr="002415C2">
        <w:t>:12</w:t>
      </w:r>
      <w:proofErr w:type="gramEnd"/>
      <w:r w:rsidRPr="002415C2">
        <w:t xml:space="preserve">/14 full-scale data collection combined two experiments in a responsive design (Groves and </w:t>
      </w:r>
      <w:proofErr w:type="spellStart"/>
      <w:r w:rsidRPr="002415C2">
        <w:t>Heeringa</w:t>
      </w:r>
      <w:proofErr w:type="spellEnd"/>
      <w:r w:rsidRPr="002415C2">
        <w:t xml:space="preserve"> 2006) in order to examine the degree to which targeted interventions could affect response rates and reduce nonresponse bias. Key features included a calibration sample for identifying optimal monetary incentives and other interventions, the development of an importance measure for use in identifying </w:t>
      </w:r>
      <w:proofErr w:type="spellStart"/>
      <w:r w:rsidRPr="002415C2">
        <w:t>nonrespondents</w:t>
      </w:r>
      <w:proofErr w:type="spellEnd"/>
      <w:r w:rsidRPr="002415C2">
        <w:t xml:space="preserve"> for some incentive offers, and the use of a six-phase data collection period.</w:t>
      </w:r>
    </w:p>
    <w:p w14:paraId="377C1247" w14:textId="77777777" w:rsidR="002415C2" w:rsidRPr="002415C2" w:rsidRDefault="002415C2" w:rsidP="002415C2">
      <w:pPr>
        <w:spacing w:before="120" w:after="120"/>
      </w:pPr>
      <w:r w:rsidRPr="002415C2">
        <w:t>Approximately 10 percent of the 37,170 BPS</w:t>
      </w:r>
      <w:proofErr w:type="gramStart"/>
      <w:r w:rsidRPr="002415C2">
        <w:t>:12</w:t>
      </w:r>
      <w:proofErr w:type="gramEnd"/>
      <w:r w:rsidRPr="002415C2">
        <w:t xml:space="preserve">/14 sample members were randomly selected to form the </w:t>
      </w:r>
      <w:r w:rsidRPr="002415C2">
        <w:rPr>
          <w:i/>
          <w:iCs/>
        </w:rPr>
        <w:t>calibration sample</w:t>
      </w:r>
      <w:r w:rsidRPr="002415C2">
        <w:t xml:space="preserve">, with the remainder forming the </w:t>
      </w:r>
      <w:r w:rsidRPr="002415C2">
        <w:rPr>
          <w:i/>
          <w:iCs/>
        </w:rPr>
        <w:t>main sample,</w:t>
      </w:r>
      <w:r w:rsidRPr="002415C2">
        <w:t xml:space="preserve"> although readers should note that respondents from the calibration and main sample were combined at the end of data collection. Both samples were subject to the same data collection activities, although the calibration sample was fielded seven weeks before the main sample.</w:t>
      </w:r>
    </w:p>
    <w:p w14:paraId="2DD602FD" w14:textId="77777777" w:rsidR="002415C2" w:rsidRPr="002415C2" w:rsidRDefault="002415C2" w:rsidP="002415C2">
      <w:pPr>
        <w:spacing w:before="120" w:after="120"/>
        <w:rPr>
          <w:rFonts w:asciiTheme="majorBidi" w:hAnsiTheme="majorBidi" w:cstheme="majorBidi"/>
        </w:rPr>
      </w:pPr>
      <w:r w:rsidRPr="002415C2">
        <w:rPr>
          <w:rFonts w:asciiTheme="majorBidi" w:hAnsiTheme="majorBidi" w:cstheme="majorBidi"/>
          <w:b/>
          <w:bCs/>
        </w:rPr>
        <w:t>First Experiment: Determine Baseline Incentive.</w:t>
      </w:r>
      <w:r w:rsidRPr="002415C2">
        <w:rPr>
          <w:rFonts w:ascii="Calibri" w:hAnsi="Calibri" w:cs="Arial"/>
          <w:b/>
          <w:bCs/>
          <w:sz w:val="20"/>
          <w:szCs w:val="20"/>
        </w:rPr>
        <w:t xml:space="preserve"> </w:t>
      </w:r>
      <w:r w:rsidRPr="002415C2">
        <w:rPr>
          <w:rFonts w:asciiTheme="majorBidi" w:hAnsiTheme="majorBidi" w:cstheme="majorBidi"/>
        </w:rPr>
        <w:t>The first experiment with the calibration sample, which began with a web-only survey at the start of data collection (</w:t>
      </w:r>
      <w:r w:rsidRPr="002415C2">
        <w:rPr>
          <w:rFonts w:asciiTheme="majorBidi" w:hAnsiTheme="majorBidi" w:cstheme="majorBidi"/>
          <w:b/>
        </w:rPr>
        <w:t>Phase 1</w:t>
      </w:r>
      <w:r w:rsidRPr="002415C2">
        <w:rPr>
          <w:rFonts w:asciiTheme="majorBidi" w:hAnsiTheme="majorBidi" w:cstheme="majorBidi"/>
        </w:rPr>
        <w:t xml:space="preserve">), evaluated the baseline incentive offer. In order to assess whether or not baseline incentive offers should vary by likelihood of </w:t>
      </w:r>
      <w:r w:rsidRPr="002415C2">
        <w:rPr>
          <w:rFonts w:asciiTheme="majorBidi" w:hAnsiTheme="majorBidi" w:cstheme="majorBidi"/>
        </w:rPr>
        <w:lastRenderedPageBreak/>
        <w:t xml:space="preserve">response, an </w:t>
      </w:r>
      <w:r w:rsidRPr="002415C2">
        <w:rPr>
          <w:rFonts w:asciiTheme="majorBidi" w:hAnsiTheme="majorBidi" w:cstheme="majorBidi"/>
          <w:i/>
        </w:rPr>
        <w:t>a priori</w:t>
      </w:r>
      <w:r w:rsidRPr="002415C2">
        <w:rPr>
          <w:rFonts w:asciiTheme="majorBidi" w:hAnsiTheme="majorBidi" w:cstheme="majorBidi"/>
        </w:rPr>
        <w:t xml:space="preserve"> predicted probability of response was constructed for each calibration sample member. Sample members were then ordered into five groups using response probability quintiles and randomly assigned to one of eleven baseline incentive amounts ranging from $0 to $50 in five dollar increments. Additional information on how the </w:t>
      </w:r>
      <w:r w:rsidRPr="002415C2">
        <w:rPr>
          <w:rFonts w:asciiTheme="majorBidi" w:hAnsiTheme="majorBidi" w:cstheme="majorBidi"/>
          <w:i/>
        </w:rPr>
        <w:t>a priori</w:t>
      </w:r>
      <w:r w:rsidRPr="002415C2">
        <w:rPr>
          <w:rFonts w:asciiTheme="majorBidi" w:hAnsiTheme="majorBidi" w:cstheme="majorBidi"/>
        </w:rPr>
        <w:t xml:space="preserve"> predicted probabilities of response were constructed is provided below.</w:t>
      </w:r>
    </w:p>
    <w:p w14:paraId="063D6B8C" w14:textId="77777777" w:rsidR="002415C2" w:rsidRPr="002415C2" w:rsidRDefault="002415C2" w:rsidP="002415C2">
      <w:pPr>
        <w:spacing w:before="120" w:after="120"/>
        <w:rPr>
          <w:rFonts w:asciiTheme="majorBidi" w:hAnsiTheme="majorBidi" w:cstheme="majorBidi"/>
        </w:rPr>
      </w:pPr>
      <w:r w:rsidRPr="002415C2">
        <w:rPr>
          <w:rFonts w:asciiTheme="majorBidi" w:hAnsiTheme="majorBidi" w:cstheme="majorBidi"/>
        </w:rPr>
        <w:t xml:space="preserve">For the three groups with the highest predicted probabilities of response, response rates for a given baseline incentive </w:t>
      </w:r>
      <w:proofErr w:type="gramStart"/>
      <w:r w:rsidRPr="002415C2">
        <w:rPr>
          <w:rFonts w:asciiTheme="majorBidi" w:hAnsiTheme="majorBidi" w:cstheme="majorBidi"/>
        </w:rPr>
        <w:t>offer ($0 to $25) were</w:t>
      </w:r>
      <w:proofErr w:type="gramEnd"/>
      <w:r w:rsidRPr="002415C2">
        <w:rPr>
          <w:rFonts w:asciiTheme="majorBidi" w:hAnsiTheme="majorBidi" w:cstheme="majorBidi"/>
        </w:rPr>
        <w:t xml:space="preserve"> statistically higher than response rates for the next lowest incentive amount up to $30. In addition, response rates for incentives of $35 or higher were not statistically higher than response rates at $30. For the two groups with the lowest predicted probabilities of response, the response rate at $45 was found to be statistically higher than the response rate at $0, but the finding was based on a small number of cases. Given the results across groups, a baseline incentive amount of $30 was set for use with the main sample. Both calibration and main sample </w:t>
      </w:r>
      <w:proofErr w:type="spellStart"/>
      <w:r w:rsidRPr="002415C2">
        <w:rPr>
          <w:rFonts w:asciiTheme="majorBidi" w:hAnsiTheme="majorBidi" w:cstheme="majorBidi"/>
        </w:rPr>
        <w:t>nonrespondents</w:t>
      </w:r>
      <w:proofErr w:type="spellEnd"/>
      <w:r w:rsidRPr="002415C2">
        <w:rPr>
          <w:rFonts w:asciiTheme="majorBidi" w:hAnsiTheme="majorBidi" w:cstheme="majorBidi"/>
        </w:rPr>
        <w:t xml:space="preserve"> at the end of Phase 1 were moved to </w:t>
      </w:r>
      <w:r w:rsidRPr="002415C2">
        <w:rPr>
          <w:rFonts w:asciiTheme="majorBidi" w:hAnsiTheme="majorBidi" w:cstheme="majorBidi"/>
          <w:b/>
        </w:rPr>
        <w:t>Phase 2</w:t>
      </w:r>
      <w:r w:rsidRPr="002415C2">
        <w:rPr>
          <w:rFonts w:asciiTheme="majorBidi" w:hAnsiTheme="majorBidi" w:cstheme="majorBidi"/>
        </w:rPr>
        <w:t xml:space="preserve"> with outbound calling; no changes were made to the incentive level assigned at the start of data collection.</w:t>
      </w:r>
    </w:p>
    <w:p w14:paraId="7D537FD8" w14:textId="77777777" w:rsidR="002415C2" w:rsidRPr="002415C2" w:rsidRDefault="002415C2" w:rsidP="005E46AA">
      <w:pPr>
        <w:widowControl w:val="0"/>
        <w:spacing w:before="120" w:after="120"/>
        <w:rPr>
          <w:rFonts w:asciiTheme="majorBidi" w:hAnsiTheme="majorBidi" w:cstheme="majorBidi"/>
        </w:rPr>
      </w:pPr>
      <w:r w:rsidRPr="002415C2">
        <w:rPr>
          <w:rFonts w:asciiTheme="majorBidi" w:hAnsiTheme="majorBidi" w:cstheme="majorBidi"/>
          <w:b/>
          <w:bCs/>
        </w:rPr>
        <w:t>Second Experiment: Determine Monetary Incentive Increase.</w:t>
      </w:r>
      <w:r w:rsidRPr="002415C2">
        <w:rPr>
          <w:rFonts w:asciiTheme="majorBidi" w:hAnsiTheme="majorBidi" w:cstheme="majorBidi"/>
          <w:b/>
          <w:bCs/>
          <w:sz w:val="20"/>
          <w:szCs w:val="20"/>
        </w:rPr>
        <w:t xml:space="preserve"> </w:t>
      </w:r>
      <w:r w:rsidRPr="002415C2">
        <w:rPr>
          <w:rFonts w:asciiTheme="majorBidi" w:hAnsiTheme="majorBidi" w:cstheme="majorBidi"/>
          <w:b/>
          <w:bCs/>
        </w:rPr>
        <w:t>Phase 3</w:t>
      </w:r>
      <w:r w:rsidRPr="002415C2">
        <w:rPr>
          <w:rFonts w:asciiTheme="majorBidi" w:hAnsiTheme="majorBidi" w:cstheme="majorBidi"/>
          <w:bCs/>
        </w:rPr>
        <w:t xml:space="preserve">, a </w:t>
      </w:r>
      <w:r w:rsidRPr="002415C2">
        <w:rPr>
          <w:rFonts w:asciiTheme="majorBidi" w:hAnsiTheme="majorBidi" w:cstheme="majorBidi"/>
        </w:rPr>
        <w:t xml:space="preserve">second experiment implemented with the calibration sample, after the first 28 days of Phase 2 data collection, determined the additional incentive amount to offer the remaining </w:t>
      </w:r>
      <w:proofErr w:type="spellStart"/>
      <w:r w:rsidRPr="002415C2">
        <w:rPr>
          <w:rFonts w:asciiTheme="majorBidi" w:hAnsiTheme="majorBidi" w:cstheme="majorBidi"/>
        </w:rPr>
        <w:t>nonrespondents</w:t>
      </w:r>
      <w:proofErr w:type="spellEnd"/>
      <w:r w:rsidRPr="002415C2">
        <w:rPr>
          <w:rFonts w:asciiTheme="majorBidi" w:hAnsiTheme="majorBidi" w:cstheme="majorBidi"/>
        </w:rPr>
        <w:t xml:space="preserve"> with the highest “value” to the data collection, as measured by an “importance score” (see below). During Phase 3, 500 calibration sample </w:t>
      </w:r>
      <w:proofErr w:type="spellStart"/>
      <w:r w:rsidRPr="002415C2">
        <w:rPr>
          <w:rFonts w:asciiTheme="majorBidi" w:hAnsiTheme="majorBidi" w:cstheme="majorBidi"/>
        </w:rPr>
        <w:t>nonrespondents</w:t>
      </w:r>
      <w:proofErr w:type="spellEnd"/>
      <w:r w:rsidRPr="002415C2">
        <w:rPr>
          <w:rFonts w:asciiTheme="majorBidi" w:hAnsiTheme="majorBidi" w:cstheme="majorBidi"/>
        </w:rPr>
        <w:t xml:space="preserve"> with the highest importance scores were randomly assigned to one of three groups to receive an incentive boost of $0, $25, or $45 in addition to the initial offer.</w:t>
      </w:r>
    </w:p>
    <w:p w14:paraId="075C8532" w14:textId="77777777" w:rsidR="002415C2" w:rsidRPr="002415C2" w:rsidRDefault="002415C2" w:rsidP="002415C2">
      <w:pPr>
        <w:spacing w:before="120" w:after="120"/>
        <w:rPr>
          <w:rFonts w:asciiTheme="majorBidi" w:hAnsiTheme="majorBidi" w:cstheme="majorBidi"/>
        </w:rPr>
      </w:pPr>
      <w:r w:rsidRPr="002415C2">
        <w:rPr>
          <w:rFonts w:asciiTheme="majorBidi" w:hAnsiTheme="majorBidi" w:cstheme="majorBidi"/>
        </w:rPr>
        <w:t>Across all initial incentive offers, those who had high importance scores but were in the $0 incentive boost group had a response rate of 14 percent, compared to 21 percent among those who received the $25 incentive boost, and 35 percent among those who received the $45 incentive boost. While the response rate for the $25 group was not statistically higher than the response rate for the $0 incentive group, the response rate for the $45 group was statistically higher than the response rates of both the $25 and the $0 groups. Consequently, $45 was used as the additional incentive increase for the main sample.</w:t>
      </w:r>
    </w:p>
    <w:p w14:paraId="036E8F3B" w14:textId="77777777" w:rsidR="002415C2" w:rsidRPr="002415C2" w:rsidRDefault="002415C2" w:rsidP="002415C2">
      <w:pPr>
        <w:widowControl w:val="0"/>
        <w:spacing w:before="120" w:after="120"/>
      </w:pPr>
      <w:proofErr w:type="gramStart"/>
      <w:r w:rsidRPr="002415C2">
        <w:rPr>
          <w:b/>
          <w:bCs/>
          <w:szCs w:val="20"/>
        </w:rPr>
        <w:t>Importance Measure.</w:t>
      </w:r>
      <w:proofErr w:type="gramEnd"/>
      <w:r w:rsidRPr="002415C2">
        <w:rPr>
          <w:b/>
          <w:bCs/>
          <w:szCs w:val="20"/>
        </w:rPr>
        <w:t xml:space="preserve"> </w:t>
      </w:r>
      <w:r w:rsidRPr="002415C2">
        <w:rPr>
          <w:bCs/>
          <w:szCs w:val="20"/>
        </w:rPr>
        <w:t>Phases 1 and 3 of the BPS</w:t>
      </w:r>
      <w:proofErr w:type="gramStart"/>
      <w:r w:rsidRPr="002415C2">
        <w:rPr>
          <w:bCs/>
          <w:szCs w:val="20"/>
        </w:rPr>
        <w:t>:12</w:t>
      </w:r>
      <w:proofErr w:type="gramEnd"/>
      <w:r w:rsidRPr="002415C2">
        <w:rPr>
          <w:bCs/>
          <w:szCs w:val="20"/>
        </w:rPr>
        <w:t>/14 data collection relied on two models developed specifically for this collection</w:t>
      </w:r>
      <w:r w:rsidRPr="002415C2">
        <w:t xml:space="preserve">. The first, an </w:t>
      </w:r>
      <w:r w:rsidRPr="002415C2">
        <w:rPr>
          <w:i/>
        </w:rPr>
        <w:t>a priori</w:t>
      </w:r>
      <w:r w:rsidRPr="002415C2">
        <w:t xml:space="preserve"> response propensity model, was used to predict the probability of response for each BPS</w:t>
      </w:r>
      <w:proofErr w:type="gramStart"/>
      <w:r w:rsidRPr="002415C2">
        <w:t>:12</w:t>
      </w:r>
      <w:proofErr w:type="gramEnd"/>
      <w:r w:rsidRPr="002415C2">
        <w:t>/14 sample member prior to the start of data collection (and assignment to the initial incentive groups). Because the BPS</w:t>
      </w:r>
      <w:proofErr w:type="gramStart"/>
      <w:r w:rsidRPr="002415C2">
        <w:t>:12</w:t>
      </w:r>
      <w:proofErr w:type="gramEnd"/>
      <w:r w:rsidRPr="002415C2">
        <w:t>/14 sample members were part of the NPSAS:12 sample, predictor variables for model development included sampling frame variables and NPSAS:12 variables including, but not limited to, the following:</w:t>
      </w:r>
    </w:p>
    <w:p w14:paraId="43798986" w14:textId="77777777" w:rsidR="002415C2" w:rsidRPr="002415C2" w:rsidRDefault="002415C2" w:rsidP="002415C2">
      <w:pPr>
        <w:numPr>
          <w:ilvl w:val="0"/>
          <w:numId w:val="15"/>
        </w:numPr>
        <w:ind w:left="1440"/>
      </w:pPr>
      <w:r w:rsidRPr="002415C2">
        <w:t>responded during early completion period,</w:t>
      </w:r>
    </w:p>
    <w:p w14:paraId="289DB146" w14:textId="77777777" w:rsidR="002415C2" w:rsidRPr="002415C2" w:rsidRDefault="002415C2" w:rsidP="002415C2">
      <w:pPr>
        <w:numPr>
          <w:ilvl w:val="0"/>
          <w:numId w:val="15"/>
        </w:numPr>
        <w:ind w:left="1440"/>
      </w:pPr>
      <w:r w:rsidRPr="002415C2">
        <w:t>interview mode (web/telephone),</w:t>
      </w:r>
    </w:p>
    <w:p w14:paraId="44A68ADE" w14:textId="77777777" w:rsidR="002415C2" w:rsidRPr="002415C2" w:rsidRDefault="002415C2" w:rsidP="002415C2">
      <w:pPr>
        <w:numPr>
          <w:ilvl w:val="0"/>
          <w:numId w:val="15"/>
        </w:numPr>
        <w:ind w:left="1440"/>
      </w:pPr>
      <w:r w:rsidRPr="002415C2">
        <w:t>ever refused,</w:t>
      </w:r>
    </w:p>
    <w:p w14:paraId="442A4894" w14:textId="77777777" w:rsidR="002415C2" w:rsidRPr="002415C2" w:rsidRDefault="002415C2" w:rsidP="002415C2">
      <w:pPr>
        <w:numPr>
          <w:ilvl w:val="0"/>
          <w:numId w:val="15"/>
        </w:numPr>
        <w:ind w:left="1440"/>
      </w:pPr>
      <w:r w:rsidRPr="002415C2">
        <w:t>call count, and</w:t>
      </w:r>
    </w:p>
    <w:p w14:paraId="252F3F1E" w14:textId="77777777" w:rsidR="002415C2" w:rsidRPr="002415C2" w:rsidRDefault="002415C2" w:rsidP="002415C2">
      <w:pPr>
        <w:numPr>
          <w:ilvl w:val="0"/>
          <w:numId w:val="15"/>
        </w:numPr>
        <w:spacing w:after="120"/>
        <w:ind w:left="1440"/>
      </w:pPr>
      <w:proofErr w:type="gramStart"/>
      <w:r w:rsidRPr="002415C2">
        <w:t>tracing/locating</w:t>
      </w:r>
      <w:proofErr w:type="gramEnd"/>
      <w:r w:rsidRPr="002415C2">
        <w:t xml:space="preserve"> status (located/required intensive tracing).</w:t>
      </w:r>
    </w:p>
    <w:p w14:paraId="20952436" w14:textId="77777777" w:rsidR="002415C2" w:rsidRPr="002415C2" w:rsidRDefault="002415C2" w:rsidP="002415C2">
      <w:pPr>
        <w:spacing w:before="120" w:after="120"/>
      </w:pPr>
      <w:r w:rsidRPr="002415C2">
        <w:t xml:space="preserve">The second model, a bias-likelihood model, was developed to identify those </w:t>
      </w:r>
      <w:proofErr w:type="spellStart"/>
      <w:r w:rsidRPr="002415C2">
        <w:t>nonrespondents</w:t>
      </w:r>
      <w:proofErr w:type="spellEnd"/>
      <w:r w:rsidRPr="002415C2">
        <w:t xml:space="preserve">, at a given point during data collection, who were most likely to contribute to nonresponse bias. At the beginning of Phase 3, described above, and of the next two phases – local exchange calling (Phase 4) and abbreviated interview for mobile access (Phase 5) – a logistic regression model was used to estimate, not predict, the probability of response for each </w:t>
      </w:r>
      <w:proofErr w:type="spellStart"/>
      <w:r w:rsidRPr="002415C2">
        <w:t>nonrespondent</w:t>
      </w:r>
      <w:proofErr w:type="spellEnd"/>
      <w:r w:rsidRPr="002415C2">
        <w:t xml:space="preserve"> at that point. The estimated probabilities highlight individuals who have underrepresented characteristics among the respondents at the specific point in time. Variables used in the bias-likelihood model were derived from base-year (NPSAS</w:t>
      </w:r>
      <w:proofErr w:type="gramStart"/>
      <w:r w:rsidRPr="002415C2">
        <w:t>:12</w:t>
      </w:r>
      <w:proofErr w:type="gramEnd"/>
      <w:r w:rsidRPr="002415C2">
        <w:t xml:space="preserve">) survey responses, school characteristics, and sampling frame information. It is important to note that </w:t>
      </w:r>
      <w:proofErr w:type="spellStart"/>
      <w:r w:rsidRPr="002415C2">
        <w:t>paradata</w:t>
      </w:r>
      <w:proofErr w:type="spellEnd"/>
      <w:r w:rsidRPr="002415C2">
        <w:t>, such as information on response status in NPSAS</w:t>
      </w:r>
      <w:proofErr w:type="gramStart"/>
      <w:r w:rsidRPr="002415C2">
        <w:t>:12</w:t>
      </w:r>
      <w:proofErr w:type="gramEnd"/>
      <w:r w:rsidRPr="002415C2">
        <w:t xml:space="preserve">, particularly those variables that are highly predictive of </w:t>
      </w:r>
      <w:r w:rsidRPr="002415C2">
        <w:lastRenderedPageBreak/>
        <w:t>response but quite unrelated to the survey variables of interest, were excluded from the bias-likelihood model. Candidate variables for the model included:</w:t>
      </w:r>
    </w:p>
    <w:p w14:paraId="149AFBF1" w14:textId="77777777" w:rsidR="002415C2" w:rsidRPr="002415C2" w:rsidRDefault="002415C2" w:rsidP="002415C2">
      <w:pPr>
        <w:numPr>
          <w:ilvl w:val="0"/>
          <w:numId w:val="14"/>
        </w:numPr>
        <w:ind w:left="1440"/>
      </w:pPr>
      <w:r w:rsidRPr="002415C2">
        <w:t>highest degree expected,</w:t>
      </w:r>
    </w:p>
    <w:p w14:paraId="18C01B9A" w14:textId="77777777" w:rsidR="002415C2" w:rsidRPr="002415C2" w:rsidRDefault="002415C2" w:rsidP="002415C2">
      <w:pPr>
        <w:numPr>
          <w:ilvl w:val="0"/>
          <w:numId w:val="14"/>
        </w:numPr>
        <w:ind w:left="1440"/>
      </w:pPr>
      <w:r w:rsidRPr="002415C2">
        <w:t>parents’ level of education,</w:t>
      </w:r>
    </w:p>
    <w:p w14:paraId="1CEFAEA0" w14:textId="77777777" w:rsidR="002415C2" w:rsidRPr="002415C2" w:rsidRDefault="002415C2" w:rsidP="002415C2">
      <w:pPr>
        <w:numPr>
          <w:ilvl w:val="0"/>
          <w:numId w:val="14"/>
        </w:numPr>
        <w:ind w:left="1440"/>
      </w:pPr>
      <w:r w:rsidRPr="002415C2">
        <w:t>age,</w:t>
      </w:r>
    </w:p>
    <w:p w14:paraId="320AF523" w14:textId="77777777" w:rsidR="002415C2" w:rsidRPr="002415C2" w:rsidRDefault="002415C2" w:rsidP="002415C2">
      <w:pPr>
        <w:numPr>
          <w:ilvl w:val="0"/>
          <w:numId w:val="14"/>
        </w:numPr>
        <w:ind w:left="1440"/>
      </w:pPr>
      <w:r w:rsidRPr="002415C2">
        <w:t>gender,</w:t>
      </w:r>
    </w:p>
    <w:p w14:paraId="696AFE5A" w14:textId="77777777" w:rsidR="002415C2" w:rsidRPr="002415C2" w:rsidRDefault="002415C2" w:rsidP="002415C2">
      <w:pPr>
        <w:numPr>
          <w:ilvl w:val="0"/>
          <w:numId w:val="14"/>
        </w:numPr>
        <w:ind w:left="1440"/>
      </w:pPr>
      <w:r w:rsidRPr="002415C2">
        <w:t>number of dependent children,</w:t>
      </w:r>
    </w:p>
    <w:p w14:paraId="48ACBD34" w14:textId="77777777" w:rsidR="002415C2" w:rsidRPr="002415C2" w:rsidRDefault="002415C2" w:rsidP="002415C2">
      <w:pPr>
        <w:numPr>
          <w:ilvl w:val="0"/>
          <w:numId w:val="14"/>
        </w:numPr>
        <w:ind w:left="1440"/>
      </w:pPr>
      <w:r w:rsidRPr="002415C2">
        <w:t>income percentile,</w:t>
      </w:r>
    </w:p>
    <w:p w14:paraId="25E34D0F" w14:textId="77777777" w:rsidR="002415C2" w:rsidRPr="002415C2" w:rsidRDefault="002415C2" w:rsidP="002415C2">
      <w:pPr>
        <w:numPr>
          <w:ilvl w:val="0"/>
          <w:numId w:val="14"/>
        </w:numPr>
        <w:ind w:left="1440"/>
      </w:pPr>
      <w:r w:rsidRPr="002415C2">
        <w:t>hours worked per week while enrolled,</w:t>
      </w:r>
    </w:p>
    <w:p w14:paraId="1C0FF1C6" w14:textId="77777777" w:rsidR="002415C2" w:rsidRPr="002415C2" w:rsidRDefault="002415C2" w:rsidP="002415C2">
      <w:pPr>
        <w:numPr>
          <w:ilvl w:val="0"/>
          <w:numId w:val="14"/>
        </w:numPr>
        <w:ind w:left="1440"/>
      </w:pPr>
      <w:r w:rsidRPr="002415C2">
        <w:t>school sector,</w:t>
      </w:r>
    </w:p>
    <w:p w14:paraId="2ABAEAAF" w14:textId="77777777" w:rsidR="002415C2" w:rsidRPr="002415C2" w:rsidRDefault="002415C2" w:rsidP="002415C2">
      <w:pPr>
        <w:numPr>
          <w:ilvl w:val="0"/>
          <w:numId w:val="14"/>
        </w:numPr>
        <w:ind w:left="1440"/>
      </w:pPr>
      <w:r w:rsidRPr="002415C2">
        <w:t>undergraduate degree program,</w:t>
      </w:r>
    </w:p>
    <w:p w14:paraId="5FCA066D" w14:textId="77777777" w:rsidR="002415C2" w:rsidRPr="002415C2" w:rsidRDefault="002415C2" w:rsidP="002415C2">
      <w:pPr>
        <w:numPr>
          <w:ilvl w:val="0"/>
          <w:numId w:val="14"/>
        </w:numPr>
        <w:ind w:left="1440"/>
      </w:pPr>
      <w:r w:rsidRPr="002415C2">
        <w:t>expected wage, and</w:t>
      </w:r>
    </w:p>
    <w:p w14:paraId="64656F0B" w14:textId="77777777" w:rsidR="002415C2" w:rsidRPr="002415C2" w:rsidRDefault="002415C2" w:rsidP="002415C2">
      <w:pPr>
        <w:numPr>
          <w:ilvl w:val="0"/>
          <w:numId w:val="14"/>
        </w:numPr>
        <w:spacing w:after="120"/>
        <w:ind w:left="1440"/>
      </w:pPr>
      <w:proofErr w:type="gramStart"/>
      <w:r w:rsidRPr="002415C2">
        <w:t>high</w:t>
      </w:r>
      <w:proofErr w:type="gramEnd"/>
      <w:r w:rsidRPr="002415C2">
        <w:t xml:space="preserve"> school graduation year.</w:t>
      </w:r>
    </w:p>
    <w:p w14:paraId="2261E4F8" w14:textId="77777777" w:rsidR="002415C2" w:rsidRPr="002415C2" w:rsidRDefault="002415C2" w:rsidP="002415C2">
      <w:pPr>
        <w:spacing w:before="120" w:after="120"/>
      </w:pPr>
      <w:r w:rsidRPr="002415C2">
        <w:t xml:space="preserve">Because the variables used in the bias-likelihood model were selected due to their potential ability to act as proxies for survey outcomes, which are unobservable for </w:t>
      </w:r>
      <w:proofErr w:type="spellStart"/>
      <w:r w:rsidRPr="002415C2">
        <w:t>nonrespondents</w:t>
      </w:r>
      <w:proofErr w:type="spellEnd"/>
      <w:r w:rsidRPr="002415C2">
        <w:t xml:space="preserve">, the predicted probabilities from the bias-likelihood model were used to identify </w:t>
      </w:r>
      <w:proofErr w:type="spellStart"/>
      <w:r w:rsidRPr="002415C2">
        <w:t>nonrespondents</w:t>
      </w:r>
      <w:proofErr w:type="spellEnd"/>
      <w:r w:rsidRPr="002415C2">
        <w:t xml:space="preserve"> in the most underrepresented groups, as defined by the variables used in the model. Small predicted probabilities correspond to </w:t>
      </w:r>
      <w:proofErr w:type="spellStart"/>
      <w:r w:rsidRPr="002415C2">
        <w:t>nonrespondents</w:t>
      </w:r>
      <w:proofErr w:type="spellEnd"/>
      <w:r w:rsidRPr="002415C2">
        <w:t xml:space="preserve"> in the most underrepresented groups, i.e. most likely to contribute to bias, while large predicted probabilities identify groups that are, relatively, well-represented among respondents.</w:t>
      </w:r>
    </w:p>
    <w:p w14:paraId="2099CE1F" w14:textId="77777777" w:rsidR="002415C2" w:rsidRPr="002415C2" w:rsidRDefault="002415C2" w:rsidP="002415C2">
      <w:pPr>
        <w:spacing w:before="120" w:after="120"/>
      </w:pPr>
      <w:r w:rsidRPr="002415C2">
        <w:t xml:space="preserve">The importance score was defined for </w:t>
      </w:r>
      <w:proofErr w:type="spellStart"/>
      <w:r w:rsidRPr="002415C2">
        <w:t>nonrespondents</w:t>
      </w:r>
      <w:proofErr w:type="spellEnd"/>
      <w:r w:rsidRPr="002415C2">
        <w:t xml:space="preserve"> as the product of a sample member’s </w:t>
      </w:r>
      <w:r w:rsidRPr="002415C2">
        <w:rPr>
          <w:i/>
        </w:rPr>
        <w:t>a priori</w:t>
      </w:r>
      <w:r w:rsidRPr="002415C2">
        <w:t xml:space="preserve"> predicted probability of response and one minus the sample member’s predicted bias-likelihood probability. </w:t>
      </w:r>
      <w:proofErr w:type="spellStart"/>
      <w:r w:rsidRPr="002415C2">
        <w:t>Nonrespondents</w:t>
      </w:r>
      <w:proofErr w:type="spellEnd"/>
      <w:r w:rsidRPr="002415C2">
        <w:t xml:space="preserve"> with the highest calculated importance score at the beginning of Phases 3, 4, and 5, were considered to be most likely to contribute to nonresponse bias and, therefore, were offered the higher monetary incentive increase (Phase 3), were sent to field and local exchange calling (Phase 4), and were offered an abbreviated interview (Phase 5). An overview of the calibration and main sample data collection activities is provided in table 5.</w:t>
      </w:r>
    </w:p>
    <w:p w14:paraId="47852E70" w14:textId="77777777" w:rsidR="002415C2" w:rsidRPr="002415C2" w:rsidRDefault="002415C2" w:rsidP="002415C2">
      <w:pPr>
        <w:keepNext/>
        <w:spacing w:before="120" w:after="60"/>
        <w:ind w:left="994" w:hanging="994"/>
        <w:rPr>
          <w:rFonts w:ascii="Arial" w:hAnsi="Arial"/>
          <w:b/>
          <w:sz w:val="20"/>
          <w:szCs w:val="20"/>
        </w:rPr>
      </w:pPr>
      <w:bookmarkStart w:id="3" w:name="_Toc456167108"/>
      <w:proofErr w:type="gramStart"/>
      <w:r w:rsidRPr="002415C2">
        <w:rPr>
          <w:rFonts w:ascii="Arial" w:hAnsi="Arial"/>
          <w:b/>
          <w:sz w:val="20"/>
          <w:szCs w:val="20"/>
        </w:rPr>
        <w:t>Table 5.</w:t>
      </w:r>
      <w:proofErr w:type="gramEnd"/>
      <w:r w:rsidRPr="002415C2">
        <w:rPr>
          <w:rFonts w:ascii="Arial" w:hAnsi="Arial"/>
          <w:b/>
          <w:sz w:val="20"/>
          <w:szCs w:val="20"/>
        </w:rPr>
        <w:t xml:space="preserve"> Summary of start dates and activities for each phase of the BPS</w:t>
      </w:r>
      <w:proofErr w:type="gramStart"/>
      <w:r w:rsidRPr="002415C2">
        <w:rPr>
          <w:rFonts w:ascii="Arial" w:hAnsi="Arial"/>
          <w:b/>
          <w:sz w:val="20"/>
          <w:szCs w:val="20"/>
        </w:rPr>
        <w:t>:12</w:t>
      </w:r>
      <w:proofErr w:type="gramEnd"/>
      <w:r w:rsidRPr="002415C2">
        <w:rPr>
          <w:rFonts w:ascii="Arial" w:hAnsi="Arial"/>
          <w:b/>
          <w:sz w:val="20"/>
          <w:szCs w:val="20"/>
        </w:rPr>
        <w:t>/14 data collection, by sample</w:t>
      </w:r>
      <w:bookmarkEnd w:id="3"/>
    </w:p>
    <w:tbl>
      <w:tblPr>
        <w:tblW w:w="5000" w:type="pct"/>
        <w:tblLayout w:type="fixed"/>
        <w:tblLook w:val="04A0" w:firstRow="1" w:lastRow="0" w:firstColumn="1" w:lastColumn="0" w:noHBand="0" w:noVBand="1"/>
      </w:tblPr>
      <w:tblGrid>
        <w:gridCol w:w="806"/>
        <w:gridCol w:w="1282"/>
        <w:gridCol w:w="1351"/>
        <w:gridCol w:w="3499"/>
        <w:gridCol w:w="3502"/>
      </w:tblGrid>
      <w:tr w:rsidR="002415C2" w:rsidRPr="002415C2" w14:paraId="6D7A2485" w14:textId="77777777" w:rsidTr="00C37F47">
        <w:trPr>
          <w:trHeight w:val="300"/>
        </w:trPr>
        <w:tc>
          <w:tcPr>
            <w:tcW w:w="386" w:type="pct"/>
            <w:tcBorders>
              <w:top w:val="single" w:sz="4" w:space="0" w:color="auto"/>
              <w:left w:val="single" w:sz="4" w:space="0" w:color="auto"/>
              <w:bottom w:val="single" w:sz="4" w:space="0" w:color="auto"/>
              <w:right w:val="nil"/>
            </w:tcBorders>
            <w:shd w:val="clear" w:color="auto" w:fill="FFFFFF" w:themeFill="background1"/>
            <w:noWrap/>
            <w:vAlign w:val="center"/>
            <w:hideMark/>
          </w:tcPr>
          <w:p w14:paraId="5B535AD9" w14:textId="77777777" w:rsidR="002415C2" w:rsidRPr="005E46AA" w:rsidRDefault="002415C2" w:rsidP="002415C2">
            <w:pPr>
              <w:keepNext/>
              <w:jc w:val="center"/>
              <w:rPr>
                <w:rFonts w:asciiTheme="minorBidi" w:hAnsiTheme="minorBidi" w:cstheme="minorBidi"/>
                <w:b/>
                <w:color w:val="000000"/>
                <w:sz w:val="20"/>
                <w:szCs w:val="20"/>
              </w:rPr>
            </w:pPr>
            <w:r w:rsidRPr="005E46AA">
              <w:rPr>
                <w:rFonts w:asciiTheme="minorBidi" w:hAnsiTheme="minorBidi" w:cstheme="minorBidi"/>
                <w:b/>
                <w:color w:val="000000"/>
                <w:sz w:val="20"/>
                <w:szCs w:val="20"/>
              </w:rPr>
              <w:t>Phase</w:t>
            </w:r>
          </w:p>
        </w:tc>
        <w:tc>
          <w:tcPr>
            <w:tcW w:w="1261" w:type="pct"/>
            <w:gridSpan w:val="2"/>
            <w:tcBorders>
              <w:top w:val="single" w:sz="4" w:space="0" w:color="auto"/>
              <w:left w:val="single" w:sz="4" w:space="0" w:color="auto"/>
              <w:bottom w:val="nil"/>
              <w:right w:val="single" w:sz="4" w:space="0" w:color="auto"/>
            </w:tcBorders>
            <w:shd w:val="clear" w:color="auto" w:fill="FFFFFF" w:themeFill="background1"/>
            <w:noWrap/>
            <w:vAlign w:val="center"/>
            <w:hideMark/>
          </w:tcPr>
          <w:p w14:paraId="27D120B5" w14:textId="77777777" w:rsidR="002415C2" w:rsidRPr="005E46AA" w:rsidRDefault="002415C2" w:rsidP="002415C2">
            <w:pPr>
              <w:keepNext/>
              <w:jc w:val="center"/>
              <w:rPr>
                <w:rFonts w:asciiTheme="minorBidi" w:hAnsiTheme="minorBidi" w:cstheme="minorBidi"/>
                <w:b/>
                <w:color w:val="000000"/>
                <w:sz w:val="20"/>
                <w:szCs w:val="20"/>
              </w:rPr>
            </w:pPr>
            <w:r w:rsidRPr="005E46AA">
              <w:rPr>
                <w:rFonts w:asciiTheme="minorBidi" w:hAnsiTheme="minorBidi" w:cstheme="minorBidi"/>
                <w:b/>
                <w:color w:val="000000"/>
                <w:sz w:val="20"/>
                <w:szCs w:val="20"/>
              </w:rPr>
              <w:t>Start date</w:t>
            </w:r>
          </w:p>
        </w:tc>
        <w:tc>
          <w:tcPr>
            <w:tcW w:w="3353" w:type="pct"/>
            <w:gridSpan w:val="2"/>
            <w:tcBorders>
              <w:top w:val="single" w:sz="4" w:space="0" w:color="auto"/>
              <w:left w:val="nil"/>
              <w:bottom w:val="nil"/>
              <w:right w:val="single" w:sz="4" w:space="0" w:color="auto"/>
            </w:tcBorders>
            <w:shd w:val="clear" w:color="auto" w:fill="FFFFFF" w:themeFill="background1"/>
            <w:noWrap/>
            <w:vAlign w:val="center"/>
            <w:hideMark/>
          </w:tcPr>
          <w:p w14:paraId="1CE08C7C" w14:textId="77777777" w:rsidR="002415C2" w:rsidRPr="005E46AA" w:rsidRDefault="002415C2" w:rsidP="002415C2">
            <w:pPr>
              <w:keepNext/>
              <w:jc w:val="center"/>
              <w:rPr>
                <w:rFonts w:asciiTheme="minorBidi" w:hAnsiTheme="minorBidi" w:cstheme="minorBidi"/>
                <w:b/>
                <w:color w:val="000000"/>
                <w:sz w:val="20"/>
                <w:szCs w:val="20"/>
              </w:rPr>
            </w:pPr>
            <w:r w:rsidRPr="005E46AA">
              <w:rPr>
                <w:rFonts w:asciiTheme="minorBidi" w:hAnsiTheme="minorBidi" w:cstheme="minorBidi"/>
                <w:b/>
                <w:color w:val="000000"/>
                <w:sz w:val="20"/>
                <w:szCs w:val="20"/>
              </w:rPr>
              <w:t>Activity</w:t>
            </w:r>
          </w:p>
        </w:tc>
      </w:tr>
      <w:tr w:rsidR="002415C2" w:rsidRPr="002415C2" w14:paraId="27BE2481" w14:textId="77777777" w:rsidTr="00C37F47">
        <w:trPr>
          <w:trHeight w:val="30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D7FA5B" w14:textId="77777777" w:rsidR="002415C2" w:rsidRPr="005E46AA" w:rsidRDefault="002415C2" w:rsidP="002415C2">
            <w:pPr>
              <w:keepNext/>
              <w:jc w:val="center"/>
              <w:rPr>
                <w:rFonts w:asciiTheme="minorBidi" w:hAnsiTheme="minorBidi" w:cstheme="minorBidi"/>
                <w:color w:val="000000"/>
                <w:sz w:val="20"/>
                <w:szCs w:val="20"/>
              </w:rPr>
            </w:pPr>
          </w:p>
        </w:tc>
        <w:tc>
          <w:tcPr>
            <w:tcW w:w="614" w:type="pct"/>
            <w:tcBorders>
              <w:top w:val="single" w:sz="4" w:space="0" w:color="auto"/>
              <w:left w:val="nil"/>
              <w:bottom w:val="single" w:sz="4" w:space="0" w:color="auto"/>
              <w:right w:val="single" w:sz="4" w:space="0" w:color="auto"/>
            </w:tcBorders>
            <w:shd w:val="clear" w:color="auto" w:fill="auto"/>
            <w:noWrap/>
            <w:vAlign w:val="center"/>
            <w:hideMark/>
          </w:tcPr>
          <w:p w14:paraId="55AC283C" w14:textId="77777777" w:rsidR="002415C2" w:rsidRPr="005E46AA" w:rsidRDefault="002415C2" w:rsidP="002415C2">
            <w:pPr>
              <w:keepNext/>
              <w:jc w:val="center"/>
              <w:rPr>
                <w:rFonts w:asciiTheme="minorBidi" w:hAnsiTheme="minorBidi" w:cstheme="minorBidi"/>
                <w:b/>
                <w:bCs/>
                <w:color w:val="000000"/>
                <w:sz w:val="20"/>
                <w:szCs w:val="20"/>
              </w:rPr>
            </w:pPr>
            <w:r w:rsidRPr="005E46AA">
              <w:rPr>
                <w:rFonts w:asciiTheme="minorBidi" w:hAnsiTheme="minorBidi" w:cstheme="minorBidi"/>
                <w:b/>
                <w:bCs/>
                <w:color w:val="000000"/>
                <w:sz w:val="20"/>
                <w:szCs w:val="20"/>
              </w:rPr>
              <w:t>Calibration subsample</w:t>
            </w:r>
          </w:p>
        </w:tc>
        <w:tc>
          <w:tcPr>
            <w:tcW w:w="647" w:type="pct"/>
            <w:tcBorders>
              <w:top w:val="single" w:sz="4" w:space="0" w:color="auto"/>
              <w:left w:val="nil"/>
              <w:bottom w:val="single" w:sz="4" w:space="0" w:color="auto"/>
              <w:right w:val="single" w:sz="4" w:space="0" w:color="auto"/>
            </w:tcBorders>
            <w:shd w:val="clear" w:color="auto" w:fill="auto"/>
            <w:noWrap/>
            <w:vAlign w:val="center"/>
            <w:hideMark/>
          </w:tcPr>
          <w:p w14:paraId="489061F6" w14:textId="77777777" w:rsidR="002415C2" w:rsidRPr="005E46AA" w:rsidRDefault="002415C2" w:rsidP="002415C2">
            <w:pPr>
              <w:keepNext/>
              <w:jc w:val="center"/>
              <w:rPr>
                <w:rFonts w:asciiTheme="minorBidi" w:hAnsiTheme="minorBidi" w:cstheme="minorBidi"/>
                <w:b/>
                <w:bCs/>
                <w:color w:val="000000"/>
                <w:sz w:val="20"/>
                <w:szCs w:val="20"/>
              </w:rPr>
            </w:pPr>
            <w:r w:rsidRPr="005E46AA">
              <w:rPr>
                <w:rFonts w:asciiTheme="minorBidi" w:hAnsiTheme="minorBidi" w:cstheme="minorBidi"/>
                <w:b/>
                <w:bCs/>
                <w:color w:val="000000"/>
                <w:sz w:val="20"/>
                <w:szCs w:val="20"/>
              </w:rPr>
              <w:t>Main subsample</w:t>
            </w:r>
          </w:p>
        </w:tc>
        <w:tc>
          <w:tcPr>
            <w:tcW w:w="1676" w:type="pct"/>
            <w:tcBorders>
              <w:top w:val="single" w:sz="4" w:space="0" w:color="auto"/>
              <w:left w:val="nil"/>
              <w:bottom w:val="single" w:sz="4" w:space="0" w:color="auto"/>
              <w:right w:val="single" w:sz="4" w:space="0" w:color="auto"/>
            </w:tcBorders>
            <w:shd w:val="clear" w:color="auto" w:fill="auto"/>
            <w:noWrap/>
            <w:vAlign w:val="center"/>
            <w:hideMark/>
          </w:tcPr>
          <w:p w14:paraId="660AF4E1" w14:textId="77777777" w:rsidR="002415C2" w:rsidRPr="005E46AA" w:rsidRDefault="002415C2" w:rsidP="002415C2">
            <w:pPr>
              <w:keepNext/>
              <w:jc w:val="center"/>
              <w:rPr>
                <w:rFonts w:asciiTheme="minorBidi" w:hAnsiTheme="minorBidi" w:cstheme="minorBidi"/>
                <w:b/>
                <w:bCs/>
                <w:color w:val="000000"/>
                <w:sz w:val="20"/>
                <w:szCs w:val="20"/>
              </w:rPr>
            </w:pPr>
            <w:r w:rsidRPr="005E46AA">
              <w:rPr>
                <w:rFonts w:asciiTheme="minorBidi" w:hAnsiTheme="minorBidi" w:cstheme="minorBidi"/>
                <w:b/>
                <w:bCs/>
                <w:color w:val="000000"/>
                <w:sz w:val="20"/>
                <w:szCs w:val="20"/>
              </w:rPr>
              <w:t>Calibration subsample</w:t>
            </w:r>
          </w:p>
        </w:tc>
        <w:tc>
          <w:tcPr>
            <w:tcW w:w="1677" w:type="pct"/>
            <w:tcBorders>
              <w:top w:val="single" w:sz="4" w:space="0" w:color="auto"/>
              <w:left w:val="nil"/>
              <w:bottom w:val="single" w:sz="4" w:space="0" w:color="auto"/>
              <w:right w:val="single" w:sz="4" w:space="0" w:color="auto"/>
            </w:tcBorders>
            <w:shd w:val="clear" w:color="auto" w:fill="auto"/>
            <w:noWrap/>
            <w:vAlign w:val="center"/>
            <w:hideMark/>
          </w:tcPr>
          <w:p w14:paraId="4D6145C3" w14:textId="77777777" w:rsidR="002415C2" w:rsidRPr="005E46AA" w:rsidRDefault="002415C2" w:rsidP="002415C2">
            <w:pPr>
              <w:keepNext/>
              <w:jc w:val="center"/>
              <w:rPr>
                <w:rFonts w:asciiTheme="minorBidi" w:hAnsiTheme="minorBidi" w:cstheme="minorBidi"/>
                <w:b/>
                <w:bCs/>
                <w:color w:val="000000"/>
                <w:sz w:val="20"/>
                <w:szCs w:val="20"/>
              </w:rPr>
            </w:pPr>
            <w:r w:rsidRPr="005E46AA">
              <w:rPr>
                <w:rFonts w:asciiTheme="minorBidi" w:hAnsiTheme="minorBidi" w:cstheme="minorBidi"/>
                <w:b/>
                <w:bCs/>
                <w:color w:val="000000"/>
                <w:sz w:val="20"/>
                <w:szCs w:val="20"/>
              </w:rPr>
              <w:t>Main subsample</w:t>
            </w:r>
          </w:p>
        </w:tc>
      </w:tr>
      <w:tr w:rsidR="002415C2" w:rsidRPr="002415C2" w14:paraId="05AC2604" w14:textId="77777777" w:rsidTr="00C37F47">
        <w:trPr>
          <w:trHeight w:val="765"/>
        </w:trPr>
        <w:tc>
          <w:tcPr>
            <w:tcW w:w="386" w:type="pct"/>
            <w:tcBorders>
              <w:top w:val="nil"/>
              <w:left w:val="single" w:sz="4" w:space="0" w:color="auto"/>
              <w:bottom w:val="single" w:sz="4" w:space="0" w:color="auto"/>
              <w:right w:val="single" w:sz="4" w:space="0" w:color="auto"/>
            </w:tcBorders>
            <w:shd w:val="clear" w:color="auto" w:fill="auto"/>
            <w:noWrap/>
            <w:vAlign w:val="center"/>
            <w:hideMark/>
          </w:tcPr>
          <w:p w14:paraId="448B3A76" w14:textId="77777777" w:rsidR="002415C2" w:rsidRPr="005E46AA" w:rsidRDefault="002415C2" w:rsidP="002415C2">
            <w:pPr>
              <w:keepNext/>
              <w:jc w:val="center"/>
              <w:rPr>
                <w:rFonts w:asciiTheme="minorBidi" w:hAnsiTheme="minorBidi" w:cstheme="minorBidi"/>
                <w:color w:val="000000"/>
                <w:sz w:val="20"/>
                <w:szCs w:val="20"/>
              </w:rPr>
            </w:pPr>
            <w:r w:rsidRPr="005E46AA">
              <w:rPr>
                <w:rFonts w:asciiTheme="minorBidi" w:hAnsiTheme="minorBidi" w:cstheme="minorBidi"/>
                <w:color w:val="000000"/>
                <w:sz w:val="20"/>
                <w:szCs w:val="20"/>
              </w:rPr>
              <w:t>1</w:t>
            </w:r>
          </w:p>
        </w:tc>
        <w:tc>
          <w:tcPr>
            <w:tcW w:w="614" w:type="pct"/>
            <w:tcBorders>
              <w:top w:val="nil"/>
              <w:left w:val="nil"/>
              <w:bottom w:val="single" w:sz="4" w:space="0" w:color="auto"/>
              <w:right w:val="single" w:sz="4" w:space="0" w:color="auto"/>
            </w:tcBorders>
            <w:shd w:val="clear" w:color="auto" w:fill="auto"/>
            <w:noWrap/>
            <w:vAlign w:val="center"/>
            <w:hideMark/>
          </w:tcPr>
          <w:p w14:paraId="2C4E934A" w14:textId="77777777" w:rsidR="002415C2" w:rsidRPr="005E46AA" w:rsidRDefault="002415C2" w:rsidP="002415C2">
            <w:pPr>
              <w:keepNext/>
              <w:jc w:val="center"/>
              <w:rPr>
                <w:rFonts w:asciiTheme="minorBidi" w:hAnsiTheme="minorBidi" w:cstheme="minorBidi"/>
                <w:color w:val="000000"/>
                <w:sz w:val="20"/>
                <w:szCs w:val="20"/>
              </w:rPr>
            </w:pPr>
            <w:r w:rsidRPr="005E46AA">
              <w:rPr>
                <w:rFonts w:asciiTheme="minorBidi" w:hAnsiTheme="minorBidi" w:cstheme="minorBidi"/>
                <w:color w:val="000000"/>
                <w:sz w:val="20"/>
                <w:szCs w:val="20"/>
              </w:rPr>
              <w:t xml:space="preserve"> 2/18/2014</w:t>
            </w:r>
          </w:p>
        </w:tc>
        <w:tc>
          <w:tcPr>
            <w:tcW w:w="647" w:type="pct"/>
            <w:tcBorders>
              <w:top w:val="nil"/>
              <w:left w:val="nil"/>
              <w:bottom w:val="single" w:sz="4" w:space="0" w:color="auto"/>
              <w:right w:val="single" w:sz="4" w:space="0" w:color="auto"/>
            </w:tcBorders>
            <w:shd w:val="clear" w:color="auto" w:fill="auto"/>
            <w:noWrap/>
            <w:vAlign w:val="center"/>
            <w:hideMark/>
          </w:tcPr>
          <w:p w14:paraId="5D75503A" w14:textId="77777777" w:rsidR="002415C2" w:rsidRPr="005E46AA" w:rsidRDefault="002415C2" w:rsidP="002415C2">
            <w:pPr>
              <w:keepNext/>
              <w:jc w:val="center"/>
              <w:rPr>
                <w:rFonts w:asciiTheme="minorBidi" w:hAnsiTheme="minorBidi" w:cstheme="minorBidi"/>
                <w:color w:val="000000"/>
                <w:sz w:val="20"/>
                <w:szCs w:val="20"/>
              </w:rPr>
            </w:pPr>
            <w:r w:rsidRPr="005E46AA">
              <w:rPr>
                <w:rFonts w:asciiTheme="minorBidi" w:hAnsiTheme="minorBidi" w:cstheme="minorBidi"/>
                <w:color w:val="000000"/>
                <w:sz w:val="20"/>
                <w:szCs w:val="20"/>
              </w:rPr>
              <w:t xml:space="preserve"> 4/8/2014</w:t>
            </w:r>
          </w:p>
        </w:tc>
        <w:tc>
          <w:tcPr>
            <w:tcW w:w="1676" w:type="pct"/>
            <w:tcBorders>
              <w:top w:val="nil"/>
              <w:left w:val="nil"/>
              <w:bottom w:val="single" w:sz="4" w:space="0" w:color="auto"/>
              <w:right w:val="single" w:sz="4" w:space="0" w:color="auto"/>
            </w:tcBorders>
            <w:shd w:val="clear" w:color="auto" w:fill="auto"/>
            <w:vAlign w:val="center"/>
            <w:hideMark/>
          </w:tcPr>
          <w:p w14:paraId="7893B2CF" w14:textId="77777777" w:rsidR="002415C2" w:rsidRPr="005E46AA" w:rsidRDefault="002415C2" w:rsidP="002415C2">
            <w:pPr>
              <w:keepNext/>
              <w:rPr>
                <w:rFonts w:asciiTheme="minorBidi" w:hAnsiTheme="minorBidi" w:cstheme="minorBidi"/>
                <w:color w:val="000000"/>
                <w:sz w:val="20"/>
                <w:szCs w:val="20"/>
              </w:rPr>
            </w:pPr>
            <w:r w:rsidRPr="005E46AA">
              <w:rPr>
                <w:rFonts w:asciiTheme="minorBidi" w:hAnsiTheme="minorBidi" w:cstheme="minorBidi"/>
                <w:color w:val="000000"/>
                <w:sz w:val="20"/>
                <w:szCs w:val="20"/>
              </w:rPr>
              <w:t>Begin web collection; Randomize calibration sample to different baseline incentives (experiment #1)</w:t>
            </w:r>
          </w:p>
        </w:tc>
        <w:tc>
          <w:tcPr>
            <w:tcW w:w="1677" w:type="pct"/>
            <w:tcBorders>
              <w:top w:val="nil"/>
              <w:left w:val="nil"/>
              <w:bottom w:val="single" w:sz="4" w:space="0" w:color="auto"/>
              <w:right w:val="single" w:sz="4" w:space="0" w:color="auto"/>
            </w:tcBorders>
            <w:shd w:val="clear" w:color="auto" w:fill="auto"/>
            <w:vAlign w:val="center"/>
            <w:hideMark/>
          </w:tcPr>
          <w:p w14:paraId="553FA50F" w14:textId="77777777" w:rsidR="002415C2" w:rsidRPr="005E46AA" w:rsidRDefault="002415C2" w:rsidP="002415C2">
            <w:pPr>
              <w:keepNext/>
              <w:rPr>
                <w:rFonts w:asciiTheme="minorBidi" w:hAnsiTheme="minorBidi" w:cstheme="minorBidi"/>
                <w:color w:val="000000"/>
                <w:sz w:val="20"/>
                <w:szCs w:val="20"/>
              </w:rPr>
            </w:pPr>
            <w:r w:rsidRPr="005E46AA">
              <w:rPr>
                <w:rFonts w:asciiTheme="minorBidi" w:hAnsiTheme="minorBidi" w:cstheme="minorBidi"/>
                <w:color w:val="000000"/>
                <w:sz w:val="20"/>
                <w:szCs w:val="20"/>
              </w:rPr>
              <w:t>Begin web collection; baseline incentives determined by results of first calibration experiment</w:t>
            </w:r>
          </w:p>
        </w:tc>
      </w:tr>
      <w:tr w:rsidR="002415C2" w:rsidRPr="002415C2" w14:paraId="366BE29F" w14:textId="77777777" w:rsidTr="00C37F47">
        <w:trPr>
          <w:trHeight w:val="300"/>
        </w:trPr>
        <w:tc>
          <w:tcPr>
            <w:tcW w:w="386" w:type="pct"/>
            <w:tcBorders>
              <w:top w:val="nil"/>
              <w:left w:val="single" w:sz="4" w:space="0" w:color="auto"/>
              <w:bottom w:val="single" w:sz="4" w:space="0" w:color="auto"/>
              <w:right w:val="single" w:sz="4" w:space="0" w:color="auto"/>
            </w:tcBorders>
            <w:shd w:val="clear" w:color="auto" w:fill="auto"/>
            <w:noWrap/>
            <w:vAlign w:val="center"/>
            <w:hideMark/>
          </w:tcPr>
          <w:p w14:paraId="383B1AB4" w14:textId="77777777" w:rsidR="002415C2" w:rsidRPr="005E46AA" w:rsidRDefault="002415C2" w:rsidP="002415C2">
            <w:pPr>
              <w:keepNext/>
              <w:jc w:val="center"/>
              <w:rPr>
                <w:rFonts w:asciiTheme="minorBidi" w:hAnsiTheme="minorBidi" w:cstheme="minorBidi"/>
                <w:color w:val="000000"/>
                <w:sz w:val="20"/>
                <w:szCs w:val="20"/>
              </w:rPr>
            </w:pPr>
            <w:r w:rsidRPr="005E46AA">
              <w:rPr>
                <w:rFonts w:asciiTheme="minorBidi" w:hAnsiTheme="minorBidi" w:cstheme="minorBidi"/>
                <w:color w:val="000000"/>
                <w:sz w:val="20"/>
                <w:szCs w:val="20"/>
              </w:rPr>
              <w:t>2</w:t>
            </w:r>
          </w:p>
        </w:tc>
        <w:tc>
          <w:tcPr>
            <w:tcW w:w="614" w:type="pct"/>
            <w:tcBorders>
              <w:top w:val="nil"/>
              <w:left w:val="nil"/>
              <w:bottom w:val="single" w:sz="4" w:space="0" w:color="auto"/>
              <w:right w:val="single" w:sz="4" w:space="0" w:color="auto"/>
            </w:tcBorders>
            <w:shd w:val="clear" w:color="auto" w:fill="auto"/>
            <w:noWrap/>
            <w:vAlign w:val="center"/>
            <w:hideMark/>
          </w:tcPr>
          <w:p w14:paraId="4E7C4E85" w14:textId="77777777" w:rsidR="002415C2" w:rsidRPr="005E46AA" w:rsidRDefault="002415C2" w:rsidP="002415C2">
            <w:pPr>
              <w:keepNext/>
              <w:jc w:val="center"/>
              <w:rPr>
                <w:rFonts w:asciiTheme="minorBidi" w:hAnsiTheme="minorBidi" w:cstheme="minorBidi"/>
                <w:color w:val="000000"/>
                <w:sz w:val="20"/>
                <w:szCs w:val="20"/>
              </w:rPr>
            </w:pPr>
            <w:r w:rsidRPr="005E46AA">
              <w:rPr>
                <w:rFonts w:asciiTheme="minorBidi" w:hAnsiTheme="minorBidi" w:cstheme="minorBidi"/>
                <w:color w:val="000000"/>
                <w:sz w:val="20"/>
                <w:szCs w:val="20"/>
              </w:rPr>
              <w:t xml:space="preserve"> 3/18/2014</w:t>
            </w:r>
          </w:p>
        </w:tc>
        <w:tc>
          <w:tcPr>
            <w:tcW w:w="647" w:type="pct"/>
            <w:tcBorders>
              <w:top w:val="nil"/>
              <w:left w:val="nil"/>
              <w:bottom w:val="single" w:sz="4" w:space="0" w:color="auto"/>
              <w:right w:val="single" w:sz="4" w:space="0" w:color="auto"/>
            </w:tcBorders>
            <w:shd w:val="clear" w:color="auto" w:fill="auto"/>
            <w:noWrap/>
            <w:vAlign w:val="center"/>
            <w:hideMark/>
          </w:tcPr>
          <w:p w14:paraId="11DD2A12" w14:textId="77777777" w:rsidR="002415C2" w:rsidRPr="005E46AA" w:rsidRDefault="002415C2" w:rsidP="002415C2">
            <w:pPr>
              <w:keepNext/>
              <w:jc w:val="center"/>
              <w:rPr>
                <w:rFonts w:asciiTheme="minorBidi" w:hAnsiTheme="minorBidi" w:cstheme="minorBidi"/>
                <w:color w:val="000000"/>
                <w:sz w:val="20"/>
                <w:szCs w:val="20"/>
              </w:rPr>
            </w:pPr>
            <w:r w:rsidRPr="005E46AA">
              <w:rPr>
                <w:rFonts w:asciiTheme="minorBidi" w:hAnsiTheme="minorBidi" w:cstheme="minorBidi"/>
                <w:color w:val="000000"/>
                <w:sz w:val="20"/>
                <w:szCs w:val="20"/>
              </w:rPr>
              <w:t xml:space="preserve"> 5/6/2014</w:t>
            </w:r>
          </w:p>
        </w:tc>
        <w:tc>
          <w:tcPr>
            <w:tcW w:w="1676" w:type="pct"/>
            <w:tcBorders>
              <w:top w:val="nil"/>
              <w:left w:val="nil"/>
              <w:bottom w:val="single" w:sz="4" w:space="0" w:color="auto"/>
              <w:right w:val="single" w:sz="4" w:space="0" w:color="auto"/>
            </w:tcBorders>
            <w:shd w:val="clear" w:color="auto" w:fill="auto"/>
            <w:noWrap/>
            <w:vAlign w:val="center"/>
            <w:hideMark/>
          </w:tcPr>
          <w:p w14:paraId="6CA3C1A3" w14:textId="77777777" w:rsidR="002415C2" w:rsidRPr="005E46AA" w:rsidRDefault="002415C2" w:rsidP="002415C2">
            <w:pPr>
              <w:keepNext/>
              <w:rPr>
                <w:rFonts w:asciiTheme="minorBidi" w:hAnsiTheme="minorBidi" w:cstheme="minorBidi"/>
                <w:color w:val="000000"/>
                <w:sz w:val="20"/>
                <w:szCs w:val="20"/>
              </w:rPr>
            </w:pPr>
            <w:r w:rsidRPr="005E46AA">
              <w:rPr>
                <w:rFonts w:asciiTheme="minorBidi" w:hAnsiTheme="minorBidi" w:cstheme="minorBidi"/>
                <w:color w:val="000000"/>
                <w:sz w:val="20"/>
                <w:szCs w:val="20"/>
              </w:rPr>
              <w:t>Begin CATI collection</w:t>
            </w:r>
          </w:p>
        </w:tc>
        <w:tc>
          <w:tcPr>
            <w:tcW w:w="1677" w:type="pct"/>
            <w:tcBorders>
              <w:top w:val="nil"/>
              <w:left w:val="nil"/>
              <w:bottom w:val="single" w:sz="4" w:space="0" w:color="auto"/>
              <w:right w:val="single" w:sz="4" w:space="0" w:color="auto"/>
            </w:tcBorders>
            <w:shd w:val="clear" w:color="auto" w:fill="auto"/>
            <w:noWrap/>
            <w:vAlign w:val="center"/>
            <w:hideMark/>
          </w:tcPr>
          <w:p w14:paraId="614886E5" w14:textId="77777777" w:rsidR="002415C2" w:rsidRPr="005E46AA" w:rsidRDefault="002415C2" w:rsidP="002415C2">
            <w:pPr>
              <w:keepNext/>
              <w:rPr>
                <w:rFonts w:asciiTheme="minorBidi" w:hAnsiTheme="minorBidi" w:cstheme="minorBidi"/>
                <w:color w:val="000000"/>
                <w:sz w:val="20"/>
                <w:szCs w:val="20"/>
              </w:rPr>
            </w:pPr>
            <w:r w:rsidRPr="005E46AA">
              <w:rPr>
                <w:rFonts w:asciiTheme="minorBidi" w:hAnsiTheme="minorBidi" w:cstheme="minorBidi"/>
                <w:color w:val="000000"/>
                <w:sz w:val="20"/>
                <w:szCs w:val="20"/>
              </w:rPr>
              <w:t>Begin CATI collection</w:t>
            </w:r>
          </w:p>
        </w:tc>
      </w:tr>
      <w:tr w:rsidR="002415C2" w:rsidRPr="002415C2" w14:paraId="4839CDCC" w14:textId="77777777" w:rsidTr="00C37F47">
        <w:trPr>
          <w:trHeight w:val="557"/>
        </w:trPr>
        <w:tc>
          <w:tcPr>
            <w:tcW w:w="386" w:type="pct"/>
            <w:tcBorders>
              <w:top w:val="nil"/>
              <w:left w:val="single" w:sz="4" w:space="0" w:color="auto"/>
              <w:bottom w:val="single" w:sz="4" w:space="0" w:color="auto"/>
              <w:right w:val="single" w:sz="4" w:space="0" w:color="auto"/>
            </w:tcBorders>
            <w:shd w:val="clear" w:color="auto" w:fill="auto"/>
            <w:noWrap/>
            <w:vAlign w:val="center"/>
            <w:hideMark/>
          </w:tcPr>
          <w:p w14:paraId="63E1C906" w14:textId="77777777" w:rsidR="002415C2" w:rsidRPr="005E46AA" w:rsidRDefault="002415C2" w:rsidP="002415C2">
            <w:pPr>
              <w:keepNext/>
              <w:jc w:val="center"/>
              <w:rPr>
                <w:rFonts w:asciiTheme="minorBidi" w:hAnsiTheme="minorBidi" w:cstheme="minorBidi"/>
                <w:color w:val="000000"/>
                <w:sz w:val="20"/>
                <w:szCs w:val="20"/>
              </w:rPr>
            </w:pPr>
            <w:r w:rsidRPr="005E46AA">
              <w:rPr>
                <w:rFonts w:asciiTheme="minorBidi" w:hAnsiTheme="minorBidi" w:cstheme="minorBidi"/>
                <w:color w:val="000000"/>
                <w:sz w:val="20"/>
                <w:szCs w:val="20"/>
              </w:rPr>
              <w:t>3</w:t>
            </w:r>
          </w:p>
        </w:tc>
        <w:tc>
          <w:tcPr>
            <w:tcW w:w="614" w:type="pct"/>
            <w:tcBorders>
              <w:top w:val="nil"/>
              <w:left w:val="nil"/>
              <w:bottom w:val="single" w:sz="4" w:space="0" w:color="auto"/>
              <w:right w:val="single" w:sz="4" w:space="0" w:color="auto"/>
            </w:tcBorders>
            <w:shd w:val="clear" w:color="auto" w:fill="auto"/>
            <w:noWrap/>
            <w:vAlign w:val="center"/>
            <w:hideMark/>
          </w:tcPr>
          <w:p w14:paraId="67E9CE28" w14:textId="77777777" w:rsidR="002415C2" w:rsidRPr="005E46AA" w:rsidRDefault="002415C2" w:rsidP="002415C2">
            <w:pPr>
              <w:keepNext/>
              <w:jc w:val="center"/>
              <w:rPr>
                <w:rFonts w:asciiTheme="minorBidi" w:hAnsiTheme="minorBidi" w:cstheme="minorBidi"/>
                <w:color w:val="000000"/>
                <w:sz w:val="20"/>
                <w:szCs w:val="20"/>
              </w:rPr>
            </w:pPr>
            <w:r w:rsidRPr="005E46AA">
              <w:rPr>
                <w:rFonts w:asciiTheme="minorBidi" w:hAnsiTheme="minorBidi" w:cstheme="minorBidi"/>
                <w:color w:val="000000"/>
                <w:sz w:val="20"/>
                <w:szCs w:val="20"/>
              </w:rPr>
              <w:t xml:space="preserve"> 4/8/2014</w:t>
            </w:r>
          </w:p>
        </w:tc>
        <w:tc>
          <w:tcPr>
            <w:tcW w:w="647" w:type="pct"/>
            <w:tcBorders>
              <w:top w:val="nil"/>
              <w:left w:val="nil"/>
              <w:bottom w:val="single" w:sz="4" w:space="0" w:color="auto"/>
              <w:right w:val="single" w:sz="4" w:space="0" w:color="auto"/>
            </w:tcBorders>
            <w:shd w:val="clear" w:color="auto" w:fill="auto"/>
            <w:noWrap/>
            <w:vAlign w:val="center"/>
            <w:hideMark/>
          </w:tcPr>
          <w:p w14:paraId="0F96D2B7" w14:textId="77777777" w:rsidR="002415C2" w:rsidRPr="005E46AA" w:rsidRDefault="002415C2" w:rsidP="002415C2">
            <w:pPr>
              <w:keepNext/>
              <w:jc w:val="center"/>
              <w:rPr>
                <w:rFonts w:asciiTheme="minorBidi" w:hAnsiTheme="minorBidi" w:cstheme="minorBidi"/>
                <w:color w:val="000000"/>
                <w:sz w:val="20"/>
                <w:szCs w:val="20"/>
              </w:rPr>
            </w:pPr>
            <w:r w:rsidRPr="005E46AA">
              <w:rPr>
                <w:rFonts w:asciiTheme="minorBidi" w:hAnsiTheme="minorBidi" w:cstheme="minorBidi"/>
                <w:color w:val="000000"/>
                <w:sz w:val="20"/>
                <w:szCs w:val="20"/>
              </w:rPr>
              <w:t xml:space="preserve"> 5/27/2014</w:t>
            </w:r>
          </w:p>
        </w:tc>
        <w:tc>
          <w:tcPr>
            <w:tcW w:w="1676" w:type="pct"/>
            <w:tcBorders>
              <w:top w:val="nil"/>
              <w:left w:val="nil"/>
              <w:bottom w:val="single" w:sz="4" w:space="0" w:color="auto"/>
              <w:right w:val="single" w:sz="4" w:space="0" w:color="auto"/>
            </w:tcBorders>
            <w:shd w:val="clear" w:color="auto" w:fill="auto"/>
            <w:vAlign w:val="center"/>
            <w:hideMark/>
          </w:tcPr>
          <w:p w14:paraId="281E6576" w14:textId="77777777" w:rsidR="002415C2" w:rsidRPr="005E46AA" w:rsidRDefault="002415C2" w:rsidP="002415C2">
            <w:pPr>
              <w:keepNext/>
              <w:rPr>
                <w:rFonts w:asciiTheme="minorBidi" w:hAnsiTheme="minorBidi" w:cstheme="minorBidi"/>
                <w:color w:val="000000"/>
                <w:sz w:val="20"/>
                <w:szCs w:val="20"/>
              </w:rPr>
            </w:pPr>
            <w:r w:rsidRPr="005E46AA">
              <w:rPr>
                <w:rFonts w:asciiTheme="minorBidi" w:hAnsiTheme="minorBidi" w:cstheme="minorBidi"/>
                <w:color w:val="000000"/>
                <w:sz w:val="20"/>
                <w:szCs w:val="20"/>
              </w:rPr>
              <w:t xml:space="preserve">Randomize calibration sample </w:t>
            </w:r>
            <w:proofErr w:type="spellStart"/>
            <w:r w:rsidRPr="005E46AA">
              <w:rPr>
                <w:rFonts w:asciiTheme="minorBidi" w:hAnsiTheme="minorBidi" w:cstheme="minorBidi"/>
                <w:color w:val="000000"/>
                <w:sz w:val="20"/>
                <w:szCs w:val="20"/>
              </w:rPr>
              <w:t>nonrespondents</w:t>
            </w:r>
            <w:proofErr w:type="spellEnd"/>
            <w:r w:rsidRPr="005E46AA">
              <w:rPr>
                <w:rFonts w:asciiTheme="minorBidi" w:hAnsiTheme="minorBidi" w:cstheme="minorBidi"/>
                <w:color w:val="000000"/>
                <w:sz w:val="20"/>
                <w:szCs w:val="20"/>
              </w:rPr>
              <w:t xml:space="preserve"> to different monetary incentive increases (experiment #2)</w:t>
            </w:r>
          </w:p>
        </w:tc>
        <w:tc>
          <w:tcPr>
            <w:tcW w:w="1677" w:type="pct"/>
            <w:tcBorders>
              <w:top w:val="nil"/>
              <w:left w:val="nil"/>
              <w:bottom w:val="single" w:sz="4" w:space="0" w:color="auto"/>
              <w:right w:val="single" w:sz="4" w:space="0" w:color="auto"/>
            </w:tcBorders>
            <w:shd w:val="clear" w:color="auto" w:fill="auto"/>
            <w:vAlign w:val="center"/>
            <w:hideMark/>
          </w:tcPr>
          <w:p w14:paraId="31273570" w14:textId="77777777" w:rsidR="002415C2" w:rsidRPr="005E46AA" w:rsidRDefault="002415C2" w:rsidP="002415C2">
            <w:pPr>
              <w:keepNext/>
              <w:rPr>
                <w:rFonts w:asciiTheme="minorBidi" w:hAnsiTheme="minorBidi" w:cstheme="minorBidi"/>
                <w:color w:val="000000"/>
                <w:sz w:val="20"/>
                <w:szCs w:val="20"/>
              </w:rPr>
            </w:pPr>
            <w:r w:rsidRPr="005E46AA">
              <w:rPr>
                <w:rFonts w:asciiTheme="minorBidi" w:hAnsiTheme="minorBidi" w:cstheme="minorBidi"/>
                <w:color w:val="000000"/>
                <w:sz w:val="20"/>
                <w:szCs w:val="20"/>
              </w:rPr>
              <w:t xml:space="preserve">Construct importance score and offer incentive increase to select </w:t>
            </w:r>
            <w:proofErr w:type="spellStart"/>
            <w:r w:rsidRPr="005E46AA">
              <w:rPr>
                <w:rFonts w:asciiTheme="minorBidi" w:hAnsiTheme="minorBidi" w:cstheme="minorBidi"/>
                <w:color w:val="000000"/>
                <w:sz w:val="20"/>
                <w:szCs w:val="20"/>
              </w:rPr>
              <w:t>nonrespondents</w:t>
            </w:r>
            <w:proofErr w:type="spellEnd"/>
            <w:r w:rsidRPr="005E46AA">
              <w:rPr>
                <w:rFonts w:asciiTheme="minorBidi" w:hAnsiTheme="minorBidi" w:cstheme="minorBidi"/>
                <w:color w:val="000000"/>
                <w:sz w:val="20"/>
                <w:szCs w:val="20"/>
              </w:rPr>
              <w:t>; incentive increase determined by results of second calibration experiment</w:t>
            </w:r>
          </w:p>
        </w:tc>
      </w:tr>
      <w:tr w:rsidR="002415C2" w:rsidRPr="002415C2" w14:paraId="214593D7" w14:textId="77777777" w:rsidTr="00C37F47">
        <w:trPr>
          <w:trHeight w:val="510"/>
        </w:trPr>
        <w:tc>
          <w:tcPr>
            <w:tcW w:w="386" w:type="pct"/>
            <w:tcBorders>
              <w:top w:val="nil"/>
              <w:left w:val="single" w:sz="4" w:space="0" w:color="auto"/>
              <w:bottom w:val="single" w:sz="4" w:space="0" w:color="auto"/>
              <w:right w:val="single" w:sz="4" w:space="0" w:color="auto"/>
            </w:tcBorders>
            <w:shd w:val="clear" w:color="auto" w:fill="auto"/>
            <w:noWrap/>
            <w:vAlign w:val="center"/>
            <w:hideMark/>
          </w:tcPr>
          <w:p w14:paraId="6C98E938" w14:textId="77777777" w:rsidR="002415C2" w:rsidRPr="005E46AA" w:rsidRDefault="002415C2" w:rsidP="002415C2">
            <w:pPr>
              <w:keepNext/>
              <w:jc w:val="center"/>
              <w:rPr>
                <w:rFonts w:asciiTheme="minorBidi" w:hAnsiTheme="minorBidi" w:cstheme="minorBidi"/>
                <w:color w:val="000000"/>
                <w:sz w:val="20"/>
                <w:szCs w:val="20"/>
              </w:rPr>
            </w:pPr>
            <w:r w:rsidRPr="005E46AA">
              <w:rPr>
                <w:rFonts w:asciiTheme="minorBidi" w:hAnsiTheme="minorBidi" w:cstheme="minorBidi"/>
                <w:color w:val="000000"/>
                <w:sz w:val="20"/>
                <w:szCs w:val="20"/>
              </w:rPr>
              <w:t>4</w:t>
            </w:r>
          </w:p>
        </w:tc>
        <w:tc>
          <w:tcPr>
            <w:tcW w:w="614" w:type="pct"/>
            <w:tcBorders>
              <w:top w:val="nil"/>
              <w:left w:val="nil"/>
              <w:bottom w:val="single" w:sz="4" w:space="0" w:color="auto"/>
              <w:right w:val="single" w:sz="4" w:space="0" w:color="auto"/>
            </w:tcBorders>
            <w:shd w:val="clear" w:color="auto" w:fill="auto"/>
            <w:noWrap/>
            <w:vAlign w:val="center"/>
            <w:hideMark/>
          </w:tcPr>
          <w:p w14:paraId="4137E894" w14:textId="77777777" w:rsidR="002415C2" w:rsidRPr="005E46AA" w:rsidRDefault="002415C2" w:rsidP="002415C2">
            <w:pPr>
              <w:keepNext/>
              <w:jc w:val="center"/>
              <w:rPr>
                <w:rFonts w:asciiTheme="minorBidi" w:hAnsiTheme="minorBidi" w:cstheme="minorBidi"/>
                <w:color w:val="000000"/>
                <w:sz w:val="20"/>
                <w:szCs w:val="20"/>
              </w:rPr>
            </w:pPr>
            <w:r w:rsidRPr="005E46AA">
              <w:rPr>
                <w:rFonts w:asciiTheme="minorBidi" w:hAnsiTheme="minorBidi" w:cstheme="minorBidi"/>
                <w:color w:val="000000"/>
                <w:sz w:val="20"/>
                <w:szCs w:val="20"/>
              </w:rPr>
              <w:t xml:space="preserve"> 5/6/2014</w:t>
            </w:r>
          </w:p>
        </w:tc>
        <w:tc>
          <w:tcPr>
            <w:tcW w:w="647" w:type="pct"/>
            <w:tcBorders>
              <w:top w:val="nil"/>
              <w:left w:val="nil"/>
              <w:bottom w:val="single" w:sz="4" w:space="0" w:color="auto"/>
              <w:right w:val="single" w:sz="4" w:space="0" w:color="auto"/>
            </w:tcBorders>
            <w:shd w:val="clear" w:color="auto" w:fill="auto"/>
            <w:noWrap/>
            <w:vAlign w:val="center"/>
            <w:hideMark/>
          </w:tcPr>
          <w:p w14:paraId="18E24A83" w14:textId="77777777" w:rsidR="002415C2" w:rsidRPr="005E46AA" w:rsidRDefault="002415C2" w:rsidP="002415C2">
            <w:pPr>
              <w:keepNext/>
              <w:jc w:val="center"/>
              <w:rPr>
                <w:rFonts w:asciiTheme="minorBidi" w:hAnsiTheme="minorBidi" w:cstheme="minorBidi"/>
                <w:color w:val="000000"/>
                <w:sz w:val="20"/>
                <w:szCs w:val="20"/>
              </w:rPr>
            </w:pPr>
            <w:r w:rsidRPr="005E46AA">
              <w:rPr>
                <w:rFonts w:asciiTheme="minorBidi" w:hAnsiTheme="minorBidi" w:cstheme="minorBidi"/>
                <w:color w:val="000000"/>
                <w:sz w:val="20"/>
                <w:szCs w:val="20"/>
              </w:rPr>
              <w:t xml:space="preserve"> 6/24/2014</w:t>
            </w:r>
          </w:p>
        </w:tc>
        <w:tc>
          <w:tcPr>
            <w:tcW w:w="1676" w:type="pct"/>
            <w:tcBorders>
              <w:top w:val="nil"/>
              <w:left w:val="nil"/>
              <w:bottom w:val="single" w:sz="4" w:space="0" w:color="auto"/>
              <w:right w:val="single" w:sz="4" w:space="0" w:color="auto"/>
            </w:tcBorders>
            <w:shd w:val="clear" w:color="auto" w:fill="auto"/>
            <w:vAlign w:val="center"/>
            <w:hideMark/>
          </w:tcPr>
          <w:p w14:paraId="3C5147C6" w14:textId="77777777" w:rsidR="002415C2" w:rsidRPr="005E46AA" w:rsidRDefault="002415C2" w:rsidP="002415C2">
            <w:pPr>
              <w:keepNext/>
              <w:rPr>
                <w:rFonts w:asciiTheme="minorBidi" w:hAnsiTheme="minorBidi" w:cstheme="minorBidi"/>
                <w:color w:val="000000"/>
                <w:sz w:val="20"/>
                <w:szCs w:val="20"/>
              </w:rPr>
            </w:pPr>
            <w:r w:rsidRPr="005E46AA">
              <w:rPr>
                <w:rFonts w:asciiTheme="minorBidi" w:hAnsiTheme="minorBidi" w:cstheme="minorBidi"/>
                <w:color w:val="000000"/>
                <w:sz w:val="20"/>
                <w:szCs w:val="20"/>
              </w:rPr>
              <w:t xml:space="preserve">Construct importance score and identify select </w:t>
            </w:r>
            <w:proofErr w:type="spellStart"/>
            <w:r w:rsidRPr="005E46AA">
              <w:rPr>
                <w:rFonts w:asciiTheme="minorBidi" w:hAnsiTheme="minorBidi" w:cstheme="minorBidi"/>
                <w:color w:val="000000"/>
                <w:sz w:val="20"/>
                <w:szCs w:val="20"/>
              </w:rPr>
              <w:t>nonrespondents</w:t>
            </w:r>
            <w:proofErr w:type="spellEnd"/>
            <w:r w:rsidRPr="005E46AA">
              <w:rPr>
                <w:rFonts w:asciiTheme="minorBidi" w:hAnsiTheme="minorBidi" w:cstheme="minorBidi"/>
                <w:color w:val="000000"/>
                <w:sz w:val="20"/>
                <w:szCs w:val="20"/>
              </w:rPr>
              <w:t xml:space="preserve"> for Field/local exchange calling for targeted cases</w:t>
            </w:r>
          </w:p>
        </w:tc>
        <w:tc>
          <w:tcPr>
            <w:tcW w:w="1677" w:type="pct"/>
            <w:tcBorders>
              <w:top w:val="nil"/>
              <w:left w:val="nil"/>
              <w:bottom w:val="single" w:sz="4" w:space="0" w:color="auto"/>
              <w:right w:val="single" w:sz="4" w:space="0" w:color="auto"/>
            </w:tcBorders>
            <w:shd w:val="clear" w:color="auto" w:fill="auto"/>
            <w:vAlign w:val="center"/>
            <w:hideMark/>
          </w:tcPr>
          <w:p w14:paraId="153B5C03" w14:textId="77777777" w:rsidR="002415C2" w:rsidRPr="005E46AA" w:rsidRDefault="002415C2" w:rsidP="002415C2">
            <w:pPr>
              <w:keepNext/>
              <w:rPr>
                <w:rFonts w:asciiTheme="minorBidi" w:hAnsiTheme="minorBidi" w:cstheme="minorBidi"/>
                <w:color w:val="000000"/>
                <w:sz w:val="20"/>
                <w:szCs w:val="20"/>
              </w:rPr>
            </w:pPr>
            <w:r w:rsidRPr="005E46AA">
              <w:rPr>
                <w:rFonts w:asciiTheme="minorBidi" w:hAnsiTheme="minorBidi" w:cstheme="minorBidi"/>
                <w:color w:val="000000"/>
                <w:sz w:val="20"/>
                <w:szCs w:val="20"/>
              </w:rPr>
              <w:t xml:space="preserve">Construct importance score and identify select </w:t>
            </w:r>
            <w:proofErr w:type="spellStart"/>
            <w:r w:rsidRPr="005E46AA">
              <w:rPr>
                <w:rFonts w:asciiTheme="minorBidi" w:hAnsiTheme="minorBidi" w:cstheme="minorBidi"/>
                <w:color w:val="000000"/>
                <w:sz w:val="20"/>
                <w:szCs w:val="20"/>
              </w:rPr>
              <w:t>nonrespondents</w:t>
            </w:r>
            <w:proofErr w:type="spellEnd"/>
            <w:r w:rsidRPr="005E46AA">
              <w:rPr>
                <w:rFonts w:asciiTheme="minorBidi" w:hAnsiTheme="minorBidi" w:cstheme="minorBidi"/>
                <w:color w:val="000000"/>
                <w:sz w:val="20"/>
                <w:szCs w:val="20"/>
              </w:rPr>
              <w:t xml:space="preserve"> for Field/local exchange calling for targeted cases</w:t>
            </w:r>
          </w:p>
        </w:tc>
      </w:tr>
      <w:tr w:rsidR="002415C2" w:rsidRPr="002415C2" w14:paraId="5069EB1B" w14:textId="77777777" w:rsidTr="00C37F47">
        <w:trPr>
          <w:trHeight w:val="510"/>
        </w:trPr>
        <w:tc>
          <w:tcPr>
            <w:tcW w:w="386" w:type="pct"/>
            <w:tcBorders>
              <w:top w:val="nil"/>
              <w:left w:val="single" w:sz="4" w:space="0" w:color="auto"/>
              <w:bottom w:val="single" w:sz="4" w:space="0" w:color="auto"/>
              <w:right w:val="single" w:sz="4" w:space="0" w:color="auto"/>
            </w:tcBorders>
            <w:shd w:val="clear" w:color="auto" w:fill="auto"/>
            <w:noWrap/>
            <w:vAlign w:val="center"/>
            <w:hideMark/>
          </w:tcPr>
          <w:p w14:paraId="05457427" w14:textId="77777777" w:rsidR="002415C2" w:rsidRPr="005E46AA" w:rsidRDefault="002415C2" w:rsidP="002415C2">
            <w:pPr>
              <w:keepNext/>
              <w:jc w:val="center"/>
              <w:rPr>
                <w:rFonts w:asciiTheme="minorBidi" w:hAnsiTheme="minorBidi" w:cstheme="minorBidi"/>
                <w:color w:val="000000"/>
                <w:sz w:val="20"/>
                <w:szCs w:val="20"/>
              </w:rPr>
            </w:pPr>
            <w:r w:rsidRPr="005E46AA">
              <w:rPr>
                <w:rFonts w:asciiTheme="minorBidi" w:hAnsiTheme="minorBidi" w:cstheme="minorBidi"/>
                <w:color w:val="000000"/>
                <w:sz w:val="20"/>
                <w:szCs w:val="20"/>
              </w:rPr>
              <w:t>5</w:t>
            </w:r>
          </w:p>
        </w:tc>
        <w:tc>
          <w:tcPr>
            <w:tcW w:w="614" w:type="pct"/>
            <w:tcBorders>
              <w:top w:val="nil"/>
              <w:left w:val="nil"/>
              <w:bottom w:val="single" w:sz="4" w:space="0" w:color="auto"/>
              <w:right w:val="single" w:sz="4" w:space="0" w:color="auto"/>
            </w:tcBorders>
            <w:shd w:val="clear" w:color="auto" w:fill="auto"/>
            <w:noWrap/>
            <w:vAlign w:val="center"/>
            <w:hideMark/>
          </w:tcPr>
          <w:p w14:paraId="5485B5DD" w14:textId="77777777" w:rsidR="002415C2" w:rsidRPr="005E46AA" w:rsidRDefault="002415C2" w:rsidP="002415C2">
            <w:pPr>
              <w:keepNext/>
              <w:jc w:val="center"/>
              <w:rPr>
                <w:rFonts w:asciiTheme="minorBidi" w:hAnsiTheme="minorBidi" w:cstheme="minorBidi"/>
                <w:color w:val="000000"/>
                <w:sz w:val="20"/>
                <w:szCs w:val="20"/>
              </w:rPr>
            </w:pPr>
            <w:r w:rsidRPr="005E46AA">
              <w:rPr>
                <w:rFonts w:asciiTheme="minorBidi" w:hAnsiTheme="minorBidi" w:cstheme="minorBidi"/>
                <w:color w:val="000000"/>
                <w:sz w:val="20"/>
                <w:szCs w:val="20"/>
              </w:rPr>
              <w:t xml:space="preserve"> 7/15/2014</w:t>
            </w:r>
          </w:p>
        </w:tc>
        <w:tc>
          <w:tcPr>
            <w:tcW w:w="647" w:type="pct"/>
            <w:tcBorders>
              <w:top w:val="nil"/>
              <w:left w:val="nil"/>
              <w:bottom w:val="single" w:sz="4" w:space="0" w:color="auto"/>
              <w:right w:val="single" w:sz="4" w:space="0" w:color="auto"/>
            </w:tcBorders>
            <w:shd w:val="clear" w:color="auto" w:fill="auto"/>
            <w:noWrap/>
            <w:vAlign w:val="center"/>
            <w:hideMark/>
          </w:tcPr>
          <w:p w14:paraId="289EB3E2" w14:textId="77777777" w:rsidR="002415C2" w:rsidRPr="005E46AA" w:rsidRDefault="002415C2" w:rsidP="002415C2">
            <w:pPr>
              <w:keepNext/>
              <w:jc w:val="center"/>
              <w:rPr>
                <w:rFonts w:asciiTheme="minorBidi" w:hAnsiTheme="minorBidi" w:cstheme="minorBidi"/>
                <w:color w:val="000000"/>
                <w:sz w:val="20"/>
                <w:szCs w:val="20"/>
              </w:rPr>
            </w:pPr>
            <w:r w:rsidRPr="005E46AA">
              <w:rPr>
                <w:rFonts w:asciiTheme="minorBidi" w:hAnsiTheme="minorBidi" w:cstheme="minorBidi"/>
                <w:color w:val="000000"/>
                <w:sz w:val="20"/>
                <w:szCs w:val="20"/>
              </w:rPr>
              <w:t xml:space="preserve"> 9/2/2014</w:t>
            </w:r>
          </w:p>
        </w:tc>
        <w:tc>
          <w:tcPr>
            <w:tcW w:w="1676" w:type="pct"/>
            <w:tcBorders>
              <w:top w:val="nil"/>
              <w:left w:val="nil"/>
              <w:bottom w:val="single" w:sz="4" w:space="0" w:color="auto"/>
              <w:right w:val="single" w:sz="4" w:space="0" w:color="auto"/>
            </w:tcBorders>
            <w:shd w:val="clear" w:color="auto" w:fill="auto"/>
            <w:vAlign w:val="center"/>
            <w:hideMark/>
          </w:tcPr>
          <w:p w14:paraId="6B679B59" w14:textId="77777777" w:rsidR="002415C2" w:rsidRPr="005E46AA" w:rsidRDefault="002415C2" w:rsidP="002415C2">
            <w:pPr>
              <w:keepNext/>
              <w:rPr>
                <w:rFonts w:asciiTheme="minorBidi" w:hAnsiTheme="minorBidi" w:cstheme="minorBidi"/>
                <w:color w:val="000000"/>
                <w:sz w:val="20"/>
                <w:szCs w:val="20"/>
              </w:rPr>
            </w:pPr>
            <w:r w:rsidRPr="005E46AA">
              <w:rPr>
                <w:rFonts w:asciiTheme="minorBidi" w:hAnsiTheme="minorBidi" w:cstheme="minorBidi"/>
                <w:color w:val="000000"/>
                <w:sz w:val="20"/>
                <w:szCs w:val="20"/>
              </w:rPr>
              <w:t xml:space="preserve">Construct importance score and identify select </w:t>
            </w:r>
            <w:proofErr w:type="spellStart"/>
            <w:r w:rsidRPr="005E46AA">
              <w:rPr>
                <w:rFonts w:asciiTheme="minorBidi" w:hAnsiTheme="minorBidi" w:cstheme="minorBidi"/>
                <w:color w:val="000000"/>
                <w:sz w:val="20"/>
                <w:szCs w:val="20"/>
              </w:rPr>
              <w:t>nonrespondents</w:t>
            </w:r>
            <w:proofErr w:type="spellEnd"/>
            <w:r w:rsidRPr="005E46AA">
              <w:rPr>
                <w:rFonts w:asciiTheme="minorBidi" w:hAnsiTheme="minorBidi" w:cstheme="minorBidi"/>
                <w:color w:val="000000"/>
                <w:sz w:val="20"/>
                <w:szCs w:val="20"/>
              </w:rPr>
              <w:t xml:space="preserve"> for abbreviated interview with mobile access</w:t>
            </w:r>
          </w:p>
        </w:tc>
        <w:tc>
          <w:tcPr>
            <w:tcW w:w="1677" w:type="pct"/>
            <w:tcBorders>
              <w:top w:val="nil"/>
              <w:left w:val="nil"/>
              <w:bottom w:val="single" w:sz="4" w:space="0" w:color="auto"/>
              <w:right w:val="single" w:sz="4" w:space="0" w:color="auto"/>
            </w:tcBorders>
            <w:shd w:val="clear" w:color="auto" w:fill="auto"/>
            <w:vAlign w:val="center"/>
            <w:hideMark/>
          </w:tcPr>
          <w:p w14:paraId="00BF92A8" w14:textId="77777777" w:rsidR="002415C2" w:rsidRPr="005E46AA" w:rsidRDefault="002415C2" w:rsidP="002415C2">
            <w:pPr>
              <w:keepNext/>
              <w:rPr>
                <w:rFonts w:asciiTheme="minorBidi" w:hAnsiTheme="minorBidi" w:cstheme="minorBidi"/>
                <w:color w:val="000000"/>
                <w:sz w:val="20"/>
                <w:szCs w:val="20"/>
              </w:rPr>
            </w:pPr>
            <w:r w:rsidRPr="005E46AA">
              <w:rPr>
                <w:rFonts w:asciiTheme="minorBidi" w:hAnsiTheme="minorBidi" w:cstheme="minorBidi"/>
                <w:color w:val="000000"/>
                <w:sz w:val="20"/>
                <w:szCs w:val="20"/>
              </w:rPr>
              <w:t xml:space="preserve">Construct importance score and identify select </w:t>
            </w:r>
            <w:proofErr w:type="spellStart"/>
            <w:r w:rsidRPr="005E46AA">
              <w:rPr>
                <w:rFonts w:asciiTheme="minorBidi" w:hAnsiTheme="minorBidi" w:cstheme="minorBidi"/>
                <w:color w:val="000000"/>
                <w:sz w:val="20"/>
                <w:szCs w:val="20"/>
              </w:rPr>
              <w:t>nonrespondents</w:t>
            </w:r>
            <w:proofErr w:type="spellEnd"/>
            <w:r w:rsidRPr="005E46AA">
              <w:rPr>
                <w:rFonts w:asciiTheme="minorBidi" w:hAnsiTheme="minorBidi" w:cstheme="minorBidi"/>
                <w:color w:val="000000"/>
                <w:sz w:val="20"/>
                <w:szCs w:val="20"/>
              </w:rPr>
              <w:t xml:space="preserve"> for abbreviated interview with mobile access </w:t>
            </w:r>
          </w:p>
        </w:tc>
      </w:tr>
      <w:tr w:rsidR="002415C2" w:rsidRPr="002415C2" w14:paraId="510547A2" w14:textId="77777777" w:rsidTr="00C37F47">
        <w:trPr>
          <w:trHeight w:val="510"/>
        </w:trPr>
        <w:tc>
          <w:tcPr>
            <w:tcW w:w="386" w:type="pct"/>
            <w:tcBorders>
              <w:top w:val="nil"/>
              <w:left w:val="single" w:sz="4" w:space="0" w:color="auto"/>
              <w:bottom w:val="single" w:sz="4" w:space="0" w:color="auto"/>
              <w:right w:val="single" w:sz="4" w:space="0" w:color="auto"/>
            </w:tcBorders>
            <w:shd w:val="clear" w:color="auto" w:fill="auto"/>
            <w:noWrap/>
            <w:vAlign w:val="center"/>
            <w:hideMark/>
          </w:tcPr>
          <w:p w14:paraId="0A6D4DDE" w14:textId="77777777" w:rsidR="002415C2" w:rsidRPr="005E46AA" w:rsidRDefault="002415C2" w:rsidP="002415C2">
            <w:pPr>
              <w:keepNext/>
              <w:jc w:val="center"/>
              <w:rPr>
                <w:rFonts w:asciiTheme="minorBidi" w:hAnsiTheme="minorBidi" w:cstheme="minorBidi"/>
                <w:color w:val="000000"/>
                <w:sz w:val="20"/>
                <w:szCs w:val="20"/>
              </w:rPr>
            </w:pPr>
            <w:r w:rsidRPr="005E46AA">
              <w:rPr>
                <w:rFonts w:asciiTheme="minorBidi" w:hAnsiTheme="minorBidi" w:cstheme="minorBidi"/>
                <w:color w:val="000000"/>
                <w:sz w:val="20"/>
                <w:szCs w:val="20"/>
              </w:rPr>
              <w:t>6</w:t>
            </w:r>
          </w:p>
        </w:tc>
        <w:tc>
          <w:tcPr>
            <w:tcW w:w="614" w:type="pct"/>
            <w:tcBorders>
              <w:top w:val="nil"/>
              <w:left w:val="nil"/>
              <w:bottom w:val="single" w:sz="4" w:space="0" w:color="auto"/>
              <w:right w:val="single" w:sz="4" w:space="0" w:color="auto"/>
            </w:tcBorders>
            <w:shd w:val="clear" w:color="auto" w:fill="auto"/>
            <w:noWrap/>
            <w:vAlign w:val="center"/>
            <w:hideMark/>
          </w:tcPr>
          <w:p w14:paraId="1E510189" w14:textId="77777777" w:rsidR="002415C2" w:rsidRPr="005E46AA" w:rsidRDefault="002415C2" w:rsidP="002415C2">
            <w:pPr>
              <w:keepNext/>
              <w:jc w:val="center"/>
              <w:rPr>
                <w:rFonts w:asciiTheme="minorBidi" w:hAnsiTheme="minorBidi" w:cstheme="minorBidi"/>
                <w:color w:val="000000"/>
                <w:sz w:val="20"/>
                <w:szCs w:val="20"/>
              </w:rPr>
            </w:pPr>
            <w:r w:rsidRPr="005E46AA">
              <w:rPr>
                <w:rFonts w:asciiTheme="minorBidi" w:hAnsiTheme="minorBidi" w:cstheme="minorBidi"/>
                <w:color w:val="000000"/>
                <w:sz w:val="20"/>
                <w:szCs w:val="20"/>
              </w:rPr>
              <w:t xml:space="preserve"> 8/12/2014</w:t>
            </w:r>
          </w:p>
        </w:tc>
        <w:tc>
          <w:tcPr>
            <w:tcW w:w="647" w:type="pct"/>
            <w:tcBorders>
              <w:top w:val="nil"/>
              <w:left w:val="nil"/>
              <w:bottom w:val="single" w:sz="4" w:space="0" w:color="auto"/>
              <w:right w:val="single" w:sz="4" w:space="0" w:color="auto"/>
            </w:tcBorders>
            <w:shd w:val="clear" w:color="auto" w:fill="auto"/>
            <w:noWrap/>
            <w:vAlign w:val="center"/>
            <w:hideMark/>
          </w:tcPr>
          <w:p w14:paraId="24B4ADFA" w14:textId="77777777" w:rsidR="002415C2" w:rsidRPr="005E46AA" w:rsidRDefault="002415C2" w:rsidP="002415C2">
            <w:pPr>
              <w:keepNext/>
              <w:jc w:val="center"/>
              <w:rPr>
                <w:rFonts w:asciiTheme="minorBidi" w:hAnsiTheme="minorBidi" w:cstheme="minorBidi"/>
                <w:color w:val="000000"/>
                <w:sz w:val="20"/>
                <w:szCs w:val="20"/>
              </w:rPr>
            </w:pPr>
            <w:r w:rsidRPr="005E46AA">
              <w:rPr>
                <w:rFonts w:asciiTheme="minorBidi" w:hAnsiTheme="minorBidi" w:cstheme="minorBidi"/>
                <w:color w:val="000000"/>
                <w:sz w:val="20"/>
                <w:szCs w:val="20"/>
              </w:rPr>
              <w:t xml:space="preserve"> 9/30/2014</w:t>
            </w:r>
          </w:p>
        </w:tc>
        <w:tc>
          <w:tcPr>
            <w:tcW w:w="1676" w:type="pct"/>
            <w:tcBorders>
              <w:top w:val="nil"/>
              <w:left w:val="nil"/>
              <w:bottom w:val="single" w:sz="4" w:space="0" w:color="auto"/>
              <w:right w:val="single" w:sz="4" w:space="0" w:color="auto"/>
            </w:tcBorders>
            <w:shd w:val="clear" w:color="auto" w:fill="auto"/>
            <w:vAlign w:val="center"/>
            <w:hideMark/>
          </w:tcPr>
          <w:p w14:paraId="4283150E" w14:textId="77777777" w:rsidR="002415C2" w:rsidRPr="005E46AA" w:rsidRDefault="002415C2" w:rsidP="002415C2">
            <w:pPr>
              <w:keepNext/>
              <w:rPr>
                <w:rFonts w:asciiTheme="minorBidi" w:hAnsiTheme="minorBidi" w:cstheme="minorBidi"/>
                <w:color w:val="000000"/>
                <w:sz w:val="20"/>
                <w:szCs w:val="20"/>
              </w:rPr>
            </w:pPr>
            <w:r w:rsidRPr="005E46AA">
              <w:rPr>
                <w:rFonts w:asciiTheme="minorBidi" w:hAnsiTheme="minorBidi" w:cstheme="minorBidi"/>
                <w:color w:val="000000"/>
                <w:sz w:val="20"/>
                <w:szCs w:val="20"/>
              </w:rPr>
              <w:t xml:space="preserve">Abbreviated interview for </w:t>
            </w:r>
            <w:r w:rsidRPr="005E46AA">
              <w:rPr>
                <w:rFonts w:asciiTheme="minorBidi" w:hAnsiTheme="minorBidi" w:cstheme="minorBidi"/>
                <w:color w:val="000000"/>
                <w:sz w:val="20"/>
                <w:szCs w:val="20"/>
              </w:rPr>
              <w:br/>
              <w:t xml:space="preserve">all remaining </w:t>
            </w:r>
            <w:proofErr w:type="spellStart"/>
            <w:r w:rsidRPr="005E46AA">
              <w:rPr>
                <w:rFonts w:asciiTheme="minorBidi" w:hAnsiTheme="minorBidi" w:cstheme="minorBidi"/>
                <w:color w:val="000000"/>
                <w:sz w:val="20"/>
                <w:szCs w:val="20"/>
              </w:rPr>
              <w:t>nonrespondents</w:t>
            </w:r>
            <w:proofErr w:type="spellEnd"/>
          </w:p>
        </w:tc>
        <w:tc>
          <w:tcPr>
            <w:tcW w:w="1677" w:type="pct"/>
            <w:tcBorders>
              <w:top w:val="nil"/>
              <w:left w:val="nil"/>
              <w:bottom w:val="single" w:sz="4" w:space="0" w:color="auto"/>
              <w:right w:val="single" w:sz="4" w:space="0" w:color="auto"/>
            </w:tcBorders>
            <w:shd w:val="clear" w:color="auto" w:fill="auto"/>
            <w:vAlign w:val="center"/>
            <w:hideMark/>
          </w:tcPr>
          <w:p w14:paraId="39CB8DA2" w14:textId="77777777" w:rsidR="002415C2" w:rsidRPr="005E46AA" w:rsidRDefault="002415C2" w:rsidP="002415C2">
            <w:pPr>
              <w:keepNext/>
              <w:rPr>
                <w:rFonts w:asciiTheme="minorBidi" w:hAnsiTheme="minorBidi" w:cstheme="minorBidi"/>
                <w:color w:val="000000"/>
                <w:sz w:val="20"/>
                <w:szCs w:val="20"/>
              </w:rPr>
            </w:pPr>
            <w:r w:rsidRPr="005E46AA">
              <w:rPr>
                <w:rFonts w:asciiTheme="minorBidi" w:hAnsiTheme="minorBidi" w:cstheme="minorBidi"/>
                <w:color w:val="000000"/>
                <w:sz w:val="20"/>
                <w:szCs w:val="20"/>
              </w:rPr>
              <w:t xml:space="preserve">Abbreviated interview for </w:t>
            </w:r>
            <w:r w:rsidRPr="005E46AA">
              <w:rPr>
                <w:rFonts w:asciiTheme="minorBidi" w:hAnsiTheme="minorBidi" w:cstheme="minorBidi"/>
                <w:color w:val="000000"/>
                <w:sz w:val="20"/>
                <w:szCs w:val="20"/>
              </w:rPr>
              <w:br/>
              <w:t xml:space="preserve">all remaining </w:t>
            </w:r>
            <w:proofErr w:type="spellStart"/>
            <w:r w:rsidRPr="005E46AA">
              <w:rPr>
                <w:rFonts w:asciiTheme="minorBidi" w:hAnsiTheme="minorBidi" w:cstheme="minorBidi"/>
                <w:color w:val="000000"/>
                <w:sz w:val="20"/>
                <w:szCs w:val="20"/>
              </w:rPr>
              <w:t>nonrespondents</w:t>
            </w:r>
            <w:proofErr w:type="spellEnd"/>
          </w:p>
        </w:tc>
      </w:tr>
    </w:tbl>
    <w:p w14:paraId="5299EC24" w14:textId="77777777" w:rsidR="002415C2" w:rsidRPr="002415C2" w:rsidRDefault="002415C2" w:rsidP="002415C2">
      <w:pPr>
        <w:spacing w:after="120"/>
        <w:ind w:left="720"/>
        <w:contextualSpacing/>
        <w:rPr>
          <w:rFonts w:ascii="Calibri" w:hAnsi="Calibri" w:cs="Arial"/>
          <w:sz w:val="20"/>
          <w:szCs w:val="20"/>
        </w:rPr>
      </w:pPr>
      <w:r w:rsidRPr="002415C2">
        <w:rPr>
          <w:rFonts w:ascii="Calibri" w:hAnsi="Calibri" w:cs="Arial"/>
          <w:sz w:val="20"/>
          <w:szCs w:val="20"/>
        </w:rPr>
        <w:t>CATI = computer-assisted telephone interviewing</w:t>
      </w:r>
    </w:p>
    <w:p w14:paraId="7604F632" w14:textId="77777777" w:rsidR="002415C2" w:rsidRPr="002415C2" w:rsidRDefault="002415C2" w:rsidP="005E46AA">
      <w:pPr>
        <w:spacing w:before="240" w:after="120"/>
        <w:rPr>
          <w:szCs w:val="20"/>
        </w:rPr>
      </w:pPr>
      <w:proofErr w:type="gramStart"/>
      <w:r w:rsidRPr="002415C2">
        <w:rPr>
          <w:b/>
          <w:bCs/>
          <w:szCs w:val="20"/>
        </w:rPr>
        <w:lastRenderedPageBreak/>
        <w:t>Impact on Nonresponse Bias.</w:t>
      </w:r>
      <w:proofErr w:type="gramEnd"/>
      <w:r w:rsidRPr="002415C2">
        <w:rPr>
          <w:b/>
          <w:bCs/>
          <w:szCs w:val="20"/>
        </w:rPr>
        <w:t xml:space="preserve"> </w:t>
      </w:r>
      <w:r w:rsidRPr="002415C2">
        <w:t>As all BPS</w:t>
      </w:r>
      <w:proofErr w:type="gramStart"/>
      <w:r w:rsidRPr="002415C2">
        <w:t>:12</w:t>
      </w:r>
      <w:proofErr w:type="gramEnd"/>
      <w:r w:rsidRPr="002415C2">
        <w:t xml:space="preserve">/14 sample members were submitted to the same data collection procedures, there is no exact method to assess the degree to which the responsive design reduced nonresponse bias relative to another data collection design that did not incorporate responsive design elements. However, a post-hoc analysis was implemented to compare estimates of nonresponse bias to determine the impact of the responsive design. </w:t>
      </w:r>
      <w:r w:rsidRPr="002415C2">
        <w:rPr>
          <w:szCs w:val="20"/>
        </w:rPr>
        <w:t xml:space="preserve">Nonresponse bias estimates were first created using all respondents and then created again by reclassifying targeted </w:t>
      </w:r>
      <w:r w:rsidRPr="002415C2">
        <w:t xml:space="preserve">respondents </w:t>
      </w:r>
      <w:r w:rsidRPr="002415C2">
        <w:rPr>
          <w:szCs w:val="20"/>
        </w:rPr>
        <w:t xml:space="preserve">as </w:t>
      </w:r>
      <w:proofErr w:type="spellStart"/>
      <w:r w:rsidRPr="002415C2">
        <w:rPr>
          <w:szCs w:val="20"/>
        </w:rPr>
        <w:t>nonrespondents</w:t>
      </w:r>
      <w:proofErr w:type="spellEnd"/>
      <w:r w:rsidRPr="002415C2">
        <w:rPr>
          <w:szCs w:val="20"/>
        </w:rPr>
        <w:t>. This allows examination of the potential bias contributed by the subset of individuals who were targeted by responsive design methods although this is not a perfect design as some of these individuals would have responded without interventions. The following variables were used to conduct the nonresponse bias analysis:</w:t>
      </w:r>
      <w:r w:rsidRPr="002415C2">
        <w:rPr>
          <w:sz w:val="18"/>
          <w:szCs w:val="18"/>
          <w:vertAlign w:val="superscript"/>
        </w:rPr>
        <w:footnoteReference w:id="4"/>
      </w:r>
    </w:p>
    <w:p w14:paraId="3765C331" w14:textId="77777777" w:rsidR="002415C2" w:rsidRPr="002415C2" w:rsidRDefault="002415C2" w:rsidP="002415C2">
      <w:pPr>
        <w:numPr>
          <w:ilvl w:val="0"/>
          <w:numId w:val="19"/>
        </w:numPr>
        <w:ind w:left="1714"/>
        <w:rPr>
          <w:szCs w:val="20"/>
        </w:rPr>
      </w:pPr>
      <w:r w:rsidRPr="002415C2">
        <w:rPr>
          <w:szCs w:val="20"/>
        </w:rPr>
        <w:t>Region (categorical);</w:t>
      </w:r>
    </w:p>
    <w:p w14:paraId="55FDFF59" w14:textId="77777777" w:rsidR="002415C2" w:rsidRPr="002415C2" w:rsidRDefault="002415C2" w:rsidP="002415C2">
      <w:pPr>
        <w:numPr>
          <w:ilvl w:val="0"/>
          <w:numId w:val="19"/>
        </w:numPr>
        <w:ind w:left="1714"/>
        <w:rPr>
          <w:szCs w:val="20"/>
        </w:rPr>
      </w:pPr>
      <w:r w:rsidRPr="002415C2">
        <w:rPr>
          <w:szCs w:val="20"/>
        </w:rPr>
        <w:t>Age as of NPSAS:12 (categorical);</w:t>
      </w:r>
    </w:p>
    <w:p w14:paraId="0C39DD4A" w14:textId="77777777" w:rsidR="002415C2" w:rsidRPr="002415C2" w:rsidRDefault="002415C2" w:rsidP="002415C2">
      <w:pPr>
        <w:numPr>
          <w:ilvl w:val="0"/>
          <w:numId w:val="19"/>
        </w:numPr>
        <w:ind w:left="1714"/>
        <w:rPr>
          <w:szCs w:val="20"/>
        </w:rPr>
      </w:pPr>
      <w:r w:rsidRPr="002415C2">
        <w:rPr>
          <w:szCs w:val="20"/>
        </w:rPr>
        <w:t>CPS match as of NPSAS:12 (yes/no);</w:t>
      </w:r>
    </w:p>
    <w:p w14:paraId="22EB1F33" w14:textId="77777777" w:rsidR="002415C2" w:rsidRPr="002415C2" w:rsidRDefault="002415C2" w:rsidP="002415C2">
      <w:pPr>
        <w:numPr>
          <w:ilvl w:val="0"/>
          <w:numId w:val="19"/>
        </w:numPr>
        <w:tabs>
          <w:tab w:val="left" w:pos="9900"/>
        </w:tabs>
        <w:ind w:left="1714"/>
        <w:rPr>
          <w:szCs w:val="20"/>
        </w:rPr>
      </w:pPr>
      <w:r w:rsidRPr="002415C2">
        <w:rPr>
          <w:szCs w:val="20"/>
        </w:rPr>
        <w:t>Federal aid receipt (yes/no);</w:t>
      </w:r>
    </w:p>
    <w:p w14:paraId="3118ADA9" w14:textId="77777777" w:rsidR="002415C2" w:rsidRPr="002415C2" w:rsidRDefault="002415C2" w:rsidP="002415C2">
      <w:pPr>
        <w:numPr>
          <w:ilvl w:val="0"/>
          <w:numId w:val="19"/>
        </w:numPr>
        <w:ind w:left="1714"/>
        <w:rPr>
          <w:szCs w:val="20"/>
        </w:rPr>
      </w:pPr>
      <w:r w:rsidRPr="002415C2">
        <w:rPr>
          <w:szCs w:val="20"/>
        </w:rPr>
        <w:t>Pell Grant receipt (yes/no);</w:t>
      </w:r>
    </w:p>
    <w:p w14:paraId="1ACB06D6" w14:textId="77777777" w:rsidR="002415C2" w:rsidRPr="002415C2" w:rsidRDefault="002415C2" w:rsidP="002415C2">
      <w:pPr>
        <w:numPr>
          <w:ilvl w:val="0"/>
          <w:numId w:val="19"/>
        </w:numPr>
        <w:ind w:left="1714"/>
        <w:rPr>
          <w:szCs w:val="20"/>
        </w:rPr>
      </w:pPr>
      <w:r w:rsidRPr="002415C2">
        <w:rPr>
          <w:szCs w:val="20"/>
        </w:rPr>
        <w:t>Pell Grant amount (categorical);</w:t>
      </w:r>
    </w:p>
    <w:p w14:paraId="79D1FC6E" w14:textId="77777777" w:rsidR="002415C2" w:rsidRPr="002415C2" w:rsidRDefault="002415C2" w:rsidP="002415C2">
      <w:pPr>
        <w:numPr>
          <w:ilvl w:val="0"/>
          <w:numId w:val="19"/>
        </w:numPr>
        <w:ind w:left="1714"/>
        <w:rPr>
          <w:szCs w:val="20"/>
        </w:rPr>
      </w:pPr>
      <w:r w:rsidRPr="002415C2">
        <w:rPr>
          <w:szCs w:val="20"/>
        </w:rPr>
        <w:t>Stafford Loan receipt (yes/no);</w:t>
      </w:r>
    </w:p>
    <w:p w14:paraId="07CE0D1D" w14:textId="77777777" w:rsidR="002415C2" w:rsidRPr="002415C2" w:rsidRDefault="002415C2" w:rsidP="002415C2">
      <w:pPr>
        <w:numPr>
          <w:ilvl w:val="0"/>
          <w:numId w:val="19"/>
        </w:numPr>
        <w:ind w:left="1714"/>
        <w:rPr>
          <w:szCs w:val="20"/>
        </w:rPr>
      </w:pPr>
      <w:r w:rsidRPr="002415C2">
        <w:rPr>
          <w:szCs w:val="20"/>
        </w:rPr>
        <w:t>Stafford Loan amount (categorical);</w:t>
      </w:r>
    </w:p>
    <w:p w14:paraId="06D9BC79" w14:textId="77777777" w:rsidR="002415C2" w:rsidRPr="002415C2" w:rsidRDefault="002415C2" w:rsidP="002415C2">
      <w:pPr>
        <w:numPr>
          <w:ilvl w:val="0"/>
          <w:numId w:val="19"/>
        </w:numPr>
        <w:ind w:left="1714"/>
        <w:rPr>
          <w:szCs w:val="20"/>
        </w:rPr>
      </w:pPr>
      <w:r w:rsidRPr="002415C2">
        <w:rPr>
          <w:szCs w:val="20"/>
        </w:rPr>
        <w:t>Institutional aid receipt (yes/no);</w:t>
      </w:r>
    </w:p>
    <w:p w14:paraId="6A202481" w14:textId="77777777" w:rsidR="002415C2" w:rsidRPr="002415C2" w:rsidRDefault="002415C2" w:rsidP="002415C2">
      <w:pPr>
        <w:numPr>
          <w:ilvl w:val="0"/>
          <w:numId w:val="19"/>
        </w:numPr>
        <w:ind w:left="1714"/>
        <w:rPr>
          <w:szCs w:val="20"/>
        </w:rPr>
      </w:pPr>
      <w:r w:rsidRPr="002415C2">
        <w:rPr>
          <w:szCs w:val="20"/>
        </w:rPr>
        <w:t>State aid receipt (yes/no);</w:t>
      </w:r>
    </w:p>
    <w:p w14:paraId="6E254BB1" w14:textId="77777777" w:rsidR="002415C2" w:rsidRPr="002415C2" w:rsidRDefault="002415C2" w:rsidP="002415C2">
      <w:pPr>
        <w:numPr>
          <w:ilvl w:val="0"/>
          <w:numId w:val="19"/>
        </w:numPr>
        <w:ind w:left="1714"/>
        <w:rPr>
          <w:szCs w:val="20"/>
        </w:rPr>
      </w:pPr>
      <w:r w:rsidRPr="002415C2">
        <w:rPr>
          <w:szCs w:val="20"/>
        </w:rPr>
        <w:t>Major (categorical);</w:t>
      </w:r>
    </w:p>
    <w:p w14:paraId="27D5B58C" w14:textId="77777777" w:rsidR="002415C2" w:rsidRPr="002415C2" w:rsidRDefault="002415C2" w:rsidP="002415C2">
      <w:pPr>
        <w:numPr>
          <w:ilvl w:val="0"/>
          <w:numId w:val="19"/>
        </w:numPr>
        <w:ind w:left="1714"/>
        <w:rPr>
          <w:szCs w:val="20"/>
        </w:rPr>
      </w:pPr>
      <w:r w:rsidRPr="002415C2">
        <w:rPr>
          <w:szCs w:val="20"/>
        </w:rPr>
        <w:t>Institution enrollment from IPEDS file (categorical);</w:t>
      </w:r>
    </w:p>
    <w:p w14:paraId="4CA2733B" w14:textId="77777777" w:rsidR="002415C2" w:rsidRPr="002415C2" w:rsidRDefault="002415C2" w:rsidP="002415C2">
      <w:pPr>
        <w:numPr>
          <w:ilvl w:val="0"/>
          <w:numId w:val="19"/>
        </w:numPr>
        <w:ind w:left="1714"/>
        <w:rPr>
          <w:szCs w:val="20"/>
        </w:rPr>
      </w:pPr>
      <w:r w:rsidRPr="002415C2">
        <w:rPr>
          <w:szCs w:val="20"/>
        </w:rPr>
        <w:t>Any grant aid receipt (categorical); and</w:t>
      </w:r>
    </w:p>
    <w:p w14:paraId="0F2B8131" w14:textId="77777777" w:rsidR="002415C2" w:rsidRPr="002415C2" w:rsidRDefault="002415C2" w:rsidP="002415C2">
      <w:pPr>
        <w:numPr>
          <w:ilvl w:val="0"/>
          <w:numId w:val="19"/>
        </w:numPr>
        <w:spacing w:after="120"/>
        <w:rPr>
          <w:szCs w:val="20"/>
        </w:rPr>
      </w:pPr>
      <w:r w:rsidRPr="002415C2">
        <w:rPr>
          <w:szCs w:val="20"/>
        </w:rPr>
        <w:t>Graduation rate (categorical).</w:t>
      </w:r>
    </w:p>
    <w:p w14:paraId="1307F7B7" w14:textId="77777777" w:rsidR="002415C2" w:rsidRPr="002415C2" w:rsidRDefault="002415C2" w:rsidP="002415C2">
      <w:pPr>
        <w:spacing w:before="120" w:after="120"/>
        <w:rPr>
          <w:szCs w:val="20"/>
        </w:rPr>
      </w:pPr>
      <w:r w:rsidRPr="002415C2">
        <w:rPr>
          <w:szCs w:val="20"/>
        </w:rPr>
        <w:t>For each variable listed above, nonresponse bias was estimated by comparing estimates from base-weighted respondents with those of the full sample to determine if the differences were statistically significant at the 5 percent level. Multilevel categorical terms were examined using indicator terms for each level of the main term. The relative bias estimates associated with these nonresponse bias analyses are summarized in Table 6.</w:t>
      </w:r>
    </w:p>
    <w:p w14:paraId="33B6E2D3" w14:textId="77777777" w:rsidR="002415C2" w:rsidRPr="002415C2" w:rsidRDefault="002415C2" w:rsidP="002415C2">
      <w:pPr>
        <w:spacing w:before="120" w:after="120"/>
      </w:pPr>
      <w:r w:rsidRPr="002415C2">
        <w:t xml:space="preserve">The mean and median percent relative </w:t>
      </w:r>
      <w:proofErr w:type="gramStart"/>
      <w:r w:rsidRPr="002415C2">
        <w:t>bias are</w:t>
      </w:r>
      <w:proofErr w:type="gramEnd"/>
      <w:r w:rsidRPr="002415C2">
        <w:t xml:space="preserve"> almost universally lowest across all sectors when all respondents are utilized in the bias assessment. The overall percentage of characteristics with significant bias is lowest when all respondents are utilized but the percentage of characteristics with significant bias is lowest in seven of the ten sectors when responsive design respondents are excluded. However, the percentage of characteristics with significant bias is affected by sample sizes and as there are approximately 5,200 respondents who were ever selected under the responsive design, the power to detect a bias that is statistically different from zero is higher when using all respondents versus a smaller subset of those respondents in a nonresponse bias assessment. Consequently, the mean and median percent relative </w:t>
      </w:r>
      <w:proofErr w:type="gramStart"/>
      <w:r w:rsidRPr="002415C2">
        <w:t>bias are</w:t>
      </w:r>
      <w:proofErr w:type="gramEnd"/>
      <w:r w:rsidRPr="002415C2">
        <w:t xml:space="preserve"> better gauges of how the addition of selected responsive design respondents impacts nonresponse bias.</w:t>
      </w:r>
    </w:p>
    <w:p w14:paraId="0A288D1A" w14:textId="77777777" w:rsidR="002415C2" w:rsidRPr="002415C2" w:rsidRDefault="002415C2" w:rsidP="002415C2">
      <w:pPr>
        <w:spacing w:before="120" w:after="120"/>
        <w:rPr>
          <w:b/>
          <w:bCs/>
          <w:szCs w:val="20"/>
        </w:rPr>
        <w:sectPr w:rsidR="002415C2" w:rsidRPr="002415C2" w:rsidSect="003B7342">
          <w:footerReference w:type="default" r:id="rId10"/>
          <w:headerReference w:type="first" r:id="rId11"/>
          <w:footerReference w:type="first" r:id="rId12"/>
          <w:pgSz w:w="12240" w:h="15840" w:code="1"/>
          <w:pgMar w:top="1008" w:right="1008" w:bottom="864" w:left="1008" w:header="432" w:footer="432" w:gutter="0"/>
          <w:cols w:space="720"/>
          <w:docGrid w:linePitch="360"/>
        </w:sectPr>
      </w:pPr>
      <w:r w:rsidRPr="002415C2">
        <w:t>Given that some of the 5,200 selected respondents would have responded even if they had never been subject to responsive design, it is impossible to attribute the observed bias reduction solely to the application of responsive design methods. However, observed reduction of bias is generally quite large and suggests that responsive design methods may be helpful in reducing nonresponse bias.</w:t>
      </w:r>
    </w:p>
    <w:p w14:paraId="50B9C6C2" w14:textId="77777777" w:rsidR="002415C2" w:rsidRPr="002415C2" w:rsidRDefault="002415C2" w:rsidP="002415C2">
      <w:pPr>
        <w:keepNext/>
        <w:spacing w:before="120" w:after="60"/>
        <w:ind w:left="994" w:hanging="994"/>
        <w:rPr>
          <w:rFonts w:ascii="Arial" w:hAnsi="Arial"/>
          <w:b/>
          <w:sz w:val="20"/>
          <w:szCs w:val="20"/>
        </w:rPr>
      </w:pPr>
      <w:bookmarkStart w:id="4" w:name="_Ref430716407"/>
      <w:bookmarkStart w:id="5" w:name="_Toc430711443"/>
      <w:bookmarkStart w:id="6" w:name="_Toc430716975"/>
      <w:bookmarkStart w:id="7" w:name="_Toc450337717"/>
      <w:bookmarkStart w:id="8" w:name="_Toc456167109"/>
      <w:proofErr w:type="gramStart"/>
      <w:r w:rsidRPr="002415C2">
        <w:rPr>
          <w:rFonts w:ascii="Arial" w:hAnsi="Arial"/>
          <w:b/>
          <w:sz w:val="20"/>
          <w:szCs w:val="20"/>
        </w:rPr>
        <w:lastRenderedPageBreak/>
        <w:t>Table </w:t>
      </w:r>
      <w:bookmarkEnd w:id="4"/>
      <w:r w:rsidRPr="002415C2">
        <w:rPr>
          <w:rFonts w:ascii="Arial" w:hAnsi="Arial"/>
          <w:b/>
          <w:sz w:val="20"/>
          <w:szCs w:val="20"/>
        </w:rPr>
        <w:t>6.</w:t>
      </w:r>
      <w:proofErr w:type="gramEnd"/>
      <w:r w:rsidRPr="002415C2">
        <w:rPr>
          <w:rFonts w:ascii="Arial" w:hAnsi="Arial"/>
          <w:b/>
          <w:sz w:val="20"/>
          <w:szCs w:val="20"/>
        </w:rPr>
        <w:t xml:space="preserve"> Summary of responsive design impact on nonresponse bias, by institutional sector: 2014</w:t>
      </w:r>
      <w:bookmarkEnd w:id="5"/>
      <w:bookmarkEnd w:id="6"/>
      <w:bookmarkEnd w:id="7"/>
      <w:bookmarkEnd w:id="8"/>
    </w:p>
    <w:p w14:paraId="020ACFAE" w14:textId="77777777" w:rsidR="002415C2" w:rsidRPr="002415C2" w:rsidRDefault="002415C2" w:rsidP="002415C2">
      <w:pPr>
        <w:keepNext/>
        <w:spacing w:after="120"/>
        <w:rPr>
          <w:rFonts w:asciiTheme="minorHAnsi" w:hAnsiTheme="minorHAnsi"/>
          <w:noProof/>
        </w:rPr>
      </w:pPr>
      <w:r w:rsidRPr="002415C2">
        <w:rPr>
          <w:rFonts w:asciiTheme="minorHAnsi" w:hAnsiTheme="minorHAnsi"/>
          <w:noProof/>
        </w:rPr>
        <w:drawing>
          <wp:inline distT="0" distB="0" distL="0" distR="0" wp14:anchorId="37E0D2E5" wp14:editId="47076BE4">
            <wp:extent cx="8205645" cy="3075332"/>
            <wp:effectExtent l="0" t="0" r="508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8205645" cy="3075332"/>
                    </a:xfrm>
                    <a:prstGeom prst="rect">
                      <a:avLst/>
                    </a:prstGeom>
                    <a:noFill/>
                    <a:ln>
                      <a:noFill/>
                    </a:ln>
                  </pic:spPr>
                </pic:pic>
              </a:graphicData>
            </a:graphic>
          </wp:inline>
        </w:drawing>
      </w:r>
    </w:p>
    <w:p w14:paraId="73CDF976" w14:textId="77777777" w:rsidR="002415C2" w:rsidRPr="002415C2" w:rsidRDefault="002415C2" w:rsidP="002415C2">
      <w:pPr>
        <w:spacing w:after="120"/>
        <w:rPr>
          <w:rFonts w:asciiTheme="minorBidi" w:hAnsiTheme="minorBidi" w:cstheme="minorBidi"/>
          <w:sz w:val="22"/>
          <w:szCs w:val="12"/>
        </w:rPr>
      </w:pPr>
      <w:r w:rsidRPr="002415C2">
        <w:rPr>
          <w:rFonts w:asciiTheme="minorBidi" w:hAnsiTheme="minorBidi" w:cstheme="minorBidi"/>
          <w:sz w:val="16"/>
          <w:szCs w:val="12"/>
          <w:vertAlign w:val="superscript"/>
        </w:rPr>
        <w:t>1</w:t>
      </w:r>
      <w:r w:rsidRPr="002415C2">
        <w:rPr>
          <w:rFonts w:asciiTheme="minorBidi" w:hAnsiTheme="minorBidi" w:cstheme="minorBidi"/>
          <w:sz w:val="16"/>
          <w:szCs w:val="12"/>
        </w:rPr>
        <w:t xml:space="preserve"> Relative bias and significance calculated on respondents vs. full sample.</w:t>
      </w:r>
    </w:p>
    <w:p w14:paraId="3FE80700" w14:textId="77777777" w:rsidR="002415C2" w:rsidRPr="002415C2" w:rsidRDefault="002415C2" w:rsidP="002415C2">
      <w:pPr>
        <w:spacing w:after="120"/>
        <w:rPr>
          <w:rFonts w:asciiTheme="minorBidi" w:hAnsiTheme="minorBidi" w:cstheme="minorBidi"/>
          <w:sz w:val="8"/>
          <w:szCs w:val="8"/>
        </w:rPr>
      </w:pPr>
      <w:r w:rsidRPr="002415C2">
        <w:rPr>
          <w:rFonts w:asciiTheme="minorBidi" w:hAnsiTheme="minorBidi" w:cstheme="minorBidi"/>
          <w:sz w:val="16"/>
          <w:szCs w:val="12"/>
        </w:rPr>
        <w:t>SOURCE: U.S. Department of Education, National Center for Education Statistics, 2012/14 Beginning Postsecondary Students Longitudinal Study (BPS</w:t>
      </w:r>
      <w:proofErr w:type="gramStart"/>
      <w:r w:rsidRPr="002415C2">
        <w:rPr>
          <w:rFonts w:asciiTheme="minorBidi" w:hAnsiTheme="minorBidi" w:cstheme="minorBidi"/>
          <w:sz w:val="16"/>
          <w:szCs w:val="12"/>
        </w:rPr>
        <w:t>:12</w:t>
      </w:r>
      <w:proofErr w:type="gramEnd"/>
      <w:r w:rsidRPr="002415C2">
        <w:rPr>
          <w:rFonts w:asciiTheme="minorBidi" w:hAnsiTheme="minorBidi" w:cstheme="minorBidi"/>
          <w:sz w:val="16"/>
          <w:szCs w:val="12"/>
        </w:rPr>
        <w:t>/14).</w:t>
      </w:r>
    </w:p>
    <w:p w14:paraId="43616164" w14:textId="77777777" w:rsidR="002415C2" w:rsidRPr="002415C2" w:rsidRDefault="002415C2" w:rsidP="002415C2">
      <w:pPr>
        <w:spacing w:before="120" w:after="120" w:line="320" w:lineRule="atLeast"/>
        <w:ind w:firstLine="720"/>
      </w:pPr>
    </w:p>
    <w:p w14:paraId="09E223BB" w14:textId="77777777" w:rsidR="002415C2" w:rsidRPr="002415C2" w:rsidRDefault="002415C2" w:rsidP="002415C2">
      <w:pPr>
        <w:spacing w:before="120" w:after="120" w:line="320" w:lineRule="atLeast"/>
        <w:ind w:firstLine="720"/>
        <w:sectPr w:rsidR="002415C2" w:rsidRPr="002415C2" w:rsidSect="00C37F47">
          <w:headerReference w:type="even" r:id="rId14"/>
          <w:headerReference w:type="default" r:id="rId15"/>
          <w:footerReference w:type="default" r:id="rId16"/>
          <w:pgSz w:w="15840" w:h="12240" w:orient="landscape" w:code="1"/>
          <w:pgMar w:top="1440" w:right="1440" w:bottom="1440" w:left="1440" w:header="720" w:footer="720" w:gutter="0"/>
          <w:cols w:space="720"/>
          <w:docGrid w:linePitch="360"/>
        </w:sectPr>
      </w:pPr>
    </w:p>
    <w:p w14:paraId="43816DB6" w14:textId="77777777" w:rsidR="002415C2" w:rsidRPr="002415C2" w:rsidRDefault="002415C2" w:rsidP="002415C2">
      <w:pPr>
        <w:keepNext/>
        <w:numPr>
          <w:ilvl w:val="2"/>
          <w:numId w:val="0"/>
        </w:numPr>
        <w:tabs>
          <w:tab w:val="left" w:pos="1620"/>
        </w:tabs>
        <w:spacing w:after="120"/>
        <w:ind w:left="1627" w:hanging="547"/>
        <w:outlineLvl w:val="2"/>
        <w:rPr>
          <w:rFonts w:ascii="Arial" w:hAnsi="Arial" w:cs="Arial"/>
          <w:i/>
          <w:iCs/>
          <w:sz w:val="22"/>
          <w:szCs w:val="22"/>
        </w:rPr>
      </w:pPr>
      <w:bookmarkStart w:id="9" w:name="_Toc459815571"/>
      <w:r w:rsidRPr="002415C2">
        <w:rPr>
          <w:rFonts w:ascii="Arial" w:hAnsi="Arial" w:cs="Arial"/>
          <w:i/>
          <w:iCs/>
          <w:sz w:val="22"/>
          <w:szCs w:val="22"/>
        </w:rPr>
        <w:lastRenderedPageBreak/>
        <w:t>BPS</w:t>
      </w:r>
      <w:proofErr w:type="gramStart"/>
      <w:r w:rsidRPr="002415C2">
        <w:rPr>
          <w:rFonts w:ascii="Arial" w:hAnsi="Arial" w:cs="Arial"/>
          <w:i/>
          <w:iCs/>
          <w:sz w:val="22"/>
          <w:szCs w:val="22"/>
        </w:rPr>
        <w:t>:12</w:t>
      </w:r>
      <w:proofErr w:type="gramEnd"/>
      <w:r w:rsidRPr="002415C2">
        <w:rPr>
          <w:rFonts w:ascii="Arial" w:hAnsi="Arial" w:cs="Arial"/>
          <w:i/>
          <w:iCs/>
          <w:sz w:val="22"/>
          <w:szCs w:val="22"/>
        </w:rPr>
        <w:t>/17 Full Scale</w:t>
      </w:r>
      <w:bookmarkEnd w:id="2"/>
      <w:bookmarkEnd w:id="9"/>
    </w:p>
    <w:p w14:paraId="575AC279" w14:textId="77777777" w:rsidR="002415C2" w:rsidRPr="002415C2" w:rsidRDefault="002415C2" w:rsidP="002415C2">
      <w:pPr>
        <w:spacing w:before="120" w:after="120"/>
      </w:pPr>
      <w:r w:rsidRPr="002415C2">
        <w:t>The responsive design methods proposed for BPS</w:t>
      </w:r>
      <w:proofErr w:type="gramStart"/>
      <w:r w:rsidRPr="002415C2">
        <w:t>:12</w:t>
      </w:r>
      <w:proofErr w:type="gramEnd"/>
      <w:r w:rsidRPr="002415C2">
        <w:t>/17 expand and improve upon the BPS:12/14 methods in three key aspects:</w:t>
      </w:r>
    </w:p>
    <w:p w14:paraId="4FE37040" w14:textId="77777777" w:rsidR="002415C2" w:rsidRPr="002415C2" w:rsidRDefault="002415C2" w:rsidP="002415C2">
      <w:pPr>
        <w:numPr>
          <w:ilvl w:val="0"/>
          <w:numId w:val="16"/>
        </w:numPr>
        <w:spacing w:before="120" w:after="120"/>
        <w:ind w:left="630"/>
        <w:rPr>
          <w:rFonts w:asciiTheme="majorBidi" w:hAnsiTheme="majorBidi" w:cstheme="majorBidi"/>
          <w:sz w:val="20"/>
        </w:rPr>
      </w:pPr>
      <w:r w:rsidRPr="002415C2">
        <w:rPr>
          <w:rFonts w:asciiTheme="majorBidi" w:hAnsiTheme="majorBidi" w:cstheme="majorBidi"/>
        </w:rPr>
        <w:t>Refined targeting of nonresponding sample members so that, instead of attempting to reduce unit nonresponse bias for national estimates only, as in BPS</w:t>
      </w:r>
      <w:proofErr w:type="gramStart"/>
      <w:r w:rsidRPr="002415C2">
        <w:rPr>
          <w:rFonts w:asciiTheme="majorBidi" w:hAnsiTheme="majorBidi" w:cstheme="majorBidi"/>
        </w:rPr>
        <w:t>:12</w:t>
      </w:r>
      <w:proofErr w:type="gramEnd"/>
      <w:r w:rsidRPr="002415C2">
        <w:rPr>
          <w:rFonts w:asciiTheme="majorBidi" w:hAnsiTheme="majorBidi" w:cstheme="majorBidi"/>
        </w:rPr>
        <w:t xml:space="preserve">/14, the impact of unit nonresponse on the bias is reduced for estimates </w:t>
      </w:r>
      <w:r w:rsidRPr="002415C2">
        <w:rPr>
          <w:rFonts w:asciiTheme="majorBidi" w:hAnsiTheme="majorBidi" w:cstheme="majorBidi"/>
          <w:i/>
          <w:iCs/>
        </w:rPr>
        <w:t>within institutional sector</w:t>
      </w:r>
      <w:r w:rsidRPr="002415C2">
        <w:rPr>
          <w:rFonts w:asciiTheme="majorBidi" w:hAnsiTheme="majorBidi" w:cstheme="majorBidi"/>
        </w:rPr>
        <w:t>.</w:t>
      </w:r>
    </w:p>
    <w:p w14:paraId="63562E59" w14:textId="77777777" w:rsidR="002415C2" w:rsidRPr="002415C2" w:rsidRDefault="002415C2" w:rsidP="002415C2">
      <w:pPr>
        <w:numPr>
          <w:ilvl w:val="0"/>
          <w:numId w:val="16"/>
        </w:numPr>
        <w:spacing w:before="120" w:after="120"/>
        <w:ind w:left="630"/>
        <w:rPr>
          <w:rFonts w:asciiTheme="majorBidi" w:hAnsiTheme="majorBidi" w:cstheme="majorBidi"/>
          <w:szCs w:val="32"/>
        </w:rPr>
      </w:pPr>
      <w:r w:rsidRPr="002415C2">
        <w:rPr>
          <w:rFonts w:asciiTheme="majorBidi" w:hAnsiTheme="majorBidi" w:cstheme="majorBidi"/>
          <w:szCs w:val="32"/>
        </w:rPr>
        <w:t>Addition of a special data collection protocol for a hard-to-convert group: NPSAS</w:t>
      </w:r>
      <w:proofErr w:type="gramStart"/>
      <w:r w:rsidRPr="002415C2">
        <w:rPr>
          <w:rFonts w:asciiTheme="majorBidi" w:hAnsiTheme="majorBidi" w:cstheme="majorBidi"/>
          <w:szCs w:val="32"/>
        </w:rPr>
        <w:t>:12</w:t>
      </w:r>
      <w:proofErr w:type="gramEnd"/>
      <w:r w:rsidRPr="002415C2">
        <w:rPr>
          <w:rFonts w:asciiTheme="majorBidi" w:hAnsiTheme="majorBidi" w:cstheme="majorBidi"/>
          <w:szCs w:val="32"/>
        </w:rPr>
        <w:t xml:space="preserve"> study member double-interview </w:t>
      </w:r>
      <w:proofErr w:type="spellStart"/>
      <w:r w:rsidRPr="002415C2">
        <w:rPr>
          <w:rFonts w:asciiTheme="majorBidi" w:hAnsiTheme="majorBidi" w:cstheme="majorBidi"/>
          <w:szCs w:val="32"/>
        </w:rPr>
        <w:t>nonrespondents</w:t>
      </w:r>
      <w:proofErr w:type="spellEnd"/>
      <w:r w:rsidRPr="002415C2">
        <w:rPr>
          <w:rFonts w:asciiTheme="majorBidi" w:hAnsiTheme="majorBidi" w:cstheme="majorBidi"/>
          <w:szCs w:val="32"/>
        </w:rPr>
        <w:t>.</w:t>
      </w:r>
    </w:p>
    <w:p w14:paraId="7C3D0A22" w14:textId="77777777" w:rsidR="002415C2" w:rsidRPr="002415C2" w:rsidRDefault="002415C2" w:rsidP="002415C2">
      <w:pPr>
        <w:numPr>
          <w:ilvl w:val="0"/>
          <w:numId w:val="16"/>
        </w:numPr>
        <w:spacing w:before="120" w:after="120"/>
        <w:ind w:left="630"/>
      </w:pPr>
      <w:r w:rsidRPr="002415C2">
        <w:t>Inclusion of a randomized evaluation designed to permit estimating the difference between unit nonresponse bias arising from application of the proposed responsive design methods and unit nonresponse bias arising from not applying the responsive design methods.</w:t>
      </w:r>
    </w:p>
    <w:p w14:paraId="4CBAB994" w14:textId="77777777" w:rsidR="002415C2" w:rsidRPr="002415C2" w:rsidRDefault="002415C2" w:rsidP="002415C2">
      <w:pPr>
        <w:spacing w:before="120" w:after="120"/>
      </w:pPr>
      <w:r w:rsidRPr="002415C2">
        <w:t>As noted previously, the responsive design approach for the BPS</w:t>
      </w:r>
      <w:proofErr w:type="gramStart"/>
      <w:r w:rsidRPr="002415C2">
        <w:t>:12</w:t>
      </w:r>
      <w:proofErr w:type="gramEnd"/>
      <w:r w:rsidRPr="002415C2">
        <w:t xml:space="preserve">/14 full scale included (1) use of an incentive calibration study sample to identify optimal monetary incentives, (2) development of an importance measure for identifying </w:t>
      </w:r>
      <w:proofErr w:type="spellStart"/>
      <w:r w:rsidRPr="002415C2">
        <w:t>nonrespondents</w:t>
      </w:r>
      <w:proofErr w:type="spellEnd"/>
      <w:r w:rsidRPr="002415C2">
        <w:t xml:space="preserve"> for specific interventions, and (3) implementation of a multi-phase data collection period. Analysis of the BPS</w:t>
      </w:r>
      <w:proofErr w:type="gramStart"/>
      <w:r w:rsidRPr="002415C2">
        <w:t>:12</w:t>
      </w:r>
      <w:proofErr w:type="gramEnd"/>
      <w:r w:rsidRPr="002415C2">
        <w:t xml:space="preserve">/14 case targeting indicated that institution sector dominated the construction of the importance scores; meaning that </w:t>
      </w:r>
      <w:proofErr w:type="spellStart"/>
      <w:r w:rsidRPr="002415C2">
        <w:t>nonrespondents</w:t>
      </w:r>
      <w:proofErr w:type="spellEnd"/>
      <w:r w:rsidRPr="002415C2">
        <w:t xml:space="preserve"> were primarily selected by identifying </w:t>
      </w:r>
      <w:proofErr w:type="spellStart"/>
      <w:r w:rsidRPr="002415C2">
        <w:t>nonrespondents</w:t>
      </w:r>
      <w:proofErr w:type="spellEnd"/>
      <w:r w:rsidRPr="002415C2">
        <w:t xml:space="preserve"> in the sectors with the lowest response rates. For the BPS</w:t>
      </w:r>
      <w:proofErr w:type="gramStart"/>
      <w:r w:rsidRPr="002415C2">
        <w:t>:12</w:t>
      </w:r>
      <w:proofErr w:type="gramEnd"/>
      <w:r w:rsidRPr="002415C2">
        <w:t xml:space="preserve">/17 full scale we are building upon the BPS:12/14 full scale responsive design but, rather than selecting </w:t>
      </w:r>
      <w:proofErr w:type="spellStart"/>
      <w:r w:rsidRPr="002415C2">
        <w:t>nonrespondents</w:t>
      </w:r>
      <w:proofErr w:type="spellEnd"/>
      <w:r w:rsidRPr="002415C2">
        <w:t xml:space="preserve"> using the same approach as in BPS:12/14, we propose targeting </w:t>
      </w:r>
      <w:proofErr w:type="spellStart"/>
      <w:r w:rsidRPr="002415C2">
        <w:t>nonrespondents</w:t>
      </w:r>
      <w:proofErr w:type="spellEnd"/>
      <w:r w:rsidRPr="002415C2">
        <w:t xml:space="preserve"> within:</w:t>
      </w:r>
    </w:p>
    <w:p w14:paraId="326E4D17" w14:textId="77777777" w:rsidR="002415C2" w:rsidRPr="002415C2" w:rsidRDefault="002415C2" w:rsidP="002415C2">
      <w:pPr>
        <w:numPr>
          <w:ilvl w:val="0"/>
          <w:numId w:val="17"/>
        </w:numPr>
        <w:spacing w:before="120" w:after="120"/>
        <w:ind w:left="630" w:hanging="270"/>
      </w:pPr>
      <w:r w:rsidRPr="002415C2">
        <w:t>Institution Sector – we will model and target cases within sector groups in an effort to equalize response rates across sectors.</w:t>
      </w:r>
    </w:p>
    <w:p w14:paraId="4C903B87" w14:textId="77777777" w:rsidR="002415C2" w:rsidRPr="002415C2" w:rsidRDefault="002415C2" w:rsidP="002415C2">
      <w:pPr>
        <w:numPr>
          <w:ilvl w:val="0"/>
          <w:numId w:val="17"/>
        </w:numPr>
        <w:spacing w:before="120" w:after="120"/>
        <w:ind w:left="630" w:hanging="270"/>
      </w:pPr>
      <w:r w:rsidRPr="002415C2">
        <w:t>NPSAS</w:t>
      </w:r>
      <w:proofErr w:type="gramStart"/>
      <w:r w:rsidRPr="002415C2">
        <w:t>:12</w:t>
      </w:r>
      <w:proofErr w:type="gramEnd"/>
      <w:r w:rsidRPr="002415C2">
        <w:t xml:space="preserve"> study member double interview </w:t>
      </w:r>
      <w:proofErr w:type="spellStart"/>
      <w:r w:rsidRPr="002415C2">
        <w:t>nonrespondents</w:t>
      </w:r>
      <w:proofErr w:type="spellEnd"/>
      <w:r w:rsidRPr="002415C2">
        <w:t xml:space="preserve"> – we will use a calibration sample to evaluate two special data collection protocols for this hard-to-convert group, including a special baseline protocol determined by a calibration sample and an accelerated timeline.</w:t>
      </w:r>
    </w:p>
    <w:p w14:paraId="54489185" w14:textId="77777777" w:rsidR="002415C2" w:rsidRPr="002415C2" w:rsidRDefault="002415C2" w:rsidP="002415C2">
      <w:pPr>
        <w:spacing w:before="120" w:after="120"/>
      </w:pPr>
      <w:r w:rsidRPr="002415C2">
        <w:t xml:space="preserve">We have designed an evaluation of the responsive design so that we can test the impact of the targeted interventions to reduce nonresponse bias versus not targeting for interventions. For the evaluation, we will select a random subset of all sample members to be pulled aside as a </w:t>
      </w:r>
      <w:r w:rsidRPr="002415C2">
        <w:rPr>
          <w:i/>
          <w:iCs/>
        </w:rPr>
        <w:t>control</w:t>
      </w:r>
      <w:r w:rsidRPr="002415C2">
        <w:t xml:space="preserve"> sample that will not be eligible for intervention targeting. The remaining sample member cases will be referred to as the </w:t>
      </w:r>
      <w:r w:rsidRPr="002415C2">
        <w:rPr>
          <w:i/>
          <w:iCs/>
        </w:rPr>
        <w:t>treatment</w:t>
      </w:r>
      <w:r w:rsidRPr="002415C2">
        <w:t xml:space="preserve"> sample and the targeting methods will be applied to that group.</w:t>
      </w:r>
    </w:p>
    <w:p w14:paraId="7F036F3C" w14:textId="77777777" w:rsidR="002415C2" w:rsidRPr="002415C2" w:rsidRDefault="002415C2" w:rsidP="002415C2">
      <w:pPr>
        <w:spacing w:before="120" w:after="120"/>
      </w:pPr>
      <w:r w:rsidRPr="002415C2">
        <w:t xml:space="preserve">In the following sections, we will describe the proposed importance measure, sector grouping, and intervention targeting, then describe the approach for the pre-paid and double </w:t>
      </w:r>
      <w:proofErr w:type="spellStart"/>
      <w:r w:rsidRPr="002415C2">
        <w:t>nonrespondent</w:t>
      </w:r>
      <w:proofErr w:type="spellEnd"/>
      <w:r w:rsidRPr="002415C2">
        <w:t xml:space="preserve"> calibration experiments, and outline how these will be implemented and evaluated in the BPS</w:t>
      </w:r>
      <w:proofErr w:type="gramStart"/>
      <w:r w:rsidRPr="002415C2">
        <w:t>:12</w:t>
      </w:r>
      <w:proofErr w:type="gramEnd"/>
      <w:r w:rsidRPr="002415C2">
        <w:t>/17 full scale data collection.</w:t>
      </w:r>
    </w:p>
    <w:p w14:paraId="41CF3B6C" w14:textId="77777777" w:rsidR="002415C2" w:rsidRPr="002415C2" w:rsidRDefault="002415C2" w:rsidP="002415C2">
      <w:pPr>
        <w:spacing w:before="120" w:after="120"/>
      </w:pPr>
      <w:proofErr w:type="gramStart"/>
      <w:r w:rsidRPr="002415C2">
        <w:rPr>
          <w:b/>
          <w:bCs/>
          <w:iCs/>
        </w:rPr>
        <w:t>The importance measure.</w:t>
      </w:r>
      <w:proofErr w:type="gramEnd"/>
      <w:r w:rsidRPr="002415C2">
        <w:rPr>
          <w:i/>
        </w:rPr>
        <w:t xml:space="preserve"> </w:t>
      </w:r>
      <w:r w:rsidRPr="002415C2">
        <w:t>In order to reduce nonresponse bias in survey variables by directing effort and resources during data collection, and to minimize the cost associated with achieving this goal, three related conditions have to be met: (1) the targeted cases must be drawn from groups that are under-represented on key survey variable values among those who already responded, (2) their likelihood of participation should not be excessively low or high (i.e., targeted cases who do not respond cannot decrease bias; targeting only high propensity cases can potentially increase the bias of estimates), and (3) targeted cases should be numerous enough to impact survey estimates within domains of interest. While targeting cases based on response propensities may reduce nonresponse bias, bias may be unaffected if the targeted cases are extremely difficult to convert and do not respond to the intervention as desired.</w:t>
      </w:r>
    </w:p>
    <w:p w14:paraId="462763FE" w14:textId="77777777" w:rsidR="002415C2" w:rsidRPr="002415C2" w:rsidRDefault="002415C2" w:rsidP="002415C2">
      <w:r w:rsidRPr="002415C2">
        <w:t>One approach to meeting these conditions is to target cases based on two dimensions: the likelihood of a case to contribute to nonresponse bias if not interviewed, and the likelihood that the case could be converted to a respondent. These dimensions form an importance score, such that:</w:t>
      </w:r>
    </w:p>
    <w:p w14:paraId="7033E53B" w14:textId="77777777" w:rsidR="002415C2" w:rsidRPr="002415C2" w:rsidRDefault="00EB3A54" w:rsidP="002415C2">
      <w:pPr>
        <w:spacing w:before="120" w:after="120"/>
        <w:ind w:firstLine="720"/>
        <w:jc w:val="center"/>
        <w:rPr>
          <w:rFonts w:ascii="Cambria Math" w:hAnsi="Cambria Math"/>
          <w:oMath/>
        </w:rPr>
      </w:pPr>
      <m:oMathPara>
        <m:oMath>
          <m:sSub>
            <m:sSubPr>
              <m:ctrlPr>
                <w:rPr>
                  <w:rFonts w:ascii="Cambria Math" w:hAnsi="Cambria Math"/>
                  <w:i/>
                </w:rPr>
              </m:ctrlPr>
            </m:sSubPr>
            <m:e>
              <m:r>
                <w:rPr>
                  <w:rFonts w:ascii="Cambria Math" w:hAnsi="Cambria Math"/>
                </w:rPr>
                <m:t>I</m:t>
              </m:r>
            </m:e>
            <m:sub>
              <m:r>
                <w:rPr>
                  <w:rFonts w:ascii="Cambria Math" w:hAnsi="Cambria Math"/>
                </w:rPr>
                <m:t>ij</m:t>
              </m:r>
            </m:sub>
          </m:sSub>
          <m:r>
            <w:rPr>
              <w:rFonts w:ascii="Cambria Math" w:hAnsi="Cambria Math"/>
            </w:rPr>
            <m:t xml:space="preserve"> ∝ </m:t>
          </m:r>
          <m:sSub>
            <m:sSubPr>
              <m:ctrlPr>
                <w:rPr>
                  <w:rFonts w:ascii="Cambria Math" w:hAnsi="Cambria Math"/>
                  <w:i/>
                </w:rPr>
              </m:ctrlPr>
            </m:sSubPr>
            <m:e>
              <m:r>
                <w:rPr>
                  <w:rFonts w:ascii="Cambria Math" w:hAnsi="Cambria Math"/>
                </w:rPr>
                <m:t>U</m:t>
              </m:r>
            </m:e>
            <m:sub>
              <m:r>
                <w:rPr>
                  <w:rFonts w:ascii="Cambria Math" w:hAnsi="Cambria Math"/>
                </w:rPr>
                <m:t xml:space="preserve">ij </m:t>
              </m:r>
            </m:sub>
          </m:sSub>
          <m:r>
            <w:rPr>
              <w:rFonts w:ascii="Cambria Math" w:hAnsi="Cambria Math"/>
            </w:rPr>
            <m:t>∙</m:t>
          </m:r>
          <m:sSub>
            <m:sSubPr>
              <m:ctrlPr>
                <w:rPr>
                  <w:rFonts w:ascii="Cambria Math" w:hAnsi="Cambria Math"/>
                  <w:i/>
                </w:rPr>
              </m:ctrlPr>
            </m:sSubPr>
            <m:e>
              <m:r>
                <w:rPr>
                  <w:rFonts w:ascii="Cambria Math" w:hAnsi="Cambria Math"/>
                </w:rPr>
                <m:t>P(R)</m:t>
              </m:r>
            </m:e>
            <m:sub>
              <m:r>
                <w:rPr>
                  <w:rFonts w:ascii="Cambria Math" w:hAnsi="Cambria Math"/>
                </w:rPr>
                <m:t>i</m:t>
              </m:r>
            </m:sub>
          </m:sSub>
        </m:oMath>
      </m:oMathPara>
    </w:p>
    <w:p w14:paraId="11EE0019" w14:textId="77777777" w:rsidR="002415C2" w:rsidRPr="002415C2" w:rsidRDefault="002415C2" w:rsidP="002415C2">
      <w:pPr>
        <w:spacing w:before="120" w:after="120"/>
        <w:rPr>
          <w:color w:val="000000" w:themeColor="text1"/>
        </w:rPr>
      </w:pPr>
      <w:r w:rsidRPr="002415C2">
        <w:lastRenderedPageBreak/>
        <w:t xml:space="preserve">Where </w:t>
      </w:r>
      <w:r w:rsidRPr="002415C2">
        <w:rPr>
          <w:i/>
        </w:rPr>
        <w:t>I</w:t>
      </w:r>
      <w:r w:rsidRPr="002415C2">
        <w:t xml:space="preserve"> </w:t>
      </w:r>
      <w:proofErr w:type="gramStart"/>
      <w:r w:rsidRPr="002415C2">
        <w:t>is</w:t>
      </w:r>
      <w:proofErr w:type="gramEnd"/>
      <w:r w:rsidRPr="002415C2">
        <w:t xml:space="preserve"> the calculated importance score, </w:t>
      </w:r>
      <m:oMath>
        <m:r>
          <w:rPr>
            <w:rFonts w:ascii="Cambria Math" w:hAnsi="Cambria Math"/>
          </w:rPr>
          <m:t>U</m:t>
        </m:r>
      </m:oMath>
      <w:r w:rsidRPr="002415C2">
        <w:t xml:space="preserve"> is a measure of under-representativeness on key variables that reflects their likelihood to induce bias if not converted, and </w:t>
      </w:r>
      <m:oMath>
        <m:r>
          <w:rPr>
            <w:rFonts w:ascii="Cambria Math" w:hAnsi="Cambria Math"/>
          </w:rPr>
          <m:t>P(R)</m:t>
        </m:r>
      </m:oMath>
      <w:r w:rsidRPr="002415C2">
        <w:t xml:space="preserve"> is the predicted final response propensity, across </w:t>
      </w:r>
      <m:oMath>
        <m:r>
          <w:rPr>
            <w:rFonts w:ascii="Cambria Math" w:hAnsi="Cambria Math"/>
          </w:rPr>
          <m:t>i</m:t>
        </m:r>
      </m:oMath>
      <w:r w:rsidRPr="002415C2">
        <w:t xml:space="preserve"> sample members and </w:t>
      </w:r>
      <m:oMath>
        <m:r>
          <w:rPr>
            <w:rFonts w:ascii="Cambria Math" w:hAnsi="Cambria Math"/>
          </w:rPr>
          <m:t>j</m:t>
        </m:r>
      </m:oMath>
      <w:r w:rsidRPr="002415C2">
        <w:t xml:space="preserve"> data collection phases with responsive design </w:t>
      </w:r>
      <w:r w:rsidRPr="002415C2">
        <w:rPr>
          <w:color w:val="000000" w:themeColor="text1"/>
        </w:rPr>
        <w:t>interventions.</w:t>
      </w:r>
    </w:p>
    <w:p w14:paraId="728675B4" w14:textId="77777777" w:rsidR="002415C2" w:rsidRPr="002415C2" w:rsidRDefault="002415C2" w:rsidP="002415C2">
      <w:pPr>
        <w:spacing w:before="120" w:after="120"/>
      </w:pPr>
      <w:r w:rsidRPr="002415C2">
        <w:rPr>
          <w:color w:val="000000" w:themeColor="text1"/>
        </w:rPr>
        <w:t>The importance score will be determined by the combination of two models: a response propensity model and a bias-likelihood</w:t>
      </w:r>
      <w:r w:rsidRPr="002415C2" w:rsidDel="00FE37FB">
        <w:rPr>
          <w:color w:val="000000" w:themeColor="text1"/>
        </w:rPr>
        <w:t xml:space="preserve"> </w:t>
      </w:r>
      <w:r w:rsidRPr="002415C2">
        <w:rPr>
          <w:color w:val="000000" w:themeColor="text1"/>
        </w:rPr>
        <w:t>model. Like BPS</w:t>
      </w:r>
      <w:proofErr w:type="gramStart"/>
      <w:r w:rsidRPr="002415C2">
        <w:rPr>
          <w:color w:val="000000" w:themeColor="text1"/>
        </w:rPr>
        <w:t>:12</w:t>
      </w:r>
      <w:proofErr w:type="gramEnd"/>
      <w:r w:rsidRPr="002415C2">
        <w:rPr>
          <w:color w:val="000000" w:themeColor="text1"/>
        </w:rPr>
        <w:t>/14, the response propensity component of the importance score is being calculated in advance of the start of data collection. The representativeness of key variables, however, can only be determined during specific phases of the BPS</w:t>
      </w:r>
      <w:proofErr w:type="gramStart"/>
      <w:r w:rsidRPr="002415C2">
        <w:rPr>
          <w:color w:val="000000" w:themeColor="text1"/>
        </w:rPr>
        <w:t>:12</w:t>
      </w:r>
      <w:proofErr w:type="gramEnd"/>
      <w:r w:rsidRPr="002415C2">
        <w:rPr>
          <w:color w:val="000000" w:themeColor="text1"/>
        </w:rPr>
        <w:t xml:space="preserve">/17 data collection, with terms tailored to BPS:12/17. The importance score calculation needs to balance </w:t>
      </w:r>
      <w:r w:rsidRPr="002415C2">
        <w:rPr>
          <w:color w:val="000000" w:themeColor="text1"/>
          <w:szCs w:val="20"/>
        </w:rPr>
        <w:t>two distinct scenarios: (1) low propensity cases that will likely never respond, irrespective of their underrepresentation, and (2) high propensity cases that, because they are not underrepresented in the data, are unlikely to reduce bias. Once in production, NCES will provide more information about the distribution of both propensity and representation from the BPS</w:t>
      </w:r>
      <w:proofErr w:type="gramStart"/>
      <w:r w:rsidRPr="002415C2">
        <w:rPr>
          <w:color w:val="000000" w:themeColor="text1"/>
          <w:szCs w:val="20"/>
        </w:rPr>
        <w:t>:12</w:t>
      </w:r>
      <w:proofErr w:type="gramEnd"/>
      <w:r w:rsidRPr="002415C2">
        <w:rPr>
          <w:color w:val="000000" w:themeColor="text1"/>
          <w:szCs w:val="20"/>
        </w:rPr>
        <w:t>/17 calibration study, which will allow us to explore linear and nonlinear functions that optimize the potential for nonresponse bias and available incentive resources. We will share the findings with OMB at that time.</w:t>
      </w:r>
    </w:p>
    <w:p w14:paraId="2B5E6431" w14:textId="77777777" w:rsidR="002415C2" w:rsidRPr="002415C2" w:rsidRDefault="002415C2" w:rsidP="002415C2">
      <w:pPr>
        <w:spacing w:before="120" w:after="120"/>
      </w:pPr>
      <w:proofErr w:type="gramStart"/>
      <w:r w:rsidRPr="002415C2">
        <w:rPr>
          <w:b/>
          <w:bCs/>
          <w:iCs/>
        </w:rPr>
        <w:t>Bias-likelihood (U) model.</w:t>
      </w:r>
      <w:proofErr w:type="gramEnd"/>
      <w:r w:rsidRPr="002415C2">
        <w:t xml:space="preserve"> A desirable model to identify cases to be targeted for intervention would use covariates (Z) that are strongly related to the survey variables of interest (Y), to identify sample members who are under-represented (using a response indicator, R) with regard to these covariates. We then have the following relationships, using a single Z and Y for illustration:</w:t>
      </w:r>
    </w:p>
    <w:p w14:paraId="5F36718F" w14:textId="77777777" w:rsidR="002415C2" w:rsidRPr="002415C2" w:rsidRDefault="002415C2" w:rsidP="002415C2">
      <w:pPr>
        <w:spacing w:before="120" w:after="120" w:line="320" w:lineRule="atLeast"/>
        <w:jc w:val="center"/>
      </w:pPr>
      <w:r w:rsidRPr="002415C2">
        <w:rPr>
          <w:noProof/>
        </w:rPr>
        <mc:AlternateContent>
          <mc:Choice Requires="wps">
            <w:drawing>
              <wp:anchor distT="0" distB="0" distL="114300" distR="114300" simplePos="0" relativeHeight="251661312" behindDoc="0" locked="0" layoutInCell="1" allowOverlap="1" wp14:anchorId="02C2D55C" wp14:editId="077FE17F">
                <wp:simplePos x="0" y="0"/>
                <wp:positionH relativeFrom="column">
                  <wp:posOffset>2953385</wp:posOffset>
                </wp:positionH>
                <wp:positionV relativeFrom="paragraph">
                  <wp:posOffset>230505</wp:posOffset>
                </wp:positionV>
                <wp:extent cx="257175" cy="352425"/>
                <wp:effectExtent l="38100" t="0" r="28575" b="47625"/>
                <wp:wrapNone/>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257175" cy="3524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se="http://schemas.microsoft.com/office/word/2015/wordml/symex">
            <w:pict>
              <v:shapetype w14:anchorId="7CB85E91" id="_x0000_t32" coordsize="21600,21600" o:spt="32" o:oned="t" path="m,l21600,21600e" filled="f">
                <v:path arrowok="t" fillok="f" o:connecttype="none"/>
                <o:lock v:ext="edit" shapetype="t"/>
              </v:shapetype>
              <v:shape id="AutoShape 9" o:spid="_x0000_s1026" type="#_x0000_t32" style="position:absolute;margin-left:232.55pt;margin-top:18.15pt;width:20.25pt;height:27.7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">
                <v:stroke endarrow="block"/>
                <o:lock v:ext="edit" shapetype="f"/>
              </v:shape>
            </w:pict>
          </mc:Fallback>
        </mc:AlternateContent>
      </w:r>
      <w:r w:rsidRPr="002415C2">
        <w:rPr>
          <w:noProof/>
        </w:rPr>
        <mc:AlternateContent>
          <mc:Choice Requires="wps">
            <w:drawing>
              <wp:anchor distT="0" distB="0" distL="114300" distR="114300" simplePos="0" relativeHeight="251659264" behindDoc="0" locked="0" layoutInCell="1" allowOverlap="1" wp14:anchorId="4FFA8C05" wp14:editId="59DA8634">
                <wp:simplePos x="0" y="0"/>
                <wp:positionH relativeFrom="column">
                  <wp:posOffset>3278505</wp:posOffset>
                </wp:positionH>
                <wp:positionV relativeFrom="paragraph">
                  <wp:posOffset>230928</wp:posOffset>
                </wp:positionV>
                <wp:extent cx="247015" cy="352425"/>
                <wp:effectExtent l="0" t="0" r="57785" b="47625"/>
                <wp:wrapNone/>
                <wp:docPr id="6"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47015" cy="3524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se="http://schemas.microsoft.com/office/word/2015/wordml/symex">
            <w:pict>
              <v:shape w14:anchorId="438328BE" id="AutoShape 7" o:spid="_x0000_s1026" type="#_x0000_t32" style="position:absolute;margin-left:258.15pt;margin-top:18.2pt;width:19.45pt;height:2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">
                <v:stroke endarrow="block"/>
                <o:lock v:ext="edit" shapetype="f"/>
              </v:shape>
            </w:pict>
          </mc:Fallback>
        </mc:AlternateContent>
      </w:r>
      <w:r w:rsidRPr="002415C2">
        <w:t>Z</w:t>
      </w:r>
    </w:p>
    <w:p w14:paraId="46AF58E9" w14:textId="77777777" w:rsidR="002415C2" w:rsidRPr="002415C2" w:rsidRDefault="002415C2" w:rsidP="002415C2">
      <w:pPr>
        <w:spacing w:before="120" w:after="120" w:line="320" w:lineRule="atLeast"/>
        <w:jc w:val="center"/>
      </w:pPr>
    </w:p>
    <w:p w14:paraId="4FF2B3F1" w14:textId="77777777" w:rsidR="002415C2" w:rsidRPr="002415C2" w:rsidRDefault="002415C2" w:rsidP="002415C2">
      <w:pPr>
        <w:tabs>
          <w:tab w:val="left" w:pos="5587"/>
        </w:tabs>
        <w:spacing w:before="120" w:after="120" w:line="320" w:lineRule="atLeast"/>
        <w:jc w:val="center"/>
      </w:pPr>
      <w:r w:rsidRPr="002415C2">
        <w:rPr>
          <w:noProof/>
        </w:rPr>
        <mc:AlternateContent>
          <mc:Choice Requires="wps">
            <w:drawing>
              <wp:anchor distT="0" distB="0" distL="114300" distR="114300" simplePos="0" relativeHeight="251660288" behindDoc="0" locked="0" layoutInCell="1" allowOverlap="1" wp14:anchorId="2F5B671D" wp14:editId="608F7E6D">
                <wp:simplePos x="0" y="0"/>
                <wp:positionH relativeFrom="column">
                  <wp:posOffset>2995522</wp:posOffset>
                </wp:positionH>
                <wp:positionV relativeFrom="paragraph">
                  <wp:posOffset>181066</wp:posOffset>
                </wp:positionV>
                <wp:extent cx="495300" cy="183515"/>
                <wp:effectExtent l="57150" t="19050" r="38100" b="26035"/>
                <wp:wrapNone/>
                <wp:docPr id="1"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85528">
                          <a:off x="0" y="0"/>
                          <a:ext cx="495300" cy="183515"/>
                        </a:xfrm>
                        <a:custGeom>
                          <a:avLst/>
                          <a:gdLst>
                            <a:gd name="T0" fmla="*/ 0 w 533400"/>
                            <a:gd name="T1" fmla="*/ 0 h 143142"/>
                            <a:gd name="T2" fmla="*/ 256495 w 533400"/>
                            <a:gd name="T3" fmla="*/ 183173 h 143142"/>
                            <a:gd name="T4" fmla="*/ 495300 w 533400"/>
                            <a:gd name="T5" fmla="*/ 36635 h 143142"/>
                            <a:gd name="T6" fmla="*/ 0 60000 65536"/>
                            <a:gd name="T7" fmla="*/ 0 60000 65536"/>
                            <a:gd name="T8" fmla="*/ 0 60000 65536"/>
                          </a:gdLst>
                          <a:ahLst/>
                          <a:cxnLst>
                            <a:cxn ang="T6">
                              <a:pos x="T0" y="T1"/>
                            </a:cxn>
                            <a:cxn ang="T7">
                              <a:pos x="T2" y="T3"/>
                            </a:cxn>
                            <a:cxn ang="T8">
                              <a:pos x="T4" y="T5"/>
                            </a:cxn>
                          </a:cxnLst>
                          <a:rect l="0" t="0" r="r" b="b"/>
                          <a:pathLst>
                            <a:path w="533400" h="143142">
                              <a:moveTo>
                                <a:pt x="0" y="0"/>
                              </a:moveTo>
                              <a:cubicBezTo>
                                <a:pt x="93662" y="69056"/>
                                <a:pt x="187325" y="138113"/>
                                <a:pt x="276225" y="142875"/>
                              </a:cubicBezTo>
                              <a:cubicBezTo>
                                <a:pt x="365125" y="147638"/>
                                <a:pt x="449262" y="88106"/>
                                <a:pt x="533400" y="28575"/>
                              </a:cubicBezTo>
                            </a:path>
                          </a:pathLst>
                        </a:custGeom>
                        <a:noFill/>
                        <a:ln w="9525">
                          <a:solidFill>
                            <a:srgbClr val="000000"/>
                          </a:solidFill>
                          <a:round/>
                          <a:headEnd type="triangl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se="http://schemas.microsoft.com/office/word/2015/wordml/symex">
            <w:pict>
              <v:shape w14:anchorId="3C174D01" id="Freeform 8" o:spid="_x0000_s1026" style="position:absolute;margin-left:235.85pt;margin-top:14.25pt;width:39pt;height:14.45pt;rotation:-311873fd;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33400,1431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" path="m,c93662,69056,187325,138113,276225,142875,365125,147638,449262,88106,533400,28575e" filled="f">
                <v:stroke startarrow="block" endarrow="block"/>
                <v:path arrowok="t" o:connecttype="custom" o:connectlocs="0,0;238174,234837;459921,46968" o:connectangles="0,0,0"/>
              </v:shape>
            </w:pict>
          </mc:Fallback>
        </mc:AlternateContent>
      </w:r>
      <w:r w:rsidRPr="002415C2">
        <w:t>R Y</w:t>
      </w:r>
    </w:p>
    <w:p w14:paraId="2CEE0177" w14:textId="77777777" w:rsidR="002415C2" w:rsidRPr="002415C2" w:rsidRDefault="002415C2" w:rsidP="002415C2">
      <w:pPr>
        <w:spacing w:before="120" w:after="120"/>
      </w:pPr>
    </w:p>
    <w:p w14:paraId="41BAEEB3" w14:textId="77777777" w:rsidR="002415C2" w:rsidRPr="002415C2" w:rsidRDefault="002415C2" w:rsidP="002415C2">
      <w:pPr>
        <w:spacing w:before="120" w:after="120"/>
      </w:pPr>
      <w:r w:rsidRPr="002415C2">
        <w:t xml:space="preserve">Nonresponse bias arises when there is a relationship between R and Y. Just as in adjustment for nonresponse bias (see </w:t>
      </w:r>
      <w:hyperlink w:anchor="_ENREF_2" w:tooltip="Little, 2005 #550" w:history="1">
        <w:r w:rsidRPr="002415C2">
          <w:fldChar w:fldCharType="begin"/>
        </w:r>
        <w:r w:rsidRPr="002415C2">
          <w:instrText xml:space="preserve"> ADDIN EN.CITE &lt;EndNote&gt;&lt;Cite&gt;&lt;Author&gt;Little&lt;/Author&gt;&lt;Year&gt;2005&lt;/Year&gt;&lt;RecNum&gt;550&lt;/RecNum&gt;&lt;DisplayText&gt;Little and Vartivarian, 2005&lt;/DisplayText&gt;&lt;record&gt;&lt;rec-number&gt;550&lt;/rec-number&gt;&lt;foreign-keys&gt;&lt;key app="EN" db-id="pxe0eptdr05fxpepweypvst6sz9xrps9r55a"&gt;550&lt;/key&gt;&lt;/foreign-keys&gt;&lt;ref-type name="Journal Article"&gt;17&lt;/ref-type&gt;&lt;contributors&gt;&lt;authors&gt;&lt;author&gt;Little, Roderick J.&lt;/author&gt;&lt;author&gt;Vartivarian, Sonya&lt;/author&gt;&lt;/authors&gt;&lt;/contributors&gt;&lt;titles&gt;&lt;title&gt;Does weighting for nonresponse increase the variance of survey means?&lt;/title&gt;&lt;secondary-title&gt;Survey Methodology&lt;/secondary-title&gt;&lt;/titles&gt;&lt;periodical&gt;&lt;full-title&gt;Survey Methodology&lt;/full-title&gt;&lt;/periodical&gt;&lt;pages&gt;161-168&lt;/pages&gt;&lt;volume&gt;31&lt;/volume&gt;&lt;number&gt;2&lt;/number&gt;&lt;dates&gt;&lt;year&gt;2005&lt;/year&gt;&lt;/dates&gt;&lt;urls&gt;&lt;/urls&gt;&lt;/record&gt;&lt;/Cite&gt;&lt;/EndNote&gt;</w:instrText>
        </w:r>
        <w:r w:rsidRPr="002415C2">
          <w:fldChar w:fldCharType="separate"/>
        </w:r>
        <w:r w:rsidRPr="002415C2">
          <w:t>Little and Vartivarian, 2005</w:t>
        </w:r>
        <w:r w:rsidRPr="002415C2">
          <w:fldChar w:fldCharType="end"/>
        </w:r>
      </w:hyperlink>
      <w:r w:rsidRPr="002415C2">
        <w:t xml:space="preserve">), a Z-variable cannot be effective in nonresponse bias reduction if </w:t>
      </w:r>
      <w:proofErr w:type="spellStart"/>
      <w:r w:rsidRPr="002415C2">
        <w:t>corr</w:t>
      </w:r>
      <w:proofErr w:type="spellEnd"/>
      <w:r w:rsidRPr="002415C2">
        <w:t xml:space="preserve">(Z,Y) is weak or nonexistent, even if </w:t>
      </w:r>
      <w:proofErr w:type="spellStart"/>
      <w:r w:rsidRPr="002415C2">
        <w:t>corr</w:t>
      </w:r>
      <w:proofErr w:type="spellEnd"/>
      <w:r w:rsidRPr="002415C2">
        <w:t>(Z,R) is substantial. That is, selection of Z-variables based only on their correlation with R may not help to identify cases that contribute to nonresponse bias. The goal is to identify sample cases that have Y-variable values that are associated with lower response rates, as this is one of the most direct ways to reduce nonresponse bias in an estimate of a mean.</w:t>
      </w:r>
    </w:p>
    <w:p w14:paraId="3B6412E8" w14:textId="77777777" w:rsidR="002415C2" w:rsidRPr="002415C2" w:rsidRDefault="002415C2" w:rsidP="002415C2">
      <w:pPr>
        <w:spacing w:before="120" w:after="120"/>
      </w:pPr>
      <w:r w:rsidRPr="002415C2">
        <w:t>The key Z-variable selection criterion should then be association with Y. Good candidate Z-variables would be the Y-variables or their proxies measured in a prior wave and any correlates of change in estimates over time. A second set of useful Z-variables would be those used in weighting and those used to define subdomains for analysis – such as demographic variables. This should help to reduce the variance inflation due to weighting and nonresponse bias in comparisons across groups. Key, however, is the exclusion of variables that are highly predictive of R, but quite unrelated to Y. These variables, such as the number of prior contact attempts and prior refusal, can dominate in a model predicting the likelihood of participation and mask the relationship of Z variables that are associated with Y.</w:t>
      </w:r>
    </w:p>
    <w:p w14:paraId="09362BDF" w14:textId="77777777" w:rsidR="002415C2" w:rsidRPr="002415C2" w:rsidRDefault="002415C2" w:rsidP="002415C2">
      <w:pPr>
        <w:spacing w:before="120" w:after="120"/>
      </w:pPr>
      <w:r w:rsidRPr="002415C2">
        <w:t>Prior to the start of later phases of data, when the treatment interventions will be introduced, we will conduct multiple logistic regressions in order to predict the survey outcome (R) through the current phase of collection using only substantive and demographic variables and their correlates from NPSAS</w:t>
      </w:r>
      <w:proofErr w:type="gramStart"/>
      <w:r w:rsidRPr="002415C2">
        <w:t>:12</w:t>
      </w:r>
      <w:proofErr w:type="gramEnd"/>
      <w:r w:rsidRPr="002415C2">
        <w:t xml:space="preserve"> and the sampling frame (Z), and select two-way interactions. For each sector grouping (see table 8 below), a single model will be fit. The goal of this model is not to maximize the ability to predict survey response (</w:t>
      </w:r>
      <m:oMath>
        <m:acc>
          <m:accPr>
            <m:ctrlPr>
              <w:rPr>
                <w:rFonts w:ascii="Cambria Math" w:hAnsi="Cambria Math"/>
              </w:rPr>
            </m:ctrlPr>
          </m:accPr>
          <m:e>
            <m:r>
              <m:rPr>
                <m:sty m:val="p"/>
              </m:rPr>
              <w:rPr>
                <w:rFonts w:ascii="Cambria Math" w:hAnsi="Cambria Math"/>
              </w:rPr>
              <m:t>p</m:t>
            </m:r>
          </m:e>
        </m:acc>
      </m:oMath>
      <w:r w:rsidRPr="002415C2">
        <w:t xml:space="preserve">), but to obtain a predicted likelihood of a completed interview reducing nonresponse bias if successfully interviewed. Because of this key difference, we use (1 </w:t>
      </w:r>
      <w:proofErr w:type="gramStart"/>
      <w:r w:rsidRPr="002415C2">
        <w:t xml:space="preserve">– </w:t>
      </w:r>
      <w:proofErr w:type="gramEnd"/>
      <m:oMath>
        <m:acc>
          <m:accPr>
            <m:ctrlPr>
              <w:rPr>
                <w:rFonts w:ascii="Cambria Math" w:hAnsi="Cambria Math"/>
              </w:rPr>
            </m:ctrlPr>
          </m:accPr>
          <m:e>
            <m:r>
              <m:rPr>
                <m:sty m:val="p"/>
              </m:rPr>
              <w:rPr>
                <w:rFonts w:ascii="Cambria Math" w:hAnsi="Cambria Math"/>
              </w:rPr>
              <m:t>p</m:t>
            </m:r>
          </m:e>
        </m:acc>
      </m:oMath>
      <w:r w:rsidRPr="002415C2">
        <w:t>) to calculate a case-level prediction representing bias-likelihood, rather than response propensity.</w:t>
      </w:r>
    </w:p>
    <w:p w14:paraId="7E3DB877" w14:textId="77777777" w:rsidR="002415C2" w:rsidRPr="002415C2" w:rsidRDefault="002415C2" w:rsidP="005E46AA">
      <w:pPr>
        <w:widowControl w:val="0"/>
        <w:spacing w:before="120" w:after="120"/>
      </w:pPr>
      <w:r w:rsidRPr="002415C2">
        <w:t xml:space="preserve">Variables to be used in the bias-likelihood model will come from base-year survey responses, institution </w:t>
      </w:r>
      <w:r w:rsidRPr="002415C2">
        <w:lastRenderedPageBreak/>
        <w:t>characteristics, and sampling frame information</w:t>
      </w:r>
      <w:r w:rsidRPr="002415C2">
        <w:rPr>
          <w:vertAlign w:val="superscript"/>
        </w:rPr>
        <w:footnoteReference w:id="5"/>
      </w:r>
      <w:r w:rsidRPr="002415C2">
        <w:t xml:space="preserve"> (see table 7). It is important to note that </w:t>
      </w:r>
      <w:proofErr w:type="spellStart"/>
      <w:r w:rsidRPr="002415C2">
        <w:t>paradata</w:t>
      </w:r>
      <w:proofErr w:type="spellEnd"/>
      <w:r w:rsidRPr="002415C2">
        <w:t>, particularly those variables that are highly predictive of response, but quite unrelated to the survey variables of interest, will be excluded from the bias-likelihood model.</w:t>
      </w:r>
    </w:p>
    <w:p w14:paraId="20DA9EC0" w14:textId="77777777" w:rsidR="002415C2" w:rsidRPr="002415C2" w:rsidRDefault="002415C2" w:rsidP="002415C2">
      <w:pPr>
        <w:keepNext/>
        <w:spacing w:before="120" w:after="60"/>
        <w:ind w:left="994" w:hanging="994"/>
        <w:rPr>
          <w:rFonts w:ascii="Arial" w:hAnsi="Arial"/>
          <w:b/>
          <w:sz w:val="20"/>
          <w:szCs w:val="20"/>
        </w:rPr>
      </w:pPr>
      <w:bookmarkStart w:id="10" w:name="_Toc456167110"/>
      <w:proofErr w:type="gramStart"/>
      <w:r w:rsidRPr="002415C2">
        <w:rPr>
          <w:rFonts w:ascii="Arial" w:hAnsi="Arial"/>
          <w:b/>
          <w:sz w:val="20"/>
          <w:szCs w:val="20"/>
        </w:rPr>
        <w:t>Table 7.</w:t>
      </w:r>
      <w:proofErr w:type="gramEnd"/>
      <w:r w:rsidRPr="002415C2">
        <w:rPr>
          <w:rFonts w:ascii="Arial" w:hAnsi="Arial"/>
          <w:b/>
          <w:sz w:val="20"/>
          <w:szCs w:val="20"/>
        </w:rPr>
        <w:t xml:space="preserve"> Candidate variables for the bias likelihood model</w:t>
      </w:r>
      <w:bookmarkEnd w:id="10"/>
      <w:r w:rsidRPr="002415C2">
        <w:rPr>
          <w:rFonts w:ascii="Arial" w:hAnsi="Arial"/>
          <w:b/>
          <w:sz w:val="20"/>
          <w:szCs w:val="20"/>
        </w:rPr>
        <w:t xml:space="preserve"> </w:t>
      </w:r>
    </w:p>
    <w:tbl>
      <w:tblPr>
        <w:tblW w:w="49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15" w:type="dxa"/>
          <w:bottom w:w="72" w:type="dxa"/>
          <w:right w:w="115" w:type="dxa"/>
        </w:tblCellMar>
        <w:tblLook w:val="0000" w:firstRow="0" w:lastRow="0" w:firstColumn="0" w:lastColumn="0" w:noHBand="0" w:noVBand="0"/>
      </w:tblPr>
      <w:tblGrid>
        <w:gridCol w:w="5199"/>
        <w:gridCol w:w="5200"/>
      </w:tblGrid>
      <w:tr w:rsidR="002415C2" w:rsidRPr="002415C2" w14:paraId="367C7954" w14:textId="77777777" w:rsidTr="00C37F47">
        <w:trPr>
          <w:trHeight w:val="20"/>
        </w:trPr>
        <w:tc>
          <w:tcPr>
            <w:tcW w:w="5000" w:type="pct"/>
            <w:gridSpan w:val="2"/>
            <w:tcBorders>
              <w:bottom w:val="single" w:sz="4" w:space="0" w:color="auto"/>
            </w:tcBorders>
            <w:shd w:val="clear" w:color="auto" w:fill="D9D9D9" w:themeFill="background1" w:themeFillShade="D9"/>
            <w:tcMar>
              <w:top w:w="0" w:type="dxa"/>
              <w:left w:w="115" w:type="dxa"/>
              <w:bottom w:w="0" w:type="dxa"/>
              <w:right w:w="115" w:type="dxa"/>
            </w:tcMar>
            <w:vAlign w:val="center"/>
          </w:tcPr>
          <w:p w14:paraId="7E08E66A" w14:textId="77777777" w:rsidR="002415C2" w:rsidRPr="002415C2" w:rsidRDefault="002415C2" w:rsidP="002415C2">
            <w:pPr>
              <w:autoSpaceDE w:val="0"/>
              <w:autoSpaceDN w:val="0"/>
              <w:adjustRightInd w:val="0"/>
              <w:rPr>
                <w:b/>
                <w:bCs/>
                <w:sz w:val="20"/>
                <w:szCs w:val="18"/>
              </w:rPr>
            </w:pPr>
            <w:r w:rsidRPr="002415C2">
              <w:rPr>
                <w:b/>
                <w:bCs/>
                <w:sz w:val="20"/>
                <w:szCs w:val="18"/>
              </w:rPr>
              <w:t>Variables</w:t>
            </w:r>
          </w:p>
        </w:tc>
      </w:tr>
      <w:tr w:rsidR="002415C2" w:rsidRPr="002415C2" w14:paraId="3EE77377" w14:textId="77777777" w:rsidTr="00C37F47">
        <w:trPr>
          <w:trHeight w:val="710"/>
        </w:trPr>
        <w:tc>
          <w:tcPr>
            <w:tcW w:w="2500" w:type="pct"/>
            <w:tcBorders>
              <w:right w:val="nil"/>
            </w:tcBorders>
            <w:tcMar>
              <w:top w:w="0" w:type="dxa"/>
              <w:left w:w="115" w:type="dxa"/>
              <w:bottom w:w="0" w:type="dxa"/>
              <w:right w:w="115" w:type="dxa"/>
            </w:tcMar>
            <w:vAlign w:val="center"/>
          </w:tcPr>
          <w:p w14:paraId="60475911" w14:textId="77777777" w:rsidR="002415C2" w:rsidRPr="002415C2" w:rsidRDefault="002415C2" w:rsidP="002415C2">
            <w:pPr>
              <w:autoSpaceDE w:val="0"/>
              <w:autoSpaceDN w:val="0"/>
              <w:adjustRightInd w:val="0"/>
              <w:rPr>
                <w:sz w:val="20"/>
                <w:szCs w:val="20"/>
              </w:rPr>
            </w:pPr>
            <w:r w:rsidRPr="002415C2">
              <w:rPr>
                <w:sz w:val="20"/>
                <w:szCs w:val="20"/>
              </w:rPr>
              <w:t>Race</w:t>
            </w:r>
          </w:p>
          <w:p w14:paraId="2C30BAF1" w14:textId="77777777" w:rsidR="002415C2" w:rsidRPr="002415C2" w:rsidRDefault="002415C2" w:rsidP="002415C2">
            <w:pPr>
              <w:autoSpaceDE w:val="0"/>
              <w:autoSpaceDN w:val="0"/>
              <w:adjustRightInd w:val="0"/>
              <w:rPr>
                <w:sz w:val="20"/>
                <w:szCs w:val="20"/>
              </w:rPr>
            </w:pPr>
            <w:r w:rsidRPr="002415C2">
              <w:rPr>
                <w:sz w:val="20"/>
                <w:szCs w:val="20"/>
              </w:rPr>
              <w:t>Gender</w:t>
            </w:r>
          </w:p>
          <w:p w14:paraId="64807A41" w14:textId="77777777" w:rsidR="002415C2" w:rsidRPr="002415C2" w:rsidRDefault="002415C2" w:rsidP="002415C2">
            <w:pPr>
              <w:autoSpaceDE w:val="0"/>
              <w:autoSpaceDN w:val="0"/>
              <w:adjustRightInd w:val="0"/>
              <w:rPr>
                <w:sz w:val="20"/>
                <w:szCs w:val="20"/>
              </w:rPr>
            </w:pPr>
            <w:r w:rsidRPr="002415C2">
              <w:rPr>
                <w:sz w:val="20"/>
                <w:szCs w:val="20"/>
              </w:rPr>
              <w:t>Age</w:t>
            </w:r>
          </w:p>
          <w:p w14:paraId="2FDEED20" w14:textId="77777777" w:rsidR="002415C2" w:rsidRPr="002415C2" w:rsidRDefault="002415C2" w:rsidP="002415C2">
            <w:pPr>
              <w:autoSpaceDE w:val="0"/>
              <w:autoSpaceDN w:val="0"/>
              <w:adjustRightInd w:val="0"/>
              <w:rPr>
                <w:sz w:val="20"/>
                <w:szCs w:val="20"/>
              </w:rPr>
            </w:pPr>
            <w:r w:rsidRPr="002415C2">
              <w:rPr>
                <w:sz w:val="20"/>
                <w:szCs w:val="20"/>
              </w:rPr>
              <w:t>Sector*</w:t>
            </w:r>
          </w:p>
          <w:p w14:paraId="163BB27A" w14:textId="77777777" w:rsidR="002415C2" w:rsidRPr="002415C2" w:rsidRDefault="002415C2" w:rsidP="002415C2">
            <w:pPr>
              <w:rPr>
                <w:sz w:val="20"/>
                <w:szCs w:val="20"/>
              </w:rPr>
            </w:pPr>
            <w:r w:rsidRPr="002415C2">
              <w:rPr>
                <w:sz w:val="20"/>
                <w:szCs w:val="20"/>
              </w:rPr>
              <w:t>Match to Central Processing System</w:t>
            </w:r>
          </w:p>
          <w:p w14:paraId="0B3AC199" w14:textId="77777777" w:rsidR="002415C2" w:rsidRPr="002415C2" w:rsidRDefault="002415C2" w:rsidP="002415C2">
            <w:pPr>
              <w:rPr>
                <w:sz w:val="20"/>
                <w:szCs w:val="20"/>
              </w:rPr>
            </w:pPr>
            <w:r w:rsidRPr="002415C2">
              <w:rPr>
                <w:sz w:val="20"/>
                <w:szCs w:val="20"/>
              </w:rPr>
              <w:t>Match to Pell grant system</w:t>
            </w:r>
          </w:p>
          <w:p w14:paraId="6821C4CD" w14:textId="77777777" w:rsidR="002415C2" w:rsidRPr="002415C2" w:rsidRDefault="002415C2" w:rsidP="002415C2">
            <w:pPr>
              <w:rPr>
                <w:sz w:val="20"/>
                <w:szCs w:val="20"/>
              </w:rPr>
            </w:pPr>
            <w:r w:rsidRPr="002415C2">
              <w:rPr>
                <w:sz w:val="20"/>
                <w:szCs w:val="20"/>
              </w:rPr>
              <w:t>Total income</w:t>
            </w:r>
          </w:p>
          <w:p w14:paraId="7287CB7B" w14:textId="77777777" w:rsidR="002415C2" w:rsidRPr="002415C2" w:rsidRDefault="002415C2" w:rsidP="002415C2">
            <w:pPr>
              <w:rPr>
                <w:sz w:val="20"/>
                <w:szCs w:val="20"/>
              </w:rPr>
            </w:pPr>
            <w:r w:rsidRPr="002415C2">
              <w:rPr>
                <w:sz w:val="20"/>
                <w:szCs w:val="20"/>
              </w:rPr>
              <w:t>Parent’s highest education level</w:t>
            </w:r>
          </w:p>
        </w:tc>
        <w:tc>
          <w:tcPr>
            <w:tcW w:w="2500" w:type="pct"/>
            <w:tcBorders>
              <w:left w:val="nil"/>
            </w:tcBorders>
            <w:vAlign w:val="center"/>
          </w:tcPr>
          <w:p w14:paraId="5E9613CF" w14:textId="77777777" w:rsidR="002415C2" w:rsidRPr="002415C2" w:rsidRDefault="002415C2" w:rsidP="002415C2">
            <w:pPr>
              <w:rPr>
                <w:sz w:val="20"/>
                <w:szCs w:val="20"/>
              </w:rPr>
            </w:pPr>
            <w:r w:rsidRPr="002415C2">
              <w:rPr>
                <w:sz w:val="20"/>
                <w:szCs w:val="20"/>
              </w:rPr>
              <w:t>Attendance intensity</w:t>
            </w:r>
          </w:p>
          <w:p w14:paraId="3E82DC38" w14:textId="77777777" w:rsidR="002415C2" w:rsidRPr="002415C2" w:rsidRDefault="002415C2" w:rsidP="002415C2">
            <w:pPr>
              <w:rPr>
                <w:sz w:val="20"/>
                <w:szCs w:val="20"/>
              </w:rPr>
            </w:pPr>
            <w:r w:rsidRPr="002415C2">
              <w:rPr>
                <w:sz w:val="20"/>
                <w:szCs w:val="20"/>
              </w:rPr>
              <w:t>Highest level of education ever expected</w:t>
            </w:r>
          </w:p>
          <w:p w14:paraId="3D471906" w14:textId="77777777" w:rsidR="002415C2" w:rsidRPr="002415C2" w:rsidRDefault="002415C2" w:rsidP="002415C2">
            <w:pPr>
              <w:rPr>
                <w:sz w:val="20"/>
                <w:szCs w:val="20"/>
              </w:rPr>
            </w:pPr>
            <w:r w:rsidRPr="002415C2">
              <w:rPr>
                <w:sz w:val="20"/>
                <w:szCs w:val="20"/>
              </w:rPr>
              <w:t>Dependent children and marital status</w:t>
            </w:r>
          </w:p>
          <w:p w14:paraId="6B97DC5C" w14:textId="77777777" w:rsidR="002415C2" w:rsidRPr="002415C2" w:rsidRDefault="002415C2" w:rsidP="002415C2">
            <w:pPr>
              <w:rPr>
                <w:sz w:val="20"/>
                <w:szCs w:val="20"/>
              </w:rPr>
            </w:pPr>
            <w:r w:rsidRPr="002415C2">
              <w:rPr>
                <w:sz w:val="20"/>
                <w:szCs w:val="20"/>
              </w:rPr>
              <w:t>Federal Pell grant amount</w:t>
            </w:r>
          </w:p>
          <w:p w14:paraId="3BEDA5D1" w14:textId="77777777" w:rsidR="002415C2" w:rsidRPr="002415C2" w:rsidRDefault="002415C2" w:rsidP="002415C2">
            <w:pPr>
              <w:rPr>
                <w:sz w:val="20"/>
                <w:szCs w:val="20"/>
              </w:rPr>
            </w:pPr>
            <w:r w:rsidRPr="002415C2">
              <w:rPr>
                <w:sz w:val="20"/>
                <w:szCs w:val="20"/>
              </w:rPr>
              <w:t>Direct subsidized and unsubsidized loans</w:t>
            </w:r>
          </w:p>
          <w:p w14:paraId="26FF0816" w14:textId="77777777" w:rsidR="002415C2" w:rsidRPr="002415C2" w:rsidRDefault="002415C2" w:rsidP="002415C2">
            <w:pPr>
              <w:rPr>
                <w:sz w:val="20"/>
                <w:szCs w:val="20"/>
              </w:rPr>
            </w:pPr>
            <w:r w:rsidRPr="002415C2">
              <w:rPr>
                <w:sz w:val="20"/>
                <w:szCs w:val="20"/>
              </w:rPr>
              <w:t>Total federal aid</w:t>
            </w:r>
          </w:p>
          <w:p w14:paraId="20E60092" w14:textId="77777777" w:rsidR="002415C2" w:rsidRPr="002415C2" w:rsidRDefault="002415C2" w:rsidP="002415C2">
            <w:pPr>
              <w:rPr>
                <w:sz w:val="20"/>
                <w:szCs w:val="20"/>
              </w:rPr>
            </w:pPr>
            <w:r w:rsidRPr="002415C2">
              <w:rPr>
                <w:sz w:val="20"/>
                <w:szCs w:val="20"/>
              </w:rPr>
              <w:t>Institutional aid total</w:t>
            </w:r>
          </w:p>
          <w:p w14:paraId="32B0ACF1" w14:textId="77777777" w:rsidR="002415C2" w:rsidRPr="002415C2" w:rsidRDefault="002415C2" w:rsidP="002415C2">
            <w:pPr>
              <w:autoSpaceDE w:val="0"/>
              <w:autoSpaceDN w:val="0"/>
              <w:adjustRightInd w:val="0"/>
              <w:rPr>
                <w:sz w:val="20"/>
                <w:szCs w:val="20"/>
              </w:rPr>
            </w:pPr>
            <w:r w:rsidRPr="002415C2">
              <w:rPr>
                <w:sz w:val="20"/>
                <w:szCs w:val="20"/>
              </w:rPr>
              <w:t>Degree program</w:t>
            </w:r>
          </w:p>
        </w:tc>
      </w:tr>
    </w:tbl>
    <w:p w14:paraId="504574DF" w14:textId="77777777" w:rsidR="002415C2" w:rsidRPr="002415C2" w:rsidRDefault="002415C2" w:rsidP="002415C2">
      <w:pPr>
        <w:rPr>
          <w:sz w:val="20"/>
          <w:szCs w:val="18"/>
        </w:rPr>
      </w:pPr>
      <w:r w:rsidRPr="002415C2">
        <w:rPr>
          <w:sz w:val="20"/>
          <w:szCs w:val="18"/>
        </w:rPr>
        <w:t>* Variable to be included in bias likelihood model for targeting sample members from public 4-year and private nonprofit institutions (sector group B in table 8).</w:t>
      </w:r>
    </w:p>
    <w:p w14:paraId="13A16448" w14:textId="77777777" w:rsidR="002415C2" w:rsidRPr="002415C2" w:rsidRDefault="002415C2" w:rsidP="002415C2">
      <w:pPr>
        <w:spacing w:before="120" w:after="120"/>
      </w:pPr>
      <w:proofErr w:type="gramStart"/>
      <w:r w:rsidRPr="002415C2">
        <w:rPr>
          <w:b/>
          <w:bCs/>
          <w:iCs/>
        </w:rPr>
        <w:t>Response propensity (P(R)) model.</w:t>
      </w:r>
      <w:proofErr w:type="gramEnd"/>
      <w:r w:rsidRPr="002415C2">
        <w:rPr>
          <w:i/>
        </w:rPr>
        <w:t xml:space="preserve"> </w:t>
      </w:r>
      <w:r w:rsidRPr="002415C2">
        <w:t>Prior to the start of BPS</w:t>
      </w:r>
      <w:proofErr w:type="gramStart"/>
      <w:r w:rsidRPr="002415C2">
        <w:t>:12</w:t>
      </w:r>
      <w:proofErr w:type="gramEnd"/>
      <w:r w:rsidRPr="002415C2">
        <w:t>/17 data collection, a response propensity model is being developed to predict likelihood to respond to BPS:12/17 based on BPS:12/14 data and response behavior. NCES will share the model with OMB when finalized and prior to implementation. The model will use variables from the base NPSAS</w:t>
      </w:r>
      <w:proofErr w:type="gramStart"/>
      <w:r w:rsidRPr="002415C2">
        <w:t>:12</w:t>
      </w:r>
      <w:proofErr w:type="gramEnd"/>
      <w:r w:rsidRPr="002415C2">
        <w:t xml:space="preserve"> study as well as BPS:12/14 full scale that have been shown to predict survey response, including, but not limited to:</w:t>
      </w:r>
    </w:p>
    <w:p w14:paraId="3190ECC2" w14:textId="77777777" w:rsidR="002415C2" w:rsidRPr="002415C2" w:rsidRDefault="002415C2" w:rsidP="002415C2">
      <w:pPr>
        <w:numPr>
          <w:ilvl w:val="0"/>
          <w:numId w:val="15"/>
        </w:numPr>
        <w:ind w:left="1080"/>
      </w:pPr>
      <w:r w:rsidRPr="002415C2">
        <w:t>responded during early completion period,</w:t>
      </w:r>
    </w:p>
    <w:p w14:paraId="1FD796B6" w14:textId="77777777" w:rsidR="002415C2" w:rsidRPr="002415C2" w:rsidRDefault="002415C2" w:rsidP="002415C2">
      <w:pPr>
        <w:numPr>
          <w:ilvl w:val="0"/>
          <w:numId w:val="15"/>
        </w:numPr>
        <w:ind w:left="1080"/>
      </w:pPr>
      <w:r w:rsidRPr="002415C2">
        <w:t>response history,</w:t>
      </w:r>
    </w:p>
    <w:p w14:paraId="2CBD7B7E" w14:textId="77777777" w:rsidR="002415C2" w:rsidRPr="002415C2" w:rsidRDefault="002415C2" w:rsidP="002415C2">
      <w:pPr>
        <w:numPr>
          <w:ilvl w:val="0"/>
          <w:numId w:val="15"/>
        </w:numPr>
        <w:ind w:left="1080"/>
      </w:pPr>
      <w:r w:rsidRPr="002415C2">
        <w:t>interview mode (web/telephone),</w:t>
      </w:r>
    </w:p>
    <w:p w14:paraId="7C374D2A" w14:textId="77777777" w:rsidR="002415C2" w:rsidRPr="002415C2" w:rsidRDefault="002415C2" w:rsidP="002415C2">
      <w:pPr>
        <w:numPr>
          <w:ilvl w:val="0"/>
          <w:numId w:val="15"/>
        </w:numPr>
        <w:ind w:left="1080"/>
      </w:pPr>
      <w:r w:rsidRPr="002415C2">
        <w:t>ever refused,</w:t>
      </w:r>
    </w:p>
    <w:p w14:paraId="70982D88" w14:textId="77777777" w:rsidR="002415C2" w:rsidRPr="002415C2" w:rsidRDefault="002415C2" w:rsidP="002415C2">
      <w:pPr>
        <w:numPr>
          <w:ilvl w:val="0"/>
          <w:numId w:val="15"/>
        </w:numPr>
        <w:ind w:left="1080"/>
      </w:pPr>
      <w:r w:rsidRPr="002415C2">
        <w:t>incentive amount offered,</w:t>
      </w:r>
    </w:p>
    <w:p w14:paraId="19179C31" w14:textId="77777777" w:rsidR="002415C2" w:rsidRPr="002415C2" w:rsidRDefault="002415C2" w:rsidP="002415C2">
      <w:pPr>
        <w:numPr>
          <w:ilvl w:val="0"/>
          <w:numId w:val="15"/>
        </w:numPr>
        <w:ind w:left="1080"/>
      </w:pPr>
      <w:r w:rsidRPr="002415C2">
        <w:t>age,</w:t>
      </w:r>
    </w:p>
    <w:p w14:paraId="39CFB8ED" w14:textId="77777777" w:rsidR="002415C2" w:rsidRPr="002415C2" w:rsidRDefault="002415C2" w:rsidP="002415C2">
      <w:pPr>
        <w:numPr>
          <w:ilvl w:val="0"/>
          <w:numId w:val="15"/>
        </w:numPr>
        <w:ind w:left="1080"/>
      </w:pPr>
      <w:r w:rsidRPr="002415C2">
        <w:t>gender,</w:t>
      </w:r>
    </w:p>
    <w:p w14:paraId="70F62D9E" w14:textId="77777777" w:rsidR="002415C2" w:rsidRPr="002415C2" w:rsidRDefault="002415C2" w:rsidP="002415C2">
      <w:pPr>
        <w:numPr>
          <w:ilvl w:val="0"/>
          <w:numId w:val="15"/>
        </w:numPr>
        <w:ind w:left="1080"/>
      </w:pPr>
      <w:r w:rsidRPr="002415C2">
        <w:t>citizenship,</w:t>
      </w:r>
    </w:p>
    <w:p w14:paraId="2F40F837" w14:textId="77777777" w:rsidR="002415C2" w:rsidRPr="002415C2" w:rsidRDefault="002415C2" w:rsidP="002415C2">
      <w:pPr>
        <w:numPr>
          <w:ilvl w:val="0"/>
          <w:numId w:val="15"/>
        </w:numPr>
        <w:ind w:left="1080"/>
      </w:pPr>
      <w:r w:rsidRPr="002415C2">
        <w:t>institution sector,</w:t>
      </w:r>
    </w:p>
    <w:p w14:paraId="6A7F2C85" w14:textId="77777777" w:rsidR="002415C2" w:rsidRPr="002415C2" w:rsidRDefault="002415C2" w:rsidP="002415C2">
      <w:pPr>
        <w:numPr>
          <w:ilvl w:val="0"/>
          <w:numId w:val="15"/>
        </w:numPr>
        <w:ind w:left="1080"/>
      </w:pPr>
      <w:r w:rsidRPr="002415C2">
        <w:t>call count, and</w:t>
      </w:r>
    </w:p>
    <w:p w14:paraId="2BDBE2A7" w14:textId="77777777" w:rsidR="002415C2" w:rsidRPr="002415C2" w:rsidRDefault="002415C2" w:rsidP="002415C2">
      <w:pPr>
        <w:numPr>
          <w:ilvl w:val="0"/>
          <w:numId w:val="15"/>
        </w:numPr>
        <w:spacing w:after="60"/>
        <w:ind w:left="1080"/>
      </w:pPr>
      <w:proofErr w:type="gramStart"/>
      <w:r w:rsidRPr="002415C2">
        <w:t>tracing/locating</w:t>
      </w:r>
      <w:proofErr w:type="gramEnd"/>
      <w:r w:rsidRPr="002415C2">
        <w:t xml:space="preserve"> status (located/required intensive tracing).</w:t>
      </w:r>
    </w:p>
    <w:p w14:paraId="2D92EF92" w14:textId="77777777" w:rsidR="002415C2" w:rsidRPr="002415C2" w:rsidRDefault="002415C2" w:rsidP="002415C2">
      <w:pPr>
        <w:spacing w:before="120" w:after="120"/>
      </w:pPr>
      <w:r w:rsidRPr="002415C2">
        <w:t>We will use BPS</w:t>
      </w:r>
      <w:proofErr w:type="gramStart"/>
      <w:r w:rsidRPr="002415C2">
        <w:t>:12</w:t>
      </w:r>
      <w:proofErr w:type="gramEnd"/>
      <w:r w:rsidRPr="002415C2">
        <w:t>/14 full scale data to create this response propensity model as that study was similar in design and population to the current BPS:12/17 full scale study (note that BPS:12/17 did not have a field test that could be leveraged, and the pilot study was too limited in size and dissimilar in approach and population to be useful for this purpose).</w:t>
      </w:r>
    </w:p>
    <w:p w14:paraId="78FD71C7" w14:textId="77777777" w:rsidR="002415C2" w:rsidRPr="002415C2" w:rsidRDefault="002415C2" w:rsidP="002415C2">
      <w:pPr>
        <w:widowControl w:val="0"/>
        <w:spacing w:before="120" w:after="120"/>
      </w:pPr>
      <w:proofErr w:type="gramStart"/>
      <w:r w:rsidRPr="002415C2">
        <w:rPr>
          <w:b/>
          <w:bCs/>
          <w:iCs/>
        </w:rPr>
        <w:t>Targeted interventions.</w:t>
      </w:r>
      <w:proofErr w:type="gramEnd"/>
      <w:r w:rsidRPr="002415C2">
        <w:t xml:space="preserve"> In the BPS</w:t>
      </w:r>
      <w:proofErr w:type="gramStart"/>
      <w:r w:rsidRPr="002415C2">
        <w:t>:12</w:t>
      </w:r>
      <w:proofErr w:type="gramEnd"/>
      <w:r w:rsidRPr="002415C2">
        <w:t>/14 responsive design approach, institution sector was the largest factor in determining current response status. For BPS</w:t>
      </w:r>
      <w:proofErr w:type="gramStart"/>
      <w:r w:rsidRPr="002415C2">
        <w:t>:12</w:t>
      </w:r>
      <w:proofErr w:type="gramEnd"/>
      <w:r w:rsidRPr="002415C2">
        <w:t>/17 full scale, individuals will be targeted within groupings of institution sectors in an effort to equalize response rates across the sector groups. Designed to reduce the final unequal weighting effect, targeting within the groups will allow us to fit a different propensity or bias likelihood model for each group while equalizing response rates across groups.</w:t>
      </w:r>
    </w:p>
    <w:p w14:paraId="2E02D2E9" w14:textId="77777777" w:rsidR="002415C2" w:rsidRPr="002415C2" w:rsidRDefault="002415C2" w:rsidP="002415C2">
      <w:pPr>
        <w:widowControl w:val="0"/>
        <w:spacing w:before="120" w:after="120"/>
      </w:pPr>
      <w:r w:rsidRPr="002415C2">
        <w:t xml:space="preserve">Targeting within sector groups is designed to reduce nonresponse bias within specific sectors rather than across the aggregate target population. The five sector groupings (Table 8) were constructed by first identifying sectors with historically low response rates, as observed in BPS:12/14 and NPSAS:12, and, second, assigning the sectors with the lowest participation to their own groups. The remaining sectors were then combined into groups consisting of multiple sectors. The private for profit sectors (groups C, D, and E) were identified to have low response rates. Public less-than-2-year and public 2-year institutions (group A) were combined as they were similar, and because the public less-than-2-year sector was too small to act </w:t>
      </w:r>
      <w:r w:rsidRPr="002415C2">
        <w:lastRenderedPageBreak/>
        <w:t>as a distinct group. Public 4-year and private nonprofit institutions (sector group B) remained combined as they have not historically exhibited low response rates (nonetheless, cases within this sector group are still eligible for targeting; the targeting model for sector group B will include sector as a term to account for differences between the sectors).</w:t>
      </w:r>
    </w:p>
    <w:p w14:paraId="3D61F29C" w14:textId="77777777" w:rsidR="002415C2" w:rsidRPr="002415C2" w:rsidRDefault="002415C2" w:rsidP="002415C2">
      <w:pPr>
        <w:keepNext/>
        <w:spacing w:before="120" w:after="60"/>
        <w:ind w:left="994" w:hanging="994"/>
        <w:rPr>
          <w:rFonts w:ascii="Arial" w:hAnsi="Arial"/>
          <w:b/>
          <w:sz w:val="20"/>
          <w:szCs w:val="20"/>
        </w:rPr>
      </w:pPr>
      <w:bookmarkStart w:id="11" w:name="_Toc456167111"/>
      <w:proofErr w:type="gramStart"/>
      <w:r w:rsidRPr="002415C2">
        <w:rPr>
          <w:rFonts w:ascii="Arial" w:hAnsi="Arial"/>
          <w:b/>
          <w:sz w:val="20"/>
          <w:szCs w:val="20"/>
        </w:rPr>
        <w:t>Table 8.</w:t>
      </w:r>
      <w:proofErr w:type="gramEnd"/>
      <w:r w:rsidRPr="002415C2">
        <w:rPr>
          <w:rFonts w:ascii="Arial" w:hAnsi="Arial"/>
          <w:b/>
          <w:sz w:val="20"/>
          <w:szCs w:val="20"/>
        </w:rPr>
        <w:t xml:space="preserve"> Targeted sector groups</w:t>
      </w:r>
      <w:bookmarkEnd w:id="11"/>
      <w:r w:rsidRPr="002415C2">
        <w:rPr>
          <w:rFonts w:ascii="Arial" w:hAnsi="Arial"/>
          <w:b/>
          <w:sz w:val="20"/>
          <w:szCs w:val="2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15" w:type="dxa"/>
          <w:bottom w:w="72" w:type="dxa"/>
          <w:right w:w="115" w:type="dxa"/>
        </w:tblCellMar>
        <w:tblLook w:val="0000" w:firstRow="0" w:lastRow="0" w:firstColumn="0" w:lastColumn="0" w:noHBand="0" w:noVBand="0"/>
      </w:tblPr>
      <w:tblGrid>
        <w:gridCol w:w="1729"/>
        <w:gridCol w:w="6836"/>
        <w:gridCol w:w="2033"/>
      </w:tblGrid>
      <w:tr w:rsidR="002415C2" w:rsidRPr="002415C2" w14:paraId="3CFFF089" w14:textId="77777777" w:rsidTr="00C37F47">
        <w:trPr>
          <w:trHeight w:val="144"/>
        </w:trPr>
        <w:tc>
          <w:tcPr>
            <w:tcW w:w="816" w:type="pct"/>
            <w:shd w:val="clear" w:color="auto" w:fill="D9D9D9" w:themeFill="background1" w:themeFillShade="D9"/>
            <w:tcMar>
              <w:top w:w="0" w:type="dxa"/>
              <w:left w:w="115" w:type="dxa"/>
              <w:bottom w:w="0" w:type="dxa"/>
              <w:right w:w="115" w:type="dxa"/>
            </w:tcMar>
            <w:vAlign w:val="center"/>
          </w:tcPr>
          <w:p w14:paraId="71A52CD3" w14:textId="77777777" w:rsidR="002415C2" w:rsidRPr="002415C2" w:rsidRDefault="002415C2" w:rsidP="002415C2">
            <w:pPr>
              <w:autoSpaceDE w:val="0"/>
              <w:autoSpaceDN w:val="0"/>
              <w:adjustRightInd w:val="0"/>
              <w:rPr>
                <w:b/>
                <w:bCs/>
                <w:sz w:val="20"/>
                <w:szCs w:val="18"/>
              </w:rPr>
            </w:pPr>
            <w:r w:rsidRPr="002415C2">
              <w:rPr>
                <w:b/>
                <w:bCs/>
                <w:sz w:val="20"/>
                <w:szCs w:val="18"/>
              </w:rPr>
              <w:t>Sector Group</w:t>
            </w:r>
          </w:p>
        </w:tc>
        <w:tc>
          <w:tcPr>
            <w:tcW w:w="3225" w:type="pct"/>
            <w:shd w:val="clear" w:color="auto" w:fill="D9D9D9" w:themeFill="background1" w:themeFillShade="D9"/>
            <w:tcMar>
              <w:top w:w="0" w:type="dxa"/>
              <w:left w:w="115" w:type="dxa"/>
              <w:bottom w:w="0" w:type="dxa"/>
              <w:right w:w="115" w:type="dxa"/>
            </w:tcMar>
            <w:vAlign w:val="center"/>
          </w:tcPr>
          <w:p w14:paraId="68B598E8" w14:textId="77777777" w:rsidR="002415C2" w:rsidRPr="002415C2" w:rsidRDefault="002415C2" w:rsidP="002415C2">
            <w:pPr>
              <w:autoSpaceDE w:val="0"/>
              <w:autoSpaceDN w:val="0"/>
              <w:adjustRightInd w:val="0"/>
              <w:rPr>
                <w:b/>
                <w:bCs/>
                <w:sz w:val="20"/>
                <w:szCs w:val="18"/>
              </w:rPr>
            </w:pPr>
            <w:r w:rsidRPr="002415C2">
              <w:rPr>
                <w:b/>
                <w:bCs/>
                <w:sz w:val="20"/>
                <w:szCs w:val="18"/>
              </w:rPr>
              <w:t>Sectors</w:t>
            </w:r>
          </w:p>
        </w:tc>
        <w:tc>
          <w:tcPr>
            <w:tcW w:w="959" w:type="pct"/>
            <w:shd w:val="clear" w:color="auto" w:fill="D9D9D9" w:themeFill="background1" w:themeFillShade="D9"/>
            <w:vAlign w:val="center"/>
          </w:tcPr>
          <w:p w14:paraId="19B7D8AC" w14:textId="77777777" w:rsidR="002415C2" w:rsidRPr="002415C2" w:rsidRDefault="002415C2" w:rsidP="002415C2">
            <w:pPr>
              <w:autoSpaceDE w:val="0"/>
              <w:autoSpaceDN w:val="0"/>
              <w:adjustRightInd w:val="0"/>
              <w:rPr>
                <w:b/>
                <w:bCs/>
                <w:sz w:val="20"/>
                <w:szCs w:val="18"/>
              </w:rPr>
            </w:pPr>
            <w:r w:rsidRPr="002415C2">
              <w:rPr>
                <w:b/>
                <w:bCs/>
                <w:sz w:val="20"/>
                <w:szCs w:val="18"/>
              </w:rPr>
              <w:t>Sample Count</w:t>
            </w:r>
          </w:p>
        </w:tc>
      </w:tr>
      <w:tr w:rsidR="002415C2" w:rsidRPr="002415C2" w14:paraId="2FAD4656" w14:textId="77777777" w:rsidTr="00C37F47">
        <w:trPr>
          <w:trHeight w:val="144"/>
        </w:trPr>
        <w:tc>
          <w:tcPr>
            <w:tcW w:w="816" w:type="pct"/>
            <w:tcMar>
              <w:top w:w="0" w:type="dxa"/>
              <w:left w:w="115" w:type="dxa"/>
              <w:bottom w:w="0" w:type="dxa"/>
              <w:right w:w="115" w:type="dxa"/>
            </w:tcMar>
            <w:vAlign w:val="center"/>
          </w:tcPr>
          <w:p w14:paraId="41BB9E7F" w14:textId="77777777" w:rsidR="002415C2" w:rsidRPr="002415C2" w:rsidRDefault="002415C2" w:rsidP="002415C2">
            <w:pPr>
              <w:autoSpaceDE w:val="0"/>
              <w:autoSpaceDN w:val="0"/>
              <w:adjustRightInd w:val="0"/>
              <w:jc w:val="center"/>
              <w:rPr>
                <w:b/>
                <w:sz w:val="20"/>
                <w:szCs w:val="20"/>
              </w:rPr>
            </w:pPr>
            <w:r w:rsidRPr="002415C2">
              <w:rPr>
                <w:b/>
                <w:sz w:val="20"/>
                <w:szCs w:val="20"/>
              </w:rPr>
              <w:t>A</w:t>
            </w:r>
          </w:p>
        </w:tc>
        <w:tc>
          <w:tcPr>
            <w:tcW w:w="3225" w:type="pct"/>
            <w:tcMar>
              <w:top w:w="0" w:type="dxa"/>
              <w:left w:w="115" w:type="dxa"/>
              <w:bottom w:w="0" w:type="dxa"/>
              <w:right w:w="115" w:type="dxa"/>
            </w:tcMar>
            <w:vAlign w:val="center"/>
          </w:tcPr>
          <w:p w14:paraId="55BC4919" w14:textId="77777777" w:rsidR="002415C2" w:rsidRPr="002415C2" w:rsidRDefault="002415C2" w:rsidP="002415C2">
            <w:pPr>
              <w:autoSpaceDE w:val="0"/>
              <w:autoSpaceDN w:val="0"/>
              <w:adjustRightInd w:val="0"/>
              <w:rPr>
                <w:sz w:val="20"/>
                <w:szCs w:val="20"/>
              </w:rPr>
            </w:pPr>
            <w:r w:rsidRPr="002415C2">
              <w:rPr>
                <w:sz w:val="20"/>
                <w:szCs w:val="20"/>
              </w:rPr>
              <w:t>1: Public less-than-2-year</w:t>
            </w:r>
          </w:p>
          <w:p w14:paraId="334D318E" w14:textId="77777777" w:rsidR="002415C2" w:rsidRPr="002415C2" w:rsidRDefault="002415C2" w:rsidP="002415C2">
            <w:pPr>
              <w:autoSpaceDE w:val="0"/>
              <w:autoSpaceDN w:val="0"/>
              <w:adjustRightInd w:val="0"/>
              <w:rPr>
                <w:sz w:val="20"/>
                <w:szCs w:val="20"/>
              </w:rPr>
            </w:pPr>
            <w:r w:rsidRPr="002415C2">
              <w:rPr>
                <w:sz w:val="20"/>
                <w:szCs w:val="20"/>
              </w:rPr>
              <w:t>2: Public 2-year</w:t>
            </w:r>
          </w:p>
        </w:tc>
        <w:tc>
          <w:tcPr>
            <w:tcW w:w="959" w:type="pct"/>
            <w:vAlign w:val="center"/>
          </w:tcPr>
          <w:p w14:paraId="3372D686" w14:textId="77777777" w:rsidR="002415C2" w:rsidRPr="002415C2" w:rsidRDefault="002415C2" w:rsidP="002415C2">
            <w:pPr>
              <w:autoSpaceDE w:val="0"/>
              <w:autoSpaceDN w:val="0"/>
              <w:adjustRightInd w:val="0"/>
              <w:jc w:val="right"/>
              <w:rPr>
                <w:sz w:val="20"/>
                <w:szCs w:val="20"/>
              </w:rPr>
            </w:pPr>
            <w:r w:rsidRPr="002415C2">
              <w:rPr>
                <w:sz w:val="20"/>
                <w:szCs w:val="20"/>
              </w:rPr>
              <w:t>172</w:t>
            </w:r>
          </w:p>
          <w:p w14:paraId="579CA686" w14:textId="77777777" w:rsidR="002415C2" w:rsidRPr="002415C2" w:rsidRDefault="002415C2" w:rsidP="002415C2">
            <w:pPr>
              <w:autoSpaceDE w:val="0"/>
              <w:autoSpaceDN w:val="0"/>
              <w:adjustRightInd w:val="0"/>
              <w:jc w:val="right"/>
              <w:rPr>
                <w:sz w:val="20"/>
                <w:szCs w:val="20"/>
              </w:rPr>
            </w:pPr>
            <w:r w:rsidRPr="002415C2">
              <w:rPr>
                <w:sz w:val="20"/>
                <w:szCs w:val="20"/>
              </w:rPr>
              <w:t>10,030</w:t>
            </w:r>
          </w:p>
        </w:tc>
      </w:tr>
      <w:tr w:rsidR="002415C2" w:rsidRPr="002415C2" w14:paraId="65A992A5" w14:textId="77777777" w:rsidTr="00C37F47">
        <w:trPr>
          <w:trHeight w:val="144"/>
        </w:trPr>
        <w:tc>
          <w:tcPr>
            <w:tcW w:w="816" w:type="pct"/>
            <w:tcMar>
              <w:top w:w="0" w:type="dxa"/>
              <w:left w:w="115" w:type="dxa"/>
              <w:bottom w:w="0" w:type="dxa"/>
              <w:right w:w="115" w:type="dxa"/>
            </w:tcMar>
            <w:vAlign w:val="center"/>
          </w:tcPr>
          <w:p w14:paraId="25701B0C" w14:textId="77777777" w:rsidR="002415C2" w:rsidRPr="002415C2" w:rsidRDefault="002415C2" w:rsidP="002415C2">
            <w:pPr>
              <w:autoSpaceDE w:val="0"/>
              <w:autoSpaceDN w:val="0"/>
              <w:adjustRightInd w:val="0"/>
              <w:jc w:val="center"/>
              <w:rPr>
                <w:sz w:val="20"/>
                <w:szCs w:val="20"/>
              </w:rPr>
            </w:pPr>
            <w:r w:rsidRPr="002415C2">
              <w:rPr>
                <w:b/>
                <w:sz w:val="20"/>
                <w:szCs w:val="20"/>
              </w:rPr>
              <w:t>B</w:t>
            </w:r>
          </w:p>
        </w:tc>
        <w:tc>
          <w:tcPr>
            <w:tcW w:w="3225" w:type="pct"/>
            <w:tcMar>
              <w:top w:w="0" w:type="dxa"/>
              <w:left w:w="115" w:type="dxa"/>
              <w:bottom w:w="0" w:type="dxa"/>
              <w:right w:w="115" w:type="dxa"/>
            </w:tcMar>
            <w:vAlign w:val="center"/>
          </w:tcPr>
          <w:p w14:paraId="58CA71FA" w14:textId="77777777" w:rsidR="002415C2" w:rsidRPr="002415C2" w:rsidRDefault="002415C2" w:rsidP="002415C2">
            <w:pPr>
              <w:autoSpaceDE w:val="0"/>
              <w:autoSpaceDN w:val="0"/>
              <w:adjustRightInd w:val="0"/>
              <w:rPr>
                <w:sz w:val="20"/>
                <w:szCs w:val="20"/>
              </w:rPr>
            </w:pPr>
            <w:r w:rsidRPr="002415C2">
              <w:rPr>
                <w:sz w:val="20"/>
                <w:szCs w:val="20"/>
              </w:rPr>
              <w:t>3: Public 4-year non-doctorate-granting</w:t>
            </w:r>
          </w:p>
          <w:p w14:paraId="69835CC2" w14:textId="77777777" w:rsidR="002415C2" w:rsidRPr="002415C2" w:rsidRDefault="002415C2" w:rsidP="002415C2">
            <w:pPr>
              <w:autoSpaceDE w:val="0"/>
              <w:autoSpaceDN w:val="0"/>
              <w:adjustRightInd w:val="0"/>
              <w:rPr>
                <w:sz w:val="20"/>
                <w:szCs w:val="20"/>
              </w:rPr>
            </w:pPr>
            <w:r w:rsidRPr="002415C2">
              <w:rPr>
                <w:sz w:val="20"/>
                <w:szCs w:val="20"/>
              </w:rPr>
              <w:t>4: Public 4-year doctorate-granting</w:t>
            </w:r>
          </w:p>
          <w:p w14:paraId="6F8A6F9E" w14:textId="77777777" w:rsidR="002415C2" w:rsidRPr="002415C2" w:rsidRDefault="002415C2" w:rsidP="002415C2">
            <w:pPr>
              <w:autoSpaceDE w:val="0"/>
              <w:autoSpaceDN w:val="0"/>
              <w:adjustRightInd w:val="0"/>
              <w:rPr>
                <w:sz w:val="20"/>
                <w:szCs w:val="20"/>
              </w:rPr>
            </w:pPr>
            <w:r w:rsidRPr="002415C2">
              <w:rPr>
                <w:sz w:val="20"/>
                <w:szCs w:val="20"/>
              </w:rPr>
              <w:t>5: Private nonprofit less than 4-year</w:t>
            </w:r>
          </w:p>
          <w:p w14:paraId="2CE8E4E1" w14:textId="77777777" w:rsidR="002415C2" w:rsidRPr="002415C2" w:rsidRDefault="002415C2" w:rsidP="002415C2">
            <w:pPr>
              <w:autoSpaceDE w:val="0"/>
              <w:autoSpaceDN w:val="0"/>
              <w:adjustRightInd w:val="0"/>
              <w:rPr>
                <w:sz w:val="20"/>
                <w:szCs w:val="20"/>
              </w:rPr>
            </w:pPr>
            <w:r w:rsidRPr="002415C2">
              <w:rPr>
                <w:sz w:val="20"/>
                <w:szCs w:val="20"/>
              </w:rPr>
              <w:t xml:space="preserve">6: Private nonprofit 4-year </w:t>
            </w:r>
            <w:proofErr w:type="spellStart"/>
            <w:r w:rsidRPr="002415C2">
              <w:rPr>
                <w:sz w:val="20"/>
                <w:szCs w:val="20"/>
              </w:rPr>
              <w:t>nondoctorate</w:t>
            </w:r>
            <w:proofErr w:type="spellEnd"/>
          </w:p>
          <w:p w14:paraId="7DA1558A" w14:textId="77777777" w:rsidR="002415C2" w:rsidRPr="002415C2" w:rsidRDefault="002415C2" w:rsidP="002415C2">
            <w:pPr>
              <w:autoSpaceDE w:val="0"/>
              <w:autoSpaceDN w:val="0"/>
              <w:adjustRightInd w:val="0"/>
              <w:rPr>
                <w:sz w:val="20"/>
                <w:szCs w:val="20"/>
              </w:rPr>
            </w:pPr>
            <w:r w:rsidRPr="002415C2">
              <w:rPr>
                <w:sz w:val="20"/>
                <w:szCs w:val="20"/>
              </w:rPr>
              <w:t>7: Private nonprofit 4-year doctorate-granting</w:t>
            </w:r>
          </w:p>
        </w:tc>
        <w:tc>
          <w:tcPr>
            <w:tcW w:w="959" w:type="pct"/>
            <w:vAlign w:val="center"/>
          </w:tcPr>
          <w:p w14:paraId="315B8C1D" w14:textId="77777777" w:rsidR="002415C2" w:rsidRPr="002415C2" w:rsidRDefault="002415C2" w:rsidP="002415C2">
            <w:pPr>
              <w:autoSpaceDE w:val="0"/>
              <w:autoSpaceDN w:val="0"/>
              <w:adjustRightInd w:val="0"/>
              <w:jc w:val="right"/>
              <w:rPr>
                <w:sz w:val="20"/>
                <w:szCs w:val="20"/>
              </w:rPr>
            </w:pPr>
            <w:r w:rsidRPr="002415C2">
              <w:rPr>
                <w:sz w:val="20"/>
                <w:szCs w:val="20"/>
              </w:rPr>
              <w:t>1,838</w:t>
            </w:r>
          </w:p>
          <w:p w14:paraId="201B0D7A" w14:textId="77777777" w:rsidR="002415C2" w:rsidRPr="002415C2" w:rsidRDefault="002415C2" w:rsidP="002415C2">
            <w:pPr>
              <w:autoSpaceDE w:val="0"/>
              <w:autoSpaceDN w:val="0"/>
              <w:adjustRightInd w:val="0"/>
              <w:jc w:val="right"/>
              <w:rPr>
                <w:sz w:val="20"/>
                <w:szCs w:val="20"/>
              </w:rPr>
            </w:pPr>
            <w:r w:rsidRPr="002415C2">
              <w:rPr>
                <w:sz w:val="20"/>
                <w:szCs w:val="20"/>
              </w:rPr>
              <w:t>3,545</w:t>
            </w:r>
          </w:p>
          <w:p w14:paraId="48E0CC19" w14:textId="77777777" w:rsidR="002415C2" w:rsidRPr="002415C2" w:rsidRDefault="002415C2" w:rsidP="002415C2">
            <w:pPr>
              <w:autoSpaceDE w:val="0"/>
              <w:autoSpaceDN w:val="0"/>
              <w:adjustRightInd w:val="0"/>
              <w:jc w:val="right"/>
              <w:rPr>
                <w:sz w:val="20"/>
                <w:szCs w:val="20"/>
              </w:rPr>
            </w:pPr>
            <w:r w:rsidRPr="002415C2">
              <w:rPr>
                <w:sz w:val="20"/>
                <w:szCs w:val="20"/>
              </w:rPr>
              <w:t>397</w:t>
            </w:r>
          </w:p>
          <w:p w14:paraId="7302BF8F" w14:textId="77777777" w:rsidR="002415C2" w:rsidRPr="002415C2" w:rsidRDefault="002415C2" w:rsidP="002415C2">
            <w:pPr>
              <w:autoSpaceDE w:val="0"/>
              <w:autoSpaceDN w:val="0"/>
              <w:adjustRightInd w:val="0"/>
              <w:jc w:val="right"/>
              <w:rPr>
                <w:sz w:val="20"/>
                <w:szCs w:val="20"/>
              </w:rPr>
            </w:pPr>
            <w:r w:rsidRPr="002415C2">
              <w:rPr>
                <w:sz w:val="20"/>
                <w:szCs w:val="20"/>
              </w:rPr>
              <w:t>2,219</w:t>
            </w:r>
          </w:p>
          <w:p w14:paraId="4B7BC10B" w14:textId="77777777" w:rsidR="002415C2" w:rsidRPr="002415C2" w:rsidRDefault="002415C2" w:rsidP="002415C2">
            <w:pPr>
              <w:autoSpaceDE w:val="0"/>
              <w:autoSpaceDN w:val="0"/>
              <w:adjustRightInd w:val="0"/>
              <w:jc w:val="right"/>
              <w:rPr>
                <w:sz w:val="20"/>
                <w:szCs w:val="20"/>
              </w:rPr>
            </w:pPr>
            <w:r w:rsidRPr="002415C2">
              <w:rPr>
                <w:sz w:val="20"/>
                <w:szCs w:val="20"/>
              </w:rPr>
              <w:t>2,717</w:t>
            </w:r>
          </w:p>
        </w:tc>
      </w:tr>
      <w:tr w:rsidR="002415C2" w:rsidRPr="002415C2" w14:paraId="6E350939" w14:textId="77777777" w:rsidTr="00C37F47">
        <w:trPr>
          <w:trHeight w:val="144"/>
        </w:trPr>
        <w:tc>
          <w:tcPr>
            <w:tcW w:w="816" w:type="pct"/>
            <w:tcMar>
              <w:top w:w="0" w:type="dxa"/>
              <w:left w:w="115" w:type="dxa"/>
              <w:bottom w:w="0" w:type="dxa"/>
              <w:right w:w="115" w:type="dxa"/>
            </w:tcMar>
            <w:vAlign w:val="center"/>
          </w:tcPr>
          <w:p w14:paraId="356BA101" w14:textId="77777777" w:rsidR="002415C2" w:rsidRPr="002415C2" w:rsidRDefault="002415C2" w:rsidP="002415C2">
            <w:pPr>
              <w:autoSpaceDE w:val="0"/>
              <w:autoSpaceDN w:val="0"/>
              <w:adjustRightInd w:val="0"/>
              <w:jc w:val="center"/>
              <w:rPr>
                <w:b/>
                <w:sz w:val="20"/>
                <w:szCs w:val="20"/>
              </w:rPr>
            </w:pPr>
            <w:r w:rsidRPr="002415C2">
              <w:rPr>
                <w:b/>
                <w:sz w:val="20"/>
                <w:szCs w:val="20"/>
              </w:rPr>
              <w:t>C</w:t>
            </w:r>
          </w:p>
        </w:tc>
        <w:tc>
          <w:tcPr>
            <w:tcW w:w="3225" w:type="pct"/>
            <w:tcMar>
              <w:top w:w="0" w:type="dxa"/>
              <w:left w:w="115" w:type="dxa"/>
              <w:bottom w:w="0" w:type="dxa"/>
              <w:right w:w="115" w:type="dxa"/>
            </w:tcMar>
            <w:vAlign w:val="center"/>
          </w:tcPr>
          <w:p w14:paraId="7D0C6DC4" w14:textId="77777777" w:rsidR="002415C2" w:rsidRPr="002415C2" w:rsidRDefault="002415C2" w:rsidP="002415C2">
            <w:pPr>
              <w:autoSpaceDE w:val="0"/>
              <w:autoSpaceDN w:val="0"/>
              <w:adjustRightInd w:val="0"/>
              <w:rPr>
                <w:sz w:val="20"/>
                <w:szCs w:val="20"/>
              </w:rPr>
            </w:pPr>
            <w:r w:rsidRPr="002415C2">
              <w:rPr>
                <w:sz w:val="20"/>
                <w:szCs w:val="20"/>
              </w:rPr>
              <w:t>8: Private for profit less-than-2-year</w:t>
            </w:r>
          </w:p>
        </w:tc>
        <w:tc>
          <w:tcPr>
            <w:tcW w:w="959" w:type="pct"/>
            <w:vAlign w:val="center"/>
          </w:tcPr>
          <w:p w14:paraId="60DBE034" w14:textId="77777777" w:rsidR="002415C2" w:rsidRPr="002415C2" w:rsidRDefault="002415C2" w:rsidP="002415C2">
            <w:pPr>
              <w:autoSpaceDE w:val="0"/>
              <w:autoSpaceDN w:val="0"/>
              <w:adjustRightInd w:val="0"/>
              <w:jc w:val="right"/>
              <w:rPr>
                <w:sz w:val="20"/>
                <w:szCs w:val="20"/>
              </w:rPr>
            </w:pPr>
            <w:r w:rsidRPr="002415C2">
              <w:rPr>
                <w:sz w:val="20"/>
                <w:szCs w:val="20"/>
              </w:rPr>
              <w:t>1,450</w:t>
            </w:r>
          </w:p>
        </w:tc>
      </w:tr>
      <w:tr w:rsidR="002415C2" w:rsidRPr="002415C2" w14:paraId="55A3B649" w14:textId="77777777" w:rsidTr="00C37F47">
        <w:trPr>
          <w:trHeight w:val="144"/>
        </w:trPr>
        <w:tc>
          <w:tcPr>
            <w:tcW w:w="816" w:type="pct"/>
            <w:tcMar>
              <w:top w:w="0" w:type="dxa"/>
              <w:left w:w="115" w:type="dxa"/>
              <w:bottom w:w="0" w:type="dxa"/>
              <w:right w:w="115" w:type="dxa"/>
            </w:tcMar>
            <w:vAlign w:val="center"/>
          </w:tcPr>
          <w:p w14:paraId="03AFC3DA" w14:textId="77777777" w:rsidR="002415C2" w:rsidRPr="002415C2" w:rsidRDefault="002415C2" w:rsidP="002415C2">
            <w:pPr>
              <w:autoSpaceDE w:val="0"/>
              <w:autoSpaceDN w:val="0"/>
              <w:adjustRightInd w:val="0"/>
              <w:jc w:val="center"/>
              <w:rPr>
                <w:b/>
                <w:sz w:val="20"/>
                <w:szCs w:val="20"/>
              </w:rPr>
            </w:pPr>
            <w:r w:rsidRPr="002415C2">
              <w:rPr>
                <w:b/>
                <w:sz w:val="20"/>
                <w:szCs w:val="20"/>
              </w:rPr>
              <w:t>D</w:t>
            </w:r>
          </w:p>
        </w:tc>
        <w:tc>
          <w:tcPr>
            <w:tcW w:w="3225" w:type="pct"/>
            <w:tcMar>
              <w:top w:w="0" w:type="dxa"/>
              <w:left w:w="115" w:type="dxa"/>
              <w:bottom w:w="0" w:type="dxa"/>
              <w:right w:w="115" w:type="dxa"/>
            </w:tcMar>
            <w:vAlign w:val="center"/>
          </w:tcPr>
          <w:p w14:paraId="08F9244B" w14:textId="77777777" w:rsidR="002415C2" w:rsidRPr="002415C2" w:rsidRDefault="002415C2" w:rsidP="002415C2">
            <w:pPr>
              <w:autoSpaceDE w:val="0"/>
              <w:autoSpaceDN w:val="0"/>
              <w:adjustRightInd w:val="0"/>
              <w:rPr>
                <w:sz w:val="20"/>
                <w:szCs w:val="20"/>
              </w:rPr>
            </w:pPr>
            <w:r w:rsidRPr="002415C2">
              <w:rPr>
                <w:sz w:val="20"/>
                <w:szCs w:val="20"/>
              </w:rPr>
              <w:t>9: Private for profit 2-year</w:t>
            </w:r>
          </w:p>
        </w:tc>
        <w:tc>
          <w:tcPr>
            <w:tcW w:w="959" w:type="pct"/>
            <w:vAlign w:val="center"/>
          </w:tcPr>
          <w:p w14:paraId="58F1F729" w14:textId="77777777" w:rsidR="002415C2" w:rsidRPr="002415C2" w:rsidRDefault="002415C2" w:rsidP="002415C2">
            <w:pPr>
              <w:autoSpaceDE w:val="0"/>
              <w:autoSpaceDN w:val="0"/>
              <w:adjustRightInd w:val="0"/>
              <w:jc w:val="right"/>
              <w:rPr>
                <w:sz w:val="20"/>
                <w:szCs w:val="20"/>
              </w:rPr>
            </w:pPr>
            <w:r w:rsidRPr="002415C2">
              <w:rPr>
                <w:sz w:val="20"/>
                <w:szCs w:val="20"/>
              </w:rPr>
              <w:t>2,989</w:t>
            </w:r>
          </w:p>
        </w:tc>
      </w:tr>
      <w:tr w:rsidR="002415C2" w:rsidRPr="002415C2" w14:paraId="6F52E235" w14:textId="77777777" w:rsidTr="00C37F47">
        <w:trPr>
          <w:trHeight w:val="144"/>
        </w:trPr>
        <w:tc>
          <w:tcPr>
            <w:tcW w:w="816" w:type="pct"/>
            <w:tcMar>
              <w:top w:w="0" w:type="dxa"/>
              <w:left w:w="115" w:type="dxa"/>
              <w:bottom w:w="0" w:type="dxa"/>
              <w:right w:w="115" w:type="dxa"/>
            </w:tcMar>
            <w:vAlign w:val="center"/>
          </w:tcPr>
          <w:p w14:paraId="0494F8EC" w14:textId="77777777" w:rsidR="002415C2" w:rsidRPr="002415C2" w:rsidRDefault="002415C2" w:rsidP="002415C2">
            <w:pPr>
              <w:autoSpaceDE w:val="0"/>
              <w:autoSpaceDN w:val="0"/>
              <w:adjustRightInd w:val="0"/>
              <w:jc w:val="center"/>
              <w:rPr>
                <w:b/>
                <w:sz w:val="20"/>
                <w:szCs w:val="20"/>
              </w:rPr>
            </w:pPr>
            <w:r w:rsidRPr="002415C2">
              <w:rPr>
                <w:b/>
                <w:sz w:val="20"/>
                <w:szCs w:val="20"/>
              </w:rPr>
              <w:t>E</w:t>
            </w:r>
          </w:p>
        </w:tc>
        <w:tc>
          <w:tcPr>
            <w:tcW w:w="3225" w:type="pct"/>
            <w:tcMar>
              <w:top w:w="0" w:type="dxa"/>
              <w:left w:w="115" w:type="dxa"/>
              <w:bottom w:w="0" w:type="dxa"/>
              <w:right w:w="115" w:type="dxa"/>
            </w:tcMar>
            <w:vAlign w:val="center"/>
          </w:tcPr>
          <w:p w14:paraId="621E2683" w14:textId="77777777" w:rsidR="002415C2" w:rsidRPr="002415C2" w:rsidRDefault="002415C2" w:rsidP="002415C2">
            <w:pPr>
              <w:autoSpaceDE w:val="0"/>
              <w:autoSpaceDN w:val="0"/>
              <w:adjustRightInd w:val="0"/>
              <w:rPr>
                <w:sz w:val="20"/>
                <w:szCs w:val="20"/>
              </w:rPr>
            </w:pPr>
            <w:r w:rsidRPr="002415C2">
              <w:rPr>
                <w:sz w:val="20"/>
                <w:szCs w:val="20"/>
              </w:rPr>
              <w:t>10: Private for profit 4-year</w:t>
            </w:r>
          </w:p>
        </w:tc>
        <w:tc>
          <w:tcPr>
            <w:tcW w:w="959" w:type="pct"/>
            <w:vAlign w:val="center"/>
          </w:tcPr>
          <w:p w14:paraId="39B852F2" w14:textId="77777777" w:rsidR="002415C2" w:rsidRPr="002415C2" w:rsidRDefault="002415C2" w:rsidP="002415C2">
            <w:pPr>
              <w:autoSpaceDE w:val="0"/>
              <w:autoSpaceDN w:val="0"/>
              <w:adjustRightInd w:val="0"/>
              <w:jc w:val="right"/>
              <w:rPr>
                <w:sz w:val="20"/>
                <w:szCs w:val="20"/>
              </w:rPr>
            </w:pPr>
            <w:r w:rsidRPr="002415C2">
              <w:rPr>
                <w:sz w:val="20"/>
                <w:szCs w:val="20"/>
              </w:rPr>
              <w:t>8,401</w:t>
            </w:r>
          </w:p>
        </w:tc>
      </w:tr>
    </w:tbl>
    <w:p w14:paraId="59BCF25B" w14:textId="77777777" w:rsidR="002415C2" w:rsidRPr="002415C2" w:rsidRDefault="002415C2" w:rsidP="002415C2">
      <w:pPr>
        <w:widowControl w:val="0"/>
        <w:spacing w:before="120" w:after="120"/>
      </w:pPr>
      <w:r w:rsidRPr="002415C2">
        <w:t>All NPSAS</w:t>
      </w:r>
      <w:proofErr w:type="gramStart"/>
      <w:r w:rsidRPr="002415C2">
        <w:t>:12</w:t>
      </w:r>
      <w:proofErr w:type="gramEnd"/>
      <w:r w:rsidRPr="002415C2">
        <w:t xml:space="preserve"> study members who responded to the NPSAS:12 or BPS:12/14 student interviews (hereafter called previous respondents) will be initially offered a $30 incentive, determined to be an optimal baseline incentive offer during the BPS:12/14 Phase 1 experiment with the calibration sample. Following the $30 baseline offer, two different targeted interventions will be utilized for the BPS</w:t>
      </w:r>
      <w:proofErr w:type="gramStart"/>
      <w:r w:rsidRPr="002415C2">
        <w:t>:12</w:t>
      </w:r>
      <w:proofErr w:type="gramEnd"/>
      <w:r w:rsidRPr="002415C2">
        <w:t>/17 responsive design approach:</w:t>
      </w:r>
    </w:p>
    <w:p w14:paraId="40AA6480" w14:textId="77777777" w:rsidR="002415C2" w:rsidRPr="002415C2" w:rsidRDefault="002415C2" w:rsidP="002415C2">
      <w:pPr>
        <w:numPr>
          <w:ilvl w:val="0"/>
          <w:numId w:val="18"/>
        </w:numPr>
        <w:spacing w:after="200"/>
        <w:ind w:left="1080"/>
        <w:contextualSpacing/>
        <w:rPr>
          <w:rFonts w:asciiTheme="majorBidi" w:hAnsiTheme="majorBidi" w:cstheme="majorBidi"/>
        </w:rPr>
      </w:pPr>
      <w:r w:rsidRPr="002415C2">
        <w:rPr>
          <w:rFonts w:asciiTheme="majorBidi" w:hAnsiTheme="majorBidi" w:cstheme="majorBidi"/>
        </w:rPr>
        <w:t>First Intervention (Incentive Boost): Targeted cases will be offered an additional $45 over an individual’s baseline incentive amount. The $45 amount is based on the amount identified as optimal during Phase 3 of the BPS</w:t>
      </w:r>
      <w:proofErr w:type="gramStart"/>
      <w:r w:rsidRPr="002415C2">
        <w:rPr>
          <w:rFonts w:asciiTheme="majorBidi" w:hAnsiTheme="majorBidi" w:cstheme="majorBidi"/>
        </w:rPr>
        <w:t>:12</w:t>
      </w:r>
      <w:proofErr w:type="gramEnd"/>
      <w:r w:rsidRPr="002415C2">
        <w:rPr>
          <w:rFonts w:asciiTheme="majorBidi" w:hAnsiTheme="majorBidi" w:cstheme="majorBidi"/>
        </w:rPr>
        <w:t>/14 calibration experiment.</w:t>
      </w:r>
    </w:p>
    <w:p w14:paraId="63DE5B5D" w14:textId="77777777" w:rsidR="002415C2" w:rsidRPr="002415C2" w:rsidRDefault="002415C2" w:rsidP="002415C2">
      <w:pPr>
        <w:numPr>
          <w:ilvl w:val="0"/>
          <w:numId w:val="18"/>
        </w:numPr>
        <w:ind w:left="1080"/>
        <w:contextualSpacing/>
        <w:rPr>
          <w:rFonts w:asciiTheme="majorBidi" w:hAnsiTheme="majorBidi" w:cstheme="majorBidi"/>
        </w:rPr>
      </w:pPr>
      <w:r w:rsidRPr="002415C2">
        <w:rPr>
          <w:rFonts w:asciiTheme="majorBidi" w:hAnsiTheme="majorBidi" w:cstheme="majorBidi"/>
        </w:rPr>
        <w:t>Second Intervention (Abbreviated Interview): Targeted cases will be offered an abbreviated interview at 21 weeks (note that all cases will be offered abbreviated interview at 31 weeks).</w:t>
      </w:r>
    </w:p>
    <w:p w14:paraId="6463E8F5" w14:textId="77777777" w:rsidR="002415C2" w:rsidRPr="002415C2" w:rsidRDefault="002415C2" w:rsidP="002415C2">
      <w:pPr>
        <w:contextualSpacing/>
        <w:rPr>
          <w:rFonts w:asciiTheme="majorBidi" w:hAnsiTheme="majorBidi" w:cstheme="majorBidi"/>
        </w:rPr>
      </w:pPr>
      <w:r w:rsidRPr="002415C2">
        <w:t xml:space="preserve">Before each targeted intervention, predicted bias-likelihood values and composite propensity scores will be calculated for all interview </w:t>
      </w:r>
      <w:proofErr w:type="spellStart"/>
      <w:r w:rsidRPr="002415C2">
        <w:t>nonrespondents</w:t>
      </w:r>
      <w:proofErr w:type="spellEnd"/>
      <w:r w:rsidRPr="002415C2">
        <w:t>. The product of the bias-likelihood and response propensity will be used to calculate the target importance score described above. Propensity scores above high and low cutoffs, determined by a review of the predicted distribution, will be excluded as potential targets during data collection</w:t>
      </w:r>
      <w:r w:rsidRPr="002415C2">
        <w:rPr>
          <w:sz w:val="20"/>
          <w:szCs w:val="20"/>
          <w:vertAlign w:val="superscript"/>
        </w:rPr>
        <w:footnoteReference w:id="6"/>
      </w:r>
      <w:r w:rsidRPr="002415C2">
        <w:t>.</w:t>
      </w:r>
    </w:p>
    <w:p w14:paraId="67ECE79A" w14:textId="77777777" w:rsidR="002415C2" w:rsidRPr="002415C2" w:rsidRDefault="002415C2" w:rsidP="002415C2">
      <w:pPr>
        <w:widowControl w:val="0"/>
        <w:spacing w:before="120" w:after="120"/>
      </w:pPr>
      <w:proofErr w:type="gramStart"/>
      <w:r w:rsidRPr="002415C2">
        <w:rPr>
          <w:b/>
          <w:bCs/>
          <w:iCs/>
        </w:rPr>
        <w:t>Pre-paid calibration experiment.</w:t>
      </w:r>
      <w:proofErr w:type="gramEnd"/>
      <w:r w:rsidRPr="002415C2">
        <w:t xml:space="preserve"> It is widely accepted that survey response rates have been in decline in the last decade. Incentives, and in particular prepaid incentives, can often help maximize participation. BPS will test a prepaid incentive, delivered electronically in the form of a PayPal</w:t>
      </w:r>
      <w:r w:rsidRPr="002415C2">
        <w:rPr>
          <w:sz w:val="18"/>
          <w:szCs w:val="18"/>
          <w:vertAlign w:val="superscript"/>
        </w:rPr>
        <w:footnoteReference w:id="7"/>
      </w:r>
      <w:r w:rsidRPr="002415C2">
        <w:t xml:space="preserve"> payment, to selected sample members. Prior to the start of full-scale data collection, 2,972 members of the previous respondent main sample will be identified to participate in a calibration study to evaluate the effectiveness of the pre-paid PayPal offer. At the conclusion of this randomized calibration study, NCES will meet with OMB to discuss the results of the experiment and to seek OMB approval through a change request for the pre-paid offer for the remaining </w:t>
      </w:r>
      <w:proofErr w:type="spellStart"/>
      <w:r w:rsidRPr="002415C2">
        <w:t>nonrespondent</w:t>
      </w:r>
      <w:proofErr w:type="spellEnd"/>
      <w:r w:rsidRPr="002415C2">
        <w:t xml:space="preserve"> sample. Half of the calibration sample will receive a $10 pre-paid PayPal amount and an offer to receive another $20 upon completion of the survey ($30 total). The other half will receive an offer for $30 upon completion of the survey with no pre-paid amount. At six weeks the response rates for the two approaches will be compared to determine if the pre-paid offer should be extended to the </w:t>
      </w:r>
      <w:r w:rsidRPr="002415C2">
        <w:lastRenderedPageBreak/>
        <w:t>main sample. For all monetary incentives, including prepayments, sample members have the option of receiving disbursements through PayPal or in the form of a check.</w:t>
      </w:r>
    </w:p>
    <w:p w14:paraId="067DEEAB" w14:textId="77777777" w:rsidR="002415C2" w:rsidRPr="002415C2" w:rsidRDefault="002415C2" w:rsidP="002415C2">
      <w:pPr>
        <w:widowControl w:val="0"/>
        <w:spacing w:before="120" w:after="120"/>
      </w:pPr>
      <w:r w:rsidRPr="002415C2">
        <w:t>After the calibration experiment detailed above, the calibration sample will join with the main sample to continue data collection efforts. These are described in detail below, summarized in table 9, and their timeline is shown graphically in figure 1.</w:t>
      </w:r>
    </w:p>
    <w:p w14:paraId="2839C2EE" w14:textId="77777777" w:rsidR="002415C2" w:rsidRPr="002415C2" w:rsidRDefault="002415C2" w:rsidP="002415C2">
      <w:pPr>
        <w:keepNext/>
        <w:spacing w:before="120" w:after="60"/>
        <w:ind w:left="994" w:hanging="994"/>
        <w:rPr>
          <w:rFonts w:ascii="Arial" w:hAnsi="Arial"/>
          <w:b/>
          <w:sz w:val="20"/>
          <w:szCs w:val="20"/>
        </w:rPr>
      </w:pPr>
      <w:bookmarkStart w:id="12" w:name="_Toc456167112"/>
      <w:proofErr w:type="gramStart"/>
      <w:r w:rsidRPr="002415C2">
        <w:rPr>
          <w:rFonts w:ascii="Arial" w:hAnsi="Arial"/>
          <w:b/>
          <w:sz w:val="20"/>
          <w:szCs w:val="20"/>
        </w:rPr>
        <w:t>Table 9.</w:t>
      </w:r>
      <w:proofErr w:type="gramEnd"/>
      <w:r w:rsidRPr="002415C2">
        <w:rPr>
          <w:rFonts w:ascii="Arial" w:hAnsi="Arial"/>
          <w:b/>
          <w:sz w:val="20"/>
          <w:szCs w:val="20"/>
        </w:rPr>
        <w:t xml:space="preserve"> Timeline for previous respondents</w:t>
      </w:r>
      <w:bookmarkEnd w:id="12"/>
    </w:p>
    <w:tbl>
      <w:tblPr>
        <w:tblStyle w:val="TableGrid1"/>
        <w:tblW w:w="10242" w:type="dxa"/>
        <w:tblLook w:val="04A0" w:firstRow="1" w:lastRow="0" w:firstColumn="1" w:lastColumn="0" w:noHBand="0" w:noVBand="1"/>
      </w:tblPr>
      <w:tblGrid>
        <w:gridCol w:w="900"/>
        <w:gridCol w:w="1685"/>
        <w:gridCol w:w="1645"/>
        <w:gridCol w:w="2880"/>
        <w:gridCol w:w="3132"/>
      </w:tblGrid>
      <w:tr w:rsidR="002415C2" w:rsidRPr="002415C2" w14:paraId="415393C5" w14:textId="77777777" w:rsidTr="00C37F47">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900" w:type="dxa"/>
            <w:shd w:val="clear" w:color="auto" w:fill="D9D9D9" w:themeFill="background1" w:themeFillShade="D9"/>
            <w:noWrap/>
            <w:hideMark/>
          </w:tcPr>
          <w:p w14:paraId="4AF7EFC3" w14:textId="77777777" w:rsidR="002415C2" w:rsidRPr="002415C2" w:rsidRDefault="002415C2" w:rsidP="002415C2">
            <w:pPr>
              <w:widowControl w:val="0"/>
              <w:spacing w:before="120" w:after="120"/>
              <w:jc w:val="center"/>
              <w:rPr>
                <w:color w:val="000000"/>
                <w:sz w:val="20"/>
                <w:szCs w:val="20"/>
              </w:rPr>
            </w:pPr>
            <w:r w:rsidRPr="002415C2">
              <w:rPr>
                <w:color w:val="000000"/>
                <w:sz w:val="20"/>
                <w:szCs w:val="20"/>
              </w:rPr>
              <w:t>Phase</w:t>
            </w:r>
          </w:p>
        </w:tc>
        <w:tc>
          <w:tcPr>
            <w:tcW w:w="3330" w:type="dxa"/>
            <w:gridSpan w:val="2"/>
            <w:shd w:val="clear" w:color="auto" w:fill="D9D9D9" w:themeFill="background1" w:themeFillShade="D9"/>
            <w:noWrap/>
            <w:hideMark/>
          </w:tcPr>
          <w:p w14:paraId="24B5FABC" w14:textId="77777777" w:rsidR="002415C2" w:rsidRPr="002415C2" w:rsidRDefault="002415C2" w:rsidP="002415C2">
            <w:pPr>
              <w:widowControl w:val="0"/>
              <w:spacing w:before="120" w:after="120"/>
              <w:jc w:val="center"/>
              <w:cnfStyle w:val="100000000000" w:firstRow="1" w:lastRow="0" w:firstColumn="0" w:lastColumn="0" w:oddVBand="0" w:evenVBand="0" w:oddHBand="0" w:evenHBand="0" w:firstRowFirstColumn="0" w:firstRowLastColumn="0" w:lastRowFirstColumn="0" w:lastRowLastColumn="0"/>
              <w:rPr>
                <w:color w:val="000000"/>
                <w:sz w:val="20"/>
                <w:szCs w:val="20"/>
              </w:rPr>
            </w:pPr>
            <w:r w:rsidRPr="002415C2">
              <w:rPr>
                <w:color w:val="000000"/>
                <w:sz w:val="20"/>
                <w:szCs w:val="20"/>
              </w:rPr>
              <w:t>Start date</w:t>
            </w:r>
          </w:p>
        </w:tc>
        <w:tc>
          <w:tcPr>
            <w:tcW w:w="6012" w:type="dxa"/>
            <w:gridSpan w:val="2"/>
            <w:shd w:val="clear" w:color="auto" w:fill="D9D9D9" w:themeFill="background1" w:themeFillShade="D9"/>
            <w:noWrap/>
            <w:hideMark/>
          </w:tcPr>
          <w:p w14:paraId="7460D18A" w14:textId="77777777" w:rsidR="002415C2" w:rsidRPr="002415C2" w:rsidRDefault="002415C2" w:rsidP="002415C2">
            <w:pPr>
              <w:widowControl w:val="0"/>
              <w:spacing w:before="120" w:after="120"/>
              <w:jc w:val="center"/>
              <w:cnfStyle w:val="100000000000" w:firstRow="1" w:lastRow="0" w:firstColumn="0" w:lastColumn="0" w:oddVBand="0" w:evenVBand="0" w:oddHBand="0" w:evenHBand="0" w:firstRowFirstColumn="0" w:firstRowLastColumn="0" w:lastRowFirstColumn="0" w:lastRowLastColumn="0"/>
              <w:rPr>
                <w:color w:val="000000"/>
                <w:sz w:val="20"/>
                <w:szCs w:val="20"/>
              </w:rPr>
            </w:pPr>
            <w:r w:rsidRPr="002415C2">
              <w:rPr>
                <w:color w:val="000000"/>
                <w:sz w:val="20"/>
                <w:szCs w:val="20"/>
              </w:rPr>
              <w:t>Activity</w:t>
            </w:r>
          </w:p>
        </w:tc>
      </w:tr>
      <w:tr w:rsidR="002415C2" w:rsidRPr="002415C2" w14:paraId="26C433C0" w14:textId="77777777" w:rsidTr="00C37F47">
        <w:trPr>
          <w:trHeight w:val="300"/>
        </w:trPr>
        <w:tc>
          <w:tcPr>
            <w:cnfStyle w:val="001000000000" w:firstRow="0" w:lastRow="0" w:firstColumn="1" w:lastColumn="0" w:oddVBand="0" w:evenVBand="0" w:oddHBand="0" w:evenHBand="0" w:firstRowFirstColumn="0" w:firstRowLastColumn="0" w:lastRowFirstColumn="0" w:lastRowLastColumn="0"/>
            <w:tcW w:w="900" w:type="dxa"/>
            <w:shd w:val="clear" w:color="auto" w:fill="D9D9D9" w:themeFill="background1" w:themeFillShade="D9"/>
            <w:noWrap/>
            <w:hideMark/>
          </w:tcPr>
          <w:p w14:paraId="3E58B120" w14:textId="77777777" w:rsidR="002415C2" w:rsidRPr="002415C2" w:rsidRDefault="002415C2" w:rsidP="002415C2">
            <w:pPr>
              <w:widowControl w:val="0"/>
              <w:rPr>
                <w:color w:val="000000"/>
                <w:sz w:val="20"/>
                <w:szCs w:val="20"/>
              </w:rPr>
            </w:pPr>
          </w:p>
        </w:tc>
        <w:tc>
          <w:tcPr>
            <w:tcW w:w="1685" w:type="dxa"/>
            <w:shd w:val="clear" w:color="auto" w:fill="D9D9D9" w:themeFill="background1" w:themeFillShade="D9"/>
            <w:noWrap/>
            <w:hideMark/>
          </w:tcPr>
          <w:p w14:paraId="6B8FFA2E" w14:textId="77777777" w:rsidR="002415C2" w:rsidRPr="002415C2" w:rsidRDefault="002415C2" w:rsidP="002415C2">
            <w:pPr>
              <w:widowControl w:val="0"/>
              <w:spacing w:before="60" w:after="60"/>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2415C2">
              <w:rPr>
                <w:color w:val="000000"/>
                <w:sz w:val="20"/>
                <w:szCs w:val="20"/>
              </w:rPr>
              <w:t>Calibration sample</w:t>
            </w:r>
          </w:p>
        </w:tc>
        <w:tc>
          <w:tcPr>
            <w:tcW w:w="1645" w:type="dxa"/>
            <w:shd w:val="clear" w:color="auto" w:fill="D9D9D9" w:themeFill="background1" w:themeFillShade="D9"/>
            <w:noWrap/>
            <w:hideMark/>
          </w:tcPr>
          <w:p w14:paraId="0D7DA396" w14:textId="77777777" w:rsidR="002415C2" w:rsidRPr="002415C2" w:rsidRDefault="002415C2" w:rsidP="002415C2">
            <w:pPr>
              <w:widowControl w:val="0"/>
              <w:spacing w:before="60" w:after="60"/>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2415C2">
              <w:rPr>
                <w:color w:val="000000"/>
                <w:sz w:val="20"/>
                <w:szCs w:val="20"/>
              </w:rPr>
              <w:t>Main sample</w:t>
            </w:r>
          </w:p>
        </w:tc>
        <w:tc>
          <w:tcPr>
            <w:tcW w:w="2880" w:type="dxa"/>
            <w:shd w:val="clear" w:color="auto" w:fill="D9D9D9" w:themeFill="background1" w:themeFillShade="D9"/>
            <w:noWrap/>
            <w:hideMark/>
          </w:tcPr>
          <w:p w14:paraId="27F9621F" w14:textId="77777777" w:rsidR="002415C2" w:rsidRPr="002415C2" w:rsidRDefault="002415C2" w:rsidP="002415C2">
            <w:pPr>
              <w:widowControl w:val="0"/>
              <w:spacing w:before="60" w:after="60"/>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2415C2">
              <w:rPr>
                <w:color w:val="000000"/>
                <w:sz w:val="20"/>
                <w:szCs w:val="20"/>
              </w:rPr>
              <w:t>Calibration sample</w:t>
            </w:r>
          </w:p>
        </w:tc>
        <w:tc>
          <w:tcPr>
            <w:tcW w:w="3132" w:type="dxa"/>
            <w:shd w:val="clear" w:color="auto" w:fill="D9D9D9" w:themeFill="background1" w:themeFillShade="D9"/>
            <w:noWrap/>
            <w:hideMark/>
          </w:tcPr>
          <w:p w14:paraId="253614AF" w14:textId="77777777" w:rsidR="002415C2" w:rsidRPr="002415C2" w:rsidRDefault="002415C2" w:rsidP="002415C2">
            <w:pPr>
              <w:widowControl w:val="0"/>
              <w:spacing w:before="60" w:after="60"/>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2415C2">
              <w:rPr>
                <w:color w:val="000000"/>
                <w:sz w:val="20"/>
                <w:szCs w:val="20"/>
              </w:rPr>
              <w:t>Main sample</w:t>
            </w:r>
          </w:p>
        </w:tc>
      </w:tr>
      <w:tr w:rsidR="002415C2" w:rsidRPr="002415C2" w14:paraId="03826814" w14:textId="77777777" w:rsidTr="00C37F47">
        <w:trPr>
          <w:trHeight w:val="765"/>
        </w:trPr>
        <w:tc>
          <w:tcPr>
            <w:cnfStyle w:val="001000000000" w:firstRow="0" w:lastRow="0" w:firstColumn="1" w:lastColumn="0" w:oddVBand="0" w:evenVBand="0" w:oddHBand="0" w:evenHBand="0" w:firstRowFirstColumn="0" w:firstRowLastColumn="0" w:lastRowFirstColumn="0" w:lastRowLastColumn="0"/>
            <w:tcW w:w="900" w:type="dxa"/>
            <w:noWrap/>
            <w:vAlign w:val="top"/>
            <w:hideMark/>
          </w:tcPr>
          <w:p w14:paraId="50020CBD" w14:textId="77777777" w:rsidR="002415C2" w:rsidRPr="002415C2" w:rsidRDefault="002415C2" w:rsidP="002415C2">
            <w:pPr>
              <w:widowControl w:val="0"/>
              <w:spacing w:before="60" w:after="60"/>
              <w:jc w:val="center"/>
              <w:rPr>
                <w:color w:val="000000"/>
                <w:sz w:val="20"/>
                <w:szCs w:val="20"/>
              </w:rPr>
            </w:pPr>
            <w:r w:rsidRPr="002415C2">
              <w:rPr>
                <w:color w:val="000000"/>
                <w:sz w:val="20"/>
                <w:szCs w:val="20"/>
              </w:rPr>
              <w:t>PR-1</w:t>
            </w:r>
          </w:p>
        </w:tc>
        <w:tc>
          <w:tcPr>
            <w:tcW w:w="1685" w:type="dxa"/>
            <w:noWrap/>
            <w:vAlign w:val="top"/>
            <w:hideMark/>
          </w:tcPr>
          <w:p w14:paraId="79AF8D24" w14:textId="77777777" w:rsidR="002415C2" w:rsidRPr="002415C2" w:rsidRDefault="002415C2" w:rsidP="002415C2">
            <w:pPr>
              <w:widowControl w:val="0"/>
              <w:spacing w:before="60" w:after="60"/>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2415C2">
              <w:rPr>
                <w:color w:val="000000"/>
                <w:sz w:val="20"/>
                <w:szCs w:val="20"/>
              </w:rPr>
              <w:t>Week 0</w:t>
            </w:r>
          </w:p>
        </w:tc>
        <w:tc>
          <w:tcPr>
            <w:tcW w:w="1645" w:type="dxa"/>
            <w:noWrap/>
            <w:vAlign w:val="top"/>
            <w:hideMark/>
          </w:tcPr>
          <w:p w14:paraId="5EC6A027" w14:textId="77777777" w:rsidR="002415C2" w:rsidRPr="002415C2" w:rsidRDefault="002415C2" w:rsidP="002415C2">
            <w:pPr>
              <w:widowControl w:val="0"/>
              <w:spacing w:before="60" w:after="60"/>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2415C2">
              <w:rPr>
                <w:color w:val="000000"/>
                <w:sz w:val="20"/>
                <w:szCs w:val="20"/>
              </w:rPr>
              <w:t>Week 7</w:t>
            </w:r>
          </w:p>
        </w:tc>
        <w:tc>
          <w:tcPr>
            <w:tcW w:w="2880" w:type="dxa"/>
            <w:vAlign w:val="top"/>
            <w:hideMark/>
          </w:tcPr>
          <w:p w14:paraId="04FADE99" w14:textId="77777777" w:rsidR="002415C2" w:rsidRPr="002415C2" w:rsidRDefault="002415C2" w:rsidP="002415C2">
            <w:pPr>
              <w:widowControl w:val="0"/>
              <w:spacing w:before="60" w:after="60"/>
              <w:cnfStyle w:val="000000000000" w:firstRow="0" w:lastRow="0" w:firstColumn="0" w:lastColumn="0" w:oddVBand="0" w:evenVBand="0" w:oddHBand="0" w:evenHBand="0" w:firstRowFirstColumn="0" w:firstRowLastColumn="0" w:lastRowFirstColumn="0" w:lastRowLastColumn="0"/>
              <w:rPr>
                <w:color w:val="000000"/>
                <w:sz w:val="20"/>
                <w:szCs w:val="20"/>
              </w:rPr>
            </w:pPr>
            <w:r w:rsidRPr="002415C2">
              <w:rPr>
                <w:color w:val="000000"/>
                <w:sz w:val="20"/>
                <w:szCs w:val="20"/>
              </w:rPr>
              <w:t>Begin data collection; calibration sample for $10 pre-paid offer versus no pre-paid offer</w:t>
            </w:r>
          </w:p>
        </w:tc>
        <w:tc>
          <w:tcPr>
            <w:tcW w:w="3132" w:type="dxa"/>
            <w:vAlign w:val="top"/>
            <w:hideMark/>
          </w:tcPr>
          <w:p w14:paraId="273A52AC" w14:textId="77777777" w:rsidR="002415C2" w:rsidRPr="002415C2" w:rsidRDefault="002415C2" w:rsidP="002415C2">
            <w:pPr>
              <w:widowControl w:val="0"/>
              <w:spacing w:before="60" w:after="60"/>
              <w:cnfStyle w:val="000000000000" w:firstRow="0" w:lastRow="0" w:firstColumn="0" w:lastColumn="0" w:oddVBand="0" w:evenVBand="0" w:oddHBand="0" w:evenHBand="0" w:firstRowFirstColumn="0" w:firstRowLastColumn="0" w:lastRowFirstColumn="0" w:lastRowLastColumn="0"/>
              <w:rPr>
                <w:color w:val="000000"/>
                <w:sz w:val="20"/>
                <w:szCs w:val="20"/>
              </w:rPr>
            </w:pPr>
            <w:r w:rsidRPr="002415C2">
              <w:rPr>
                <w:color w:val="000000"/>
                <w:sz w:val="20"/>
                <w:szCs w:val="20"/>
              </w:rPr>
              <w:t>Begin data collection; make decision on implementation of pre-paid offer based on results of calibration</w:t>
            </w:r>
          </w:p>
        </w:tc>
      </w:tr>
      <w:tr w:rsidR="002415C2" w:rsidRPr="002415C2" w14:paraId="6EA635A9" w14:textId="77777777" w:rsidTr="00C37F47">
        <w:trPr>
          <w:trHeight w:val="765"/>
        </w:trPr>
        <w:tc>
          <w:tcPr>
            <w:cnfStyle w:val="001000000000" w:firstRow="0" w:lastRow="0" w:firstColumn="1" w:lastColumn="0" w:oddVBand="0" w:evenVBand="0" w:oddHBand="0" w:evenHBand="0" w:firstRowFirstColumn="0" w:firstRowLastColumn="0" w:lastRowFirstColumn="0" w:lastRowLastColumn="0"/>
            <w:tcW w:w="900" w:type="dxa"/>
            <w:noWrap/>
            <w:vAlign w:val="top"/>
          </w:tcPr>
          <w:p w14:paraId="3CDF87B4" w14:textId="77777777" w:rsidR="002415C2" w:rsidRPr="002415C2" w:rsidRDefault="002415C2" w:rsidP="002415C2">
            <w:pPr>
              <w:widowControl w:val="0"/>
              <w:spacing w:before="60" w:after="60"/>
              <w:jc w:val="center"/>
              <w:rPr>
                <w:color w:val="000000"/>
                <w:sz w:val="20"/>
                <w:szCs w:val="20"/>
              </w:rPr>
            </w:pPr>
            <w:r w:rsidRPr="002415C2">
              <w:rPr>
                <w:color w:val="000000"/>
                <w:sz w:val="20"/>
                <w:szCs w:val="20"/>
              </w:rPr>
              <w:t>PR-2</w:t>
            </w:r>
          </w:p>
        </w:tc>
        <w:tc>
          <w:tcPr>
            <w:tcW w:w="1685" w:type="dxa"/>
            <w:noWrap/>
            <w:vAlign w:val="top"/>
          </w:tcPr>
          <w:p w14:paraId="6665E652" w14:textId="77777777" w:rsidR="002415C2" w:rsidRPr="002415C2" w:rsidRDefault="002415C2" w:rsidP="002415C2">
            <w:pPr>
              <w:widowControl w:val="0"/>
              <w:spacing w:before="60" w:after="60"/>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2415C2">
              <w:rPr>
                <w:color w:val="000000"/>
                <w:sz w:val="20"/>
                <w:szCs w:val="20"/>
              </w:rPr>
              <w:t>Week 14</w:t>
            </w:r>
          </w:p>
        </w:tc>
        <w:tc>
          <w:tcPr>
            <w:tcW w:w="1645" w:type="dxa"/>
            <w:noWrap/>
            <w:vAlign w:val="top"/>
          </w:tcPr>
          <w:p w14:paraId="6E41C123" w14:textId="77777777" w:rsidR="002415C2" w:rsidRPr="002415C2" w:rsidRDefault="002415C2" w:rsidP="002415C2">
            <w:pPr>
              <w:widowControl w:val="0"/>
              <w:spacing w:before="60" w:after="60"/>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2415C2">
              <w:rPr>
                <w:color w:val="000000"/>
                <w:sz w:val="20"/>
                <w:szCs w:val="20"/>
              </w:rPr>
              <w:t>Week 14</w:t>
            </w:r>
          </w:p>
        </w:tc>
        <w:tc>
          <w:tcPr>
            <w:tcW w:w="2880" w:type="dxa"/>
            <w:vAlign w:val="top"/>
          </w:tcPr>
          <w:p w14:paraId="6B9B4463" w14:textId="77777777" w:rsidR="002415C2" w:rsidRPr="002415C2" w:rsidRDefault="002415C2" w:rsidP="002415C2">
            <w:pPr>
              <w:widowControl w:val="0"/>
              <w:spacing w:before="60" w:after="60"/>
              <w:cnfStyle w:val="000000000000" w:firstRow="0" w:lastRow="0" w:firstColumn="0" w:lastColumn="0" w:oddVBand="0" w:evenVBand="0" w:oddHBand="0" w:evenHBand="0" w:firstRowFirstColumn="0" w:firstRowLastColumn="0" w:lastRowFirstColumn="0" w:lastRowLastColumn="0"/>
              <w:rPr>
                <w:color w:val="000000"/>
                <w:sz w:val="20"/>
                <w:szCs w:val="20"/>
              </w:rPr>
            </w:pPr>
            <w:r w:rsidRPr="002415C2">
              <w:rPr>
                <w:color w:val="000000"/>
                <w:sz w:val="20"/>
                <w:szCs w:val="20"/>
              </w:rPr>
              <w:t>Target treatment cases for incentive boost</w:t>
            </w:r>
          </w:p>
        </w:tc>
        <w:tc>
          <w:tcPr>
            <w:tcW w:w="3132" w:type="dxa"/>
            <w:vAlign w:val="top"/>
          </w:tcPr>
          <w:p w14:paraId="3E9B80BA" w14:textId="77777777" w:rsidR="002415C2" w:rsidRPr="002415C2" w:rsidRDefault="002415C2" w:rsidP="002415C2">
            <w:pPr>
              <w:widowControl w:val="0"/>
              <w:spacing w:before="60" w:after="60"/>
              <w:cnfStyle w:val="000000000000" w:firstRow="0" w:lastRow="0" w:firstColumn="0" w:lastColumn="0" w:oddVBand="0" w:evenVBand="0" w:oddHBand="0" w:evenHBand="0" w:firstRowFirstColumn="0" w:firstRowLastColumn="0" w:lastRowFirstColumn="0" w:lastRowLastColumn="0"/>
              <w:rPr>
                <w:color w:val="000000"/>
                <w:sz w:val="20"/>
                <w:szCs w:val="20"/>
              </w:rPr>
            </w:pPr>
            <w:r w:rsidRPr="002415C2">
              <w:rPr>
                <w:color w:val="000000"/>
                <w:sz w:val="20"/>
                <w:szCs w:val="20"/>
              </w:rPr>
              <w:t>Target treatment cases for incentive boost</w:t>
            </w:r>
          </w:p>
        </w:tc>
      </w:tr>
      <w:tr w:rsidR="002415C2" w:rsidRPr="002415C2" w14:paraId="01857BBA" w14:textId="77777777" w:rsidTr="00C37F47">
        <w:trPr>
          <w:trHeight w:val="765"/>
        </w:trPr>
        <w:tc>
          <w:tcPr>
            <w:cnfStyle w:val="001000000000" w:firstRow="0" w:lastRow="0" w:firstColumn="1" w:lastColumn="0" w:oddVBand="0" w:evenVBand="0" w:oddHBand="0" w:evenHBand="0" w:firstRowFirstColumn="0" w:firstRowLastColumn="0" w:lastRowFirstColumn="0" w:lastRowLastColumn="0"/>
            <w:tcW w:w="900" w:type="dxa"/>
            <w:noWrap/>
            <w:vAlign w:val="top"/>
          </w:tcPr>
          <w:p w14:paraId="79658948" w14:textId="77777777" w:rsidR="002415C2" w:rsidRPr="002415C2" w:rsidRDefault="002415C2" w:rsidP="002415C2">
            <w:pPr>
              <w:widowControl w:val="0"/>
              <w:spacing w:before="60" w:after="60"/>
              <w:jc w:val="center"/>
              <w:rPr>
                <w:color w:val="000000"/>
                <w:sz w:val="20"/>
                <w:szCs w:val="20"/>
              </w:rPr>
            </w:pPr>
            <w:r w:rsidRPr="002415C2">
              <w:rPr>
                <w:color w:val="000000"/>
                <w:sz w:val="20"/>
                <w:szCs w:val="20"/>
              </w:rPr>
              <w:t>PR-3</w:t>
            </w:r>
          </w:p>
        </w:tc>
        <w:tc>
          <w:tcPr>
            <w:tcW w:w="1685" w:type="dxa"/>
            <w:noWrap/>
            <w:vAlign w:val="top"/>
          </w:tcPr>
          <w:p w14:paraId="475076C8" w14:textId="77777777" w:rsidR="002415C2" w:rsidRPr="002415C2" w:rsidRDefault="002415C2" w:rsidP="002415C2">
            <w:pPr>
              <w:widowControl w:val="0"/>
              <w:spacing w:before="60" w:after="60"/>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2415C2">
              <w:rPr>
                <w:color w:val="000000"/>
                <w:sz w:val="20"/>
                <w:szCs w:val="20"/>
              </w:rPr>
              <w:t>Week 21</w:t>
            </w:r>
          </w:p>
        </w:tc>
        <w:tc>
          <w:tcPr>
            <w:tcW w:w="1645" w:type="dxa"/>
            <w:noWrap/>
            <w:vAlign w:val="top"/>
          </w:tcPr>
          <w:p w14:paraId="74E9B896" w14:textId="77777777" w:rsidR="002415C2" w:rsidRPr="002415C2" w:rsidRDefault="002415C2" w:rsidP="002415C2">
            <w:pPr>
              <w:widowControl w:val="0"/>
              <w:spacing w:before="60" w:after="60"/>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2415C2">
              <w:rPr>
                <w:color w:val="000000"/>
                <w:sz w:val="20"/>
                <w:szCs w:val="20"/>
              </w:rPr>
              <w:t>Week 21</w:t>
            </w:r>
          </w:p>
        </w:tc>
        <w:tc>
          <w:tcPr>
            <w:tcW w:w="2880" w:type="dxa"/>
            <w:vAlign w:val="top"/>
          </w:tcPr>
          <w:p w14:paraId="455B3BD7" w14:textId="77777777" w:rsidR="002415C2" w:rsidRPr="002415C2" w:rsidRDefault="002415C2" w:rsidP="002415C2">
            <w:pPr>
              <w:widowControl w:val="0"/>
              <w:spacing w:before="60" w:after="60"/>
              <w:cnfStyle w:val="000000000000" w:firstRow="0" w:lastRow="0" w:firstColumn="0" w:lastColumn="0" w:oddVBand="0" w:evenVBand="0" w:oddHBand="0" w:evenHBand="0" w:firstRowFirstColumn="0" w:firstRowLastColumn="0" w:lastRowFirstColumn="0" w:lastRowLastColumn="0"/>
              <w:rPr>
                <w:color w:val="000000"/>
                <w:sz w:val="20"/>
                <w:szCs w:val="20"/>
              </w:rPr>
            </w:pPr>
            <w:r w:rsidRPr="002415C2">
              <w:rPr>
                <w:color w:val="000000"/>
                <w:sz w:val="20"/>
                <w:szCs w:val="20"/>
              </w:rPr>
              <w:t>Target treatment cases for early abbreviated interview</w:t>
            </w:r>
          </w:p>
        </w:tc>
        <w:tc>
          <w:tcPr>
            <w:tcW w:w="3132" w:type="dxa"/>
            <w:vAlign w:val="top"/>
          </w:tcPr>
          <w:p w14:paraId="58138FEE" w14:textId="77777777" w:rsidR="002415C2" w:rsidRPr="002415C2" w:rsidRDefault="002415C2" w:rsidP="002415C2">
            <w:pPr>
              <w:widowControl w:val="0"/>
              <w:spacing w:before="60" w:after="60"/>
              <w:cnfStyle w:val="000000000000" w:firstRow="0" w:lastRow="0" w:firstColumn="0" w:lastColumn="0" w:oddVBand="0" w:evenVBand="0" w:oddHBand="0" w:evenHBand="0" w:firstRowFirstColumn="0" w:firstRowLastColumn="0" w:lastRowFirstColumn="0" w:lastRowLastColumn="0"/>
              <w:rPr>
                <w:color w:val="000000"/>
                <w:sz w:val="20"/>
                <w:szCs w:val="20"/>
              </w:rPr>
            </w:pPr>
            <w:r w:rsidRPr="002415C2">
              <w:rPr>
                <w:color w:val="000000"/>
                <w:sz w:val="20"/>
                <w:szCs w:val="20"/>
              </w:rPr>
              <w:t>Target treatment cases for early abbreviated interview</w:t>
            </w:r>
          </w:p>
        </w:tc>
      </w:tr>
      <w:tr w:rsidR="002415C2" w:rsidRPr="002415C2" w14:paraId="61C230FE" w14:textId="77777777" w:rsidTr="00C37F47">
        <w:trPr>
          <w:trHeight w:val="765"/>
        </w:trPr>
        <w:tc>
          <w:tcPr>
            <w:cnfStyle w:val="001000000000" w:firstRow="0" w:lastRow="0" w:firstColumn="1" w:lastColumn="0" w:oddVBand="0" w:evenVBand="0" w:oddHBand="0" w:evenHBand="0" w:firstRowFirstColumn="0" w:firstRowLastColumn="0" w:lastRowFirstColumn="0" w:lastRowLastColumn="0"/>
            <w:tcW w:w="900" w:type="dxa"/>
            <w:noWrap/>
            <w:vAlign w:val="top"/>
          </w:tcPr>
          <w:p w14:paraId="78E82F03" w14:textId="77777777" w:rsidR="002415C2" w:rsidRPr="002415C2" w:rsidRDefault="002415C2" w:rsidP="002415C2">
            <w:pPr>
              <w:widowControl w:val="0"/>
              <w:spacing w:before="60" w:after="60"/>
              <w:jc w:val="center"/>
              <w:rPr>
                <w:color w:val="000000"/>
                <w:sz w:val="20"/>
                <w:szCs w:val="20"/>
              </w:rPr>
            </w:pPr>
            <w:r w:rsidRPr="002415C2">
              <w:rPr>
                <w:color w:val="000000"/>
                <w:sz w:val="20"/>
                <w:szCs w:val="20"/>
              </w:rPr>
              <w:t>PR-4</w:t>
            </w:r>
          </w:p>
        </w:tc>
        <w:tc>
          <w:tcPr>
            <w:tcW w:w="1685" w:type="dxa"/>
            <w:noWrap/>
            <w:vAlign w:val="top"/>
          </w:tcPr>
          <w:p w14:paraId="7E6078E1" w14:textId="77777777" w:rsidR="002415C2" w:rsidRPr="002415C2" w:rsidRDefault="002415C2" w:rsidP="002415C2">
            <w:pPr>
              <w:widowControl w:val="0"/>
              <w:spacing w:before="60" w:after="60"/>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2415C2">
              <w:rPr>
                <w:color w:val="000000"/>
                <w:sz w:val="20"/>
                <w:szCs w:val="20"/>
              </w:rPr>
              <w:t>Week 31</w:t>
            </w:r>
          </w:p>
        </w:tc>
        <w:tc>
          <w:tcPr>
            <w:tcW w:w="1645" w:type="dxa"/>
            <w:noWrap/>
            <w:vAlign w:val="top"/>
          </w:tcPr>
          <w:p w14:paraId="560A3F9B" w14:textId="77777777" w:rsidR="002415C2" w:rsidRPr="002415C2" w:rsidRDefault="002415C2" w:rsidP="002415C2">
            <w:pPr>
              <w:widowControl w:val="0"/>
              <w:spacing w:before="60" w:after="60"/>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2415C2">
              <w:rPr>
                <w:color w:val="000000"/>
                <w:sz w:val="20"/>
                <w:szCs w:val="20"/>
              </w:rPr>
              <w:t>Week 31</w:t>
            </w:r>
          </w:p>
        </w:tc>
        <w:tc>
          <w:tcPr>
            <w:tcW w:w="2880" w:type="dxa"/>
            <w:vAlign w:val="top"/>
          </w:tcPr>
          <w:p w14:paraId="6236FE7D" w14:textId="77777777" w:rsidR="002415C2" w:rsidRPr="002415C2" w:rsidRDefault="002415C2" w:rsidP="002415C2">
            <w:pPr>
              <w:widowControl w:val="0"/>
              <w:spacing w:before="60" w:after="60"/>
              <w:cnfStyle w:val="000000000000" w:firstRow="0" w:lastRow="0" w:firstColumn="0" w:lastColumn="0" w:oddVBand="0" w:evenVBand="0" w:oddHBand="0" w:evenHBand="0" w:firstRowFirstColumn="0" w:firstRowLastColumn="0" w:lastRowFirstColumn="0" w:lastRowLastColumn="0"/>
              <w:rPr>
                <w:color w:val="000000"/>
                <w:sz w:val="20"/>
                <w:szCs w:val="20"/>
              </w:rPr>
            </w:pPr>
            <w:r w:rsidRPr="002415C2">
              <w:rPr>
                <w:color w:val="000000"/>
                <w:sz w:val="20"/>
                <w:szCs w:val="20"/>
              </w:rPr>
              <w:t xml:space="preserve">Abbreviated interview for </w:t>
            </w:r>
            <w:r w:rsidRPr="002415C2">
              <w:rPr>
                <w:color w:val="000000"/>
                <w:sz w:val="20"/>
                <w:szCs w:val="20"/>
              </w:rPr>
              <w:br/>
              <w:t xml:space="preserve">all remaining </w:t>
            </w:r>
            <w:proofErr w:type="spellStart"/>
            <w:r w:rsidRPr="002415C2">
              <w:rPr>
                <w:color w:val="000000"/>
                <w:sz w:val="20"/>
                <w:szCs w:val="20"/>
              </w:rPr>
              <w:t>nonrespondents</w:t>
            </w:r>
            <w:proofErr w:type="spellEnd"/>
          </w:p>
        </w:tc>
        <w:tc>
          <w:tcPr>
            <w:tcW w:w="3132" w:type="dxa"/>
            <w:vAlign w:val="top"/>
          </w:tcPr>
          <w:p w14:paraId="72CDF1CD" w14:textId="77777777" w:rsidR="002415C2" w:rsidRPr="002415C2" w:rsidRDefault="002415C2" w:rsidP="002415C2">
            <w:pPr>
              <w:widowControl w:val="0"/>
              <w:spacing w:before="60" w:after="60"/>
              <w:cnfStyle w:val="000000000000" w:firstRow="0" w:lastRow="0" w:firstColumn="0" w:lastColumn="0" w:oddVBand="0" w:evenVBand="0" w:oddHBand="0" w:evenHBand="0" w:firstRowFirstColumn="0" w:firstRowLastColumn="0" w:lastRowFirstColumn="0" w:lastRowLastColumn="0"/>
              <w:rPr>
                <w:color w:val="000000"/>
                <w:sz w:val="20"/>
                <w:szCs w:val="20"/>
              </w:rPr>
            </w:pPr>
            <w:r w:rsidRPr="002415C2">
              <w:rPr>
                <w:color w:val="000000"/>
                <w:sz w:val="20"/>
                <w:szCs w:val="20"/>
              </w:rPr>
              <w:t xml:space="preserve">Abbreviated interview for </w:t>
            </w:r>
            <w:r w:rsidRPr="002415C2">
              <w:rPr>
                <w:color w:val="000000"/>
                <w:sz w:val="20"/>
                <w:szCs w:val="20"/>
              </w:rPr>
              <w:br/>
              <w:t xml:space="preserve">all remaining </w:t>
            </w:r>
            <w:proofErr w:type="spellStart"/>
            <w:r w:rsidRPr="002415C2">
              <w:rPr>
                <w:color w:val="000000"/>
                <w:sz w:val="20"/>
                <w:szCs w:val="20"/>
              </w:rPr>
              <w:t>nonrespondents</w:t>
            </w:r>
            <w:proofErr w:type="spellEnd"/>
          </w:p>
        </w:tc>
      </w:tr>
    </w:tbl>
    <w:p w14:paraId="71DE7349" w14:textId="77777777" w:rsidR="002415C2" w:rsidRPr="002415C2" w:rsidRDefault="002415C2" w:rsidP="002415C2">
      <w:pPr>
        <w:widowControl w:val="0"/>
        <w:spacing w:before="240" w:after="120"/>
        <w:rPr>
          <w:rFonts w:asciiTheme="majorBidi" w:hAnsiTheme="majorBidi" w:cstheme="majorBidi"/>
        </w:rPr>
      </w:pPr>
      <w:proofErr w:type="gramStart"/>
      <w:r w:rsidRPr="002415C2">
        <w:rPr>
          <w:rFonts w:asciiTheme="majorBidi" w:hAnsiTheme="majorBidi" w:cstheme="majorBidi"/>
          <w:b/>
        </w:rPr>
        <w:t xml:space="preserve">Special data collection protocol for double </w:t>
      </w:r>
      <w:proofErr w:type="spellStart"/>
      <w:r w:rsidRPr="002415C2">
        <w:rPr>
          <w:rFonts w:asciiTheme="majorBidi" w:hAnsiTheme="majorBidi" w:cstheme="majorBidi"/>
          <w:b/>
        </w:rPr>
        <w:t>nonrespondents</w:t>
      </w:r>
      <w:proofErr w:type="spellEnd"/>
      <w:r w:rsidRPr="002415C2">
        <w:rPr>
          <w:rFonts w:asciiTheme="majorBidi" w:hAnsiTheme="majorBidi" w:cstheme="majorBidi"/>
          <w:b/>
        </w:rPr>
        <w:t>.</w:t>
      </w:r>
      <w:proofErr w:type="gramEnd"/>
      <w:r w:rsidRPr="002415C2">
        <w:rPr>
          <w:rFonts w:asciiTheme="majorBidi" w:hAnsiTheme="majorBidi" w:cstheme="majorBidi"/>
          <w:b/>
        </w:rPr>
        <w:t xml:space="preserve"> </w:t>
      </w:r>
      <w:r w:rsidRPr="002415C2">
        <w:rPr>
          <w:rFonts w:asciiTheme="majorBidi" w:hAnsiTheme="majorBidi" w:cstheme="majorBidi"/>
          <w:bCs/>
        </w:rPr>
        <w:t>Approximately 3,280 sample members (group 4 in table 2) had sufficient information in NPSAS</w:t>
      </w:r>
      <w:proofErr w:type="gramStart"/>
      <w:r w:rsidRPr="002415C2">
        <w:rPr>
          <w:rFonts w:asciiTheme="majorBidi" w:hAnsiTheme="majorBidi" w:cstheme="majorBidi"/>
          <w:bCs/>
        </w:rPr>
        <w:t>:12</w:t>
      </w:r>
      <w:proofErr w:type="gramEnd"/>
      <w:r w:rsidRPr="002415C2">
        <w:rPr>
          <w:rFonts w:asciiTheme="majorBidi" w:hAnsiTheme="majorBidi" w:cstheme="majorBidi"/>
          <w:bCs/>
        </w:rPr>
        <w:t xml:space="preserve"> to be classified as a NPSAS:12 study member but have neither responded to the NPSAS:12 student interview nor the BPS:12/14 student interview (henceforth referred to as </w:t>
      </w:r>
      <w:r w:rsidRPr="002415C2">
        <w:rPr>
          <w:rFonts w:asciiTheme="majorBidi" w:hAnsiTheme="majorBidi" w:cstheme="majorBidi"/>
          <w:bCs/>
          <w:i/>
          <w:iCs/>
        </w:rPr>
        <w:t xml:space="preserve">double </w:t>
      </w:r>
      <w:proofErr w:type="spellStart"/>
      <w:r w:rsidRPr="002415C2">
        <w:rPr>
          <w:rFonts w:asciiTheme="majorBidi" w:hAnsiTheme="majorBidi" w:cstheme="majorBidi"/>
          <w:bCs/>
          <w:i/>
          <w:iCs/>
        </w:rPr>
        <w:t>nonrespondents</w:t>
      </w:r>
      <w:proofErr w:type="spellEnd"/>
      <w:r w:rsidRPr="002415C2">
        <w:rPr>
          <w:rFonts w:asciiTheme="majorBidi" w:hAnsiTheme="majorBidi" w:cstheme="majorBidi"/>
          <w:bCs/>
        </w:rPr>
        <w:t xml:space="preserve">). </w:t>
      </w:r>
      <w:r w:rsidRPr="002415C2">
        <w:rPr>
          <w:rFonts w:asciiTheme="majorBidi" w:hAnsiTheme="majorBidi" w:cstheme="majorBidi"/>
        </w:rPr>
        <w:t>In planning for the BPS</w:t>
      </w:r>
      <w:proofErr w:type="gramStart"/>
      <w:r w:rsidRPr="002415C2">
        <w:rPr>
          <w:rFonts w:asciiTheme="majorBidi" w:hAnsiTheme="majorBidi" w:cstheme="majorBidi"/>
        </w:rPr>
        <w:t>:12</w:t>
      </w:r>
      <w:proofErr w:type="gramEnd"/>
      <w:r w:rsidRPr="002415C2">
        <w:rPr>
          <w:rFonts w:asciiTheme="majorBidi" w:hAnsiTheme="majorBidi" w:cstheme="majorBidi"/>
        </w:rPr>
        <w:t xml:space="preserve">/17 collection, we investigated </w:t>
      </w:r>
      <w:r w:rsidRPr="002415C2">
        <w:rPr>
          <w:szCs w:val="22"/>
        </w:rPr>
        <w:t xml:space="preserve">characteristics known about this group, such as the distribution across sectors, our ability to locate them in prior rounds, and their estimated attendance and course-taking patterns using PETS:09. We found that </w:t>
      </w:r>
      <w:r w:rsidRPr="002415C2">
        <w:rPr>
          <w:rFonts w:asciiTheme="majorBidi" w:hAnsiTheme="majorBidi" w:cstheme="majorBidi"/>
          <w:bCs/>
        </w:rPr>
        <w:t xml:space="preserve">while this group constitutes approximately 10 percent of the sample, 58 percent of double </w:t>
      </w:r>
      <w:proofErr w:type="spellStart"/>
      <w:r w:rsidRPr="002415C2">
        <w:rPr>
          <w:rFonts w:asciiTheme="majorBidi" w:hAnsiTheme="majorBidi" w:cstheme="majorBidi"/>
          <w:bCs/>
        </w:rPr>
        <w:t>nonrespondents</w:t>
      </w:r>
      <w:proofErr w:type="spellEnd"/>
      <w:r w:rsidRPr="002415C2">
        <w:rPr>
          <w:rFonts w:asciiTheme="majorBidi" w:hAnsiTheme="majorBidi" w:cstheme="majorBidi"/>
          <w:bCs/>
        </w:rPr>
        <w:t xml:space="preserve"> were enrolled within the</w:t>
      </w:r>
      <w:r w:rsidRPr="002415C2">
        <w:rPr>
          <w:rFonts w:asciiTheme="majorBidi" w:hAnsiTheme="majorBidi" w:cstheme="majorBidi"/>
        </w:rPr>
        <w:t xml:space="preserve"> private for-profit sectors in NPSAS</w:t>
      </w:r>
      <w:proofErr w:type="gramStart"/>
      <w:r w:rsidRPr="002415C2">
        <w:rPr>
          <w:rFonts w:asciiTheme="majorBidi" w:hAnsiTheme="majorBidi" w:cstheme="majorBidi"/>
        </w:rPr>
        <w:t>:12</w:t>
      </w:r>
      <w:proofErr w:type="gramEnd"/>
      <w:r w:rsidRPr="002415C2">
        <w:rPr>
          <w:rFonts w:asciiTheme="majorBidi" w:hAnsiTheme="majorBidi" w:cstheme="majorBidi"/>
        </w:rPr>
        <w:t xml:space="preserve">. We found that over three-quarters of double </w:t>
      </w:r>
      <w:proofErr w:type="spellStart"/>
      <w:r w:rsidRPr="002415C2">
        <w:rPr>
          <w:rFonts w:asciiTheme="majorBidi" w:hAnsiTheme="majorBidi" w:cstheme="majorBidi"/>
        </w:rPr>
        <w:t>nonrespondents</w:t>
      </w:r>
      <w:proofErr w:type="spellEnd"/>
      <w:r w:rsidRPr="002415C2">
        <w:rPr>
          <w:rFonts w:asciiTheme="majorBidi" w:hAnsiTheme="majorBidi" w:cstheme="majorBidi"/>
        </w:rPr>
        <w:t xml:space="preserve"> had been contacted—yet had not responded. We also found, using a proxy from the BPS</w:t>
      </w:r>
      <w:proofErr w:type="gramStart"/>
      <w:r w:rsidRPr="002415C2">
        <w:rPr>
          <w:rFonts w:asciiTheme="majorBidi" w:hAnsiTheme="majorBidi" w:cstheme="majorBidi"/>
        </w:rPr>
        <w:t>:04</w:t>
      </w:r>
      <w:proofErr w:type="gramEnd"/>
      <w:r w:rsidRPr="002415C2">
        <w:rPr>
          <w:rFonts w:asciiTheme="majorBidi" w:hAnsiTheme="majorBidi" w:cstheme="majorBidi"/>
        </w:rPr>
        <w:t xml:space="preserve"> cohort, that double </w:t>
      </w:r>
      <w:proofErr w:type="spellStart"/>
      <w:r w:rsidRPr="002415C2">
        <w:rPr>
          <w:rFonts w:asciiTheme="majorBidi" w:hAnsiTheme="majorBidi" w:cstheme="majorBidi"/>
        </w:rPr>
        <w:t>nonrespondents</w:t>
      </w:r>
      <w:proofErr w:type="spellEnd"/>
      <w:r w:rsidRPr="002415C2">
        <w:rPr>
          <w:rFonts w:asciiTheme="majorBidi" w:hAnsiTheme="majorBidi" w:cstheme="majorBidi"/>
        </w:rPr>
        <w:t xml:space="preserve"> differed by several characteristics of prime interest to BPS, such as postsecondary enrollment and </w:t>
      </w:r>
      <w:proofErr w:type="spellStart"/>
      <w:r w:rsidRPr="002415C2">
        <w:rPr>
          <w:rFonts w:asciiTheme="majorBidi" w:hAnsiTheme="majorBidi" w:cstheme="majorBidi"/>
        </w:rPr>
        <w:t>coursetaking</w:t>
      </w:r>
      <w:proofErr w:type="spellEnd"/>
      <w:r w:rsidRPr="002415C2">
        <w:rPr>
          <w:rFonts w:asciiTheme="majorBidi" w:hAnsiTheme="majorBidi" w:cstheme="majorBidi"/>
        </w:rPr>
        <w:t xml:space="preserve"> patterns. We concluded that double </w:t>
      </w:r>
      <w:proofErr w:type="spellStart"/>
      <w:r w:rsidRPr="002415C2">
        <w:rPr>
          <w:rFonts w:asciiTheme="majorBidi" w:hAnsiTheme="majorBidi" w:cstheme="majorBidi"/>
        </w:rPr>
        <w:t>nonrespondents</w:t>
      </w:r>
      <w:proofErr w:type="spellEnd"/>
      <w:r w:rsidRPr="002415C2">
        <w:rPr>
          <w:rFonts w:asciiTheme="majorBidi" w:hAnsiTheme="majorBidi" w:cstheme="majorBidi"/>
        </w:rPr>
        <w:t xml:space="preserve"> could contribute to nonresponse bias, particularly in the private for-profit sector.</w:t>
      </w:r>
    </w:p>
    <w:p w14:paraId="7DF9B0C0" w14:textId="77777777" w:rsidR="00EA11FF" w:rsidRDefault="002415C2" w:rsidP="002415C2">
      <w:pPr>
        <w:widowControl w:val="0"/>
        <w:spacing w:before="240" w:after="120"/>
        <w:rPr>
          <w:szCs w:val="22"/>
        </w:rPr>
      </w:pPr>
      <w:r w:rsidRPr="002415C2">
        <w:rPr>
          <w:szCs w:val="22"/>
        </w:rPr>
        <w:t xml:space="preserve">While we were able to locate approximately three-quarters of these double </w:t>
      </w:r>
      <w:proofErr w:type="spellStart"/>
      <w:r w:rsidRPr="002415C2">
        <w:rPr>
          <w:szCs w:val="22"/>
        </w:rPr>
        <w:t>nonrespondents</w:t>
      </w:r>
      <w:proofErr w:type="spellEnd"/>
      <w:r w:rsidRPr="002415C2">
        <w:rPr>
          <w:szCs w:val="22"/>
        </w:rPr>
        <w:t xml:space="preserve"> in prior data collections, we do not know their reasons for refusing to participate. Without knowing the reasons for refusal, the optimal incentives are difficult to determine. </w:t>
      </w:r>
      <w:r w:rsidRPr="002415C2">
        <w:rPr>
          <w:rFonts w:asciiTheme="majorBidi" w:hAnsiTheme="majorBidi" w:cstheme="majorBidi"/>
        </w:rPr>
        <w:t>In BPS</w:t>
      </w:r>
      <w:proofErr w:type="gramStart"/>
      <w:r w:rsidRPr="002415C2">
        <w:rPr>
          <w:rFonts w:asciiTheme="majorBidi" w:hAnsiTheme="majorBidi" w:cstheme="majorBidi"/>
        </w:rPr>
        <w:t>:12</w:t>
      </w:r>
      <w:proofErr w:type="gramEnd"/>
      <w:r w:rsidRPr="002415C2">
        <w:rPr>
          <w:rFonts w:asciiTheme="majorBidi" w:hAnsiTheme="majorBidi" w:cstheme="majorBidi"/>
        </w:rPr>
        <w:t xml:space="preserve">/14, due to the design of the importance score which excluded the lowest propensity cases, </w:t>
      </w:r>
      <w:proofErr w:type="spellStart"/>
      <w:r w:rsidRPr="002415C2">
        <w:rPr>
          <w:rFonts w:asciiTheme="majorBidi" w:hAnsiTheme="majorBidi" w:cstheme="majorBidi"/>
        </w:rPr>
        <w:t>nonrespondents</w:t>
      </w:r>
      <w:proofErr w:type="spellEnd"/>
      <w:r w:rsidRPr="002415C2">
        <w:rPr>
          <w:rFonts w:asciiTheme="majorBidi" w:hAnsiTheme="majorBidi" w:cstheme="majorBidi"/>
        </w:rPr>
        <w:t xml:space="preserve"> who were the most difficult to convert were not included in intervention targeting. As a result, very few of the double </w:t>
      </w:r>
      <w:proofErr w:type="spellStart"/>
      <w:r w:rsidRPr="002415C2">
        <w:rPr>
          <w:rFonts w:asciiTheme="majorBidi" w:hAnsiTheme="majorBidi" w:cstheme="majorBidi"/>
        </w:rPr>
        <w:t>nonrespondents</w:t>
      </w:r>
      <w:proofErr w:type="spellEnd"/>
      <w:r w:rsidRPr="002415C2">
        <w:rPr>
          <w:rFonts w:asciiTheme="majorBidi" w:hAnsiTheme="majorBidi" w:cstheme="majorBidi"/>
        </w:rPr>
        <w:t xml:space="preserve"> were ever exposed to incentive boosts or early abbreviated interviews in an attempt to convert them. In fact, after examining BPS:12/14 data, we found that less than 0.1 percent were offered more than $50 dollars and only 3.6 percent were offered more than $30. Similarly, we do not know if a shortened abbreviated interview would improve response rates for this group. Therefore, </w:t>
      </w:r>
      <w:r w:rsidRPr="002415C2">
        <w:rPr>
          <w:szCs w:val="22"/>
        </w:rPr>
        <w:t>we propose a calibration sample with an experimental design that evaluates the efficacy of additional incentive versus a shorter interview. The results of the experiment will inform the main sample.</w:t>
      </w:r>
    </w:p>
    <w:p w14:paraId="6EFEB20E" w14:textId="77777777" w:rsidR="002415C2" w:rsidRPr="002415C2" w:rsidRDefault="002415C2" w:rsidP="002415C2">
      <w:pPr>
        <w:widowControl w:val="0"/>
        <w:spacing w:before="240" w:after="120"/>
        <w:rPr>
          <w:rFonts w:asciiTheme="majorBidi" w:hAnsiTheme="majorBidi" w:cstheme="majorBidi"/>
        </w:rPr>
      </w:pPr>
      <w:r w:rsidRPr="002415C2">
        <w:rPr>
          <w:szCs w:val="22"/>
        </w:rPr>
        <w:t>Specifically, w</w:t>
      </w:r>
      <w:r w:rsidRPr="002415C2">
        <w:rPr>
          <w:rFonts w:asciiTheme="majorBidi" w:hAnsiTheme="majorBidi" w:cstheme="majorBidi"/>
        </w:rPr>
        <w:t xml:space="preserve">e propose fielding a calibration sample, consisting of 870 double </w:t>
      </w:r>
      <w:proofErr w:type="spellStart"/>
      <w:r w:rsidRPr="002415C2">
        <w:rPr>
          <w:rFonts w:asciiTheme="majorBidi" w:hAnsiTheme="majorBidi" w:cstheme="majorBidi"/>
        </w:rPr>
        <w:t>nonrespondents</w:t>
      </w:r>
      <w:proofErr w:type="spellEnd"/>
      <w:r w:rsidRPr="002415C2">
        <w:rPr>
          <w:rFonts w:asciiTheme="majorBidi" w:hAnsiTheme="majorBidi" w:cstheme="majorBidi"/>
        </w:rPr>
        <w:t>, seven weeks ahead of the main sample to evaluate the two special data collection protocols for this hard-to-</w:t>
      </w:r>
      <w:r w:rsidRPr="002415C2">
        <w:rPr>
          <w:rFonts w:asciiTheme="majorBidi" w:hAnsiTheme="majorBidi" w:cstheme="majorBidi"/>
        </w:rPr>
        <w:lastRenderedPageBreak/>
        <w:t>convert group: a shortened interview vs. a monetary incentive. A randomly-selected half of the calibration sample will be offered an abbreviated interview along with a $10 pre-paid PayPal amount and an offer to receive another $20 upon completion of the survey ($30 total). The other half will be offered the full interview along with a $10 pre-paid PayPal amount</w:t>
      </w:r>
      <w:r w:rsidRPr="002415C2">
        <w:rPr>
          <w:sz w:val="18"/>
          <w:szCs w:val="18"/>
          <w:vertAlign w:val="superscript"/>
        </w:rPr>
        <w:footnoteReference w:id="8"/>
      </w:r>
      <w:r w:rsidRPr="002415C2">
        <w:rPr>
          <w:rFonts w:asciiTheme="majorBidi" w:hAnsiTheme="majorBidi" w:cstheme="majorBidi"/>
        </w:rPr>
        <w:t xml:space="preserve"> and an offer to receive another $65 upon completion of the survey ($75 total). At six weeks, the two approaches will be compared using a Pearson Chi-squared test to determine which results in the highest response rate from this hard-to-convert population and should be proposed for the main sample of double </w:t>
      </w:r>
      <w:proofErr w:type="spellStart"/>
      <w:r w:rsidRPr="002415C2">
        <w:rPr>
          <w:rFonts w:asciiTheme="majorBidi" w:hAnsiTheme="majorBidi" w:cstheme="majorBidi"/>
        </w:rPr>
        <w:t>nonrespondents</w:t>
      </w:r>
      <w:proofErr w:type="spellEnd"/>
      <w:r w:rsidRPr="002415C2">
        <w:rPr>
          <w:rFonts w:asciiTheme="majorBidi" w:hAnsiTheme="majorBidi" w:cstheme="majorBidi"/>
        </w:rPr>
        <w:t xml:space="preserve">. If both perform equally, we will select the $30 total baseline along with the abbreviated interview. Regardless of the selected protocol, at 14 weeks into data collection, all remaining </w:t>
      </w:r>
      <w:proofErr w:type="spellStart"/>
      <w:r w:rsidRPr="002415C2">
        <w:rPr>
          <w:rFonts w:asciiTheme="majorBidi" w:hAnsiTheme="majorBidi" w:cstheme="majorBidi"/>
        </w:rPr>
        <w:t>nonrespondents</w:t>
      </w:r>
      <w:proofErr w:type="spellEnd"/>
      <w:r w:rsidRPr="002415C2">
        <w:rPr>
          <w:rFonts w:asciiTheme="majorBidi" w:hAnsiTheme="majorBidi" w:cstheme="majorBidi"/>
        </w:rPr>
        <w:t xml:space="preserve"> in the double </w:t>
      </w:r>
      <w:proofErr w:type="spellStart"/>
      <w:r w:rsidRPr="002415C2">
        <w:rPr>
          <w:rFonts w:asciiTheme="majorBidi" w:hAnsiTheme="majorBidi" w:cstheme="majorBidi"/>
        </w:rPr>
        <w:t>nonrespondent</w:t>
      </w:r>
      <w:proofErr w:type="spellEnd"/>
      <w:r w:rsidRPr="002415C2">
        <w:rPr>
          <w:rFonts w:asciiTheme="majorBidi" w:hAnsiTheme="majorBidi" w:cstheme="majorBidi"/>
        </w:rPr>
        <w:t xml:space="preserve"> population will be offered the maximum special protocol intervention consisting of an abbreviated interview and $65 upon completion of the interview to total $75 along with the $10 pre-paid offer. In addition, at a later phase of data collection, we will move this group to a passive status by discontinuing CATI operations and relying on email contacts. The timeline for double </w:t>
      </w:r>
      <w:proofErr w:type="spellStart"/>
      <w:r w:rsidRPr="002415C2">
        <w:rPr>
          <w:rFonts w:asciiTheme="majorBidi" w:hAnsiTheme="majorBidi" w:cstheme="majorBidi"/>
        </w:rPr>
        <w:t>nonrespondents</w:t>
      </w:r>
      <w:proofErr w:type="spellEnd"/>
      <w:r w:rsidRPr="002415C2">
        <w:rPr>
          <w:rFonts w:asciiTheme="majorBidi" w:hAnsiTheme="majorBidi" w:cstheme="majorBidi"/>
        </w:rPr>
        <w:t xml:space="preserve"> is summarized in table 10 and figure 1.</w:t>
      </w:r>
    </w:p>
    <w:p w14:paraId="3C01AA1D" w14:textId="77777777" w:rsidR="002415C2" w:rsidRPr="002415C2" w:rsidRDefault="002415C2" w:rsidP="002415C2">
      <w:pPr>
        <w:widowControl w:val="0"/>
        <w:spacing w:before="120" w:after="60"/>
        <w:rPr>
          <w:rFonts w:ascii="Arial" w:hAnsi="Arial"/>
          <w:b/>
          <w:sz w:val="20"/>
          <w:szCs w:val="20"/>
        </w:rPr>
      </w:pPr>
      <w:bookmarkStart w:id="13" w:name="_Toc456167113"/>
      <w:proofErr w:type="gramStart"/>
      <w:r w:rsidRPr="002415C2">
        <w:rPr>
          <w:rFonts w:ascii="Arial" w:hAnsi="Arial"/>
          <w:b/>
          <w:sz w:val="20"/>
          <w:szCs w:val="20"/>
        </w:rPr>
        <w:t>Table 10.</w:t>
      </w:r>
      <w:proofErr w:type="gramEnd"/>
      <w:r w:rsidRPr="002415C2">
        <w:rPr>
          <w:rFonts w:ascii="Arial" w:hAnsi="Arial"/>
          <w:b/>
          <w:sz w:val="20"/>
          <w:szCs w:val="20"/>
        </w:rPr>
        <w:t xml:space="preserve"> Timeline for NPSAS</w:t>
      </w:r>
      <w:proofErr w:type="gramStart"/>
      <w:r w:rsidRPr="002415C2">
        <w:rPr>
          <w:rFonts w:ascii="Arial" w:hAnsi="Arial"/>
          <w:b/>
          <w:sz w:val="20"/>
          <w:szCs w:val="20"/>
        </w:rPr>
        <w:t>:12</w:t>
      </w:r>
      <w:proofErr w:type="gramEnd"/>
      <w:r w:rsidRPr="002415C2">
        <w:rPr>
          <w:rFonts w:ascii="Arial" w:hAnsi="Arial"/>
          <w:b/>
          <w:sz w:val="20"/>
          <w:szCs w:val="20"/>
        </w:rPr>
        <w:t xml:space="preserve"> study member double interview </w:t>
      </w:r>
      <w:proofErr w:type="spellStart"/>
      <w:r w:rsidRPr="002415C2">
        <w:rPr>
          <w:rFonts w:ascii="Arial" w:hAnsi="Arial"/>
          <w:b/>
          <w:sz w:val="20"/>
          <w:szCs w:val="20"/>
        </w:rPr>
        <w:t>nonrespondents</w:t>
      </w:r>
      <w:bookmarkEnd w:id="13"/>
      <w:proofErr w:type="spellEnd"/>
    </w:p>
    <w:tbl>
      <w:tblPr>
        <w:tblStyle w:val="TableGrid1"/>
        <w:tblW w:w="5000" w:type="pct"/>
        <w:tblLook w:val="04A0" w:firstRow="1" w:lastRow="0" w:firstColumn="1" w:lastColumn="0" w:noHBand="0" w:noVBand="1"/>
      </w:tblPr>
      <w:tblGrid>
        <w:gridCol w:w="841"/>
        <w:gridCol w:w="2034"/>
        <w:gridCol w:w="1437"/>
        <w:gridCol w:w="3188"/>
        <w:gridCol w:w="97"/>
        <w:gridCol w:w="2987"/>
      </w:tblGrid>
      <w:tr w:rsidR="002415C2" w:rsidRPr="002415C2" w14:paraId="21C92856" w14:textId="77777777" w:rsidTr="00C37F47">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397" w:type="pct"/>
            <w:shd w:val="clear" w:color="auto" w:fill="D9D9D9" w:themeFill="background1" w:themeFillShade="D9"/>
            <w:noWrap/>
            <w:hideMark/>
          </w:tcPr>
          <w:p w14:paraId="26E7EB16" w14:textId="77777777" w:rsidR="002415C2" w:rsidRPr="002415C2" w:rsidRDefault="002415C2" w:rsidP="002415C2">
            <w:pPr>
              <w:widowControl w:val="0"/>
              <w:rPr>
                <w:color w:val="000000"/>
                <w:sz w:val="20"/>
                <w:szCs w:val="20"/>
              </w:rPr>
            </w:pPr>
            <w:r w:rsidRPr="002415C2">
              <w:rPr>
                <w:color w:val="000000"/>
                <w:sz w:val="20"/>
                <w:szCs w:val="20"/>
              </w:rPr>
              <w:t>Phase</w:t>
            </w:r>
          </w:p>
        </w:tc>
        <w:tc>
          <w:tcPr>
            <w:tcW w:w="1640" w:type="pct"/>
            <w:gridSpan w:val="2"/>
            <w:shd w:val="clear" w:color="auto" w:fill="D9D9D9" w:themeFill="background1" w:themeFillShade="D9"/>
            <w:noWrap/>
            <w:hideMark/>
          </w:tcPr>
          <w:p w14:paraId="2A326896" w14:textId="77777777" w:rsidR="002415C2" w:rsidRPr="002415C2" w:rsidRDefault="002415C2" w:rsidP="002415C2">
            <w:pPr>
              <w:widowControl w:val="0"/>
              <w:cnfStyle w:val="100000000000" w:firstRow="1" w:lastRow="0" w:firstColumn="0" w:lastColumn="0" w:oddVBand="0" w:evenVBand="0" w:oddHBand="0" w:evenHBand="0" w:firstRowFirstColumn="0" w:firstRowLastColumn="0" w:lastRowFirstColumn="0" w:lastRowLastColumn="0"/>
              <w:rPr>
                <w:color w:val="000000"/>
                <w:sz w:val="20"/>
                <w:szCs w:val="20"/>
              </w:rPr>
            </w:pPr>
            <w:r w:rsidRPr="002415C2">
              <w:rPr>
                <w:color w:val="000000"/>
                <w:sz w:val="20"/>
                <w:szCs w:val="20"/>
              </w:rPr>
              <w:t>Start date</w:t>
            </w:r>
          </w:p>
        </w:tc>
        <w:tc>
          <w:tcPr>
            <w:tcW w:w="2963" w:type="pct"/>
            <w:gridSpan w:val="3"/>
            <w:shd w:val="clear" w:color="auto" w:fill="D9D9D9" w:themeFill="background1" w:themeFillShade="D9"/>
            <w:noWrap/>
            <w:hideMark/>
          </w:tcPr>
          <w:p w14:paraId="6AE301CE" w14:textId="77777777" w:rsidR="002415C2" w:rsidRPr="002415C2" w:rsidRDefault="002415C2" w:rsidP="002415C2">
            <w:pPr>
              <w:widowControl w:val="0"/>
              <w:cnfStyle w:val="100000000000" w:firstRow="1" w:lastRow="0" w:firstColumn="0" w:lastColumn="0" w:oddVBand="0" w:evenVBand="0" w:oddHBand="0" w:evenHBand="0" w:firstRowFirstColumn="0" w:firstRowLastColumn="0" w:lastRowFirstColumn="0" w:lastRowLastColumn="0"/>
              <w:rPr>
                <w:color w:val="000000"/>
                <w:sz w:val="20"/>
                <w:szCs w:val="20"/>
              </w:rPr>
            </w:pPr>
            <w:r w:rsidRPr="002415C2">
              <w:rPr>
                <w:color w:val="000000"/>
                <w:sz w:val="20"/>
                <w:szCs w:val="20"/>
              </w:rPr>
              <w:t>Activity</w:t>
            </w:r>
          </w:p>
        </w:tc>
      </w:tr>
      <w:tr w:rsidR="002415C2" w:rsidRPr="002415C2" w14:paraId="30229C9A" w14:textId="77777777" w:rsidTr="00C37F47">
        <w:trPr>
          <w:trHeight w:val="300"/>
        </w:trPr>
        <w:tc>
          <w:tcPr>
            <w:cnfStyle w:val="001000000000" w:firstRow="0" w:lastRow="0" w:firstColumn="1" w:lastColumn="0" w:oddVBand="0" w:evenVBand="0" w:oddHBand="0" w:evenHBand="0" w:firstRowFirstColumn="0" w:firstRowLastColumn="0" w:lastRowFirstColumn="0" w:lastRowLastColumn="0"/>
            <w:tcW w:w="397" w:type="pct"/>
            <w:shd w:val="clear" w:color="auto" w:fill="D9D9D9" w:themeFill="background1" w:themeFillShade="D9"/>
            <w:noWrap/>
            <w:hideMark/>
          </w:tcPr>
          <w:p w14:paraId="3D1D1F51" w14:textId="77777777" w:rsidR="002415C2" w:rsidRPr="002415C2" w:rsidRDefault="002415C2" w:rsidP="002415C2">
            <w:pPr>
              <w:widowControl w:val="0"/>
              <w:rPr>
                <w:color w:val="000000"/>
                <w:sz w:val="20"/>
                <w:szCs w:val="20"/>
              </w:rPr>
            </w:pPr>
          </w:p>
        </w:tc>
        <w:tc>
          <w:tcPr>
            <w:tcW w:w="961" w:type="pct"/>
            <w:shd w:val="clear" w:color="auto" w:fill="D9D9D9" w:themeFill="background1" w:themeFillShade="D9"/>
            <w:noWrap/>
            <w:hideMark/>
          </w:tcPr>
          <w:p w14:paraId="2147497C" w14:textId="77777777" w:rsidR="002415C2" w:rsidRPr="002415C2" w:rsidRDefault="002415C2" w:rsidP="002415C2">
            <w:pPr>
              <w:widowControl w:val="0"/>
              <w:cnfStyle w:val="000000000000" w:firstRow="0" w:lastRow="0" w:firstColumn="0" w:lastColumn="0" w:oddVBand="0" w:evenVBand="0" w:oddHBand="0" w:evenHBand="0" w:firstRowFirstColumn="0" w:firstRowLastColumn="0" w:lastRowFirstColumn="0" w:lastRowLastColumn="0"/>
              <w:rPr>
                <w:color w:val="000000"/>
                <w:sz w:val="20"/>
                <w:szCs w:val="20"/>
              </w:rPr>
            </w:pPr>
            <w:r w:rsidRPr="002415C2">
              <w:rPr>
                <w:color w:val="000000"/>
                <w:sz w:val="20"/>
                <w:szCs w:val="20"/>
              </w:rPr>
              <w:t>Calibration sample</w:t>
            </w:r>
          </w:p>
        </w:tc>
        <w:tc>
          <w:tcPr>
            <w:tcW w:w="679" w:type="pct"/>
            <w:shd w:val="clear" w:color="auto" w:fill="D9D9D9" w:themeFill="background1" w:themeFillShade="D9"/>
            <w:noWrap/>
            <w:hideMark/>
          </w:tcPr>
          <w:p w14:paraId="46DAD278" w14:textId="77777777" w:rsidR="002415C2" w:rsidRPr="002415C2" w:rsidRDefault="002415C2" w:rsidP="002415C2">
            <w:pPr>
              <w:widowControl w:val="0"/>
              <w:cnfStyle w:val="000000000000" w:firstRow="0" w:lastRow="0" w:firstColumn="0" w:lastColumn="0" w:oddVBand="0" w:evenVBand="0" w:oddHBand="0" w:evenHBand="0" w:firstRowFirstColumn="0" w:firstRowLastColumn="0" w:lastRowFirstColumn="0" w:lastRowLastColumn="0"/>
              <w:rPr>
                <w:color w:val="000000"/>
                <w:sz w:val="20"/>
                <w:szCs w:val="20"/>
              </w:rPr>
            </w:pPr>
            <w:r w:rsidRPr="002415C2">
              <w:rPr>
                <w:color w:val="000000"/>
                <w:sz w:val="20"/>
                <w:szCs w:val="20"/>
              </w:rPr>
              <w:t>Main sample</w:t>
            </w:r>
          </w:p>
        </w:tc>
        <w:tc>
          <w:tcPr>
            <w:tcW w:w="1552" w:type="pct"/>
            <w:gridSpan w:val="2"/>
            <w:shd w:val="clear" w:color="auto" w:fill="D9D9D9" w:themeFill="background1" w:themeFillShade="D9"/>
            <w:noWrap/>
            <w:hideMark/>
          </w:tcPr>
          <w:p w14:paraId="53C916D1" w14:textId="77777777" w:rsidR="002415C2" w:rsidRPr="002415C2" w:rsidRDefault="002415C2" w:rsidP="002415C2">
            <w:pPr>
              <w:widowControl w:val="0"/>
              <w:cnfStyle w:val="000000000000" w:firstRow="0" w:lastRow="0" w:firstColumn="0" w:lastColumn="0" w:oddVBand="0" w:evenVBand="0" w:oddHBand="0" w:evenHBand="0" w:firstRowFirstColumn="0" w:firstRowLastColumn="0" w:lastRowFirstColumn="0" w:lastRowLastColumn="0"/>
              <w:rPr>
                <w:color w:val="000000"/>
                <w:sz w:val="20"/>
                <w:szCs w:val="20"/>
              </w:rPr>
            </w:pPr>
            <w:r w:rsidRPr="002415C2">
              <w:rPr>
                <w:color w:val="000000"/>
                <w:sz w:val="20"/>
                <w:szCs w:val="20"/>
              </w:rPr>
              <w:t>Calibration sample</w:t>
            </w:r>
          </w:p>
        </w:tc>
        <w:tc>
          <w:tcPr>
            <w:tcW w:w="1411" w:type="pct"/>
            <w:shd w:val="clear" w:color="auto" w:fill="D9D9D9" w:themeFill="background1" w:themeFillShade="D9"/>
            <w:noWrap/>
            <w:hideMark/>
          </w:tcPr>
          <w:p w14:paraId="647D25DE" w14:textId="77777777" w:rsidR="002415C2" w:rsidRPr="002415C2" w:rsidRDefault="002415C2" w:rsidP="002415C2">
            <w:pPr>
              <w:widowControl w:val="0"/>
              <w:cnfStyle w:val="000000000000" w:firstRow="0" w:lastRow="0" w:firstColumn="0" w:lastColumn="0" w:oddVBand="0" w:evenVBand="0" w:oddHBand="0" w:evenHBand="0" w:firstRowFirstColumn="0" w:firstRowLastColumn="0" w:lastRowFirstColumn="0" w:lastRowLastColumn="0"/>
              <w:rPr>
                <w:color w:val="000000"/>
                <w:sz w:val="20"/>
                <w:szCs w:val="20"/>
              </w:rPr>
            </w:pPr>
            <w:r w:rsidRPr="002415C2">
              <w:rPr>
                <w:color w:val="000000"/>
                <w:sz w:val="20"/>
                <w:szCs w:val="20"/>
              </w:rPr>
              <w:t>Main sample</w:t>
            </w:r>
          </w:p>
        </w:tc>
      </w:tr>
      <w:tr w:rsidR="002415C2" w:rsidRPr="002415C2" w14:paraId="3EE8F67C" w14:textId="77777777" w:rsidTr="00C37F47">
        <w:trPr>
          <w:trHeight w:val="765"/>
        </w:trPr>
        <w:tc>
          <w:tcPr>
            <w:cnfStyle w:val="001000000000" w:firstRow="0" w:lastRow="0" w:firstColumn="1" w:lastColumn="0" w:oddVBand="0" w:evenVBand="0" w:oddHBand="0" w:evenHBand="0" w:firstRowFirstColumn="0" w:firstRowLastColumn="0" w:lastRowFirstColumn="0" w:lastRowLastColumn="0"/>
            <w:tcW w:w="397" w:type="pct"/>
            <w:noWrap/>
            <w:vAlign w:val="top"/>
            <w:hideMark/>
          </w:tcPr>
          <w:p w14:paraId="3ADE8973" w14:textId="77777777" w:rsidR="002415C2" w:rsidRPr="002415C2" w:rsidRDefault="002415C2" w:rsidP="002415C2">
            <w:pPr>
              <w:widowControl w:val="0"/>
              <w:rPr>
                <w:color w:val="000000"/>
                <w:sz w:val="20"/>
                <w:szCs w:val="20"/>
              </w:rPr>
            </w:pPr>
            <w:r w:rsidRPr="002415C2">
              <w:rPr>
                <w:color w:val="000000"/>
                <w:sz w:val="20"/>
                <w:szCs w:val="20"/>
              </w:rPr>
              <w:t>DNR-1</w:t>
            </w:r>
          </w:p>
        </w:tc>
        <w:tc>
          <w:tcPr>
            <w:tcW w:w="961" w:type="pct"/>
            <w:noWrap/>
            <w:vAlign w:val="top"/>
            <w:hideMark/>
          </w:tcPr>
          <w:p w14:paraId="064BE1E3" w14:textId="77777777" w:rsidR="002415C2" w:rsidRPr="002415C2" w:rsidRDefault="002415C2" w:rsidP="002415C2">
            <w:pPr>
              <w:widowControl w:val="0"/>
              <w:cnfStyle w:val="000000000000" w:firstRow="0" w:lastRow="0" w:firstColumn="0" w:lastColumn="0" w:oddVBand="0" w:evenVBand="0" w:oddHBand="0" w:evenHBand="0" w:firstRowFirstColumn="0" w:firstRowLastColumn="0" w:lastRowFirstColumn="0" w:lastRowLastColumn="0"/>
              <w:rPr>
                <w:color w:val="000000"/>
                <w:sz w:val="20"/>
                <w:szCs w:val="20"/>
              </w:rPr>
            </w:pPr>
            <w:r w:rsidRPr="002415C2">
              <w:rPr>
                <w:color w:val="000000"/>
                <w:sz w:val="20"/>
                <w:szCs w:val="20"/>
              </w:rPr>
              <w:t>Week 0</w:t>
            </w:r>
          </w:p>
        </w:tc>
        <w:tc>
          <w:tcPr>
            <w:tcW w:w="679" w:type="pct"/>
            <w:noWrap/>
            <w:vAlign w:val="top"/>
            <w:hideMark/>
          </w:tcPr>
          <w:p w14:paraId="28258487" w14:textId="77777777" w:rsidR="002415C2" w:rsidRPr="002415C2" w:rsidRDefault="002415C2" w:rsidP="002415C2">
            <w:pPr>
              <w:widowControl w:val="0"/>
              <w:cnfStyle w:val="000000000000" w:firstRow="0" w:lastRow="0" w:firstColumn="0" w:lastColumn="0" w:oddVBand="0" w:evenVBand="0" w:oddHBand="0" w:evenHBand="0" w:firstRowFirstColumn="0" w:firstRowLastColumn="0" w:lastRowFirstColumn="0" w:lastRowLastColumn="0"/>
              <w:rPr>
                <w:color w:val="000000"/>
                <w:sz w:val="20"/>
                <w:szCs w:val="20"/>
              </w:rPr>
            </w:pPr>
            <w:r w:rsidRPr="002415C2">
              <w:rPr>
                <w:color w:val="000000"/>
                <w:sz w:val="20"/>
                <w:szCs w:val="20"/>
              </w:rPr>
              <w:t>Week 7</w:t>
            </w:r>
          </w:p>
        </w:tc>
        <w:tc>
          <w:tcPr>
            <w:tcW w:w="1506" w:type="pct"/>
            <w:vAlign w:val="top"/>
            <w:hideMark/>
          </w:tcPr>
          <w:p w14:paraId="4259F853" w14:textId="77777777" w:rsidR="002415C2" w:rsidRPr="002415C2" w:rsidRDefault="002415C2" w:rsidP="002415C2">
            <w:pPr>
              <w:widowControl w:val="0"/>
              <w:ind w:left="-111" w:right="5"/>
              <w:cnfStyle w:val="000000000000" w:firstRow="0" w:lastRow="0" w:firstColumn="0" w:lastColumn="0" w:oddVBand="0" w:evenVBand="0" w:oddHBand="0" w:evenHBand="0" w:firstRowFirstColumn="0" w:firstRowLastColumn="0" w:lastRowFirstColumn="0" w:lastRowLastColumn="0"/>
              <w:rPr>
                <w:color w:val="000000"/>
                <w:sz w:val="20"/>
                <w:szCs w:val="20"/>
              </w:rPr>
            </w:pPr>
            <w:r w:rsidRPr="002415C2">
              <w:rPr>
                <w:color w:val="000000"/>
                <w:sz w:val="20"/>
                <w:szCs w:val="20"/>
              </w:rPr>
              <w:t>Begin data collection; calibration sample for baseline special protocol (full interview and $75 total vs. abbreviated interview and $30 total)</w:t>
            </w:r>
          </w:p>
        </w:tc>
        <w:tc>
          <w:tcPr>
            <w:tcW w:w="1457" w:type="pct"/>
            <w:gridSpan w:val="2"/>
            <w:vAlign w:val="top"/>
            <w:hideMark/>
          </w:tcPr>
          <w:p w14:paraId="1098545C" w14:textId="77777777" w:rsidR="002415C2" w:rsidRPr="002415C2" w:rsidRDefault="002415C2" w:rsidP="002415C2">
            <w:pPr>
              <w:widowControl w:val="0"/>
              <w:ind w:left="-36" w:right="-126"/>
              <w:cnfStyle w:val="000000000000" w:firstRow="0" w:lastRow="0" w:firstColumn="0" w:lastColumn="0" w:oddVBand="0" w:evenVBand="0" w:oddHBand="0" w:evenHBand="0" w:firstRowFirstColumn="0" w:firstRowLastColumn="0" w:lastRowFirstColumn="0" w:lastRowLastColumn="0"/>
              <w:rPr>
                <w:color w:val="000000"/>
                <w:sz w:val="20"/>
                <w:szCs w:val="20"/>
              </w:rPr>
            </w:pPr>
            <w:r w:rsidRPr="002415C2">
              <w:rPr>
                <w:color w:val="000000"/>
                <w:sz w:val="20"/>
                <w:szCs w:val="20"/>
              </w:rPr>
              <w:t>Begin data collection; baseline special protocol determined by calibration results (full interview and $75 total vs. abbreviated interview and $30 total)</w:t>
            </w:r>
          </w:p>
        </w:tc>
      </w:tr>
      <w:tr w:rsidR="002415C2" w:rsidRPr="002415C2" w14:paraId="0C88A93E" w14:textId="77777777" w:rsidTr="00C37F47">
        <w:trPr>
          <w:trHeight w:val="765"/>
        </w:trPr>
        <w:tc>
          <w:tcPr>
            <w:cnfStyle w:val="001000000000" w:firstRow="0" w:lastRow="0" w:firstColumn="1" w:lastColumn="0" w:oddVBand="0" w:evenVBand="0" w:oddHBand="0" w:evenHBand="0" w:firstRowFirstColumn="0" w:firstRowLastColumn="0" w:lastRowFirstColumn="0" w:lastRowLastColumn="0"/>
            <w:tcW w:w="397" w:type="pct"/>
            <w:noWrap/>
            <w:vAlign w:val="top"/>
          </w:tcPr>
          <w:p w14:paraId="0A44BB35" w14:textId="77777777" w:rsidR="002415C2" w:rsidRPr="002415C2" w:rsidRDefault="002415C2" w:rsidP="002415C2">
            <w:pPr>
              <w:widowControl w:val="0"/>
              <w:rPr>
                <w:color w:val="000000"/>
                <w:sz w:val="20"/>
                <w:szCs w:val="20"/>
              </w:rPr>
            </w:pPr>
            <w:r w:rsidRPr="002415C2">
              <w:rPr>
                <w:color w:val="000000"/>
                <w:sz w:val="20"/>
                <w:szCs w:val="20"/>
              </w:rPr>
              <w:t>DNR-2</w:t>
            </w:r>
          </w:p>
        </w:tc>
        <w:tc>
          <w:tcPr>
            <w:tcW w:w="961" w:type="pct"/>
            <w:noWrap/>
            <w:vAlign w:val="top"/>
          </w:tcPr>
          <w:p w14:paraId="09CE90A9" w14:textId="77777777" w:rsidR="002415C2" w:rsidRPr="002415C2" w:rsidRDefault="002415C2" w:rsidP="002415C2">
            <w:pPr>
              <w:widowControl w:val="0"/>
              <w:cnfStyle w:val="000000000000" w:firstRow="0" w:lastRow="0" w:firstColumn="0" w:lastColumn="0" w:oddVBand="0" w:evenVBand="0" w:oddHBand="0" w:evenHBand="0" w:firstRowFirstColumn="0" w:firstRowLastColumn="0" w:lastRowFirstColumn="0" w:lastRowLastColumn="0"/>
              <w:rPr>
                <w:color w:val="000000"/>
                <w:sz w:val="20"/>
                <w:szCs w:val="20"/>
              </w:rPr>
            </w:pPr>
            <w:r w:rsidRPr="002415C2">
              <w:rPr>
                <w:color w:val="000000"/>
                <w:sz w:val="20"/>
                <w:szCs w:val="20"/>
              </w:rPr>
              <w:t>Week 14</w:t>
            </w:r>
          </w:p>
        </w:tc>
        <w:tc>
          <w:tcPr>
            <w:tcW w:w="679" w:type="pct"/>
            <w:noWrap/>
            <w:vAlign w:val="top"/>
          </w:tcPr>
          <w:p w14:paraId="549063E8" w14:textId="77777777" w:rsidR="002415C2" w:rsidRPr="002415C2" w:rsidRDefault="002415C2" w:rsidP="002415C2">
            <w:pPr>
              <w:widowControl w:val="0"/>
              <w:cnfStyle w:val="000000000000" w:firstRow="0" w:lastRow="0" w:firstColumn="0" w:lastColumn="0" w:oddVBand="0" w:evenVBand="0" w:oddHBand="0" w:evenHBand="0" w:firstRowFirstColumn="0" w:firstRowLastColumn="0" w:lastRowFirstColumn="0" w:lastRowLastColumn="0"/>
              <w:rPr>
                <w:color w:val="000000"/>
                <w:sz w:val="20"/>
                <w:szCs w:val="20"/>
              </w:rPr>
            </w:pPr>
            <w:r w:rsidRPr="002415C2">
              <w:rPr>
                <w:color w:val="000000"/>
                <w:sz w:val="20"/>
                <w:szCs w:val="20"/>
              </w:rPr>
              <w:t>Week 14</w:t>
            </w:r>
          </w:p>
        </w:tc>
        <w:tc>
          <w:tcPr>
            <w:tcW w:w="1506" w:type="pct"/>
            <w:vAlign w:val="top"/>
          </w:tcPr>
          <w:p w14:paraId="4255A42E" w14:textId="77777777" w:rsidR="002415C2" w:rsidRPr="002415C2" w:rsidRDefault="002415C2" w:rsidP="002415C2">
            <w:pPr>
              <w:widowControl w:val="0"/>
              <w:ind w:left="-111" w:right="5"/>
              <w:cnfStyle w:val="000000000000" w:firstRow="0" w:lastRow="0" w:firstColumn="0" w:lastColumn="0" w:oddVBand="0" w:evenVBand="0" w:oddHBand="0" w:evenHBand="0" w:firstRowFirstColumn="0" w:firstRowLastColumn="0" w:lastRowFirstColumn="0" w:lastRowLastColumn="0"/>
              <w:rPr>
                <w:color w:val="000000"/>
                <w:sz w:val="20"/>
                <w:szCs w:val="20"/>
              </w:rPr>
            </w:pPr>
            <w:r w:rsidRPr="002415C2">
              <w:rPr>
                <w:color w:val="000000"/>
                <w:sz w:val="20"/>
                <w:szCs w:val="20"/>
              </w:rPr>
              <w:t xml:space="preserve">Offer all remaining double </w:t>
            </w:r>
            <w:proofErr w:type="spellStart"/>
            <w:r w:rsidRPr="002415C2">
              <w:rPr>
                <w:color w:val="000000"/>
                <w:sz w:val="20"/>
                <w:szCs w:val="20"/>
              </w:rPr>
              <w:t>nonrespondents</w:t>
            </w:r>
            <w:proofErr w:type="spellEnd"/>
            <w:r w:rsidRPr="002415C2">
              <w:rPr>
                <w:color w:val="000000"/>
                <w:sz w:val="20"/>
                <w:szCs w:val="20"/>
              </w:rPr>
              <w:t xml:space="preserve"> $75 incentive and abbreviated interview</w:t>
            </w:r>
          </w:p>
        </w:tc>
        <w:tc>
          <w:tcPr>
            <w:tcW w:w="1457" w:type="pct"/>
            <w:gridSpan w:val="2"/>
            <w:vAlign w:val="top"/>
          </w:tcPr>
          <w:p w14:paraId="6A885DF0" w14:textId="77777777" w:rsidR="002415C2" w:rsidRPr="002415C2" w:rsidRDefault="002415C2" w:rsidP="002415C2">
            <w:pPr>
              <w:widowControl w:val="0"/>
              <w:ind w:left="-36" w:right="-126"/>
              <w:cnfStyle w:val="000000000000" w:firstRow="0" w:lastRow="0" w:firstColumn="0" w:lastColumn="0" w:oddVBand="0" w:evenVBand="0" w:oddHBand="0" w:evenHBand="0" w:firstRowFirstColumn="0" w:firstRowLastColumn="0" w:lastRowFirstColumn="0" w:lastRowLastColumn="0"/>
              <w:rPr>
                <w:color w:val="000000"/>
                <w:sz w:val="20"/>
                <w:szCs w:val="20"/>
              </w:rPr>
            </w:pPr>
            <w:r w:rsidRPr="002415C2">
              <w:rPr>
                <w:color w:val="000000"/>
                <w:sz w:val="20"/>
                <w:szCs w:val="20"/>
              </w:rPr>
              <w:t xml:space="preserve">Offer all remaining double </w:t>
            </w:r>
            <w:proofErr w:type="spellStart"/>
            <w:r w:rsidRPr="002415C2">
              <w:rPr>
                <w:color w:val="000000"/>
                <w:sz w:val="20"/>
                <w:szCs w:val="20"/>
              </w:rPr>
              <w:t>nonrespondents</w:t>
            </w:r>
            <w:proofErr w:type="spellEnd"/>
            <w:r w:rsidRPr="002415C2">
              <w:rPr>
                <w:color w:val="000000"/>
                <w:sz w:val="20"/>
                <w:szCs w:val="20"/>
              </w:rPr>
              <w:t xml:space="preserve"> $75 incentive and abbreviated interview</w:t>
            </w:r>
          </w:p>
        </w:tc>
      </w:tr>
      <w:tr w:rsidR="002415C2" w:rsidRPr="002415C2" w14:paraId="1567225D" w14:textId="77777777" w:rsidTr="00C37F47">
        <w:trPr>
          <w:trHeight w:val="765"/>
        </w:trPr>
        <w:tc>
          <w:tcPr>
            <w:cnfStyle w:val="001000000000" w:firstRow="0" w:lastRow="0" w:firstColumn="1" w:lastColumn="0" w:oddVBand="0" w:evenVBand="0" w:oddHBand="0" w:evenHBand="0" w:firstRowFirstColumn="0" w:firstRowLastColumn="0" w:lastRowFirstColumn="0" w:lastRowLastColumn="0"/>
            <w:tcW w:w="397" w:type="pct"/>
            <w:noWrap/>
            <w:vAlign w:val="top"/>
          </w:tcPr>
          <w:p w14:paraId="71D155F5" w14:textId="77777777" w:rsidR="002415C2" w:rsidRPr="002415C2" w:rsidRDefault="002415C2" w:rsidP="002415C2">
            <w:pPr>
              <w:widowControl w:val="0"/>
              <w:rPr>
                <w:color w:val="000000"/>
                <w:sz w:val="20"/>
                <w:szCs w:val="20"/>
              </w:rPr>
            </w:pPr>
            <w:r w:rsidRPr="002415C2">
              <w:rPr>
                <w:color w:val="000000"/>
                <w:sz w:val="20"/>
                <w:szCs w:val="20"/>
              </w:rPr>
              <w:t>DNR-3</w:t>
            </w:r>
          </w:p>
        </w:tc>
        <w:tc>
          <w:tcPr>
            <w:tcW w:w="961" w:type="pct"/>
            <w:noWrap/>
            <w:vAlign w:val="top"/>
          </w:tcPr>
          <w:p w14:paraId="06DB9F2E" w14:textId="77777777" w:rsidR="002415C2" w:rsidRPr="002415C2" w:rsidRDefault="002415C2" w:rsidP="002415C2">
            <w:pPr>
              <w:widowControl w:val="0"/>
              <w:cnfStyle w:val="000000000000" w:firstRow="0" w:lastRow="0" w:firstColumn="0" w:lastColumn="0" w:oddVBand="0" w:evenVBand="0" w:oddHBand="0" w:evenHBand="0" w:firstRowFirstColumn="0" w:firstRowLastColumn="0" w:lastRowFirstColumn="0" w:lastRowLastColumn="0"/>
              <w:rPr>
                <w:color w:val="000000"/>
                <w:sz w:val="20"/>
                <w:szCs w:val="20"/>
              </w:rPr>
            </w:pPr>
            <w:r w:rsidRPr="002415C2">
              <w:rPr>
                <w:color w:val="000000"/>
                <w:sz w:val="20"/>
                <w:szCs w:val="20"/>
              </w:rPr>
              <w:t>Week TBD</w:t>
            </w:r>
          </w:p>
        </w:tc>
        <w:tc>
          <w:tcPr>
            <w:tcW w:w="679" w:type="pct"/>
            <w:noWrap/>
            <w:vAlign w:val="top"/>
          </w:tcPr>
          <w:p w14:paraId="32764EE6" w14:textId="77777777" w:rsidR="002415C2" w:rsidRPr="002415C2" w:rsidRDefault="002415C2" w:rsidP="002415C2">
            <w:pPr>
              <w:widowControl w:val="0"/>
              <w:cnfStyle w:val="000000000000" w:firstRow="0" w:lastRow="0" w:firstColumn="0" w:lastColumn="0" w:oddVBand="0" w:evenVBand="0" w:oddHBand="0" w:evenHBand="0" w:firstRowFirstColumn="0" w:firstRowLastColumn="0" w:lastRowFirstColumn="0" w:lastRowLastColumn="0"/>
              <w:rPr>
                <w:color w:val="000000"/>
                <w:sz w:val="20"/>
                <w:szCs w:val="20"/>
              </w:rPr>
            </w:pPr>
            <w:r w:rsidRPr="002415C2">
              <w:rPr>
                <w:color w:val="000000"/>
                <w:sz w:val="20"/>
                <w:szCs w:val="20"/>
              </w:rPr>
              <w:t>Week TBD</w:t>
            </w:r>
          </w:p>
        </w:tc>
        <w:tc>
          <w:tcPr>
            <w:tcW w:w="1506" w:type="pct"/>
            <w:vAlign w:val="top"/>
          </w:tcPr>
          <w:p w14:paraId="7FBDA751" w14:textId="77777777" w:rsidR="002415C2" w:rsidRPr="002415C2" w:rsidRDefault="002415C2" w:rsidP="002415C2">
            <w:pPr>
              <w:widowControl w:val="0"/>
              <w:ind w:left="-111" w:right="5"/>
              <w:cnfStyle w:val="000000000000" w:firstRow="0" w:lastRow="0" w:firstColumn="0" w:lastColumn="0" w:oddVBand="0" w:evenVBand="0" w:oddHBand="0" w:evenHBand="0" w:firstRowFirstColumn="0" w:firstRowLastColumn="0" w:lastRowFirstColumn="0" w:lastRowLastColumn="0"/>
              <w:rPr>
                <w:color w:val="000000"/>
                <w:sz w:val="20"/>
                <w:szCs w:val="20"/>
              </w:rPr>
            </w:pPr>
            <w:r w:rsidRPr="002415C2">
              <w:rPr>
                <w:color w:val="000000"/>
                <w:sz w:val="20"/>
                <w:szCs w:val="20"/>
              </w:rPr>
              <w:t xml:space="preserve">Move to passive data collection efforts for all remaining </w:t>
            </w:r>
            <w:proofErr w:type="spellStart"/>
            <w:r w:rsidRPr="002415C2">
              <w:rPr>
                <w:color w:val="000000"/>
                <w:sz w:val="20"/>
                <w:szCs w:val="20"/>
              </w:rPr>
              <w:t>nonrespondents</w:t>
            </w:r>
            <w:proofErr w:type="spellEnd"/>
            <w:r w:rsidRPr="002415C2">
              <w:rPr>
                <w:color w:val="000000"/>
                <w:sz w:val="20"/>
                <w:szCs w:val="20"/>
              </w:rPr>
              <w:t>; time determined bases on sample monitoring</w:t>
            </w:r>
          </w:p>
        </w:tc>
        <w:tc>
          <w:tcPr>
            <w:tcW w:w="1457" w:type="pct"/>
            <w:gridSpan w:val="2"/>
            <w:vAlign w:val="top"/>
          </w:tcPr>
          <w:p w14:paraId="29C8BF7F" w14:textId="77777777" w:rsidR="002415C2" w:rsidRPr="002415C2" w:rsidRDefault="002415C2" w:rsidP="002415C2">
            <w:pPr>
              <w:widowControl w:val="0"/>
              <w:ind w:left="-36" w:right="-126"/>
              <w:cnfStyle w:val="000000000000" w:firstRow="0" w:lastRow="0" w:firstColumn="0" w:lastColumn="0" w:oddVBand="0" w:evenVBand="0" w:oddHBand="0" w:evenHBand="0" w:firstRowFirstColumn="0" w:firstRowLastColumn="0" w:lastRowFirstColumn="0" w:lastRowLastColumn="0"/>
              <w:rPr>
                <w:color w:val="000000"/>
                <w:sz w:val="20"/>
                <w:szCs w:val="20"/>
              </w:rPr>
            </w:pPr>
            <w:r w:rsidRPr="002415C2">
              <w:rPr>
                <w:color w:val="000000"/>
                <w:sz w:val="20"/>
                <w:szCs w:val="20"/>
              </w:rPr>
              <w:t xml:space="preserve">Move to passive data collection efforts for all remaining </w:t>
            </w:r>
            <w:proofErr w:type="spellStart"/>
            <w:r w:rsidRPr="002415C2">
              <w:rPr>
                <w:color w:val="000000"/>
                <w:sz w:val="20"/>
                <w:szCs w:val="20"/>
              </w:rPr>
              <w:t>nonrespondents</w:t>
            </w:r>
            <w:proofErr w:type="spellEnd"/>
            <w:r w:rsidRPr="002415C2">
              <w:rPr>
                <w:color w:val="000000"/>
                <w:sz w:val="20"/>
                <w:szCs w:val="20"/>
              </w:rPr>
              <w:t>; time determined bases on sample monitoring</w:t>
            </w:r>
          </w:p>
        </w:tc>
      </w:tr>
    </w:tbl>
    <w:p w14:paraId="309DF83E" w14:textId="77777777" w:rsidR="002415C2" w:rsidRPr="002415C2" w:rsidRDefault="002415C2" w:rsidP="002415C2">
      <w:pPr>
        <w:widowControl w:val="0"/>
        <w:spacing w:before="240" w:after="60"/>
        <w:rPr>
          <w:rFonts w:ascii="Arial" w:hAnsi="Arial" w:cs="Arial"/>
          <w:b/>
          <w:sz w:val="20"/>
          <w:szCs w:val="20"/>
        </w:rPr>
      </w:pPr>
      <w:proofErr w:type="gramStart"/>
      <w:r w:rsidRPr="002415C2">
        <w:rPr>
          <w:rFonts w:ascii="Arial" w:hAnsi="Arial" w:cs="Arial"/>
          <w:b/>
          <w:sz w:val="20"/>
          <w:szCs w:val="20"/>
        </w:rPr>
        <w:t>Figure 1.</w:t>
      </w:r>
      <w:proofErr w:type="gramEnd"/>
      <w:r w:rsidRPr="002415C2">
        <w:rPr>
          <w:rFonts w:ascii="Arial" w:hAnsi="Arial" w:cs="Arial"/>
          <w:b/>
          <w:sz w:val="20"/>
          <w:szCs w:val="20"/>
        </w:rPr>
        <w:t xml:space="preserve"> Data collection timeline</w:t>
      </w:r>
    </w:p>
    <w:p w14:paraId="37492DAD" w14:textId="77777777" w:rsidR="002415C2" w:rsidRPr="002415C2" w:rsidRDefault="002415C2" w:rsidP="002415C2">
      <w:pPr>
        <w:rPr>
          <w:b/>
        </w:rPr>
      </w:pPr>
      <w:r w:rsidRPr="002415C2">
        <w:rPr>
          <w:b/>
          <w:noProof/>
        </w:rPr>
        <w:drawing>
          <wp:inline distT="0" distB="0" distL="0" distR="0" wp14:anchorId="7BF212F5" wp14:editId="10CE2868">
            <wp:extent cx="5638800" cy="3204138"/>
            <wp:effectExtent l="19050" t="19050" r="19050" b="158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660720" cy="3216594"/>
                    </a:xfrm>
                    <a:prstGeom prst="rect">
                      <a:avLst/>
                    </a:prstGeom>
                    <a:noFill/>
                    <a:ln>
                      <a:solidFill>
                        <a:srgbClr val="4F81BD"/>
                      </a:solidFill>
                    </a:ln>
                  </pic:spPr>
                </pic:pic>
              </a:graphicData>
            </a:graphic>
          </wp:inline>
        </w:drawing>
      </w:r>
    </w:p>
    <w:p w14:paraId="0D6A26CF" w14:textId="77777777" w:rsidR="002415C2" w:rsidRPr="002415C2" w:rsidRDefault="002415C2" w:rsidP="002415C2">
      <w:pPr>
        <w:spacing w:before="240" w:after="120"/>
      </w:pPr>
      <w:r w:rsidRPr="002415C2">
        <w:rPr>
          <w:b/>
        </w:rPr>
        <w:lastRenderedPageBreak/>
        <w:t>Evaluation of the BPS</w:t>
      </w:r>
      <w:proofErr w:type="gramStart"/>
      <w:r w:rsidRPr="002415C2">
        <w:rPr>
          <w:b/>
        </w:rPr>
        <w:t>:12</w:t>
      </w:r>
      <w:proofErr w:type="gramEnd"/>
      <w:r w:rsidRPr="002415C2">
        <w:rPr>
          <w:b/>
        </w:rPr>
        <w:t>/17 Responsive Design Effort.</w:t>
      </w:r>
      <w:r w:rsidRPr="002415C2">
        <w:rPr>
          <w:b/>
          <w:bCs/>
          <w:i/>
          <w:iCs/>
        </w:rPr>
        <w:t xml:space="preserve"> </w:t>
      </w:r>
      <w:r w:rsidRPr="002415C2">
        <w:t xml:space="preserve">The analysis plan is based upon two premises: (1) </w:t>
      </w:r>
      <w:r w:rsidRPr="002415C2">
        <w:rPr>
          <w:color w:val="000000" w:themeColor="text1"/>
          <w:szCs w:val="20"/>
        </w:rPr>
        <w:t>offering special interventions to some, targeted, sample members will increase participation in the aggregate for those sample members and (2) increasing participation among the targeted sample members will produce estimates with lower bias than if no targeting were implemented.</w:t>
      </w:r>
      <w:r w:rsidRPr="002415C2">
        <w:t xml:space="preserve"> In an effort to maximize the utility of this research, the analysis of the responsive design and its implementation will be described in a technical report that includes these two topics and their related hypotheses described below. We intend to examine these aspects of the BPS</w:t>
      </w:r>
      <w:proofErr w:type="gramStart"/>
      <w:r w:rsidRPr="002415C2">
        <w:t>:12</w:t>
      </w:r>
      <w:proofErr w:type="gramEnd"/>
      <w:r w:rsidRPr="002415C2">
        <w:t>/17 responsive design and its implementation as follows:</w:t>
      </w:r>
    </w:p>
    <w:p w14:paraId="3C5F8853" w14:textId="77777777" w:rsidR="002415C2" w:rsidRPr="002415C2" w:rsidRDefault="002415C2" w:rsidP="002415C2">
      <w:pPr>
        <w:numPr>
          <w:ilvl w:val="0"/>
          <w:numId w:val="13"/>
        </w:numPr>
        <w:spacing w:before="120" w:after="120"/>
        <w:rPr>
          <w:i/>
          <w:iCs/>
        </w:rPr>
      </w:pPr>
      <w:r w:rsidRPr="002415C2">
        <w:rPr>
          <w:i/>
          <w:iCs/>
        </w:rPr>
        <w:t>Evaluate the effectiveness of the calibration samples in identifying optimal intervention approaches to increase participation.</w:t>
      </w:r>
    </w:p>
    <w:p w14:paraId="37FDA9AD" w14:textId="77777777" w:rsidR="002415C2" w:rsidRPr="002415C2" w:rsidRDefault="002415C2" w:rsidP="002415C2">
      <w:pPr>
        <w:spacing w:before="120" w:after="120"/>
      </w:pPr>
      <w:r w:rsidRPr="002415C2">
        <w:t>A key component of the BPS</w:t>
      </w:r>
      <w:proofErr w:type="gramStart"/>
      <w:r w:rsidRPr="002415C2">
        <w:t>:12</w:t>
      </w:r>
      <w:proofErr w:type="gramEnd"/>
      <w:r w:rsidRPr="002415C2">
        <w:t xml:space="preserve">/17 responsive design is the effectiveness of the changes in survey protocol for increasing participation. The two calibration experiments examine the impact of proposed features – a pre-paid PayPal offer for previous respondents and two special protocols for double </w:t>
      </w:r>
      <w:proofErr w:type="spellStart"/>
      <w:r w:rsidRPr="002415C2">
        <w:t>nonrespondents</w:t>
      </w:r>
      <w:proofErr w:type="spellEnd"/>
      <w:r w:rsidRPr="002415C2">
        <w:t>.</w:t>
      </w:r>
    </w:p>
    <w:p w14:paraId="19631D4E" w14:textId="77777777" w:rsidR="002415C2" w:rsidRPr="002415C2" w:rsidRDefault="002415C2" w:rsidP="002415C2">
      <w:pPr>
        <w:spacing w:before="120" w:after="120"/>
      </w:pPr>
      <w:r w:rsidRPr="002415C2">
        <w:t xml:space="preserve">Evaluation of the experiments with calibration samples will occur during data collection so that findings can be implemented in the main sample data collection. Approximately six weeks after the start of data collection for the calibration sample, response rates for the calibration </w:t>
      </w:r>
      <w:r w:rsidRPr="002415C2">
        <w:rPr>
          <w:i/>
        </w:rPr>
        <w:t xml:space="preserve">pre-paid offer </w:t>
      </w:r>
      <w:r w:rsidRPr="002415C2">
        <w:t xml:space="preserve">group versus the </w:t>
      </w:r>
      <w:r w:rsidRPr="002415C2">
        <w:rPr>
          <w:i/>
        </w:rPr>
        <w:t>no pre-paid offer</w:t>
      </w:r>
      <w:r w:rsidRPr="002415C2">
        <w:t xml:space="preserve"> group for previous respondents will be compared using a Pearson chi-square test. Similarly the double </w:t>
      </w:r>
      <w:proofErr w:type="spellStart"/>
      <w:r w:rsidRPr="002415C2">
        <w:t>nonrespondent</w:t>
      </w:r>
      <w:proofErr w:type="spellEnd"/>
      <w:r w:rsidRPr="002415C2">
        <w:t xml:space="preserve"> group receiving the abbreviated interview plus the total $30 offer will be compared to the group receiving the abbreviated interview plus the total $75 offer.</w:t>
      </w:r>
    </w:p>
    <w:p w14:paraId="0A67E972" w14:textId="77777777" w:rsidR="002415C2" w:rsidRPr="002415C2" w:rsidRDefault="002415C2" w:rsidP="002415C2">
      <w:pPr>
        <w:numPr>
          <w:ilvl w:val="0"/>
          <w:numId w:val="13"/>
        </w:numPr>
        <w:spacing w:before="120" w:after="120"/>
        <w:rPr>
          <w:i/>
          <w:iCs/>
        </w:rPr>
      </w:pPr>
      <w:r w:rsidRPr="002415C2">
        <w:rPr>
          <w:i/>
          <w:iCs/>
        </w:rPr>
        <w:t>Evaluate sector group level models used to target cases for special interventions</w:t>
      </w:r>
    </w:p>
    <w:p w14:paraId="4F735F0E" w14:textId="77777777" w:rsidR="002415C2" w:rsidRPr="002415C2" w:rsidRDefault="002415C2" w:rsidP="002415C2">
      <w:pPr>
        <w:spacing w:before="120" w:after="120"/>
      </w:pPr>
      <w:r w:rsidRPr="002415C2">
        <w:t>To maximize the effectiveness of the BPS</w:t>
      </w:r>
      <w:proofErr w:type="gramStart"/>
      <w:r w:rsidRPr="002415C2">
        <w:t>:12</w:t>
      </w:r>
      <w:proofErr w:type="gramEnd"/>
      <w:r w:rsidRPr="002415C2">
        <w:t>/17 responsive design approach, targeted cases need to be associated with survey responses that are underrepresented among the respondents, and the targeted groups need to be large enough to change observed estimates. In addition to assessing model fit metrics and the effective identification of cases contributing to nonresponse bias for each of the models used in the importance score calculation, the distributions of the targeted cases will be reviewed for key variables, overall and within sector, prior to identifying final targeted cases. Again, these key variables include base-year survey responses, institution characteristics, and sampling frame information as shown in table 7. During data collection, these reviews will help ensure that the cases most likely to decrease bias are targeted and that project resources are used efficiently. After data collection, similar summaries will be used to describe the composition of the targeted cases along dimensions of interest.</w:t>
      </w:r>
    </w:p>
    <w:p w14:paraId="18126F1C" w14:textId="77777777" w:rsidR="002415C2" w:rsidRPr="002415C2" w:rsidRDefault="002415C2" w:rsidP="002415C2">
      <w:pPr>
        <w:spacing w:before="120" w:after="120"/>
      </w:pPr>
      <w:r w:rsidRPr="002415C2">
        <w:t xml:space="preserve">The importance score used to select targeted cases will be calculated based on both the nonresponse bias potential and on an </w:t>
      </w:r>
      <w:r w:rsidRPr="002415C2">
        <w:rPr>
          <w:i/>
        </w:rPr>
        <w:t>a priori</w:t>
      </w:r>
      <w:r w:rsidRPr="002415C2">
        <w:t xml:space="preserve"> response propensity score. To evaluate how well the response propensity measure predicted actual response, we will compare the predicted response rates to observed response rates at the conclusion of data collection. These comparisons will be made at the sector group level as well as in aggregate.</w:t>
      </w:r>
    </w:p>
    <w:p w14:paraId="163D428B" w14:textId="77777777" w:rsidR="002415C2" w:rsidRPr="002415C2" w:rsidRDefault="002415C2" w:rsidP="002415C2">
      <w:pPr>
        <w:widowControl w:val="0"/>
        <w:numPr>
          <w:ilvl w:val="0"/>
          <w:numId w:val="13"/>
        </w:numPr>
        <w:spacing w:before="120" w:after="120"/>
        <w:rPr>
          <w:i/>
          <w:iCs/>
        </w:rPr>
      </w:pPr>
      <w:r w:rsidRPr="002415C2">
        <w:rPr>
          <w:i/>
          <w:iCs/>
        </w:rPr>
        <w:t>Evaluate the ability of the targeted interventions to reduce unit nonresponse bias through increased participation.</w:t>
      </w:r>
    </w:p>
    <w:p w14:paraId="472E78E8" w14:textId="77777777" w:rsidR="002415C2" w:rsidRPr="002415C2" w:rsidRDefault="002415C2" w:rsidP="002415C2">
      <w:pPr>
        <w:widowControl w:val="0"/>
        <w:spacing w:before="120" w:after="120"/>
      </w:pPr>
      <w:r w:rsidRPr="002415C2">
        <w:t>To test the impact of the targeted interventions to reduce nonresponse bias versus not targeting for interventions, we require a set of similar cases that are held aside from the targeting process. A random subset of all sample members will be pulled aside as a control sample that is not eligible for intervention targeting. The remaining sample member cases will be referred to as the treatment sample and the targeting methods will be applied to that group. Sample members will be randomly assigned to the control group within each of the five sector groups. In all, the control group will be composed of 3,615 individuals (723 per sector group) who form nearly 11 percent of the total fielded sample.</w:t>
      </w:r>
    </w:p>
    <w:p w14:paraId="5CE12EC7" w14:textId="77777777" w:rsidR="002415C2" w:rsidRPr="002415C2" w:rsidRDefault="002415C2" w:rsidP="002415C2">
      <w:pPr>
        <w:widowControl w:val="0"/>
        <w:spacing w:before="120" w:after="120"/>
      </w:pPr>
      <w:r w:rsidRPr="002415C2">
        <w:t xml:space="preserve">For evaluation purposes, the targeted interventions will be the only difference between the control and treatment samples. Therefore both the control and treatment samples will consist of previous round respondents and double </w:t>
      </w:r>
      <w:proofErr w:type="spellStart"/>
      <w:r w:rsidRPr="002415C2">
        <w:t>nonrespondents</w:t>
      </w:r>
      <w:proofErr w:type="spellEnd"/>
      <w:r w:rsidRPr="002415C2">
        <w:t>, and they will both be involved in the calibration samples and will both follow the same data collection timelines.</w:t>
      </w:r>
    </w:p>
    <w:p w14:paraId="45CC619C" w14:textId="77777777" w:rsidR="002415C2" w:rsidRPr="002415C2" w:rsidRDefault="002415C2" w:rsidP="002415C2">
      <w:pPr>
        <w:widowControl w:val="0"/>
        <w:spacing w:before="120" w:after="120"/>
      </w:pPr>
      <w:r w:rsidRPr="002415C2">
        <w:lastRenderedPageBreak/>
        <w:t>The frame, administrative, and prior-round data used in determining cases to target for unit nonresponse bias reduction can, in turn, be used to evaluate (1) unit nonresponse bias in the final estimates and (2) changes in unit nonresponse bias over the course of data collection. Unweighted and weighted (using design weights) estimates of absolute nonresponse bias will be computed for each variable used in the models:</w:t>
      </w:r>
    </w:p>
    <w:p w14:paraId="4CC964EE" w14:textId="77777777" w:rsidR="002415C2" w:rsidRPr="002415C2" w:rsidRDefault="002415C2" w:rsidP="002415C2">
      <w:pPr>
        <w:widowControl w:val="0"/>
        <w:spacing w:before="120" w:after="120"/>
        <w:jc w:val="center"/>
      </w:pPr>
      <w:r w:rsidRPr="002415C2">
        <w:rPr>
          <w:noProof/>
        </w:rPr>
        <w:drawing>
          <wp:inline distT="0" distB="0" distL="0" distR="0" wp14:anchorId="4FF0EABB" wp14:editId="6869F6AD">
            <wp:extent cx="514422" cy="238158"/>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bsbias.png"/>
                    <pic:cNvPicPr/>
                  </pic:nvPicPr>
                  <pic:blipFill>
                    <a:blip r:embed="rId18">
                      <a:extLst>
                        <a:ext uri="{28A0092B-C50C-407E-A947-70E740481C1C}">
                          <a14:useLocalDpi xmlns:a14="http://schemas.microsoft.com/office/drawing/2010/main" val="0"/>
                        </a:ext>
                      </a:extLst>
                    </a:blip>
                    <a:stretch>
                      <a:fillRect/>
                    </a:stretch>
                  </pic:blipFill>
                  <pic:spPr>
                    <a:xfrm>
                      <a:off x="0" y="0"/>
                      <a:ext cx="514422" cy="238158"/>
                    </a:xfrm>
                    <a:prstGeom prst="rect">
                      <a:avLst/>
                    </a:prstGeom>
                  </pic:spPr>
                </pic:pic>
              </a:graphicData>
            </a:graphic>
          </wp:inline>
        </w:drawing>
      </w:r>
    </w:p>
    <w:p w14:paraId="6531CE55" w14:textId="77777777" w:rsidR="002415C2" w:rsidRPr="002415C2" w:rsidRDefault="002415C2" w:rsidP="002415C2">
      <w:pPr>
        <w:widowControl w:val="0"/>
        <w:spacing w:before="120" w:after="120"/>
        <w:rPr>
          <w:iCs/>
        </w:rPr>
      </w:pPr>
      <w:proofErr w:type="gramStart"/>
      <w:r w:rsidRPr="002415C2">
        <w:rPr>
          <w:iCs/>
        </w:rPr>
        <w:t>where</w:t>
      </w:r>
      <w:proofErr w:type="gramEnd"/>
      <w:r w:rsidRPr="002415C2">
        <w:rPr>
          <w:iCs/>
        </w:rPr>
        <w:t xml:space="preserve"> </w:t>
      </w:r>
      <w:r w:rsidRPr="002415C2">
        <w:rPr>
          <w:i/>
          <w:noProof/>
        </w:rPr>
        <w:drawing>
          <wp:inline distT="0" distB="0" distL="0" distR="0" wp14:anchorId="44293685" wp14:editId="7C1D66D4">
            <wp:extent cx="182880" cy="224699"/>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2880" cy="224699"/>
                    </a:xfrm>
                    <a:prstGeom prst="rect">
                      <a:avLst/>
                    </a:prstGeom>
                    <a:noFill/>
                    <a:ln>
                      <a:noFill/>
                    </a:ln>
                  </pic:spPr>
                </pic:pic>
              </a:graphicData>
            </a:graphic>
          </wp:inline>
        </w:drawing>
      </w:r>
      <w:r w:rsidRPr="002415C2">
        <w:rPr>
          <w:i/>
          <w:iCs/>
        </w:rPr>
        <w:t> </w:t>
      </w:r>
      <w:r w:rsidRPr="002415C2">
        <w:rPr>
          <w:iCs/>
        </w:rPr>
        <w:t>is the respondent mean and</w:t>
      </w:r>
      <w:r w:rsidRPr="002415C2">
        <w:rPr>
          <w:i/>
          <w:iCs/>
        </w:rPr>
        <w:t xml:space="preserve"> </w:t>
      </w:r>
      <w:r w:rsidRPr="002415C2">
        <w:rPr>
          <w:i/>
          <w:noProof/>
        </w:rPr>
        <w:drawing>
          <wp:inline distT="0" distB="0" distL="0" distR="0" wp14:anchorId="0EFEBD0B" wp14:editId="5DA7035F">
            <wp:extent cx="186055" cy="2286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6055" cy="228600"/>
                    </a:xfrm>
                    <a:prstGeom prst="rect">
                      <a:avLst/>
                    </a:prstGeom>
                    <a:noFill/>
                    <a:ln>
                      <a:noFill/>
                    </a:ln>
                  </pic:spPr>
                </pic:pic>
              </a:graphicData>
            </a:graphic>
          </wp:inline>
        </w:drawing>
      </w:r>
      <w:r w:rsidRPr="002415C2">
        <w:rPr>
          <w:i/>
          <w:iCs/>
        </w:rPr>
        <w:t> </w:t>
      </w:r>
      <w:r w:rsidRPr="002415C2">
        <w:rPr>
          <w:iCs/>
        </w:rPr>
        <w:t>is the full sample mean. Bias estimates will be calculated separately for treatment and control groups and statistically compared under the hypothesis that treatment interventions yields estimates with lower bias.</w:t>
      </w:r>
    </w:p>
    <w:p w14:paraId="42C584D8" w14:textId="77777777" w:rsidR="002415C2" w:rsidRPr="002415C2" w:rsidRDefault="002415C2" w:rsidP="002415C2">
      <w:pPr>
        <w:widowControl w:val="0"/>
        <w:spacing w:before="120" w:after="120"/>
        <w:outlineLvl w:val="3"/>
        <w:rPr>
          <w:bCs/>
        </w:rPr>
      </w:pPr>
      <w:r w:rsidRPr="002415C2">
        <w:rPr>
          <w:bCs/>
          <w:i/>
        </w:rPr>
        <w:t>BPS</w:t>
      </w:r>
      <w:proofErr w:type="gramStart"/>
      <w:r w:rsidRPr="002415C2">
        <w:rPr>
          <w:bCs/>
          <w:i/>
        </w:rPr>
        <w:t>:12</w:t>
      </w:r>
      <w:proofErr w:type="gramEnd"/>
      <w:r w:rsidRPr="002415C2">
        <w:rPr>
          <w:bCs/>
          <w:i/>
        </w:rPr>
        <w:t xml:space="preserve">/17 Responsive Design Research Questions. </w:t>
      </w:r>
      <w:r w:rsidRPr="002415C2">
        <w:rPr>
          <w:bCs/>
        </w:rPr>
        <w:t>With the assumption that increasing the rate of response among targeted, underrepresented cases will reduce nonresponse bias, the BPS</w:t>
      </w:r>
      <w:proofErr w:type="gramStart"/>
      <w:r w:rsidRPr="002415C2">
        <w:rPr>
          <w:bCs/>
        </w:rPr>
        <w:t>:12</w:t>
      </w:r>
      <w:proofErr w:type="gramEnd"/>
      <w:r w:rsidRPr="002415C2">
        <w:rPr>
          <w:bCs/>
        </w:rPr>
        <w:t>/17 responsive design experiment will explore the following research questions which may be stated in terms of a null hypothesis as follows:</w:t>
      </w:r>
    </w:p>
    <w:p w14:paraId="2E8636E0" w14:textId="77777777" w:rsidR="002415C2" w:rsidRPr="002415C2" w:rsidRDefault="002415C2" w:rsidP="002415C2">
      <w:pPr>
        <w:widowControl w:val="0"/>
        <w:numPr>
          <w:ilvl w:val="0"/>
          <w:numId w:val="21"/>
        </w:numPr>
        <w:spacing w:before="120" w:after="120"/>
      </w:pPr>
      <w:r w:rsidRPr="002415C2">
        <w:rPr>
          <w:szCs w:val="20"/>
          <w:u w:val="single"/>
        </w:rPr>
        <w:t>Research question 1</w:t>
      </w:r>
      <w:r w:rsidRPr="002415C2">
        <w:rPr>
          <w:szCs w:val="20"/>
        </w:rPr>
        <w:t xml:space="preserve">: </w:t>
      </w:r>
      <w:r w:rsidRPr="002415C2">
        <w:t xml:space="preserve">Did the </w:t>
      </w:r>
      <w:r w:rsidRPr="002415C2">
        <w:rPr>
          <w:i/>
        </w:rPr>
        <w:t>a priori</w:t>
      </w:r>
      <w:r w:rsidRPr="002415C2">
        <w:t xml:space="preserve"> response propensity model predict overall unweighted BPS</w:t>
      </w:r>
      <w:proofErr w:type="gramStart"/>
      <w:r w:rsidRPr="002415C2">
        <w:t>:12</w:t>
      </w:r>
      <w:proofErr w:type="gramEnd"/>
      <w:r w:rsidRPr="002415C2">
        <w:t>/17 response?</w:t>
      </w:r>
    </w:p>
    <w:p w14:paraId="6DF3F222" w14:textId="77777777" w:rsidR="002415C2" w:rsidRPr="002415C2" w:rsidRDefault="002415C2" w:rsidP="002415C2">
      <w:pPr>
        <w:widowControl w:val="0"/>
        <w:numPr>
          <w:ilvl w:val="1"/>
          <w:numId w:val="21"/>
        </w:numPr>
        <w:spacing w:before="120" w:after="120"/>
      </w:pPr>
      <w:r w:rsidRPr="002415C2">
        <w:t>H</w:t>
      </w:r>
      <w:r w:rsidRPr="002415C2">
        <w:rPr>
          <w:vertAlign w:val="subscript"/>
        </w:rPr>
        <w:t>0</w:t>
      </w:r>
      <w:r w:rsidRPr="002415C2">
        <w:t xml:space="preserve">: At the end of data collection, there will be no association between </w:t>
      </w:r>
      <w:r w:rsidRPr="002415C2">
        <w:rPr>
          <w:i/>
        </w:rPr>
        <w:t>a priori</w:t>
      </w:r>
      <w:r w:rsidRPr="002415C2">
        <w:t xml:space="preserve"> propensity predictions and observed response rates.</w:t>
      </w:r>
    </w:p>
    <w:p w14:paraId="429CFC7C" w14:textId="77777777" w:rsidR="002415C2" w:rsidRPr="002415C2" w:rsidRDefault="002415C2" w:rsidP="002415C2">
      <w:pPr>
        <w:widowControl w:val="0"/>
        <w:numPr>
          <w:ilvl w:val="0"/>
          <w:numId w:val="21"/>
        </w:numPr>
        <w:spacing w:before="120" w:after="120"/>
        <w:rPr>
          <w:u w:val="single"/>
        </w:rPr>
      </w:pPr>
      <w:r w:rsidRPr="002415C2">
        <w:rPr>
          <w:u w:val="single"/>
        </w:rPr>
        <w:t>Research question 2</w:t>
      </w:r>
      <w:r w:rsidRPr="002415C2">
        <w:t xml:space="preserve">: Does one special protocol increase response rates for double </w:t>
      </w:r>
      <w:proofErr w:type="spellStart"/>
      <w:r w:rsidRPr="002415C2">
        <w:t>nonrespondents</w:t>
      </w:r>
      <w:proofErr w:type="spellEnd"/>
      <w:r w:rsidRPr="002415C2">
        <w:t xml:space="preserve"> versus the other protocol?</w:t>
      </w:r>
    </w:p>
    <w:p w14:paraId="1B8EFDE3" w14:textId="77777777" w:rsidR="002415C2" w:rsidRPr="002415C2" w:rsidRDefault="002415C2" w:rsidP="002415C2">
      <w:pPr>
        <w:widowControl w:val="0"/>
        <w:numPr>
          <w:ilvl w:val="1"/>
          <w:numId w:val="21"/>
        </w:numPr>
        <w:spacing w:before="120" w:after="120"/>
      </w:pPr>
      <w:r w:rsidRPr="002415C2">
        <w:t>H</w:t>
      </w:r>
      <w:r w:rsidRPr="002415C2">
        <w:rPr>
          <w:vertAlign w:val="subscript"/>
        </w:rPr>
        <w:t>0</w:t>
      </w:r>
      <w:r w:rsidRPr="002415C2">
        <w:t xml:space="preserve">: At the end of the double </w:t>
      </w:r>
      <w:proofErr w:type="spellStart"/>
      <w:r w:rsidRPr="002415C2">
        <w:t>nonrespondent</w:t>
      </w:r>
      <w:proofErr w:type="spellEnd"/>
      <w:r w:rsidRPr="002415C2">
        <w:t xml:space="preserve"> calibration sample, there will be no difference in response rates between a $75 baseline offer along with a full interview and a $30 baseline offer along with an abbreviated interview.</w:t>
      </w:r>
    </w:p>
    <w:p w14:paraId="57AEA2F6" w14:textId="77777777" w:rsidR="002415C2" w:rsidRPr="002415C2" w:rsidRDefault="002415C2" w:rsidP="002415C2">
      <w:pPr>
        <w:widowControl w:val="0"/>
        <w:numPr>
          <w:ilvl w:val="0"/>
          <w:numId w:val="21"/>
        </w:numPr>
        <w:spacing w:before="120" w:after="120"/>
        <w:rPr>
          <w:u w:val="single"/>
        </w:rPr>
      </w:pPr>
      <w:r w:rsidRPr="002415C2">
        <w:rPr>
          <w:u w:val="single"/>
        </w:rPr>
        <w:t>Research question 3</w:t>
      </w:r>
      <w:r w:rsidRPr="002415C2">
        <w:t>: Does a $10 pre-paid PayPal offer increase early response rates?</w:t>
      </w:r>
    </w:p>
    <w:p w14:paraId="61AEABBB" w14:textId="77777777" w:rsidR="002415C2" w:rsidRPr="002415C2" w:rsidRDefault="002415C2" w:rsidP="002415C2">
      <w:pPr>
        <w:widowControl w:val="0"/>
        <w:numPr>
          <w:ilvl w:val="1"/>
          <w:numId w:val="21"/>
        </w:numPr>
        <w:spacing w:before="120" w:after="120"/>
      </w:pPr>
      <w:r w:rsidRPr="002415C2">
        <w:t>H</w:t>
      </w:r>
      <w:r w:rsidRPr="002415C2">
        <w:rPr>
          <w:vertAlign w:val="subscript"/>
        </w:rPr>
        <w:t>0</w:t>
      </w:r>
      <w:r w:rsidRPr="002415C2">
        <w:t>: At the end of the previous respondent calibration sample, there will be no difference in response rates between cases that receive a $10 pre-paid PayPal offer and those that do not.</w:t>
      </w:r>
    </w:p>
    <w:p w14:paraId="04FF0226" w14:textId="77777777" w:rsidR="002415C2" w:rsidRPr="002415C2" w:rsidRDefault="002415C2" w:rsidP="002415C2">
      <w:pPr>
        <w:widowControl w:val="0"/>
        <w:numPr>
          <w:ilvl w:val="0"/>
          <w:numId w:val="21"/>
        </w:numPr>
        <w:spacing w:before="120" w:after="120"/>
      </w:pPr>
      <w:r w:rsidRPr="002415C2">
        <w:rPr>
          <w:u w:val="single"/>
        </w:rPr>
        <w:t>Research question 4</w:t>
      </w:r>
      <w:r w:rsidRPr="002415C2">
        <w:t>: Are targeted respondents different from non-targeted respondents on key variables?</w:t>
      </w:r>
    </w:p>
    <w:p w14:paraId="46021DC8" w14:textId="77777777" w:rsidR="002415C2" w:rsidRPr="002415C2" w:rsidRDefault="002415C2" w:rsidP="002415C2">
      <w:pPr>
        <w:widowControl w:val="0"/>
        <w:numPr>
          <w:ilvl w:val="1"/>
          <w:numId w:val="21"/>
        </w:numPr>
        <w:spacing w:before="120" w:after="120"/>
      </w:pPr>
      <w:r w:rsidRPr="002415C2">
        <w:t>H</w:t>
      </w:r>
      <w:r w:rsidRPr="002415C2">
        <w:rPr>
          <w:vertAlign w:val="subscript"/>
        </w:rPr>
        <w:t>0</w:t>
      </w:r>
      <w:r w:rsidRPr="002415C2">
        <w:t xml:space="preserve">: Right before the two targeted </w:t>
      </w:r>
      <w:proofErr w:type="gramStart"/>
      <w:r w:rsidRPr="002415C2">
        <w:t>interventions,</w:t>
      </w:r>
      <w:proofErr w:type="gramEnd"/>
      <w:r w:rsidRPr="002415C2">
        <w:t xml:space="preserve"> and the end of data collection, there will be no difference between targeted respondents and non-targeted and never-targeted respondents in weighted or unweighted estimates of key variables not included in the importance score calculation.</w:t>
      </w:r>
    </w:p>
    <w:p w14:paraId="5A3D616A" w14:textId="77777777" w:rsidR="002415C2" w:rsidRPr="002415C2" w:rsidRDefault="002415C2" w:rsidP="002415C2">
      <w:pPr>
        <w:widowControl w:val="0"/>
        <w:numPr>
          <w:ilvl w:val="0"/>
          <w:numId w:val="21"/>
        </w:numPr>
        <w:spacing w:before="120" w:after="120"/>
      </w:pPr>
      <w:r w:rsidRPr="002415C2">
        <w:rPr>
          <w:u w:val="single"/>
        </w:rPr>
        <w:t>Research question 5</w:t>
      </w:r>
      <w:r w:rsidRPr="002415C2">
        <w:t>: Did targeted cases respond at higher rates than non-targeted cases?</w:t>
      </w:r>
    </w:p>
    <w:p w14:paraId="7FCEFE97" w14:textId="77777777" w:rsidR="002415C2" w:rsidRPr="002415C2" w:rsidRDefault="002415C2" w:rsidP="002415C2">
      <w:pPr>
        <w:widowControl w:val="0"/>
        <w:numPr>
          <w:ilvl w:val="1"/>
          <w:numId w:val="21"/>
        </w:numPr>
        <w:spacing w:before="120" w:after="120"/>
      </w:pPr>
      <w:r w:rsidRPr="002415C2">
        <w:t>H</w:t>
      </w:r>
      <w:r w:rsidRPr="002415C2">
        <w:rPr>
          <w:vertAlign w:val="subscript"/>
        </w:rPr>
        <w:t>0</w:t>
      </w:r>
      <w:r w:rsidRPr="002415C2">
        <w:t>: At the end of the targeted interventions, and at the end of data collection, there will be no difference in weighted or unweighted response rates between the treatment sample and the control sample.</w:t>
      </w:r>
    </w:p>
    <w:p w14:paraId="4309D3F4" w14:textId="77777777" w:rsidR="002415C2" w:rsidRPr="002415C2" w:rsidRDefault="002415C2" w:rsidP="002415C2">
      <w:pPr>
        <w:widowControl w:val="0"/>
        <w:numPr>
          <w:ilvl w:val="0"/>
          <w:numId w:val="21"/>
        </w:numPr>
        <w:spacing w:before="120" w:after="120"/>
      </w:pPr>
      <w:r w:rsidRPr="002415C2">
        <w:rPr>
          <w:u w:val="single"/>
        </w:rPr>
        <w:t>Research question 6</w:t>
      </w:r>
      <w:r w:rsidRPr="002415C2">
        <w:t>: Did conversion of targeted cases reduce unit nonresponse bias?</w:t>
      </w:r>
    </w:p>
    <w:p w14:paraId="6B14FD19" w14:textId="77777777" w:rsidR="002415C2" w:rsidRPr="002415C2" w:rsidRDefault="002415C2" w:rsidP="002415C2">
      <w:pPr>
        <w:widowControl w:val="0"/>
        <w:numPr>
          <w:ilvl w:val="1"/>
          <w:numId w:val="21"/>
        </w:numPr>
        <w:spacing w:before="120" w:after="120"/>
      </w:pPr>
      <w:r w:rsidRPr="002415C2">
        <w:t>H</w:t>
      </w:r>
      <w:r w:rsidRPr="002415C2">
        <w:rPr>
          <w:vertAlign w:val="subscript"/>
        </w:rPr>
        <w:t>0</w:t>
      </w:r>
      <w:r w:rsidRPr="002415C2">
        <w:t>: At the end of data collection, there will be no difference in absolute nonresponse bias of key estimates between the treatment and control samples.</w:t>
      </w:r>
    </w:p>
    <w:p w14:paraId="1F3E9089" w14:textId="77777777" w:rsidR="002415C2" w:rsidRPr="002415C2" w:rsidRDefault="002415C2" w:rsidP="002415C2">
      <w:pPr>
        <w:spacing w:before="120" w:after="120"/>
      </w:pPr>
      <w:proofErr w:type="gramStart"/>
      <w:r w:rsidRPr="002415C2">
        <w:rPr>
          <w:b/>
        </w:rPr>
        <w:t>Power calculations.</w:t>
      </w:r>
      <w:proofErr w:type="gramEnd"/>
      <w:r w:rsidRPr="002415C2">
        <w:t xml:space="preserve"> The first step in the power analysis was to determine the number of sample members to allocate to the control and treatment groups. For each of the five institution sector groups, 723 sample members will be randomly selected into the control group that will not be exposed to any targeted interventions. The remaining sample within each sector group will be assigned to the treatment group. We will then compare absolute measures of bias between the treatment and control groups under the hypothesis </w:t>
      </w:r>
      <w:r w:rsidRPr="002415C2">
        <w:lastRenderedPageBreak/>
        <w:t>that the treatments, that is, the targeted interventions, reduce absolute bias. As we will be comparing absolute bias estimates, which range between zero and one, a power analysis was conducted using a one-sided, two-group chi-square test of equal proportions with unequal sample sizes in each group. The absolute bias estimates will be weighted and statistical comparisons will take into account the underlying BPS</w:t>
      </w:r>
      <w:proofErr w:type="gramStart"/>
      <w:r w:rsidRPr="002415C2">
        <w:t>:12</w:t>
      </w:r>
      <w:proofErr w:type="gramEnd"/>
      <w:r w:rsidRPr="002415C2">
        <w:t>/17 sampling design; therefore, the power analysis assumes a relatively conservative design effect of 3. Table 11 shows the resulting power based on different assumptions for the base absolute bias estimates.</w:t>
      </w:r>
    </w:p>
    <w:p w14:paraId="3E3B9357" w14:textId="77777777" w:rsidR="002415C2" w:rsidRPr="002415C2" w:rsidRDefault="002415C2" w:rsidP="002415C2">
      <w:pPr>
        <w:keepNext/>
        <w:spacing w:before="120" w:after="60"/>
        <w:ind w:left="994" w:hanging="994"/>
        <w:rPr>
          <w:rFonts w:ascii="Arial" w:hAnsi="Arial"/>
          <w:b/>
          <w:sz w:val="20"/>
          <w:szCs w:val="20"/>
        </w:rPr>
      </w:pPr>
      <w:bookmarkStart w:id="14" w:name="_Toc456167114"/>
      <w:proofErr w:type="gramStart"/>
      <w:r w:rsidRPr="002415C2">
        <w:rPr>
          <w:rFonts w:ascii="Arial" w:hAnsi="Arial"/>
          <w:b/>
          <w:sz w:val="20"/>
          <w:szCs w:val="20"/>
        </w:rPr>
        <w:t>Table 11.</w:t>
      </w:r>
      <w:proofErr w:type="gramEnd"/>
      <w:r w:rsidRPr="002415C2">
        <w:rPr>
          <w:rFonts w:ascii="Arial" w:hAnsi="Arial"/>
          <w:b/>
          <w:sz w:val="20"/>
          <w:szCs w:val="20"/>
        </w:rPr>
        <w:t xml:space="preserve"> Power for control versus treatment comparisons across multiple assumptions</w:t>
      </w:r>
      <w:bookmarkEnd w:id="14"/>
    </w:p>
    <w:tbl>
      <w:tblPr>
        <w:tblW w:w="10170" w:type="dxa"/>
        <w:tblLayout w:type="fixed"/>
        <w:tblLook w:val="04A0" w:firstRow="1" w:lastRow="0" w:firstColumn="1" w:lastColumn="0" w:noHBand="0" w:noVBand="1"/>
      </w:tblPr>
      <w:tblGrid>
        <w:gridCol w:w="810"/>
        <w:gridCol w:w="3300"/>
        <w:gridCol w:w="840"/>
        <w:gridCol w:w="900"/>
        <w:gridCol w:w="1170"/>
        <w:gridCol w:w="990"/>
        <w:gridCol w:w="1221"/>
        <w:gridCol w:w="939"/>
      </w:tblGrid>
      <w:tr w:rsidR="002415C2" w:rsidRPr="002415C2" w14:paraId="20127137" w14:textId="77777777" w:rsidTr="00C37F47">
        <w:trPr>
          <w:trHeight w:val="144"/>
        </w:trPr>
        <w:tc>
          <w:tcPr>
            <w:tcW w:w="810" w:type="dxa"/>
            <w:tcBorders>
              <w:top w:val="nil"/>
              <w:left w:val="nil"/>
              <w:bottom w:val="nil"/>
              <w:right w:val="nil"/>
            </w:tcBorders>
            <w:shd w:val="clear" w:color="auto" w:fill="auto"/>
            <w:noWrap/>
            <w:vAlign w:val="bottom"/>
            <w:hideMark/>
          </w:tcPr>
          <w:p w14:paraId="0E903398" w14:textId="77777777" w:rsidR="002415C2" w:rsidRPr="002415C2" w:rsidRDefault="002415C2" w:rsidP="002415C2">
            <w:pPr>
              <w:rPr>
                <w:sz w:val="20"/>
              </w:rPr>
            </w:pPr>
          </w:p>
        </w:tc>
        <w:tc>
          <w:tcPr>
            <w:tcW w:w="3300" w:type="dxa"/>
            <w:tcBorders>
              <w:top w:val="nil"/>
              <w:left w:val="nil"/>
              <w:bottom w:val="nil"/>
              <w:right w:val="nil"/>
            </w:tcBorders>
            <w:shd w:val="clear" w:color="auto" w:fill="auto"/>
            <w:hideMark/>
          </w:tcPr>
          <w:p w14:paraId="4D181088" w14:textId="77777777" w:rsidR="002415C2" w:rsidRPr="002415C2" w:rsidRDefault="002415C2" w:rsidP="002415C2">
            <w:pPr>
              <w:rPr>
                <w:sz w:val="20"/>
                <w:szCs w:val="20"/>
              </w:rPr>
            </w:pPr>
          </w:p>
        </w:tc>
        <w:tc>
          <w:tcPr>
            <w:tcW w:w="840" w:type="dxa"/>
            <w:tcBorders>
              <w:top w:val="nil"/>
              <w:left w:val="nil"/>
              <w:bottom w:val="nil"/>
              <w:right w:val="nil"/>
            </w:tcBorders>
            <w:shd w:val="clear" w:color="auto" w:fill="auto"/>
            <w:hideMark/>
          </w:tcPr>
          <w:p w14:paraId="2F3F01BB" w14:textId="77777777" w:rsidR="002415C2" w:rsidRPr="002415C2" w:rsidRDefault="002415C2" w:rsidP="002415C2">
            <w:pPr>
              <w:rPr>
                <w:sz w:val="20"/>
                <w:szCs w:val="20"/>
              </w:rPr>
            </w:pPr>
          </w:p>
        </w:tc>
        <w:tc>
          <w:tcPr>
            <w:tcW w:w="2070"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1F3231FC" w14:textId="77777777" w:rsidR="002415C2" w:rsidRPr="002415C2" w:rsidRDefault="002415C2" w:rsidP="002415C2">
            <w:pPr>
              <w:jc w:val="right"/>
              <w:rPr>
                <w:b/>
                <w:bCs/>
                <w:color w:val="000000"/>
                <w:sz w:val="20"/>
                <w:szCs w:val="20"/>
              </w:rPr>
            </w:pPr>
            <w:r w:rsidRPr="002415C2">
              <w:rPr>
                <w:b/>
                <w:bCs/>
                <w:color w:val="000000"/>
                <w:sz w:val="20"/>
                <w:szCs w:val="20"/>
              </w:rPr>
              <w:t>Alpha</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14:paraId="63B45C39" w14:textId="77777777" w:rsidR="002415C2" w:rsidRPr="002415C2" w:rsidRDefault="002415C2" w:rsidP="002415C2">
            <w:pPr>
              <w:jc w:val="right"/>
              <w:rPr>
                <w:b/>
                <w:bCs/>
                <w:color w:val="000000"/>
                <w:sz w:val="20"/>
                <w:szCs w:val="20"/>
              </w:rPr>
            </w:pPr>
            <w:r w:rsidRPr="002415C2">
              <w:rPr>
                <w:b/>
                <w:bCs/>
                <w:color w:val="000000"/>
                <w:sz w:val="20"/>
                <w:szCs w:val="20"/>
              </w:rPr>
              <w:t>0.05</w:t>
            </w:r>
          </w:p>
        </w:tc>
        <w:tc>
          <w:tcPr>
            <w:tcW w:w="1221" w:type="dxa"/>
            <w:tcBorders>
              <w:top w:val="single" w:sz="4" w:space="0" w:color="auto"/>
              <w:left w:val="nil"/>
              <w:bottom w:val="single" w:sz="4" w:space="0" w:color="auto"/>
              <w:right w:val="single" w:sz="4" w:space="0" w:color="auto"/>
            </w:tcBorders>
            <w:shd w:val="clear" w:color="auto" w:fill="auto"/>
            <w:noWrap/>
            <w:vAlign w:val="bottom"/>
            <w:hideMark/>
          </w:tcPr>
          <w:p w14:paraId="1942E215" w14:textId="77777777" w:rsidR="002415C2" w:rsidRPr="002415C2" w:rsidRDefault="002415C2" w:rsidP="002415C2">
            <w:pPr>
              <w:jc w:val="right"/>
              <w:rPr>
                <w:b/>
                <w:bCs/>
                <w:color w:val="000000"/>
                <w:sz w:val="20"/>
                <w:szCs w:val="20"/>
              </w:rPr>
            </w:pPr>
            <w:r w:rsidRPr="002415C2">
              <w:rPr>
                <w:b/>
                <w:bCs/>
                <w:color w:val="000000"/>
                <w:sz w:val="20"/>
                <w:szCs w:val="20"/>
              </w:rPr>
              <w:t>0.05</w:t>
            </w:r>
          </w:p>
        </w:tc>
        <w:tc>
          <w:tcPr>
            <w:tcW w:w="939" w:type="dxa"/>
            <w:tcBorders>
              <w:top w:val="single" w:sz="4" w:space="0" w:color="auto"/>
              <w:left w:val="nil"/>
              <w:bottom w:val="single" w:sz="4" w:space="0" w:color="auto"/>
              <w:right w:val="single" w:sz="4" w:space="0" w:color="auto"/>
            </w:tcBorders>
            <w:shd w:val="clear" w:color="auto" w:fill="auto"/>
            <w:noWrap/>
            <w:vAlign w:val="bottom"/>
            <w:hideMark/>
          </w:tcPr>
          <w:p w14:paraId="35E7FE45" w14:textId="77777777" w:rsidR="002415C2" w:rsidRPr="002415C2" w:rsidRDefault="002415C2" w:rsidP="002415C2">
            <w:pPr>
              <w:jc w:val="right"/>
              <w:rPr>
                <w:b/>
                <w:bCs/>
                <w:color w:val="000000"/>
                <w:sz w:val="20"/>
                <w:szCs w:val="20"/>
              </w:rPr>
            </w:pPr>
            <w:r w:rsidRPr="002415C2">
              <w:rPr>
                <w:b/>
                <w:bCs/>
                <w:color w:val="000000"/>
                <w:sz w:val="20"/>
                <w:szCs w:val="20"/>
              </w:rPr>
              <w:t>0.05</w:t>
            </w:r>
          </w:p>
        </w:tc>
      </w:tr>
      <w:tr w:rsidR="002415C2" w:rsidRPr="002415C2" w14:paraId="297556AE" w14:textId="77777777" w:rsidTr="00C37F47">
        <w:trPr>
          <w:trHeight w:val="144"/>
        </w:trPr>
        <w:tc>
          <w:tcPr>
            <w:tcW w:w="810" w:type="dxa"/>
            <w:tcBorders>
              <w:top w:val="nil"/>
              <w:left w:val="nil"/>
              <w:bottom w:val="nil"/>
              <w:right w:val="nil"/>
            </w:tcBorders>
            <w:shd w:val="clear" w:color="auto" w:fill="auto"/>
            <w:noWrap/>
            <w:vAlign w:val="bottom"/>
            <w:hideMark/>
          </w:tcPr>
          <w:p w14:paraId="7E8DFDC7" w14:textId="77777777" w:rsidR="002415C2" w:rsidRPr="002415C2" w:rsidRDefault="002415C2" w:rsidP="002415C2">
            <w:pPr>
              <w:jc w:val="right"/>
              <w:rPr>
                <w:b/>
                <w:bCs/>
                <w:color w:val="000000"/>
                <w:sz w:val="20"/>
                <w:szCs w:val="20"/>
              </w:rPr>
            </w:pPr>
          </w:p>
        </w:tc>
        <w:tc>
          <w:tcPr>
            <w:tcW w:w="3300" w:type="dxa"/>
            <w:tcBorders>
              <w:top w:val="nil"/>
              <w:left w:val="nil"/>
              <w:bottom w:val="nil"/>
              <w:right w:val="nil"/>
            </w:tcBorders>
            <w:shd w:val="clear" w:color="auto" w:fill="auto"/>
            <w:hideMark/>
          </w:tcPr>
          <w:p w14:paraId="284DC157" w14:textId="77777777" w:rsidR="002415C2" w:rsidRPr="002415C2" w:rsidRDefault="002415C2" w:rsidP="002415C2">
            <w:pPr>
              <w:rPr>
                <w:sz w:val="20"/>
                <w:szCs w:val="20"/>
              </w:rPr>
            </w:pPr>
          </w:p>
        </w:tc>
        <w:tc>
          <w:tcPr>
            <w:tcW w:w="840" w:type="dxa"/>
            <w:tcBorders>
              <w:top w:val="nil"/>
              <w:left w:val="nil"/>
              <w:bottom w:val="nil"/>
              <w:right w:val="nil"/>
            </w:tcBorders>
            <w:shd w:val="clear" w:color="auto" w:fill="auto"/>
            <w:hideMark/>
          </w:tcPr>
          <w:p w14:paraId="49FEFECC" w14:textId="77777777" w:rsidR="002415C2" w:rsidRPr="002415C2" w:rsidRDefault="002415C2" w:rsidP="002415C2">
            <w:pPr>
              <w:rPr>
                <w:sz w:val="20"/>
                <w:szCs w:val="20"/>
              </w:rPr>
            </w:pPr>
          </w:p>
        </w:tc>
        <w:tc>
          <w:tcPr>
            <w:tcW w:w="2070"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5681A9EE" w14:textId="77777777" w:rsidR="002415C2" w:rsidRPr="002415C2" w:rsidRDefault="002415C2" w:rsidP="002415C2">
            <w:pPr>
              <w:jc w:val="right"/>
              <w:rPr>
                <w:b/>
                <w:bCs/>
                <w:color w:val="000000"/>
                <w:sz w:val="20"/>
                <w:szCs w:val="20"/>
              </w:rPr>
            </w:pPr>
            <w:r w:rsidRPr="002415C2">
              <w:rPr>
                <w:b/>
                <w:bCs/>
                <w:color w:val="000000"/>
                <w:sz w:val="20"/>
                <w:szCs w:val="20"/>
              </w:rPr>
              <w:t>Treatment Abs. Bias</w:t>
            </w:r>
          </w:p>
        </w:tc>
        <w:tc>
          <w:tcPr>
            <w:tcW w:w="990" w:type="dxa"/>
            <w:tcBorders>
              <w:top w:val="nil"/>
              <w:left w:val="nil"/>
              <w:bottom w:val="single" w:sz="4" w:space="0" w:color="auto"/>
              <w:right w:val="single" w:sz="4" w:space="0" w:color="auto"/>
            </w:tcBorders>
            <w:shd w:val="clear" w:color="auto" w:fill="auto"/>
            <w:noWrap/>
            <w:vAlign w:val="bottom"/>
            <w:hideMark/>
          </w:tcPr>
          <w:p w14:paraId="4760F6C9" w14:textId="77777777" w:rsidR="002415C2" w:rsidRPr="002415C2" w:rsidRDefault="002415C2" w:rsidP="002415C2">
            <w:pPr>
              <w:jc w:val="right"/>
              <w:rPr>
                <w:b/>
                <w:bCs/>
                <w:color w:val="000000"/>
                <w:sz w:val="20"/>
                <w:szCs w:val="20"/>
              </w:rPr>
            </w:pPr>
            <w:r w:rsidRPr="002415C2">
              <w:rPr>
                <w:b/>
                <w:bCs/>
                <w:color w:val="000000"/>
                <w:sz w:val="20"/>
                <w:szCs w:val="20"/>
              </w:rPr>
              <w:t>0.4</w:t>
            </w:r>
          </w:p>
        </w:tc>
        <w:tc>
          <w:tcPr>
            <w:tcW w:w="1221" w:type="dxa"/>
            <w:tcBorders>
              <w:top w:val="nil"/>
              <w:left w:val="nil"/>
              <w:bottom w:val="single" w:sz="4" w:space="0" w:color="auto"/>
              <w:right w:val="single" w:sz="4" w:space="0" w:color="auto"/>
            </w:tcBorders>
            <w:shd w:val="clear" w:color="auto" w:fill="auto"/>
            <w:noWrap/>
            <w:vAlign w:val="bottom"/>
            <w:hideMark/>
          </w:tcPr>
          <w:p w14:paraId="6DE8695D" w14:textId="77777777" w:rsidR="002415C2" w:rsidRPr="002415C2" w:rsidRDefault="002415C2" w:rsidP="002415C2">
            <w:pPr>
              <w:jc w:val="right"/>
              <w:rPr>
                <w:b/>
                <w:bCs/>
                <w:color w:val="000000"/>
                <w:sz w:val="20"/>
                <w:szCs w:val="20"/>
              </w:rPr>
            </w:pPr>
            <w:r w:rsidRPr="002415C2">
              <w:rPr>
                <w:b/>
                <w:bCs/>
                <w:color w:val="000000"/>
                <w:sz w:val="20"/>
                <w:szCs w:val="20"/>
              </w:rPr>
              <w:t>0.2</w:t>
            </w:r>
          </w:p>
        </w:tc>
        <w:tc>
          <w:tcPr>
            <w:tcW w:w="939" w:type="dxa"/>
            <w:tcBorders>
              <w:top w:val="nil"/>
              <w:left w:val="nil"/>
              <w:bottom w:val="single" w:sz="4" w:space="0" w:color="auto"/>
              <w:right w:val="single" w:sz="4" w:space="0" w:color="auto"/>
            </w:tcBorders>
            <w:shd w:val="clear" w:color="auto" w:fill="auto"/>
            <w:noWrap/>
            <w:vAlign w:val="bottom"/>
            <w:hideMark/>
          </w:tcPr>
          <w:p w14:paraId="081F07A7" w14:textId="77777777" w:rsidR="002415C2" w:rsidRPr="002415C2" w:rsidRDefault="002415C2" w:rsidP="002415C2">
            <w:pPr>
              <w:jc w:val="right"/>
              <w:rPr>
                <w:b/>
                <w:bCs/>
                <w:color w:val="000000"/>
                <w:sz w:val="20"/>
                <w:szCs w:val="20"/>
              </w:rPr>
            </w:pPr>
            <w:r w:rsidRPr="002415C2">
              <w:rPr>
                <w:b/>
                <w:bCs/>
                <w:color w:val="000000"/>
                <w:sz w:val="20"/>
                <w:szCs w:val="20"/>
              </w:rPr>
              <w:t>0.125</w:t>
            </w:r>
          </w:p>
        </w:tc>
      </w:tr>
      <w:tr w:rsidR="002415C2" w:rsidRPr="002415C2" w14:paraId="24FECEA9" w14:textId="77777777" w:rsidTr="00C37F47">
        <w:trPr>
          <w:trHeight w:val="144"/>
        </w:trPr>
        <w:tc>
          <w:tcPr>
            <w:tcW w:w="810" w:type="dxa"/>
            <w:tcBorders>
              <w:top w:val="nil"/>
              <w:left w:val="nil"/>
              <w:bottom w:val="nil"/>
              <w:right w:val="nil"/>
            </w:tcBorders>
            <w:shd w:val="clear" w:color="auto" w:fill="auto"/>
            <w:noWrap/>
            <w:vAlign w:val="bottom"/>
            <w:hideMark/>
          </w:tcPr>
          <w:p w14:paraId="158B0FDB" w14:textId="77777777" w:rsidR="002415C2" w:rsidRPr="002415C2" w:rsidRDefault="002415C2" w:rsidP="002415C2">
            <w:pPr>
              <w:jc w:val="right"/>
              <w:rPr>
                <w:b/>
                <w:bCs/>
                <w:color w:val="000000"/>
                <w:sz w:val="20"/>
                <w:szCs w:val="20"/>
              </w:rPr>
            </w:pPr>
          </w:p>
        </w:tc>
        <w:tc>
          <w:tcPr>
            <w:tcW w:w="3300" w:type="dxa"/>
            <w:tcBorders>
              <w:top w:val="nil"/>
              <w:left w:val="nil"/>
              <w:bottom w:val="nil"/>
              <w:right w:val="nil"/>
            </w:tcBorders>
            <w:shd w:val="clear" w:color="auto" w:fill="auto"/>
            <w:noWrap/>
            <w:vAlign w:val="bottom"/>
            <w:hideMark/>
          </w:tcPr>
          <w:p w14:paraId="12EBF258" w14:textId="77777777" w:rsidR="002415C2" w:rsidRPr="002415C2" w:rsidRDefault="002415C2" w:rsidP="002415C2">
            <w:pPr>
              <w:rPr>
                <w:sz w:val="20"/>
                <w:szCs w:val="20"/>
              </w:rPr>
            </w:pPr>
          </w:p>
        </w:tc>
        <w:tc>
          <w:tcPr>
            <w:tcW w:w="840" w:type="dxa"/>
            <w:tcBorders>
              <w:top w:val="nil"/>
              <w:left w:val="nil"/>
              <w:bottom w:val="nil"/>
              <w:right w:val="nil"/>
            </w:tcBorders>
            <w:shd w:val="clear" w:color="auto" w:fill="auto"/>
            <w:noWrap/>
            <w:vAlign w:val="bottom"/>
            <w:hideMark/>
          </w:tcPr>
          <w:p w14:paraId="00BCCCC6" w14:textId="77777777" w:rsidR="002415C2" w:rsidRPr="002415C2" w:rsidRDefault="002415C2" w:rsidP="002415C2">
            <w:pPr>
              <w:rPr>
                <w:sz w:val="20"/>
                <w:szCs w:val="20"/>
              </w:rPr>
            </w:pPr>
          </w:p>
        </w:tc>
        <w:tc>
          <w:tcPr>
            <w:tcW w:w="2070"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6608813F" w14:textId="77777777" w:rsidR="002415C2" w:rsidRPr="002415C2" w:rsidRDefault="002415C2" w:rsidP="002415C2">
            <w:pPr>
              <w:jc w:val="right"/>
              <w:rPr>
                <w:b/>
                <w:bCs/>
                <w:color w:val="000000"/>
                <w:sz w:val="20"/>
                <w:szCs w:val="20"/>
              </w:rPr>
            </w:pPr>
            <w:r w:rsidRPr="002415C2">
              <w:rPr>
                <w:b/>
                <w:bCs/>
                <w:color w:val="000000"/>
                <w:sz w:val="20"/>
                <w:szCs w:val="20"/>
              </w:rPr>
              <w:t>Control Abs. Bias</w:t>
            </w:r>
          </w:p>
        </w:tc>
        <w:tc>
          <w:tcPr>
            <w:tcW w:w="990" w:type="dxa"/>
            <w:tcBorders>
              <w:top w:val="nil"/>
              <w:left w:val="nil"/>
              <w:bottom w:val="single" w:sz="4" w:space="0" w:color="auto"/>
              <w:right w:val="single" w:sz="4" w:space="0" w:color="auto"/>
            </w:tcBorders>
            <w:shd w:val="clear" w:color="auto" w:fill="auto"/>
            <w:noWrap/>
            <w:vAlign w:val="bottom"/>
            <w:hideMark/>
          </w:tcPr>
          <w:p w14:paraId="6F534C5D" w14:textId="77777777" w:rsidR="002415C2" w:rsidRPr="002415C2" w:rsidRDefault="002415C2" w:rsidP="002415C2">
            <w:pPr>
              <w:jc w:val="right"/>
              <w:rPr>
                <w:b/>
                <w:bCs/>
                <w:color w:val="000000"/>
                <w:sz w:val="20"/>
                <w:szCs w:val="20"/>
              </w:rPr>
            </w:pPr>
            <w:r w:rsidRPr="002415C2">
              <w:rPr>
                <w:b/>
                <w:bCs/>
                <w:color w:val="000000"/>
                <w:sz w:val="20"/>
                <w:szCs w:val="20"/>
              </w:rPr>
              <w:t>0.5</w:t>
            </w:r>
          </w:p>
        </w:tc>
        <w:tc>
          <w:tcPr>
            <w:tcW w:w="1221" w:type="dxa"/>
            <w:tcBorders>
              <w:top w:val="nil"/>
              <w:left w:val="nil"/>
              <w:bottom w:val="single" w:sz="4" w:space="0" w:color="auto"/>
              <w:right w:val="single" w:sz="4" w:space="0" w:color="auto"/>
            </w:tcBorders>
            <w:shd w:val="clear" w:color="auto" w:fill="auto"/>
            <w:noWrap/>
            <w:vAlign w:val="bottom"/>
            <w:hideMark/>
          </w:tcPr>
          <w:p w14:paraId="69A58877" w14:textId="77777777" w:rsidR="002415C2" w:rsidRPr="002415C2" w:rsidRDefault="002415C2" w:rsidP="002415C2">
            <w:pPr>
              <w:jc w:val="right"/>
              <w:rPr>
                <w:b/>
                <w:bCs/>
                <w:color w:val="000000"/>
                <w:sz w:val="20"/>
                <w:szCs w:val="20"/>
              </w:rPr>
            </w:pPr>
            <w:r w:rsidRPr="002415C2">
              <w:rPr>
                <w:b/>
                <w:bCs/>
                <w:color w:val="000000"/>
                <w:sz w:val="20"/>
                <w:szCs w:val="20"/>
              </w:rPr>
              <w:t>0.3</w:t>
            </w:r>
          </w:p>
        </w:tc>
        <w:tc>
          <w:tcPr>
            <w:tcW w:w="939" w:type="dxa"/>
            <w:tcBorders>
              <w:top w:val="nil"/>
              <w:left w:val="nil"/>
              <w:bottom w:val="single" w:sz="4" w:space="0" w:color="auto"/>
              <w:right w:val="single" w:sz="4" w:space="0" w:color="auto"/>
            </w:tcBorders>
            <w:shd w:val="clear" w:color="auto" w:fill="auto"/>
            <w:noWrap/>
            <w:vAlign w:val="bottom"/>
            <w:hideMark/>
          </w:tcPr>
          <w:p w14:paraId="0E7120AA" w14:textId="77777777" w:rsidR="002415C2" w:rsidRPr="002415C2" w:rsidRDefault="002415C2" w:rsidP="002415C2">
            <w:pPr>
              <w:jc w:val="right"/>
              <w:rPr>
                <w:b/>
                <w:bCs/>
                <w:color w:val="000000"/>
                <w:sz w:val="20"/>
                <w:szCs w:val="20"/>
              </w:rPr>
            </w:pPr>
            <w:r w:rsidRPr="002415C2">
              <w:rPr>
                <w:b/>
                <w:bCs/>
                <w:color w:val="000000"/>
                <w:sz w:val="20"/>
                <w:szCs w:val="20"/>
              </w:rPr>
              <w:t>0.2</w:t>
            </w:r>
          </w:p>
        </w:tc>
      </w:tr>
      <w:tr w:rsidR="002415C2" w:rsidRPr="002415C2" w14:paraId="14AE9AEA" w14:textId="77777777" w:rsidTr="00C37F47">
        <w:trPr>
          <w:trHeight w:val="144"/>
        </w:trPr>
        <w:tc>
          <w:tcPr>
            <w:tcW w:w="81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E4AE603" w14:textId="77777777" w:rsidR="002415C2" w:rsidRPr="002415C2" w:rsidRDefault="002415C2" w:rsidP="002415C2">
            <w:pPr>
              <w:jc w:val="center"/>
              <w:rPr>
                <w:b/>
                <w:bCs/>
                <w:color w:val="000000"/>
                <w:sz w:val="20"/>
                <w:szCs w:val="20"/>
              </w:rPr>
            </w:pPr>
            <w:r w:rsidRPr="002415C2">
              <w:rPr>
                <w:b/>
                <w:bCs/>
                <w:color w:val="000000"/>
                <w:sz w:val="20"/>
                <w:szCs w:val="20"/>
              </w:rPr>
              <w:t>Sector Group</w:t>
            </w:r>
          </w:p>
        </w:tc>
        <w:tc>
          <w:tcPr>
            <w:tcW w:w="3300" w:type="dxa"/>
            <w:tcBorders>
              <w:top w:val="single" w:sz="4" w:space="0" w:color="auto"/>
              <w:left w:val="nil"/>
              <w:bottom w:val="single" w:sz="4" w:space="0" w:color="auto"/>
              <w:right w:val="single" w:sz="4" w:space="0" w:color="auto"/>
            </w:tcBorders>
            <w:shd w:val="clear" w:color="000000" w:fill="D9D9D9"/>
            <w:vAlign w:val="center"/>
            <w:hideMark/>
          </w:tcPr>
          <w:p w14:paraId="7A66D8E7" w14:textId="77777777" w:rsidR="002415C2" w:rsidRPr="002415C2" w:rsidRDefault="002415C2" w:rsidP="002415C2">
            <w:pPr>
              <w:jc w:val="center"/>
              <w:rPr>
                <w:b/>
                <w:bCs/>
                <w:color w:val="000000"/>
                <w:sz w:val="20"/>
                <w:szCs w:val="20"/>
              </w:rPr>
            </w:pPr>
            <w:r w:rsidRPr="002415C2">
              <w:rPr>
                <w:b/>
                <w:bCs/>
                <w:color w:val="000000"/>
                <w:sz w:val="20"/>
                <w:szCs w:val="20"/>
              </w:rPr>
              <w:t>Sectors</w:t>
            </w:r>
          </w:p>
        </w:tc>
        <w:tc>
          <w:tcPr>
            <w:tcW w:w="840" w:type="dxa"/>
            <w:tcBorders>
              <w:top w:val="single" w:sz="4" w:space="0" w:color="auto"/>
              <w:left w:val="nil"/>
              <w:bottom w:val="single" w:sz="4" w:space="0" w:color="auto"/>
              <w:right w:val="single" w:sz="4" w:space="0" w:color="auto"/>
            </w:tcBorders>
            <w:shd w:val="clear" w:color="000000" w:fill="D9D9D9"/>
            <w:vAlign w:val="center"/>
            <w:hideMark/>
          </w:tcPr>
          <w:p w14:paraId="569C11A0" w14:textId="77777777" w:rsidR="002415C2" w:rsidRPr="002415C2" w:rsidRDefault="002415C2" w:rsidP="002415C2">
            <w:pPr>
              <w:jc w:val="center"/>
              <w:rPr>
                <w:b/>
                <w:bCs/>
                <w:color w:val="000000"/>
                <w:sz w:val="20"/>
                <w:szCs w:val="20"/>
              </w:rPr>
            </w:pPr>
            <w:r w:rsidRPr="002415C2">
              <w:rPr>
                <w:b/>
                <w:bCs/>
                <w:color w:val="000000"/>
                <w:sz w:val="20"/>
                <w:szCs w:val="20"/>
              </w:rPr>
              <w:t>Total Count</w:t>
            </w:r>
          </w:p>
        </w:tc>
        <w:tc>
          <w:tcPr>
            <w:tcW w:w="900" w:type="dxa"/>
            <w:tcBorders>
              <w:top w:val="nil"/>
              <w:left w:val="nil"/>
              <w:bottom w:val="single" w:sz="4" w:space="0" w:color="auto"/>
              <w:right w:val="single" w:sz="4" w:space="0" w:color="auto"/>
            </w:tcBorders>
            <w:shd w:val="clear" w:color="000000" w:fill="D9D9D9"/>
            <w:vAlign w:val="center"/>
            <w:hideMark/>
          </w:tcPr>
          <w:p w14:paraId="3C5CFCC5" w14:textId="77777777" w:rsidR="002415C2" w:rsidRPr="002415C2" w:rsidRDefault="002415C2" w:rsidP="002415C2">
            <w:pPr>
              <w:jc w:val="center"/>
              <w:rPr>
                <w:b/>
                <w:bCs/>
                <w:color w:val="000000"/>
                <w:sz w:val="20"/>
                <w:szCs w:val="20"/>
              </w:rPr>
            </w:pPr>
            <w:r w:rsidRPr="002415C2">
              <w:rPr>
                <w:b/>
                <w:bCs/>
                <w:color w:val="000000"/>
                <w:sz w:val="20"/>
                <w:szCs w:val="20"/>
              </w:rPr>
              <w:t>Control Sample</w:t>
            </w:r>
          </w:p>
        </w:tc>
        <w:tc>
          <w:tcPr>
            <w:tcW w:w="1170" w:type="dxa"/>
            <w:tcBorders>
              <w:top w:val="nil"/>
              <w:left w:val="nil"/>
              <w:bottom w:val="single" w:sz="4" w:space="0" w:color="auto"/>
              <w:right w:val="single" w:sz="4" w:space="0" w:color="auto"/>
            </w:tcBorders>
            <w:shd w:val="clear" w:color="000000" w:fill="D9D9D9"/>
            <w:vAlign w:val="center"/>
            <w:hideMark/>
          </w:tcPr>
          <w:p w14:paraId="5659DCA5" w14:textId="77777777" w:rsidR="002415C2" w:rsidRPr="002415C2" w:rsidRDefault="002415C2" w:rsidP="002415C2">
            <w:pPr>
              <w:jc w:val="center"/>
              <w:rPr>
                <w:b/>
                <w:bCs/>
                <w:color w:val="000000"/>
                <w:sz w:val="20"/>
                <w:szCs w:val="20"/>
              </w:rPr>
            </w:pPr>
            <w:r w:rsidRPr="002415C2">
              <w:rPr>
                <w:b/>
                <w:bCs/>
                <w:color w:val="000000"/>
                <w:sz w:val="20"/>
                <w:szCs w:val="20"/>
              </w:rPr>
              <w:t>Treatment Sample</w:t>
            </w:r>
          </w:p>
        </w:tc>
        <w:tc>
          <w:tcPr>
            <w:tcW w:w="990" w:type="dxa"/>
            <w:tcBorders>
              <w:top w:val="nil"/>
              <w:left w:val="nil"/>
              <w:bottom w:val="single" w:sz="4" w:space="0" w:color="auto"/>
              <w:right w:val="single" w:sz="4" w:space="0" w:color="auto"/>
            </w:tcBorders>
            <w:shd w:val="clear" w:color="000000" w:fill="D9D9D9"/>
            <w:vAlign w:val="center"/>
            <w:hideMark/>
          </w:tcPr>
          <w:p w14:paraId="50727FEE" w14:textId="77777777" w:rsidR="002415C2" w:rsidRPr="002415C2" w:rsidRDefault="002415C2" w:rsidP="002415C2">
            <w:pPr>
              <w:jc w:val="center"/>
              <w:rPr>
                <w:b/>
                <w:bCs/>
                <w:color w:val="000000"/>
                <w:sz w:val="20"/>
                <w:szCs w:val="20"/>
              </w:rPr>
            </w:pPr>
            <w:r w:rsidRPr="002415C2">
              <w:rPr>
                <w:b/>
                <w:bCs/>
                <w:color w:val="000000"/>
                <w:sz w:val="20"/>
                <w:szCs w:val="20"/>
              </w:rPr>
              <w:t>Unequal Group Power</w:t>
            </w:r>
          </w:p>
        </w:tc>
        <w:tc>
          <w:tcPr>
            <w:tcW w:w="1221" w:type="dxa"/>
            <w:tcBorders>
              <w:top w:val="nil"/>
              <w:left w:val="nil"/>
              <w:bottom w:val="single" w:sz="4" w:space="0" w:color="auto"/>
              <w:right w:val="single" w:sz="4" w:space="0" w:color="auto"/>
            </w:tcBorders>
            <w:shd w:val="clear" w:color="000000" w:fill="D9D9D9"/>
            <w:vAlign w:val="center"/>
            <w:hideMark/>
          </w:tcPr>
          <w:p w14:paraId="53A2AD12" w14:textId="77777777" w:rsidR="002415C2" w:rsidRPr="002415C2" w:rsidRDefault="002415C2" w:rsidP="002415C2">
            <w:pPr>
              <w:jc w:val="center"/>
              <w:rPr>
                <w:b/>
                <w:bCs/>
                <w:color w:val="000000"/>
                <w:sz w:val="20"/>
                <w:szCs w:val="20"/>
              </w:rPr>
            </w:pPr>
            <w:r w:rsidRPr="002415C2">
              <w:rPr>
                <w:b/>
                <w:bCs/>
                <w:color w:val="000000"/>
                <w:sz w:val="20"/>
                <w:szCs w:val="20"/>
              </w:rPr>
              <w:t>Unequal Group Power</w:t>
            </w:r>
          </w:p>
        </w:tc>
        <w:tc>
          <w:tcPr>
            <w:tcW w:w="939" w:type="dxa"/>
            <w:tcBorders>
              <w:top w:val="nil"/>
              <w:left w:val="nil"/>
              <w:bottom w:val="single" w:sz="4" w:space="0" w:color="auto"/>
              <w:right w:val="single" w:sz="4" w:space="0" w:color="auto"/>
            </w:tcBorders>
            <w:shd w:val="clear" w:color="000000" w:fill="D9D9D9"/>
            <w:vAlign w:val="center"/>
            <w:hideMark/>
          </w:tcPr>
          <w:p w14:paraId="22D65CB0" w14:textId="77777777" w:rsidR="002415C2" w:rsidRPr="002415C2" w:rsidRDefault="002415C2" w:rsidP="002415C2">
            <w:pPr>
              <w:jc w:val="center"/>
              <w:rPr>
                <w:b/>
                <w:bCs/>
                <w:color w:val="000000"/>
                <w:sz w:val="20"/>
                <w:szCs w:val="20"/>
              </w:rPr>
            </w:pPr>
            <w:r w:rsidRPr="002415C2">
              <w:rPr>
                <w:b/>
                <w:bCs/>
                <w:color w:val="000000"/>
                <w:sz w:val="20"/>
                <w:szCs w:val="20"/>
              </w:rPr>
              <w:t>Unequal Group Power</w:t>
            </w:r>
          </w:p>
        </w:tc>
      </w:tr>
      <w:tr w:rsidR="002415C2" w:rsidRPr="002415C2" w14:paraId="6E219DE8" w14:textId="77777777" w:rsidTr="00C37F47">
        <w:trPr>
          <w:trHeight w:val="144"/>
        </w:trPr>
        <w:tc>
          <w:tcPr>
            <w:tcW w:w="810" w:type="dxa"/>
            <w:vMerge w:val="restart"/>
            <w:tcBorders>
              <w:top w:val="nil"/>
              <w:left w:val="single" w:sz="4" w:space="0" w:color="auto"/>
              <w:bottom w:val="single" w:sz="4" w:space="0" w:color="auto"/>
              <w:right w:val="single" w:sz="4" w:space="0" w:color="auto"/>
            </w:tcBorders>
            <w:shd w:val="clear" w:color="auto" w:fill="auto"/>
            <w:vAlign w:val="center"/>
            <w:hideMark/>
          </w:tcPr>
          <w:p w14:paraId="0979C7B9" w14:textId="77777777" w:rsidR="002415C2" w:rsidRPr="002415C2" w:rsidRDefault="002415C2" w:rsidP="002415C2">
            <w:pPr>
              <w:rPr>
                <w:b/>
                <w:bCs/>
                <w:color w:val="000000"/>
                <w:sz w:val="20"/>
                <w:szCs w:val="20"/>
              </w:rPr>
            </w:pPr>
            <w:r w:rsidRPr="002415C2">
              <w:rPr>
                <w:b/>
                <w:bCs/>
                <w:color w:val="000000"/>
                <w:sz w:val="20"/>
                <w:szCs w:val="20"/>
              </w:rPr>
              <w:t>A</w:t>
            </w:r>
          </w:p>
        </w:tc>
        <w:tc>
          <w:tcPr>
            <w:tcW w:w="3300" w:type="dxa"/>
            <w:tcBorders>
              <w:top w:val="nil"/>
              <w:left w:val="nil"/>
              <w:bottom w:val="single" w:sz="4" w:space="0" w:color="auto"/>
              <w:right w:val="single" w:sz="4" w:space="0" w:color="auto"/>
            </w:tcBorders>
            <w:shd w:val="clear" w:color="auto" w:fill="auto"/>
            <w:vAlign w:val="center"/>
            <w:hideMark/>
          </w:tcPr>
          <w:p w14:paraId="1FEFA6FA" w14:textId="77777777" w:rsidR="002415C2" w:rsidRPr="002415C2" w:rsidRDefault="002415C2" w:rsidP="002415C2">
            <w:pPr>
              <w:ind w:left="270" w:hanging="270"/>
              <w:rPr>
                <w:color w:val="000000"/>
                <w:sz w:val="20"/>
                <w:szCs w:val="20"/>
              </w:rPr>
            </w:pPr>
            <w:r w:rsidRPr="002415C2">
              <w:rPr>
                <w:color w:val="000000"/>
                <w:sz w:val="20"/>
                <w:szCs w:val="20"/>
              </w:rPr>
              <w:t>1: Public less-than-2-year</w:t>
            </w:r>
          </w:p>
        </w:tc>
        <w:tc>
          <w:tcPr>
            <w:tcW w:w="8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7E58316" w14:textId="77777777" w:rsidR="002415C2" w:rsidRPr="002415C2" w:rsidRDefault="002415C2" w:rsidP="002415C2">
            <w:pPr>
              <w:jc w:val="center"/>
              <w:rPr>
                <w:color w:val="000000"/>
                <w:sz w:val="20"/>
                <w:szCs w:val="20"/>
              </w:rPr>
            </w:pPr>
            <w:r w:rsidRPr="002415C2">
              <w:rPr>
                <w:color w:val="000000"/>
                <w:sz w:val="20"/>
                <w:szCs w:val="20"/>
              </w:rPr>
              <w:t>10,202</w:t>
            </w:r>
          </w:p>
        </w:tc>
        <w:tc>
          <w:tcPr>
            <w:tcW w:w="900" w:type="dxa"/>
            <w:vMerge w:val="restart"/>
            <w:tcBorders>
              <w:top w:val="nil"/>
              <w:left w:val="single" w:sz="4" w:space="0" w:color="auto"/>
              <w:bottom w:val="single" w:sz="4" w:space="0" w:color="auto"/>
              <w:right w:val="single" w:sz="4" w:space="0" w:color="auto"/>
            </w:tcBorders>
            <w:shd w:val="clear" w:color="auto" w:fill="auto"/>
            <w:vAlign w:val="center"/>
            <w:hideMark/>
          </w:tcPr>
          <w:p w14:paraId="4AE2BAA8" w14:textId="77777777" w:rsidR="002415C2" w:rsidRPr="002415C2" w:rsidRDefault="002415C2" w:rsidP="002415C2">
            <w:pPr>
              <w:jc w:val="center"/>
              <w:rPr>
                <w:color w:val="000000"/>
                <w:sz w:val="20"/>
                <w:szCs w:val="20"/>
              </w:rPr>
            </w:pPr>
            <w:r w:rsidRPr="002415C2">
              <w:rPr>
                <w:color w:val="000000"/>
                <w:sz w:val="20"/>
                <w:szCs w:val="20"/>
              </w:rPr>
              <w:t>723</w:t>
            </w:r>
          </w:p>
        </w:tc>
        <w:tc>
          <w:tcPr>
            <w:tcW w:w="117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71FACCC" w14:textId="77777777" w:rsidR="002415C2" w:rsidRPr="002415C2" w:rsidRDefault="002415C2" w:rsidP="002415C2">
            <w:pPr>
              <w:jc w:val="center"/>
              <w:rPr>
                <w:color w:val="000000"/>
                <w:sz w:val="20"/>
                <w:szCs w:val="20"/>
              </w:rPr>
            </w:pPr>
            <w:r w:rsidRPr="002415C2">
              <w:rPr>
                <w:color w:val="000000"/>
                <w:sz w:val="20"/>
                <w:szCs w:val="20"/>
              </w:rPr>
              <w:t>9,479</w:t>
            </w:r>
          </w:p>
        </w:tc>
        <w:tc>
          <w:tcPr>
            <w:tcW w:w="99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5351249" w14:textId="77777777" w:rsidR="002415C2" w:rsidRPr="002415C2" w:rsidRDefault="002415C2" w:rsidP="002415C2">
            <w:pPr>
              <w:jc w:val="center"/>
              <w:rPr>
                <w:color w:val="000000"/>
                <w:sz w:val="20"/>
                <w:szCs w:val="20"/>
              </w:rPr>
            </w:pPr>
            <w:r w:rsidRPr="002415C2">
              <w:rPr>
                <w:color w:val="000000"/>
                <w:sz w:val="20"/>
                <w:szCs w:val="20"/>
              </w:rPr>
              <w:t>0.916</w:t>
            </w:r>
          </w:p>
        </w:tc>
        <w:tc>
          <w:tcPr>
            <w:tcW w:w="122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00B3DE2" w14:textId="77777777" w:rsidR="002415C2" w:rsidRPr="002415C2" w:rsidRDefault="002415C2" w:rsidP="002415C2">
            <w:pPr>
              <w:jc w:val="center"/>
              <w:rPr>
                <w:color w:val="000000"/>
                <w:sz w:val="20"/>
                <w:szCs w:val="20"/>
              </w:rPr>
            </w:pPr>
            <w:r w:rsidRPr="002415C2">
              <w:rPr>
                <w:color w:val="000000"/>
                <w:sz w:val="20"/>
                <w:szCs w:val="20"/>
              </w:rPr>
              <w:t>0.966</w:t>
            </w:r>
          </w:p>
        </w:tc>
        <w:tc>
          <w:tcPr>
            <w:tcW w:w="93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A51C5E4" w14:textId="77777777" w:rsidR="002415C2" w:rsidRPr="002415C2" w:rsidRDefault="002415C2" w:rsidP="002415C2">
            <w:pPr>
              <w:jc w:val="center"/>
              <w:rPr>
                <w:color w:val="000000"/>
                <w:sz w:val="20"/>
                <w:szCs w:val="20"/>
              </w:rPr>
            </w:pPr>
            <w:r w:rsidRPr="002415C2">
              <w:rPr>
                <w:color w:val="000000"/>
                <w:sz w:val="20"/>
                <w:szCs w:val="20"/>
              </w:rPr>
              <w:t>0.925</w:t>
            </w:r>
          </w:p>
        </w:tc>
      </w:tr>
      <w:tr w:rsidR="002415C2" w:rsidRPr="002415C2" w14:paraId="26D7B36E" w14:textId="77777777" w:rsidTr="00C37F47">
        <w:trPr>
          <w:trHeight w:val="144"/>
        </w:trPr>
        <w:tc>
          <w:tcPr>
            <w:tcW w:w="810" w:type="dxa"/>
            <w:vMerge/>
            <w:tcBorders>
              <w:top w:val="nil"/>
              <w:left w:val="single" w:sz="4" w:space="0" w:color="auto"/>
              <w:bottom w:val="single" w:sz="4" w:space="0" w:color="auto"/>
              <w:right w:val="single" w:sz="4" w:space="0" w:color="auto"/>
            </w:tcBorders>
            <w:vAlign w:val="center"/>
            <w:hideMark/>
          </w:tcPr>
          <w:p w14:paraId="1AB3C492" w14:textId="77777777" w:rsidR="002415C2" w:rsidRPr="002415C2" w:rsidRDefault="002415C2" w:rsidP="002415C2">
            <w:pPr>
              <w:rPr>
                <w:b/>
                <w:bCs/>
                <w:color w:val="000000"/>
                <w:sz w:val="20"/>
                <w:szCs w:val="20"/>
              </w:rPr>
            </w:pPr>
          </w:p>
        </w:tc>
        <w:tc>
          <w:tcPr>
            <w:tcW w:w="3300" w:type="dxa"/>
            <w:tcBorders>
              <w:top w:val="nil"/>
              <w:left w:val="nil"/>
              <w:bottom w:val="single" w:sz="4" w:space="0" w:color="auto"/>
              <w:right w:val="single" w:sz="4" w:space="0" w:color="auto"/>
            </w:tcBorders>
            <w:shd w:val="clear" w:color="auto" w:fill="auto"/>
            <w:vAlign w:val="center"/>
            <w:hideMark/>
          </w:tcPr>
          <w:p w14:paraId="7D88CF1B" w14:textId="77777777" w:rsidR="002415C2" w:rsidRPr="002415C2" w:rsidRDefault="002415C2" w:rsidP="002415C2">
            <w:pPr>
              <w:ind w:left="270" w:hanging="270"/>
              <w:rPr>
                <w:color w:val="000000"/>
                <w:sz w:val="20"/>
                <w:szCs w:val="20"/>
              </w:rPr>
            </w:pPr>
            <w:r w:rsidRPr="002415C2">
              <w:rPr>
                <w:color w:val="000000"/>
                <w:sz w:val="20"/>
                <w:szCs w:val="20"/>
              </w:rPr>
              <w:t>2: Public 2-year</w:t>
            </w:r>
          </w:p>
        </w:tc>
        <w:tc>
          <w:tcPr>
            <w:tcW w:w="840" w:type="dxa"/>
            <w:vMerge/>
            <w:tcBorders>
              <w:top w:val="nil"/>
              <w:left w:val="single" w:sz="4" w:space="0" w:color="auto"/>
              <w:bottom w:val="single" w:sz="4" w:space="0" w:color="auto"/>
              <w:right w:val="single" w:sz="4" w:space="0" w:color="auto"/>
            </w:tcBorders>
            <w:vAlign w:val="center"/>
            <w:hideMark/>
          </w:tcPr>
          <w:p w14:paraId="047E3640" w14:textId="77777777" w:rsidR="002415C2" w:rsidRPr="002415C2" w:rsidRDefault="002415C2" w:rsidP="002415C2">
            <w:pPr>
              <w:rPr>
                <w:color w:val="000000"/>
                <w:sz w:val="20"/>
                <w:szCs w:val="20"/>
              </w:rPr>
            </w:pPr>
          </w:p>
        </w:tc>
        <w:tc>
          <w:tcPr>
            <w:tcW w:w="900" w:type="dxa"/>
            <w:vMerge/>
            <w:tcBorders>
              <w:top w:val="nil"/>
              <w:left w:val="single" w:sz="4" w:space="0" w:color="auto"/>
              <w:bottom w:val="single" w:sz="4" w:space="0" w:color="auto"/>
              <w:right w:val="single" w:sz="4" w:space="0" w:color="auto"/>
            </w:tcBorders>
            <w:vAlign w:val="center"/>
            <w:hideMark/>
          </w:tcPr>
          <w:p w14:paraId="78F3D70A" w14:textId="77777777" w:rsidR="002415C2" w:rsidRPr="002415C2" w:rsidRDefault="002415C2" w:rsidP="002415C2">
            <w:pPr>
              <w:rPr>
                <w:color w:val="000000"/>
                <w:sz w:val="20"/>
                <w:szCs w:val="20"/>
              </w:rPr>
            </w:pPr>
          </w:p>
        </w:tc>
        <w:tc>
          <w:tcPr>
            <w:tcW w:w="1170" w:type="dxa"/>
            <w:vMerge/>
            <w:tcBorders>
              <w:top w:val="nil"/>
              <w:left w:val="single" w:sz="4" w:space="0" w:color="auto"/>
              <w:bottom w:val="single" w:sz="4" w:space="0" w:color="auto"/>
              <w:right w:val="single" w:sz="4" w:space="0" w:color="auto"/>
            </w:tcBorders>
            <w:vAlign w:val="center"/>
            <w:hideMark/>
          </w:tcPr>
          <w:p w14:paraId="3D8D97C3" w14:textId="77777777" w:rsidR="002415C2" w:rsidRPr="002415C2" w:rsidRDefault="002415C2" w:rsidP="002415C2">
            <w:pPr>
              <w:rPr>
                <w:color w:val="000000"/>
                <w:sz w:val="20"/>
                <w:szCs w:val="20"/>
              </w:rPr>
            </w:pPr>
          </w:p>
        </w:tc>
        <w:tc>
          <w:tcPr>
            <w:tcW w:w="990" w:type="dxa"/>
            <w:vMerge/>
            <w:tcBorders>
              <w:top w:val="nil"/>
              <w:left w:val="single" w:sz="4" w:space="0" w:color="auto"/>
              <w:bottom w:val="single" w:sz="4" w:space="0" w:color="auto"/>
              <w:right w:val="single" w:sz="4" w:space="0" w:color="auto"/>
            </w:tcBorders>
            <w:vAlign w:val="center"/>
            <w:hideMark/>
          </w:tcPr>
          <w:p w14:paraId="7C03FADD" w14:textId="77777777" w:rsidR="002415C2" w:rsidRPr="002415C2" w:rsidRDefault="002415C2" w:rsidP="002415C2">
            <w:pPr>
              <w:rPr>
                <w:color w:val="000000"/>
                <w:sz w:val="20"/>
                <w:szCs w:val="20"/>
              </w:rPr>
            </w:pPr>
          </w:p>
        </w:tc>
        <w:tc>
          <w:tcPr>
            <w:tcW w:w="1221" w:type="dxa"/>
            <w:vMerge/>
            <w:tcBorders>
              <w:top w:val="nil"/>
              <w:left w:val="single" w:sz="4" w:space="0" w:color="auto"/>
              <w:bottom w:val="single" w:sz="4" w:space="0" w:color="auto"/>
              <w:right w:val="single" w:sz="4" w:space="0" w:color="auto"/>
            </w:tcBorders>
            <w:vAlign w:val="center"/>
            <w:hideMark/>
          </w:tcPr>
          <w:p w14:paraId="3FBBE71F" w14:textId="77777777" w:rsidR="002415C2" w:rsidRPr="002415C2" w:rsidRDefault="002415C2" w:rsidP="002415C2">
            <w:pPr>
              <w:rPr>
                <w:color w:val="000000"/>
                <w:sz w:val="20"/>
                <w:szCs w:val="20"/>
              </w:rPr>
            </w:pPr>
          </w:p>
        </w:tc>
        <w:tc>
          <w:tcPr>
            <w:tcW w:w="939" w:type="dxa"/>
            <w:vMerge/>
            <w:tcBorders>
              <w:top w:val="nil"/>
              <w:left w:val="single" w:sz="4" w:space="0" w:color="auto"/>
              <w:bottom w:val="single" w:sz="4" w:space="0" w:color="auto"/>
              <w:right w:val="single" w:sz="4" w:space="0" w:color="auto"/>
            </w:tcBorders>
            <w:vAlign w:val="center"/>
            <w:hideMark/>
          </w:tcPr>
          <w:p w14:paraId="269E6D66" w14:textId="77777777" w:rsidR="002415C2" w:rsidRPr="002415C2" w:rsidRDefault="002415C2" w:rsidP="002415C2">
            <w:pPr>
              <w:rPr>
                <w:color w:val="000000"/>
                <w:sz w:val="20"/>
                <w:szCs w:val="20"/>
              </w:rPr>
            </w:pPr>
          </w:p>
        </w:tc>
      </w:tr>
      <w:tr w:rsidR="002415C2" w:rsidRPr="002415C2" w14:paraId="6496C9C5" w14:textId="77777777" w:rsidTr="00C37F47">
        <w:trPr>
          <w:trHeight w:val="144"/>
        </w:trPr>
        <w:tc>
          <w:tcPr>
            <w:tcW w:w="810" w:type="dxa"/>
            <w:vMerge w:val="restart"/>
            <w:tcBorders>
              <w:top w:val="nil"/>
              <w:left w:val="single" w:sz="4" w:space="0" w:color="auto"/>
              <w:bottom w:val="single" w:sz="4" w:space="0" w:color="auto"/>
              <w:right w:val="single" w:sz="4" w:space="0" w:color="auto"/>
            </w:tcBorders>
            <w:shd w:val="clear" w:color="auto" w:fill="auto"/>
            <w:vAlign w:val="center"/>
            <w:hideMark/>
          </w:tcPr>
          <w:p w14:paraId="3C0B407A" w14:textId="77777777" w:rsidR="002415C2" w:rsidRPr="002415C2" w:rsidRDefault="002415C2" w:rsidP="002415C2">
            <w:pPr>
              <w:rPr>
                <w:b/>
                <w:bCs/>
                <w:color w:val="000000"/>
                <w:sz w:val="20"/>
                <w:szCs w:val="20"/>
              </w:rPr>
            </w:pPr>
            <w:r w:rsidRPr="002415C2">
              <w:rPr>
                <w:b/>
                <w:bCs/>
                <w:color w:val="000000"/>
                <w:sz w:val="20"/>
                <w:szCs w:val="20"/>
              </w:rPr>
              <w:t>B</w:t>
            </w:r>
          </w:p>
        </w:tc>
        <w:tc>
          <w:tcPr>
            <w:tcW w:w="3300" w:type="dxa"/>
            <w:tcBorders>
              <w:top w:val="nil"/>
              <w:left w:val="nil"/>
              <w:bottom w:val="single" w:sz="4" w:space="0" w:color="auto"/>
              <w:right w:val="single" w:sz="4" w:space="0" w:color="auto"/>
            </w:tcBorders>
            <w:shd w:val="clear" w:color="auto" w:fill="auto"/>
            <w:vAlign w:val="center"/>
            <w:hideMark/>
          </w:tcPr>
          <w:p w14:paraId="16B56708" w14:textId="77777777" w:rsidR="002415C2" w:rsidRPr="002415C2" w:rsidRDefault="002415C2" w:rsidP="002415C2">
            <w:pPr>
              <w:ind w:left="270" w:hanging="270"/>
              <w:rPr>
                <w:color w:val="000000"/>
                <w:sz w:val="20"/>
                <w:szCs w:val="20"/>
              </w:rPr>
            </w:pPr>
            <w:r w:rsidRPr="002415C2">
              <w:rPr>
                <w:color w:val="000000"/>
                <w:sz w:val="20"/>
                <w:szCs w:val="20"/>
              </w:rPr>
              <w:t>3: Public 4-year non-doctorate-granting</w:t>
            </w:r>
          </w:p>
        </w:tc>
        <w:tc>
          <w:tcPr>
            <w:tcW w:w="8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83E6829" w14:textId="77777777" w:rsidR="002415C2" w:rsidRPr="002415C2" w:rsidRDefault="002415C2" w:rsidP="002415C2">
            <w:pPr>
              <w:jc w:val="center"/>
              <w:rPr>
                <w:color w:val="000000"/>
                <w:sz w:val="20"/>
                <w:szCs w:val="20"/>
              </w:rPr>
            </w:pPr>
            <w:r w:rsidRPr="002415C2">
              <w:rPr>
                <w:color w:val="000000"/>
                <w:sz w:val="20"/>
                <w:szCs w:val="20"/>
              </w:rPr>
              <w:t>10,716</w:t>
            </w:r>
          </w:p>
        </w:tc>
        <w:tc>
          <w:tcPr>
            <w:tcW w:w="900" w:type="dxa"/>
            <w:vMerge w:val="restart"/>
            <w:tcBorders>
              <w:top w:val="nil"/>
              <w:left w:val="single" w:sz="4" w:space="0" w:color="auto"/>
              <w:bottom w:val="single" w:sz="4" w:space="0" w:color="auto"/>
              <w:right w:val="single" w:sz="4" w:space="0" w:color="auto"/>
            </w:tcBorders>
            <w:shd w:val="clear" w:color="auto" w:fill="auto"/>
            <w:vAlign w:val="center"/>
            <w:hideMark/>
          </w:tcPr>
          <w:p w14:paraId="1D2EC6F6" w14:textId="77777777" w:rsidR="002415C2" w:rsidRPr="002415C2" w:rsidRDefault="002415C2" w:rsidP="002415C2">
            <w:pPr>
              <w:jc w:val="center"/>
              <w:rPr>
                <w:color w:val="000000"/>
                <w:sz w:val="20"/>
                <w:szCs w:val="20"/>
              </w:rPr>
            </w:pPr>
            <w:r w:rsidRPr="002415C2">
              <w:rPr>
                <w:color w:val="000000"/>
                <w:sz w:val="20"/>
                <w:szCs w:val="20"/>
              </w:rPr>
              <w:t>723</w:t>
            </w:r>
          </w:p>
        </w:tc>
        <w:tc>
          <w:tcPr>
            <w:tcW w:w="117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6938B95" w14:textId="77777777" w:rsidR="002415C2" w:rsidRPr="002415C2" w:rsidRDefault="002415C2" w:rsidP="002415C2">
            <w:pPr>
              <w:jc w:val="center"/>
              <w:rPr>
                <w:color w:val="000000"/>
                <w:sz w:val="20"/>
                <w:szCs w:val="20"/>
              </w:rPr>
            </w:pPr>
            <w:r w:rsidRPr="002415C2">
              <w:rPr>
                <w:color w:val="000000"/>
                <w:sz w:val="20"/>
                <w:szCs w:val="20"/>
              </w:rPr>
              <w:t>9,993</w:t>
            </w:r>
          </w:p>
        </w:tc>
        <w:tc>
          <w:tcPr>
            <w:tcW w:w="99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55EA029" w14:textId="77777777" w:rsidR="002415C2" w:rsidRPr="002415C2" w:rsidRDefault="002415C2" w:rsidP="002415C2">
            <w:pPr>
              <w:jc w:val="center"/>
              <w:rPr>
                <w:color w:val="000000"/>
                <w:sz w:val="20"/>
                <w:szCs w:val="20"/>
              </w:rPr>
            </w:pPr>
            <w:r w:rsidRPr="002415C2">
              <w:rPr>
                <w:color w:val="000000"/>
                <w:sz w:val="20"/>
                <w:szCs w:val="20"/>
              </w:rPr>
              <w:t>0.917</w:t>
            </w:r>
          </w:p>
        </w:tc>
        <w:tc>
          <w:tcPr>
            <w:tcW w:w="122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A32EDE2" w14:textId="77777777" w:rsidR="002415C2" w:rsidRPr="002415C2" w:rsidRDefault="002415C2" w:rsidP="002415C2">
            <w:pPr>
              <w:jc w:val="center"/>
              <w:rPr>
                <w:color w:val="000000"/>
                <w:sz w:val="20"/>
                <w:szCs w:val="20"/>
              </w:rPr>
            </w:pPr>
            <w:r w:rsidRPr="002415C2">
              <w:rPr>
                <w:color w:val="000000"/>
                <w:sz w:val="20"/>
                <w:szCs w:val="20"/>
              </w:rPr>
              <w:t>0.967</w:t>
            </w:r>
          </w:p>
        </w:tc>
        <w:tc>
          <w:tcPr>
            <w:tcW w:w="93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EDCB84A" w14:textId="77777777" w:rsidR="002415C2" w:rsidRPr="002415C2" w:rsidRDefault="002415C2" w:rsidP="002415C2">
            <w:pPr>
              <w:jc w:val="center"/>
              <w:rPr>
                <w:color w:val="000000"/>
                <w:sz w:val="20"/>
                <w:szCs w:val="20"/>
              </w:rPr>
            </w:pPr>
            <w:r w:rsidRPr="002415C2">
              <w:rPr>
                <w:color w:val="000000"/>
                <w:sz w:val="20"/>
                <w:szCs w:val="20"/>
              </w:rPr>
              <w:t>0.926</w:t>
            </w:r>
          </w:p>
        </w:tc>
      </w:tr>
      <w:tr w:rsidR="002415C2" w:rsidRPr="002415C2" w14:paraId="24AA1D68" w14:textId="77777777" w:rsidTr="00C37F47">
        <w:trPr>
          <w:trHeight w:val="144"/>
        </w:trPr>
        <w:tc>
          <w:tcPr>
            <w:tcW w:w="810" w:type="dxa"/>
            <w:vMerge/>
            <w:tcBorders>
              <w:top w:val="nil"/>
              <w:left w:val="single" w:sz="4" w:space="0" w:color="auto"/>
              <w:bottom w:val="single" w:sz="4" w:space="0" w:color="auto"/>
              <w:right w:val="single" w:sz="4" w:space="0" w:color="auto"/>
            </w:tcBorders>
            <w:vAlign w:val="center"/>
            <w:hideMark/>
          </w:tcPr>
          <w:p w14:paraId="07C77112" w14:textId="77777777" w:rsidR="002415C2" w:rsidRPr="002415C2" w:rsidRDefault="002415C2" w:rsidP="002415C2">
            <w:pPr>
              <w:rPr>
                <w:b/>
                <w:bCs/>
                <w:color w:val="000000"/>
                <w:sz w:val="20"/>
                <w:szCs w:val="20"/>
              </w:rPr>
            </w:pPr>
          </w:p>
        </w:tc>
        <w:tc>
          <w:tcPr>
            <w:tcW w:w="3300" w:type="dxa"/>
            <w:tcBorders>
              <w:top w:val="nil"/>
              <w:left w:val="nil"/>
              <w:bottom w:val="single" w:sz="4" w:space="0" w:color="auto"/>
              <w:right w:val="single" w:sz="4" w:space="0" w:color="auto"/>
            </w:tcBorders>
            <w:shd w:val="clear" w:color="auto" w:fill="auto"/>
            <w:vAlign w:val="center"/>
            <w:hideMark/>
          </w:tcPr>
          <w:p w14:paraId="0949859A" w14:textId="77777777" w:rsidR="002415C2" w:rsidRPr="002415C2" w:rsidRDefault="002415C2" w:rsidP="002415C2">
            <w:pPr>
              <w:ind w:left="270" w:hanging="270"/>
              <w:rPr>
                <w:color w:val="000000"/>
                <w:sz w:val="20"/>
                <w:szCs w:val="20"/>
              </w:rPr>
            </w:pPr>
            <w:r w:rsidRPr="002415C2">
              <w:rPr>
                <w:color w:val="000000"/>
                <w:sz w:val="20"/>
                <w:szCs w:val="20"/>
              </w:rPr>
              <w:t>4: Public 4-year doctorate-granting</w:t>
            </w:r>
          </w:p>
        </w:tc>
        <w:tc>
          <w:tcPr>
            <w:tcW w:w="840" w:type="dxa"/>
            <w:vMerge/>
            <w:tcBorders>
              <w:top w:val="nil"/>
              <w:left w:val="single" w:sz="4" w:space="0" w:color="auto"/>
              <w:bottom w:val="single" w:sz="4" w:space="0" w:color="auto"/>
              <w:right w:val="single" w:sz="4" w:space="0" w:color="auto"/>
            </w:tcBorders>
            <w:vAlign w:val="center"/>
            <w:hideMark/>
          </w:tcPr>
          <w:p w14:paraId="6497120D" w14:textId="77777777" w:rsidR="002415C2" w:rsidRPr="002415C2" w:rsidRDefault="002415C2" w:rsidP="002415C2">
            <w:pPr>
              <w:rPr>
                <w:color w:val="000000"/>
                <w:sz w:val="20"/>
                <w:szCs w:val="20"/>
              </w:rPr>
            </w:pPr>
          </w:p>
        </w:tc>
        <w:tc>
          <w:tcPr>
            <w:tcW w:w="900" w:type="dxa"/>
            <w:vMerge/>
            <w:tcBorders>
              <w:top w:val="nil"/>
              <w:left w:val="single" w:sz="4" w:space="0" w:color="auto"/>
              <w:bottom w:val="single" w:sz="4" w:space="0" w:color="auto"/>
              <w:right w:val="single" w:sz="4" w:space="0" w:color="auto"/>
            </w:tcBorders>
            <w:vAlign w:val="center"/>
            <w:hideMark/>
          </w:tcPr>
          <w:p w14:paraId="129C63E7" w14:textId="77777777" w:rsidR="002415C2" w:rsidRPr="002415C2" w:rsidRDefault="002415C2" w:rsidP="002415C2">
            <w:pPr>
              <w:rPr>
                <w:color w:val="000000"/>
                <w:sz w:val="20"/>
                <w:szCs w:val="20"/>
              </w:rPr>
            </w:pPr>
          </w:p>
        </w:tc>
        <w:tc>
          <w:tcPr>
            <w:tcW w:w="1170" w:type="dxa"/>
            <w:vMerge/>
            <w:tcBorders>
              <w:top w:val="nil"/>
              <w:left w:val="single" w:sz="4" w:space="0" w:color="auto"/>
              <w:bottom w:val="single" w:sz="4" w:space="0" w:color="auto"/>
              <w:right w:val="single" w:sz="4" w:space="0" w:color="auto"/>
            </w:tcBorders>
            <w:vAlign w:val="center"/>
            <w:hideMark/>
          </w:tcPr>
          <w:p w14:paraId="14B14CF8" w14:textId="77777777" w:rsidR="002415C2" w:rsidRPr="002415C2" w:rsidRDefault="002415C2" w:rsidP="002415C2">
            <w:pPr>
              <w:rPr>
                <w:color w:val="000000"/>
                <w:sz w:val="20"/>
                <w:szCs w:val="20"/>
              </w:rPr>
            </w:pPr>
          </w:p>
        </w:tc>
        <w:tc>
          <w:tcPr>
            <w:tcW w:w="990" w:type="dxa"/>
            <w:vMerge/>
            <w:tcBorders>
              <w:top w:val="nil"/>
              <w:left w:val="single" w:sz="4" w:space="0" w:color="auto"/>
              <w:bottom w:val="single" w:sz="4" w:space="0" w:color="auto"/>
              <w:right w:val="single" w:sz="4" w:space="0" w:color="auto"/>
            </w:tcBorders>
            <w:vAlign w:val="center"/>
            <w:hideMark/>
          </w:tcPr>
          <w:p w14:paraId="70E27479" w14:textId="77777777" w:rsidR="002415C2" w:rsidRPr="002415C2" w:rsidRDefault="002415C2" w:rsidP="002415C2">
            <w:pPr>
              <w:rPr>
                <w:color w:val="000000"/>
                <w:sz w:val="20"/>
                <w:szCs w:val="20"/>
              </w:rPr>
            </w:pPr>
          </w:p>
        </w:tc>
        <w:tc>
          <w:tcPr>
            <w:tcW w:w="1221" w:type="dxa"/>
            <w:vMerge/>
            <w:tcBorders>
              <w:top w:val="nil"/>
              <w:left w:val="single" w:sz="4" w:space="0" w:color="auto"/>
              <w:bottom w:val="single" w:sz="4" w:space="0" w:color="auto"/>
              <w:right w:val="single" w:sz="4" w:space="0" w:color="auto"/>
            </w:tcBorders>
            <w:vAlign w:val="center"/>
            <w:hideMark/>
          </w:tcPr>
          <w:p w14:paraId="3A9B3081" w14:textId="77777777" w:rsidR="002415C2" w:rsidRPr="002415C2" w:rsidRDefault="002415C2" w:rsidP="002415C2">
            <w:pPr>
              <w:rPr>
                <w:color w:val="000000"/>
                <w:sz w:val="20"/>
                <w:szCs w:val="20"/>
              </w:rPr>
            </w:pPr>
          </w:p>
        </w:tc>
        <w:tc>
          <w:tcPr>
            <w:tcW w:w="939" w:type="dxa"/>
            <w:vMerge/>
            <w:tcBorders>
              <w:top w:val="nil"/>
              <w:left w:val="single" w:sz="4" w:space="0" w:color="auto"/>
              <w:bottom w:val="single" w:sz="4" w:space="0" w:color="auto"/>
              <w:right w:val="single" w:sz="4" w:space="0" w:color="auto"/>
            </w:tcBorders>
            <w:vAlign w:val="center"/>
            <w:hideMark/>
          </w:tcPr>
          <w:p w14:paraId="6EA0AA17" w14:textId="77777777" w:rsidR="002415C2" w:rsidRPr="002415C2" w:rsidRDefault="002415C2" w:rsidP="002415C2">
            <w:pPr>
              <w:rPr>
                <w:color w:val="000000"/>
                <w:sz w:val="20"/>
                <w:szCs w:val="20"/>
              </w:rPr>
            </w:pPr>
          </w:p>
        </w:tc>
      </w:tr>
      <w:tr w:rsidR="002415C2" w:rsidRPr="002415C2" w14:paraId="6DCCB71F" w14:textId="77777777" w:rsidTr="00C37F47">
        <w:trPr>
          <w:trHeight w:val="144"/>
        </w:trPr>
        <w:tc>
          <w:tcPr>
            <w:tcW w:w="810" w:type="dxa"/>
            <w:vMerge/>
            <w:tcBorders>
              <w:top w:val="nil"/>
              <w:left w:val="single" w:sz="4" w:space="0" w:color="auto"/>
              <w:bottom w:val="single" w:sz="4" w:space="0" w:color="auto"/>
              <w:right w:val="single" w:sz="4" w:space="0" w:color="auto"/>
            </w:tcBorders>
            <w:vAlign w:val="center"/>
            <w:hideMark/>
          </w:tcPr>
          <w:p w14:paraId="2D36EBBC" w14:textId="77777777" w:rsidR="002415C2" w:rsidRPr="002415C2" w:rsidRDefault="002415C2" w:rsidP="002415C2">
            <w:pPr>
              <w:rPr>
                <w:b/>
                <w:bCs/>
                <w:color w:val="000000"/>
                <w:sz w:val="20"/>
                <w:szCs w:val="20"/>
              </w:rPr>
            </w:pPr>
          </w:p>
        </w:tc>
        <w:tc>
          <w:tcPr>
            <w:tcW w:w="3300" w:type="dxa"/>
            <w:tcBorders>
              <w:top w:val="nil"/>
              <w:left w:val="nil"/>
              <w:bottom w:val="single" w:sz="4" w:space="0" w:color="auto"/>
              <w:right w:val="single" w:sz="4" w:space="0" w:color="auto"/>
            </w:tcBorders>
            <w:shd w:val="clear" w:color="auto" w:fill="auto"/>
            <w:vAlign w:val="center"/>
            <w:hideMark/>
          </w:tcPr>
          <w:p w14:paraId="2EFE53AE" w14:textId="77777777" w:rsidR="002415C2" w:rsidRPr="002415C2" w:rsidRDefault="002415C2" w:rsidP="002415C2">
            <w:pPr>
              <w:ind w:left="270" w:hanging="270"/>
              <w:rPr>
                <w:color w:val="000000"/>
                <w:sz w:val="20"/>
                <w:szCs w:val="20"/>
              </w:rPr>
            </w:pPr>
            <w:r w:rsidRPr="002415C2">
              <w:rPr>
                <w:color w:val="000000"/>
                <w:sz w:val="20"/>
                <w:szCs w:val="20"/>
              </w:rPr>
              <w:t>5: Private nonprofit less than 4-year</w:t>
            </w:r>
          </w:p>
        </w:tc>
        <w:tc>
          <w:tcPr>
            <w:tcW w:w="840" w:type="dxa"/>
            <w:vMerge/>
            <w:tcBorders>
              <w:top w:val="nil"/>
              <w:left w:val="single" w:sz="4" w:space="0" w:color="auto"/>
              <w:bottom w:val="single" w:sz="4" w:space="0" w:color="auto"/>
              <w:right w:val="single" w:sz="4" w:space="0" w:color="auto"/>
            </w:tcBorders>
            <w:vAlign w:val="center"/>
            <w:hideMark/>
          </w:tcPr>
          <w:p w14:paraId="6DDCFF84" w14:textId="77777777" w:rsidR="002415C2" w:rsidRPr="002415C2" w:rsidRDefault="002415C2" w:rsidP="002415C2">
            <w:pPr>
              <w:rPr>
                <w:color w:val="000000"/>
                <w:sz w:val="20"/>
                <w:szCs w:val="20"/>
              </w:rPr>
            </w:pPr>
          </w:p>
        </w:tc>
        <w:tc>
          <w:tcPr>
            <w:tcW w:w="900" w:type="dxa"/>
            <w:vMerge/>
            <w:tcBorders>
              <w:top w:val="nil"/>
              <w:left w:val="single" w:sz="4" w:space="0" w:color="auto"/>
              <w:bottom w:val="single" w:sz="4" w:space="0" w:color="auto"/>
              <w:right w:val="single" w:sz="4" w:space="0" w:color="auto"/>
            </w:tcBorders>
            <w:vAlign w:val="center"/>
            <w:hideMark/>
          </w:tcPr>
          <w:p w14:paraId="52436BD4" w14:textId="77777777" w:rsidR="002415C2" w:rsidRPr="002415C2" w:rsidRDefault="002415C2" w:rsidP="002415C2">
            <w:pPr>
              <w:rPr>
                <w:color w:val="000000"/>
                <w:sz w:val="20"/>
                <w:szCs w:val="20"/>
              </w:rPr>
            </w:pPr>
          </w:p>
        </w:tc>
        <w:tc>
          <w:tcPr>
            <w:tcW w:w="1170" w:type="dxa"/>
            <w:vMerge/>
            <w:tcBorders>
              <w:top w:val="nil"/>
              <w:left w:val="single" w:sz="4" w:space="0" w:color="auto"/>
              <w:bottom w:val="single" w:sz="4" w:space="0" w:color="auto"/>
              <w:right w:val="single" w:sz="4" w:space="0" w:color="auto"/>
            </w:tcBorders>
            <w:vAlign w:val="center"/>
            <w:hideMark/>
          </w:tcPr>
          <w:p w14:paraId="7F8C8E09" w14:textId="77777777" w:rsidR="002415C2" w:rsidRPr="002415C2" w:rsidRDefault="002415C2" w:rsidP="002415C2">
            <w:pPr>
              <w:rPr>
                <w:color w:val="000000"/>
                <w:sz w:val="20"/>
                <w:szCs w:val="20"/>
              </w:rPr>
            </w:pPr>
          </w:p>
        </w:tc>
        <w:tc>
          <w:tcPr>
            <w:tcW w:w="990" w:type="dxa"/>
            <w:vMerge/>
            <w:tcBorders>
              <w:top w:val="nil"/>
              <w:left w:val="single" w:sz="4" w:space="0" w:color="auto"/>
              <w:bottom w:val="single" w:sz="4" w:space="0" w:color="auto"/>
              <w:right w:val="single" w:sz="4" w:space="0" w:color="auto"/>
            </w:tcBorders>
            <w:vAlign w:val="center"/>
            <w:hideMark/>
          </w:tcPr>
          <w:p w14:paraId="4E31F04C" w14:textId="77777777" w:rsidR="002415C2" w:rsidRPr="002415C2" w:rsidRDefault="002415C2" w:rsidP="002415C2">
            <w:pPr>
              <w:rPr>
                <w:color w:val="000000"/>
                <w:sz w:val="20"/>
                <w:szCs w:val="20"/>
              </w:rPr>
            </w:pPr>
          </w:p>
        </w:tc>
        <w:tc>
          <w:tcPr>
            <w:tcW w:w="1221" w:type="dxa"/>
            <w:vMerge/>
            <w:tcBorders>
              <w:top w:val="nil"/>
              <w:left w:val="single" w:sz="4" w:space="0" w:color="auto"/>
              <w:bottom w:val="single" w:sz="4" w:space="0" w:color="auto"/>
              <w:right w:val="single" w:sz="4" w:space="0" w:color="auto"/>
            </w:tcBorders>
            <w:vAlign w:val="center"/>
            <w:hideMark/>
          </w:tcPr>
          <w:p w14:paraId="6CDC655B" w14:textId="77777777" w:rsidR="002415C2" w:rsidRPr="002415C2" w:rsidRDefault="002415C2" w:rsidP="002415C2">
            <w:pPr>
              <w:rPr>
                <w:color w:val="000000"/>
                <w:sz w:val="20"/>
                <w:szCs w:val="20"/>
              </w:rPr>
            </w:pPr>
          </w:p>
        </w:tc>
        <w:tc>
          <w:tcPr>
            <w:tcW w:w="939" w:type="dxa"/>
            <w:vMerge/>
            <w:tcBorders>
              <w:top w:val="nil"/>
              <w:left w:val="single" w:sz="4" w:space="0" w:color="auto"/>
              <w:bottom w:val="single" w:sz="4" w:space="0" w:color="auto"/>
              <w:right w:val="single" w:sz="4" w:space="0" w:color="auto"/>
            </w:tcBorders>
            <w:vAlign w:val="center"/>
            <w:hideMark/>
          </w:tcPr>
          <w:p w14:paraId="5E29346A" w14:textId="77777777" w:rsidR="002415C2" w:rsidRPr="002415C2" w:rsidRDefault="002415C2" w:rsidP="002415C2">
            <w:pPr>
              <w:rPr>
                <w:color w:val="000000"/>
                <w:sz w:val="20"/>
                <w:szCs w:val="20"/>
              </w:rPr>
            </w:pPr>
          </w:p>
        </w:tc>
      </w:tr>
      <w:tr w:rsidR="002415C2" w:rsidRPr="002415C2" w14:paraId="7DBF2850" w14:textId="77777777" w:rsidTr="00C37F47">
        <w:trPr>
          <w:trHeight w:val="144"/>
        </w:trPr>
        <w:tc>
          <w:tcPr>
            <w:tcW w:w="810" w:type="dxa"/>
            <w:vMerge/>
            <w:tcBorders>
              <w:top w:val="nil"/>
              <w:left w:val="single" w:sz="4" w:space="0" w:color="auto"/>
              <w:bottom w:val="single" w:sz="4" w:space="0" w:color="auto"/>
              <w:right w:val="single" w:sz="4" w:space="0" w:color="auto"/>
            </w:tcBorders>
            <w:vAlign w:val="center"/>
            <w:hideMark/>
          </w:tcPr>
          <w:p w14:paraId="619A20B0" w14:textId="77777777" w:rsidR="002415C2" w:rsidRPr="002415C2" w:rsidRDefault="002415C2" w:rsidP="002415C2">
            <w:pPr>
              <w:rPr>
                <w:b/>
                <w:bCs/>
                <w:color w:val="000000"/>
                <w:sz w:val="20"/>
                <w:szCs w:val="20"/>
              </w:rPr>
            </w:pPr>
          </w:p>
        </w:tc>
        <w:tc>
          <w:tcPr>
            <w:tcW w:w="3300" w:type="dxa"/>
            <w:tcBorders>
              <w:top w:val="nil"/>
              <w:left w:val="nil"/>
              <w:bottom w:val="single" w:sz="4" w:space="0" w:color="auto"/>
              <w:right w:val="single" w:sz="4" w:space="0" w:color="auto"/>
            </w:tcBorders>
            <w:shd w:val="clear" w:color="auto" w:fill="auto"/>
            <w:vAlign w:val="center"/>
            <w:hideMark/>
          </w:tcPr>
          <w:p w14:paraId="70E4E6A9" w14:textId="77777777" w:rsidR="002415C2" w:rsidRPr="002415C2" w:rsidRDefault="002415C2" w:rsidP="002415C2">
            <w:pPr>
              <w:ind w:left="270" w:hanging="270"/>
              <w:rPr>
                <w:color w:val="000000"/>
                <w:sz w:val="20"/>
                <w:szCs w:val="20"/>
              </w:rPr>
            </w:pPr>
            <w:r w:rsidRPr="002415C2">
              <w:rPr>
                <w:color w:val="000000"/>
                <w:sz w:val="20"/>
                <w:szCs w:val="20"/>
              </w:rPr>
              <w:t xml:space="preserve">6: Private nonprofit 4-year </w:t>
            </w:r>
            <w:proofErr w:type="spellStart"/>
            <w:r w:rsidRPr="002415C2">
              <w:rPr>
                <w:color w:val="000000"/>
                <w:sz w:val="20"/>
                <w:szCs w:val="20"/>
              </w:rPr>
              <w:t>nondoctorate</w:t>
            </w:r>
            <w:proofErr w:type="spellEnd"/>
          </w:p>
        </w:tc>
        <w:tc>
          <w:tcPr>
            <w:tcW w:w="840" w:type="dxa"/>
            <w:vMerge/>
            <w:tcBorders>
              <w:top w:val="nil"/>
              <w:left w:val="single" w:sz="4" w:space="0" w:color="auto"/>
              <w:bottom w:val="single" w:sz="4" w:space="0" w:color="auto"/>
              <w:right w:val="single" w:sz="4" w:space="0" w:color="auto"/>
            </w:tcBorders>
            <w:vAlign w:val="center"/>
            <w:hideMark/>
          </w:tcPr>
          <w:p w14:paraId="1871E2B9" w14:textId="77777777" w:rsidR="002415C2" w:rsidRPr="002415C2" w:rsidRDefault="002415C2" w:rsidP="002415C2">
            <w:pPr>
              <w:rPr>
                <w:color w:val="000000"/>
                <w:sz w:val="20"/>
                <w:szCs w:val="20"/>
              </w:rPr>
            </w:pPr>
          </w:p>
        </w:tc>
        <w:tc>
          <w:tcPr>
            <w:tcW w:w="900" w:type="dxa"/>
            <w:vMerge/>
            <w:tcBorders>
              <w:top w:val="nil"/>
              <w:left w:val="single" w:sz="4" w:space="0" w:color="auto"/>
              <w:bottom w:val="single" w:sz="4" w:space="0" w:color="auto"/>
              <w:right w:val="single" w:sz="4" w:space="0" w:color="auto"/>
            </w:tcBorders>
            <w:vAlign w:val="center"/>
            <w:hideMark/>
          </w:tcPr>
          <w:p w14:paraId="64139A76" w14:textId="77777777" w:rsidR="002415C2" w:rsidRPr="002415C2" w:rsidRDefault="002415C2" w:rsidP="002415C2">
            <w:pPr>
              <w:rPr>
                <w:color w:val="000000"/>
                <w:sz w:val="20"/>
                <w:szCs w:val="20"/>
              </w:rPr>
            </w:pPr>
          </w:p>
        </w:tc>
        <w:tc>
          <w:tcPr>
            <w:tcW w:w="1170" w:type="dxa"/>
            <w:vMerge/>
            <w:tcBorders>
              <w:top w:val="nil"/>
              <w:left w:val="single" w:sz="4" w:space="0" w:color="auto"/>
              <w:bottom w:val="single" w:sz="4" w:space="0" w:color="auto"/>
              <w:right w:val="single" w:sz="4" w:space="0" w:color="auto"/>
            </w:tcBorders>
            <w:vAlign w:val="center"/>
            <w:hideMark/>
          </w:tcPr>
          <w:p w14:paraId="5F19971A" w14:textId="77777777" w:rsidR="002415C2" w:rsidRPr="002415C2" w:rsidRDefault="002415C2" w:rsidP="002415C2">
            <w:pPr>
              <w:rPr>
                <w:color w:val="000000"/>
                <w:sz w:val="20"/>
                <w:szCs w:val="20"/>
              </w:rPr>
            </w:pPr>
          </w:p>
        </w:tc>
        <w:tc>
          <w:tcPr>
            <w:tcW w:w="990" w:type="dxa"/>
            <w:vMerge/>
            <w:tcBorders>
              <w:top w:val="nil"/>
              <w:left w:val="single" w:sz="4" w:space="0" w:color="auto"/>
              <w:bottom w:val="single" w:sz="4" w:space="0" w:color="auto"/>
              <w:right w:val="single" w:sz="4" w:space="0" w:color="auto"/>
            </w:tcBorders>
            <w:vAlign w:val="center"/>
            <w:hideMark/>
          </w:tcPr>
          <w:p w14:paraId="73C6B269" w14:textId="77777777" w:rsidR="002415C2" w:rsidRPr="002415C2" w:rsidRDefault="002415C2" w:rsidP="002415C2">
            <w:pPr>
              <w:rPr>
                <w:color w:val="000000"/>
                <w:sz w:val="20"/>
                <w:szCs w:val="20"/>
              </w:rPr>
            </w:pPr>
          </w:p>
        </w:tc>
        <w:tc>
          <w:tcPr>
            <w:tcW w:w="1221" w:type="dxa"/>
            <w:vMerge/>
            <w:tcBorders>
              <w:top w:val="nil"/>
              <w:left w:val="single" w:sz="4" w:space="0" w:color="auto"/>
              <w:bottom w:val="single" w:sz="4" w:space="0" w:color="auto"/>
              <w:right w:val="single" w:sz="4" w:space="0" w:color="auto"/>
            </w:tcBorders>
            <w:vAlign w:val="center"/>
            <w:hideMark/>
          </w:tcPr>
          <w:p w14:paraId="28B74A8D" w14:textId="77777777" w:rsidR="002415C2" w:rsidRPr="002415C2" w:rsidRDefault="002415C2" w:rsidP="002415C2">
            <w:pPr>
              <w:rPr>
                <w:color w:val="000000"/>
                <w:sz w:val="20"/>
                <w:szCs w:val="20"/>
              </w:rPr>
            </w:pPr>
          </w:p>
        </w:tc>
        <w:tc>
          <w:tcPr>
            <w:tcW w:w="939" w:type="dxa"/>
            <w:vMerge/>
            <w:tcBorders>
              <w:top w:val="nil"/>
              <w:left w:val="single" w:sz="4" w:space="0" w:color="auto"/>
              <w:bottom w:val="single" w:sz="4" w:space="0" w:color="auto"/>
              <w:right w:val="single" w:sz="4" w:space="0" w:color="auto"/>
            </w:tcBorders>
            <w:vAlign w:val="center"/>
            <w:hideMark/>
          </w:tcPr>
          <w:p w14:paraId="1AB3C5FD" w14:textId="77777777" w:rsidR="002415C2" w:rsidRPr="002415C2" w:rsidRDefault="002415C2" w:rsidP="002415C2">
            <w:pPr>
              <w:rPr>
                <w:color w:val="000000"/>
                <w:sz w:val="20"/>
                <w:szCs w:val="20"/>
              </w:rPr>
            </w:pPr>
          </w:p>
        </w:tc>
      </w:tr>
      <w:tr w:rsidR="002415C2" w:rsidRPr="002415C2" w14:paraId="41356895" w14:textId="77777777" w:rsidTr="00C37F47">
        <w:trPr>
          <w:trHeight w:val="144"/>
        </w:trPr>
        <w:tc>
          <w:tcPr>
            <w:tcW w:w="810" w:type="dxa"/>
            <w:vMerge/>
            <w:tcBorders>
              <w:top w:val="nil"/>
              <w:left w:val="single" w:sz="4" w:space="0" w:color="auto"/>
              <w:bottom w:val="single" w:sz="4" w:space="0" w:color="auto"/>
              <w:right w:val="single" w:sz="4" w:space="0" w:color="auto"/>
            </w:tcBorders>
            <w:vAlign w:val="center"/>
            <w:hideMark/>
          </w:tcPr>
          <w:p w14:paraId="297A881D" w14:textId="77777777" w:rsidR="002415C2" w:rsidRPr="002415C2" w:rsidRDefault="002415C2" w:rsidP="002415C2">
            <w:pPr>
              <w:rPr>
                <w:b/>
                <w:bCs/>
                <w:color w:val="000000"/>
                <w:sz w:val="20"/>
                <w:szCs w:val="20"/>
              </w:rPr>
            </w:pPr>
          </w:p>
        </w:tc>
        <w:tc>
          <w:tcPr>
            <w:tcW w:w="3300" w:type="dxa"/>
            <w:tcBorders>
              <w:top w:val="nil"/>
              <w:left w:val="nil"/>
              <w:bottom w:val="single" w:sz="4" w:space="0" w:color="auto"/>
              <w:right w:val="single" w:sz="4" w:space="0" w:color="auto"/>
            </w:tcBorders>
            <w:shd w:val="clear" w:color="auto" w:fill="auto"/>
            <w:vAlign w:val="center"/>
            <w:hideMark/>
          </w:tcPr>
          <w:p w14:paraId="5CC48E89" w14:textId="77777777" w:rsidR="002415C2" w:rsidRPr="002415C2" w:rsidRDefault="002415C2" w:rsidP="002415C2">
            <w:pPr>
              <w:ind w:left="270" w:hanging="270"/>
              <w:rPr>
                <w:color w:val="000000"/>
                <w:sz w:val="20"/>
                <w:szCs w:val="20"/>
              </w:rPr>
            </w:pPr>
            <w:r w:rsidRPr="002415C2">
              <w:rPr>
                <w:color w:val="000000"/>
                <w:sz w:val="20"/>
                <w:szCs w:val="20"/>
              </w:rPr>
              <w:t>7: Private nonprofit 4-year doctorate-granting</w:t>
            </w:r>
          </w:p>
        </w:tc>
        <w:tc>
          <w:tcPr>
            <w:tcW w:w="840" w:type="dxa"/>
            <w:vMerge/>
            <w:tcBorders>
              <w:top w:val="nil"/>
              <w:left w:val="single" w:sz="4" w:space="0" w:color="auto"/>
              <w:bottom w:val="single" w:sz="4" w:space="0" w:color="auto"/>
              <w:right w:val="single" w:sz="4" w:space="0" w:color="auto"/>
            </w:tcBorders>
            <w:vAlign w:val="center"/>
            <w:hideMark/>
          </w:tcPr>
          <w:p w14:paraId="7B9CFAFA" w14:textId="77777777" w:rsidR="002415C2" w:rsidRPr="002415C2" w:rsidRDefault="002415C2" w:rsidP="002415C2">
            <w:pPr>
              <w:rPr>
                <w:color w:val="000000"/>
                <w:sz w:val="20"/>
                <w:szCs w:val="20"/>
              </w:rPr>
            </w:pPr>
          </w:p>
        </w:tc>
        <w:tc>
          <w:tcPr>
            <w:tcW w:w="900" w:type="dxa"/>
            <w:vMerge/>
            <w:tcBorders>
              <w:top w:val="nil"/>
              <w:left w:val="single" w:sz="4" w:space="0" w:color="auto"/>
              <w:bottom w:val="single" w:sz="4" w:space="0" w:color="auto"/>
              <w:right w:val="single" w:sz="4" w:space="0" w:color="auto"/>
            </w:tcBorders>
            <w:vAlign w:val="center"/>
            <w:hideMark/>
          </w:tcPr>
          <w:p w14:paraId="50554786" w14:textId="77777777" w:rsidR="002415C2" w:rsidRPr="002415C2" w:rsidRDefault="002415C2" w:rsidP="002415C2">
            <w:pPr>
              <w:rPr>
                <w:color w:val="000000"/>
                <w:sz w:val="20"/>
                <w:szCs w:val="20"/>
              </w:rPr>
            </w:pPr>
          </w:p>
        </w:tc>
        <w:tc>
          <w:tcPr>
            <w:tcW w:w="1170" w:type="dxa"/>
            <w:vMerge/>
            <w:tcBorders>
              <w:top w:val="nil"/>
              <w:left w:val="single" w:sz="4" w:space="0" w:color="auto"/>
              <w:bottom w:val="single" w:sz="4" w:space="0" w:color="auto"/>
              <w:right w:val="single" w:sz="4" w:space="0" w:color="auto"/>
            </w:tcBorders>
            <w:vAlign w:val="center"/>
            <w:hideMark/>
          </w:tcPr>
          <w:p w14:paraId="72A5BF83" w14:textId="77777777" w:rsidR="002415C2" w:rsidRPr="002415C2" w:rsidRDefault="002415C2" w:rsidP="002415C2">
            <w:pPr>
              <w:rPr>
                <w:color w:val="000000"/>
                <w:sz w:val="20"/>
                <w:szCs w:val="20"/>
              </w:rPr>
            </w:pPr>
          </w:p>
        </w:tc>
        <w:tc>
          <w:tcPr>
            <w:tcW w:w="990" w:type="dxa"/>
            <w:vMerge/>
            <w:tcBorders>
              <w:top w:val="nil"/>
              <w:left w:val="single" w:sz="4" w:space="0" w:color="auto"/>
              <w:bottom w:val="single" w:sz="4" w:space="0" w:color="auto"/>
              <w:right w:val="single" w:sz="4" w:space="0" w:color="auto"/>
            </w:tcBorders>
            <w:vAlign w:val="center"/>
            <w:hideMark/>
          </w:tcPr>
          <w:p w14:paraId="5BB0EAA4" w14:textId="77777777" w:rsidR="002415C2" w:rsidRPr="002415C2" w:rsidRDefault="002415C2" w:rsidP="002415C2">
            <w:pPr>
              <w:rPr>
                <w:color w:val="000000"/>
                <w:sz w:val="20"/>
                <w:szCs w:val="20"/>
              </w:rPr>
            </w:pPr>
          </w:p>
        </w:tc>
        <w:tc>
          <w:tcPr>
            <w:tcW w:w="1221" w:type="dxa"/>
            <w:vMerge/>
            <w:tcBorders>
              <w:top w:val="nil"/>
              <w:left w:val="single" w:sz="4" w:space="0" w:color="auto"/>
              <w:bottom w:val="single" w:sz="4" w:space="0" w:color="auto"/>
              <w:right w:val="single" w:sz="4" w:space="0" w:color="auto"/>
            </w:tcBorders>
            <w:vAlign w:val="center"/>
            <w:hideMark/>
          </w:tcPr>
          <w:p w14:paraId="2D267EB4" w14:textId="77777777" w:rsidR="002415C2" w:rsidRPr="002415C2" w:rsidRDefault="002415C2" w:rsidP="002415C2">
            <w:pPr>
              <w:rPr>
                <w:color w:val="000000"/>
                <w:sz w:val="20"/>
                <w:szCs w:val="20"/>
              </w:rPr>
            </w:pPr>
          </w:p>
        </w:tc>
        <w:tc>
          <w:tcPr>
            <w:tcW w:w="939" w:type="dxa"/>
            <w:vMerge/>
            <w:tcBorders>
              <w:top w:val="nil"/>
              <w:left w:val="single" w:sz="4" w:space="0" w:color="auto"/>
              <w:bottom w:val="single" w:sz="4" w:space="0" w:color="auto"/>
              <w:right w:val="single" w:sz="4" w:space="0" w:color="auto"/>
            </w:tcBorders>
            <w:vAlign w:val="center"/>
            <w:hideMark/>
          </w:tcPr>
          <w:p w14:paraId="38D79329" w14:textId="77777777" w:rsidR="002415C2" w:rsidRPr="002415C2" w:rsidRDefault="002415C2" w:rsidP="002415C2">
            <w:pPr>
              <w:rPr>
                <w:color w:val="000000"/>
                <w:sz w:val="20"/>
                <w:szCs w:val="20"/>
              </w:rPr>
            </w:pPr>
          </w:p>
        </w:tc>
      </w:tr>
      <w:tr w:rsidR="002415C2" w:rsidRPr="002415C2" w14:paraId="1AEDD2E9" w14:textId="77777777" w:rsidTr="00C37F47">
        <w:trPr>
          <w:trHeight w:val="144"/>
        </w:trPr>
        <w:tc>
          <w:tcPr>
            <w:tcW w:w="810" w:type="dxa"/>
            <w:tcBorders>
              <w:top w:val="nil"/>
              <w:left w:val="single" w:sz="4" w:space="0" w:color="auto"/>
              <w:bottom w:val="single" w:sz="4" w:space="0" w:color="auto"/>
              <w:right w:val="single" w:sz="4" w:space="0" w:color="auto"/>
            </w:tcBorders>
            <w:shd w:val="clear" w:color="auto" w:fill="auto"/>
            <w:vAlign w:val="center"/>
            <w:hideMark/>
          </w:tcPr>
          <w:p w14:paraId="38F9EA0E" w14:textId="77777777" w:rsidR="002415C2" w:rsidRPr="002415C2" w:rsidRDefault="002415C2" w:rsidP="002415C2">
            <w:pPr>
              <w:rPr>
                <w:b/>
                <w:bCs/>
                <w:color w:val="000000"/>
                <w:sz w:val="20"/>
                <w:szCs w:val="20"/>
              </w:rPr>
            </w:pPr>
            <w:r w:rsidRPr="002415C2">
              <w:rPr>
                <w:b/>
                <w:bCs/>
                <w:color w:val="000000"/>
                <w:sz w:val="20"/>
                <w:szCs w:val="20"/>
              </w:rPr>
              <w:t>C</w:t>
            </w:r>
          </w:p>
        </w:tc>
        <w:tc>
          <w:tcPr>
            <w:tcW w:w="3300" w:type="dxa"/>
            <w:tcBorders>
              <w:top w:val="nil"/>
              <w:left w:val="nil"/>
              <w:bottom w:val="single" w:sz="4" w:space="0" w:color="auto"/>
              <w:right w:val="single" w:sz="4" w:space="0" w:color="auto"/>
            </w:tcBorders>
            <w:shd w:val="clear" w:color="auto" w:fill="auto"/>
            <w:vAlign w:val="center"/>
            <w:hideMark/>
          </w:tcPr>
          <w:p w14:paraId="6694F154" w14:textId="77777777" w:rsidR="002415C2" w:rsidRPr="002415C2" w:rsidRDefault="002415C2" w:rsidP="002415C2">
            <w:pPr>
              <w:ind w:left="270" w:hanging="270"/>
              <w:rPr>
                <w:color w:val="000000"/>
                <w:sz w:val="20"/>
                <w:szCs w:val="20"/>
              </w:rPr>
            </w:pPr>
            <w:r w:rsidRPr="002415C2">
              <w:rPr>
                <w:color w:val="000000"/>
                <w:sz w:val="20"/>
                <w:szCs w:val="20"/>
              </w:rPr>
              <w:t>8: Private for-profit less-than-2-year</w:t>
            </w:r>
          </w:p>
        </w:tc>
        <w:tc>
          <w:tcPr>
            <w:tcW w:w="840" w:type="dxa"/>
            <w:tcBorders>
              <w:top w:val="nil"/>
              <w:left w:val="nil"/>
              <w:bottom w:val="single" w:sz="4" w:space="0" w:color="auto"/>
              <w:right w:val="single" w:sz="4" w:space="0" w:color="auto"/>
            </w:tcBorders>
            <w:shd w:val="clear" w:color="auto" w:fill="auto"/>
            <w:noWrap/>
            <w:vAlign w:val="center"/>
            <w:hideMark/>
          </w:tcPr>
          <w:p w14:paraId="7AFAFFF9" w14:textId="77777777" w:rsidR="002415C2" w:rsidRPr="002415C2" w:rsidRDefault="002415C2" w:rsidP="002415C2">
            <w:pPr>
              <w:jc w:val="center"/>
              <w:rPr>
                <w:color w:val="000000"/>
                <w:sz w:val="20"/>
                <w:szCs w:val="20"/>
              </w:rPr>
            </w:pPr>
            <w:r w:rsidRPr="002415C2">
              <w:rPr>
                <w:color w:val="000000"/>
                <w:sz w:val="20"/>
                <w:szCs w:val="20"/>
              </w:rPr>
              <w:t>1,450</w:t>
            </w:r>
          </w:p>
        </w:tc>
        <w:tc>
          <w:tcPr>
            <w:tcW w:w="900" w:type="dxa"/>
            <w:tcBorders>
              <w:top w:val="nil"/>
              <w:left w:val="nil"/>
              <w:bottom w:val="single" w:sz="4" w:space="0" w:color="auto"/>
              <w:right w:val="single" w:sz="4" w:space="0" w:color="auto"/>
            </w:tcBorders>
            <w:shd w:val="clear" w:color="auto" w:fill="auto"/>
            <w:vAlign w:val="center"/>
            <w:hideMark/>
          </w:tcPr>
          <w:p w14:paraId="0A3AF935" w14:textId="77777777" w:rsidR="002415C2" w:rsidRPr="002415C2" w:rsidRDefault="002415C2" w:rsidP="002415C2">
            <w:pPr>
              <w:jc w:val="center"/>
              <w:rPr>
                <w:color w:val="000000"/>
                <w:sz w:val="20"/>
                <w:szCs w:val="20"/>
              </w:rPr>
            </w:pPr>
            <w:r w:rsidRPr="002415C2">
              <w:rPr>
                <w:color w:val="000000"/>
                <w:sz w:val="20"/>
                <w:szCs w:val="20"/>
              </w:rPr>
              <w:t>723</w:t>
            </w:r>
          </w:p>
        </w:tc>
        <w:tc>
          <w:tcPr>
            <w:tcW w:w="1170" w:type="dxa"/>
            <w:tcBorders>
              <w:top w:val="nil"/>
              <w:left w:val="nil"/>
              <w:bottom w:val="single" w:sz="4" w:space="0" w:color="auto"/>
              <w:right w:val="single" w:sz="4" w:space="0" w:color="auto"/>
            </w:tcBorders>
            <w:shd w:val="clear" w:color="auto" w:fill="auto"/>
            <w:noWrap/>
            <w:vAlign w:val="center"/>
            <w:hideMark/>
          </w:tcPr>
          <w:p w14:paraId="13772293" w14:textId="77777777" w:rsidR="002415C2" w:rsidRPr="002415C2" w:rsidRDefault="002415C2" w:rsidP="002415C2">
            <w:pPr>
              <w:jc w:val="center"/>
              <w:rPr>
                <w:color w:val="000000"/>
                <w:sz w:val="20"/>
                <w:szCs w:val="20"/>
              </w:rPr>
            </w:pPr>
            <w:r w:rsidRPr="002415C2">
              <w:rPr>
                <w:color w:val="000000"/>
                <w:sz w:val="20"/>
                <w:szCs w:val="20"/>
              </w:rPr>
              <w:t>727</w:t>
            </w:r>
          </w:p>
        </w:tc>
        <w:tc>
          <w:tcPr>
            <w:tcW w:w="990" w:type="dxa"/>
            <w:tcBorders>
              <w:top w:val="nil"/>
              <w:left w:val="nil"/>
              <w:bottom w:val="single" w:sz="4" w:space="0" w:color="auto"/>
              <w:right w:val="single" w:sz="4" w:space="0" w:color="auto"/>
            </w:tcBorders>
            <w:shd w:val="clear" w:color="auto" w:fill="auto"/>
            <w:noWrap/>
            <w:vAlign w:val="center"/>
            <w:hideMark/>
          </w:tcPr>
          <w:p w14:paraId="5C761D58" w14:textId="77777777" w:rsidR="002415C2" w:rsidRPr="002415C2" w:rsidRDefault="002415C2" w:rsidP="002415C2">
            <w:pPr>
              <w:jc w:val="center"/>
              <w:rPr>
                <w:color w:val="000000"/>
                <w:sz w:val="20"/>
                <w:szCs w:val="20"/>
              </w:rPr>
            </w:pPr>
            <w:r w:rsidRPr="002415C2">
              <w:rPr>
                <w:color w:val="000000"/>
                <w:sz w:val="20"/>
                <w:szCs w:val="20"/>
              </w:rPr>
              <w:t>0.715</w:t>
            </w:r>
          </w:p>
        </w:tc>
        <w:tc>
          <w:tcPr>
            <w:tcW w:w="1221" w:type="dxa"/>
            <w:tcBorders>
              <w:top w:val="nil"/>
              <w:left w:val="nil"/>
              <w:bottom w:val="single" w:sz="4" w:space="0" w:color="auto"/>
              <w:right w:val="single" w:sz="4" w:space="0" w:color="auto"/>
            </w:tcBorders>
            <w:shd w:val="clear" w:color="auto" w:fill="auto"/>
            <w:noWrap/>
            <w:vAlign w:val="center"/>
            <w:hideMark/>
          </w:tcPr>
          <w:p w14:paraId="3A509ECC" w14:textId="77777777" w:rsidR="002415C2" w:rsidRPr="002415C2" w:rsidRDefault="002415C2" w:rsidP="002415C2">
            <w:pPr>
              <w:jc w:val="center"/>
              <w:rPr>
                <w:color w:val="000000"/>
                <w:sz w:val="20"/>
                <w:szCs w:val="20"/>
              </w:rPr>
            </w:pPr>
            <w:r w:rsidRPr="002415C2">
              <w:rPr>
                <w:color w:val="000000"/>
                <w:sz w:val="20"/>
                <w:szCs w:val="20"/>
              </w:rPr>
              <w:t>0.816</w:t>
            </w:r>
          </w:p>
        </w:tc>
        <w:tc>
          <w:tcPr>
            <w:tcW w:w="939" w:type="dxa"/>
            <w:tcBorders>
              <w:top w:val="nil"/>
              <w:left w:val="nil"/>
              <w:bottom w:val="single" w:sz="4" w:space="0" w:color="auto"/>
              <w:right w:val="single" w:sz="4" w:space="0" w:color="auto"/>
            </w:tcBorders>
            <w:shd w:val="clear" w:color="auto" w:fill="auto"/>
            <w:noWrap/>
            <w:vAlign w:val="center"/>
            <w:hideMark/>
          </w:tcPr>
          <w:p w14:paraId="41E8CC2E" w14:textId="77777777" w:rsidR="002415C2" w:rsidRPr="002415C2" w:rsidRDefault="002415C2" w:rsidP="002415C2">
            <w:pPr>
              <w:jc w:val="center"/>
              <w:rPr>
                <w:color w:val="000000"/>
                <w:sz w:val="20"/>
                <w:szCs w:val="20"/>
              </w:rPr>
            </w:pPr>
            <w:r w:rsidRPr="002415C2">
              <w:rPr>
                <w:color w:val="000000"/>
                <w:sz w:val="20"/>
                <w:szCs w:val="20"/>
              </w:rPr>
              <w:t>0.723</w:t>
            </w:r>
          </w:p>
        </w:tc>
      </w:tr>
      <w:tr w:rsidR="002415C2" w:rsidRPr="002415C2" w14:paraId="7CECDB4A" w14:textId="77777777" w:rsidTr="00C37F47">
        <w:trPr>
          <w:trHeight w:val="144"/>
        </w:trPr>
        <w:tc>
          <w:tcPr>
            <w:tcW w:w="810" w:type="dxa"/>
            <w:tcBorders>
              <w:top w:val="nil"/>
              <w:left w:val="single" w:sz="4" w:space="0" w:color="auto"/>
              <w:bottom w:val="single" w:sz="4" w:space="0" w:color="auto"/>
              <w:right w:val="single" w:sz="4" w:space="0" w:color="auto"/>
            </w:tcBorders>
            <w:shd w:val="clear" w:color="auto" w:fill="auto"/>
            <w:vAlign w:val="center"/>
            <w:hideMark/>
          </w:tcPr>
          <w:p w14:paraId="30C0F216" w14:textId="77777777" w:rsidR="002415C2" w:rsidRPr="002415C2" w:rsidRDefault="002415C2" w:rsidP="002415C2">
            <w:pPr>
              <w:rPr>
                <w:b/>
                <w:bCs/>
                <w:color w:val="000000"/>
                <w:sz w:val="20"/>
                <w:szCs w:val="20"/>
              </w:rPr>
            </w:pPr>
            <w:r w:rsidRPr="002415C2">
              <w:rPr>
                <w:b/>
                <w:bCs/>
                <w:color w:val="000000"/>
                <w:sz w:val="20"/>
                <w:szCs w:val="20"/>
              </w:rPr>
              <w:t>D</w:t>
            </w:r>
          </w:p>
        </w:tc>
        <w:tc>
          <w:tcPr>
            <w:tcW w:w="3300" w:type="dxa"/>
            <w:tcBorders>
              <w:top w:val="nil"/>
              <w:left w:val="nil"/>
              <w:bottom w:val="single" w:sz="4" w:space="0" w:color="auto"/>
              <w:right w:val="single" w:sz="4" w:space="0" w:color="auto"/>
            </w:tcBorders>
            <w:shd w:val="clear" w:color="auto" w:fill="auto"/>
            <w:vAlign w:val="center"/>
            <w:hideMark/>
          </w:tcPr>
          <w:p w14:paraId="75140DBB" w14:textId="77777777" w:rsidR="002415C2" w:rsidRPr="002415C2" w:rsidRDefault="002415C2" w:rsidP="002415C2">
            <w:pPr>
              <w:ind w:left="270" w:hanging="270"/>
              <w:rPr>
                <w:color w:val="000000"/>
                <w:sz w:val="20"/>
                <w:szCs w:val="20"/>
              </w:rPr>
            </w:pPr>
            <w:r w:rsidRPr="002415C2">
              <w:rPr>
                <w:color w:val="000000"/>
                <w:sz w:val="20"/>
                <w:szCs w:val="20"/>
              </w:rPr>
              <w:t>9: Private for-profit 2-year</w:t>
            </w:r>
          </w:p>
        </w:tc>
        <w:tc>
          <w:tcPr>
            <w:tcW w:w="840" w:type="dxa"/>
            <w:tcBorders>
              <w:top w:val="nil"/>
              <w:left w:val="nil"/>
              <w:bottom w:val="single" w:sz="4" w:space="0" w:color="auto"/>
              <w:right w:val="single" w:sz="4" w:space="0" w:color="auto"/>
            </w:tcBorders>
            <w:shd w:val="clear" w:color="auto" w:fill="auto"/>
            <w:noWrap/>
            <w:vAlign w:val="center"/>
            <w:hideMark/>
          </w:tcPr>
          <w:p w14:paraId="1D5FB3AD" w14:textId="77777777" w:rsidR="002415C2" w:rsidRPr="002415C2" w:rsidRDefault="002415C2" w:rsidP="002415C2">
            <w:pPr>
              <w:jc w:val="center"/>
              <w:rPr>
                <w:color w:val="000000"/>
                <w:sz w:val="20"/>
                <w:szCs w:val="20"/>
              </w:rPr>
            </w:pPr>
            <w:r w:rsidRPr="002415C2">
              <w:rPr>
                <w:color w:val="000000"/>
                <w:sz w:val="20"/>
                <w:szCs w:val="20"/>
              </w:rPr>
              <w:t>2,989</w:t>
            </w:r>
          </w:p>
        </w:tc>
        <w:tc>
          <w:tcPr>
            <w:tcW w:w="900" w:type="dxa"/>
            <w:tcBorders>
              <w:top w:val="nil"/>
              <w:left w:val="nil"/>
              <w:bottom w:val="single" w:sz="4" w:space="0" w:color="auto"/>
              <w:right w:val="single" w:sz="4" w:space="0" w:color="auto"/>
            </w:tcBorders>
            <w:shd w:val="clear" w:color="auto" w:fill="auto"/>
            <w:vAlign w:val="center"/>
            <w:hideMark/>
          </w:tcPr>
          <w:p w14:paraId="7B7CA752" w14:textId="77777777" w:rsidR="002415C2" w:rsidRPr="002415C2" w:rsidRDefault="002415C2" w:rsidP="002415C2">
            <w:pPr>
              <w:jc w:val="center"/>
              <w:rPr>
                <w:color w:val="000000"/>
                <w:sz w:val="20"/>
                <w:szCs w:val="20"/>
              </w:rPr>
            </w:pPr>
            <w:r w:rsidRPr="002415C2">
              <w:rPr>
                <w:color w:val="000000"/>
                <w:sz w:val="20"/>
                <w:szCs w:val="20"/>
              </w:rPr>
              <w:t>723</w:t>
            </w:r>
          </w:p>
        </w:tc>
        <w:tc>
          <w:tcPr>
            <w:tcW w:w="1170" w:type="dxa"/>
            <w:tcBorders>
              <w:top w:val="nil"/>
              <w:left w:val="nil"/>
              <w:bottom w:val="single" w:sz="4" w:space="0" w:color="auto"/>
              <w:right w:val="single" w:sz="4" w:space="0" w:color="auto"/>
            </w:tcBorders>
            <w:shd w:val="clear" w:color="auto" w:fill="auto"/>
            <w:noWrap/>
            <w:vAlign w:val="center"/>
            <w:hideMark/>
          </w:tcPr>
          <w:p w14:paraId="782BECD2" w14:textId="77777777" w:rsidR="002415C2" w:rsidRPr="002415C2" w:rsidRDefault="002415C2" w:rsidP="002415C2">
            <w:pPr>
              <w:jc w:val="center"/>
              <w:rPr>
                <w:color w:val="000000"/>
                <w:sz w:val="20"/>
                <w:szCs w:val="20"/>
              </w:rPr>
            </w:pPr>
            <w:r w:rsidRPr="002415C2">
              <w:rPr>
                <w:color w:val="000000"/>
                <w:sz w:val="20"/>
                <w:szCs w:val="20"/>
              </w:rPr>
              <w:t>2,266</w:t>
            </w:r>
          </w:p>
        </w:tc>
        <w:tc>
          <w:tcPr>
            <w:tcW w:w="990" w:type="dxa"/>
            <w:tcBorders>
              <w:top w:val="nil"/>
              <w:left w:val="nil"/>
              <w:bottom w:val="single" w:sz="4" w:space="0" w:color="auto"/>
              <w:right w:val="single" w:sz="4" w:space="0" w:color="auto"/>
            </w:tcBorders>
            <w:shd w:val="clear" w:color="auto" w:fill="auto"/>
            <w:noWrap/>
            <w:vAlign w:val="center"/>
            <w:hideMark/>
          </w:tcPr>
          <w:p w14:paraId="48293431" w14:textId="77777777" w:rsidR="002415C2" w:rsidRPr="002415C2" w:rsidRDefault="002415C2" w:rsidP="002415C2">
            <w:pPr>
              <w:jc w:val="center"/>
              <w:rPr>
                <w:color w:val="000000"/>
                <w:sz w:val="20"/>
                <w:szCs w:val="20"/>
              </w:rPr>
            </w:pPr>
            <w:r w:rsidRPr="002415C2">
              <w:rPr>
                <w:color w:val="000000"/>
                <w:sz w:val="20"/>
                <w:szCs w:val="20"/>
              </w:rPr>
              <w:t>0.861</w:t>
            </w:r>
          </w:p>
        </w:tc>
        <w:tc>
          <w:tcPr>
            <w:tcW w:w="1221" w:type="dxa"/>
            <w:tcBorders>
              <w:top w:val="nil"/>
              <w:left w:val="nil"/>
              <w:bottom w:val="single" w:sz="4" w:space="0" w:color="auto"/>
              <w:right w:val="single" w:sz="4" w:space="0" w:color="auto"/>
            </w:tcBorders>
            <w:shd w:val="clear" w:color="auto" w:fill="auto"/>
            <w:noWrap/>
            <w:vAlign w:val="center"/>
            <w:hideMark/>
          </w:tcPr>
          <w:p w14:paraId="6FC41809" w14:textId="77777777" w:rsidR="002415C2" w:rsidRPr="002415C2" w:rsidRDefault="002415C2" w:rsidP="002415C2">
            <w:pPr>
              <w:jc w:val="center"/>
              <w:rPr>
                <w:color w:val="000000"/>
                <w:sz w:val="20"/>
                <w:szCs w:val="20"/>
              </w:rPr>
            </w:pPr>
            <w:r w:rsidRPr="002415C2">
              <w:rPr>
                <w:color w:val="000000"/>
                <w:sz w:val="20"/>
                <w:szCs w:val="20"/>
              </w:rPr>
              <w:t>0.933</w:t>
            </w:r>
          </w:p>
        </w:tc>
        <w:tc>
          <w:tcPr>
            <w:tcW w:w="939" w:type="dxa"/>
            <w:tcBorders>
              <w:top w:val="nil"/>
              <w:left w:val="nil"/>
              <w:bottom w:val="single" w:sz="4" w:space="0" w:color="auto"/>
              <w:right w:val="single" w:sz="4" w:space="0" w:color="auto"/>
            </w:tcBorders>
            <w:shd w:val="clear" w:color="auto" w:fill="auto"/>
            <w:noWrap/>
            <w:vAlign w:val="center"/>
            <w:hideMark/>
          </w:tcPr>
          <w:p w14:paraId="50DB021C" w14:textId="77777777" w:rsidR="002415C2" w:rsidRPr="002415C2" w:rsidRDefault="002415C2" w:rsidP="002415C2">
            <w:pPr>
              <w:jc w:val="center"/>
              <w:rPr>
                <w:color w:val="000000"/>
                <w:sz w:val="20"/>
                <w:szCs w:val="20"/>
              </w:rPr>
            </w:pPr>
            <w:r w:rsidRPr="002415C2">
              <w:rPr>
                <w:color w:val="000000"/>
                <w:sz w:val="20"/>
                <w:szCs w:val="20"/>
              </w:rPr>
              <w:t>0.873</w:t>
            </w:r>
          </w:p>
        </w:tc>
      </w:tr>
      <w:tr w:rsidR="002415C2" w:rsidRPr="002415C2" w14:paraId="50A3FD14" w14:textId="77777777" w:rsidTr="00C37F47">
        <w:trPr>
          <w:trHeight w:val="144"/>
        </w:trPr>
        <w:tc>
          <w:tcPr>
            <w:tcW w:w="810" w:type="dxa"/>
            <w:tcBorders>
              <w:top w:val="nil"/>
              <w:left w:val="single" w:sz="4" w:space="0" w:color="auto"/>
              <w:bottom w:val="single" w:sz="4" w:space="0" w:color="auto"/>
              <w:right w:val="single" w:sz="4" w:space="0" w:color="auto"/>
            </w:tcBorders>
            <w:shd w:val="clear" w:color="auto" w:fill="auto"/>
            <w:vAlign w:val="center"/>
            <w:hideMark/>
          </w:tcPr>
          <w:p w14:paraId="25A58E09" w14:textId="77777777" w:rsidR="002415C2" w:rsidRPr="002415C2" w:rsidRDefault="002415C2" w:rsidP="002415C2">
            <w:pPr>
              <w:rPr>
                <w:b/>
                <w:bCs/>
                <w:color w:val="000000"/>
                <w:sz w:val="20"/>
                <w:szCs w:val="20"/>
              </w:rPr>
            </w:pPr>
            <w:r w:rsidRPr="002415C2">
              <w:rPr>
                <w:b/>
                <w:bCs/>
                <w:color w:val="000000"/>
                <w:sz w:val="20"/>
                <w:szCs w:val="20"/>
              </w:rPr>
              <w:t>E</w:t>
            </w:r>
          </w:p>
        </w:tc>
        <w:tc>
          <w:tcPr>
            <w:tcW w:w="3300" w:type="dxa"/>
            <w:tcBorders>
              <w:top w:val="nil"/>
              <w:left w:val="nil"/>
              <w:bottom w:val="single" w:sz="4" w:space="0" w:color="auto"/>
              <w:right w:val="single" w:sz="4" w:space="0" w:color="auto"/>
            </w:tcBorders>
            <w:shd w:val="clear" w:color="auto" w:fill="auto"/>
            <w:vAlign w:val="center"/>
            <w:hideMark/>
          </w:tcPr>
          <w:p w14:paraId="5B46B553" w14:textId="77777777" w:rsidR="002415C2" w:rsidRPr="002415C2" w:rsidRDefault="002415C2" w:rsidP="002415C2">
            <w:pPr>
              <w:ind w:left="270" w:hanging="270"/>
              <w:rPr>
                <w:color w:val="000000"/>
                <w:sz w:val="20"/>
                <w:szCs w:val="20"/>
              </w:rPr>
            </w:pPr>
            <w:r w:rsidRPr="002415C2">
              <w:rPr>
                <w:color w:val="000000"/>
                <w:sz w:val="20"/>
                <w:szCs w:val="20"/>
              </w:rPr>
              <w:t>10: Private for-profit 4-year</w:t>
            </w:r>
          </w:p>
        </w:tc>
        <w:tc>
          <w:tcPr>
            <w:tcW w:w="840" w:type="dxa"/>
            <w:tcBorders>
              <w:top w:val="nil"/>
              <w:left w:val="nil"/>
              <w:bottom w:val="single" w:sz="4" w:space="0" w:color="auto"/>
              <w:right w:val="single" w:sz="4" w:space="0" w:color="auto"/>
            </w:tcBorders>
            <w:shd w:val="clear" w:color="auto" w:fill="auto"/>
            <w:noWrap/>
            <w:vAlign w:val="center"/>
            <w:hideMark/>
          </w:tcPr>
          <w:p w14:paraId="42A72AFC" w14:textId="77777777" w:rsidR="002415C2" w:rsidRPr="002415C2" w:rsidRDefault="002415C2" w:rsidP="002415C2">
            <w:pPr>
              <w:jc w:val="center"/>
              <w:rPr>
                <w:color w:val="000000"/>
                <w:sz w:val="20"/>
                <w:szCs w:val="20"/>
              </w:rPr>
            </w:pPr>
            <w:r w:rsidRPr="002415C2">
              <w:rPr>
                <w:color w:val="000000"/>
                <w:sz w:val="20"/>
                <w:szCs w:val="20"/>
              </w:rPr>
              <w:t>8,401</w:t>
            </w:r>
          </w:p>
        </w:tc>
        <w:tc>
          <w:tcPr>
            <w:tcW w:w="900" w:type="dxa"/>
            <w:tcBorders>
              <w:top w:val="nil"/>
              <w:left w:val="nil"/>
              <w:bottom w:val="single" w:sz="4" w:space="0" w:color="auto"/>
              <w:right w:val="single" w:sz="4" w:space="0" w:color="auto"/>
            </w:tcBorders>
            <w:shd w:val="clear" w:color="auto" w:fill="auto"/>
            <w:vAlign w:val="center"/>
            <w:hideMark/>
          </w:tcPr>
          <w:p w14:paraId="2228ECBA" w14:textId="77777777" w:rsidR="002415C2" w:rsidRPr="002415C2" w:rsidRDefault="002415C2" w:rsidP="002415C2">
            <w:pPr>
              <w:jc w:val="center"/>
              <w:rPr>
                <w:color w:val="000000"/>
                <w:sz w:val="20"/>
                <w:szCs w:val="20"/>
              </w:rPr>
            </w:pPr>
            <w:r w:rsidRPr="002415C2">
              <w:rPr>
                <w:color w:val="000000"/>
                <w:sz w:val="20"/>
                <w:szCs w:val="20"/>
              </w:rPr>
              <w:t>723</w:t>
            </w:r>
          </w:p>
        </w:tc>
        <w:tc>
          <w:tcPr>
            <w:tcW w:w="1170" w:type="dxa"/>
            <w:tcBorders>
              <w:top w:val="nil"/>
              <w:left w:val="nil"/>
              <w:bottom w:val="single" w:sz="4" w:space="0" w:color="auto"/>
              <w:right w:val="single" w:sz="4" w:space="0" w:color="auto"/>
            </w:tcBorders>
            <w:shd w:val="clear" w:color="auto" w:fill="auto"/>
            <w:noWrap/>
            <w:vAlign w:val="center"/>
            <w:hideMark/>
          </w:tcPr>
          <w:p w14:paraId="170E539F" w14:textId="77777777" w:rsidR="002415C2" w:rsidRPr="002415C2" w:rsidRDefault="002415C2" w:rsidP="002415C2">
            <w:pPr>
              <w:jc w:val="center"/>
              <w:rPr>
                <w:color w:val="000000"/>
                <w:sz w:val="20"/>
                <w:szCs w:val="20"/>
              </w:rPr>
            </w:pPr>
            <w:r w:rsidRPr="002415C2">
              <w:rPr>
                <w:color w:val="000000"/>
                <w:sz w:val="20"/>
                <w:szCs w:val="20"/>
              </w:rPr>
              <w:t>7,678</w:t>
            </w:r>
          </w:p>
        </w:tc>
        <w:tc>
          <w:tcPr>
            <w:tcW w:w="990" w:type="dxa"/>
            <w:tcBorders>
              <w:top w:val="nil"/>
              <w:left w:val="nil"/>
              <w:bottom w:val="single" w:sz="4" w:space="0" w:color="auto"/>
              <w:right w:val="single" w:sz="4" w:space="0" w:color="auto"/>
            </w:tcBorders>
            <w:shd w:val="clear" w:color="auto" w:fill="auto"/>
            <w:noWrap/>
            <w:vAlign w:val="center"/>
            <w:hideMark/>
          </w:tcPr>
          <w:p w14:paraId="1BAAA925" w14:textId="77777777" w:rsidR="002415C2" w:rsidRPr="002415C2" w:rsidRDefault="002415C2" w:rsidP="002415C2">
            <w:pPr>
              <w:jc w:val="center"/>
              <w:rPr>
                <w:color w:val="000000"/>
                <w:sz w:val="20"/>
                <w:szCs w:val="20"/>
              </w:rPr>
            </w:pPr>
            <w:r w:rsidRPr="002415C2">
              <w:rPr>
                <w:color w:val="000000"/>
                <w:sz w:val="20"/>
                <w:szCs w:val="20"/>
              </w:rPr>
              <w:t>0.912</w:t>
            </w:r>
          </w:p>
        </w:tc>
        <w:tc>
          <w:tcPr>
            <w:tcW w:w="1221" w:type="dxa"/>
            <w:tcBorders>
              <w:top w:val="nil"/>
              <w:left w:val="nil"/>
              <w:bottom w:val="single" w:sz="4" w:space="0" w:color="auto"/>
              <w:right w:val="single" w:sz="4" w:space="0" w:color="auto"/>
            </w:tcBorders>
            <w:shd w:val="clear" w:color="auto" w:fill="auto"/>
            <w:noWrap/>
            <w:vAlign w:val="center"/>
            <w:hideMark/>
          </w:tcPr>
          <w:p w14:paraId="7D27B49F" w14:textId="77777777" w:rsidR="002415C2" w:rsidRPr="002415C2" w:rsidRDefault="002415C2" w:rsidP="002415C2">
            <w:pPr>
              <w:jc w:val="center"/>
              <w:rPr>
                <w:color w:val="000000"/>
                <w:sz w:val="20"/>
                <w:szCs w:val="20"/>
              </w:rPr>
            </w:pPr>
            <w:r w:rsidRPr="002415C2">
              <w:rPr>
                <w:color w:val="000000"/>
                <w:sz w:val="20"/>
                <w:szCs w:val="20"/>
              </w:rPr>
              <w:t>0.964</w:t>
            </w:r>
          </w:p>
        </w:tc>
        <w:tc>
          <w:tcPr>
            <w:tcW w:w="939" w:type="dxa"/>
            <w:tcBorders>
              <w:top w:val="nil"/>
              <w:left w:val="nil"/>
              <w:bottom w:val="single" w:sz="4" w:space="0" w:color="auto"/>
              <w:right w:val="single" w:sz="4" w:space="0" w:color="auto"/>
            </w:tcBorders>
            <w:shd w:val="clear" w:color="auto" w:fill="auto"/>
            <w:noWrap/>
            <w:vAlign w:val="center"/>
            <w:hideMark/>
          </w:tcPr>
          <w:p w14:paraId="77494333" w14:textId="77777777" w:rsidR="002415C2" w:rsidRPr="002415C2" w:rsidRDefault="002415C2" w:rsidP="002415C2">
            <w:pPr>
              <w:jc w:val="center"/>
              <w:rPr>
                <w:color w:val="000000"/>
                <w:sz w:val="20"/>
                <w:szCs w:val="20"/>
              </w:rPr>
            </w:pPr>
            <w:r w:rsidRPr="002415C2">
              <w:rPr>
                <w:color w:val="000000"/>
                <w:sz w:val="20"/>
                <w:szCs w:val="20"/>
              </w:rPr>
              <w:t>0.921</w:t>
            </w:r>
          </w:p>
        </w:tc>
      </w:tr>
    </w:tbl>
    <w:p w14:paraId="3E30C45A" w14:textId="77777777" w:rsidR="002415C2" w:rsidRPr="002415C2" w:rsidRDefault="002415C2" w:rsidP="002415C2">
      <w:pPr>
        <w:spacing w:before="120" w:after="120"/>
        <w:ind w:firstLine="720"/>
      </w:pPr>
      <w:r w:rsidRPr="002415C2">
        <w:t>The final three columns of table 11 show how the power estimates vary depending upon the assumed values of the underlying absolute bias measures, and the third to last column specifically shows the worst case scenario where the bias measures are 50 percent. The overall control sample size is driven by sector group C which has the lowest available sample, and for some bias domains we may need to combine sectors C and D for analysis purposes. Given the sensitivity of power estimates to assumptions regarding the underlying treatment effect, there appears to be sufficient power to support the proposed calibration experiment across a wide range of possible scenarios.</w:t>
      </w:r>
    </w:p>
    <w:p w14:paraId="6FE99399" w14:textId="77777777" w:rsidR="002415C2" w:rsidRPr="002415C2" w:rsidRDefault="002415C2" w:rsidP="002415C2">
      <w:pPr>
        <w:spacing w:before="120" w:after="120"/>
        <w:ind w:firstLine="720"/>
      </w:pPr>
      <w:r w:rsidRPr="002415C2">
        <w:t xml:space="preserve">After the assignment of sample members to treatment and control groups, we will construct the two calibration samples: 1) previous respondents and 2) double </w:t>
      </w:r>
      <w:proofErr w:type="spellStart"/>
      <w:r w:rsidRPr="002415C2">
        <w:t>nonrespondents</w:t>
      </w:r>
      <w:proofErr w:type="spellEnd"/>
      <w:r w:rsidRPr="002415C2">
        <w:t>. The calibration sample of previous respondents (n=2,972) will be randomly split into two equally sized groups of 1,486 sample members. One group will receive a $10 pre-paid offer while the other will not receive the pre-paid offer.</w:t>
      </w:r>
      <w:r w:rsidRPr="002415C2">
        <w:rPr>
          <w:color w:val="00B0F0"/>
          <w:szCs w:val="20"/>
        </w:rPr>
        <w:t xml:space="preserve"> </w:t>
      </w:r>
      <w:r w:rsidRPr="002415C2">
        <w:rPr>
          <w:color w:val="000000" w:themeColor="text1"/>
          <w:szCs w:val="20"/>
        </w:rPr>
        <w:t>For a power of 0.80, a confidence level of 95 percent, and given the sample within each condition, the experiment of pre-paid amounts should detect a 5.0 percentage point difference in response rate using Pearson’s chi-square</w:t>
      </w:r>
      <w:r w:rsidRPr="002415C2">
        <w:rPr>
          <w:color w:val="000000" w:themeColor="text1"/>
          <w:sz w:val="18"/>
          <w:szCs w:val="18"/>
          <w:vertAlign w:val="superscript"/>
        </w:rPr>
        <w:footnoteReference w:id="9"/>
      </w:r>
      <w:r w:rsidRPr="002415C2">
        <w:rPr>
          <w:color w:val="000000" w:themeColor="text1"/>
          <w:szCs w:val="20"/>
        </w:rPr>
        <w:t>. This power calculation assumes a two-sided test of proportions as we are uncertain of the effect of offering the pre-paid incentive. In addition, for the power calculation, an initial baseline response rate of 36.0 percent was selected given that this was the observed response rate after six weeks of data collection for the BPS</w:t>
      </w:r>
      <w:proofErr w:type="gramStart"/>
      <w:r w:rsidRPr="002415C2">
        <w:rPr>
          <w:color w:val="000000" w:themeColor="text1"/>
          <w:szCs w:val="20"/>
        </w:rPr>
        <w:t>:12</w:t>
      </w:r>
      <w:proofErr w:type="gramEnd"/>
      <w:r w:rsidRPr="002415C2">
        <w:rPr>
          <w:color w:val="000000" w:themeColor="text1"/>
          <w:szCs w:val="20"/>
        </w:rPr>
        <w:t>/14 full scale study.</w:t>
      </w:r>
    </w:p>
    <w:p w14:paraId="6ED04BCA" w14:textId="77777777" w:rsidR="002415C2" w:rsidRPr="002415C2" w:rsidRDefault="002415C2" w:rsidP="002415C2">
      <w:pPr>
        <w:spacing w:before="120" w:after="120"/>
        <w:ind w:firstLine="720"/>
        <w:rPr>
          <w:color w:val="000000" w:themeColor="text1"/>
          <w:szCs w:val="20"/>
        </w:rPr>
      </w:pPr>
      <w:r w:rsidRPr="002415C2">
        <w:t xml:space="preserve">Similarly, we will randomly split the calibration sample of double </w:t>
      </w:r>
      <w:proofErr w:type="spellStart"/>
      <w:r w:rsidRPr="002415C2">
        <w:t>nonrespondents</w:t>
      </w:r>
      <w:proofErr w:type="spellEnd"/>
      <w:r w:rsidRPr="002415C2">
        <w:t xml:space="preserve"> (n=870) into two equally sized groups (n=435) where one group will receive a $30 baseline offer with an abbreviated interview, while the other will be offered the full interview and a total of $75. Using</w:t>
      </w:r>
      <w:r w:rsidRPr="002415C2">
        <w:rPr>
          <w:color w:val="000000" w:themeColor="text1"/>
          <w:szCs w:val="20"/>
        </w:rPr>
        <w:t xml:space="preserve"> a power of 0.80, a confidence level of 95 percent, and given sample available within each condition, the experiment among double </w:t>
      </w:r>
      <w:proofErr w:type="spellStart"/>
      <w:r w:rsidRPr="002415C2">
        <w:rPr>
          <w:color w:val="000000" w:themeColor="text1"/>
          <w:szCs w:val="20"/>
        </w:rPr>
        <w:t>nonrespondents</w:t>
      </w:r>
      <w:proofErr w:type="spellEnd"/>
      <w:r w:rsidRPr="002415C2">
        <w:rPr>
          <w:color w:val="000000" w:themeColor="text1"/>
          <w:szCs w:val="20"/>
        </w:rPr>
        <w:t xml:space="preserve"> should detect a 5.0 percent point difference in response rate using Pearson’s chi-square. This </w:t>
      </w:r>
      <w:r w:rsidRPr="002415C2">
        <w:t xml:space="preserve">power calculation assumes a two-sided test of proportions, as we have no prior data for which </w:t>
      </w:r>
      <w:r w:rsidRPr="002415C2">
        <w:lastRenderedPageBreak/>
        <w:t xml:space="preserve">special protocol will perform better with respect to response rate. </w:t>
      </w:r>
      <w:r w:rsidRPr="002415C2">
        <w:rPr>
          <w:color w:val="000000" w:themeColor="text1"/>
          <w:szCs w:val="20"/>
        </w:rPr>
        <w:t>For this calculation, we assumed the six week response rate for the protocol with the lower response rate would be 5.0 percent. For a test between two proportions, the power to detect a difference is dependent on the initially assumed baseline response rate. In the proposed scenario, with a one-sided test, the baseline response rate would be the response rate for the approach with the lower response rate at six weeks. We assumed that this response rate would be 5% for power calculations. If the six week response rate differs from 5% then the power of the test to detect a 5% difference in response rates would fluctuate as shown in table 12 below.</w:t>
      </w:r>
    </w:p>
    <w:p w14:paraId="47F88449" w14:textId="77777777" w:rsidR="002415C2" w:rsidRPr="002415C2" w:rsidRDefault="002415C2" w:rsidP="002415C2">
      <w:pPr>
        <w:keepNext/>
        <w:spacing w:before="120" w:after="60"/>
        <w:ind w:left="994" w:hanging="994"/>
        <w:rPr>
          <w:rFonts w:ascii="Arial" w:hAnsi="Arial"/>
          <w:b/>
          <w:sz w:val="20"/>
          <w:szCs w:val="20"/>
        </w:rPr>
      </w:pPr>
      <w:r w:rsidRPr="002415C2">
        <w:rPr>
          <w:rFonts w:ascii="Arial" w:hAnsi="Arial"/>
          <w:b/>
          <w:sz w:val="20"/>
          <w:szCs w:val="20"/>
        </w:rPr>
        <w:t xml:space="preserve"> </w:t>
      </w:r>
      <w:bookmarkStart w:id="15" w:name="_Toc456167115"/>
      <w:proofErr w:type="gramStart"/>
      <w:r w:rsidRPr="002415C2">
        <w:rPr>
          <w:rFonts w:ascii="Arial" w:hAnsi="Arial"/>
          <w:b/>
          <w:sz w:val="20"/>
          <w:szCs w:val="20"/>
        </w:rPr>
        <w:t>Table 12.</w:t>
      </w:r>
      <w:proofErr w:type="gramEnd"/>
      <w:r w:rsidRPr="002415C2">
        <w:rPr>
          <w:rFonts w:ascii="Arial" w:hAnsi="Arial"/>
          <w:b/>
          <w:sz w:val="20"/>
          <w:szCs w:val="20"/>
        </w:rPr>
        <w:t xml:space="preserve"> Power to detect 5 percent difference in response rate based on different baseline response rates</w:t>
      </w:r>
      <w:bookmarkEnd w:id="1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6"/>
        <w:gridCol w:w="5298"/>
      </w:tblGrid>
      <w:tr w:rsidR="002415C2" w:rsidRPr="002415C2" w14:paraId="72AA9CF4" w14:textId="77777777" w:rsidTr="00C37F47">
        <w:trPr>
          <w:trHeight w:val="144"/>
        </w:trPr>
        <w:tc>
          <w:tcPr>
            <w:tcW w:w="5000" w:type="pct"/>
            <w:gridSpan w:val="2"/>
            <w:shd w:val="clear" w:color="auto" w:fill="auto"/>
            <w:vAlign w:val="center"/>
          </w:tcPr>
          <w:p w14:paraId="23F7C0C2" w14:textId="77777777" w:rsidR="002415C2" w:rsidRPr="002415C2" w:rsidRDefault="002415C2" w:rsidP="002415C2">
            <w:pPr>
              <w:jc w:val="center"/>
              <w:rPr>
                <w:b/>
                <w:bCs/>
                <w:color w:val="000000"/>
                <w:sz w:val="20"/>
                <w:szCs w:val="20"/>
              </w:rPr>
            </w:pPr>
            <w:r w:rsidRPr="002415C2">
              <w:rPr>
                <w:b/>
                <w:bCs/>
                <w:color w:val="000000"/>
                <w:sz w:val="20"/>
                <w:szCs w:val="20"/>
              </w:rPr>
              <w:t>Alpha 0.05, Sample Size per group = 435, Detectable Difference 5%</w:t>
            </w:r>
          </w:p>
        </w:tc>
      </w:tr>
      <w:tr w:rsidR="002415C2" w:rsidRPr="002415C2" w14:paraId="18CB877D" w14:textId="77777777" w:rsidTr="00C37F47">
        <w:trPr>
          <w:trHeight w:val="144"/>
        </w:trPr>
        <w:tc>
          <w:tcPr>
            <w:tcW w:w="2497" w:type="pct"/>
            <w:shd w:val="clear" w:color="000000" w:fill="D9D9D9"/>
            <w:vAlign w:val="center"/>
            <w:hideMark/>
          </w:tcPr>
          <w:p w14:paraId="16542B9D" w14:textId="77777777" w:rsidR="002415C2" w:rsidRPr="002415C2" w:rsidRDefault="002415C2" w:rsidP="002415C2">
            <w:pPr>
              <w:jc w:val="center"/>
              <w:rPr>
                <w:b/>
                <w:bCs/>
                <w:color w:val="000000"/>
                <w:sz w:val="20"/>
                <w:szCs w:val="20"/>
              </w:rPr>
            </w:pPr>
            <w:r w:rsidRPr="002415C2">
              <w:rPr>
                <w:b/>
                <w:bCs/>
                <w:color w:val="000000"/>
                <w:sz w:val="20"/>
                <w:szCs w:val="20"/>
              </w:rPr>
              <w:t>Assumed Response Rate</w:t>
            </w:r>
          </w:p>
        </w:tc>
        <w:tc>
          <w:tcPr>
            <w:tcW w:w="2503" w:type="pct"/>
            <w:shd w:val="clear" w:color="000000" w:fill="D9D9D9"/>
            <w:vAlign w:val="center"/>
            <w:hideMark/>
          </w:tcPr>
          <w:p w14:paraId="3619D9F6" w14:textId="77777777" w:rsidR="002415C2" w:rsidRPr="002415C2" w:rsidRDefault="002415C2" w:rsidP="002415C2">
            <w:pPr>
              <w:jc w:val="center"/>
              <w:rPr>
                <w:b/>
                <w:bCs/>
                <w:color w:val="000000"/>
                <w:sz w:val="20"/>
                <w:szCs w:val="20"/>
              </w:rPr>
            </w:pPr>
            <w:r w:rsidRPr="002415C2">
              <w:rPr>
                <w:b/>
                <w:bCs/>
                <w:color w:val="000000"/>
                <w:sz w:val="20"/>
                <w:szCs w:val="20"/>
              </w:rPr>
              <w:t>Power to Detect Difference</w:t>
            </w:r>
          </w:p>
        </w:tc>
      </w:tr>
      <w:tr w:rsidR="002415C2" w:rsidRPr="002415C2" w14:paraId="1397A3DD" w14:textId="77777777" w:rsidTr="00C37F47">
        <w:trPr>
          <w:trHeight w:val="144"/>
        </w:trPr>
        <w:tc>
          <w:tcPr>
            <w:tcW w:w="2497" w:type="pct"/>
            <w:shd w:val="clear" w:color="auto" w:fill="auto"/>
            <w:vAlign w:val="center"/>
            <w:hideMark/>
          </w:tcPr>
          <w:p w14:paraId="53198713" w14:textId="77777777" w:rsidR="002415C2" w:rsidRPr="002415C2" w:rsidRDefault="002415C2" w:rsidP="002415C2">
            <w:pPr>
              <w:jc w:val="center"/>
              <w:rPr>
                <w:color w:val="000000"/>
                <w:sz w:val="20"/>
                <w:szCs w:val="20"/>
              </w:rPr>
            </w:pPr>
            <w:r w:rsidRPr="002415C2">
              <w:rPr>
                <w:color w:val="000000"/>
                <w:sz w:val="20"/>
                <w:szCs w:val="20"/>
              </w:rPr>
              <w:t>1%</w:t>
            </w:r>
          </w:p>
        </w:tc>
        <w:tc>
          <w:tcPr>
            <w:tcW w:w="2503" w:type="pct"/>
            <w:shd w:val="clear" w:color="auto" w:fill="auto"/>
            <w:noWrap/>
            <w:vAlign w:val="center"/>
            <w:hideMark/>
          </w:tcPr>
          <w:p w14:paraId="155FB461" w14:textId="77777777" w:rsidR="002415C2" w:rsidRPr="002415C2" w:rsidRDefault="002415C2" w:rsidP="002415C2">
            <w:pPr>
              <w:jc w:val="center"/>
              <w:rPr>
                <w:color w:val="000000"/>
                <w:sz w:val="20"/>
                <w:szCs w:val="20"/>
              </w:rPr>
            </w:pPr>
            <w:r w:rsidRPr="002415C2">
              <w:rPr>
                <w:color w:val="000000"/>
                <w:sz w:val="20"/>
                <w:szCs w:val="20"/>
              </w:rPr>
              <w:t>98%</w:t>
            </w:r>
          </w:p>
        </w:tc>
      </w:tr>
      <w:tr w:rsidR="002415C2" w:rsidRPr="002415C2" w14:paraId="430C7FB1" w14:textId="77777777" w:rsidTr="00C37F47">
        <w:trPr>
          <w:trHeight w:val="144"/>
        </w:trPr>
        <w:tc>
          <w:tcPr>
            <w:tcW w:w="2497" w:type="pct"/>
            <w:vAlign w:val="center"/>
          </w:tcPr>
          <w:p w14:paraId="3B7618B9" w14:textId="77777777" w:rsidR="002415C2" w:rsidRPr="002415C2" w:rsidRDefault="002415C2" w:rsidP="002415C2">
            <w:pPr>
              <w:jc w:val="center"/>
              <w:rPr>
                <w:color w:val="000000"/>
                <w:sz w:val="20"/>
                <w:szCs w:val="20"/>
              </w:rPr>
            </w:pPr>
            <w:r w:rsidRPr="002415C2">
              <w:rPr>
                <w:color w:val="000000"/>
                <w:sz w:val="20"/>
                <w:szCs w:val="20"/>
              </w:rPr>
              <w:t>5%</w:t>
            </w:r>
          </w:p>
        </w:tc>
        <w:tc>
          <w:tcPr>
            <w:tcW w:w="2503" w:type="pct"/>
            <w:vAlign w:val="center"/>
          </w:tcPr>
          <w:p w14:paraId="3C9F36F7" w14:textId="77777777" w:rsidR="002415C2" w:rsidRPr="002415C2" w:rsidRDefault="002415C2" w:rsidP="002415C2">
            <w:pPr>
              <w:jc w:val="center"/>
              <w:rPr>
                <w:color w:val="000000"/>
                <w:sz w:val="20"/>
                <w:szCs w:val="20"/>
              </w:rPr>
            </w:pPr>
            <w:r w:rsidRPr="002415C2">
              <w:rPr>
                <w:color w:val="000000"/>
                <w:sz w:val="20"/>
                <w:szCs w:val="20"/>
              </w:rPr>
              <w:t>80%</w:t>
            </w:r>
          </w:p>
        </w:tc>
      </w:tr>
      <w:tr w:rsidR="002415C2" w:rsidRPr="002415C2" w14:paraId="4CB0F09A" w14:textId="77777777" w:rsidTr="00C37F47">
        <w:trPr>
          <w:trHeight w:val="144"/>
        </w:trPr>
        <w:tc>
          <w:tcPr>
            <w:tcW w:w="2497" w:type="pct"/>
            <w:vAlign w:val="center"/>
          </w:tcPr>
          <w:p w14:paraId="518B7A99" w14:textId="77777777" w:rsidR="002415C2" w:rsidRPr="002415C2" w:rsidRDefault="002415C2" w:rsidP="002415C2">
            <w:pPr>
              <w:jc w:val="center"/>
              <w:rPr>
                <w:color w:val="000000"/>
                <w:sz w:val="20"/>
                <w:szCs w:val="20"/>
              </w:rPr>
            </w:pPr>
            <w:r w:rsidRPr="002415C2">
              <w:rPr>
                <w:color w:val="000000"/>
                <w:sz w:val="20"/>
                <w:szCs w:val="20"/>
              </w:rPr>
              <w:t>10%</w:t>
            </w:r>
          </w:p>
        </w:tc>
        <w:tc>
          <w:tcPr>
            <w:tcW w:w="2503" w:type="pct"/>
            <w:vAlign w:val="center"/>
          </w:tcPr>
          <w:p w14:paraId="6EEB1C7E" w14:textId="77777777" w:rsidR="002415C2" w:rsidRPr="002415C2" w:rsidRDefault="002415C2" w:rsidP="002415C2">
            <w:pPr>
              <w:jc w:val="center"/>
              <w:rPr>
                <w:color w:val="000000"/>
                <w:sz w:val="20"/>
                <w:szCs w:val="20"/>
              </w:rPr>
            </w:pPr>
            <w:r w:rsidRPr="002415C2">
              <w:rPr>
                <w:color w:val="000000"/>
                <w:sz w:val="20"/>
                <w:szCs w:val="20"/>
              </w:rPr>
              <w:t>61%</w:t>
            </w:r>
          </w:p>
        </w:tc>
      </w:tr>
    </w:tbl>
    <w:p w14:paraId="3B0B3443" w14:textId="77777777" w:rsidR="002415C2" w:rsidRDefault="002415C2" w:rsidP="00B5720D">
      <w:pPr>
        <w:pStyle w:val="Bodytextnoindent"/>
        <w:spacing w:beforeLines="120" w:before="288" w:afterLines="120" w:after="288" w:line="276" w:lineRule="auto"/>
        <w:jc w:val="both"/>
      </w:pPr>
    </w:p>
    <w:sectPr w:rsidR="002415C2" w:rsidSect="00526400">
      <w:headerReference w:type="even" r:id="rId21"/>
      <w:footerReference w:type="default" r:id="rId22"/>
      <w:pgSz w:w="12240" w:h="15840" w:code="1"/>
      <w:pgMar w:top="936" w:right="936" w:bottom="720" w:left="936" w:header="432" w:footer="432"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0C3833" w14:textId="77777777" w:rsidR="00EB3A54" w:rsidRDefault="00EB3A54">
      <w:r>
        <w:separator/>
      </w:r>
    </w:p>
  </w:endnote>
  <w:endnote w:type="continuationSeparator" w:id="0">
    <w:p w14:paraId="04FFF388" w14:textId="77777777" w:rsidR="00EB3A54" w:rsidRDefault="00EB3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Haettenschweiler">
    <w:panose1 w:val="020B070604090206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ITC Avant Garde Std Bk">
    <w:altName w:val="Cambria"/>
    <w:panose1 w:val="00000000000000000000"/>
    <w:charset w:val="00"/>
    <w:family w:val="swiss"/>
    <w:notTrueType/>
    <w:pitch w:val="variable"/>
    <w:sig w:usb0="800000AF" w:usb1="4000204A"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CAD896" w14:textId="22357614" w:rsidR="0071252D" w:rsidRDefault="0071252D" w:rsidP="00C37F47">
    <w:pPr>
      <w:pStyle w:val="NCESevenfooter"/>
      <w:tabs>
        <w:tab w:val="clear" w:pos="9360"/>
      </w:tabs>
      <w:jc w:val="center"/>
    </w:pPr>
    <w:r>
      <w:fldChar w:fldCharType="begin"/>
    </w:r>
    <w:r>
      <w:instrText xml:space="preserve"> PAGE   \* MERGEFORMAT </w:instrText>
    </w:r>
    <w:r>
      <w:fldChar w:fldCharType="separate"/>
    </w:r>
    <w:r w:rsidR="00DA1F0B">
      <w:rPr>
        <w:noProof/>
      </w:rPr>
      <w:t>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125BA0" w14:textId="44D531E5" w:rsidR="0071252D" w:rsidRDefault="0071252D">
    <w:pPr>
      <w:pStyle w:val="NCESoddfooter"/>
    </w:pPr>
    <w:r w:rsidRPr="00E84DB5">
      <w:t>Supporting Statement Request</w:t>
    </w:r>
    <w:r>
      <w:t xml:space="preserve"> </w:t>
    </w:r>
    <w:r w:rsidRPr="00E84DB5">
      <w:t>for OMB Review</w:t>
    </w:r>
    <w:r>
      <w:rPr>
        <w:rStyle w:val="PageNumber"/>
        <w:szCs w:val="20"/>
      </w:rPr>
      <w:tab/>
    </w:r>
    <w:r>
      <w:rPr>
        <w:rStyle w:val="PageNumber"/>
      </w:rPr>
      <w:fldChar w:fldCharType="begin"/>
    </w:r>
    <w:r>
      <w:rPr>
        <w:rStyle w:val="PageNumber"/>
        <w:szCs w:val="20"/>
      </w:rPr>
      <w:instrText xml:space="preserve"> PAGE </w:instrText>
    </w:r>
    <w:r>
      <w:rPr>
        <w:rStyle w:val="PageNumber"/>
      </w:rPr>
      <w:fldChar w:fldCharType="separate"/>
    </w:r>
    <w:r w:rsidR="00DA1F0B">
      <w:rPr>
        <w:rStyle w:val="PageNumber"/>
        <w:noProof/>
        <w:szCs w:val="20"/>
      </w:rPr>
      <w:t>1</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3C1469" w14:textId="68616178" w:rsidR="0071252D" w:rsidRDefault="0071252D" w:rsidP="00C37F47">
    <w:pPr>
      <w:pStyle w:val="NCESevenfooter"/>
      <w:tabs>
        <w:tab w:val="clear" w:pos="9360"/>
      </w:tabs>
      <w:jc w:val="center"/>
    </w:pPr>
    <w:r>
      <w:fldChar w:fldCharType="begin"/>
    </w:r>
    <w:r>
      <w:instrText xml:space="preserve"> PAGE   \* MERGEFORMAT </w:instrText>
    </w:r>
    <w:r>
      <w:fldChar w:fldCharType="separate"/>
    </w:r>
    <w:r w:rsidR="00DA1F0B">
      <w:rPr>
        <w:noProof/>
      </w:rPr>
      <w:t>9</w:t>
    </w:r>
    <w:r>
      <w:rPr>
        <w:noProof/>
      </w:rPr>
      <w:fldChar w:fldCharType="end"/>
    </w:r>
  </w:p>
  <w:p w14:paraId="08E7DAA9" w14:textId="77777777" w:rsidR="0071252D" w:rsidRDefault="0071252D" w:rsidP="00C37F47">
    <w:pPr>
      <w:pStyle w:val="Footer"/>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7819523"/>
      <w:docPartObj>
        <w:docPartGallery w:val="Page Numbers (Bottom of Page)"/>
        <w:docPartUnique/>
      </w:docPartObj>
    </w:sdtPr>
    <w:sdtEndPr>
      <w:rPr>
        <w:noProof/>
      </w:rPr>
    </w:sdtEndPr>
    <w:sdtContent>
      <w:p w14:paraId="0528C869" w14:textId="5E3CF531" w:rsidR="0071252D" w:rsidRDefault="0071252D" w:rsidP="005E46AA">
        <w:pPr>
          <w:pStyle w:val="Footer"/>
          <w:jc w:val="center"/>
        </w:pPr>
        <w:r>
          <w:fldChar w:fldCharType="begin"/>
        </w:r>
        <w:r>
          <w:instrText xml:space="preserve"> PAGE   \* MERGEFORMAT </w:instrText>
        </w:r>
        <w:r>
          <w:fldChar w:fldCharType="separate"/>
        </w:r>
        <w:r w:rsidR="00DA1F0B">
          <w:rPr>
            <w:noProof/>
          </w:rPr>
          <w:t>3</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3D3486" w14:textId="77777777" w:rsidR="00EB3A54" w:rsidRDefault="00EB3A54">
      <w:r>
        <w:separator/>
      </w:r>
    </w:p>
  </w:footnote>
  <w:footnote w:type="continuationSeparator" w:id="0">
    <w:p w14:paraId="1FBC91DD" w14:textId="77777777" w:rsidR="00EB3A54" w:rsidRDefault="00EB3A54">
      <w:r>
        <w:continuationSeparator/>
      </w:r>
    </w:p>
  </w:footnote>
  <w:footnote w:id="1">
    <w:p w14:paraId="69F5FA91" w14:textId="77777777" w:rsidR="0071252D" w:rsidRDefault="0071252D" w:rsidP="00755CBE">
      <w:pPr>
        <w:pStyle w:val="FootnoteText"/>
      </w:pPr>
      <w:r>
        <w:rPr>
          <w:rStyle w:val="FootnoteReference"/>
        </w:rPr>
        <w:footnoteRef/>
      </w:r>
      <w:r>
        <w:t xml:space="preserve"> All double </w:t>
      </w:r>
      <w:proofErr w:type="spellStart"/>
      <w:r>
        <w:t>nonrespondents</w:t>
      </w:r>
      <w:proofErr w:type="spellEnd"/>
      <w:r>
        <w:t xml:space="preserve"> were offered the prepaid $10 through PayPal. </w:t>
      </w:r>
    </w:p>
  </w:footnote>
  <w:footnote w:id="2">
    <w:p w14:paraId="4998DC0E" w14:textId="6A81EDFD" w:rsidR="002A25F0" w:rsidRDefault="002A25F0">
      <w:pPr>
        <w:pStyle w:val="FootnoteText"/>
      </w:pPr>
      <w:r>
        <w:rPr>
          <w:rStyle w:val="FootnoteReference"/>
        </w:rPr>
        <w:footnoteRef/>
      </w:r>
      <w:r>
        <w:t xml:space="preserve"> The original BPS</w:t>
      </w:r>
      <w:proofErr w:type="gramStart"/>
      <w:r>
        <w:t>:12</w:t>
      </w:r>
      <w:proofErr w:type="gramEnd"/>
      <w:r>
        <w:t xml:space="preserve">/17 responsive design plan, as written in Part B, gave all double </w:t>
      </w:r>
      <w:proofErr w:type="spellStart"/>
      <w:r>
        <w:t>nonrespondents</w:t>
      </w:r>
      <w:proofErr w:type="spellEnd"/>
      <w:r>
        <w:t xml:space="preserve"> the prepaid incentive. However, given the negative impact on response rates for previous respondents, NCES recommends not offering the prepaid offer to any group.</w:t>
      </w:r>
    </w:p>
  </w:footnote>
  <w:footnote w:id="3">
    <w:p w14:paraId="6F916B9D" w14:textId="77777777" w:rsidR="0071252D" w:rsidRDefault="0071252D" w:rsidP="002415C2">
      <w:pPr>
        <w:pStyle w:val="FootnoteText"/>
      </w:pPr>
      <w:r>
        <w:rPr>
          <w:rStyle w:val="FootnoteReference"/>
        </w:rPr>
        <w:footnoteRef/>
      </w:r>
      <w:r>
        <w:t xml:space="preserve"> This section addresses the following BPS terms of clearance: (1) From OMB# 1850-0631 v.8: “OMB approves this collection under the following terms: At the conclusion of each of the two monetary incentive calibration activities, NCES will meet with OMB to discuss the results and to determine the incentive amounts for the remaining portion of the study population. Further, NCES will provide an analytical report back to OMB of the success, challenges, lessons learned and promise of its approach to addressing non-response and bias via the approach proposed here. The incentive levels approved in this collection do not provide precedent for NCES or any other Federal agency. They are approved in this specific case only, primarily to permit the proposed methodological experiments.</w:t>
      </w:r>
      <w:proofErr w:type="gramStart"/>
      <w:r>
        <w:t>”;</w:t>
      </w:r>
      <w:proofErr w:type="gramEnd"/>
      <w:r>
        <w:t xml:space="preserve"> and (2) From OMB# 1850-0631 v.9: “Terms of the previous clearance remain in effect. NCES will provide an analytical report back to OMB of the success, challenges, lessons learned and promise of its approach to addressing non-response and bias via the approach proposed here. The incentive levels approved in this collection do not provide precedent for NCES or any other Federal agency. They are approved in this specific case only, primarily to permit the proposed methodological experiments.”</w:t>
      </w:r>
    </w:p>
  </w:footnote>
  <w:footnote w:id="4">
    <w:p w14:paraId="38DA6BC8" w14:textId="77777777" w:rsidR="0071252D" w:rsidRDefault="0071252D" w:rsidP="002415C2">
      <w:pPr>
        <w:pStyle w:val="FootnoteText"/>
      </w:pPr>
      <w:r>
        <w:rPr>
          <w:rStyle w:val="FootnoteReference"/>
        </w:rPr>
        <w:footnoteRef/>
      </w:r>
      <w:r>
        <w:t xml:space="preserve"> For the continuous variables, except for age, categories were formed based on quartiles.</w:t>
      </w:r>
    </w:p>
  </w:footnote>
  <w:footnote w:id="5">
    <w:p w14:paraId="2E65BA57" w14:textId="77777777" w:rsidR="0071252D" w:rsidRDefault="0071252D" w:rsidP="002415C2">
      <w:pPr>
        <w:pStyle w:val="FootnoteText"/>
      </w:pPr>
      <w:r>
        <w:rPr>
          <w:rStyle w:val="FootnoteReference"/>
        </w:rPr>
        <w:footnoteRef/>
      </w:r>
      <w:r>
        <w:t xml:space="preserve"> Key variables will use imputed data to account for nonresponse in the base year data.</w:t>
      </w:r>
    </w:p>
  </w:footnote>
  <w:footnote w:id="6">
    <w:p w14:paraId="0FAA578D" w14:textId="77777777" w:rsidR="0071252D" w:rsidRPr="0078383A" w:rsidRDefault="0071252D" w:rsidP="002415C2">
      <w:pPr>
        <w:pStyle w:val="FootnoteText"/>
      </w:pPr>
      <w:r>
        <w:rPr>
          <w:rStyle w:val="FootnoteReference"/>
        </w:rPr>
        <w:footnoteRef/>
      </w:r>
      <w:r>
        <w:t xml:space="preserve"> These adjustments will help ensure that currently over-represented groups, high propensity/low importance cases, and very-difficult-to-convert </w:t>
      </w:r>
      <w:proofErr w:type="spellStart"/>
      <w:r>
        <w:t>nonrespondents</w:t>
      </w:r>
      <w:proofErr w:type="spellEnd"/>
      <w:r>
        <w:t xml:space="preserve"> are not included in the target set of </w:t>
      </w:r>
      <w:proofErr w:type="spellStart"/>
      <w:r w:rsidRPr="0078383A">
        <w:t>nonrespondents</w:t>
      </w:r>
      <w:proofErr w:type="spellEnd"/>
      <w:r w:rsidRPr="0078383A">
        <w:t>. The number of targeted cases will be determined by BPS staff</w:t>
      </w:r>
      <w:r>
        <w:t xml:space="preserve"> </w:t>
      </w:r>
      <w:r w:rsidRPr="0078383A">
        <w:t>during the phased data collection and will be based on the overall and within sector distributions of importance scores.</w:t>
      </w:r>
    </w:p>
  </w:footnote>
  <w:footnote w:id="7">
    <w:p w14:paraId="14ED7BB1" w14:textId="77777777" w:rsidR="0071252D" w:rsidRDefault="0071252D" w:rsidP="002415C2">
      <w:pPr>
        <w:pStyle w:val="FootnoteText"/>
      </w:pPr>
      <w:r w:rsidRPr="0078383A">
        <w:rPr>
          <w:rStyle w:val="FootnoteReference"/>
        </w:rPr>
        <w:footnoteRef/>
      </w:r>
      <w:r w:rsidRPr="0078383A">
        <w:t xml:space="preserve"> </w:t>
      </w:r>
      <w:r w:rsidRPr="0078383A">
        <w:rPr>
          <w:rFonts w:asciiTheme="majorBidi" w:hAnsiTheme="majorBidi" w:cstheme="majorBidi"/>
          <w:szCs w:val="18"/>
        </w:rPr>
        <w:t>A prepaid check will be mailed to sample members who request it. Sample members can also open a PayPal account</w:t>
      </w:r>
      <w:r>
        <w:rPr>
          <w:rFonts w:asciiTheme="majorBidi" w:hAnsiTheme="majorBidi" w:cstheme="majorBidi"/>
          <w:szCs w:val="18"/>
        </w:rPr>
        <w:t xml:space="preserve"> when notified of the incentive. Any prepaid sample member who neither accepts the prepaid PayPal incentive nor check would receive the full incentive amount upon completion by the disbursement of their choice (i.e. check or PayPal).</w:t>
      </w:r>
    </w:p>
  </w:footnote>
  <w:footnote w:id="8">
    <w:p w14:paraId="75AEE301" w14:textId="77777777" w:rsidR="0071252D" w:rsidRDefault="0071252D" w:rsidP="002415C2">
      <w:pPr>
        <w:pStyle w:val="FootnoteText"/>
        <w:keepLines w:val="0"/>
        <w:widowControl w:val="0"/>
      </w:pPr>
      <w:r>
        <w:rPr>
          <w:rStyle w:val="FootnoteReference"/>
        </w:rPr>
        <w:footnoteRef/>
      </w:r>
      <w:r>
        <w:t xml:space="preserve"> </w:t>
      </w:r>
      <w:r w:rsidRPr="00464F52">
        <w:rPr>
          <w:rFonts w:asciiTheme="majorBidi" w:hAnsiTheme="majorBidi" w:cstheme="majorBidi"/>
          <w:szCs w:val="24"/>
        </w:rPr>
        <w:t xml:space="preserve">All double </w:t>
      </w:r>
      <w:proofErr w:type="spellStart"/>
      <w:r w:rsidRPr="00464F52">
        <w:rPr>
          <w:rFonts w:asciiTheme="majorBidi" w:hAnsiTheme="majorBidi" w:cstheme="majorBidi"/>
          <w:szCs w:val="24"/>
        </w:rPr>
        <w:t>nonrespondents</w:t>
      </w:r>
      <w:proofErr w:type="spellEnd"/>
      <w:r w:rsidRPr="00464F52">
        <w:rPr>
          <w:rFonts w:asciiTheme="majorBidi" w:hAnsiTheme="majorBidi" w:cstheme="majorBidi"/>
          <w:szCs w:val="24"/>
        </w:rPr>
        <w:t xml:space="preserve"> </w:t>
      </w:r>
      <w:r>
        <w:rPr>
          <w:rFonts w:asciiTheme="majorBidi" w:hAnsiTheme="majorBidi" w:cstheme="majorBidi"/>
          <w:szCs w:val="24"/>
        </w:rPr>
        <w:t xml:space="preserve">will be </w:t>
      </w:r>
      <w:r w:rsidRPr="00464F52">
        <w:rPr>
          <w:rFonts w:asciiTheme="majorBidi" w:hAnsiTheme="majorBidi" w:cstheme="majorBidi"/>
          <w:szCs w:val="24"/>
        </w:rPr>
        <w:t xml:space="preserve">offered the $10 pre-paid PayPal </w:t>
      </w:r>
      <w:r>
        <w:rPr>
          <w:rFonts w:asciiTheme="majorBidi" w:hAnsiTheme="majorBidi" w:cstheme="majorBidi"/>
          <w:szCs w:val="24"/>
        </w:rPr>
        <w:t>amount</w:t>
      </w:r>
      <w:r w:rsidRPr="00464F52">
        <w:rPr>
          <w:rFonts w:asciiTheme="majorBidi" w:hAnsiTheme="majorBidi" w:cstheme="majorBidi"/>
          <w:szCs w:val="24"/>
        </w:rPr>
        <w:t xml:space="preserve"> in an attempt to convert them t</w:t>
      </w:r>
      <w:r>
        <w:rPr>
          <w:rFonts w:asciiTheme="majorBidi" w:hAnsiTheme="majorBidi" w:cstheme="majorBidi"/>
          <w:szCs w:val="24"/>
        </w:rPr>
        <w:t xml:space="preserve">o respondents. </w:t>
      </w:r>
      <w:r w:rsidRPr="00164A9D">
        <w:t>For all monetary incentives, including prepayments, sample members have the option of receiving disbursements through PayPal or in the form of a check.</w:t>
      </w:r>
    </w:p>
  </w:footnote>
  <w:footnote w:id="9">
    <w:p w14:paraId="514795EC" w14:textId="77777777" w:rsidR="0071252D" w:rsidRDefault="0071252D" w:rsidP="002415C2">
      <w:pPr>
        <w:pStyle w:val="FootnoteText"/>
        <w:keepLines w:val="0"/>
        <w:widowControl w:val="0"/>
      </w:pPr>
      <w:r>
        <w:rPr>
          <w:rStyle w:val="FootnoteReference"/>
        </w:rPr>
        <w:footnoteRef/>
      </w:r>
      <w:r>
        <w:t xml:space="preserve"> </w:t>
      </w:r>
      <w:proofErr w:type="gramStart"/>
      <w:r w:rsidRPr="0038521E">
        <w:rPr>
          <w:sz w:val="16"/>
          <w:szCs w:val="16"/>
        </w:rPr>
        <w:t>Calculated using SAS Proc Power.</w:t>
      </w:r>
      <w:proofErr w:type="gramEnd"/>
      <w:r w:rsidRPr="0038521E">
        <w:rPr>
          <w:sz w:val="16"/>
          <w:szCs w:val="16"/>
        </w:rPr>
        <w:t xml:space="preserve"> https://support.sas.com/documentation/cdl/en/statugpower/61819/PDF/default/statugpower.pdf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9859BD" w14:textId="77777777" w:rsidR="0071252D" w:rsidRDefault="0071252D" w:rsidP="00C37F47">
    <w:pPr>
      <w:pStyle w:val="NCESheadereven"/>
      <w:pBdr>
        <w:bottom w:val="single" w:sz="4" w:space="1" w:color="auto"/>
      </w:pBdr>
    </w:pPr>
    <w:r w:rsidRPr="00683057">
      <w:t>B.</w:t>
    </w:r>
    <w:r>
      <w:t xml:space="preserve"> </w:t>
    </w:r>
    <w:r w:rsidRPr="00683057">
      <w:t>Collection of Information Employing Statistical Methods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Headerevenpageastable"/>
      <w:tblW w:w="5000" w:type="pct"/>
      <w:tblLayout w:type="fixed"/>
      <w:tblLook w:val="04A0" w:firstRow="1" w:lastRow="0" w:firstColumn="1" w:lastColumn="0" w:noHBand="0" w:noVBand="1"/>
    </w:tblPr>
    <w:tblGrid>
      <w:gridCol w:w="658"/>
      <w:gridCol w:w="12307"/>
    </w:tblGrid>
    <w:tr w:rsidR="0071252D" w:rsidRPr="007C3FAB" w14:paraId="0F23FB63" w14:textId="77777777" w:rsidTr="00C37F47">
      <w:trPr>
        <w:trHeight w:hRule="exact" w:val="403"/>
      </w:trPr>
      <w:tc>
        <w:tcPr>
          <w:cnfStyle w:val="001000000000" w:firstRow="0" w:lastRow="0" w:firstColumn="1" w:lastColumn="0" w:oddVBand="0" w:evenVBand="0" w:oddHBand="0" w:evenHBand="0" w:firstRowFirstColumn="0" w:firstRowLastColumn="0" w:lastRowFirstColumn="0" w:lastRowLastColumn="0"/>
          <w:tcW w:w="475" w:type="dxa"/>
        </w:tcPr>
        <w:p w14:paraId="1E028589" w14:textId="77777777" w:rsidR="0071252D" w:rsidRPr="004728E7" w:rsidRDefault="0071252D" w:rsidP="00C37F47">
          <w:pPr>
            <w:pStyle w:val="Header"/>
          </w:pPr>
          <w:r>
            <w:fldChar w:fldCharType="begin"/>
          </w:r>
          <w:r>
            <w:instrText xml:space="preserve"> PAGE   \* MERGEFORMAT </w:instrText>
          </w:r>
          <w:r>
            <w:fldChar w:fldCharType="separate"/>
          </w:r>
          <w:r>
            <w:rPr>
              <w:noProof/>
            </w:rPr>
            <w:t>68</w:t>
          </w:r>
          <w:r>
            <w:rPr>
              <w:noProof/>
            </w:rPr>
            <w:fldChar w:fldCharType="end"/>
          </w:r>
          <w:r w:rsidRPr="004728E7">
            <w:t xml:space="preserve"> </w:t>
          </w:r>
        </w:p>
      </w:tc>
      <w:tc>
        <w:tcPr>
          <w:tcW w:w="8890" w:type="dxa"/>
          <w:tcBorders>
            <w:left w:val="single" w:sz="4" w:space="0" w:color="auto"/>
          </w:tcBorders>
        </w:tcPr>
        <w:p w14:paraId="61C9A0A0" w14:textId="77777777" w:rsidR="0071252D" w:rsidRPr="004F5C07" w:rsidRDefault="0071252D" w:rsidP="00C37F47">
          <w:pPr>
            <w:pStyle w:val="3ensptotalnosubgroup"/>
            <w:cnfStyle w:val="000000000000" w:firstRow="0" w:lastRow="0" w:firstColumn="0" w:lastColumn="0" w:oddVBand="0" w:evenVBand="0" w:oddHBand="0" w:evenHBand="0" w:firstRowFirstColumn="0" w:firstRowLastColumn="0" w:lastRowFirstColumn="0" w:lastRowLastColumn="0"/>
          </w:pPr>
          <w:r w:rsidRPr="00CB4FF7">
            <w:t xml:space="preserve">CHAPTER </w:t>
          </w:r>
          <w:r>
            <w:fldChar w:fldCharType="begin"/>
          </w:r>
          <w:r>
            <w:instrText xml:space="preserve"> STYLEREF  \s 1 \* MERGEFORMAT </w:instrText>
          </w:r>
          <w:r>
            <w:fldChar w:fldCharType="separate"/>
          </w:r>
          <w:r>
            <w:rPr>
              <w:b/>
              <w:bCs/>
              <w:noProof/>
            </w:rPr>
            <w:t>Error! No text of specified style in document.</w:t>
          </w:r>
          <w:r>
            <w:rPr>
              <w:noProof/>
            </w:rPr>
            <w:fldChar w:fldCharType="end"/>
          </w:r>
          <w:r w:rsidRPr="00CB4FF7">
            <w:t>.</w:t>
          </w:r>
          <w:r w:rsidRPr="00CB4FF7">
            <w:br/>
          </w:r>
          <w:r>
            <w:fldChar w:fldCharType="begin"/>
          </w:r>
          <w:r>
            <w:instrText xml:space="preserve"> STYLEREF  "Heading 1" </w:instrText>
          </w:r>
          <w:r>
            <w:fldChar w:fldCharType="separate"/>
          </w:r>
          <w:r>
            <w:rPr>
              <w:b/>
              <w:bCs/>
              <w:noProof/>
            </w:rPr>
            <w:t>Error! No text of specified style in document.</w:t>
          </w:r>
          <w:r>
            <w:rPr>
              <w:noProof/>
            </w:rPr>
            <w:fldChar w:fldCharType="end"/>
          </w:r>
        </w:p>
      </w:tc>
    </w:tr>
  </w:tbl>
  <w:p w14:paraId="726FAF99" w14:textId="77777777" w:rsidR="0071252D" w:rsidRDefault="0071252D" w:rsidP="00C37F47">
    <w:pPr>
      <w:pStyle w:val="Footer"/>
      <w:tabs>
        <w:tab w:val="center" w:pos="245"/>
        <w:tab w:val="left" w:pos="72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91FB80" w14:textId="77777777" w:rsidR="0071252D" w:rsidRPr="00051164" w:rsidRDefault="0071252D" w:rsidP="00C37F4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4B78BF" w14:textId="77777777" w:rsidR="0071252D" w:rsidRDefault="0071252D">
    <w:pPr>
      <w:spacing w:line="14" w:lineRule="auto"/>
      <w:rPr>
        <w:sz w:val="2"/>
        <w:szCs w:val="2"/>
      </w:rPr>
    </w:pPr>
  </w:p>
  <w:p w14:paraId="3D642F59" w14:textId="77777777" w:rsidR="0071252D" w:rsidRDefault="0071252D"/>
  <w:p w14:paraId="47793BD4" w14:textId="77777777" w:rsidR="0071252D" w:rsidRDefault="0071252D"/>
  <w:p w14:paraId="10F90D55" w14:textId="77777777" w:rsidR="0071252D" w:rsidRDefault="0071252D"/>
  <w:p w14:paraId="3D813D23" w14:textId="77777777" w:rsidR="0071252D" w:rsidRDefault="0071252D"/>
  <w:p w14:paraId="22133797" w14:textId="77777777" w:rsidR="0071252D" w:rsidRDefault="0071252D"/>
  <w:p w14:paraId="56486775" w14:textId="77777777" w:rsidR="0071252D" w:rsidRDefault="0071252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3D263744"/>
    <w:lvl w:ilvl="0">
      <w:start w:val="1"/>
      <w:numFmt w:val="decimal"/>
      <w:pStyle w:val="ListNumber3"/>
      <w:lvlText w:val="%1."/>
      <w:lvlJc w:val="left"/>
      <w:pPr>
        <w:tabs>
          <w:tab w:val="num" w:pos="1080"/>
        </w:tabs>
        <w:ind w:left="1080" w:hanging="360"/>
      </w:pPr>
    </w:lvl>
  </w:abstractNum>
  <w:abstractNum w:abstractNumId="1">
    <w:nsid w:val="FFFFFF7F"/>
    <w:multiLevelType w:val="singleLevel"/>
    <w:tmpl w:val="B04836CC"/>
    <w:lvl w:ilvl="0">
      <w:start w:val="1"/>
      <w:numFmt w:val="decimal"/>
      <w:pStyle w:val="ListNumber2"/>
      <w:lvlText w:val="%1."/>
      <w:lvlJc w:val="left"/>
      <w:pPr>
        <w:tabs>
          <w:tab w:val="num" w:pos="720"/>
        </w:tabs>
        <w:ind w:left="720" w:hanging="360"/>
      </w:pPr>
    </w:lvl>
  </w:abstractNum>
  <w:abstractNum w:abstractNumId="2">
    <w:nsid w:val="FFFFFF82"/>
    <w:multiLevelType w:val="singleLevel"/>
    <w:tmpl w:val="BF2C7DE4"/>
    <w:lvl w:ilvl="0">
      <w:start w:val="1"/>
      <w:numFmt w:val="bullet"/>
      <w:pStyle w:val="ListBullet3"/>
      <w:lvlText w:val=""/>
      <w:lvlJc w:val="left"/>
      <w:pPr>
        <w:tabs>
          <w:tab w:val="num" w:pos="1080"/>
        </w:tabs>
        <w:ind w:left="1080" w:hanging="360"/>
      </w:pPr>
      <w:rPr>
        <w:rFonts w:ascii="Symbol" w:hAnsi="Symbol" w:hint="default"/>
      </w:rPr>
    </w:lvl>
  </w:abstractNum>
  <w:abstractNum w:abstractNumId="3">
    <w:nsid w:val="FFFFFF88"/>
    <w:multiLevelType w:val="singleLevel"/>
    <w:tmpl w:val="5B121DCC"/>
    <w:lvl w:ilvl="0">
      <w:start w:val="1"/>
      <w:numFmt w:val="decimal"/>
      <w:pStyle w:val="ListNumber"/>
      <w:lvlText w:val="%1."/>
      <w:lvlJc w:val="left"/>
      <w:pPr>
        <w:tabs>
          <w:tab w:val="num" w:pos="360"/>
        </w:tabs>
        <w:ind w:left="360" w:hanging="360"/>
      </w:pPr>
    </w:lvl>
  </w:abstractNum>
  <w:abstractNum w:abstractNumId="4">
    <w:nsid w:val="032A0CF3"/>
    <w:multiLevelType w:val="hybridMultilevel"/>
    <w:tmpl w:val="60C4D6D0"/>
    <w:lvl w:ilvl="0" w:tplc="5D5E692E">
      <w:start w:val="1"/>
      <w:numFmt w:val="decimal"/>
      <w:pStyle w:val="question"/>
      <w:lvlText w:val="%1."/>
      <w:lvlJc w:val="left"/>
      <w:pPr>
        <w:tabs>
          <w:tab w:val="num" w:pos="720"/>
        </w:tabs>
        <w:ind w:left="720" w:hanging="360"/>
      </w:pPr>
      <w:rPr>
        <w:rFonts w:cs="Times New Roman" w:hint="default"/>
      </w:rPr>
    </w:lvl>
    <w:lvl w:ilvl="1" w:tplc="32904E7C">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107C06BD"/>
    <w:multiLevelType w:val="hybridMultilevel"/>
    <w:tmpl w:val="3D6A7450"/>
    <w:lvl w:ilvl="0" w:tplc="4CE2D872">
      <w:start w:val="1"/>
      <w:numFmt w:val="decimal"/>
      <w:pStyle w:val="ListBullet21"/>
      <w:lvlText w:val="%1."/>
      <w:lvlJc w:val="left"/>
      <w:pPr>
        <w:tabs>
          <w:tab w:val="num" w:pos="2610"/>
        </w:tabs>
        <w:ind w:left="261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126D13B2"/>
    <w:multiLevelType w:val="multilevel"/>
    <w:tmpl w:val="2A322370"/>
    <w:lvl w:ilvl="0">
      <w:start w:val="1"/>
      <w:numFmt w:val="bullet"/>
      <w:lvlText w:val=""/>
      <w:lvlJc w:val="left"/>
      <w:pPr>
        <w:tabs>
          <w:tab w:val="num" w:pos="360"/>
        </w:tabs>
        <w:ind w:left="720" w:hanging="72"/>
      </w:pPr>
      <w:rPr>
        <w:rFonts w:ascii="Symbol" w:hAnsi="Symbol"/>
      </w:rPr>
    </w:lvl>
    <w:lvl w:ilvl="1">
      <w:start w:val="1"/>
      <w:numFmt w:val="bullet"/>
      <w:pStyle w:val="Bulleted1"/>
      <w:lvlText w:val=""/>
      <w:lvlJc w:val="left"/>
      <w:pPr>
        <w:tabs>
          <w:tab w:val="num" w:pos="720"/>
        </w:tabs>
        <w:ind w:left="72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1DF91C31"/>
    <w:multiLevelType w:val="hybridMultilevel"/>
    <w:tmpl w:val="784EB0EC"/>
    <w:lvl w:ilvl="0" w:tplc="0409000F">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209D6DAC"/>
    <w:multiLevelType w:val="hybridMultilevel"/>
    <w:tmpl w:val="65E432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6147436"/>
    <w:multiLevelType w:val="hybridMultilevel"/>
    <w:tmpl w:val="61FC8754"/>
    <w:lvl w:ilvl="0" w:tplc="40DED8C8">
      <w:start w:val="1"/>
      <w:numFmt w:val="decimal"/>
      <w:pStyle w:val="Style2"/>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nsid w:val="30962154"/>
    <w:multiLevelType w:val="singleLevel"/>
    <w:tmpl w:val="31F266AE"/>
    <w:lvl w:ilvl="0">
      <w:start w:val="1"/>
      <w:numFmt w:val="bullet"/>
      <w:pStyle w:val="paragraphtext"/>
      <w:lvlText w:val=""/>
      <w:lvlJc w:val="left"/>
      <w:pPr>
        <w:tabs>
          <w:tab w:val="num" w:pos="360"/>
        </w:tabs>
        <w:ind w:left="360" w:hanging="360"/>
      </w:pPr>
      <w:rPr>
        <w:rFonts w:ascii="Symbol" w:hAnsi="Symbol" w:hint="default"/>
      </w:rPr>
    </w:lvl>
  </w:abstractNum>
  <w:abstractNum w:abstractNumId="11">
    <w:nsid w:val="32E952E0"/>
    <w:multiLevelType w:val="hybridMultilevel"/>
    <w:tmpl w:val="7AA6D78C"/>
    <w:lvl w:ilvl="0" w:tplc="04090001">
      <w:start w:val="1"/>
      <w:numFmt w:val="bullet"/>
      <w:lvlText w:val=""/>
      <w:lvlJc w:val="left"/>
      <w:pPr>
        <w:ind w:left="2362" w:hanging="360"/>
      </w:pPr>
      <w:rPr>
        <w:rFonts w:ascii="Symbol" w:hAnsi="Symbol" w:hint="default"/>
      </w:rPr>
    </w:lvl>
    <w:lvl w:ilvl="1" w:tplc="04090003" w:tentative="1">
      <w:start w:val="1"/>
      <w:numFmt w:val="bullet"/>
      <w:lvlText w:val="o"/>
      <w:lvlJc w:val="left"/>
      <w:pPr>
        <w:ind w:left="3082" w:hanging="360"/>
      </w:pPr>
      <w:rPr>
        <w:rFonts w:ascii="Courier New" w:hAnsi="Courier New" w:hint="default"/>
      </w:rPr>
    </w:lvl>
    <w:lvl w:ilvl="2" w:tplc="04090005" w:tentative="1">
      <w:start w:val="1"/>
      <w:numFmt w:val="bullet"/>
      <w:lvlText w:val=""/>
      <w:lvlJc w:val="left"/>
      <w:pPr>
        <w:ind w:left="3802" w:hanging="360"/>
      </w:pPr>
      <w:rPr>
        <w:rFonts w:ascii="Wingdings" w:hAnsi="Wingdings" w:hint="default"/>
      </w:rPr>
    </w:lvl>
    <w:lvl w:ilvl="3" w:tplc="04090001" w:tentative="1">
      <w:start w:val="1"/>
      <w:numFmt w:val="bullet"/>
      <w:lvlText w:val=""/>
      <w:lvlJc w:val="left"/>
      <w:pPr>
        <w:ind w:left="4522" w:hanging="360"/>
      </w:pPr>
      <w:rPr>
        <w:rFonts w:ascii="Symbol" w:hAnsi="Symbol" w:hint="default"/>
      </w:rPr>
    </w:lvl>
    <w:lvl w:ilvl="4" w:tplc="04090003" w:tentative="1">
      <w:start w:val="1"/>
      <w:numFmt w:val="bullet"/>
      <w:lvlText w:val="o"/>
      <w:lvlJc w:val="left"/>
      <w:pPr>
        <w:ind w:left="5242" w:hanging="360"/>
      </w:pPr>
      <w:rPr>
        <w:rFonts w:ascii="Courier New" w:hAnsi="Courier New" w:hint="default"/>
      </w:rPr>
    </w:lvl>
    <w:lvl w:ilvl="5" w:tplc="04090005" w:tentative="1">
      <w:start w:val="1"/>
      <w:numFmt w:val="bullet"/>
      <w:lvlText w:val=""/>
      <w:lvlJc w:val="left"/>
      <w:pPr>
        <w:ind w:left="5962" w:hanging="360"/>
      </w:pPr>
      <w:rPr>
        <w:rFonts w:ascii="Wingdings" w:hAnsi="Wingdings" w:hint="default"/>
      </w:rPr>
    </w:lvl>
    <w:lvl w:ilvl="6" w:tplc="04090001" w:tentative="1">
      <w:start w:val="1"/>
      <w:numFmt w:val="bullet"/>
      <w:lvlText w:val=""/>
      <w:lvlJc w:val="left"/>
      <w:pPr>
        <w:ind w:left="6682" w:hanging="360"/>
      </w:pPr>
      <w:rPr>
        <w:rFonts w:ascii="Symbol" w:hAnsi="Symbol" w:hint="default"/>
      </w:rPr>
    </w:lvl>
    <w:lvl w:ilvl="7" w:tplc="04090003" w:tentative="1">
      <w:start w:val="1"/>
      <w:numFmt w:val="bullet"/>
      <w:lvlText w:val="o"/>
      <w:lvlJc w:val="left"/>
      <w:pPr>
        <w:ind w:left="7402" w:hanging="360"/>
      </w:pPr>
      <w:rPr>
        <w:rFonts w:ascii="Courier New" w:hAnsi="Courier New" w:hint="default"/>
      </w:rPr>
    </w:lvl>
    <w:lvl w:ilvl="8" w:tplc="04090005" w:tentative="1">
      <w:start w:val="1"/>
      <w:numFmt w:val="bullet"/>
      <w:lvlText w:val=""/>
      <w:lvlJc w:val="left"/>
      <w:pPr>
        <w:ind w:left="8122" w:hanging="360"/>
      </w:pPr>
      <w:rPr>
        <w:rFonts w:ascii="Wingdings" w:hAnsi="Wingdings" w:hint="default"/>
      </w:rPr>
    </w:lvl>
  </w:abstractNum>
  <w:abstractNum w:abstractNumId="12">
    <w:nsid w:val="371C671F"/>
    <w:multiLevelType w:val="hybridMultilevel"/>
    <w:tmpl w:val="33E43240"/>
    <w:lvl w:ilvl="0" w:tplc="04090001">
      <w:start w:val="1"/>
      <w:numFmt w:val="bullet"/>
      <w:pStyle w:val="bulletlist1"/>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AC55C86"/>
    <w:multiLevelType w:val="hybridMultilevel"/>
    <w:tmpl w:val="74F2D7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D272EAE"/>
    <w:multiLevelType w:val="hybridMultilevel"/>
    <w:tmpl w:val="5964D1EC"/>
    <w:lvl w:ilvl="0" w:tplc="984664C6">
      <w:start w:val="4"/>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5">
    <w:nsid w:val="42DD511D"/>
    <w:multiLevelType w:val="hybridMultilevel"/>
    <w:tmpl w:val="24C4F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3177C41"/>
    <w:multiLevelType w:val="hybridMultilevel"/>
    <w:tmpl w:val="03EA8BF2"/>
    <w:lvl w:ilvl="0" w:tplc="777099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4B2145B"/>
    <w:multiLevelType w:val="hybridMultilevel"/>
    <w:tmpl w:val="26BAF1C4"/>
    <w:lvl w:ilvl="0" w:tplc="B664AD54">
      <w:start w:val="1"/>
      <w:numFmt w:val="bullet"/>
      <w:pStyle w:val="NPSAS08bulleted"/>
      <w:lvlText w:val=""/>
      <w:lvlJc w:val="left"/>
      <w:pPr>
        <w:tabs>
          <w:tab w:val="num" w:pos="2520"/>
        </w:tabs>
        <w:ind w:left="2520" w:hanging="360"/>
      </w:pPr>
      <w:rPr>
        <w:rFonts w:ascii="Wingdings" w:hAnsi="Wingdings" w:hint="default"/>
      </w:rPr>
    </w:lvl>
    <w:lvl w:ilvl="1" w:tplc="B79C55AC">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8">
    <w:nsid w:val="56AD0612"/>
    <w:multiLevelType w:val="hybridMultilevel"/>
    <w:tmpl w:val="3932ADCC"/>
    <w:lvl w:ilvl="0" w:tplc="FFFFFFFF">
      <w:start w:val="1"/>
      <w:numFmt w:val="bullet"/>
      <w:pStyle w:val="ListBullet"/>
      <w:lvlText w:val=""/>
      <w:lvlJc w:val="left"/>
      <w:pPr>
        <w:tabs>
          <w:tab w:val="num" w:pos="1800"/>
        </w:tabs>
        <w:ind w:left="1800" w:hanging="360"/>
      </w:pPr>
      <w:rPr>
        <w:rFonts w:ascii="Wingdings" w:hAnsi="Wingdings" w:hint="default"/>
        <w:sz w:val="20"/>
        <w:szCs w:val="20"/>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9">
    <w:nsid w:val="638E13B7"/>
    <w:multiLevelType w:val="hybridMultilevel"/>
    <w:tmpl w:val="047C78E2"/>
    <w:lvl w:ilvl="0" w:tplc="04090001">
      <w:start w:val="1"/>
      <w:numFmt w:val="bullet"/>
      <w:lvlText w:val=""/>
      <w:lvlJc w:val="left"/>
      <w:pPr>
        <w:ind w:left="1713" w:hanging="360"/>
      </w:pPr>
      <w:rPr>
        <w:rFonts w:ascii="Symbol" w:hAnsi="Symbol"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20">
    <w:nsid w:val="750C17F4"/>
    <w:multiLevelType w:val="hybridMultilevel"/>
    <w:tmpl w:val="CF86E42C"/>
    <w:lvl w:ilvl="0" w:tplc="32AC4A50">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75312A63"/>
    <w:multiLevelType w:val="hybridMultilevel"/>
    <w:tmpl w:val="17265858"/>
    <w:lvl w:ilvl="0" w:tplc="085E755E">
      <w:start w:val="1"/>
      <w:numFmt w:val="bullet"/>
      <w:pStyle w:val="PRMain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17"/>
  </w:num>
  <w:num w:numId="3">
    <w:abstractNumId w:val="6"/>
  </w:num>
  <w:num w:numId="4">
    <w:abstractNumId w:val="21"/>
  </w:num>
  <w:num w:numId="5">
    <w:abstractNumId w:val="5"/>
  </w:num>
  <w:num w:numId="6">
    <w:abstractNumId w:val="9"/>
  </w:num>
  <w:num w:numId="7">
    <w:abstractNumId w:val="2"/>
  </w:num>
  <w:num w:numId="8">
    <w:abstractNumId w:val="12"/>
  </w:num>
  <w:num w:numId="9">
    <w:abstractNumId w:val="10"/>
  </w:num>
  <w:num w:numId="10">
    <w:abstractNumId w:val="3"/>
  </w:num>
  <w:num w:numId="11">
    <w:abstractNumId w:val="1"/>
  </w:num>
  <w:num w:numId="12">
    <w:abstractNumId w:val="0"/>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num>
  <w:num w:numId="15">
    <w:abstractNumId w:val="11"/>
  </w:num>
  <w:num w:numId="16">
    <w:abstractNumId w:val="16"/>
  </w:num>
  <w:num w:numId="17">
    <w:abstractNumId w:val="8"/>
  </w:num>
  <w:num w:numId="18">
    <w:abstractNumId w:val="15"/>
  </w:num>
  <w:num w:numId="19">
    <w:abstractNumId w:val="19"/>
  </w:num>
  <w:num w:numId="20">
    <w:abstractNumId w:val="4"/>
  </w:num>
  <w:num w:numId="21">
    <w:abstractNumId w:val="13"/>
  </w:num>
  <w:num w:numId="22">
    <w:abstractNumId w:val="14"/>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ill, Jason">
    <w15:presenceInfo w15:providerId="AD" w15:userId="S-1-5-21-2101533902-423532799-1776743176-4204"/>
  </w15:person>
  <w15:person w15:author="Wine, Jennifer">
    <w15:presenceInfo w15:providerId="None" w15:userId="Wine, Jennif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030"/>
    <w:rsid w:val="000003C4"/>
    <w:rsid w:val="00002263"/>
    <w:rsid w:val="00004942"/>
    <w:rsid w:val="00006F35"/>
    <w:rsid w:val="00010A3B"/>
    <w:rsid w:val="000237B6"/>
    <w:rsid w:val="00026D24"/>
    <w:rsid w:val="00034BCE"/>
    <w:rsid w:val="00043BAF"/>
    <w:rsid w:val="000520EB"/>
    <w:rsid w:val="0005249A"/>
    <w:rsid w:val="00053B43"/>
    <w:rsid w:val="00054505"/>
    <w:rsid w:val="000557D3"/>
    <w:rsid w:val="0005595A"/>
    <w:rsid w:val="000650B2"/>
    <w:rsid w:val="00071633"/>
    <w:rsid w:val="00075654"/>
    <w:rsid w:val="0007600F"/>
    <w:rsid w:val="00081A1A"/>
    <w:rsid w:val="000842C5"/>
    <w:rsid w:val="0008530A"/>
    <w:rsid w:val="00085632"/>
    <w:rsid w:val="00085D18"/>
    <w:rsid w:val="0009101C"/>
    <w:rsid w:val="00092D40"/>
    <w:rsid w:val="000A2EB9"/>
    <w:rsid w:val="000A64CB"/>
    <w:rsid w:val="000A65A0"/>
    <w:rsid w:val="000A70FB"/>
    <w:rsid w:val="000B6FFB"/>
    <w:rsid w:val="000C6B30"/>
    <w:rsid w:val="000D00E3"/>
    <w:rsid w:val="000D2D03"/>
    <w:rsid w:val="000D740B"/>
    <w:rsid w:val="000E3482"/>
    <w:rsid w:val="000E3EE7"/>
    <w:rsid w:val="000E6B74"/>
    <w:rsid w:val="000F1D53"/>
    <w:rsid w:val="001022E0"/>
    <w:rsid w:val="001035AF"/>
    <w:rsid w:val="0011040D"/>
    <w:rsid w:val="001107AC"/>
    <w:rsid w:val="001135B8"/>
    <w:rsid w:val="00121464"/>
    <w:rsid w:val="001251B3"/>
    <w:rsid w:val="0013006D"/>
    <w:rsid w:val="001325AB"/>
    <w:rsid w:val="00133B9A"/>
    <w:rsid w:val="00134806"/>
    <w:rsid w:val="00135023"/>
    <w:rsid w:val="00137A37"/>
    <w:rsid w:val="00146B69"/>
    <w:rsid w:val="001502A3"/>
    <w:rsid w:val="00150A36"/>
    <w:rsid w:val="00156F2C"/>
    <w:rsid w:val="00164B62"/>
    <w:rsid w:val="001666EC"/>
    <w:rsid w:val="00167763"/>
    <w:rsid w:val="00174377"/>
    <w:rsid w:val="00174A49"/>
    <w:rsid w:val="00181264"/>
    <w:rsid w:val="00184BF4"/>
    <w:rsid w:val="0019187E"/>
    <w:rsid w:val="0019469C"/>
    <w:rsid w:val="001A0238"/>
    <w:rsid w:val="001A269D"/>
    <w:rsid w:val="001A60C7"/>
    <w:rsid w:val="001A7C89"/>
    <w:rsid w:val="001B15CB"/>
    <w:rsid w:val="001B3DE0"/>
    <w:rsid w:val="001B51CF"/>
    <w:rsid w:val="001B538C"/>
    <w:rsid w:val="001B6BD2"/>
    <w:rsid w:val="001B7ECC"/>
    <w:rsid w:val="001C1E41"/>
    <w:rsid w:val="001C4368"/>
    <w:rsid w:val="001C443B"/>
    <w:rsid w:val="001C4FA2"/>
    <w:rsid w:val="001C5077"/>
    <w:rsid w:val="001D48CF"/>
    <w:rsid w:val="001D5696"/>
    <w:rsid w:val="001E3C6D"/>
    <w:rsid w:val="001F4030"/>
    <w:rsid w:val="001F6F48"/>
    <w:rsid w:val="002008EF"/>
    <w:rsid w:val="00201B4E"/>
    <w:rsid w:val="002029FE"/>
    <w:rsid w:val="00204DC8"/>
    <w:rsid w:val="00204EC3"/>
    <w:rsid w:val="002068BD"/>
    <w:rsid w:val="00211B43"/>
    <w:rsid w:val="00214159"/>
    <w:rsid w:val="002305F8"/>
    <w:rsid w:val="00237A0E"/>
    <w:rsid w:val="00237B49"/>
    <w:rsid w:val="002415C2"/>
    <w:rsid w:val="00241713"/>
    <w:rsid w:val="002451CB"/>
    <w:rsid w:val="0025009B"/>
    <w:rsid w:val="002510C4"/>
    <w:rsid w:val="002526C7"/>
    <w:rsid w:val="00267F0C"/>
    <w:rsid w:val="002712A2"/>
    <w:rsid w:val="002717E7"/>
    <w:rsid w:val="00276F00"/>
    <w:rsid w:val="002862FA"/>
    <w:rsid w:val="00295AD2"/>
    <w:rsid w:val="00296BF9"/>
    <w:rsid w:val="002A25F0"/>
    <w:rsid w:val="002B1FE1"/>
    <w:rsid w:val="002B3840"/>
    <w:rsid w:val="002B557E"/>
    <w:rsid w:val="002B665B"/>
    <w:rsid w:val="002C18AE"/>
    <w:rsid w:val="002C3312"/>
    <w:rsid w:val="002D7224"/>
    <w:rsid w:val="002E5E18"/>
    <w:rsid w:val="002E6593"/>
    <w:rsid w:val="002F059C"/>
    <w:rsid w:val="002F4659"/>
    <w:rsid w:val="002F52A8"/>
    <w:rsid w:val="002F63A5"/>
    <w:rsid w:val="00300C8B"/>
    <w:rsid w:val="003029B7"/>
    <w:rsid w:val="0030531E"/>
    <w:rsid w:val="00316EDF"/>
    <w:rsid w:val="003200C7"/>
    <w:rsid w:val="003308B7"/>
    <w:rsid w:val="00330DF3"/>
    <w:rsid w:val="00332A11"/>
    <w:rsid w:val="00335504"/>
    <w:rsid w:val="003479C8"/>
    <w:rsid w:val="0035035A"/>
    <w:rsid w:val="00352F35"/>
    <w:rsid w:val="0035369E"/>
    <w:rsid w:val="00355F38"/>
    <w:rsid w:val="00361734"/>
    <w:rsid w:val="0036195F"/>
    <w:rsid w:val="00363842"/>
    <w:rsid w:val="00370848"/>
    <w:rsid w:val="00371862"/>
    <w:rsid w:val="003805C1"/>
    <w:rsid w:val="0038217E"/>
    <w:rsid w:val="00383320"/>
    <w:rsid w:val="00384346"/>
    <w:rsid w:val="00394461"/>
    <w:rsid w:val="003A2D62"/>
    <w:rsid w:val="003A797A"/>
    <w:rsid w:val="003B36CE"/>
    <w:rsid w:val="003B7342"/>
    <w:rsid w:val="003D0EE1"/>
    <w:rsid w:val="003D4730"/>
    <w:rsid w:val="003D5346"/>
    <w:rsid w:val="003D5E60"/>
    <w:rsid w:val="003D737C"/>
    <w:rsid w:val="003F4077"/>
    <w:rsid w:val="003F4D72"/>
    <w:rsid w:val="003F4DB8"/>
    <w:rsid w:val="003F6EF4"/>
    <w:rsid w:val="00404267"/>
    <w:rsid w:val="004077BB"/>
    <w:rsid w:val="00410846"/>
    <w:rsid w:val="00414BE7"/>
    <w:rsid w:val="00416CCB"/>
    <w:rsid w:val="00421D9B"/>
    <w:rsid w:val="00421DBF"/>
    <w:rsid w:val="00423961"/>
    <w:rsid w:val="00426EBB"/>
    <w:rsid w:val="00446762"/>
    <w:rsid w:val="00450CC6"/>
    <w:rsid w:val="00455378"/>
    <w:rsid w:val="00463F87"/>
    <w:rsid w:val="00464456"/>
    <w:rsid w:val="00473DB3"/>
    <w:rsid w:val="00476902"/>
    <w:rsid w:val="004770ED"/>
    <w:rsid w:val="00482476"/>
    <w:rsid w:val="0048456C"/>
    <w:rsid w:val="004862BB"/>
    <w:rsid w:val="0048758A"/>
    <w:rsid w:val="00490F63"/>
    <w:rsid w:val="00494497"/>
    <w:rsid w:val="004946A8"/>
    <w:rsid w:val="004961A0"/>
    <w:rsid w:val="004974C5"/>
    <w:rsid w:val="004A25B4"/>
    <w:rsid w:val="004A2C63"/>
    <w:rsid w:val="004B6E23"/>
    <w:rsid w:val="004C1457"/>
    <w:rsid w:val="004C4CBD"/>
    <w:rsid w:val="004C730D"/>
    <w:rsid w:val="004D1504"/>
    <w:rsid w:val="004D2FA4"/>
    <w:rsid w:val="004D4CA9"/>
    <w:rsid w:val="004E0012"/>
    <w:rsid w:val="004E366D"/>
    <w:rsid w:val="004F3308"/>
    <w:rsid w:val="004F373B"/>
    <w:rsid w:val="004F6A0B"/>
    <w:rsid w:val="00510645"/>
    <w:rsid w:val="00523C71"/>
    <w:rsid w:val="00524385"/>
    <w:rsid w:val="00526400"/>
    <w:rsid w:val="00531328"/>
    <w:rsid w:val="00532758"/>
    <w:rsid w:val="00532CDB"/>
    <w:rsid w:val="0053516E"/>
    <w:rsid w:val="00536DEA"/>
    <w:rsid w:val="00540294"/>
    <w:rsid w:val="005472FC"/>
    <w:rsid w:val="00554729"/>
    <w:rsid w:val="00562224"/>
    <w:rsid w:val="00562722"/>
    <w:rsid w:val="0056480B"/>
    <w:rsid w:val="005703D8"/>
    <w:rsid w:val="00572A1A"/>
    <w:rsid w:val="005742B4"/>
    <w:rsid w:val="00583E16"/>
    <w:rsid w:val="00584B04"/>
    <w:rsid w:val="005872D5"/>
    <w:rsid w:val="00591368"/>
    <w:rsid w:val="00591C59"/>
    <w:rsid w:val="005943A9"/>
    <w:rsid w:val="005966E0"/>
    <w:rsid w:val="005A04EC"/>
    <w:rsid w:val="005A13AF"/>
    <w:rsid w:val="005A657F"/>
    <w:rsid w:val="005A7E59"/>
    <w:rsid w:val="005B0D6F"/>
    <w:rsid w:val="005B68DC"/>
    <w:rsid w:val="005C2E26"/>
    <w:rsid w:val="005C4D06"/>
    <w:rsid w:val="005D6573"/>
    <w:rsid w:val="005E46AA"/>
    <w:rsid w:val="005F022C"/>
    <w:rsid w:val="005F499A"/>
    <w:rsid w:val="005F7402"/>
    <w:rsid w:val="006008D6"/>
    <w:rsid w:val="00602EA4"/>
    <w:rsid w:val="00603863"/>
    <w:rsid w:val="00603E5F"/>
    <w:rsid w:val="006056BC"/>
    <w:rsid w:val="00606621"/>
    <w:rsid w:val="00606EDA"/>
    <w:rsid w:val="00611991"/>
    <w:rsid w:val="0061524D"/>
    <w:rsid w:val="006219D2"/>
    <w:rsid w:val="0062790F"/>
    <w:rsid w:val="00627E50"/>
    <w:rsid w:val="00633C76"/>
    <w:rsid w:val="00642580"/>
    <w:rsid w:val="00651278"/>
    <w:rsid w:val="00656B8E"/>
    <w:rsid w:val="00671343"/>
    <w:rsid w:val="006776CA"/>
    <w:rsid w:val="00677D63"/>
    <w:rsid w:val="00680945"/>
    <w:rsid w:val="00685205"/>
    <w:rsid w:val="006852AD"/>
    <w:rsid w:val="00687548"/>
    <w:rsid w:val="006A0563"/>
    <w:rsid w:val="006A3425"/>
    <w:rsid w:val="006B1269"/>
    <w:rsid w:val="006B787D"/>
    <w:rsid w:val="006C09A8"/>
    <w:rsid w:val="006C4B87"/>
    <w:rsid w:val="006C5ACA"/>
    <w:rsid w:val="006C6733"/>
    <w:rsid w:val="006D14EA"/>
    <w:rsid w:val="006E02B4"/>
    <w:rsid w:val="006E0A9E"/>
    <w:rsid w:val="006E292A"/>
    <w:rsid w:val="006F0E2B"/>
    <w:rsid w:val="006F3A86"/>
    <w:rsid w:val="006F605E"/>
    <w:rsid w:val="007043AF"/>
    <w:rsid w:val="007054CC"/>
    <w:rsid w:val="00706349"/>
    <w:rsid w:val="00711D1A"/>
    <w:rsid w:val="0071252D"/>
    <w:rsid w:val="00713704"/>
    <w:rsid w:val="00715D8F"/>
    <w:rsid w:val="00717268"/>
    <w:rsid w:val="00724ADF"/>
    <w:rsid w:val="00726185"/>
    <w:rsid w:val="00726E09"/>
    <w:rsid w:val="00735F3E"/>
    <w:rsid w:val="00737E25"/>
    <w:rsid w:val="007451A6"/>
    <w:rsid w:val="007517A3"/>
    <w:rsid w:val="00755CBE"/>
    <w:rsid w:val="00757764"/>
    <w:rsid w:val="00760990"/>
    <w:rsid w:val="00760CD9"/>
    <w:rsid w:val="0076259A"/>
    <w:rsid w:val="00763E2A"/>
    <w:rsid w:val="007664E6"/>
    <w:rsid w:val="00766AF8"/>
    <w:rsid w:val="00770A91"/>
    <w:rsid w:val="007723F7"/>
    <w:rsid w:val="0077427A"/>
    <w:rsid w:val="00775E46"/>
    <w:rsid w:val="00781B23"/>
    <w:rsid w:val="00783191"/>
    <w:rsid w:val="0079467D"/>
    <w:rsid w:val="007978E6"/>
    <w:rsid w:val="007A035A"/>
    <w:rsid w:val="007A10B5"/>
    <w:rsid w:val="007A2F9B"/>
    <w:rsid w:val="007A4C3B"/>
    <w:rsid w:val="007A59CA"/>
    <w:rsid w:val="007B22AF"/>
    <w:rsid w:val="007B2EC3"/>
    <w:rsid w:val="007B7257"/>
    <w:rsid w:val="007C03CE"/>
    <w:rsid w:val="007C4E0F"/>
    <w:rsid w:val="007C6FC7"/>
    <w:rsid w:val="007C73ED"/>
    <w:rsid w:val="007D2586"/>
    <w:rsid w:val="007D637B"/>
    <w:rsid w:val="007D64A0"/>
    <w:rsid w:val="007D6DCD"/>
    <w:rsid w:val="007D78BA"/>
    <w:rsid w:val="007E5A22"/>
    <w:rsid w:val="007F569D"/>
    <w:rsid w:val="007F6F83"/>
    <w:rsid w:val="008027A9"/>
    <w:rsid w:val="00805799"/>
    <w:rsid w:val="008111EC"/>
    <w:rsid w:val="00812778"/>
    <w:rsid w:val="0081647D"/>
    <w:rsid w:val="008210EE"/>
    <w:rsid w:val="008251CC"/>
    <w:rsid w:val="00827359"/>
    <w:rsid w:val="00833193"/>
    <w:rsid w:val="008412D6"/>
    <w:rsid w:val="00841D7F"/>
    <w:rsid w:val="0084372C"/>
    <w:rsid w:val="0084592D"/>
    <w:rsid w:val="00850AAE"/>
    <w:rsid w:val="00860449"/>
    <w:rsid w:val="00860AC2"/>
    <w:rsid w:val="00870946"/>
    <w:rsid w:val="0087130D"/>
    <w:rsid w:val="00871B8D"/>
    <w:rsid w:val="00876579"/>
    <w:rsid w:val="00881396"/>
    <w:rsid w:val="00883F68"/>
    <w:rsid w:val="00897DF7"/>
    <w:rsid w:val="008A023A"/>
    <w:rsid w:val="008A7217"/>
    <w:rsid w:val="008A7CE5"/>
    <w:rsid w:val="008B51E9"/>
    <w:rsid w:val="008C5036"/>
    <w:rsid w:val="008C54CD"/>
    <w:rsid w:val="008D5F48"/>
    <w:rsid w:val="008E0397"/>
    <w:rsid w:val="008E34D2"/>
    <w:rsid w:val="008F04DE"/>
    <w:rsid w:val="008F3E6E"/>
    <w:rsid w:val="008F5270"/>
    <w:rsid w:val="008F77D6"/>
    <w:rsid w:val="00900196"/>
    <w:rsid w:val="00900919"/>
    <w:rsid w:val="009051BA"/>
    <w:rsid w:val="00905A84"/>
    <w:rsid w:val="009104AD"/>
    <w:rsid w:val="0091161A"/>
    <w:rsid w:val="00920369"/>
    <w:rsid w:val="00921113"/>
    <w:rsid w:val="009329EC"/>
    <w:rsid w:val="0094072D"/>
    <w:rsid w:val="00954A86"/>
    <w:rsid w:val="00955759"/>
    <w:rsid w:val="00961E2D"/>
    <w:rsid w:val="00970A9E"/>
    <w:rsid w:val="00970D11"/>
    <w:rsid w:val="00973AEC"/>
    <w:rsid w:val="00980C95"/>
    <w:rsid w:val="009A0F41"/>
    <w:rsid w:val="009A1FEF"/>
    <w:rsid w:val="009A5A10"/>
    <w:rsid w:val="009A6F75"/>
    <w:rsid w:val="009B0AEC"/>
    <w:rsid w:val="009B4A44"/>
    <w:rsid w:val="009B4C60"/>
    <w:rsid w:val="009C4893"/>
    <w:rsid w:val="009C7141"/>
    <w:rsid w:val="009C7455"/>
    <w:rsid w:val="009D23A9"/>
    <w:rsid w:val="009D24E2"/>
    <w:rsid w:val="009D25EE"/>
    <w:rsid w:val="009D5B14"/>
    <w:rsid w:val="009E06C0"/>
    <w:rsid w:val="009E0B64"/>
    <w:rsid w:val="009E6F32"/>
    <w:rsid w:val="009E7EF2"/>
    <w:rsid w:val="009E7F49"/>
    <w:rsid w:val="00A01190"/>
    <w:rsid w:val="00A03600"/>
    <w:rsid w:val="00A104D5"/>
    <w:rsid w:val="00A14445"/>
    <w:rsid w:val="00A20F68"/>
    <w:rsid w:val="00A241E0"/>
    <w:rsid w:val="00A24A66"/>
    <w:rsid w:val="00A27030"/>
    <w:rsid w:val="00A306F7"/>
    <w:rsid w:val="00A47692"/>
    <w:rsid w:val="00A47FD7"/>
    <w:rsid w:val="00A533C3"/>
    <w:rsid w:val="00A54EBE"/>
    <w:rsid w:val="00A5639F"/>
    <w:rsid w:val="00A566AD"/>
    <w:rsid w:val="00A65AE1"/>
    <w:rsid w:val="00A75303"/>
    <w:rsid w:val="00A7716F"/>
    <w:rsid w:val="00A77AFB"/>
    <w:rsid w:val="00A857B6"/>
    <w:rsid w:val="00A963BC"/>
    <w:rsid w:val="00AA52EB"/>
    <w:rsid w:val="00AB165B"/>
    <w:rsid w:val="00AB3D09"/>
    <w:rsid w:val="00AB72F9"/>
    <w:rsid w:val="00AC1706"/>
    <w:rsid w:val="00AC42BD"/>
    <w:rsid w:val="00AD19B4"/>
    <w:rsid w:val="00AD4DDE"/>
    <w:rsid w:val="00AD6427"/>
    <w:rsid w:val="00AD785A"/>
    <w:rsid w:val="00AE20C8"/>
    <w:rsid w:val="00AE4184"/>
    <w:rsid w:val="00AE49EF"/>
    <w:rsid w:val="00AE7E1E"/>
    <w:rsid w:val="00AF63CB"/>
    <w:rsid w:val="00AF751C"/>
    <w:rsid w:val="00B034B6"/>
    <w:rsid w:val="00B0387E"/>
    <w:rsid w:val="00B2664A"/>
    <w:rsid w:val="00B26977"/>
    <w:rsid w:val="00B3656E"/>
    <w:rsid w:val="00B4143D"/>
    <w:rsid w:val="00B42518"/>
    <w:rsid w:val="00B43076"/>
    <w:rsid w:val="00B452EF"/>
    <w:rsid w:val="00B52FB6"/>
    <w:rsid w:val="00B57161"/>
    <w:rsid w:val="00B5720D"/>
    <w:rsid w:val="00B60B80"/>
    <w:rsid w:val="00B6159B"/>
    <w:rsid w:val="00B659BE"/>
    <w:rsid w:val="00B65C6C"/>
    <w:rsid w:val="00B70610"/>
    <w:rsid w:val="00B74C6C"/>
    <w:rsid w:val="00B76FF6"/>
    <w:rsid w:val="00B86364"/>
    <w:rsid w:val="00B93AB5"/>
    <w:rsid w:val="00B95A8E"/>
    <w:rsid w:val="00B9753D"/>
    <w:rsid w:val="00BA21ED"/>
    <w:rsid w:val="00BB2467"/>
    <w:rsid w:val="00BB4885"/>
    <w:rsid w:val="00BB78D9"/>
    <w:rsid w:val="00BC6AE7"/>
    <w:rsid w:val="00BD2A45"/>
    <w:rsid w:val="00BD7A89"/>
    <w:rsid w:val="00BE11F5"/>
    <w:rsid w:val="00BE14C6"/>
    <w:rsid w:val="00BE3385"/>
    <w:rsid w:val="00BE3AD8"/>
    <w:rsid w:val="00BE526A"/>
    <w:rsid w:val="00C037FF"/>
    <w:rsid w:val="00C1044C"/>
    <w:rsid w:val="00C2153D"/>
    <w:rsid w:val="00C311CF"/>
    <w:rsid w:val="00C31954"/>
    <w:rsid w:val="00C32AF0"/>
    <w:rsid w:val="00C35F47"/>
    <w:rsid w:val="00C36A1E"/>
    <w:rsid w:val="00C37F47"/>
    <w:rsid w:val="00C40B43"/>
    <w:rsid w:val="00C4167F"/>
    <w:rsid w:val="00C41800"/>
    <w:rsid w:val="00C436F5"/>
    <w:rsid w:val="00C45A73"/>
    <w:rsid w:val="00C46BC0"/>
    <w:rsid w:val="00C52138"/>
    <w:rsid w:val="00C56A4A"/>
    <w:rsid w:val="00C62F17"/>
    <w:rsid w:val="00C64734"/>
    <w:rsid w:val="00C67123"/>
    <w:rsid w:val="00C707D1"/>
    <w:rsid w:val="00C729FA"/>
    <w:rsid w:val="00C749F7"/>
    <w:rsid w:val="00C7501B"/>
    <w:rsid w:val="00C7637E"/>
    <w:rsid w:val="00C8430A"/>
    <w:rsid w:val="00CA190D"/>
    <w:rsid w:val="00CA754B"/>
    <w:rsid w:val="00CA7D9A"/>
    <w:rsid w:val="00CB72F0"/>
    <w:rsid w:val="00CC2ABA"/>
    <w:rsid w:val="00CC5C68"/>
    <w:rsid w:val="00CC6E01"/>
    <w:rsid w:val="00CD147C"/>
    <w:rsid w:val="00CD4E94"/>
    <w:rsid w:val="00CD513B"/>
    <w:rsid w:val="00CE0CFC"/>
    <w:rsid w:val="00CE19E9"/>
    <w:rsid w:val="00CE7988"/>
    <w:rsid w:val="00CF140A"/>
    <w:rsid w:val="00CF418E"/>
    <w:rsid w:val="00CF7CCF"/>
    <w:rsid w:val="00D011E4"/>
    <w:rsid w:val="00D018C6"/>
    <w:rsid w:val="00D07FA6"/>
    <w:rsid w:val="00D10131"/>
    <w:rsid w:val="00D1192E"/>
    <w:rsid w:val="00D24519"/>
    <w:rsid w:val="00D24D0D"/>
    <w:rsid w:val="00D323D0"/>
    <w:rsid w:val="00D418B4"/>
    <w:rsid w:val="00D43F7F"/>
    <w:rsid w:val="00D46398"/>
    <w:rsid w:val="00D50F9C"/>
    <w:rsid w:val="00D51340"/>
    <w:rsid w:val="00D55096"/>
    <w:rsid w:val="00D574CE"/>
    <w:rsid w:val="00D615B8"/>
    <w:rsid w:val="00D7644A"/>
    <w:rsid w:val="00D77B49"/>
    <w:rsid w:val="00D81FC1"/>
    <w:rsid w:val="00D8492D"/>
    <w:rsid w:val="00D90191"/>
    <w:rsid w:val="00D90962"/>
    <w:rsid w:val="00D964E4"/>
    <w:rsid w:val="00D96B2D"/>
    <w:rsid w:val="00DA0C6F"/>
    <w:rsid w:val="00DA1673"/>
    <w:rsid w:val="00DA1F0B"/>
    <w:rsid w:val="00DA5141"/>
    <w:rsid w:val="00DB0B39"/>
    <w:rsid w:val="00DB6394"/>
    <w:rsid w:val="00DB7C18"/>
    <w:rsid w:val="00DC1DD6"/>
    <w:rsid w:val="00DC738C"/>
    <w:rsid w:val="00DC77AA"/>
    <w:rsid w:val="00DD2458"/>
    <w:rsid w:val="00DD3FFC"/>
    <w:rsid w:val="00DF4952"/>
    <w:rsid w:val="00DF6873"/>
    <w:rsid w:val="00DF711C"/>
    <w:rsid w:val="00E03D77"/>
    <w:rsid w:val="00E047BE"/>
    <w:rsid w:val="00E06602"/>
    <w:rsid w:val="00E1202A"/>
    <w:rsid w:val="00E1424D"/>
    <w:rsid w:val="00E1456F"/>
    <w:rsid w:val="00E237BA"/>
    <w:rsid w:val="00E2391B"/>
    <w:rsid w:val="00E35738"/>
    <w:rsid w:val="00E373DF"/>
    <w:rsid w:val="00E54656"/>
    <w:rsid w:val="00E56FFB"/>
    <w:rsid w:val="00E77498"/>
    <w:rsid w:val="00E82733"/>
    <w:rsid w:val="00E852AF"/>
    <w:rsid w:val="00E92D07"/>
    <w:rsid w:val="00E95109"/>
    <w:rsid w:val="00E96A7C"/>
    <w:rsid w:val="00EA0130"/>
    <w:rsid w:val="00EA0C96"/>
    <w:rsid w:val="00EA11FF"/>
    <w:rsid w:val="00EA3E00"/>
    <w:rsid w:val="00EA4D63"/>
    <w:rsid w:val="00EA4F96"/>
    <w:rsid w:val="00EA69BE"/>
    <w:rsid w:val="00EB0EAA"/>
    <w:rsid w:val="00EB1129"/>
    <w:rsid w:val="00EB1D0F"/>
    <w:rsid w:val="00EB3A54"/>
    <w:rsid w:val="00EB7058"/>
    <w:rsid w:val="00EC0068"/>
    <w:rsid w:val="00EC0B78"/>
    <w:rsid w:val="00EC312D"/>
    <w:rsid w:val="00EC4172"/>
    <w:rsid w:val="00EC4276"/>
    <w:rsid w:val="00EC7658"/>
    <w:rsid w:val="00ED1956"/>
    <w:rsid w:val="00EE4460"/>
    <w:rsid w:val="00EE50E5"/>
    <w:rsid w:val="00EF0525"/>
    <w:rsid w:val="00EF0887"/>
    <w:rsid w:val="00EF1C3E"/>
    <w:rsid w:val="00EF1D30"/>
    <w:rsid w:val="00EF1D7D"/>
    <w:rsid w:val="00EF2EC7"/>
    <w:rsid w:val="00F07F99"/>
    <w:rsid w:val="00F1251E"/>
    <w:rsid w:val="00F12898"/>
    <w:rsid w:val="00F23426"/>
    <w:rsid w:val="00F30FD2"/>
    <w:rsid w:val="00F37B6C"/>
    <w:rsid w:val="00F43220"/>
    <w:rsid w:val="00F516BD"/>
    <w:rsid w:val="00F51A86"/>
    <w:rsid w:val="00F60558"/>
    <w:rsid w:val="00F6376D"/>
    <w:rsid w:val="00F63E5C"/>
    <w:rsid w:val="00F65EBC"/>
    <w:rsid w:val="00F83547"/>
    <w:rsid w:val="00F83DE3"/>
    <w:rsid w:val="00F900CE"/>
    <w:rsid w:val="00F91716"/>
    <w:rsid w:val="00F91D72"/>
    <w:rsid w:val="00F97EF2"/>
    <w:rsid w:val="00FA0E24"/>
    <w:rsid w:val="00FA4ED2"/>
    <w:rsid w:val="00FB296D"/>
    <w:rsid w:val="00FF01C3"/>
    <w:rsid w:val="00FF4A40"/>
    <w:rsid w:val="00FF722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0E0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semiHidden="0" w:unhideWhenUsed="0" w:qFormat="1"/>
    <w:lsdException w:name="heading 7" w:qFormat="1"/>
    <w:lsdException w:name="heading 8" w:semiHidden="0" w:unhideWhenUsed="0" w:qFormat="1"/>
    <w:lsdException w:name="heading 9" w:qFormat="1"/>
    <w:lsdException w:name="toc 1" w:uiPriority="39" w:qFormat="1"/>
    <w:lsdException w:name="toc 2" w:uiPriority="39" w:qFormat="1"/>
    <w:lsdException w:name="toc 3" w:uiPriority="39" w:qFormat="1"/>
    <w:lsdException w:name="toc 5" w:uiPriority="39"/>
    <w:lsdException w:name="footnote text" w:qFormat="1"/>
    <w:lsdException w:name="caption" w:uiPriority="0" w:qFormat="1"/>
    <w:lsdException w:name="Title" w:semiHidden="0" w:unhideWhenUsed="0" w:qFormat="1"/>
    <w:lsdException w:name="Default Paragraph Font" w:uiPriority="1"/>
    <w:lsdException w:name="Body Text" w:qFormat="1"/>
    <w:lsdException w:name="Subtitle" w:semiHidden="0" w:unhideWhenUsed="0" w:qFormat="1"/>
    <w:lsdException w:name="Strong" w:semiHidden="0" w:unhideWhenUsed="0" w:qFormat="1"/>
    <w:lsdException w:name="Emphasis" w:semiHidden="0" w:unhideWhenUsed="0" w:qFormat="1"/>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3F87"/>
    <w:rPr>
      <w:sz w:val="24"/>
      <w:szCs w:val="24"/>
    </w:rPr>
  </w:style>
  <w:style w:type="paragraph" w:styleId="Heading1">
    <w:name w:val="heading 1"/>
    <w:basedOn w:val="Normal"/>
    <w:next w:val="Normal"/>
    <w:link w:val="Heading1Char"/>
    <w:qFormat/>
    <w:rsid w:val="00463F87"/>
    <w:pPr>
      <w:keepNext/>
      <w:outlineLvl w:val="0"/>
    </w:pPr>
    <w:rPr>
      <w:b/>
      <w:bCs/>
      <w:u w:val="single"/>
    </w:rPr>
  </w:style>
  <w:style w:type="paragraph" w:styleId="Heading2">
    <w:name w:val="heading 2"/>
    <w:basedOn w:val="Normal"/>
    <w:next w:val="Normal"/>
    <w:link w:val="Heading2Char"/>
    <w:uiPriority w:val="99"/>
    <w:qFormat/>
    <w:rsid w:val="00463F87"/>
    <w:pPr>
      <w:keepNext/>
      <w:outlineLvl w:val="1"/>
    </w:pPr>
    <w:rPr>
      <w:b/>
      <w:bCs/>
    </w:rPr>
  </w:style>
  <w:style w:type="paragraph" w:styleId="Heading3">
    <w:name w:val="heading 3"/>
    <w:basedOn w:val="Normal"/>
    <w:next w:val="Normal"/>
    <w:link w:val="Heading3Char"/>
    <w:uiPriority w:val="99"/>
    <w:qFormat/>
    <w:rsid w:val="00463F87"/>
    <w:pPr>
      <w:keepNext/>
      <w:outlineLvl w:val="2"/>
    </w:pPr>
    <w:rPr>
      <w:u w:val="single"/>
    </w:rPr>
  </w:style>
  <w:style w:type="paragraph" w:styleId="Heading4">
    <w:name w:val="heading 4"/>
    <w:basedOn w:val="Normal"/>
    <w:next w:val="Normal"/>
    <w:link w:val="Heading4Char"/>
    <w:uiPriority w:val="99"/>
    <w:qFormat/>
    <w:rsid w:val="00463F87"/>
    <w:pPr>
      <w:keepNext/>
      <w:jc w:val="center"/>
      <w:outlineLvl w:val="3"/>
    </w:pPr>
    <w:rPr>
      <w:b/>
      <w:szCs w:val="20"/>
    </w:rPr>
  </w:style>
  <w:style w:type="paragraph" w:styleId="Heading5">
    <w:name w:val="heading 5"/>
    <w:basedOn w:val="Normal"/>
    <w:next w:val="Normal"/>
    <w:link w:val="Heading5Char"/>
    <w:uiPriority w:val="99"/>
    <w:qFormat/>
    <w:rsid w:val="002415C2"/>
    <w:pPr>
      <w:spacing w:before="240" w:after="60"/>
      <w:outlineLvl w:val="4"/>
    </w:pPr>
    <w:rPr>
      <w:b/>
      <w:bCs/>
      <w:i/>
      <w:iCs/>
      <w:sz w:val="26"/>
      <w:szCs w:val="26"/>
    </w:rPr>
  </w:style>
  <w:style w:type="paragraph" w:styleId="Heading6">
    <w:name w:val="heading 6"/>
    <w:basedOn w:val="Normal"/>
    <w:next w:val="Normal"/>
    <w:link w:val="Heading6Char"/>
    <w:uiPriority w:val="99"/>
    <w:qFormat/>
    <w:rsid w:val="00463F87"/>
    <w:pPr>
      <w:keepNext/>
      <w:tabs>
        <w:tab w:val="left" w:pos="720"/>
        <w:tab w:val="left" w:pos="1152"/>
        <w:tab w:val="left" w:pos="1440"/>
        <w:tab w:val="left" w:pos="5580"/>
        <w:tab w:val="left" w:pos="7560"/>
      </w:tabs>
      <w:outlineLvl w:val="5"/>
    </w:pPr>
    <w:rPr>
      <w:bCs/>
      <w:i/>
      <w:iCs/>
      <w:szCs w:val="20"/>
    </w:rPr>
  </w:style>
  <w:style w:type="paragraph" w:styleId="Heading7">
    <w:name w:val="heading 7"/>
    <w:basedOn w:val="Normal"/>
    <w:next w:val="Normal"/>
    <w:link w:val="Heading7Char"/>
    <w:uiPriority w:val="99"/>
    <w:qFormat/>
    <w:rsid w:val="002415C2"/>
    <w:pPr>
      <w:keepNext/>
      <w:tabs>
        <w:tab w:val="num" w:pos="1296"/>
      </w:tabs>
      <w:ind w:left="1296" w:hanging="1296"/>
      <w:jc w:val="center"/>
      <w:outlineLvl w:val="6"/>
    </w:pPr>
    <w:rPr>
      <w:rFonts w:ascii="Arial" w:hAnsi="Arial"/>
      <w:b/>
      <w:szCs w:val="20"/>
    </w:rPr>
  </w:style>
  <w:style w:type="paragraph" w:styleId="Heading8">
    <w:name w:val="heading 8"/>
    <w:basedOn w:val="Normal"/>
    <w:next w:val="Normal"/>
    <w:link w:val="Heading8Char"/>
    <w:uiPriority w:val="99"/>
    <w:qFormat/>
    <w:rsid w:val="00463F87"/>
    <w:pPr>
      <w:keepNext/>
      <w:outlineLvl w:val="7"/>
    </w:pPr>
    <w:rPr>
      <w:b/>
      <w:bCs/>
    </w:rPr>
  </w:style>
  <w:style w:type="paragraph" w:styleId="Heading9">
    <w:name w:val="heading 9"/>
    <w:basedOn w:val="Normal"/>
    <w:next w:val="Normal"/>
    <w:link w:val="Heading9Char"/>
    <w:uiPriority w:val="99"/>
    <w:qFormat/>
    <w:rsid w:val="002415C2"/>
    <w:pPr>
      <w:keepNext/>
      <w:tabs>
        <w:tab w:val="num" w:pos="1584"/>
      </w:tabs>
      <w:ind w:left="1584" w:hanging="1584"/>
      <w:jc w:val="right"/>
      <w:outlineLvl w:val="8"/>
    </w:pPr>
    <w:rPr>
      <w:rFonts w:ascii="Arial" w:hAnsi="Arial"/>
      <w:b/>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rsid w:val="00463F87"/>
    <w:pPr>
      <w:spacing w:before="100" w:beforeAutospacing="1" w:after="100" w:afterAutospacing="1"/>
      <w:ind w:left="720" w:hanging="360"/>
    </w:pPr>
  </w:style>
  <w:style w:type="paragraph" w:styleId="BodyTextIndent2">
    <w:name w:val="Body Text Indent 2"/>
    <w:basedOn w:val="Normal"/>
    <w:semiHidden/>
    <w:rsid w:val="00463F87"/>
    <w:pPr>
      <w:tabs>
        <w:tab w:val="left" w:pos="720"/>
        <w:tab w:val="left" w:pos="1152"/>
        <w:tab w:val="left" w:pos="1440"/>
        <w:tab w:val="left" w:pos="5580"/>
        <w:tab w:val="left" w:pos="7560"/>
      </w:tabs>
      <w:ind w:left="720" w:hanging="720"/>
    </w:pPr>
    <w:rPr>
      <w:bCs/>
    </w:rPr>
  </w:style>
  <w:style w:type="paragraph" w:styleId="BodyTextIndent3">
    <w:name w:val="Body Text Indent 3"/>
    <w:basedOn w:val="Normal"/>
    <w:semiHidden/>
    <w:rsid w:val="00463F87"/>
    <w:pPr>
      <w:spacing w:before="100" w:beforeAutospacing="1" w:after="100" w:afterAutospacing="1"/>
      <w:ind w:left="360"/>
    </w:pPr>
  </w:style>
  <w:style w:type="paragraph" w:styleId="BodyText3">
    <w:name w:val="Body Text 3"/>
    <w:basedOn w:val="Normal"/>
    <w:link w:val="BodyText3Char"/>
    <w:uiPriority w:val="99"/>
    <w:rsid w:val="00463F87"/>
    <w:rPr>
      <w:rFonts w:ascii="Times" w:hAnsi="Times"/>
      <w:sz w:val="28"/>
      <w:szCs w:val="20"/>
    </w:rPr>
  </w:style>
  <w:style w:type="paragraph" w:styleId="EndnoteText">
    <w:name w:val="endnote text"/>
    <w:basedOn w:val="Normal"/>
    <w:semiHidden/>
    <w:rsid w:val="00463F87"/>
    <w:pPr>
      <w:widowControl w:val="0"/>
    </w:pPr>
    <w:rPr>
      <w:rFonts w:ascii="Courier" w:hAnsi="Courier"/>
      <w:snapToGrid w:val="0"/>
      <w:szCs w:val="20"/>
    </w:rPr>
  </w:style>
  <w:style w:type="paragraph" w:styleId="Footer">
    <w:name w:val="footer"/>
    <w:basedOn w:val="Normal"/>
    <w:link w:val="FooterChar"/>
    <w:uiPriority w:val="99"/>
    <w:rsid w:val="00463F87"/>
    <w:pPr>
      <w:tabs>
        <w:tab w:val="center" w:pos="4320"/>
        <w:tab w:val="right" w:pos="8640"/>
      </w:tabs>
    </w:pPr>
  </w:style>
  <w:style w:type="character" w:styleId="PageNumber">
    <w:name w:val="page number"/>
    <w:aliases w:val="pn"/>
    <w:basedOn w:val="DefaultParagraphFont"/>
    <w:uiPriority w:val="99"/>
    <w:rsid w:val="00463F87"/>
  </w:style>
  <w:style w:type="paragraph" w:styleId="BodyText">
    <w:name w:val="Body Text"/>
    <w:basedOn w:val="Normal"/>
    <w:link w:val="BodyTextChar"/>
    <w:uiPriority w:val="99"/>
    <w:qFormat/>
    <w:rsid w:val="00463F87"/>
    <w:pPr>
      <w:jc w:val="both"/>
    </w:pPr>
    <w:rPr>
      <w:b/>
      <w:bCs/>
    </w:rPr>
  </w:style>
  <w:style w:type="paragraph" w:customStyle="1" w:styleId="NPSAS08bulleted">
    <w:name w:val="NPSAS08 bulleted"/>
    <w:basedOn w:val="Normal"/>
    <w:autoRedefine/>
    <w:rsid w:val="00463F87"/>
    <w:pPr>
      <w:numPr>
        <w:numId w:val="2"/>
      </w:numPr>
      <w:tabs>
        <w:tab w:val="clear" w:pos="2520"/>
        <w:tab w:val="num" w:pos="1440"/>
      </w:tabs>
      <w:autoSpaceDE w:val="0"/>
      <w:autoSpaceDN w:val="0"/>
      <w:adjustRightInd w:val="0"/>
      <w:spacing w:before="120"/>
      <w:ind w:left="1440"/>
    </w:pPr>
    <w:rPr>
      <w:rFonts w:ascii="Tahoma" w:hAnsi="Tahoma" w:cs="Tahoma"/>
      <w:snapToGrid w:val="0"/>
      <w:sz w:val="20"/>
      <w:szCs w:val="20"/>
    </w:rPr>
  </w:style>
  <w:style w:type="paragraph" w:customStyle="1" w:styleId="NPSAS08Text">
    <w:name w:val="NPSAS08 Text"/>
    <w:basedOn w:val="Normal"/>
    <w:rsid w:val="00463F87"/>
    <w:pPr>
      <w:tabs>
        <w:tab w:val="left" w:pos="720"/>
        <w:tab w:val="left" w:pos="1402"/>
        <w:tab w:val="left" w:pos="2506"/>
        <w:tab w:val="left" w:pos="3514"/>
        <w:tab w:val="left" w:pos="8250"/>
      </w:tabs>
      <w:spacing w:before="120"/>
      <w:ind w:firstLine="720"/>
    </w:pPr>
    <w:rPr>
      <w:rFonts w:ascii="Tahoma" w:hAnsi="Tahoma" w:cs="Tahoma"/>
      <w:snapToGrid w:val="0"/>
      <w:color w:val="000000"/>
      <w:sz w:val="20"/>
      <w:szCs w:val="20"/>
    </w:rPr>
  </w:style>
  <w:style w:type="paragraph" w:customStyle="1" w:styleId="NSoFaSL1">
    <w:name w:val="NSoFaS_L1"/>
    <w:basedOn w:val="ListBullet"/>
    <w:rsid w:val="00463F87"/>
    <w:pPr>
      <w:spacing w:before="120" w:after="120"/>
    </w:pPr>
    <w:rPr>
      <w:szCs w:val="20"/>
    </w:rPr>
  </w:style>
  <w:style w:type="paragraph" w:styleId="ListBullet">
    <w:name w:val="List Bullet"/>
    <w:basedOn w:val="Normal"/>
    <w:uiPriority w:val="99"/>
    <w:rsid w:val="00463F87"/>
    <w:pPr>
      <w:numPr>
        <w:numId w:val="1"/>
      </w:numPr>
    </w:pPr>
  </w:style>
  <w:style w:type="paragraph" w:customStyle="1" w:styleId="StyleNPSAS08bulleted9pt">
    <w:name w:val="Style NPSAS08 bulleted + 9 pt"/>
    <w:basedOn w:val="NPSAS08bulleted"/>
    <w:rsid w:val="00463F87"/>
  </w:style>
  <w:style w:type="character" w:customStyle="1" w:styleId="NPSAS08bulletedChar">
    <w:name w:val="NPSAS08 bulleted Char"/>
    <w:basedOn w:val="DefaultParagraphFont"/>
    <w:rsid w:val="00463F87"/>
    <w:rPr>
      <w:rFonts w:ascii="Tahoma" w:hAnsi="Tahoma" w:cs="Tahoma"/>
      <w:snapToGrid w:val="0"/>
      <w:lang w:val="en-US" w:eastAsia="en-US" w:bidi="ar-SA"/>
    </w:rPr>
  </w:style>
  <w:style w:type="character" w:customStyle="1" w:styleId="StyleNPSAS08bulleted9ptChar">
    <w:name w:val="Style NPSAS08 bulleted + 9 pt Char"/>
    <w:basedOn w:val="NPSAS08bulletedChar"/>
    <w:rsid w:val="00463F87"/>
    <w:rPr>
      <w:rFonts w:ascii="Tahoma" w:hAnsi="Tahoma" w:cs="Tahoma"/>
      <w:snapToGrid w:val="0"/>
      <w:lang w:val="en-US" w:eastAsia="en-US" w:bidi="ar-SA"/>
    </w:rPr>
  </w:style>
  <w:style w:type="paragraph" w:styleId="BalloonText">
    <w:name w:val="Balloon Text"/>
    <w:basedOn w:val="Normal"/>
    <w:link w:val="BalloonTextChar"/>
    <w:uiPriority w:val="99"/>
    <w:semiHidden/>
    <w:rsid w:val="00463F87"/>
    <w:rPr>
      <w:rFonts w:ascii="Tahoma" w:hAnsi="Tahoma" w:cs="Tahoma"/>
      <w:sz w:val="16"/>
      <w:szCs w:val="16"/>
    </w:rPr>
  </w:style>
  <w:style w:type="paragraph" w:customStyle="1" w:styleId="TableHeaders">
    <w:name w:val="Table Headers"/>
    <w:basedOn w:val="Normal"/>
    <w:rsid w:val="00463F87"/>
    <w:pPr>
      <w:keepNext/>
      <w:spacing w:before="80" w:after="80" w:line="240" w:lineRule="exact"/>
      <w:jc w:val="center"/>
    </w:pPr>
    <w:rPr>
      <w:rFonts w:ascii="Arial" w:hAnsi="Arial"/>
      <w:b/>
      <w:snapToGrid w:val="0"/>
      <w:sz w:val="20"/>
      <w:szCs w:val="20"/>
    </w:rPr>
  </w:style>
  <w:style w:type="paragraph" w:styleId="BodyText2">
    <w:name w:val="Body Text 2"/>
    <w:basedOn w:val="Normal"/>
    <w:link w:val="BodyText2Char"/>
    <w:uiPriority w:val="99"/>
    <w:rsid w:val="00463F87"/>
    <w:pPr>
      <w:jc w:val="both"/>
    </w:pPr>
    <w:rPr>
      <w:color w:val="FF0000"/>
    </w:rPr>
  </w:style>
  <w:style w:type="paragraph" w:customStyle="1" w:styleId="Bulleted1">
    <w:name w:val="Bulleted 1"/>
    <w:basedOn w:val="Normal"/>
    <w:rsid w:val="00463F87"/>
    <w:pPr>
      <w:numPr>
        <w:ilvl w:val="1"/>
        <w:numId w:val="3"/>
      </w:numPr>
      <w:tabs>
        <w:tab w:val="clear" w:pos="720"/>
      </w:tabs>
      <w:spacing w:before="120"/>
    </w:pPr>
    <w:rPr>
      <w:rFonts w:ascii="Tahoma" w:hAnsi="Tahoma"/>
      <w:sz w:val="20"/>
    </w:rPr>
  </w:style>
  <w:style w:type="paragraph" w:customStyle="1" w:styleId="StyleStylebulletround">
    <w:name w:val="Style Style bullet round"/>
    <w:basedOn w:val="Normal"/>
    <w:autoRedefine/>
    <w:rsid w:val="00463F87"/>
    <w:pPr>
      <w:spacing w:before="120" w:after="120"/>
      <w:ind w:left="1080"/>
    </w:pPr>
    <w:rPr>
      <w:rFonts w:ascii="Arial" w:hAnsi="Arial" w:cs="Arial"/>
      <w:b/>
      <w:bCs/>
      <w:sz w:val="22"/>
      <w:szCs w:val="22"/>
    </w:rPr>
  </w:style>
  <w:style w:type="paragraph" w:customStyle="1" w:styleId="StyleNCESChapterTitleAfter18pt">
    <w:name w:val="Style NCES Chapter Title + After:  18 pt"/>
    <w:basedOn w:val="Normal"/>
    <w:autoRedefine/>
    <w:rsid w:val="00463F87"/>
    <w:pPr>
      <w:pBdr>
        <w:bottom w:val="thinThickSmallGap" w:sz="24" w:space="1" w:color="auto"/>
      </w:pBdr>
      <w:spacing w:before="720" w:after="360"/>
      <w:jc w:val="right"/>
    </w:pPr>
    <w:rPr>
      <w:rFonts w:ascii="Arial" w:hAnsi="Arial"/>
      <w:b/>
      <w:bCs/>
      <w:sz w:val="44"/>
      <w:szCs w:val="20"/>
    </w:rPr>
  </w:style>
  <w:style w:type="paragraph" w:customStyle="1" w:styleId="bulletround">
    <w:name w:val="bullet round"/>
    <w:basedOn w:val="Normal"/>
    <w:autoRedefine/>
    <w:rsid w:val="00D964E4"/>
    <w:pPr>
      <w:spacing w:after="120"/>
      <w:ind w:left="720" w:hanging="720"/>
    </w:pPr>
    <w:rPr>
      <w:rFonts w:cs="Arial"/>
      <w:szCs w:val="16"/>
    </w:rPr>
  </w:style>
  <w:style w:type="paragraph" w:customStyle="1" w:styleId="ProgressReport">
    <w:name w:val="Progress Report"/>
    <w:basedOn w:val="Normal"/>
    <w:rsid w:val="00463F87"/>
    <w:pPr>
      <w:pBdr>
        <w:top w:val="single" w:sz="24" w:space="1" w:color="auto"/>
      </w:pBdr>
      <w:jc w:val="center"/>
    </w:pPr>
    <w:rPr>
      <w:rFonts w:ascii="Tahoma" w:hAnsi="Tahoma"/>
      <w:sz w:val="32"/>
      <w:szCs w:val="32"/>
    </w:rPr>
  </w:style>
  <w:style w:type="paragraph" w:customStyle="1" w:styleId="H1">
    <w:name w:val="H1"/>
    <w:basedOn w:val="Normal"/>
    <w:rsid w:val="00463F87"/>
    <w:pPr>
      <w:tabs>
        <w:tab w:val="left" w:pos="1402"/>
        <w:tab w:val="left" w:pos="2506"/>
        <w:tab w:val="left" w:pos="3514"/>
        <w:tab w:val="left" w:pos="8250"/>
      </w:tabs>
      <w:spacing w:before="240"/>
    </w:pPr>
    <w:rPr>
      <w:rFonts w:ascii="Tahoma" w:hAnsi="Tahoma" w:cs="Tahoma"/>
      <w:b/>
      <w:snapToGrid w:val="0"/>
    </w:rPr>
  </w:style>
  <w:style w:type="paragraph" w:customStyle="1" w:styleId="PRMainbullet">
    <w:name w:val="PR Main bullet"/>
    <w:basedOn w:val="NormalWeb"/>
    <w:rsid w:val="00463F87"/>
    <w:pPr>
      <w:numPr>
        <w:numId w:val="4"/>
      </w:numPr>
      <w:spacing w:before="120"/>
    </w:pPr>
    <w:rPr>
      <w:rFonts w:ascii="Tahoma" w:hAnsi="Tahoma" w:cs="Tahoma"/>
      <w:snapToGrid w:val="0"/>
      <w:sz w:val="20"/>
      <w:szCs w:val="20"/>
    </w:rPr>
  </w:style>
  <w:style w:type="paragraph" w:styleId="NormalWeb">
    <w:name w:val="Normal (Web)"/>
    <w:basedOn w:val="Normal"/>
    <w:uiPriority w:val="99"/>
    <w:rsid w:val="00463F87"/>
  </w:style>
  <w:style w:type="paragraph" w:customStyle="1" w:styleId="Tabletitle">
    <w:name w:val="Table title"/>
    <w:basedOn w:val="Normal"/>
    <w:rsid w:val="00463F87"/>
    <w:pPr>
      <w:keepNext/>
      <w:autoSpaceDE w:val="0"/>
      <w:autoSpaceDN w:val="0"/>
      <w:adjustRightInd w:val="0"/>
      <w:spacing w:before="240"/>
      <w:jc w:val="center"/>
    </w:pPr>
    <w:rPr>
      <w:rFonts w:ascii="Tahoma" w:hAnsi="Tahoma" w:cs="Tahoma"/>
      <w:b/>
    </w:rPr>
  </w:style>
  <w:style w:type="paragraph" w:customStyle="1" w:styleId="PRText">
    <w:name w:val="PR Text"/>
    <w:basedOn w:val="Normal"/>
    <w:autoRedefine/>
    <w:rsid w:val="00463F87"/>
    <w:pPr>
      <w:keepNext/>
      <w:autoSpaceDE w:val="0"/>
      <w:autoSpaceDN w:val="0"/>
      <w:adjustRightInd w:val="0"/>
      <w:ind w:firstLine="720"/>
    </w:pPr>
    <w:rPr>
      <w:rFonts w:ascii="Tahoma" w:hAnsi="Tahoma" w:cs="Tahoma"/>
      <w:sz w:val="20"/>
    </w:rPr>
  </w:style>
  <w:style w:type="paragraph" w:customStyle="1" w:styleId="AttachmentTitle">
    <w:name w:val="Attachment Title"/>
    <w:basedOn w:val="Normal"/>
    <w:autoRedefine/>
    <w:rsid w:val="00463F87"/>
    <w:pPr>
      <w:keepNext/>
      <w:autoSpaceDE w:val="0"/>
      <w:autoSpaceDN w:val="0"/>
      <w:adjustRightInd w:val="0"/>
      <w:jc w:val="center"/>
    </w:pPr>
    <w:rPr>
      <w:rFonts w:ascii="Tahoma" w:hAnsi="Tahoma" w:cs="Arial"/>
      <w:b/>
      <w:sz w:val="20"/>
    </w:rPr>
  </w:style>
  <w:style w:type="paragraph" w:customStyle="1" w:styleId="NPSAS04Text">
    <w:name w:val="NPSAS04 Text"/>
    <w:basedOn w:val="Normal"/>
    <w:autoRedefine/>
    <w:rsid w:val="00463F87"/>
    <w:pPr>
      <w:keepNext/>
      <w:tabs>
        <w:tab w:val="left" w:pos="1402"/>
        <w:tab w:val="left" w:pos="2506"/>
        <w:tab w:val="left" w:pos="3514"/>
        <w:tab w:val="left" w:pos="8250"/>
      </w:tabs>
      <w:spacing w:before="120"/>
      <w:ind w:firstLine="720"/>
    </w:pPr>
    <w:rPr>
      <w:rFonts w:ascii="Tahoma" w:hAnsi="Tahoma" w:cs="Tahoma"/>
      <w:snapToGrid w:val="0"/>
      <w:color w:val="000000"/>
      <w:sz w:val="20"/>
    </w:rPr>
  </w:style>
  <w:style w:type="paragraph" w:customStyle="1" w:styleId="DefaultParagraphFontParaCharChar">
    <w:name w:val="Default Paragraph Font Para Char Char"/>
    <w:basedOn w:val="Normal"/>
    <w:rsid w:val="00463F87"/>
    <w:pPr>
      <w:spacing w:before="80" w:after="80"/>
      <w:ind w:left="4320"/>
      <w:jc w:val="both"/>
    </w:pPr>
    <w:rPr>
      <w:rFonts w:ascii="Arial" w:hAnsi="Arial"/>
      <w:sz w:val="20"/>
    </w:rPr>
  </w:style>
  <w:style w:type="paragraph" w:customStyle="1" w:styleId="5ensptotal">
    <w:name w:val="5 en sp (total)"/>
    <w:basedOn w:val="Normal"/>
    <w:link w:val="5ensptotalChar"/>
    <w:rsid w:val="00463F87"/>
    <w:pPr>
      <w:keepNext/>
      <w:spacing w:before="40" w:after="40"/>
      <w:ind w:left="908" w:hanging="346"/>
    </w:pPr>
    <w:rPr>
      <w:rFonts w:ascii="Arial" w:hAnsi="Arial" w:cs="Arial"/>
      <w:kern w:val="2"/>
      <w:sz w:val="20"/>
      <w:szCs w:val="20"/>
    </w:rPr>
  </w:style>
  <w:style w:type="paragraph" w:customStyle="1" w:styleId="TableTitle0">
    <w:name w:val="Table Title"/>
    <w:basedOn w:val="Normal"/>
    <w:qFormat/>
    <w:rsid w:val="00463F87"/>
    <w:pPr>
      <w:keepNext/>
      <w:spacing w:before="240" w:after="80"/>
      <w:ind w:left="990" w:hanging="990"/>
    </w:pPr>
    <w:rPr>
      <w:rFonts w:ascii="Arial" w:hAnsi="Arial"/>
      <w:b/>
      <w:sz w:val="20"/>
      <w:szCs w:val="20"/>
    </w:rPr>
  </w:style>
  <w:style w:type="character" w:customStyle="1" w:styleId="TableTitleChar">
    <w:name w:val="Table Title Char"/>
    <w:basedOn w:val="DefaultParagraphFont"/>
    <w:locked/>
    <w:rsid w:val="00463F87"/>
    <w:rPr>
      <w:rFonts w:ascii="Arial" w:hAnsi="Arial"/>
      <w:b/>
      <w:lang w:val="en-US" w:eastAsia="en-US" w:bidi="ar-SA"/>
    </w:rPr>
  </w:style>
  <w:style w:type="paragraph" w:customStyle="1" w:styleId="Source">
    <w:name w:val="Source"/>
    <w:basedOn w:val="Normal"/>
    <w:next w:val="BodyText"/>
    <w:rsid w:val="00463F87"/>
    <w:pPr>
      <w:spacing w:before="40"/>
    </w:pPr>
    <w:rPr>
      <w:rFonts w:ascii="Arial" w:hAnsi="Arial"/>
      <w:sz w:val="18"/>
      <w:szCs w:val="18"/>
    </w:rPr>
  </w:style>
  <w:style w:type="character" w:customStyle="1" w:styleId="SourceChar">
    <w:name w:val="Source Char"/>
    <w:basedOn w:val="DefaultParagraphFont"/>
    <w:locked/>
    <w:rsid w:val="00463F87"/>
    <w:rPr>
      <w:rFonts w:ascii="Arial" w:hAnsi="Arial"/>
      <w:sz w:val="18"/>
      <w:szCs w:val="18"/>
      <w:lang w:val="en-US" w:eastAsia="en-US" w:bidi="ar-SA"/>
    </w:rPr>
  </w:style>
  <w:style w:type="paragraph" w:customStyle="1" w:styleId="Tabletext">
    <w:name w:val="Table text"/>
    <w:basedOn w:val="Normal"/>
    <w:rsid w:val="00463F87"/>
    <w:pPr>
      <w:keepNext/>
      <w:spacing w:before="40" w:after="40"/>
      <w:ind w:left="317" w:hanging="317"/>
    </w:pPr>
    <w:rPr>
      <w:rFonts w:ascii="Arial" w:hAnsi="Arial"/>
      <w:sz w:val="20"/>
      <w:szCs w:val="20"/>
    </w:rPr>
  </w:style>
  <w:style w:type="character" w:customStyle="1" w:styleId="TabletextChar">
    <w:name w:val="Table text Char"/>
    <w:basedOn w:val="DefaultParagraphFont"/>
    <w:locked/>
    <w:rsid w:val="00463F87"/>
    <w:rPr>
      <w:rFonts w:ascii="Arial" w:hAnsi="Arial"/>
      <w:lang w:val="en-US" w:eastAsia="en-US" w:bidi="ar-SA"/>
    </w:rPr>
  </w:style>
  <w:style w:type="paragraph" w:customStyle="1" w:styleId="2enspsubgroup1">
    <w:name w:val="2 en sp (subgroup 1)"/>
    <w:basedOn w:val="Tabletext"/>
    <w:rsid w:val="00463F87"/>
    <w:pPr>
      <w:ind w:left="576" w:hanging="346"/>
    </w:pPr>
    <w:rPr>
      <w:kern w:val="2"/>
    </w:rPr>
  </w:style>
  <w:style w:type="paragraph" w:customStyle="1" w:styleId="Tableheading">
    <w:name w:val="Table heading"/>
    <w:basedOn w:val="Tabletext"/>
    <w:uiPriority w:val="99"/>
    <w:rsid w:val="00463F87"/>
    <w:pPr>
      <w:ind w:left="0" w:firstLine="0"/>
      <w:jc w:val="right"/>
    </w:pPr>
  </w:style>
  <w:style w:type="character" w:customStyle="1" w:styleId="TableheadingChar">
    <w:name w:val="Table heading Char"/>
    <w:basedOn w:val="TabletextChar"/>
    <w:uiPriority w:val="99"/>
    <w:locked/>
    <w:rsid w:val="00463F87"/>
    <w:rPr>
      <w:rFonts w:ascii="Arial" w:hAnsi="Arial"/>
      <w:lang w:val="en-US" w:eastAsia="en-US" w:bidi="ar-SA"/>
    </w:rPr>
  </w:style>
  <w:style w:type="paragraph" w:customStyle="1" w:styleId="Tablebody">
    <w:name w:val="Table body"/>
    <w:uiPriority w:val="99"/>
    <w:rsid w:val="00463F87"/>
    <w:pPr>
      <w:keepNext/>
      <w:spacing w:before="40" w:after="40"/>
      <w:jc w:val="right"/>
    </w:pPr>
    <w:rPr>
      <w:rFonts w:ascii="Arial" w:hAnsi="Arial"/>
    </w:rPr>
  </w:style>
  <w:style w:type="character" w:customStyle="1" w:styleId="2enspsubgroup1Char">
    <w:name w:val="2 en sp (subgroup 1) Char"/>
    <w:basedOn w:val="TabletextChar"/>
    <w:uiPriority w:val="99"/>
    <w:rsid w:val="00463F87"/>
    <w:rPr>
      <w:rFonts w:ascii="Arial" w:hAnsi="Arial"/>
      <w:kern w:val="2"/>
      <w:lang w:val="en-US" w:eastAsia="en-US" w:bidi="ar-SA"/>
    </w:rPr>
  </w:style>
  <w:style w:type="paragraph" w:customStyle="1" w:styleId="3ensptotalnosubgroup">
    <w:name w:val="3 en sp (total no subgroup)"/>
    <w:basedOn w:val="Normal"/>
    <w:rsid w:val="00463F87"/>
    <w:pPr>
      <w:keepNext/>
      <w:spacing w:before="40" w:after="40"/>
      <w:ind w:left="675" w:hanging="342"/>
    </w:pPr>
    <w:rPr>
      <w:rFonts w:ascii="Arial" w:eastAsia="Arial Unicode MS" w:hAnsi="Arial"/>
      <w:kern w:val="2"/>
      <w:sz w:val="20"/>
      <w:szCs w:val="20"/>
    </w:rPr>
  </w:style>
  <w:style w:type="paragraph" w:customStyle="1" w:styleId="exhibitsource">
    <w:name w:val="exhibit source"/>
    <w:basedOn w:val="Normal"/>
    <w:rsid w:val="00463F87"/>
    <w:pPr>
      <w:keepLines/>
      <w:spacing w:before="60"/>
      <w:ind w:left="187" w:hanging="187"/>
    </w:pPr>
    <w:rPr>
      <w:sz w:val="20"/>
      <w:szCs w:val="20"/>
    </w:rPr>
  </w:style>
  <w:style w:type="character" w:customStyle="1" w:styleId="3ensptotalnosubgroupChar">
    <w:name w:val="3 en sp (total no subgroup) Char"/>
    <w:basedOn w:val="DefaultParagraphFont"/>
    <w:rsid w:val="00463F87"/>
    <w:rPr>
      <w:rFonts w:ascii="Arial" w:eastAsia="Arial Unicode MS" w:hAnsi="Arial"/>
      <w:kern w:val="2"/>
      <w:lang w:val="en-US" w:eastAsia="en-US" w:bidi="ar-SA"/>
    </w:rPr>
  </w:style>
  <w:style w:type="paragraph" w:styleId="Header">
    <w:name w:val="header"/>
    <w:basedOn w:val="Normal"/>
    <w:link w:val="HeaderChar"/>
    <w:uiPriority w:val="99"/>
    <w:rsid w:val="00463F87"/>
    <w:pPr>
      <w:tabs>
        <w:tab w:val="center" w:pos="4320"/>
        <w:tab w:val="right" w:pos="8640"/>
      </w:tabs>
    </w:pPr>
  </w:style>
  <w:style w:type="paragraph" w:customStyle="1" w:styleId="Bodytextnoindent">
    <w:name w:val="Body text no indent"/>
    <w:basedOn w:val="BodyText"/>
    <w:uiPriority w:val="99"/>
    <w:rsid w:val="00463F87"/>
    <w:pPr>
      <w:spacing w:before="120" w:after="120"/>
      <w:jc w:val="left"/>
    </w:pPr>
    <w:rPr>
      <w:b w:val="0"/>
      <w:bCs w:val="0"/>
      <w:szCs w:val="20"/>
    </w:rPr>
  </w:style>
  <w:style w:type="character" w:customStyle="1" w:styleId="BodytextnoindentChar">
    <w:name w:val="Body text no indent Char"/>
    <w:basedOn w:val="DefaultParagraphFont"/>
    <w:uiPriority w:val="99"/>
    <w:locked/>
    <w:rsid w:val="00463F87"/>
    <w:rPr>
      <w:sz w:val="24"/>
      <w:lang w:val="en-US" w:eastAsia="en-US" w:bidi="ar-SA"/>
    </w:rPr>
  </w:style>
  <w:style w:type="character" w:styleId="CommentReference">
    <w:name w:val="annotation reference"/>
    <w:basedOn w:val="DefaultParagraphFont"/>
    <w:uiPriority w:val="99"/>
    <w:rsid w:val="00463F87"/>
    <w:rPr>
      <w:sz w:val="16"/>
      <w:szCs w:val="16"/>
    </w:rPr>
  </w:style>
  <w:style w:type="paragraph" w:styleId="CommentText">
    <w:name w:val="annotation text"/>
    <w:basedOn w:val="Normal"/>
    <w:link w:val="CommentTextChar"/>
    <w:uiPriority w:val="99"/>
    <w:semiHidden/>
    <w:rsid w:val="00463F87"/>
    <w:rPr>
      <w:sz w:val="20"/>
      <w:szCs w:val="20"/>
    </w:rPr>
  </w:style>
  <w:style w:type="paragraph" w:styleId="CommentSubject">
    <w:name w:val="annotation subject"/>
    <w:basedOn w:val="CommentText"/>
    <w:next w:val="CommentText"/>
    <w:link w:val="CommentSubjectChar"/>
    <w:uiPriority w:val="99"/>
    <w:semiHidden/>
    <w:rsid w:val="00463F87"/>
    <w:rPr>
      <w:b/>
      <w:bCs/>
    </w:rPr>
  </w:style>
  <w:style w:type="character" w:customStyle="1" w:styleId="bulletroundChar">
    <w:name w:val="bullet round Char"/>
    <w:basedOn w:val="DefaultParagraphFont"/>
    <w:locked/>
    <w:rsid w:val="00463F87"/>
    <w:rPr>
      <w:rFonts w:cs="Arial"/>
      <w:sz w:val="24"/>
      <w:szCs w:val="16"/>
      <w:lang w:val="en-US" w:eastAsia="en-US" w:bidi="ar-SA"/>
    </w:rPr>
  </w:style>
  <w:style w:type="paragraph" w:customStyle="1" w:styleId="Tablenumbers">
    <w:name w:val="Table numbers"/>
    <w:rsid w:val="00463F87"/>
    <w:pPr>
      <w:keepNext/>
      <w:spacing w:before="20" w:after="20"/>
      <w:jc w:val="right"/>
    </w:pPr>
    <w:rPr>
      <w:rFonts w:ascii="Arial" w:hAnsi="Arial" w:cs="Arial"/>
    </w:rPr>
  </w:style>
  <w:style w:type="character" w:styleId="FootnoteReference">
    <w:name w:val="footnote reference"/>
    <w:aliases w:val="fr,footnote reference"/>
    <w:basedOn w:val="DefaultParagraphFont"/>
    <w:uiPriority w:val="99"/>
    <w:rsid w:val="00463F87"/>
    <w:rPr>
      <w:rFonts w:ascii="Times New Roman" w:hAnsi="Times New Roman" w:cs="Times New Roman"/>
      <w:sz w:val="18"/>
      <w:szCs w:val="18"/>
      <w:vertAlign w:val="superscript"/>
    </w:rPr>
  </w:style>
  <w:style w:type="paragraph" w:styleId="FootnoteText">
    <w:name w:val="footnote text"/>
    <w:aliases w:val="ft,fo,footnote text Char,ft1,fo1,footnote text,F1,footnote text 9 pt,ft9"/>
    <w:basedOn w:val="Normal"/>
    <w:uiPriority w:val="99"/>
    <w:qFormat/>
    <w:rsid w:val="00463F87"/>
    <w:pPr>
      <w:keepLines/>
    </w:pPr>
    <w:rPr>
      <w:sz w:val="18"/>
      <w:szCs w:val="20"/>
    </w:rPr>
  </w:style>
  <w:style w:type="character" w:customStyle="1" w:styleId="ftChar">
    <w:name w:val="ft Char"/>
    <w:aliases w:val="fo Char,footnote text Char Char Char,footnote text Char Char,ft1 Char,fo1 Char,footnote text Char Char1,Footnote Text Char,footnote text Char1,F1 Char,footnote text 9 pt Char1,ft9 Char1,Footnote Text Char1,ft Char1,fo Char1,footnote text Char2"/>
    <w:basedOn w:val="DefaultParagraphFont"/>
    <w:uiPriority w:val="99"/>
    <w:locked/>
    <w:rsid w:val="00463F87"/>
    <w:rPr>
      <w:sz w:val="18"/>
      <w:lang w:val="en-US" w:eastAsia="en-US" w:bidi="ar-SA"/>
    </w:rPr>
  </w:style>
  <w:style w:type="paragraph" w:customStyle="1" w:styleId="Source2">
    <w:name w:val="Source2"/>
    <w:basedOn w:val="Source"/>
    <w:rsid w:val="00463F87"/>
    <w:pPr>
      <w:spacing w:before="20" w:after="240"/>
    </w:pPr>
  </w:style>
  <w:style w:type="paragraph" w:customStyle="1" w:styleId="Tableheadingcentered">
    <w:name w:val="Table heading centered"/>
    <w:basedOn w:val="Tableheading"/>
    <w:rsid w:val="00463F87"/>
    <w:pPr>
      <w:spacing w:before="20" w:after="20"/>
      <w:jc w:val="center"/>
    </w:pPr>
  </w:style>
  <w:style w:type="paragraph" w:customStyle="1" w:styleId="NCESheaderodd">
    <w:name w:val="NCES header odd"/>
    <w:basedOn w:val="Normal"/>
    <w:uiPriority w:val="99"/>
    <w:rsid w:val="00463F87"/>
    <w:pPr>
      <w:pBdr>
        <w:bottom w:val="single" w:sz="8" w:space="1" w:color="auto"/>
      </w:pBdr>
      <w:spacing w:after="100" w:afterAutospacing="1"/>
      <w:jc w:val="right"/>
    </w:pPr>
    <w:rPr>
      <w:rFonts w:ascii="Arial" w:hAnsi="Arial"/>
      <w:smallCaps/>
      <w:noProof/>
      <w:sz w:val="18"/>
      <w:szCs w:val="18"/>
    </w:rPr>
  </w:style>
  <w:style w:type="character" w:customStyle="1" w:styleId="NCESheaderoddChar">
    <w:name w:val="NCES header odd Char"/>
    <w:basedOn w:val="DefaultParagraphFont"/>
    <w:uiPriority w:val="99"/>
    <w:locked/>
    <w:rsid w:val="00463F87"/>
    <w:rPr>
      <w:rFonts w:ascii="Arial" w:hAnsi="Arial"/>
      <w:smallCaps/>
      <w:noProof/>
      <w:sz w:val="18"/>
      <w:szCs w:val="18"/>
      <w:lang w:val="en-US" w:eastAsia="en-US" w:bidi="ar-SA"/>
    </w:rPr>
  </w:style>
  <w:style w:type="paragraph" w:customStyle="1" w:styleId="NCESheadereven">
    <w:name w:val="NCES  header even"/>
    <w:basedOn w:val="Normal"/>
    <w:uiPriority w:val="99"/>
    <w:rsid w:val="00463F87"/>
    <w:pPr>
      <w:pBdr>
        <w:bottom w:val="single" w:sz="8" w:space="1" w:color="auto"/>
      </w:pBdr>
    </w:pPr>
    <w:rPr>
      <w:rFonts w:ascii="Arial" w:hAnsi="Arial"/>
      <w:smallCaps/>
      <w:sz w:val="18"/>
      <w:szCs w:val="20"/>
    </w:rPr>
  </w:style>
  <w:style w:type="paragraph" w:customStyle="1" w:styleId="NCESoddfooter">
    <w:name w:val="NCES odd footer"/>
    <w:basedOn w:val="Normal"/>
    <w:uiPriority w:val="99"/>
    <w:rsid w:val="00463F87"/>
    <w:pPr>
      <w:tabs>
        <w:tab w:val="right" w:pos="9360"/>
      </w:tabs>
    </w:pPr>
    <w:rPr>
      <w:rFonts w:ascii="Arial" w:hAnsi="Arial"/>
      <w:smallCaps/>
      <w:sz w:val="18"/>
      <w:szCs w:val="22"/>
    </w:rPr>
  </w:style>
  <w:style w:type="character" w:customStyle="1" w:styleId="NCESoddfooterChar">
    <w:name w:val="NCES odd footer Char"/>
    <w:basedOn w:val="DefaultParagraphFont"/>
    <w:uiPriority w:val="99"/>
    <w:locked/>
    <w:rsid w:val="00463F87"/>
    <w:rPr>
      <w:rFonts w:ascii="Arial" w:hAnsi="Arial"/>
      <w:smallCaps/>
      <w:sz w:val="18"/>
      <w:szCs w:val="22"/>
      <w:lang w:val="en-US" w:eastAsia="en-US" w:bidi="ar-SA"/>
    </w:rPr>
  </w:style>
  <w:style w:type="paragraph" w:customStyle="1" w:styleId="ListBullet21">
    <w:name w:val="List Bullet 21"/>
    <w:basedOn w:val="ListBullet"/>
    <w:uiPriority w:val="99"/>
    <w:rsid w:val="00463F87"/>
    <w:pPr>
      <w:numPr>
        <w:numId w:val="5"/>
      </w:numPr>
      <w:spacing w:before="120"/>
    </w:pPr>
    <w:rPr>
      <w:szCs w:val="20"/>
    </w:rPr>
  </w:style>
  <w:style w:type="character" w:styleId="Strong">
    <w:name w:val="Strong"/>
    <w:basedOn w:val="DefaultParagraphFont"/>
    <w:uiPriority w:val="99"/>
    <w:qFormat/>
    <w:rsid w:val="00463F87"/>
    <w:rPr>
      <w:b/>
      <w:bCs/>
    </w:rPr>
  </w:style>
  <w:style w:type="character" w:styleId="Emphasis">
    <w:name w:val="Emphasis"/>
    <w:basedOn w:val="DefaultParagraphFont"/>
    <w:uiPriority w:val="99"/>
    <w:qFormat/>
    <w:rsid w:val="00463F87"/>
    <w:rPr>
      <w:i/>
      <w:iCs/>
    </w:rPr>
  </w:style>
  <w:style w:type="paragraph" w:styleId="ListParagraph">
    <w:name w:val="List Paragraph"/>
    <w:basedOn w:val="Normal"/>
    <w:link w:val="ListParagraphChar"/>
    <w:uiPriority w:val="34"/>
    <w:qFormat/>
    <w:rsid w:val="00450CC6"/>
    <w:pPr>
      <w:ind w:left="720"/>
    </w:pPr>
    <w:rPr>
      <w:rFonts w:ascii="Calibri" w:eastAsia="Calibri" w:hAnsi="Calibri"/>
      <w:sz w:val="22"/>
      <w:szCs w:val="22"/>
    </w:rPr>
  </w:style>
  <w:style w:type="table" w:styleId="TableGrid">
    <w:name w:val="Table Grid"/>
    <w:basedOn w:val="TableNormal"/>
    <w:uiPriority w:val="59"/>
    <w:rsid w:val="00450CC6"/>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52AD"/>
    <w:rPr>
      <w:color w:val="0000FF"/>
      <w:u w:val="single"/>
    </w:rPr>
  </w:style>
  <w:style w:type="paragraph" w:styleId="Revision">
    <w:name w:val="Revision"/>
    <w:hidden/>
    <w:uiPriority w:val="99"/>
    <w:semiHidden/>
    <w:rsid w:val="004F373B"/>
    <w:rPr>
      <w:sz w:val="24"/>
      <w:szCs w:val="24"/>
    </w:rPr>
  </w:style>
  <w:style w:type="character" w:customStyle="1" w:styleId="FooterChar">
    <w:name w:val="Footer Char"/>
    <w:basedOn w:val="DefaultParagraphFont"/>
    <w:link w:val="Footer"/>
    <w:uiPriority w:val="99"/>
    <w:rsid w:val="00BD7A89"/>
    <w:rPr>
      <w:sz w:val="24"/>
      <w:szCs w:val="24"/>
    </w:rPr>
  </w:style>
  <w:style w:type="character" w:customStyle="1" w:styleId="CommentTextChar">
    <w:name w:val="Comment Text Char"/>
    <w:basedOn w:val="DefaultParagraphFont"/>
    <w:link w:val="CommentText"/>
    <w:uiPriority w:val="99"/>
    <w:semiHidden/>
    <w:locked/>
    <w:rsid w:val="004E0012"/>
  </w:style>
  <w:style w:type="paragraph" w:customStyle="1" w:styleId="bodytextpsg">
    <w:name w:val="body text_psg"/>
    <w:basedOn w:val="Normal"/>
    <w:link w:val="bodytextpsgChar"/>
    <w:uiPriority w:val="99"/>
    <w:rsid w:val="004E0012"/>
    <w:pPr>
      <w:spacing w:after="240" w:line="320" w:lineRule="exact"/>
    </w:pPr>
  </w:style>
  <w:style w:type="character" w:customStyle="1" w:styleId="bodytextpsgChar">
    <w:name w:val="body text_psg Char"/>
    <w:basedOn w:val="DefaultParagraphFont"/>
    <w:link w:val="bodytextpsg"/>
    <w:uiPriority w:val="99"/>
    <w:rsid w:val="004E0012"/>
    <w:rPr>
      <w:sz w:val="24"/>
      <w:szCs w:val="24"/>
    </w:rPr>
  </w:style>
  <w:style w:type="paragraph" w:customStyle="1" w:styleId="TableParagraph">
    <w:name w:val="Table Paragraph"/>
    <w:basedOn w:val="Normal"/>
    <w:uiPriority w:val="1"/>
    <w:qFormat/>
    <w:rsid w:val="00421D9B"/>
    <w:pPr>
      <w:widowControl w:val="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2305F8"/>
    <w:rPr>
      <w:sz w:val="24"/>
      <w:szCs w:val="24"/>
    </w:rPr>
  </w:style>
  <w:style w:type="character" w:styleId="FollowedHyperlink">
    <w:name w:val="FollowedHyperlink"/>
    <w:basedOn w:val="DefaultParagraphFont"/>
    <w:uiPriority w:val="99"/>
    <w:unhideWhenUsed/>
    <w:rsid w:val="004974C5"/>
    <w:rPr>
      <w:color w:val="800080" w:themeColor="followedHyperlink"/>
      <w:u w:val="single"/>
    </w:rPr>
  </w:style>
  <w:style w:type="paragraph" w:customStyle="1" w:styleId="Default">
    <w:name w:val="Default"/>
    <w:rsid w:val="004974C5"/>
    <w:pPr>
      <w:autoSpaceDE w:val="0"/>
      <w:autoSpaceDN w:val="0"/>
      <w:adjustRightInd w:val="0"/>
    </w:pPr>
    <w:rPr>
      <w:rFonts w:ascii="Arial" w:hAnsi="Arial" w:cs="Arial"/>
      <w:color w:val="000000"/>
      <w:sz w:val="24"/>
      <w:szCs w:val="24"/>
    </w:rPr>
  </w:style>
  <w:style w:type="paragraph" w:customStyle="1" w:styleId="BodyText1">
    <w:name w:val="Body Text1"/>
    <w:basedOn w:val="Normal"/>
    <w:uiPriority w:val="99"/>
    <w:rsid w:val="00F43220"/>
    <w:pPr>
      <w:spacing w:after="120" w:line="360" w:lineRule="auto"/>
      <w:ind w:firstLine="720"/>
    </w:pPr>
    <w:rPr>
      <w:szCs w:val="20"/>
    </w:rPr>
  </w:style>
  <w:style w:type="paragraph" w:customStyle="1" w:styleId="Cov-Title">
    <w:name w:val="Cov-Title"/>
    <w:basedOn w:val="Normal"/>
    <w:uiPriority w:val="99"/>
    <w:rsid w:val="007D6DCD"/>
    <w:pPr>
      <w:jc w:val="right"/>
    </w:pPr>
    <w:rPr>
      <w:rFonts w:ascii="Arial Black" w:hAnsi="Arial Black"/>
      <w:sz w:val="40"/>
      <w:szCs w:val="20"/>
    </w:rPr>
  </w:style>
  <w:style w:type="character" w:customStyle="1" w:styleId="Heading5Char">
    <w:name w:val="Heading 5 Char"/>
    <w:basedOn w:val="DefaultParagraphFont"/>
    <w:link w:val="Heading5"/>
    <w:uiPriority w:val="99"/>
    <w:rsid w:val="002415C2"/>
    <w:rPr>
      <w:b/>
      <w:bCs/>
      <w:i/>
      <w:iCs/>
      <w:sz w:val="26"/>
      <w:szCs w:val="26"/>
    </w:rPr>
  </w:style>
  <w:style w:type="character" w:customStyle="1" w:styleId="Heading7Char">
    <w:name w:val="Heading 7 Char"/>
    <w:basedOn w:val="DefaultParagraphFont"/>
    <w:link w:val="Heading7"/>
    <w:uiPriority w:val="99"/>
    <w:rsid w:val="002415C2"/>
    <w:rPr>
      <w:rFonts w:ascii="Arial" w:hAnsi="Arial"/>
      <w:b/>
      <w:sz w:val="24"/>
    </w:rPr>
  </w:style>
  <w:style w:type="character" w:customStyle="1" w:styleId="Heading9Char">
    <w:name w:val="Heading 9 Char"/>
    <w:basedOn w:val="DefaultParagraphFont"/>
    <w:link w:val="Heading9"/>
    <w:uiPriority w:val="99"/>
    <w:rsid w:val="002415C2"/>
    <w:rPr>
      <w:rFonts w:ascii="Arial" w:hAnsi="Arial"/>
      <w:b/>
      <w:sz w:val="40"/>
    </w:rPr>
  </w:style>
  <w:style w:type="numbering" w:customStyle="1" w:styleId="NoList1">
    <w:name w:val="No List1"/>
    <w:next w:val="NoList"/>
    <w:uiPriority w:val="99"/>
    <w:semiHidden/>
    <w:unhideWhenUsed/>
    <w:rsid w:val="002415C2"/>
  </w:style>
  <w:style w:type="character" w:customStyle="1" w:styleId="BodyTextChar">
    <w:name w:val="Body Text Char"/>
    <w:basedOn w:val="DefaultParagraphFont"/>
    <w:link w:val="BodyText"/>
    <w:uiPriority w:val="99"/>
    <w:locked/>
    <w:rsid w:val="002415C2"/>
    <w:rPr>
      <w:b/>
      <w:bCs/>
      <w:sz w:val="24"/>
      <w:szCs w:val="24"/>
    </w:rPr>
  </w:style>
  <w:style w:type="character" w:customStyle="1" w:styleId="Heading1Char">
    <w:name w:val="Heading 1 Char"/>
    <w:basedOn w:val="DefaultParagraphFont"/>
    <w:link w:val="Heading1"/>
    <w:locked/>
    <w:rsid w:val="002415C2"/>
    <w:rPr>
      <w:b/>
      <w:bCs/>
      <w:sz w:val="24"/>
      <w:szCs w:val="24"/>
      <w:u w:val="single"/>
    </w:rPr>
  </w:style>
  <w:style w:type="character" w:customStyle="1" w:styleId="Heading2Char">
    <w:name w:val="Heading 2 Char"/>
    <w:basedOn w:val="DefaultParagraphFont"/>
    <w:link w:val="Heading2"/>
    <w:uiPriority w:val="99"/>
    <w:locked/>
    <w:rsid w:val="002415C2"/>
    <w:rPr>
      <w:b/>
      <w:bCs/>
      <w:sz w:val="24"/>
      <w:szCs w:val="24"/>
    </w:rPr>
  </w:style>
  <w:style w:type="character" w:customStyle="1" w:styleId="Heading3Char">
    <w:name w:val="Heading 3 Char"/>
    <w:basedOn w:val="DefaultParagraphFont"/>
    <w:link w:val="Heading3"/>
    <w:uiPriority w:val="99"/>
    <w:locked/>
    <w:rsid w:val="002415C2"/>
    <w:rPr>
      <w:sz w:val="24"/>
      <w:szCs w:val="24"/>
      <w:u w:val="single"/>
    </w:rPr>
  </w:style>
  <w:style w:type="character" w:customStyle="1" w:styleId="Heading4Char">
    <w:name w:val="Heading 4 Char"/>
    <w:basedOn w:val="DefaultParagraphFont"/>
    <w:link w:val="Heading4"/>
    <w:uiPriority w:val="99"/>
    <w:locked/>
    <w:rsid w:val="002415C2"/>
    <w:rPr>
      <w:b/>
      <w:sz w:val="24"/>
    </w:rPr>
  </w:style>
  <w:style w:type="character" w:customStyle="1" w:styleId="Heading6Char">
    <w:name w:val="Heading 6 Char"/>
    <w:basedOn w:val="DefaultParagraphFont"/>
    <w:link w:val="Heading6"/>
    <w:uiPriority w:val="99"/>
    <w:locked/>
    <w:rsid w:val="002415C2"/>
    <w:rPr>
      <w:bCs/>
      <w:i/>
      <w:iCs/>
      <w:sz w:val="24"/>
    </w:rPr>
  </w:style>
  <w:style w:type="character" w:customStyle="1" w:styleId="Heading8Char">
    <w:name w:val="Heading 8 Char"/>
    <w:basedOn w:val="DefaultParagraphFont"/>
    <w:link w:val="Heading8"/>
    <w:uiPriority w:val="99"/>
    <w:locked/>
    <w:rsid w:val="002415C2"/>
    <w:rPr>
      <w:b/>
      <w:bCs/>
      <w:sz w:val="24"/>
      <w:szCs w:val="24"/>
    </w:rPr>
  </w:style>
  <w:style w:type="paragraph" w:customStyle="1" w:styleId="Reporttitle">
    <w:name w:val="Report title"/>
    <w:basedOn w:val="AppendixTitle"/>
    <w:uiPriority w:val="99"/>
    <w:rsid w:val="002415C2"/>
  </w:style>
  <w:style w:type="paragraph" w:customStyle="1" w:styleId="AppendixTitle">
    <w:name w:val="Appendix Title"/>
    <w:basedOn w:val="Heading1"/>
    <w:link w:val="AppendixTitleChar"/>
    <w:rsid w:val="002415C2"/>
    <w:pPr>
      <w:pBdr>
        <w:bottom w:val="thinThickSmallGap" w:sz="24" w:space="1" w:color="auto"/>
      </w:pBdr>
      <w:tabs>
        <w:tab w:val="left" w:pos="540"/>
      </w:tabs>
      <w:spacing w:before="5000" w:after="120"/>
      <w:jc w:val="right"/>
    </w:pPr>
    <w:rPr>
      <w:rFonts w:ascii="Arial" w:hAnsi="Arial" w:cs="Arial"/>
      <w:bCs w:val="0"/>
      <w:sz w:val="40"/>
      <w:szCs w:val="28"/>
      <w:u w:val="none"/>
    </w:rPr>
  </w:style>
  <w:style w:type="character" w:customStyle="1" w:styleId="AppendixTitleChar">
    <w:name w:val="Appendix Title Char"/>
    <w:basedOn w:val="DefaultParagraphFont"/>
    <w:link w:val="AppendixTitle"/>
    <w:locked/>
    <w:rsid w:val="002415C2"/>
    <w:rPr>
      <w:rFonts w:ascii="Arial" w:hAnsi="Arial" w:cs="Arial"/>
      <w:b/>
      <w:sz w:val="40"/>
      <w:szCs w:val="28"/>
    </w:rPr>
  </w:style>
  <w:style w:type="character" w:customStyle="1" w:styleId="BalloonTextChar">
    <w:name w:val="Balloon Text Char"/>
    <w:basedOn w:val="DefaultParagraphFont"/>
    <w:link w:val="BalloonText"/>
    <w:uiPriority w:val="99"/>
    <w:semiHidden/>
    <w:locked/>
    <w:rsid w:val="002415C2"/>
    <w:rPr>
      <w:rFonts w:ascii="Tahoma" w:hAnsi="Tahoma" w:cs="Tahoma"/>
      <w:sz w:val="16"/>
      <w:szCs w:val="16"/>
    </w:rPr>
  </w:style>
  <w:style w:type="paragraph" w:customStyle="1" w:styleId="Bullet1">
    <w:name w:val="Bullet1"/>
    <w:basedOn w:val="Normal"/>
    <w:uiPriority w:val="99"/>
    <w:rsid w:val="002415C2"/>
    <w:pPr>
      <w:tabs>
        <w:tab w:val="num" w:pos="720"/>
      </w:tabs>
      <w:overflowPunct w:val="0"/>
      <w:autoSpaceDE w:val="0"/>
      <w:autoSpaceDN w:val="0"/>
      <w:adjustRightInd w:val="0"/>
      <w:spacing w:after="120"/>
      <w:ind w:left="1440" w:hanging="360"/>
      <w:textAlignment w:val="baseline"/>
    </w:pPr>
    <w:rPr>
      <w:szCs w:val="20"/>
    </w:rPr>
  </w:style>
  <w:style w:type="character" w:customStyle="1" w:styleId="5ensptotalChar">
    <w:name w:val="5 en sp (total) Char"/>
    <w:basedOn w:val="2enspsubgroup1Char"/>
    <w:link w:val="5ensptotal"/>
    <w:locked/>
    <w:rsid w:val="002415C2"/>
    <w:rPr>
      <w:rFonts w:ascii="Arial" w:hAnsi="Arial" w:cs="Arial"/>
      <w:kern w:val="2"/>
      <w:lang w:val="en-US" w:eastAsia="en-US" w:bidi="ar-SA"/>
    </w:rPr>
  </w:style>
  <w:style w:type="paragraph" w:customStyle="1" w:styleId="tabletitle-continued">
    <w:name w:val="table title - continued"/>
    <w:basedOn w:val="TableTitle0"/>
    <w:uiPriority w:val="99"/>
    <w:rsid w:val="002415C2"/>
  </w:style>
  <w:style w:type="paragraph" w:styleId="TOC1">
    <w:name w:val="toc 1"/>
    <w:basedOn w:val="Normal"/>
    <w:next w:val="Normal"/>
    <w:autoRedefine/>
    <w:uiPriority w:val="39"/>
    <w:qFormat/>
    <w:rsid w:val="002415C2"/>
    <w:pPr>
      <w:tabs>
        <w:tab w:val="right" w:leader="dot" w:pos="10224"/>
      </w:tabs>
      <w:spacing w:before="120" w:after="120" w:line="320" w:lineRule="atLeast"/>
      <w:ind w:left="360" w:right="778" w:hanging="360"/>
    </w:pPr>
    <w:rPr>
      <w:rFonts w:cs="Arial"/>
      <w:bCs/>
      <w:noProof/>
    </w:rPr>
  </w:style>
  <w:style w:type="paragraph" w:styleId="TOC2">
    <w:name w:val="toc 2"/>
    <w:basedOn w:val="Normal"/>
    <w:next w:val="Normal"/>
    <w:autoRedefine/>
    <w:uiPriority w:val="39"/>
    <w:qFormat/>
    <w:rsid w:val="002415C2"/>
    <w:pPr>
      <w:tabs>
        <w:tab w:val="right" w:leader="dot" w:pos="10224"/>
      </w:tabs>
      <w:spacing w:before="120" w:after="120"/>
      <w:ind w:left="720" w:right="778" w:hanging="360"/>
    </w:pPr>
    <w:rPr>
      <w:bCs/>
      <w:noProof/>
      <w:sz w:val="22"/>
      <w:szCs w:val="20"/>
    </w:rPr>
  </w:style>
  <w:style w:type="paragraph" w:styleId="TOC3">
    <w:name w:val="toc 3"/>
    <w:basedOn w:val="Normal"/>
    <w:next w:val="Normal"/>
    <w:autoRedefine/>
    <w:uiPriority w:val="39"/>
    <w:qFormat/>
    <w:rsid w:val="002415C2"/>
    <w:pPr>
      <w:tabs>
        <w:tab w:val="right" w:leader="dot" w:pos="10224"/>
      </w:tabs>
      <w:ind w:left="1080" w:hanging="360"/>
    </w:pPr>
    <w:rPr>
      <w:noProof/>
      <w:sz w:val="22"/>
      <w:szCs w:val="20"/>
    </w:rPr>
  </w:style>
  <w:style w:type="paragraph" w:styleId="TOC4">
    <w:name w:val="toc 4"/>
    <w:basedOn w:val="Normal"/>
    <w:next w:val="Normal"/>
    <w:autoRedefine/>
    <w:uiPriority w:val="99"/>
    <w:rsid w:val="002415C2"/>
    <w:pPr>
      <w:ind w:left="480"/>
    </w:pPr>
    <w:rPr>
      <w:sz w:val="20"/>
      <w:szCs w:val="20"/>
    </w:rPr>
  </w:style>
  <w:style w:type="paragraph" w:styleId="TOC5">
    <w:name w:val="toc 5"/>
    <w:basedOn w:val="Normal"/>
    <w:next w:val="Normal"/>
    <w:autoRedefine/>
    <w:uiPriority w:val="39"/>
    <w:rsid w:val="002415C2"/>
    <w:pPr>
      <w:tabs>
        <w:tab w:val="left" w:pos="1440"/>
        <w:tab w:val="right" w:leader="dot" w:pos="10224"/>
      </w:tabs>
      <w:spacing w:before="100" w:after="100"/>
      <w:ind w:left="1440" w:right="778" w:hanging="1080"/>
    </w:pPr>
    <w:rPr>
      <w:noProof/>
      <w:szCs w:val="20"/>
    </w:rPr>
  </w:style>
  <w:style w:type="paragraph" w:styleId="ListBullet2">
    <w:name w:val="List Bullet 2"/>
    <w:basedOn w:val="Normal"/>
    <w:uiPriority w:val="99"/>
    <w:rsid w:val="002415C2"/>
    <w:pPr>
      <w:tabs>
        <w:tab w:val="num" w:pos="1080"/>
      </w:tabs>
      <w:spacing w:before="120"/>
      <w:ind w:left="1080" w:hanging="360"/>
    </w:pPr>
    <w:rPr>
      <w:szCs w:val="20"/>
    </w:rPr>
  </w:style>
  <w:style w:type="paragraph" w:customStyle="1" w:styleId="Number1">
    <w:name w:val="Number1"/>
    <w:uiPriority w:val="99"/>
    <w:semiHidden/>
    <w:rsid w:val="002415C2"/>
    <w:pPr>
      <w:tabs>
        <w:tab w:val="num" w:pos="720"/>
        <w:tab w:val="num" w:pos="1080"/>
      </w:tabs>
      <w:spacing w:before="240"/>
      <w:ind w:left="1080" w:hanging="360"/>
    </w:pPr>
    <w:rPr>
      <w:sz w:val="24"/>
    </w:rPr>
  </w:style>
  <w:style w:type="paragraph" w:customStyle="1" w:styleId="Figuretitle">
    <w:name w:val="Figure title"/>
    <w:basedOn w:val="Normal"/>
    <w:autoRedefine/>
    <w:uiPriority w:val="99"/>
    <w:rsid w:val="002415C2"/>
    <w:pPr>
      <w:keepNext/>
      <w:spacing w:after="120"/>
      <w:ind w:left="1233" w:hanging="1233"/>
    </w:pPr>
    <w:rPr>
      <w:rFonts w:ascii="Arial" w:hAnsi="Arial" w:cs="Arial"/>
      <w:b/>
      <w:noProof/>
      <w:sz w:val="20"/>
      <w:szCs w:val="20"/>
    </w:rPr>
  </w:style>
  <w:style w:type="paragraph" w:customStyle="1" w:styleId="figurewobox">
    <w:name w:val="figure w/o box"/>
    <w:basedOn w:val="Normal"/>
    <w:uiPriority w:val="99"/>
    <w:rsid w:val="002415C2"/>
    <w:pPr>
      <w:jc w:val="center"/>
    </w:pPr>
    <w:rPr>
      <w:rFonts w:ascii="Arial" w:hAnsi="Arial"/>
      <w:sz w:val="20"/>
      <w:szCs w:val="20"/>
    </w:rPr>
  </w:style>
  <w:style w:type="table" w:customStyle="1" w:styleId="TableGrid1">
    <w:name w:val="Table Grid1"/>
    <w:basedOn w:val="TableNormal"/>
    <w:next w:val="TableGrid"/>
    <w:rsid w:val="002415C2"/>
    <w:pPr>
      <w:spacing w:before="40" w:after="40"/>
    </w:pPr>
    <w:rPr>
      <w:rFonts w:ascii="Arial" w:hAnsi="Arial"/>
    </w:rPr>
    <w:tblPr>
      <w:tblBorders>
        <w:top w:val="single" w:sz="12" w:space="0" w:color="auto"/>
        <w:bottom w:val="single" w:sz="12" w:space="0" w:color="auto"/>
      </w:tblBorders>
    </w:tblPr>
    <w:tcPr>
      <w:vAlign w:val="bottom"/>
    </w:tcPr>
    <w:tblStylePr w:type="firstRow">
      <w:pPr>
        <w:jc w:val="right"/>
      </w:pPr>
      <w:rPr>
        <w:rFonts w:cs="Times New Roman"/>
      </w:rPr>
      <w:tblPr/>
      <w:tcPr>
        <w:tcBorders>
          <w:bottom w:val="single" w:sz="6" w:space="0" w:color="auto"/>
        </w:tcBorders>
      </w:tcPr>
    </w:tblStylePr>
    <w:tblStylePr w:type="firstCol">
      <w:pPr>
        <w:ind w:leftChars="0" w:left="346" w:rightChars="0" w:right="0" w:firstLineChars="0" w:hanging="346"/>
        <w:jc w:val="left"/>
      </w:pPr>
      <w:rPr>
        <w:rFonts w:cs="Times New Roman"/>
      </w:rPr>
    </w:tblStylePr>
    <w:tblStylePr w:type="nwCell">
      <w:pPr>
        <w:jc w:val="left"/>
      </w:pPr>
      <w:rPr>
        <w:rFonts w:cs="Times New Roman"/>
      </w:rPr>
    </w:tblStylePr>
  </w:style>
  <w:style w:type="paragraph" w:customStyle="1" w:styleId="ESHeading2">
    <w:name w:val="ES Heading 2"/>
    <w:basedOn w:val="Heading2"/>
    <w:uiPriority w:val="99"/>
    <w:rsid w:val="002415C2"/>
    <w:pPr>
      <w:numPr>
        <w:ilvl w:val="1"/>
      </w:numPr>
      <w:tabs>
        <w:tab w:val="num" w:pos="990"/>
        <w:tab w:val="left" w:pos="1080"/>
      </w:tabs>
      <w:overflowPunct w:val="0"/>
      <w:autoSpaceDE w:val="0"/>
      <w:autoSpaceDN w:val="0"/>
      <w:adjustRightInd w:val="0"/>
      <w:spacing w:before="240" w:after="120" w:line="320" w:lineRule="atLeast"/>
      <w:ind w:left="990" w:hanging="360"/>
      <w:textAlignment w:val="baseline"/>
    </w:pPr>
    <w:rPr>
      <w:rFonts w:ascii="Arial" w:hAnsi="Arial" w:cs="Arial"/>
      <w:iCs/>
      <w:szCs w:val="28"/>
    </w:rPr>
  </w:style>
  <w:style w:type="character" w:customStyle="1" w:styleId="CommentSubjectChar">
    <w:name w:val="Comment Subject Char"/>
    <w:basedOn w:val="CommentTextChar"/>
    <w:link w:val="CommentSubject"/>
    <w:uiPriority w:val="99"/>
    <w:semiHidden/>
    <w:locked/>
    <w:rsid w:val="002415C2"/>
    <w:rPr>
      <w:b/>
      <w:bCs/>
    </w:rPr>
  </w:style>
  <w:style w:type="paragraph" w:customStyle="1" w:styleId="4enspsubgroup2">
    <w:name w:val="4 en sp (subgroup 2)"/>
    <w:basedOn w:val="2enspsubgroup1"/>
    <w:rsid w:val="002415C2"/>
    <w:pPr>
      <w:ind w:left="794" w:hanging="351"/>
    </w:pPr>
  </w:style>
  <w:style w:type="paragraph" w:customStyle="1" w:styleId="ESHeading3">
    <w:name w:val="ES Heading 3"/>
    <w:basedOn w:val="Heading3"/>
    <w:uiPriority w:val="99"/>
    <w:rsid w:val="002415C2"/>
    <w:pPr>
      <w:numPr>
        <w:ilvl w:val="2"/>
      </w:numPr>
      <w:tabs>
        <w:tab w:val="left" w:pos="1620"/>
      </w:tabs>
      <w:spacing w:before="240" w:after="120" w:line="320" w:lineRule="atLeast"/>
      <w:ind w:left="1627" w:hanging="547"/>
    </w:pPr>
    <w:rPr>
      <w:rFonts w:ascii="Arial" w:hAnsi="Arial" w:cs="Arial"/>
      <w:b/>
      <w:bCs/>
      <w:u w:val="none"/>
    </w:rPr>
  </w:style>
  <w:style w:type="paragraph" w:customStyle="1" w:styleId="ESHeading4">
    <w:name w:val="ES Heading 4"/>
    <w:basedOn w:val="Heading4"/>
    <w:uiPriority w:val="99"/>
    <w:rsid w:val="002415C2"/>
    <w:pPr>
      <w:spacing w:before="240" w:after="60"/>
      <w:ind w:left="720"/>
      <w:jc w:val="left"/>
    </w:pPr>
    <w:rPr>
      <w:rFonts w:ascii="Arial" w:hAnsi="Arial"/>
      <w:bCs/>
      <w:sz w:val="22"/>
      <w:szCs w:val="22"/>
    </w:rPr>
  </w:style>
  <w:style w:type="paragraph" w:customStyle="1" w:styleId="6enspitem">
    <w:name w:val="6 en sp (item)"/>
    <w:basedOn w:val="4enspsubgroup2"/>
    <w:uiPriority w:val="99"/>
    <w:rsid w:val="002415C2"/>
    <w:pPr>
      <w:ind w:left="1019"/>
    </w:pPr>
  </w:style>
  <w:style w:type="paragraph" w:customStyle="1" w:styleId="Title2">
    <w:name w:val="Title2"/>
    <w:basedOn w:val="Title"/>
    <w:uiPriority w:val="99"/>
    <w:rsid w:val="002415C2"/>
    <w:pPr>
      <w:keepNext/>
      <w:jc w:val="center"/>
    </w:pPr>
    <w:rPr>
      <w:sz w:val="24"/>
    </w:rPr>
  </w:style>
  <w:style w:type="paragraph" w:styleId="Title">
    <w:name w:val="Title"/>
    <w:basedOn w:val="TOCHeading"/>
    <w:link w:val="TitleChar"/>
    <w:uiPriority w:val="99"/>
    <w:qFormat/>
    <w:rsid w:val="002415C2"/>
    <w:pPr>
      <w:spacing w:before="480" w:after="240"/>
      <w:outlineLvl w:val="0"/>
    </w:pPr>
  </w:style>
  <w:style w:type="character" w:customStyle="1" w:styleId="TitleChar">
    <w:name w:val="Title Char"/>
    <w:basedOn w:val="DefaultParagraphFont"/>
    <w:link w:val="Title"/>
    <w:uiPriority w:val="99"/>
    <w:rsid w:val="002415C2"/>
    <w:rPr>
      <w:rFonts w:ascii="Arial" w:hAnsi="Arial" w:cs="Arial"/>
      <w:b/>
      <w:sz w:val="32"/>
    </w:rPr>
  </w:style>
  <w:style w:type="paragraph" w:styleId="TOCHeading">
    <w:name w:val="TOC Heading"/>
    <w:basedOn w:val="Heading1"/>
    <w:uiPriority w:val="39"/>
    <w:qFormat/>
    <w:rsid w:val="002415C2"/>
    <w:pPr>
      <w:keepNext w:val="0"/>
      <w:spacing w:after="360"/>
      <w:outlineLvl w:val="9"/>
    </w:pPr>
    <w:rPr>
      <w:rFonts w:ascii="Arial" w:hAnsi="Arial" w:cs="Arial"/>
      <w:bCs w:val="0"/>
      <w:sz w:val="32"/>
      <w:szCs w:val="20"/>
      <w:u w:val="none"/>
    </w:rPr>
  </w:style>
  <w:style w:type="paragraph" w:customStyle="1" w:styleId="NCESfootnoteCharCharChar">
    <w:name w:val="NCES footnote Char Char Char"/>
    <w:basedOn w:val="Normal"/>
    <w:uiPriority w:val="99"/>
    <w:rsid w:val="002415C2"/>
    <w:rPr>
      <w:rFonts w:ascii="Arial" w:hAnsi="Arial"/>
      <w:sz w:val="18"/>
      <w:szCs w:val="18"/>
    </w:rPr>
  </w:style>
  <w:style w:type="paragraph" w:customStyle="1" w:styleId="NCESfootnote">
    <w:name w:val="NCES footnote"/>
    <w:basedOn w:val="Normal"/>
    <w:uiPriority w:val="99"/>
    <w:rsid w:val="002415C2"/>
    <w:rPr>
      <w:rFonts w:ascii="Arial" w:hAnsi="Arial"/>
      <w:sz w:val="18"/>
      <w:szCs w:val="18"/>
    </w:rPr>
  </w:style>
  <w:style w:type="paragraph" w:customStyle="1" w:styleId="Tablenoteslast">
    <w:name w:val="Table notes last"/>
    <w:link w:val="TablenoteslastChar"/>
    <w:uiPriority w:val="99"/>
    <w:rsid w:val="002415C2"/>
    <w:pPr>
      <w:spacing w:after="240"/>
    </w:pPr>
    <w:rPr>
      <w:rFonts w:ascii="Arial" w:hAnsi="Arial"/>
      <w:noProof/>
      <w:sz w:val="18"/>
      <w:szCs w:val="18"/>
    </w:rPr>
  </w:style>
  <w:style w:type="character" w:customStyle="1" w:styleId="TablenoteslastChar">
    <w:name w:val="Table notes last Char"/>
    <w:basedOn w:val="DefaultParagraphFont"/>
    <w:link w:val="Tablenoteslast"/>
    <w:uiPriority w:val="99"/>
    <w:locked/>
    <w:rsid w:val="002415C2"/>
    <w:rPr>
      <w:rFonts w:ascii="Arial" w:hAnsi="Arial"/>
      <w:noProof/>
      <w:sz w:val="18"/>
      <w:szCs w:val="18"/>
    </w:rPr>
  </w:style>
  <w:style w:type="paragraph" w:styleId="DocumentMap">
    <w:name w:val="Document Map"/>
    <w:basedOn w:val="Normal"/>
    <w:link w:val="DocumentMapChar"/>
    <w:uiPriority w:val="99"/>
    <w:semiHidden/>
    <w:rsid w:val="002415C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2415C2"/>
    <w:rPr>
      <w:rFonts w:ascii="Tahoma" w:hAnsi="Tahoma" w:cs="Tahoma"/>
      <w:shd w:val="clear" w:color="auto" w:fill="000080"/>
    </w:rPr>
  </w:style>
  <w:style w:type="paragraph" w:customStyle="1" w:styleId="Biblio">
    <w:name w:val="Biblio"/>
    <w:basedOn w:val="Normal"/>
    <w:link w:val="BiblioChar"/>
    <w:rsid w:val="002415C2"/>
    <w:pPr>
      <w:keepLines/>
      <w:spacing w:after="240"/>
      <w:ind w:left="360" w:hanging="360"/>
    </w:pPr>
    <w:rPr>
      <w:kern w:val="2"/>
      <w:szCs w:val="20"/>
    </w:rPr>
  </w:style>
  <w:style w:type="character" w:customStyle="1" w:styleId="BiblioChar">
    <w:name w:val="Biblio Char"/>
    <w:basedOn w:val="DefaultParagraphFont"/>
    <w:link w:val="Biblio"/>
    <w:locked/>
    <w:rsid w:val="002415C2"/>
    <w:rPr>
      <w:kern w:val="2"/>
      <w:sz w:val="24"/>
    </w:rPr>
  </w:style>
  <w:style w:type="paragraph" w:customStyle="1" w:styleId="footnote">
    <w:name w:val="footnote"/>
    <w:basedOn w:val="Normal"/>
    <w:uiPriority w:val="99"/>
    <w:rsid w:val="002415C2"/>
    <w:rPr>
      <w:rFonts w:ascii="Arial" w:hAnsi="Arial"/>
      <w:sz w:val="18"/>
      <w:szCs w:val="20"/>
    </w:rPr>
  </w:style>
  <w:style w:type="paragraph" w:customStyle="1" w:styleId="Cov-Address">
    <w:name w:val="Cov-Address"/>
    <w:basedOn w:val="Normal"/>
    <w:uiPriority w:val="99"/>
    <w:rsid w:val="002415C2"/>
    <w:pPr>
      <w:jc w:val="right"/>
    </w:pPr>
    <w:rPr>
      <w:rFonts w:ascii="Arial" w:hAnsi="Arial"/>
      <w:szCs w:val="20"/>
    </w:rPr>
  </w:style>
  <w:style w:type="paragraph" w:customStyle="1" w:styleId="AppH2">
    <w:name w:val="App H2"/>
    <w:basedOn w:val="Heading2"/>
    <w:uiPriority w:val="99"/>
    <w:rsid w:val="002415C2"/>
    <w:pPr>
      <w:numPr>
        <w:ilvl w:val="1"/>
      </w:numPr>
      <w:tabs>
        <w:tab w:val="left" w:pos="720"/>
        <w:tab w:val="num" w:pos="990"/>
      </w:tabs>
      <w:overflowPunct w:val="0"/>
      <w:autoSpaceDE w:val="0"/>
      <w:autoSpaceDN w:val="0"/>
      <w:adjustRightInd w:val="0"/>
      <w:spacing w:before="240" w:after="120" w:line="320" w:lineRule="atLeast"/>
      <w:ind w:left="720" w:hanging="720"/>
      <w:textAlignment w:val="baseline"/>
    </w:pPr>
    <w:rPr>
      <w:rFonts w:ascii="Arial" w:hAnsi="Arial" w:cs="Arial"/>
      <w:iCs/>
      <w:szCs w:val="28"/>
    </w:rPr>
  </w:style>
  <w:style w:type="paragraph" w:customStyle="1" w:styleId="NCESevenfooter">
    <w:name w:val="NCES even footer"/>
    <w:basedOn w:val="NCESoddfooter"/>
    <w:link w:val="NCESevenfooterChar"/>
    <w:uiPriority w:val="99"/>
    <w:rsid w:val="002415C2"/>
    <w:pPr>
      <w:jc w:val="right"/>
    </w:pPr>
  </w:style>
  <w:style w:type="character" w:customStyle="1" w:styleId="NCESevenfooterChar">
    <w:name w:val="NCES even footer Char"/>
    <w:basedOn w:val="NCESoddfooterChar"/>
    <w:link w:val="NCESevenfooter"/>
    <w:uiPriority w:val="99"/>
    <w:locked/>
    <w:rsid w:val="002415C2"/>
    <w:rPr>
      <w:rFonts w:ascii="Arial" w:hAnsi="Arial"/>
      <w:smallCaps/>
      <w:sz w:val="18"/>
      <w:szCs w:val="22"/>
      <w:lang w:val="en-US" w:eastAsia="en-US" w:bidi="ar-SA"/>
    </w:rPr>
  </w:style>
  <w:style w:type="paragraph" w:customStyle="1" w:styleId="asource">
    <w:name w:val="asource"/>
    <w:basedOn w:val="Normal"/>
    <w:uiPriority w:val="99"/>
    <w:rsid w:val="002415C2"/>
    <w:rPr>
      <w:rFonts w:ascii="Arial" w:hAnsi="Arial"/>
      <w:sz w:val="18"/>
      <w:szCs w:val="18"/>
    </w:rPr>
  </w:style>
  <w:style w:type="paragraph" w:customStyle="1" w:styleId="Cov-Author">
    <w:name w:val="Cov-Author"/>
    <w:basedOn w:val="Normal"/>
    <w:uiPriority w:val="99"/>
    <w:rsid w:val="002415C2"/>
    <w:pPr>
      <w:jc w:val="right"/>
    </w:pPr>
    <w:rPr>
      <w:rFonts w:ascii="Arial Black" w:hAnsi="Arial Black"/>
      <w:szCs w:val="20"/>
    </w:rPr>
  </w:style>
  <w:style w:type="paragraph" w:customStyle="1" w:styleId="Cov-Date">
    <w:name w:val="Cov-Date"/>
    <w:basedOn w:val="Normal"/>
    <w:uiPriority w:val="99"/>
    <w:rsid w:val="002415C2"/>
    <w:pPr>
      <w:jc w:val="right"/>
    </w:pPr>
    <w:rPr>
      <w:rFonts w:ascii="Arial" w:hAnsi="Arial"/>
      <w:b/>
      <w:sz w:val="28"/>
      <w:szCs w:val="20"/>
    </w:rPr>
  </w:style>
  <w:style w:type="paragraph" w:customStyle="1" w:styleId="Cov-Disclaimer">
    <w:name w:val="Cov-Disclaimer"/>
    <w:basedOn w:val="Normal"/>
    <w:uiPriority w:val="99"/>
    <w:rsid w:val="002415C2"/>
    <w:pPr>
      <w:jc w:val="right"/>
    </w:pPr>
    <w:rPr>
      <w:rFonts w:ascii="Arial" w:hAnsi="Arial" w:cs="Arial"/>
      <w:sz w:val="18"/>
      <w:szCs w:val="18"/>
    </w:rPr>
  </w:style>
  <w:style w:type="paragraph" w:customStyle="1" w:styleId="Cov-Subtitle">
    <w:name w:val="Cov-Subtitle"/>
    <w:basedOn w:val="Normal"/>
    <w:uiPriority w:val="99"/>
    <w:rsid w:val="002415C2"/>
    <w:pPr>
      <w:jc w:val="right"/>
    </w:pPr>
    <w:rPr>
      <w:rFonts w:ascii="Arial Black" w:hAnsi="Arial Black"/>
      <w:sz w:val="28"/>
      <w:szCs w:val="20"/>
    </w:rPr>
  </w:style>
  <w:style w:type="paragraph" w:customStyle="1" w:styleId="Name">
    <w:name w:val="Name"/>
    <w:basedOn w:val="Tablenoteslast"/>
    <w:uiPriority w:val="99"/>
    <w:rsid w:val="002415C2"/>
    <w:rPr>
      <w:sz w:val="20"/>
    </w:rPr>
  </w:style>
  <w:style w:type="paragraph" w:styleId="Quote">
    <w:name w:val="Quote"/>
    <w:basedOn w:val="BodyText"/>
    <w:link w:val="QuoteChar"/>
    <w:uiPriority w:val="99"/>
    <w:qFormat/>
    <w:rsid w:val="002415C2"/>
    <w:pPr>
      <w:spacing w:before="120" w:after="120" w:line="320" w:lineRule="atLeast"/>
      <w:ind w:left="720" w:right="720"/>
      <w:jc w:val="left"/>
    </w:pPr>
    <w:rPr>
      <w:b w:val="0"/>
      <w:bCs w:val="0"/>
      <w:iCs/>
      <w:sz w:val="22"/>
    </w:rPr>
  </w:style>
  <w:style w:type="character" w:customStyle="1" w:styleId="QuoteChar">
    <w:name w:val="Quote Char"/>
    <w:basedOn w:val="DefaultParagraphFont"/>
    <w:link w:val="Quote"/>
    <w:uiPriority w:val="99"/>
    <w:rsid w:val="002415C2"/>
    <w:rPr>
      <w:iCs/>
      <w:sz w:val="22"/>
      <w:szCs w:val="24"/>
    </w:rPr>
  </w:style>
  <w:style w:type="paragraph" w:customStyle="1" w:styleId="Style1">
    <w:name w:val="Style1"/>
    <w:basedOn w:val="Bodytextnoindent"/>
    <w:uiPriority w:val="99"/>
    <w:rsid w:val="002415C2"/>
    <w:pPr>
      <w:spacing w:line="320" w:lineRule="atLeast"/>
    </w:pPr>
    <w:rPr>
      <w:sz w:val="20"/>
      <w:szCs w:val="16"/>
    </w:rPr>
  </w:style>
  <w:style w:type="paragraph" w:customStyle="1" w:styleId="Style2">
    <w:name w:val="Style2"/>
    <w:uiPriority w:val="99"/>
    <w:rsid w:val="002415C2"/>
    <w:pPr>
      <w:numPr>
        <w:numId w:val="6"/>
      </w:numPr>
      <w:tabs>
        <w:tab w:val="clear" w:pos="720"/>
      </w:tabs>
      <w:spacing w:after="120"/>
      <w:ind w:left="1440"/>
    </w:pPr>
    <w:rPr>
      <w:sz w:val="24"/>
    </w:rPr>
  </w:style>
  <w:style w:type="character" w:customStyle="1" w:styleId="BodyText2Char">
    <w:name w:val="Body Text 2 Char"/>
    <w:basedOn w:val="DefaultParagraphFont"/>
    <w:link w:val="BodyText2"/>
    <w:uiPriority w:val="99"/>
    <w:locked/>
    <w:rsid w:val="002415C2"/>
    <w:rPr>
      <w:color w:val="FF0000"/>
      <w:sz w:val="24"/>
      <w:szCs w:val="24"/>
    </w:rPr>
  </w:style>
  <w:style w:type="paragraph" w:customStyle="1" w:styleId="Exhibit">
    <w:name w:val="Exhibit"/>
    <w:basedOn w:val="Normal"/>
    <w:uiPriority w:val="99"/>
    <w:rsid w:val="002415C2"/>
    <w:pPr>
      <w:keepNext/>
      <w:widowControl w:val="0"/>
      <w:tabs>
        <w:tab w:val="left" w:pos="-1440"/>
        <w:tab w:val="left" w:pos="-720"/>
        <w:tab w:val="left" w:pos="0"/>
        <w:tab w:val="left" w:pos="432"/>
      </w:tabs>
      <w:spacing w:after="120"/>
      <w:ind w:left="1152" w:hanging="1152"/>
    </w:pPr>
    <w:rPr>
      <w:b/>
      <w:szCs w:val="20"/>
    </w:rPr>
  </w:style>
  <w:style w:type="paragraph" w:styleId="PlainText">
    <w:name w:val="Plain Text"/>
    <w:basedOn w:val="Normal"/>
    <w:link w:val="PlainTextChar"/>
    <w:uiPriority w:val="99"/>
    <w:rsid w:val="002415C2"/>
    <w:rPr>
      <w:rFonts w:ascii="Courier New" w:hAnsi="Courier New"/>
      <w:sz w:val="20"/>
      <w:szCs w:val="20"/>
    </w:rPr>
  </w:style>
  <w:style w:type="character" w:customStyle="1" w:styleId="PlainTextChar">
    <w:name w:val="Plain Text Char"/>
    <w:basedOn w:val="DefaultParagraphFont"/>
    <w:link w:val="PlainText"/>
    <w:uiPriority w:val="99"/>
    <w:rsid w:val="002415C2"/>
    <w:rPr>
      <w:rFonts w:ascii="Courier New" w:hAnsi="Courier New"/>
    </w:rPr>
  </w:style>
  <w:style w:type="paragraph" w:styleId="TOC6">
    <w:name w:val="toc 6"/>
    <w:basedOn w:val="Normal"/>
    <w:next w:val="Normal"/>
    <w:autoRedefine/>
    <w:uiPriority w:val="99"/>
    <w:semiHidden/>
    <w:rsid w:val="002415C2"/>
    <w:pPr>
      <w:ind w:left="960"/>
    </w:pPr>
    <w:rPr>
      <w:sz w:val="20"/>
      <w:szCs w:val="20"/>
    </w:rPr>
  </w:style>
  <w:style w:type="paragraph" w:styleId="TOC7">
    <w:name w:val="toc 7"/>
    <w:basedOn w:val="Normal"/>
    <w:next w:val="Normal"/>
    <w:autoRedefine/>
    <w:uiPriority w:val="99"/>
    <w:semiHidden/>
    <w:rsid w:val="002415C2"/>
    <w:pPr>
      <w:ind w:left="1200"/>
    </w:pPr>
    <w:rPr>
      <w:sz w:val="20"/>
      <w:szCs w:val="20"/>
    </w:rPr>
  </w:style>
  <w:style w:type="paragraph" w:styleId="TOC8">
    <w:name w:val="toc 8"/>
    <w:basedOn w:val="Normal"/>
    <w:next w:val="Normal"/>
    <w:autoRedefine/>
    <w:uiPriority w:val="99"/>
    <w:semiHidden/>
    <w:rsid w:val="002415C2"/>
    <w:pPr>
      <w:ind w:left="1440"/>
    </w:pPr>
    <w:rPr>
      <w:sz w:val="20"/>
      <w:szCs w:val="20"/>
    </w:rPr>
  </w:style>
  <w:style w:type="paragraph" w:styleId="TOC9">
    <w:name w:val="toc 9"/>
    <w:basedOn w:val="Normal"/>
    <w:next w:val="Normal"/>
    <w:autoRedefine/>
    <w:uiPriority w:val="99"/>
    <w:semiHidden/>
    <w:rsid w:val="002415C2"/>
    <w:pPr>
      <w:ind w:left="1680"/>
    </w:pPr>
    <w:rPr>
      <w:sz w:val="20"/>
      <w:szCs w:val="20"/>
    </w:rPr>
  </w:style>
  <w:style w:type="paragraph" w:styleId="Index1">
    <w:name w:val="index 1"/>
    <w:basedOn w:val="Normal"/>
    <w:next w:val="Normal"/>
    <w:autoRedefine/>
    <w:uiPriority w:val="99"/>
    <w:semiHidden/>
    <w:rsid w:val="002415C2"/>
    <w:pPr>
      <w:ind w:left="240" w:hanging="240"/>
    </w:pPr>
    <w:rPr>
      <w:sz w:val="18"/>
      <w:szCs w:val="20"/>
    </w:rPr>
  </w:style>
  <w:style w:type="paragraph" w:styleId="Index2">
    <w:name w:val="index 2"/>
    <w:basedOn w:val="Normal"/>
    <w:next w:val="Normal"/>
    <w:autoRedefine/>
    <w:uiPriority w:val="99"/>
    <w:semiHidden/>
    <w:rsid w:val="002415C2"/>
    <w:pPr>
      <w:ind w:left="480" w:hanging="240"/>
    </w:pPr>
    <w:rPr>
      <w:sz w:val="18"/>
      <w:szCs w:val="20"/>
    </w:rPr>
  </w:style>
  <w:style w:type="paragraph" w:styleId="Index3">
    <w:name w:val="index 3"/>
    <w:basedOn w:val="Normal"/>
    <w:next w:val="Normal"/>
    <w:autoRedefine/>
    <w:uiPriority w:val="99"/>
    <w:semiHidden/>
    <w:rsid w:val="002415C2"/>
    <w:pPr>
      <w:ind w:left="720" w:hanging="240"/>
    </w:pPr>
    <w:rPr>
      <w:sz w:val="18"/>
      <w:szCs w:val="20"/>
    </w:rPr>
  </w:style>
  <w:style w:type="paragraph" w:styleId="Index4">
    <w:name w:val="index 4"/>
    <w:basedOn w:val="Normal"/>
    <w:next w:val="Normal"/>
    <w:autoRedefine/>
    <w:uiPriority w:val="99"/>
    <w:semiHidden/>
    <w:rsid w:val="002415C2"/>
    <w:pPr>
      <w:ind w:left="960" w:hanging="240"/>
    </w:pPr>
    <w:rPr>
      <w:sz w:val="18"/>
      <w:szCs w:val="20"/>
    </w:rPr>
  </w:style>
  <w:style w:type="paragraph" w:styleId="Index5">
    <w:name w:val="index 5"/>
    <w:basedOn w:val="Normal"/>
    <w:next w:val="Normal"/>
    <w:autoRedefine/>
    <w:uiPriority w:val="99"/>
    <w:semiHidden/>
    <w:rsid w:val="002415C2"/>
    <w:pPr>
      <w:ind w:left="1200" w:hanging="240"/>
    </w:pPr>
    <w:rPr>
      <w:sz w:val="18"/>
      <w:szCs w:val="20"/>
    </w:rPr>
  </w:style>
  <w:style w:type="paragraph" w:styleId="Index6">
    <w:name w:val="index 6"/>
    <w:basedOn w:val="Normal"/>
    <w:next w:val="Normal"/>
    <w:autoRedefine/>
    <w:uiPriority w:val="99"/>
    <w:semiHidden/>
    <w:rsid w:val="002415C2"/>
    <w:pPr>
      <w:ind w:left="1440" w:hanging="240"/>
    </w:pPr>
    <w:rPr>
      <w:sz w:val="18"/>
      <w:szCs w:val="20"/>
    </w:rPr>
  </w:style>
  <w:style w:type="paragraph" w:styleId="Index7">
    <w:name w:val="index 7"/>
    <w:basedOn w:val="Normal"/>
    <w:next w:val="Normal"/>
    <w:autoRedefine/>
    <w:uiPriority w:val="99"/>
    <w:semiHidden/>
    <w:rsid w:val="002415C2"/>
    <w:pPr>
      <w:ind w:left="1680" w:hanging="240"/>
    </w:pPr>
    <w:rPr>
      <w:sz w:val="18"/>
      <w:szCs w:val="20"/>
    </w:rPr>
  </w:style>
  <w:style w:type="paragraph" w:styleId="Index8">
    <w:name w:val="index 8"/>
    <w:basedOn w:val="Normal"/>
    <w:next w:val="Normal"/>
    <w:autoRedefine/>
    <w:uiPriority w:val="99"/>
    <w:semiHidden/>
    <w:rsid w:val="002415C2"/>
    <w:pPr>
      <w:ind w:left="1920" w:hanging="240"/>
    </w:pPr>
    <w:rPr>
      <w:sz w:val="18"/>
      <w:szCs w:val="20"/>
    </w:rPr>
  </w:style>
  <w:style w:type="paragraph" w:styleId="Index9">
    <w:name w:val="index 9"/>
    <w:basedOn w:val="Normal"/>
    <w:next w:val="Normal"/>
    <w:autoRedefine/>
    <w:uiPriority w:val="99"/>
    <w:semiHidden/>
    <w:rsid w:val="002415C2"/>
    <w:pPr>
      <w:ind w:left="2160" w:hanging="240"/>
    </w:pPr>
    <w:rPr>
      <w:sz w:val="18"/>
      <w:szCs w:val="20"/>
    </w:rPr>
  </w:style>
  <w:style w:type="paragraph" w:styleId="IndexHeading">
    <w:name w:val="index heading"/>
    <w:basedOn w:val="Normal"/>
    <w:next w:val="Index1"/>
    <w:uiPriority w:val="99"/>
    <w:semiHidden/>
    <w:rsid w:val="002415C2"/>
    <w:pPr>
      <w:pBdr>
        <w:top w:val="single" w:sz="12" w:space="0" w:color="auto"/>
      </w:pBdr>
      <w:spacing w:before="360" w:after="240"/>
    </w:pPr>
    <w:rPr>
      <w:b/>
      <w:i/>
      <w:sz w:val="26"/>
      <w:szCs w:val="20"/>
    </w:rPr>
  </w:style>
  <w:style w:type="paragraph" w:styleId="Subtitle">
    <w:name w:val="Subtitle"/>
    <w:basedOn w:val="Normal"/>
    <w:link w:val="SubtitleChar"/>
    <w:uiPriority w:val="99"/>
    <w:qFormat/>
    <w:rsid w:val="002415C2"/>
    <w:pPr>
      <w:jc w:val="center"/>
    </w:pPr>
    <w:rPr>
      <w:b/>
      <w:sz w:val="20"/>
      <w:szCs w:val="20"/>
    </w:rPr>
  </w:style>
  <w:style w:type="character" w:customStyle="1" w:styleId="SubtitleChar">
    <w:name w:val="Subtitle Char"/>
    <w:basedOn w:val="DefaultParagraphFont"/>
    <w:link w:val="Subtitle"/>
    <w:uiPriority w:val="99"/>
    <w:rsid w:val="002415C2"/>
    <w:rPr>
      <w:b/>
    </w:rPr>
  </w:style>
  <w:style w:type="character" w:customStyle="1" w:styleId="Hd04run-in">
    <w:name w:val="Hd04 run-in"/>
    <w:uiPriority w:val="99"/>
    <w:rsid w:val="002415C2"/>
    <w:rPr>
      <w:rFonts w:ascii="Arial" w:hAnsi="Arial"/>
      <w:b/>
      <w:i/>
    </w:rPr>
  </w:style>
  <w:style w:type="paragraph" w:styleId="BlockText">
    <w:name w:val="Block Text"/>
    <w:basedOn w:val="Normal"/>
    <w:uiPriority w:val="99"/>
    <w:rsid w:val="002415C2"/>
    <w:pPr>
      <w:spacing w:before="120"/>
      <w:ind w:left="720" w:right="720"/>
    </w:pPr>
    <w:rPr>
      <w:szCs w:val="20"/>
    </w:rPr>
  </w:style>
  <w:style w:type="paragraph" w:customStyle="1" w:styleId="a">
    <w:name w:val="_"/>
    <w:basedOn w:val="Normal"/>
    <w:uiPriority w:val="99"/>
    <w:rsid w:val="002415C2"/>
    <w:pPr>
      <w:widowControl w:val="0"/>
      <w:ind w:left="1440" w:hanging="720"/>
    </w:pPr>
    <w:rPr>
      <w:szCs w:val="20"/>
    </w:rPr>
  </w:style>
  <w:style w:type="paragraph" w:customStyle="1" w:styleId="Tabs">
    <w:name w:val="Tabs"/>
    <w:uiPriority w:val="99"/>
    <w:rsid w:val="002415C2"/>
    <w:pPr>
      <w:widowControl w:val="0"/>
      <w:tabs>
        <w:tab w:val="left" w:pos="-144"/>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uppressAutoHyphens/>
    </w:pPr>
    <w:rPr>
      <w:rFonts w:ascii="Haettenschweiler" w:hAnsi="Haettenschweiler"/>
    </w:rPr>
  </w:style>
  <w:style w:type="paragraph" w:customStyle="1" w:styleId="Numbers">
    <w:name w:val="Numbers"/>
    <w:basedOn w:val="Normal"/>
    <w:uiPriority w:val="99"/>
    <w:rsid w:val="002415C2"/>
    <w:pPr>
      <w:spacing w:before="120" w:after="120"/>
    </w:pPr>
    <w:rPr>
      <w:szCs w:val="20"/>
    </w:rPr>
  </w:style>
  <w:style w:type="paragraph" w:customStyle="1" w:styleId="Document1">
    <w:name w:val="Document 1"/>
    <w:uiPriority w:val="99"/>
    <w:rsid w:val="002415C2"/>
    <w:pPr>
      <w:keepNext/>
      <w:keepLines/>
      <w:tabs>
        <w:tab w:val="left" w:pos="-720"/>
      </w:tabs>
      <w:suppressAutoHyphens/>
    </w:pPr>
    <w:rPr>
      <w:sz w:val="24"/>
    </w:rPr>
  </w:style>
  <w:style w:type="paragraph" w:styleId="List">
    <w:name w:val="List"/>
    <w:basedOn w:val="Normal"/>
    <w:uiPriority w:val="99"/>
    <w:rsid w:val="002415C2"/>
    <w:pPr>
      <w:ind w:left="360" w:hanging="360"/>
    </w:pPr>
    <w:rPr>
      <w:szCs w:val="20"/>
    </w:rPr>
  </w:style>
  <w:style w:type="paragraph" w:styleId="List2">
    <w:name w:val="List 2"/>
    <w:basedOn w:val="Normal"/>
    <w:uiPriority w:val="99"/>
    <w:rsid w:val="002415C2"/>
    <w:pPr>
      <w:ind w:left="720" w:hanging="360"/>
    </w:pPr>
    <w:rPr>
      <w:szCs w:val="20"/>
    </w:rPr>
  </w:style>
  <w:style w:type="paragraph" w:customStyle="1" w:styleId="QuickA">
    <w:name w:val="Quick A."/>
    <w:basedOn w:val="Normal"/>
    <w:uiPriority w:val="99"/>
    <w:rsid w:val="002415C2"/>
    <w:pPr>
      <w:widowControl w:val="0"/>
      <w:tabs>
        <w:tab w:val="num" w:pos="720"/>
        <w:tab w:val="num" w:pos="1080"/>
      </w:tabs>
      <w:ind w:left="223" w:hanging="223"/>
    </w:pPr>
    <w:rPr>
      <w:szCs w:val="20"/>
    </w:rPr>
  </w:style>
  <w:style w:type="paragraph" w:customStyle="1" w:styleId="Quick1">
    <w:name w:val="Quick 1."/>
    <w:basedOn w:val="Normal"/>
    <w:uiPriority w:val="99"/>
    <w:rsid w:val="002415C2"/>
    <w:pPr>
      <w:widowControl w:val="0"/>
      <w:tabs>
        <w:tab w:val="num" w:pos="720"/>
        <w:tab w:val="num" w:pos="1080"/>
      </w:tabs>
      <w:ind w:left="550" w:hanging="327"/>
    </w:pPr>
    <w:rPr>
      <w:szCs w:val="20"/>
    </w:rPr>
  </w:style>
  <w:style w:type="paragraph" w:customStyle="1" w:styleId="Quick">
    <w:name w:val="Quick ­"/>
    <w:basedOn w:val="Normal"/>
    <w:uiPriority w:val="99"/>
    <w:rsid w:val="002415C2"/>
    <w:pPr>
      <w:widowControl w:val="0"/>
      <w:ind w:left="223" w:hanging="203"/>
    </w:pPr>
    <w:rPr>
      <w:szCs w:val="20"/>
    </w:rPr>
  </w:style>
  <w:style w:type="paragraph" w:customStyle="1" w:styleId="bullets">
    <w:name w:val="bullets"/>
    <w:basedOn w:val="Normal"/>
    <w:rsid w:val="002415C2"/>
    <w:pPr>
      <w:tabs>
        <w:tab w:val="num" w:pos="1080"/>
      </w:tabs>
      <w:spacing w:after="60"/>
      <w:ind w:left="1080" w:hanging="360"/>
    </w:pPr>
    <w:rPr>
      <w:szCs w:val="20"/>
    </w:rPr>
  </w:style>
  <w:style w:type="paragraph" w:customStyle="1" w:styleId="a2colbul">
    <w:name w:val="a2col_bul"/>
    <w:basedOn w:val="bullets"/>
    <w:uiPriority w:val="99"/>
    <w:rsid w:val="002415C2"/>
    <w:pPr>
      <w:ind w:left="342"/>
    </w:pPr>
  </w:style>
  <w:style w:type="paragraph" w:customStyle="1" w:styleId="aft-12-0">
    <w:name w:val="aft-12-0"/>
    <w:basedOn w:val="Normal"/>
    <w:uiPriority w:val="99"/>
    <w:rsid w:val="002415C2"/>
    <w:pPr>
      <w:spacing w:before="240" w:after="240"/>
    </w:pPr>
    <w:rPr>
      <w:szCs w:val="20"/>
    </w:rPr>
  </w:style>
  <w:style w:type="paragraph" w:customStyle="1" w:styleId="aft-12">
    <w:name w:val="aft-12"/>
    <w:basedOn w:val="Normal"/>
    <w:uiPriority w:val="99"/>
    <w:rsid w:val="002415C2"/>
    <w:pPr>
      <w:spacing w:before="240" w:after="240"/>
      <w:ind w:firstLine="720"/>
    </w:pPr>
    <w:rPr>
      <w:szCs w:val="20"/>
    </w:rPr>
  </w:style>
  <w:style w:type="paragraph" w:customStyle="1" w:styleId="ExhibitTitle">
    <w:name w:val="Exhibit Title"/>
    <w:link w:val="ExhibitTitleChar"/>
    <w:rsid w:val="002415C2"/>
    <w:pPr>
      <w:keepNext/>
      <w:keepLines/>
      <w:spacing w:after="60"/>
      <w:ind w:left="1080" w:hanging="1080"/>
    </w:pPr>
    <w:rPr>
      <w:rFonts w:ascii="Arial" w:hAnsi="Arial"/>
      <w:b/>
    </w:rPr>
  </w:style>
  <w:style w:type="paragraph" w:customStyle="1" w:styleId="aboxtxt">
    <w:name w:val="abox_txt"/>
    <w:basedOn w:val="Normal"/>
    <w:uiPriority w:val="99"/>
    <w:rsid w:val="002415C2"/>
    <w:pPr>
      <w:spacing w:after="120"/>
    </w:pPr>
    <w:rPr>
      <w:rFonts w:ascii="Arial" w:hAnsi="Arial"/>
      <w:sz w:val="20"/>
      <w:szCs w:val="20"/>
    </w:rPr>
  </w:style>
  <w:style w:type="paragraph" w:customStyle="1" w:styleId="NPSASTbltext">
    <w:name w:val="NPSAS Tbl text"/>
    <w:uiPriority w:val="99"/>
    <w:rsid w:val="002415C2"/>
    <w:pPr>
      <w:spacing w:before="20" w:after="20"/>
    </w:pPr>
    <w:rPr>
      <w:color w:val="000000"/>
    </w:rPr>
  </w:style>
  <w:style w:type="paragraph" w:customStyle="1" w:styleId="Blockedquote">
    <w:name w:val="Blocked quote"/>
    <w:basedOn w:val="BodyText"/>
    <w:link w:val="BlockedquoteChar"/>
    <w:uiPriority w:val="99"/>
    <w:rsid w:val="002415C2"/>
    <w:pPr>
      <w:spacing w:before="120" w:after="120" w:line="320" w:lineRule="atLeast"/>
      <w:ind w:left="720" w:right="720"/>
      <w:jc w:val="left"/>
    </w:pPr>
    <w:rPr>
      <w:b w:val="0"/>
      <w:bCs w:val="0"/>
      <w:i/>
      <w:iCs/>
    </w:rPr>
  </w:style>
  <w:style w:type="character" w:customStyle="1" w:styleId="BlockedquoteChar">
    <w:name w:val="Blocked quote Char"/>
    <w:basedOn w:val="BodyTextChar"/>
    <w:link w:val="Blockedquote"/>
    <w:uiPriority w:val="99"/>
    <w:locked/>
    <w:rsid w:val="002415C2"/>
    <w:rPr>
      <w:b w:val="0"/>
      <w:bCs w:val="0"/>
      <w:i/>
      <w:iCs/>
      <w:sz w:val="24"/>
      <w:szCs w:val="24"/>
    </w:rPr>
  </w:style>
  <w:style w:type="paragraph" w:customStyle="1" w:styleId="Table2">
    <w:name w:val="Table 2"/>
    <w:basedOn w:val="Tabletext"/>
    <w:uiPriority w:val="99"/>
    <w:rsid w:val="002415C2"/>
  </w:style>
  <w:style w:type="paragraph" w:customStyle="1" w:styleId="BodyText21">
    <w:name w:val="Body Text 21"/>
    <w:basedOn w:val="Normal"/>
    <w:uiPriority w:val="99"/>
    <w:rsid w:val="002415C2"/>
    <w:pPr>
      <w:spacing w:before="120" w:after="120"/>
    </w:pPr>
    <w:rPr>
      <w:sz w:val="22"/>
      <w:szCs w:val="22"/>
    </w:rPr>
  </w:style>
  <w:style w:type="paragraph" w:customStyle="1" w:styleId="AppH3">
    <w:name w:val="App H3"/>
    <w:basedOn w:val="Heading3"/>
    <w:uiPriority w:val="99"/>
    <w:rsid w:val="002415C2"/>
    <w:pPr>
      <w:numPr>
        <w:ilvl w:val="2"/>
      </w:numPr>
      <w:spacing w:before="240" w:after="120" w:line="320" w:lineRule="atLeast"/>
      <w:ind w:left="720" w:hanging="720"/>
    </w:pPr>
    <w:rPr>
      <w:rFonts w:ascii="Arial" w:hAnsi="Arial" w:cs="Arial"/>
      <w:b/>
      <w:bCs/>
      <w:u w:val="none"/>
    </w:rPr>
  </w:style>
  <w:style w:type="paragraph" w:customStyle="1" w:styleId="Apptabletitle">
    <w:name w:val="App table title"/>
    <w:basedOn w:val="TableTitle0"/>
    <w:uiPriority w:val="99"/>
    <w:rsid w:val="002415C2"/>
  </w:style>
  <w:style w:type="paragraph" w:customStyle="1" w:styleId="equation">
    <w:name w:val="equation"/>
    <w:basedOn w:val="BlockText"/>
    <w:uiPriority w:val="99"/>
    <w:rsid w:val="002415C2"/>
    <w:pPr>
      <w:spacing w:before="200"/>
      <w:ind w:left="1440" w:right="0"/>
    </w:pPr>
  </w:style>
  <w:style w:type="character" w:customStyle="1" w:styleId="footer1">
    <w:name w:val="footer1"/>
    <w:basedOn w:val="DefaultParagraphFont"/>
    <w:uiPriority w:val="99"/>
    <w:rsid w:val="002415C2"/>
    <w:rPr>
      <w:rFonts w:ascii="Verdana" w:hAnsi="Verdana" w:cs="Times New Roman"/>
      <w:color w:val="auto"/>
      <w:sz w:val="15"/>
      <w:szCs w:val="15"/>
    </w:rPr>
  </w:style>
  <w:style w:type="character" w:customStyle="1" w:styleId="BodyTextIndentChar">
    <w:name w:val="Body Text Indent Char"/>
    <w:basedOn w:val="DefaultParagraphFont"/>
    <w:link w:val="BodyTextIndent"/>
    <w:uiPriority w:val="99"/>
    <w:locked/>
    <w:rsid w:val="002415C2"/>
    <w:rPr>
      <w:sz w:val="24"/>
      <w:szCs w:val="24"/>
    </w:rPr>
  </w:style>
  <w:style w:type="character" w:customStyle="1" w:styleId="BodyText3Char">
    <w:name w:val="Body Text 3 Char"/>
    <w:basedOn w:val="DefaultParagraphFont"/>
    <w:link w:val="BodyText3"/>
    <w:uiPriority w:val="99"/>
    <w:locked/>
    <w:rsid w:val="002415C2"/>
    <w:rPr>
      <w:rFonts w:ascii="Times" w:hAnsi="Times"/>
      <w:sz w:val="28"/>
    </w:rPr>
  </w:style>
  <w:style w:type="paragraph" w:customStyle="1" w:styleId="QuickS">
    <w:name w:val="Quick S"/>
    <w:uiPriority w:val="99"/>
    <w:rsid w:val="002415C2"/>
    <w:pPr>
      <w:widowControl w:val="0"/>
      <w:overflowPunct w:val="0"/>
      <w:autoSpaceDE w:val="0"/>
      <w:autoSpaceDN w:val="0"/>
      <w:adjustRightInd w:val="0"/>
      <w:ind w:left="-1440"/>
      <w:jc w:val="both"/>
      <w:textAlignment w:val="baseline"/>
    </w:pPr>
    <w:rPr>
      <w:sz w:val="24"/>
      <w:szCs w:val="24"/>
    </w:rPr>
  </w:style>
  <w:style w:type="paragraph" w:customStyle="1" w:styleId="Normaltext">
    <w:name w:val="Normal text"/>
    <w:basedOn w:val="Normal"/>
    <w:link w:val="NormaltextChar"/>
    <w:uiPriority w:val="99"/>
    <w:rsid w:val="002415C2"/>
    <w:pPr>
      <w:spacing w:before="240"/>
      <w:ind w:firstLine="720"/>
    </w:pPr>
    <w:rPr>
      <w:szCs w:val="20"/>
    </w:rPr>
  </w:style>
  <w:style w:type="character" w:customStyle="1" w:styleId="NormaltextChar">
    <w:name w:val="Normal text Char"/>
    <w:basedOn w:val="DefaultParagraphFont"/>
    <w:link w:val="Normaltext"/>
    <w:uiPriority w:val="99"/>
    <w:locked/>
    <w:rsid w:val="002415C2"/>
    <w:rPr>
      <w:sz w:val="24"/>
    </w:rPr>
  </w:style>
  <w:style w:type="paragraph" w:customStyle="1" w:styleId="tocpagehead">
    <w:name w:val="toc page head"/>
    <w:uiPriority w:val="99"/>
    <w:rsid w:val="002415C2"/>
    <w:pPr>
      <w:tabs>
        <w:tab w:val="right" w:pos="9360"/>
      </w:tabs>
      <w:jc w:val="both"/>
    </w:pPr>
    <w:rPr>
      <w:b/>
      <w:bCs/>
      <w:noProof/>
      <w:sz w:val="22"/>
      <w:u w:val="words"/>
    </w:rPr>
  </w:style>
  <w:style w:type="paragraph" w:customStyle="1" w:styleId="bodytext-db">
    <w:name w:val="body text-db"/>
    <w:basedOn w:val="Normal"/>
    <w:link w:val="bodytext-dbChar"/>
    <w:rsid w:val="002415C2"/>
    <w:pPr>
      <w:spacing w:after="240"/>
      <w:ind w:firstLine="360"/>
    </w:pPr>
    <w:rPr>
      <w:sz w:val="22"/>
      <w:szCs w:val="20"/>
    </w:rPr>
  </w:style>
  <w:style w:type="character" w:customStyle="1" w:styleId="bodytext-dbChar">
    <w:name w:val="body text-db Char"/>
    <w:basedOn w:val="DefaultParagraphFont"/>
    <w:link w:val="bodytext-db"/>
    <w:locked/>
    <w:rsid w:val="002415C2"/>
    <w:rPr>
      <w:sz w:val="22"/>
    </w:rPr>
  </w:style>
  <w:style w:type="paragraph" w:customStyle="1" w:styleId="bodytext-proposal">
    <w:name w:val="body text - proposal"/>
    <w:basedOn w:val="Normal"/>
    <w:uiPriority w:val="99"/>
    <w:rsid w:val="002415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ind w:firstLine="720"/>
    </w:pPr>
    <w:rPr>
      <w:rFonts w:cs="Arial"/>
    </w:rPr>
  </w:style>
  <w:style w:type="paragraph" w:customStyle="1" w:styleId="bulletround-proposaltext">
    <w:name w:val="bullet round - proposal text"/>
    <w:basedOn w:val="bulletround"/>
    <w:uiPriority w:val="99"/>
    <w:rsid w:val="002415C2"/>
    <w:pPr>
      <w:tabs>
        <w:tab w:val="num" w:pos="1080"/>
      </w:tabs>
      <w:ind w:left="1080" w:hanging="360"/>
    </w:pPr>
    <w:rPr>
      <w:kern w:val="2"/>
      <w:szCs w:val="22"/>
    </w:rPr>
  </w:style>
  <w:style w:type="paragraph" w:customStyle="1" w:styleId="text">
    <w:name w:val="text"/>
    <w:basedOn w:val="Normal"/>
    <w:uiPriority w:val="99"/>
    <w:rsid w:val="002415C2"/>
    <w:pPr>
      <w:spacing w:before="120" w:after="120"/>
    </w:pPr>
    <w:rPr>
      <w:sz w:val="20"/>
    </w:rPr>
  </w:style>
  <w:style w:type="paragraph" w:customStyle="1" w:styleId="arialtitle">
    <w:name w:val="arial title"/>
    <w:basedOn w:val="Normal"/>
    <w:uiPriority w:val="99"/>
    <w:rsid w:val="002415C2"/>
    <w:pPr>
      <w:keepNext/>
      <w:spacing w:before="240"/>
    </w:pPr>
    <w:rPr>
      <w:rFonts w:ascii="Arial" w:hAnsi="Arial"/>
      <w:b/>
      <w:sz w:val="22"/>
    </w:rPr>
  </w:style>
  <w:style w:type="paragraph" w:customStyle="1" w:styleId="1">
    <w:name w:val="1"/>
    <w:aliases w:val="2,3"/>
    <w:basedOn w:val="Normal"/>
    <w:uiPriority w:val="99"/>
    <w:rsid w:val="002415C2"/>
    <w:pPr>
      <w:widowControl w:val="0"/>
      <w:ind w:left="1440" w:hanging="720"/>
    </w:pPr>
    <w:rPr>
      <w:szCs w:val="20"/>
    </w:rPr>
  </w:style>
  <w:style w:type="paragraph" w:customStyle="1" w:styleId="Style">
    <w:name w:val="Style"/>
    <w:uiPriority w:val="99"/>
    <w:rsid w:val="002415C2"/>
    <w:pPr>
      <w:widowControl w:val="0"/>
      <w:autoSpaceDE w:val="0"/>
      <w:autoSpaceDN w:val="0"/>
      <w:adjustRightInd w:val="0"/>
    </w:pPr>
    <w:rPr>
      <w:rFonts w:ascii="Arial" w:hAnsi="Arial" w:cs="Arial"/>
      <w:sz w:val="24"/>
      <w:szCs w:val="24"/>
    </w:rPr>
  </w:style>
  <w:style w:type="paragraph" w:styleId="HTMLPreformatted">
    <w:name w:val="HTML Preformatted"/>
    <w:basedOn w:val="Normal"/>
    <w:link w:val="HTMLPreformattedChar"/>
    <w:uiPriority w:val="99"/>
    <w:rsid w:val="002415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uiPriority w:val="99"/>
    <w:rsid w:val="002415C2"/>
    <w:rPr>
      <w:rFonts w:ascii="Arial Unicode MS" w:eastAsia="Arial Unicode MS" w:hAnsi="Arial Unicode MS" w:cs="Arial Unicode MS"/>
    </w:rPr>
  </w:style>
  <w:style w:type="paragraph" w:customStyle="1" w:styleId="ESHeading1">
    <w:name w:val="ES Heading 1"/>
    <w:basedOn w:val="Heading1"/>
    <w:uiPriority w:val="99"/>
    <w:rsid w:val="002415C2"/>
    <w:pPr>
      <w:tabs>
        <w:tab w:val="left" w:pos="540"/>
      </w:tabs>
      <w:spacing w:after="120"/>
      <w:ind w:left="540" w:hanging="540"/>
    </w:pPr>
    <w:rPr>
      <w:rFonts w:ascii="Arial" w:hAnsi="Arial" w:cs="Arial"/>
      <w:bCs w:val="0"/>
      <w:sz w:val="28"/>
      <w:szCs w:val="20"/>
      <w:u w:val="none"/>
    </w:rPr>
  </w:style>
  <w:style w:type="paragraph" w:styleId="TableofFigures">
    <w:name w:val="table of figures"/>
    <w:basedOn w:val="Normal"/>
    <w:next w:val="Normal"/>
    <w:uiPriority w:val="99"/>
    <w:rsid w:val="002415C2"/>
    <w:pPr>
      <w:tabs>
        <w:tab w:val="left" w:pos="720"/>
        <w:tab w:val="right" w:leader="dot" w:pos="9350"/>
      </w:tabs>
      <w:spacing w:after="120"/>
      <w:ind w:left="720" w:right="720" w:hanging="720"/>
    </w:pPr>
    <w:rPr>
      <w:noProof/>
      <w:szCs w:val="20"/>
    </w:rPr>
  </w:style>
  <w:style w:type="character" w:styleId="SubtleEmphasis">
    <w:name w:val="Subtle Emphasis"/>
    <w:basedOn w:val="DefaultParagraphFont"/>
    <w:uiPriority w:val="99"/>
    <w:qFormat/>
    <w:rsid w:val="002415C2"/>
    <w:rPr>
      <w:rFonts w:cs="Times New Roman"/>
      <w:i/>
      <w:iCs/>
      <w:color w:val="808080"/>
    </w:rPr>
  </w:style>
  <w:style w:type="paragraph" w:customStyle="1" w:styleId="BodyText20">
    <w:name w:val="Body Text2"/>
    <w:basedOn w:val="Normal"/>
    <w:uiPriority w:val="99"/>
    <w:rsid w:val="002415C2"/>
    <w:pPr>
      <w:spacing w:after="240" w:line="320" w:lineRule="exact"/>
      <w:ind w:firstLine="720"/>
    </w:pPr>
    <w:rPr>
      <w:sz w:val="22"/>
      <w:szCs w:val="20"/>
    </w:rPr>
  </w:style>
  <w:style w:type="paragraph" w:customStyle="1" w:styleId="Bullet-nosymbol">
    <w:name w:val="Bullet - no symbol"/>
    <w:basedOn w:val="bulletround"/>
    <w:uiPriority w:val="99"/>
    <w:rsid w:val="002415C2"/>
    <w:pPr>
      <w:ind w:left="1530" w:hanging="810"/>
    </w:pPr>
    <w:rPr>
      <w:szCs w:val="20"/>
    </w:rPr>
  </w:style>
  <w:style w:type="paragraph" w:customStyle="1" w:styleId="bodytext0">
    <w:name w:val="bodytext"/>
    <w:basedOn w:val="Normal"/>
    <w:uiPriority w:val="99"/>
    <w:rsid w:val="002415C2"/>
    <w:pPr>
      <w:spacing w:after="240" w:line="320" w:lineRule="atLeast"/>
      <w:ind w:firstLine="720"/>
    </w:pPr>
    <w:rPr>
      <w:sz w:val="22"/>
      <w:szCs w:val="22"/>
    </w:rPr>
  </w:style>
  <w:style w:type="paragraph" w:styleId="ListBullet3">
    <w:name w:val="List Bullet 3"/>
    <w:basedOn w:val="Normal"/>
    <w:uiPriority w:val="99"/>
    <w:semiHidden/>
    <w:unhideWhenUsed/>
    <w:rsid w:val="002415C2"/>
    <w:pPr>
      <w:numPr>
        <w:numId w:val="7"/>
      </w:numPr>
      <w:contextualSpacing/>
    </w:pPr>
    <w:rPr>
      <w:szCs w:val="20"/>
    </w:rPr>
  </w:style>
  <w:style w:type="paragraph" w:customStyle="1" w:styleId="paragraphtext">
    <w:name w:val="paragraph text"/>
    <w:aliases w:val="pt"/>
    <w:basedOn w:val="Normal"/>
    <w:rsid w:val="002415C2"/>
    <w:pPr>
      <w:numPr>
        <w:numId w:val="9"/>
      </w:numPr>
      <w:tabs>
        <w:tab w:val="clear" w:pos="360"/>
      </w:tabs>
      <w:spacing w:after="240" w:line="340" w:lineRule="atLeast"/>
      <w:ind w:left="0" w:firstLine="547"/>
    </w:pPr>
    <w:rPr>
      <w:szCs w:val="20"/>
    </w:rPr>
  </w:style>
  <w:style w:type="paragraph" w:customStyle="1" w:styleId="bulletlist2">
    <w:name w:val="bullet list2"/>
    <w:aliases w:val="b2"/>
    <w:basedOn w:val="Normal"/>
    <w:rsid w:val="002415C2"/>
    <w:pPr>
      <w:tabs>
        <w:tab w:val="num" w:pos="720"/>
        <w:tab w:val="left" w:pos="800"/>
      </w:tabs>
      <w:spacing w:after="120"/>
      <w:ind w:left="1339" w:hanging="360"/>
    </w:pPr>
    <w:rPr>
      <w:szCs w:val="20"/>
    </w:rPr>
  </w:style>
  <w:style w:type="paragraph" w:customStyle="1" w:styleId="bulletlist1">
    <w:name w:val="bullet list1"/>
    <w:aliases w:val="b1"/>
    <w:basedOn w:val="Normal"/>
    <w:rsid w:val="002415C2"/>
    <w:pPr>
      <w:numPr>
        <w:numId w:val="8"/>
      </w:numPr>
      <w:tabs>
        <w:tab w:val="left" w:pos="980"/>
      </w:tabs>
      <w:spacing w:after="120"/>
      <w:ind w:left="979"/>
    </w:pPr>
    <w:rPr>
      <w:szCs w:val="20"/>
    </w:rPr>
  </w:style>
  <w:style w:type="paragraph" w:styleId="ListNumber">
    <w:name w:val="List Number"/>
    <w:basedOn w:val="Normal"/>
    <w:uiPriority w:val="99"/>
    <w:unhideWhenUsed/>
    <w:rsid w:val="002415C2"/>
    <w:pPr>
      <w:numPr>
        <w:numId w:val="10"/>
      </w:numPr>
      <w:contextualSpacing/>
    </w:pPr>
    <w:rPr>
      <w:szCs w:val="20"/>
    </w:rPr>
  </w:style>
  <w:style w:type="paragraph" w:customStyle="1" w:styleId="biblio0">
    <w:name w:val="biblio"/>
    <w:basedOn w:val="Normal"/>
    <w:uiPriority w:val="99"/>
    <w:rsid w:val="002415C2"/>
    <w:pPr>
      <w:keepLines/>
      <w:spacing w:after="240"/>
      <w:ind w:left="720" w:hanging="720"/>
    </w:pPr>
    <w:rPr>
      <w:szCs w:val="20"/>
    </w:rPr>
  </w:style>
  <w:style w:type="paragraph" w:customStyle="1" w:styleId="BodyTextnoindent0">
    <w:name w:val="Body Text no indent"/>
    <w:basedOn w:val="BodyText"/>
    <w:qFormat/>
    <w:rsid w:val="002415C2"/>
    <w:pPr>
      <w:spacing w:before="120" w:after="120" w:line="320" w:lineRule="atLeast"/>
      <w:jc w:val="left"/>
    </w:pPr>
    <w:rPr>
      <w:b w:val="0"/>
      <w:bCs w:val="0"/>
    </w:rPr>
  </w:style>
  <w:style w:type="paragraph" w:customStyle="1" w:styleId="Tablenotes">
    <w:name w:val="Table notes"/>
    <w:basedOn w:val="Tablenoteslast"/>
    <w:qFormat/>
    <w:rsid w:val="002415C2"/>
    <w:pPr>
      <w:spacing w:after="0"/>
    </w:pPr>
  </w:style>
  <w:style w:type="paragraph" w:styleId="ListNumber2">
    <w:name w:val="List Number 2"/>
    <w:basedOn w:val="Normal"/>
    <w:uiPriority w:val="99"/>
    <w:unhideWhenUsed/>
    <w:rsid w:val="002415C2"/>
    <w:pPr>
      <w:numPr>
        <w:numId w:val="11"/>
      </w:numPr>
      <w:contextualSpacing/>
    </w:pPr>
    <w:rPr>
      <w:szCs w:val="20"/>
    </w:rPr>
  </w:style>
  <w:style w:type="paragraph" w:styleId="ListNumber3">
    <w:name w:val="List Number 3"/>
    <w:basedOn w:val="Normal"/>
    <w:uiPriority w:val="99"/>
    <w:unhideWhenUsed/>
    <w:rsid w:val="002415C2"/>
    <w:pPr>
      <w:numPr>
        <w:numId w:val="12"/>
      </w:numPr>
      <w:contextualSpacing/>
    </w:pPr>
    <w:rPr>
      <w:szCs w:val="20"/>
    </w:rPr>
  </w:style>
  <w:style w:type="paragraph" w:customStyle="1" w:styleId="Tableheading-LEFT">
    <w:name w:val="Table heading - LEFT"/>
    <w:basedOn w:val="Tabletext"/>
    <w:rsid w:val="002415C2"/>
    <w:pPr>
      <w:spacing w:before="10" w:after="10"/>
      <w:ind w:left="0" w:firstLine="0"/>
    </w:pPr>
  </w:style>
  <w:style w:type="paragraph" w:customStyle="1" w:styleId="Tableheading-CENTER">
    <w:name w:val="Table heading - CENTER"/>
    <w:basedOn w:val="Tablenumbers"/>
    <w:qFormat/>
    <w:rsid w:val="002415C2"/>
    <w:pPr>
      <w:spacing w:before="10" w:after="10"/>
      <w:jc w:val="center"/>
    </w:pPr>
    <w:rPr>
      <w:snapToGrid w:val="0"/>
    </w:rPr>
  </w:style>
  <w:style w:type="paragraph" w:customStyle="1" w:styleId="NCESBoilerplateText">
    <w:name w:val="NCES Boilerplate Text"/>
    <w:rsid w:val="002415C2"/>
    <w:pPr>
      <w:tabs>
        <w:tab w:val="left" w:pos="720"/>
        <w:tab w:val="center" w:pos="4680"/>
      </w:tabs>
      <w:autoSpaceDE w:val="0"/>
      <w:autoSpaceDN w:val="0"/>
      <w:adjustRightInd w:val="0"/>
      <w:spacing w:before="180"/>
    </w:pPr>
    <w:rPr>
      <w:rFonts w:ascii="ITC Avant Garde Std Bk" w:hAnsi="ITC Avant Garde Std Bk"/>
      <w:color w:val="000000"/>
    </w:rPr>
  </w:style>
  <w:style w:type="table" w:customStyle="1" w:styleId="MediumShading2-Accent11">
    <w:name w:val="Medium Shading 2 - Accent 11"/>
    <w:basedOn w:val="TableNormal"/>
    <w:uiPriority w:val="64"/>
    <w:rsid w:val="002415C2"/>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1">
    <w:name w:val="Light Shading1"/>
    <w:basedOn w:val="TableNormal"/>
    <w:uiPriority w:val="60"/>
    <w:rsid w:val="002415C2"/>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Caption">
    <w:name w:val="caption"/>
    <w:basedOn w:val="Normal"/>
    <w:next w:val="Normal"/>
    <w:semiHidden/>
    <w:unhideWhenUsed/>
    <w:qFormat/>
    <w:rsid w:val="002415C2"/>
    <w:pPr>
      <w:spacing w:after="200"/>
    </w:pPr>
    <w:rPr>
      <w:b/>
      <w:bCs/>
      <w:color w:val="4F81BD" w:themeColor="accent1"/>
      <w:sz w:val="18"/>
      <w:szCs w:val="18"/>
    </w:rPr>
  </w:style>
  <w:style w:type="character" w:customStyle="1" w:styleId="ListParagraphChar">
    <w:name w:val="List Paragraph Char"/>
    <w:basedOn w:val="DefaultParagraphFont"/>
    <w:link w:val="ListParagraph"/>
    <w:uiPriority w:val="34"/>
    <w:locked/>
    <w:rsid w:val="002415C2"/>
    <w:rPr>
      <w:rFonts w:ascii="Calibri" w:eastAsia="Calibri" w:hAnsi="Calibri"/>
      <w:sz w:val="22"/>
      <w:szCs w:val="22"/>
    </w:rPr>
  </w:style>
  <w:style w:type="character" w:customStyle="1" w:styleId="TableTitleChar1">
    <w:name w:val="Table Title Char1"/>
    <w:basedOn w:val="DefaultParagraphFont"/>
    <w:uiPriority w:val="99"/>
    <w:locked/>
    <w:rsid w:val="002415C2"/>
    <w:rPr>
      <w:rFonts w:ascii="Arial" w:eastAsia="MS Mincho" w:hAnsi="Arial" w:cs="Times New Roman"/>
      <w:b/>
      <w:kern w:val="2"/>
      <w:lang w:val="en-US" w:eastAsia="en-US" w:bidi="ar-SA"/>
    </w:rPr>
  </w:style>
  <w:style w:type="character" w:customStyle="1" w:styleId="apple-converted-space">
    <w:name w:val="apple-converted-space"/>
    <w:basedOn w:val="DefaultParagraphFont"/>
    <w:rsid w:val="002415C2"/>
  </w:style>
  <w:style w:type="character" w:styleId="PlaceholderText">
    <w:name w:val="Placeholder Text"/>
    <w:basedOn w:val="DefaultParagraphFont"/>
    <w:uiPriority w:val="99"/>
    <w:semiHidden/>
    <w:rsid w:val="002415C2"/>
    <w:rPr>
      <w:color w:val="808080"/>
    </w:rPr>
  </w:style>
  <w:style w:type="table" w:customStyle="1" w:styleId="TableGrid11">
    <w:name w:val="Table Grid11"/>
    <w:basedOn w:val="TableNormal"/>
    <w:next w:val="TableGrid"/>
    <w:rsid w:val="002415C2"/>
    <w:pPr>
      <w:spacing w:before="20" w:after="20"/>
    </w:pPr>
    <w:rPr>
      <w:rFonts w:ascii="Arial" w:hAnsi="Arial"/>
      <w:sz w:val="18"/>
    </w:rPr>
    <w:tblPr>
      <w:tblBorders>
        <w:top w:val="single" w:sz="12" w:space="0" w:color="auto"/>
        <w:bottom w:val="single" w:sz="12" w:space="0" w:color="auto"/>
      </w:tblBorders>
    </w:tblPr>
    <w:tcPr>
      <w:vAlign w:val="bottom"/>
    </w:tcPr>
    <w:tblStylePr w:type="firstRow">
      <w:pPr>
        <w:wordWrap/>
        <w:spacing w:beforeLines="0" w:before="120" w:beforeAutospacing="0"/>
        <w:jc w:val="right"/>
      </w:pPr>
      <w:tblPr/>
      <w:tcPr>
        <w:tcBorders>
          <w:bottom w:val="single" w:sz="4" w:space="0" w:color="auto"/>
        </w:tcBorders>
        <w:vAlign w:val="bottom"/>
      </w:tcPr>
    </w:tblStylePr>
    <w:tblStylePr w:type="firstCol">
      <w:pPr>
        <w:wordWrap/>
        <w:ind w:leftChars="0" w:left="346" w:rightChars="0" w:right="0" w:firstLineChars="0" w:hanging="346"/>
        <w:jc w:val="left"/>
      </w:pPr>
    </w:tblStylePr>
    <w:tblStylePr w:type="nwCell">
      <w:pPr>
        <w:jc w:val="left"/>
      </w:pPr>
      <w:tblPr/>
      <w:tcPr>
        <w:vAlign w:val="bottom"/>
      </w:tcPr>
    </w:tblStylePr>
  </w:style>
  <w:style w:type="character" w:customStyle="1" w:styleId="ExhibitTitleChar">
    <w:name w:val="Exhibit Title Char"/>
    <w:basedOn w:val="DefaultParagraphFont"/>
    <w:link w:val="ExhibitTitle"/>
    <w:locked/>
    <w:rsid w:val="002415C2"/>
    <w:rPr>
      <w:rFonts w:ascii="Arial" w:hAnsi="Arial"/>
      <w:b/>
    </w:rPr>
  </w:style>
  <w:style w:type="table" w:customStyle="1" w:styleId="Headerevenpageastable">
    <w:name w:val="Header even page as table"/>
    <w:basedOn w:val="TableNormal"/>
    <w:uiPriority w:val="99"/>
    <w:rsid w:val="002415C2"/>
    <w:pPr>
      <w:tabs>
        <w:tab w:val="left" w:pos="230"/>
      </w:tabs>
      <w:spacing w:line="200" w:lineRule="exact"/>
    </w:pPr>
    <w:rPr>
      <w:rFonts w:ascii="Arial Narrow" w:eastAsia="Calibri" w:hAnsi="Arial Narrow"/>
      <w:caps/>
      <w:sz w:val="16"/>
    </w:rPr>
    <w:tblPr/>
    <w:trPr>
      <w:cantSplit/>
    </w:trPr>
    <w:tcPr>
      <w:tcMar>
        <w:left w:w="0" w:type="dxa"/>
        <w:right w:w="0" w:type="dxa"/>
      </w:tcMar>
      <w:vAlign w:val="bottom"/>
    </w:tcPr>
    <w:tblStylePr w:type="firstCol">
      <w:pPr>
        <w:jc w:val="center"/>
      </w:pPr>
      <w:rPr>
        <w:rFonts w:asciiTheme="majorHAnsi" w:hAnsiTheme="majorHAnsi"/>
        <w:sz w:val="16"/>
      </w:rPr>
      <w:tblPr/>
      <w:tcPr>
        <w:tcBorders>
          <w:left w:val="single" w:sz="4" w:space="0" w:color="auto"/>
          <w:right w:val="single" w:sz="4" w:space="0" w:color="auto"/>
        </w:tcBorders>
      </w:tcPr>
    </w:tblStylePr>
  </w:style>
  <w:style w:type="paragraph" w:customStyle="1" w:styleId="Headeroddpage">
    <w:name w:val="Header odd page"/>
    <w:basedOn w:val="Normal"/>
    <w:rsid w:val="002415C2"/>
    <w:pPr>
      <w:tabs>
        <w:tab w:val="left" w:pos="230"/>
      </w:tabs>
      <w:spacing w:line="200" w:lineRule="exact"/>
      <w:ind w:left="230" w:right="230"/>
      <w:jc w:val="right"/>
    </w:pPr>
    <w:rPr>
      <w:rFonts w:ascii="Arial Narrow" w:eastAsia="Calibri" w:hAnsi="Arial Narrow"/>
      <w:caps/>
      <w:sz w:val="16"/>
      <w:szCs w:val="20"/>
    </w:rPr>
  </w:style>
  <w:style w:type="paragraph" w:customStyle="1" w:styleId="Figure">
    <w:name w:val="Figure"/>
    <w:basedOn w:val="Normal"/>
    <w:next w:val="Source"/>
    <w:rsid w:val="002415C2"/>
    <w:pPr>
      <w:keepNext/>
    </w:pPr>
    <w:rPr>
      <w:rFonts w:asciiTheme="minorHAnsi" w:hAnsiTheme="minorHAnsi"/>
      <w:noProof/>
    </w:rPr>
  </w:style>
  <w:style w:type="paragraph" w:customStyle="1" w:styleId="Tabletextcolumn1">
    <w:name w:val="Table text column 1"/>
    <w:basedOn w:val="Tabletext"/>
    <w:qFormat/>
    <w:rsid w:val="002415C2"/>
    <w:pPr>
      <w:spacing w:before="0" w:after="0"/>
      <w:ind w:left="187" w:hanging="187"/>
    </w:pPr>
  </w:style>
  <w:style w:type="paragraph" w:customStyle="1" w:styleId="question">
    <w:name w:val="question"/>
    <w:basedOn w:val="Normal"/>
    <w:uiPriority w:val="99"/>
    <w:rsid w:val="002415C2"/>
    <w:pPr>
      <w:numPr>
        <w:numId w:val="20"/>
      </w:numPr>
      <w:spacing w:before="240" w:after="120" w:line="264" w:lineRule="auto"/>
      <w:ind w:left="360"/>
    </w:pPr>
    <w:rPr>
      <w:rFonts w:ascii="Arial" w:hAnsi="Arial" w:cs="Arial"/>
      <w:sz w:val="22"/>
      <w:szCs w:val="22"/>
    </w:rPr>
  </w:style>
  <w:style w:type="paragraph" w:customStyle="1" w:styleId="Source9pt">
    <w:name w:val="Source 9pt"/>
    <w:basedOn w:val="Normal"/>
    <w:next w:val="BodyText"/>
    <w:link w:val="Source9ptChar"/>
    <w:uiPriority w:val="99"/>
    <w:rsid w:val="002415C2"/>
    <w:pPr>
      <w:spacing w:before="60" w:after="360"/>
      <w:contextualSpacing/>
    </w:pPr>
    <w:rPr>
      <w:rFonts w:ascii="Arial" w:hAnsi="Arial"/>
      <w:sz w:val="18"/>
      <w:szCs w:val="18"/>
    </w:rPr>
  </w:style>
  <w:style w:type="character" w:customStyle="1" w:styleId="Source9ptChar">
    <w:name w:val="Source 9pt Char"/>
    <w:basedOn w:val="DefaultParagraphFont"/>
    <w:link w:val="Source9pt"/>
    <w:uiPriority w:val="99"/>
    <w:locked/>
    <w:rsid w:val="002415C2"/>
    <w:rPr>
      <w:rFonts w:ascii="Arial" w:hAnsi="Arial"/>
      <w:sz w:val="18"/>
      <w:szCs w:val="18"/>
    </w:rPr>
  </w:style>
  <w:style w:type="paragraph" w:customStyle="1" w:styleId="Tabletextcolumn1indent1">
    <w:name w:val="Table text column 1 indent 1"/>
    <w:basedOn w:val="Normal"/>
    <w:qFormat/>
    <w:rsid w:val="002415C2"/>
    <w:pPr>
      <w:spacing w:line="240" w:lineRule="atLeast"/>
      <w:ind w:left="346" w:firstLineChars="100" w:firstLine="201"/>
    </w:pPr>
    <w:rPr>
      <w:rFonts w:ascii="Arial" w:hAnsi="Arial" w:cs="Arial"/>
      <w:bCs/>
      <w:sz w:val="20"/>
      <w:szCs w:val="20"/>
    </w:rPr>
  </w:style>
  <w:style w:type="paragraph" w:customStyle="1" w:styleId="Tabletextcolumn1indent2">
    <w:name w:val="Table text column 1 indent 2"/>
    <w:qFormat/>
    <w:rsid w:val="002415C2"/>
    <w:pPr>
      <w:spacing w:after="160" w:line="259" w:lineRule="auto"/>
      <w:ind w:left="346" w:firstLineChars="200" w:firstLine="400"/>
    </w:pPr>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semiHidden="0" w:unhideWhenUsed="0" w:qFormat="1"/>
    <w:lsdException w:name="heading 7" w:qFormat="1"/>
    <w:lsdException w:name="heading 8" w:semiHidden="0" w:unhideWhenUsed="0" w:qFormat="1"/>
    <w:lsdException w:name="heading 9" w:qFormat="1"/>
    <w:lsdException w:name="toc 1" w:uiPriority="39" w:qFormat="1"/>
    <w:lsdException w:name="toc 2" w:uiPriority="39" w:qFormat="1"/>
    <w:lsdException w:name="toc 3" w:uiPriority="39" w:qFormat="1"/>
    <w:lsdException w:name="toc 5" w:uiPriority="39"/>
    <w:lsdException w:name="footnote text" w:qFormat="1"/>
    <w:lsdException w:name="caption" w:uiPriority="0" w:qFormat="1"/>
    <w:lsdException w:name="Title" w:semiHidden="0" w:unhideWhenUsed="0" w:qFormat="1"/>
    <w:lsdException w:name="Default Paragraph Font" w:uiPriority="1"/>
    <w:lsdException w:name="Body Text" w:qFormat="1"/>
    <w:lsdException w:name="Subtitle" w:semiHidden="0" w:unhideWhenUsed="0" w:qFormat="1"/>
    <w:lsdException w:name="Strong" w:semiHidden="0" w:unhideWhenUsed="0" w:qFormat="1"/>
    <w:lsdException w:name="Emphasis" w:semiHidden="0" w:unhideWhenUsed="0" w:qFormat="1"/>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3F87"/>
    <w:rPr>
      <w:sz w:val="24"/>
      <w:szCs w:val="24"/>
    </w:rPr>
  </w:style>
  <w:style w:type="paragraph" w:styleId="Heading1">
    <w:name w:val="heading 1"/>
    <w:basedOn w:val="Normal"/>
    <w:next w:val="Normal"/>
    <w:link w:val="Heading1Char"/>
    <w:qFormat/>
    <w:rsid w:val="00463F87"/>
    <w:pPr>
      <w:keepNext/>
      <w:outlineLvl w:val="0"/>
    </w:pPr>
    <w:rPr>
      <w:b/>
      <w:bCs/>
      <w:u w:val="single"/>
    </w:rPr>
  </w:style>
  <w:style w:type="paragraph" w:styleId="Heading2">
    <w:name w:val="heading 2"/>
    <w:basedOn w:val="Normal"/>
    <w:next w:val="Normal"/>
    <w:link w:val="Heading2Char"/>
    <w:uiPriority w:val="99"/>
    <w:qFormat/>
    <w:rsid w:val="00463F87"/>
    <w:pPr>
      <w:keepNext/>
      <w:outlineLvl w:val="1"/>
    </w:pPr>
    <w:rPr>
      <w:b/>
      <w:bCs/>
    </w:rPr>
  </w:style>
  <w:style w:type="paragraph" w:styleId="Heading3">
    <w:name w:val="heading 3"/>
    <w:basedOn w:val="Normal"/>
    <w:next w:val="Normal"/>
    <w:link w:val="Heading3Char"/>
    <w:uiPriority w:val="99"/>
    <w:qFormat/>
    <w:rsid w:val="00463F87"/>
    <w:pPr>
      <w:keepNext/>
      <w:outlineLvl w:val="2"/>
    </w:pPr>
    <w:rPr>
      <w:u w:val="single"/>
    </w:rPr>
  </w:style>
  <w:style w:type="paragraph" w:styleId="Heading4">
    <w:name w:val="heading 4"/>
    <w:basedOn w:val="Normal"/>
    <w:next w:val="Normal"/>
    <w:link w:val="Heading4Char"/>
    <w:uiPriority w:val="99"/>
    <w:qFormat/>
    <w:rsid w:val="00463F87"/>
    <w:pPr>
      <w:keepNext/>
      <w:jc w:val="center"/>
      <w:outlineLvl w:val="3"/>
    </w:pPr>
    <w:rPr>
      <w:b/>
      <w:szCs w:val="20"/>
    </w:rPr>
  </w:style>
  <w:style w:type="paragraph" w:styleId="Heading5">
    <w:name w:val="heading 5"/>
    <w:basedOn w:val="Normal"/>
    <w:next w:val="Normal"/>
    <w:link w:val="Heading5Char"/>
    <w:uiPriority w:val="99"/>
    <w:qFormat/>
    <w:rsid w:val="002415C2"/>
    <w:pPr>
      <w:spacing w:before="240" w:after="60"/>
      <w:outlineLvl w:val="4"/>
    </w:pPr>
    <w:rPr>
      <w:b/>
      <w:bCs/>
      <w:i/>
      <w:iCs/>
      <w:sz w:val="26"/>
      <w:szCs w:val="26"/>
    </w:rPr>
  </w:style>
  <w:style w:type="paragraph" w:styleId="Heading6">
    <w:name w:val="heading 6"/>
    <w:basedOn w:val="Normal"/>
    <w:next w:val="Normal"/>
    <w:link w:val="Heading6Char"/>
    <w:uiPriority w:val="99"/>
    <w:qFormat/>
    <w:rsid w:val="00463F87"/>
    <w:pPr>
      <w:keepNext/>
      <w:tabs>
        <w:tab w:val="left" w:pos="720"/>
        <w:tab w:val="left" w:pos="1152"/>
        <w:tab w:val="left" w:pos="1440"/>
        <w:tab w:val="left" w:pos="5580"/>
        <w:tab w:val="left" w:pos="7560"/>
      </w:tabs>
      <w:outlineLvl w:val="5"/>
    </w:pPr>
    <w:rPr>
      <w:bCs/>
      <w:i/>
      <w:iCs/>
      <w:szCs w:val="20"/>
    </w:rPr>
  </w:style>
  <w:style w:type="paragraph" w:styleId="Heading7">
    <w:name w:val="heading 7"/>
    <w:basedOn w:val="Normal"/>
    <w:next w:val="Normal"/>
    <w:link w:val="Heading7Char"/>
    <w:uiPriority w:val="99"/>
    <w:qFormat/>
    <w:rsid w:val="002415C2"/>
    <w:pPr>
      <w:keepNext/>
      <w:tabs>
        <w:tab w:val="num" w:pos="1296"/>
      </w:tabs>
      <w:ind w:left="1296" w:hanging="1296"/>
      <w:jc w:val="center"/>
      <w:outlineLvl w:val="6"/>
    </w:pPr>
    <w:rPr>
      <w:rFonts w:ascii="Arial" w:hAnsi="Arial"/>
      <w:b/>
      <w:szCs w:val="20"/>
    </w:rPr>
  </w:style>
  <w:style w:type="paragraph" w:styleId="Heading8">
    <w:name w:val="heading 8"/>
    <w:basedOn w:val="Normal"/>
    <w:next w:val="Normal"/>
    <w:link w:val="Heading8Char"/>
    <w:uiPriority w:val="99"/>
    <w:qFormat/>
    <w:rsid w:val="00463F87"/>
    <w:pPr>
      <w:keepNext/>
      <w:outlineLvl w:val="7"/>
    </w:pPr>
    <w:rPr>
      <w:b/>
      <w:bCs/>
    </w:rPr>
  </w:style>
  <w:style w:type="paragraph" w:styleId="Heading9">
    <w:name w:val="heading 9"/>
    <w:basedOn w:val="Normal"/>
    <w:next w:val="Normal"/>
    <w:link w:val="Heading9Char"/>
    <w:uiPriority w:val="99"/>
    <w:qFormat/>
    <w:rsid w:val="002415C2"/>
    <w:pPr>
      <w:keepNext/>
      <w:tabs>
        <w:tab w:val="num" w:pos="1584"/>
      </w:tabs>
      <w:ind w:left="1584" w:hanging="1584"/>
      <w:jc w:val="right"/>
      <w:outlineLvl w:val="8"/>
    </w:pPr>
    <w:rPr>
      <w:rFonts w:ascii="Arial" w:hAnsi="Arial"/>
      <w:b/>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rsid w:val="00463F87"/>
    <w:pPr>
      <w:spacing w:before="100" w:beforeAutospacing="1" w:after="100" w:afterAutospacing="1"/>
      <w:ind w:left="720" w:hanging="360"/>
    </w:pPr>
  </w:style>
  <w:style w:type="paragraph" w:styleId="BodyTextIndent2">
    <w:name w:val="Body Text Indent 2"/>
    <w:basedOn w:val="Normal"/>
    <w:semiHidden/>
    <w:rsid w:val="00463F87"/>
    <w:pPr>
      <w:tabs>
        <w:tab w:val="left" w:pos="720"/>
        <w:tab w:val="left" w:pos="1152"/>
        <w:tab w:val="left" w:pos="1440"/>
        <w:tab w:val="left" w:pos="5580"/>
        <w:tab w:val="left" w:pos="7560"/>
      </w:tabs>
      <w:ind w:left="720" w:hanging="720"/>
    </w:pPr>
    <w:rPr>
      <w:bCs/>
    </w:rPr>
  </w:style>
  <w:style w:type="paragraph" w:styleId="BodyTextIndent3">
    <w:name w:val="Body Text Indent 3"/>
    <w:basedOn w:val="Normal"/>
    <w:semiHidden/>
    <w:rsid w:val="00463F87"/>
    <w:pPr>
      <w:spacing w:before="100" w:beforeAutospacing="1" w:after="100" w:afterAutospacing="1"/>
      <w:ind w:left="360"/>
    </w:pPr>
  </w:style>
  <w:style w:type="paragraph" w:styleId="BodyText3">
    <w:name w:val="Body Text 3"/>
    <w:basedOn w:val="Normal"/>
    <w:link w:val="BodyText3Char"/>
    <w:uiPriority w:val="99"/>
    <w:rsid w:val="00463F87"/>
    <w:rPr>
      <w:rFonts w:ascii="Times" w:hAnsi="Times"/>
      <w:sz w:val="28"/>
      <w:szCs w:val="20"/>
    </w:rPr>
  </w:style>
  <w:style w:type="paragraph" w:styleId="EndnoteText">
    <w:name w:val="endnote text"/>
    <w:basedOn w:val="Normal"/>
    <w:semiHidden/>
    <w:rsid w:val="00463F87"/>
    <w:pPr>
      <w:widowControl w:val="0"/>
    </w:pPr>
    <w:rPr>
      <w:rFonts w:ascii="Courier" w:hAnsi="Courier"/>
      <w:snapToGrid w:val="0"/>
      <w:szCs w:val="20"/>
    </w:rPr>
  </w:style>
  <w:style w:type="paragraph" w:styleId="Footer">
    <w:name w:val="footer"/>
    <w:basedOn w:val="Normal"/>
    <w:link w:val="FooterChar"/>
    <w:uiPriority w:val="99"/>
    <w:rsid w:val="00463F87"/>
    <w:pPr>
      <w:tabs>
        <w:tab w:val="center" w:pos="4320"/>
        <w:tab w:val="right" w:pos="8640"/>
      </w:tabs>
    </w:pPr>
  </w:style>
  <w:style w:type="character" w:styleId="PageNumber">
    <w:name w:val="page number"/>
    <w:aliases w:val="pn"/>
    <w:basedOn w:val="DefaultParagraphFont"/>
    <w:uiPriority w:val="99"/>
    <w:rsid w:val="00463F87"/>
  </w:style>
  <w:style w:type="paragraph" w:styleId="BodyText">
    <w:name w:val="Body Text"/>
    <w:basedOn w:val="Normal"/>
    <w:link w:val="BodyTextChar"/>
    <w:uiPriority w:val="99"/>
    <w:qFormat/>
    <w:rsid w:val="00463F87"/>
    <w:pPr>
      <w:jc w:val="both"/>
    </w:pPr>
    <w:rPr>
      <w:b/>
      <w:bCs/>
    </w:rPr>
  </w:style>
  <w:style w:type="paragraph" w:customStyle="1" w:styleId="NPSAS08bulleted">
    <w:name w:val="NPSAS08 bulleted"/>
    <w:basedOn w:val="Normal"/>
    <w:autoRedefine/>
    <w:rsid w:val="00463F87"/>
    <w:pPr>
      <w:numPr>
        <w:numId w:val="2"/>
      </w:numPr>
      <w:tabs>
        <w:tab w:val="clear" w:pos="2520"/>
        <w:tab w:val="num" w:pos="1440"/>
      </w:tabs>
      <w:autoSpaceDE w:val="0"/>
      <w:autoSpaceDN w:val="0"/>
      <w:adjustRightInd w:val="0"/>
      <w:spacing w:before="120"/>
      <w:ind w:left="1440"/>
    </w:pPr>
    <w:rPr>
      <w:rFonts w:ascii="Tahoma" w:hAnsi="Tahoma" w:cs="Tahoma"/>
      <w:snapToGrid w:val="0"/>
      <w:sz w:val="20"/>
      <w:szCs w:val="20"/>
    </w:rPr>
  </w:style>
  <w:style w:type="paragraph" w:customStyle="1" w:styleId="NPSAS08Text">
    <w:name w:val="NPSAS08 Text"/>
    <w:basedOn w:val="Normal"/>
    <w:rsid w:val="00463F87"/>
    <w:pPr>
      <w:tabs>
        <w:tab w:val="left" w:pos="720"/>
        <w:tab w:val="left" w:pos="1402"/>
        <w:tab w:val="left" w:pos="2506"/>
        <w:tab w:val="left" w:pos="3514"/>
        <w:tab w:val="left" w:pos="8250"/>
      </w:tabs>
      <w:spacing w:before="120"/>
      <w:ind w:firstLine="720"/>
    </w:pPr>
    <w:rPr>
      <w:rFonts w:ascii="Tahoma" w:hAnsi="Tahoma" w:cs="Tahoma"/>
      <w:snapToGrid w:val="0"/>
      <w:color w:val="000000"/>
      <w:sz w:val="20"/>
      <w:szCs w:val="20"/>
    </w:rPr>
  </w:style>
  <w:style w:type="paragraph" w:customStyle="1" w:styleId="NSoFaSL1">
    <w:name w:val="NSoFaS_L1"/>
    <w:basedOn w:val="ListBullet"/>
    <w:rsid w:val="00463F87"/>
    <w:pPr>
      <w:spacing w:before="120" w:after="120"/>
    </w:pPr>
    <w:rPr>
      <w:szCs w:val="20"/>
    </w:rPr>
  </w:style>
  <w:style w:type="paragraph" w:styleId="ListBullet">
    <w:name w:val="List Bullet"/>
    <w:basedOn w:val="Normal"/>
    <w:uiPriority w:val="99"/>
    <w:rsid w:val="00463F87"/>
    <w:pPr>
      <w:numPr>
        <w:numId w:val="1"/>
      </w:numPr>
    </w:pPr>
  </w:style>
  <w:style w:type="paragraph" w:customStyle="1" w:styleId="StyleNPSAS08bulleted9pt">
    <w:name w:val="Style NPSAS08 bulleted + 9 pt"/>
    <w:basedOn w:val="NPSAS08bulleted"/>
    <w:rsid w:val="00463F87"/>
  </w:style>
  <w:style w:type="character" w:customStyle="1" w:styleId="NPSAS08bulletedChar">
    <w:name w:val="NPSAS08 bulleted Char"/>
    <w:basedOn w:val="DefaultParagraphFont"/>
    <w:rsid w:val="00463F87"/>
    <w:rPr>
      <w:rFonts w:ascii="Tahoma" w:hAnsi="Tahoma" w:cs="Tahoma"/>
      <w:snapToGrid w:val="0"/>
      <w:lang w:val="en-US" w:eastAsia="en-US" w:bidi="ar-SA"/>
    </w:rPr>
  </w:style>
  <w:style w:type="character" w:customStyle="1" w:styleId="StyleNPSAS08bulleted9ptChar">
    <w:name w:val="Style NPSAS08 bulleted + 9 pt Char"/>
    <w:basedOn w:val="NPSAS08bulletedChar"/>
    <w:rsid w:val="00463F87"/>
    <w:rPr>
      <w:rFonts w:ascii="Tahoma" w:hAnsi="Tahoma" w:cs="Tahoma"/>
      <w:snapToGrid w:val="0"/>
      <w:lang w:val="en-US" w:eastAsia="en-US" w:bidi="ar-SA"/>
    </w:rPr>
  </w:style>
  <w:style w:type="paragraph" w:styleId="BalloonText">
    <w:name w:val="Balloon Text"/>
    <w:basedOn w:val="Normal"/>
    <w:link w:val="BalloonTextChar"/>
    <w:uiPriority w:val="99"/>
    <w:semiHidden/>
    <w:rsid w:val="00463F87"/>
    <w:rPr>
      <w:rFonts w:ascii="Tahoma" w:hAnsi="Tahoma" w:cs="Tahoma"/>
      <w:sz w:val="16"/>
      <w:szCs w:val="16"/>
    </w:rPr>
  </w:style>
  <w:style w:type="paragraph" w:customStyle="1" w:styleId="TableHeaders">
    <w:name w:val="Table Headers"/>
    <w:basedOn w:val="Normal"/>
    <w:rsid w:val="00463F87"/>
    <w:pPr>
      <w:keepNext/>
      <w:spacing w:before="80" w:after="80" w:line="240" w:lineRule="exact"/>
      <w:jc w:val="center"/>
    </w:pPr>
    <w:rPr>
      <w:rFonts w:ascii="Arial" w:hAnsi="Arial"/>
      <w:b/>
      <w:snapToGrid w:val="0"/>
      <w:sz w:val="20"/>
      <w:szCs w:val="20"/>
    </w:rPr>
  </w:style>
  <w:style w:type="paragraph" w:styleId="BodyText2">
    <w:name w:val="Body Text 2"/>
    <w:basedOn w:val="Normal"/>
    <w:link w:val="BodyText2Char"/>
    <w:uiPriority w:val="99"/>
    <w:rsid w:val="00463F87"/>
    <w:pPr>
      <w:jc w:val="both"/>
    </w:pPr>
    <w:rPr>
      <w:color w:val="FF0000"/>
    </w:rPr>
  </w:style>
  <w:style w:type="paragraph" w:customStyle="1" w:styleId="Bulleted1">
    <w:name w:val="Bulleted 1"/>
    <w:basedOn w:val="Normal"/>
    <w:rsid w:val="00463F87"/>
    <w:pPr>
      <w:numPr>
        <w:ilvl w:val="1"/>
        <w:numId w:val="3"/>
      </w:numPr>
      <w:tabs>
        <w:tab w:val="clear" w:pos="720"/>
      </w:tabs>
      <w:spacing w:before="120"/>
    </w:pPr>
    <w:rPr>
      <w:rFonts w:ascii="Tahoma" w:hAnsi="Tahoma"/>
      <w:sz w:val="20"/>
    </w:rPr>
  </w:style>
  <w:style w:type="paragraph" w:customStyle="1" w:styleId="StyleStylebulletround">
    <w:name w:val="Style Style bullet round"/>
    <w:basedOn w:val="Normal"/>
    <w:autoRedefine/>
    <w:rsid w:val="00463F87"/>
    <w:pPr>
      <w:spacing w:before="120" w:after="120"/>
      <w:ind w:left="1080"/>
    </w:pPr>
    <w:rPr>
      <w:rFonts w:ascii="Arial" w:hAnsi="Arial" w:cs="Arial"/>
      <w:b/>
      <w:bCs/>
      <w:sz w:val="22"/>
      <w:szCs w:val="22"/>
    </w:rPr>
  </w:style>
  <w:style w:type="paragraph" w:customStyle="1" w:styleId="StyleNCESChapterTitleAfter18pt">
    <w:name w:val="Style NCES Chapter Title + After:  18 pt"/>
    <w:basedOn w:val="Normal"/>
    <w:autoRedefine/>
    <w:rsid w:val="00463F87"/>
    <w:pPr>
      <w:pBdr>
        <w:bottom w:val="thinThickSmallGap" w:sz="24" w:space="1" w:color="auto"/>
      </w:pBdr>
      <w:spacing w:before="720" w:after="360"/>
      <w:jc w:val="right"/>
    </w:pPr>
    <w:rPr>
      <w:rFonts w:ascii="Arial" w:hAnsi="Arial"/>
      <w:b/>
      <w:bCs/>
      <w:sz w:val="44"/>
      <w:szCs w:val="20"/>
    </w:rPr>
  </w:style>
  <w:style w:type="paragraph" w:customStyle="1" w:styleId="bulletround">
    <w:name w:val="bullet round"/>
    <w:basedOn w:val="Normal"/>
    <w:autoRedefine/>
    <w:rsid w:val="00D964E4"/>
    <w:pPr>
      <w:spacing w:after="120"/>
      <w:ind w:left="720" w:hanging="720"/>
    </w:pPr>
    <w:rPr>
      <w:rFonts w:cs="Arial"/>
      <w:szCs w:val="16"/>
    </w:rPr>
  </w:style>
  <w:style w:type="paragraph" w:customStyle="1" w:styleId="ProgressReport">
    <w:name w:val="Progress Report"/>
    <w:basedOn w:val="Normal"/>
    <w:rsid w:val="00463F87"/>
    <w:pPr>
      <w:pBdr>
        <w:top w:val="single" w:sz="24" w:space="1" w:color="auto"/>
      </w:pBdr>
      <w:jc w:val="center"/>
    </w:pPr>
    <w:rPr>
      <w:rFonts w:ascii="Tahoma" w:hAnsi="Tahoma"/>
      <w:sz w:val="32"/>
      <w:szCs w:val="32"/>
    </w:rPr>
  </w:style>
  <w:style w:type="paragraph" w:customStyle="1" w:styleId="H1">
    <w:name w:val="H1"/>
    <w:basedOn w:val="Normal"/>
    <w:rsid w:val="00463F87"/>
    <w:pPr>
      <w:tabs>
        <w:tab w:val="left" w:pos="1402"/>
        <w:tab w:val="left" w:pos="2506"/>
        <w:tab w:val="left" w:pos="3514"/>
        <w:tab w:val="left" w:pos="8250"/>
      </w:tabs>
      <w:spacing w:before="240"/>
    </w:pPr>
    <w:rPr>
      <w:rFonts w:ascii="Tahoma" w:hAnsi="Tahoma" w:cs="Tahoma"/>
      <w:b/>
      <w:snapToGrid w:val="0"/>
    </w:rPr>
  </w:style>
  <w:style w:type="paragraph" w:customStyle="1" w:styleId="PRMainbullet">
    <w:name w:val="PR Main bullet"/>
    <w:basedOn w:val="NormalWeb"/>
    <w:rsid w:val="00463F87"/>
    <w:pPr>
      <w:numPr>
        <w:numId w:val="4"/>
      </w:numPr>
      <w:spacing w:before="120"/>
    </w:pPr>
    <w:rPr>
      <w:rFonts w:ascii="Tahoma" w:hAnsi="Tahoma" w:cs="Tahoma"/>
      <w:snapToGrid w:val="0"/>
      <w:sz w:val="20"/>
      <w:szCs w:val="20"/>
    </w:rPr>
  </w:style>
  <w:style w:type="paragraph" w:styleId="NormalWeb">
    <w:name w:val="Normal (Web)"/>
    <w:basedOn w:val="Normal"/>
    <w:uiPriority w:val="99"/>
    <w:rsid w:val="00463F87"/>
  </w:style>
  <w:style w:type="paragraph" w:customStyle="1" w:styleId="Tabletitle">
    <w:name w:val="Table title"/>
    <w:basedOn w:val="Normal"/>
    <w:rsid w:val="00463F87"/>
    <w:pPr>
      <w:keepNext/>
      <w:autoSpaceDE w:val="0"/>
      <w:autoSpaceDN w:val="0"/>
      <w:adjustRightInd w:val="0"/>
      <w:spacing w:before="240"/>
      <w:jc w:val="center"/>
    </w:pPr>
    <w:rPr>
      <w:rFonts w:ascii="Tahoma" w:hAnsi="Tahoma" w:cs="Tahoma"/>
      <w:b/>
    </w:rPr>
  </w:style>
  <w:style w:type="paragraph" w:customStyle="1" w:styleId="PRText">
    <w:name w:val="PR Text"/>
    <w:basedOn w:val="Normal"/>
    <w:autoRedefine/>
    <w:rsid w:val="00463F87"/>
    <w:pPr>
      <w:keepNext/>
      <w:autoSpaceDE w:val="0"/>
      <w:autoSpaceDN w:val="0"/>
      <w:adjustRightInd w:val="0"/>
      <w:ind w:firstLine="720"/>
    </w:pPr>
    <w:rPr>
      <w:rFonts w:ascii="Tahoma" w:hAnsi="Tahoma" w:cs="Tahoma"/>
      <w:sz w:val="20"/>
    </w:rPr>
  </w:style>
  <w:style w:type="paragraph" w:customStyle="1" w:styleId="AttachmentTitle">
    <w:name w:val="Attachment Title"/>
    <w:basedOn w:val="Normal"/>
    <w:autoRedefine/>
    <w:rsid w:val="00463F87"/>
    <w:pPr>
      <w:keepNext/>
      <w:autoSpaceDE w:val="0"/>
      <w:autoSpaceDN w:val="0"/>
      <w:adjustRightInd w:val="0"/>
      <w:jc w:val="center"/>
    </w:pPr>
    <w:rPr>
      <w:rFonts w:ascii="Tahoma" w:hAnsi="Tahoma" w:cs="Arial"/>
      <w:b/>
      <w:sz w:val="20"/>
    </w:rPr>
  </w:style>
  <w:style w:type="paragraph" w:customStyle="1" w:styleId="NPSAS04Text">
    <w:name w:val="NPSAS04 Text"/>
    <w:basedOn w:val="Normal"/>
    <w:autoRedefine/>
    <w:rsid w:val="00463F87"/>
    <w:pPr>
      <w:keepNext/>
      <w:tabs>
        <w:tab w:val="left" w:pos="1402"/>
        <w:tab w:val="left" w:pos="2506"/>
        <w:tab w:val="left" w:pos="3514"/>
        <w:tab w:val="left" w:pos="8250"/>
      </w:tabs>
      <w:spacing w:before="120"/>
      <w:ind w:firstLine="720"/>
    </w:pPr>
    <w:rPr>
      <w:rFonts w:ascii="Tahoma" w:hAnsi="Tahoma" w:cs="Tahoma"/>
      <w:snapToGrid w:val="0"/>
      <w:color w:val="000000"/>
      <w:sz w:val="20"/>
    </w:rPr>
  </w:style>
  <w:style w:type="paragraph" w:customStyle="1" w:styleId="DefaultParagraphFontParaCharChar">
    <w:name w:val="Default Paragraph Font Para Char Char"/>
    <w:basedOn w:val="Normal"/>
    <w:rsid w:val="00463F87"/>
    <w:pPr>
      <w:spacing w:before="80" w:after="80"/>
      <w:ind w:left="4320"/>
      <w:jc w:val="both"/>
    </w:pPr>
    <w:rPr>
      <w:rFonts w:ascii="Arial" w:hAnsi="Arial"/>
      <w:sz w:val="20"/>
    </w:rPr>
  </w:style>
  <w:style w:type="paragraph" w:customStyle="1" w:styleId="5ensptotal">
    <w:name w:val="5 en sp (total)"/>
    <w:basedOn w:val="Normal"/>
    <w:link w:val="5ensptotalChar"/>
    <w:rsid w:val="00463F87"/>
    <w:pPr>
      <w:keepNext/>
      <w:spacing w:before="40" w:after="40"/>
      <w:ind w:left="908" w:hanging="346"/>
    </w:pPr>
    <w:rPr>
      <w:rFonts w:ascii="Arial" w:hAnsi="Arial" w:cs="Arial"/>
      <w:kern w:val="2"/>
      <w:sz w:val="20"/>
      <w:szCs w:val="20"/>
    </w:rPr>
  </w:style>
  <w:style w:type="paragraph" w:customStyle="1" w:styleId="TableTitle0">
    <w:name w:val="Table Title"/>
    <w:basedOn w:val="Normal"/>
    <w:qFormat/>
    <w:rsid w:val="00463F87"/>
    <w:pPr>
      <w:keepNext/>
      <w:spacing w:before="240" w:after="80"/>
      <w:ind w:left="990" w:hanging="990"/>
    </w:pPr>
    <w:rPr>
      <w:rFonts w:ascii="Arial" w:hAnsi="Arial"/>
      <w:b/>
      <w:sz w:val="20"/>
      <w:szCs w:val="20"/>
    </w:rPr>
  </w:style>
  <w:style w:type="character" w:customStyle="1" w:styleId="TableTitleChar">
    <w:name w:val="Table Title Char"/>
    <w:basedOn w:val="DefaultParagraphFont"/>
    <w:locked/>
    <w:rsid w:val="00463F87"/>
    <w:rPr>
      <w:rFonts w:ascii="Arial" w:hAnsi="Arial"/>
      <w:b/>
      <w:lang w:val="en-US" w:eastAsia="en-US" w:bidi="ar-SA"/>
    </w:rPr>
  </w:style>
  <w:style w:type="paragraph" w:customStyle="1" w:styleId="Source">
    <w:name w:val="Source"/>
    <w:basedOn w:val="Normal"/>
    <w:next w:val="BodyText"/>
    <w:rsid w:val="00463F87"/>
    <w:pPr>
      <w:spacing w:before="40"/>
    </w:pPr>
    <w:rPr>
      <w:rFonts w:ascii="Arial" w:hAnsi="Arial"/>
      <w:sz w:val="18"/>
      <w:szCs w:val="18"/>
    </w:rPr>
  </w:style>
  <w:style w:type="character" w:customStyle="1" w:styleId="SourceChar">
    <w:name w:val="Source Char"/>
    <w:basedOn w:val="DefaultParagraphFont"/>
    <w:locked/>
    <w:rsid w:val="00463F87"/>
    <w:rPr>
      <w:rFonts w:ascii="Arial" w:hAnsi="Arial"/>
      <w:sz w:val="18"/>
      <w:szCs w:val="18"/>
      <w:lang w:val="en-US" w:eastAsia="en-US" w:bidi="ar-SA"/>
    </w:rPr>
  </w:style>
  <w:style w:type="paragraph" w:customStyle="1" w:styleId="Tabletext">
    <w:name w:val="Table text"/>
    <w:basedOn w:val="Normal"/>
    <w:rsid w:val="00463F87"/>
    <w:pPr>
      <w:keepNext/>
      <w:spacing w:before="40" w:after="40"/>
      <w:ind w:left="317" w:hanging="317"/>
    </w:pPr>
    <w:rPr>
      <w:rFonts w:ascii="Arial" w:hAnsi="Arial"/>
      <w:sz w:val="20"/>
      <w:szCs w:val="20"/>
    </w:rPr>
  </w:style>
  <w:style w:type="character" w:customStyle="1" w:styleId="TabletextChar">
    <w:name w:val="Table text Char"/>
    <w:basedOn w:val="DefaultParagraphFont"/>
    <w:locked/>
    <w:rsid w:val="00463F87"/>
    <w:rPr>
      <w:rFonts w:ascii="Arial" w:hAnsi="Arial"/>
      <w:lang w:val="en-US" w:eastAsia="en-US" w:bidi="ar-SA"/>
    </w:rPr>
  </w:style>
  <w:style w:type="paragraph" w:customStyle="1" w:styleId="2enspsubgroup1">
    <w:name w:val="2 en sp (subgroup 1)"/>
    <w:basedOn w:val="Tabletext"/>
    <w:rsid w:val="00463F87"/>
    <w:pPr>
      <w:ind w:left="576" w:hanging="346"/>
    </w:pPr>
    <w:rPr>
      <w:kern w:val="2"/>
    </w:rPr>
  </w:style>
  <w:style w:type="paragraph" w:customStyle="1" w:styleId="Tableheading">
    <w:name w:val="Table heading"/>
    <w:basedOn w:val="Tabletext"/>
    <w:uiPriority w:val="99"/>
    <w:rsid w:val="00463F87"/>
    <w:pPr>
      <w:ind w:left="0" w:firstLine="0"/>
      <w:jc w:val="right"/>
    </w:pPr>
  </w:style>
  <w:style w:type="character" w:customStyle="1" w:styleId="TableheadingChar">
    <w:name w:val="Table heading Char"/>
    <w:basedOn w:val="TabletextChar"/>
    <w:uiPriority w:val="99"/>
    <w:locked/>
    <w:rsid w:val="00463F87"/>
    <w:rPr>
      <w:rFonts w:ascii="Arial" w:hAnsi="Arial"/>
      <w:lang w:val="en-US" w:eastAsia="en-US" w:bidi="ar-SA"/>
    </w:rPr>
  </w:style>
  <w:style w:type="paragraph" w:customStyle="1" w:styleId="Tablebody">
    <w:name w:val="Table body"/>
    <w:uiPriority w:val="99"/>
    <w:rsid w:val="00463F87"/>
    <w:pPr>
      <w:keepNext/>
      <w:spacing w:before="40" w:after="40"/>
      <w:jc w:val="right"/>
    </w:pPr>
    <w:rPr>
      <w:rFonts w:ascii="Arial" w:hAnsi="Arial"/>
    </w:rPr>
  </w:style>
  <w:style w:type="character" w:customStyle="1" w:styleId="2enspsubgroup1Char">
    <w:name w:val="2 en sp (subgroup 1) Char"/>
    <w:basedOn w:val="TabletextChar"/>
    <w:uiPriority w:val="99"/>
    <w:rsid w:val="00463F87"/>
    <w:rPr>
      <w:rFonts w:ascii="Arial" w:hAnsi="Arial"/>
      <w:kern w:val="2"/>
      <w:lang w:val="en-US" w:eastAsia="en-US" w:bidi="ar-SA"/>
    </w:rPr>
  </w:style>
  <w:style w:type="paragraph" w:customStyle="1" w:styleId="3ensptotalnosubgroup">
    <w:name w:val="3 en sp (total no subgroup)"/>
    <w:basedOn w:val="Normal"/>
    <w:rsid w:val="00463F87"/>
    <w:pPr>
      <w:keepNext/>
      <w:spacing w:before="40" w:after="40"/>
      <w:ind w:left="675" w:hanging="342"/>
    </w:pPr>
    <w:rPr>
      <w:rFonts w:ascii="Arial" w:eastAsia="Arial Unicode MS" w:hAnsi="Arial"/>
      <w:kern w:val="2"/>
      <w:sz w:val="20"/>
      <w:szCs w:val="20"/>
    </w:rPr>
  </w:style>
  <w:style w:type="paragraph" w:customStyle="1" w:styleId="exhibitsource">
    <w:name w:val="exhibit source"/>
    <w:basedOn w:val="Normal"/>
    <w:rsid w:val="00463F87"/>
    <w:pPr>
      <w:keepLines/>
      <w:spacing w:before="60"/>
      <w:ind w:left="187" w:hanging="187"/>
    </w:pPr>
    <w:rPr>
      <w:sz w:val="20"/>
      <w:szCs w:val="20"/>
    </w:rPr>
  </w:style>
  <w:style w:type="character" w:customStyle="1" w:styleId="3ensptotalnosubgroupChar">
    <w:name w:val="3 en sp (total no subgroup) Char"/>
    <w:basedOn w:val="DefaultParagraphFont"/>
    <w:rsid w:val="00463F87"/>
    <w:rPr>
      <w:rFonts w:ascii="Arial" w:eastAsia="Arial Unicode MS" w:hAnsi="Arial"/>
      <w:kern w:val="2"/>
      <w:lang w:val="en-US" w:eastAsia="en-US" w:bidi="ar-SA"/>
    </w:rPr>
  </w:style>
  <w:style w:type="paragraph" w:styleId="Header">
    <w:name w:val="header"/>
    <w:basedOn w:val="Normal"/>
    <w:link w:val="HeaderChar"/>
    <w:uiPriority w:val="99"/>
    <w:rsid w:val="00463F87"/>
    <w:pPr>
      <w:tabs>
        <w:tab w:val="center" w:pos="4320"/>
        <w:tab w:val="right" w:pos="8640"/>
      </w:tabs>
    </w:pPr>
  </w:style>
  <w:style w:type="paragraph" w:customStyle="1" w:styleId="Bodytextnoindent">
    <w:name w:val="Body text no indent"/>
    <w:basedOn w:val="BodyText"/>
    <w:uiPriority w:val="99"/>
    <w:rsid w:val="00463F87"/>
    <w:pPr>
      <w:spacing w:before="120" w:after="120"/>
      <w:jc w:val="left"/>
    </w:pPr>
    <w:rPr>
      <w:b w:val="0"/>
      <w:bCs w:val="0"/>
      <w:szCs w:val="20"/>
    </w:rPr>
  </w:style>
  <w:style w:type="character" w:customStyle="1" w:styleId="BodytextnoindentChar">
    <w:name w:val="Body text no indent Char"/>
    <w:basedOn w:val="DefaultParagraphFont"/>
    <w:uiPriority w:val="99"/>
    <w:locked/>
    <w:rsid w:val="00463F87"/>
    <w:rPr>
      <w:sz w:val="24"/>
      <w:lang w:val="en-US" w:eastAsia="en-US" w:bidi="ar-SA"/>
    </w:rPr>
  </w:style>
  <w:style w:type="character" w:styleId="CommentReference">
    <w:name w:val="annotation reference"/>
    <w:basedOn w:val="DefaultParagraphFont"/>
    <w:uiPriority w:val="99"/>
    <w:rsid w:val="00463F87"/>
    <w:rPr>
      <w:sz w:val="16"/>
      <w:szCs w:val="16"/>
    </w:rPr>
  </w:style>
  <w:style w:type="paragraph" w:styleId="CommentText">
    <w:name w:val="annotation text"/>
    <w:basedOn w:val="Normal"/>
    <w:link w:val="CommentTextChar"/>
    <w:uiPriority w:val="99"/>
    <w:semiHidden/>
    <w:rsid w:val="00463F87"/>
    <w:rPr>
      <w:sz w:val="20"/>
      <w:szCs w:val="20"/>
    </w:rPr>
  </w:style>
  <w:style w:type="paragraph" w:styleId="CommentSubject">
    <w:name w:val="annotation subject"/>
    <w:basedOn w:val="CommentText"/>
    <w:next w:val="CommentText"/>
    <w:link w:val="CommentSubjectChar"/>
    <w:uiPriority w:val="99"/>
    <w:semiHidden/>
    <w:rsid w:val="00463F87"/>
    <w:rPr>
      <w:b/>
      <w:bCs/>
    </w:rPr>
  </w:style>
  <w:style w:type="character" w:customStyle="1" w:styleId="bulletroundChar">
    <w:name w:val="bullet round Char"/>
    <w:basedOn w:val="DefaultParagraphFont"/>
    <w:locked/>
    <w:rsid w:val="00463F87"/>
    <w:rPr>
      <w:rFonts w:cs="Arial"/>
      <w:sz w:val="24"/>
      <w:szCs w:val="16"/>
      <w:lang w:val="en-US" w:eastAsia="en-US" w:bidi="ar-SA"/>
    </w:rPr>
  </w:style>
  <w:style w:type="paragraph" w:customStyle="1" w:styleId="Tablenumbers">
    <w:name w:val="Table numbers"/>
    <w:rsid w:val="00463F87"/>
    <w:pPr>
      <w:keepNext/>
      <w:spacing w:before="20" w:after="20"/>
      <w:jc w:val="right"/>
    </w:pPr>
    <w:rPr>
      <w:rFonts w:ascii="Arial" w:hAnsi="Arial" w:cs="Arial"/>
    </w:rPr>
  </w:style>
  <w:style w:type="character" w:styleId="FootnoteReference">
    <w:name w:val="footnote reference"/>
    <w:aliases w:val="fr,footnote reference"/>
    <w:basedOn w:val="DefaultParagraphFont"/>
    <w:uiPriority w:val="99"/>
    <w:rsid w:val="00463F87"/>
    <w:rPr>
      <w:rFonts w:ascii="Times New Roman" w:hAnsi="Times New Roman" w:cs="Times New Roman"/>
      <w:sz w:val="18"/>
      <w:szCs w:val="18"/>
      <w:vertAlign w:val="superscript"/>
    </w:rPr>
  </w:style>
  <w:style w:type="paragraph" w:styleId="FootnoteText">
    <w:name w:val="footnote text"/>
    <w:aliases w:val="ft,fo,footnote text Char,ft1,fo1,footnote text,F1,footnote text 9 pt,ft9"/>
    <w:basedOn w:val="Normal"/>
    <w:uiPriority w:val="99"/>
    <w:qFormat/>
    <w:rsid w:val="00463F87"/>
    <w:pPr>
      <w:keepLines/>
    </w:pPr>
    <w:rPr>
      <w:sz w:val="18"/>
      <w:szCs w:val="20"/>
    </w:rPr>
  </w:style>
  <w:style w:type="character" w:customStyle="1" w:styleId="ftChar">
    <w:name w:val="ft Char"/>
    <w:aliases w:val="fo Char,footnote text Char Char Char,footnote text Char Char,ft1 Char,fo1 Char,footnote text Char Char1,Footnote Text Char,footnote text Char1,F1 Char,footnote text 9 pt Char1,ft9 Char1,Footnote Text Char1,ft Char1,fo Char1,footnote text Char2"/>
    <w:basedOn w:val="DefaultParagraphFont"/>
    <w:uiPriority w:val="99"/>
    <w:locked/>
    <w:rsid w:val="00463F87"/>
    <w:rPr>
      <w:sz w:val="18"/>
      <w:lang w:val="en-US" w:eastAsia="en-US" w:bidi="ar-SA"/>
    </w:rPr>
  </w:style>
  <w:style w:type="paragraph" w:customStyle="1" w:styleId="Source2">
    <w:name w:val="Source2"/>
    <w:basedOn w:val="Source"/>
    <w:rsid w:val="00463F87"/>
    <w:pPr>
      <w:spacing w:before="20" w:after="240"/>
    </w:pPr>
  </w:style>
  <w:style w:type="paragraph" w:customStyle="1" w:styleId="Tableheadingcentered">
    <w:name w:val="Table heading centered"/>
    <w:basedOn w:val="Tableheading"/>
    <w:rsid w:val="00463F87"/>
    <w:pPr>
      <w:spacing w:before="20" w:after="20"/>
      <w:jc w:val="center"/>
    </w:pPr>
  </w:style>
  <w:style w:type="paragraph" w:customStyle="1" w:styleId="NCESheaderodd">
    <w:name w:val="NCES header odd"/>
    <w:basedOn w:val="Normal"/>
    <w:uiPriority w:val="99"/>
    <w:rsid w:val="00463F87"/>
    <w:pPr>
      <w:pBdr>
        <w:bottom w:val="single" w:sz="8" w:space="1" w:color="auto"/>
      </w:pBdr>
      <w:spacing w:after="100" w:afterAutospacing="1"/>
      <w:jc w:val="right"/>
    </w:pPr>
    <w:rPr>
      <w:rFonts w:ascii="Arial" w:hAnsi="Arial"/>
      <w:smallCaps/>
      <w:noProof/>
      <w:sz w:val="18"/>
      <w:szCs w:val="18"/>
    </w:rPr>
  </w:style>
  <w:style w:type="character" w:customStyle="1" w:styleId="NCESheaderoddChar">
    <w:name w:val="NCES header odd Char"/>
    <w:basedOn w:val="DefaultParagraphFont"/>
    <w:uiPriority w:val="99"/>
    <w:locked/>
    <w:rsid w:val="00463F87"/>
    <w:rPr>
      <w:rFonts w:ascii="Arial" w:hAnsi="Arial"/>
      <w:smallCaps/>
      <w:noProof/>
      <w:sz w:val="18"/>
      <w:szCs w:val="18"/>
      <w:lang w:val="en-US" w:eastAsia="en-US" w:bidi="ar-SA"/>
    </w:rPr>
  </w:style>
  <w:style w:type="paragraph" w:customStyle="1" w:styleId="NCESheadereven">
    <w:name w:val="NCES  header even"/>
    <w:basedOn w:val="Normal"/>
    <w:uiPriority w:val="99"/>
    <w:rsid w:val="00463F87"/>
    <w:pPr>
      <w:pBdr>
        <w:bottom w:val="single" w:sz="8" w:space="1" w:color="auto"/>
      </w:pBdr>
    </w:pPr>
    <w:rPr>
      <w:rFonts w:ascii="Arial" w:hAnsi="Arial"/>
      <w:smallCaps/>
      <w:sz w:val="18"/>
      <w:szCs w:val="20"/>
    </w:rPr>
  </w:style>
  <w:style w:type="paragraph" w:customStyle="1" w:styleId="NCESoddfooter">
    <w:name w:val="NCES odd footer"/>
    <w:basedOn w:val="Normal"/>
    <w:uiPriority w:val="99"/>
    <w:rsid w:val="00463F87"/>
    <w:pPr>
      <w:tabs>
        <w:tab w:val="right" w:pos="9360"/>
      </w:tabs>
    </w:pPr>
    <w:rPr>
      <w:rFonts w:ascii="Arial" w:hAnsi="Arial"/>
      <w:smallCaps/>
      <w:sz w:val="18"/>
      <w:szCs w:val="22"/>
    </w:rPr>
  </w:style>
  <w:style w:type="character" w:customStyle="1" w:styleId="NCESoddfooterChar">
    <w:name w:val="NCES odd footer Char"/>
    <w:basedOn w:val="DefaultParagraphFont"/>
    <w:uiPriority w:val="99"/>
    <w:locked/>
    <w:rsid w:val="00463F87"/>
    <w:rPr>
      <w:rFonts w:ascii="Arial" w:hAnsi="Arial"/>
      <w:smallCaps/>
      <w:sz w:val="18"/>
      <w:szCs w:val="22"/>
      <w:lang w:val="en-US" w:eastAsia="en-US" w:bidi="ar-SA"/>
    </w:rPr>
  </w:style>
  <w:style w:type="paragraph" w:customStyle="1" w:styleId="ListBullet21">
    <w:name w:val="List Bullet 21"/>
    <w:basedOn w:val="ListBullet"/>
    <w:uiPriority w:val="99"/>
    <w:rsid w:val="00463F87"/>
    <w:pPr>
      <w:numPr>
        <w:numId w:val="5"/>
      </w:numPr>
      <w:spacing w:before="120"/>
    </w:pPr>
    <w:rPr>
      <w:szCs w:val="20"/>
    </w:rPr>
  </w:style>
  <w:style w:type="character" w:styleId="Strong">
    <w:name w:val="Strong"/>
    <w:basedOn w:val="DefaultParagraphFont"/>
    <w:uiPriority w:val="99"/>
    <w:qFormat/>
    <w:rsid w:val="00463F87"/>
    <w:rPr>
      <w:b/>
      <w:bCs/>
    </w:rPr>
  </w:style>
  <w:style w:type="character" w:styleId="Emphasis">
    <w:name w:val="Emphasis"/>
    <w:basedOn w:val="DefaultParagraphFont"/>
    <w:uiPriority w:val="99"/>
    <w:qFormat/>
    <w:rsid w:val="00463F87"/>
    <w:rPr>
      <w:i/>
      <w:iCs/>
    </w:rPr>
  </w:style>
  <w:style w:type="paragraph" w:styleId="ListParagraph">
    <w:name w:val="List Paragraph"/>
    <w:basedOn w:val="Normal"/>
    <w:link w:val="ListParagraphChar"/>
    <w:uiPriority w:val="34"/>
    <w:qFormat/>
    <w:rsid w:val="00450CC6"/>
    <w:pPr>
      <w:ind w:left="720"/>
    </w:pPr>
    <w:rPr>
      <w:rFonts w:ascii="Calibri" w:eastAsia="Calibri" w:hAnsi="Calibri"/>
      <w:sz w:val="22"/>
      <w:szCs w:val="22"/>
    </w:rPr>
  </w:style>
  <w:style w:type="table" w:styleId="TableGrid">
    <w:name w:val="Table Grid"/>
    <w:basedOn w:val="TableNormal"/>
    <w:uiPriority w:val="59"/>
    <w:rsid w:val="00450CC6"/>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52AD"/>
    <w:rPr>
      <w:color w:val="0000FF"/>
      <w:u w:val="single"/>
    </w:rPr>
  </w:style>
  <w:style w:type="paragraph" w:styleId="Revision">
    <w:name w:val="Revision"/>
    <w:hidden/>
    <w:uiPriority w:val="99"/>
    <w:semiHidden/>
    <w:rsid w:val="004F373B"/>
    <w:rPr>
      <w:sz w:val="24"/>
      <w:szCs w:val="24"/>
    </w:rPr>
  </w:style>
  <w:style w:type="character" w:customStyle="1" w:styleId="FooterChar">
    <w:name w:val="Footer Char"/>
    <w:basedOn w:val="DefaultParagraphFont"/>
    <w:link w:val="Footer"/>
    <w:uiPriority w:val="99"/>
    <w:rsid w:val="00BD7A89"/>
    <w:rPr>
      <w:sz w:val="24"/>
      <w:szCs w:val="24"/>
    </w:rPr>
  </w:style>
  <w:style w:type="character" w:customStyle="1" w:styleId="CommentTextChar">
    <w:name w:val="Comment Text Char"/>
    <w:basedOn w:val="DefaultParagraphFont"/>
    <w:link w:val="CommentText"/>
    <w:uiPriority w:val="99"/>
    <w:semiHidden/>
    <w:locked/>
    <w:rsid w:val="004E0012"/>
  </w:style>
  <w:style w:type="paragraph" w:customStyle="1" w:styleId="bodytextpsg">
    <w:name w:val="body text_psg"/>
    <w:basedOn w:val="Normal"/>
    <w:link w:val="bodytextpsgChar"/>
    <w:uiPriority w:val="99"/>
    <w:rsid w:val="004E0012"/>
    <w:pPr>
      <w:spacing w:after="240" w:line="320" w:lineRule="exact"/>
    </w:pPr>
  </w:style>
  <w:style w:type="character" w:customStyle="1" w:styleId="bodytextpsgChar">
    <w:name w:val="body text_psg Char"/>
    <w:basedOn w:val="DefaultParagraphFont"/>
    <w:link w:val="bodytextpsg"/>
    <w:uiPriority w:val="99"/>
    <w:rsid w:val="004E0012"/>
    <w:rPr>
      <w:sz w:val="24"/>
      <w:szCs w:val="24"/>
    </w:rPr>
  </w:style>
  <w:style w:type="paragraph" w:customStyle="1" w:styleId="TableParagraph">
    <w:name w:val="Table Paragraph"/>
    <w:basedOn w:val="Normal"/>
    <w:uiPriority w:val="1"/>
    <w:qFormat/>
    <w:rsid w:val="00421D9B"/>
    <w:pPr>
      <w:widowControl w:val="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2305F8"/>
    <w:rPr>
      <w:sz w:val="24"/>
      <w:szCs w:val="24"/>
    </w:rPr>
  </w:style>
  <w:style w:type="character" w:styleId="FollowedHyperlink">
    <w:name w:val="FollowedHyperlink"/>
    <w:basedOn w:val="DefaultParagraphFont"/>
    <w:uiPriority w:val="99"/>
    <w:unhideWhenUsed/>
    <w:rsid w:val="004974C5"/>
    <w:rPr>
      <w:color w:val="800080" w:themeColor="followedHyperlink"/>
      <w:u w:val="single"/>
    </w:rPr>
  </w:style>
  <w:style w:type="paragraph" w:customStyle="1" w:styleId="Default">
    <w:name w:val="Default"/>
    <w:rsid w:val="004974C5"/>
    <w:pPr>
      <w:autoSpaceDE w:val="0"/>
      <w:autoSpaceDN w:val="0"/>
      <w:adjustRightInd w:val="0"/>
    </w:pPr>
    <w:rPr>
      <w:rFonts w:ascii="Arial" w:hAnsi="Arial" w:cs="Arial"/>
      <w:color w:val="000000"/>
      <w:sz w:val="24"/>
      <w:szCs w:val="24"/>
    </w:rPr>
  </w:style>
  <w:style w:type="paragraph" w:customStyle="1" w:styleId="BodyText1">
    <w:name w:val="Body Text1"/>
    <w:basedOn w:val="Normal"/>
    <w:uiPriority w:val="99"/>
    <w:rsid w:val="00F43220"/>
    <w:pPr>
      <w:spacing w:after="120" w:line="360" w:lineRule="auto"/>
      <w:ind w:firstLine="720"/>
    </w:pPr>
    <w:rPr>
      <w:szCs w:val="20"/>
    </w:rPr>
  </w:style>
  <w:style w:type="paragraph" w:customStyle="1" w:styleId="Cov-Title">
    <w:name w:val="Cov-Title"/>
    <w:basedOn w:val="Normal"/>
    <w:uiPriority w:val="99"/>
    <w:rsid w:val="007D6DCD"/>
    <w:pPr>
      <w:jc w:val="right"/>
    </w:pPr>
    <w:rPr>
      <w:rFonts w:ascii="Arial Black" w:hAnsi="Arial Black"/>
      <w:sz w:val="40"/>
      <w:szCs w:val="20"/>
    </w:rPr>
  </w:style>
  <w:style w:type="character" w:customStyle="1" w:styleId="Heading5Char">
    <w:name w:val="Heading 5 Char"/>
    <w:basedOn w:val="DefaultParagraphFont"/>
    <w:link w:val="Heading5"/>
    <w:uiPriority w:val="99"/>
    <w:rsid w:val="002415C2"/>
    <w:rPr>
      <w:b/>
      <w:bCs/>
      <w:i/>
      <w:iCs/>
      <w:sz w:val="26"/>
      <w:szCs w:val="26"/>
    </w:rPr>
  </w:style>
  <w:style w:type="character" w:customStyle="1" w:styleId="Heading7Char">
    <w:name w:val="Heading 7 Char"/>
    <w:basedOn w:val="DefaultParagraphFont"/>
    <w:link w:val="Heading7"/>
    <w:uiPriority w:val="99"/>
    <w:rsid w:val="002415C2"/>
    <w:rPr>
      <w:rFonts w:ascii="Arial" w:hAnsi="Arial"/>
      <w:b/>
      <w:sz w:val="24"/>
    </w:rPr>
  </w:style>
  <w:style w:type="character" w:customStyle="1" w:styleId="Heading9Char">
    <w:name w:val="Heading 9 Char"/>
    <w:basedOn w:val="DefaultParagraphFont"/>
    <w:link w:val="Heading9"/>
    <w:uiPriority w:val="99"/>
    <w:rsid w:val="002415C2"/>
    <w:rPr>
      <w:rFonts w:ascii="Arial" w:hAnsi="Arial"/>
      <w:b/>
      <w:sz w:val="40"/>
    </w:rPr>
  </w:style>
  <w:style w:type="numbering" w:customStyle="1" w:styleId="NoList1">
    <w:name w:val="No List1"/>
    <w:next w:val="NoList"/>
    <w:uiPriority w:val="99"/>
    <w:semiHidden/>
    <w:unhideWhenUsed/>
    <w:rsid w:val="002415C2"/>
  </w:style>
  <w:style w:type="character" w:customStyle="1" w:styleId="BodyTextChar">
    <w:name w:val="Body Text Char"/>
    <w:basedOn w:val="DefaultParagraphFont"/>
    <w:link w:val="BodyText"/>
    <w:uiPriority w:val="99"/>
    <w:locked/>
    <w:rsid w:val="002415C2"/>
    <w:rPr>
      <w:b/>
      <w:bCs/>
      <w:sz w:val="24"/>
      <w:szCs w:val="24"/>
    </w:rPr>
  </w:style>
  <w:style w:type="character" w:customStyle="1" w:styleId="Heading1Char">
    <w:name w:val="Heading 1 Char"/>
    <w:basedOn w:val="DefaultParagraphFont"/>
    <w:link w:val="Heading1"/>
    <w:locked/>
    <w:rsid w:val="002415C2"/>
    <w:rPr>
      <w:b/>
      <w:bCs/>
      <w:sz w:val="24"/>
      <w:szCs w:val="24"/>
      <w:u w:val="single"/>
    </w:rPr>
  </w:style>
  <w:style w:type="character" w:customStyle="1" w:styleId="Heading2Char">
    <w:name w:val="Heading 2 Char"/>
    <w:basedOn w:val="DefaultParagraphFont"/>
    <w:link w:val="Heading2"/>
    <w:uiPriority w:val="99"/>
    <w:locked/>
    <w:rsid w:val="002415C2"/>
    <w:rPr>
      <w:b/>
      <w:bCs/>
      <w:sz w:val="24"/>
      <w:szCs w:val="24"/>
    </w:rPr>
  </w:style>
  <w:style w:type="character" w:customStyle="1" w:styleId="Heading3Char">
    <w:name w:val="Heading 3 Char"/>
    <w:basedOn w:val="DefaultParagraphFont"/>
    <w:link w:val="Heading3"/>
    <w:uiPriority w:val="99"/>
    <w:locked/>
    <w:rsid w:val="002415C2"/>
    <w:rPr>
      <w:sz w:val="24"/>
      <w:szCs w:val="24"/>
      <w:u w:val="single"/>
    </w:rPr>
  </w:style>
  <w:style w:type="character" w:customStyle="1" w:styleId="Heading4Char">
    <w:name w:val="Heading 4 Char"/>
    <w:basedOn w:val="DefaultParagraphFont"/>
    <w:link w:val="Heading4"/>
    <w:uiPriority w:val="99"/>
    <w:locked/>
    <w:rsid w:val="002415C2"/>
    <w:rPr>
      <w:b/>
      <w:sz w:val="24"/>
    </w:rPr>
  </w:style>
  <w:style w:type="character" w:customStyle="1" w:styleId="Heading6Char">
    <w:name w:val="Heading 6 Char"/>
    <w:basedOn w:val="DefaultParagraphFont"/>
    <w:link w:val="Heading6"/>
    <w:uiPriority w:val="99"/>
    <w:locked/>
    <w:rsid w:val="002415C2"/>
    <w:rPr>
      <w:bCs/>
      <w:i/>
      <w:iCs/>
      <w:sz w:val="24"/>
    </w:rPr>
  </w:style>
  <w:style w:type="character" w:customStyle="1" w:styleId="Heading8Char">
    <w:name w:val="Heading 8 Char"/>
    <w:basedOn w:val="DefaultParagraphFont"/>
    <w:link w:val="Heading8"/>
    <w:uiPriority w:val="99"/>
    <w:locked/>
    <w:rsid w:val="002415C2"/>
    <w:rPr>
      <w:b/>
      <w:bCs/>
      <w:sz w:val="24"/>
      <w:szCs w:val="24"/>
    </w:rPr>
  </w:style>
  <w:style w:type="paragraph" w:customStyle="1" w:styleId="Reporttitle">
    <w:name w:val="Report title"/>
    <w:basedOn w:val="AppendixTitle"/>
    <w:uiPriority w:val="99"/>
    <w:rsid w:val="002415C2"/>
  </w:style>
  <w:style w:type="paragraph" w:customStyle="1" w:styleId="AppendixTitle">
    <w:name w:val="Appendix Title"/>
    <w:basedOn w:val="Heading1"/>
    <w:link w:val="AppendixTitleChar"/>
    <w:rsid w:val="002415C2"/>
    <w:pPr>
      <w:pBdr>
        <w:bottom w:val="thinThickSmallGap" w:sz="24" w:space="1" w:color="auto"/>
      </w:pBdr>
      <w:tabs>
        <w:tab w:val="left" w:pos="540"/>
      </w:tabs>
      <w:spacing w:before="5000" w:after="120"/>
      <w:jc w:val="right"/>
    </w:pPr>
    <w:rPr>
      <w:rFonts w:ascii="Arial" w:hAnsi="Arial" w:cs="Arial"/>
      <w:bCs w:val="0"/>
      <w:sz w:val="40"/>
      <w:szCs w:val="28"/>
      <w:u w:val="none"/>
    </w:rPr>
  </w:style>
  <w:style w:type="character" w:customStyle="1" w:styleId="AppendixTitleChar">
    <w:name w:val="Appendix Title Char"/>
    <w:basedOn w:val="DefaultParagraphFont"/>
    <w:link w:val="AppendixTitle"/>
    <w:locked/>
    <w:rsid w:val="002415C2"/>
    <w:rPr>
      <w:rFonts w:ascii="Arial" w:hAnsi="Arial" w:cs="Arial"/>
      <w:b/>
      <w:sz w:val="40"/>
      <w:szCs w:val="28"/>
    </w:rPr>
  </w:style>
  <w:style w:type="character" w:customStyle="1" w:styleId="BalloonTextChar">
    <w:name w:val="Balloon Text Char"/>
    <w:basedOn w:val="DefaultParagraphFont"/>
    <w:link w:val="BalloonText"/>
    <w:uiPriority w:val="99"/>
    <w:semiHidden/>
    <w:locked/>
    <w:rsid w:val="002415C2"/>
    <w:rPr>
      <w:rFonts w:ascii="Tahoma" w:hAnsi="Tahoma" w:cs="Tahoma"/>
      <w:sz w:val="16"/>
      <w:szCs w:val="16"/>
    </w:rPr>
  </w:style>
  <w:style w:type="paragraph" w:customStyle="1" w:styleId="Bullet1">
    <w:name w:val="Bullet1"/>
    <w:basedOn w:val="Normal"/>
    <w:uiPriority w:val="99"/>
    <w:rsid w:val="002415C2"/>
    <w:pPr>
      <w:tabs>
        <w:tab w:val="num" w:pos="720"/>
      </w:tabs>
      <w:overflowPunct w:val="0"/>
      <w:autoSpaceDE w:val="0"/>
      <w:autoSpaceDN w:val="0"/>
      <w:adjustRightInd w:val="0"/>
      <w:spacing w:after="120"/>
      <w:ind w:left="1440" w:hanging="360"/>
      <w:textAlignment w:val="baseline"/>
    </w:pPr>
    <w:rPr>
      <w:szCs w:val="20"/>
    </w:rPr>
  </w:style>
  <w:style w:type="character" w:customStyle="1" w:styleId="5ensptotalChar">
    <w:name w:val="5 en sp (total) Char"/>
    <w:basedOn w:val="2enspsubgroup1Char"/>
    <w:link w:val="5ensptotal"/>
    <w:locked/>
    <w:rsid w:val="002415C2"/>
    <w:rPr>
      <w:rFonts w:ascii="Arial" w:hAnsi="Arial" w:cs="Arial"/>
      <w:kern w:val="2"/>
      <w:lang w:val="en-US" w:eastAsia="en-US" w:bidi="ar-SA"/>
    </w:rPr>
  </w:style>
  <w:style w:type="paragraph" w:customStyle="1" w:styleId="tabletitle-continued">
    <w:name w:val="table title - continued"/>
    <w:basedOn w:val="TableTitle0"/>
    <w:uiPriority w:val="99"/>
    <w:rsid w:val="002415C2"/>
  </w:style>
  <w:style w:type="paragraph" w:styleId="TOC1">
    <w:name w:val="toc 1"/>
    <w:basedOn w:val="Normal"/>
    <w:next w:val="Normal"/>
    <w:autoRedefine/>
    <w:uiPriority w:val="39"/>
    <w:qFormat/>
    <w:rsid w:val="002415C2"/>
    <w:pPr>
      <w:tabs>
        <w:tab w:val="right" w:leader="dot" w:pos="10224"/>
      </w:tabs>
      <w:spacing w:before="120" w:after="120" w:line="320" w:lineRule="atLeast"/>
      <w:ind w:left="360" w:right="778" w:hanging="360"/>
    </w:pPr>
    <w:rPr>
      <w:rFonts w:cs="Arial"/>
      <w:bCs/>
      <w:noProof/>
    </w:rPr>
  </w:style>
  <w:style w:type="paragraph" w:styleId="TOC2">
    <w:name w:val="toc 2"/>
    <w:basedOn w:val="Normal"/>
    <w:next w:val="Normal"/>
    <w:autoRedefine/>
    <w:uiPriority w:val="39"/>
    <w:qFormat/>
    <w:rsid w:val="002415C2"/>
    <w:pPr>
      <w:tabs>
        <w:tab w:val="right" w:leader="dot" w:pos="10224"/>
      </w:tabs>
      <w:spacing w:before="120" w:after="120"/>
      <w:ind w:left="720" w:right="778" w:hanging="360"/>
    </w:pPr>
    <w:rPr>
      <w:bCs/>
      <w:noProof/>
      <w:sz w:val="22"/>
      <w:szCs w:val="20"/>
    </w:rPr>
  </w:style>
  <w:style w:type="paragraph" w:styleId="TOC3">
    <w:name w:val="toc 3"/>
    <w:basedOn w:val="Normal"/>
    <w:next w:val="Normal"/>
    <w:autoRedefine/>
    <w:uiPriority w:val="39"/>
    <w:qFormat/>
    <w:rsid w:val="002415C2"/>
    <w:pPr>
      <w:tabs>
        <w:tab w:val="right" w:leader="dot" w:pos="10224"/>
      </w:tabs>
      <w:ind w:left="1080" w:hanging="360"/>
    </w:pPr>
    <w:rPr>
      <w:noProof/>
      <w:sz w:val="22"/>
      <w:szCs w:val="20"/>
    </w:rPr>
  </w:style>
  <w:style w:type="paragraph" w:styleId="TOC4">
    <w:name w:val="toc 4"/>
    <w:basedOn w:val="Normal"/>
    <w:next w:val="Normal"/>
    <w:autoRedefine/>
    <w:uiPriority w:val="99"/>
    <w:rsid w:val="002415C2"/>
    <w:pPr>
      <w:ind w:left="480"/>
    </w:pPr>
    <w:rPr>
      <w:sz w:val="20"/>
      <w:szCs w:val="20"/>
    </w:rPr>
  </w:style>
  <w:style w:type="paragraph" w:styleId="TOC5">
    <w:name w:val="toc 5"/>
    <w:basedOn w:val="Normal"/>
    <w:next w:val="Normal"/>
    <w:autoRedefine/>
    <w:uiPriority w:val="39"/>
    <w:rsid w:val="002415C2"/>
    <w:pPr>
      <w:tabs>
        <w:tab w:val="left" w:pos="1440"/>
        <w:tab w:val="right" w:leader="dot" w:pos="10224"/>
      </w:tabs>
      <w:spacing w:before="100" w:after="100"/>
      <w:ind w:left="1440" w:right="778" w:hanging="1080"/>
    </w:pPr>
    <w:rPr>
      <w:noProof/>
      <w:szCs w:val="20"/>
    </w:rPr>
  </w:style>
  <w:style w:type="paragraph" w:styleId="ListBullet2">
    <w:name w:val="List Bullet 2"/>
    <w:basedOn w:val="Normal"/>
    <w:uiPriority w:val="99"/>
    <w:rsid w:val="002415C2"/>
    <w:pPr>
      <w:tabs>
        <w:tab w:val="num" w:pos="1080"/>
      </w:tabs>
      <w:spacing w:before="120"/>
      <w:ind w:left="1080" w:hanging="360"/>
    </w:pPr>
    <w:rPr>
      <w:szCs w:val="20"/>
    </w:rPr>
  </w:style>
  <w:style w:type="paragraph" w:customStyle="1" w:styleId="Number1">
    <w:name w:val="Number1"/>
    <w:uiPriority w:val="99"/>
    <w:semiHidden/>
    <w:rsid w:val="002415C2"/>
    <w:pPr>
      <w:tabs>
        <w:tab w:val="num" w:pos="720"/>
        <w:tab w:val="num" w:pos="1080"/>
      </w:tabs>
      <w:spacing w:before="240"/>
      <w:ind w:left="1080" w:hanging="360"/>
    </w:pPr>
    <w:rPr>
      <w:sz w:val="24"/>
    </w:rPr>
  </w:style>
  <w:style w:type="paragraph" w:customStyle="1" w:styleId="Figuretitle">
    <w:name w:val="Figure title"/>
    <w:basedOn w:val="Normal"/>
    <w:autoRedefine/>
    <w:uiPriority w:val="99"/>
    <w:rsid w:val="002415C2"/>
    <w:pPr>
      <w:keepNext/>
      <w:spacing w:after="120"/>
      <w:ind w:left="1233" w:hanging="1233"/>
    </w:pPr>
    <w:rPr>
      <w:rFonts w:ascii="Arial" w:hAnsi="Arial" w:cs="Arial"/>
      <w:b/>
      <w:noProof/>
      <w:sz w:val="20"/>
      <w:szCs w:val="20"/>
    </w:rPr>
  </w:style>
  <w:style w:type="paragraph" w:customStyle="1" w:styleId="figurewobox">
    <w:name w:val="figure w/o box"/>
    <w:basedOn w:val="Normal"/>
    <w:uiPriority w:val="99"/>
    <w:rsid w:val="002415C2"/>
    <w:pPr>
      <w:jc w:val="center"/>
    </w:pPr>
    <w:rPr>
      <w:rFonts w:ascii="Arial" w:hAnsi="Arial"/>
      <w:sz w:val="20"/>
      <w:szCs w:val="20"/>
    </w:rPr>
  </w:style>
  <w:style w:type="table" w:customStyle="1" w:styleId="TableGrid1">
    <w:name w:val="Table Grid1"/>
    <w:basedOn w:val="TableNormal"/>
    <w:next w:val="TableGrid"/>
    <w:rsid w:val="002415C2"/>
    <w:pPr>
      <w:spacing w:before="40" w:after="40"/>
    </w:pPr>
    <w:rPr>
      <w:rFonts w:ascii="Arial" w:hAnsi="Arial"/>
    </w:rPr>
    <w:tblPr>
      <w:tblBorders>
        <w:top w:val="single" w:sz="12" w:space="0" w:color="auto"/>
        <w:bottom w:val="single" w:sz="12" w:space="0" w:color="auto"/>
      </w:tblBorders>
    </w:tblPr>
    <w:tcPr>
      <w:vAlign w:val="bottom"/>
    </w:tcPr>
    <w:tblStylePr w:type="firstRow">
      <w:pPr>
        <w:jc w:val="right"/>
      </w:pPr>
      <w:rPr>
        <w:rFonts w:cs="Times New Roman"/>
      </w:rPr>
      <w:tblPr/>
      <w:tcPr>
        <w:tcBorders>
          <w:bottom w:val="single" w:sz="6" w:space="0" w:color="auto"/>
        </w:tcBorders>
      </w:tcPr>
    </w:tblStylePr>
    <w:tblStylePr w:type="firstCol">
      <w:pPr>
        <w:ind w:leftChars="0" w:left="346" w:rightChars="0" w:right="0" w:firstLineChars="0" w:hanging="346"/>
        <w:jc w:val="left"/>
      </w:pPr>
      <w:rPr>
        <w:rFonts w:cs="Times New Roman"/>
      </w:rPr>
    </w:tblStylePr>
    <w:tblStylePr w:type="nwCell">
      <w:pPr>
        <w:jc w:val="left"/>
      </w:pPr>
      <w:rPr>
        <w:rFonts w:cs="Times New Roman"/>
      </w:rPr>
    </w:tblStylePr>
  </w:style>
  <w:style w:type="paragraph" w:customStyle="1" w:styleId="ESHeading2">
    <w:name w:val="ES Heading 2"/>
    <w:basedOn w:val="Heading2"/>
    <w:uiPriority w:val="99"/>
    <w:rsid w:val="002415C2"/>
    <w:pPr>
      <w:numPr>
        <w:ilvl w:val="1"/>
      </w:numPr>
      <w:tabs>
        <w:tab w:val="num" w:pos="990"/>
        <w:tab w:val="left" w:pos="1080"/>
      </w:tabs>
      <w:overflowPunct w:val="0"/>
      <w:autoSpaceDE w:val="0"/>
      <w:autoSpaceDN w:val="0"/>
      <w:adjustRightInd w:val="0"/>
      <w:spacing w:before="240" w:after="120" w:line="320" w:lineRule="atLeast"/>
      <w:ind w:left="990" w:hanging="360"/>
      <w:textAlignment w:val="baseline"/>
    </w:pPr>
    <w:rPr>
      <w:rFonts w:ascii="Arial" w:hAnsi="Arial" w:cs="Arial"/>
      <w:iCs/>
      <w:szCs w:val="28"/>
    </w:rPr>
  </w:style>
  <w:style w:type="character" w:customStyle="1" w:styleId="CommentSubjectChar">
    <w:name w:val="Comment Subject Char"/>
    <w:basedOn w:val="CommentTextChar"/>
    <w:link w:val="CommentSubject"/>
    <w:uiPriority w:val="99"/>
    <w:semiHidden/>
    <w:locked/>
    <w:rsid w:val="002415C2"/>
    <w:rPr>
      <w:b/>
      <w:bCs/>
    </w:rPr>
  </w:style>
  <w:style w:type="paragraph" w:customStyle="1" w:styleId="4enspsubgroup2">
    <w:name w:val="4 en sp (subgroup 2)"/>
    <w:basedOn w:val="2enspsubgroup1"/>
    <w:rsid w:val="002415C2"/>
    <w:pPr>
      <w:ind w:left="794" w:hanging="351"/>
    </w:pPr>
  </w:style>
  <w:style w:type="paragraph" w:customStyle="1" w:styleId="ESHeading3">
    <w:name w:val="ES Heading 3"/>
    <w:basedOn w:val="Heading3"/>
    <w:uiPriority w:val="99"/>
    <w:rsid w:val="002415C2"/>
    <w:pPr>
      <w:numPr>
        <w:ilvl w:val="2"/>
      </w:numPr>
      <w:tabs>
        <w:tab w:val="left" w:pos="1620"/>
      </w:tabs>
      <w:spacing w:before="240" w:after="120" w:line="320" w:lineRule="atLeast"/>
      <w:ind w:left="1627" w:hanging="547"/>
    </w:pPr>
    <w:rPr>
      <w:rFonts w:ascii="Arial" w:hAnsi="Arial" w:cs="Arial"/>
      <w:b/>
      <w:bCs/>
      <w:u w:val="none"/>
    </w:rPr>
  </w:style>
  <w:style w:type="paragraph" w:customStyle="1" w:styleId="ESHeading4">
    <w:name w:val="ES Heading 4"/>
    <w:basedOn w:val="Heading4"/>
    <w:uiPriority w:val="99"/>
    <w:rsid w:val="002415C2"/>
    <w:pPr>
      <w:spacing w:before="240" w:after="60"/>
      <w:ind w:left="720"/>
      <w:jc w:val="left"/>
    </w:pPr>
    <w:rPr>
      <w:rFonts w:ascii="Arial" w:hAnsi="Arial"/>
      <w:bCs/>
      <w:sz w:val="22"/>
      <w:szCs w:val="22"/>
    </w:rPr>
  </w:style>
  <w:style w:type="paragraph" w:customStyle="1" w:styleId="6enspitem">
    <w:name w:val="6 en sp (item)"/>
    <w:basedOn w:val="4enspsubgroup2"/>
    <w:uiPriority w:val="99"/>
    <w:rsid w:val="002415C2"/>
    <w:pPr>
      <w:ind w:left="1019"/>
    </w:pPr>
  </w:style>
  <w:style w:type="paragraph" w:customStyle="1" w:styleId="Title2">
    <w:name w:val="Title2"/>
    <w:basedOn w:val="Title"/>
    <w:uiPriority w:val="99"/>
    <w:rsid w:val="002415C2"/>
    <w:pPr>
      <w:keepNext/>
      <w:jc w:val="center"/>
    </w:pPr>
    <w:rPr>
      <w:sz w:val="24"/>
    </w:rPr>
  </w:style>
  <w:style w:type="paragraph" w:styleId="Title">
    <w:name w:val="Title"/>
    <w:basedOn w:val="TOCHeading"/>
    <w:link w:val="TitleChar"/>
    <w:uiPriority w:val="99"/>
    <w:qFormat/>
    <w:rsid w:val="002415C2"/>
    <w:pPr>
      <w:spacing w:before="480" w:after="240"/>
      <w:outlineLvl w:val="0"/>
    </w:pPr>
  </w:style>
  <w:style w:type="character" w:customStyle="1" w:styleId="TitleChar">
    <w:name w:val="Title Char"/>
    <w:basedOn w:val="DefaultParagraphFont"/>
    <w:link w:val="Title"/>
    <w:uiPriority w:val="99"/>
    <w:rsid w:val="002415C2"/>
    <w:rPr>
      <w:rFonts w:ascii="Arial" w:hAnsi="Arial" w:cs="Arial"/>
      <w:b/>
      <w:sz w:val="32"/>
    </w:rPr>
  </w:style>
  <w:style w:type="paragraph" w:styleId="TOCHeading">
    <w:name w:val="TOC Heading"/>
    <w:basedOn w:val="Heading1"/>
    <w:uiPriority w:val="39"/>
    <w:qFormat/>
    <w:rsid w:val="002415C2"/>
    <w:pPr>
      <w:keepNext w:val="0"/>
      <w:spacing w:after="360"/>
      <w:outlineLvl w:val="9"/>
    </w:pPr>
    <w:rPr>
      <w:rFonts w:ascii="Arial" w:hAnsi="Arial" w:cs="Arial"/>
      <w:bCs w:val="0"/>
      <w:sz w:val="32"/>
      <w:szCs w:val="20"/>
      <w:u w:val="none"/>
    </w:rPr>
  </w:style>
  <w:style w:type="paragraph" w:customStyle="1" w:styleId="NCESfootnoteCharCharChar">
    <w:name w:val="NCES footnote Char Char Char"/>
    <w:basedOn w:val="Normal"/>
    <w:uiPriority w:val="99"/>
    <w:rsid w:val="002415C2"/>
    <w:rPr>
      <w:rFonts w:ascii="Arial" w:hAnsi="Arial"/>
      <w:sz w:val="18"/>
      <w:szCs w:val="18"/>
    </w:rPr>
  </w:style>
  <w:style w:type="paragraph" w:customStyle="1" w:styleId="NCESfootnote">
    <w:name w:val="NCES footnote"/>
    <w:basedOn w:val="Normal"/>
    <w:uiPriority w:val="99"/>
    <w:rsid w:val="002415C2"/>
    <w:rPr>
      <w:rFonts w:ascii="Arial" w:hAnsi="Arial"/>
      <w:sz w:val="18"/>
      <w:szCs w:val="18"/>
    </w:rPr>
  </w:style>
  <w:style w:type="paragraph" w:customStyle="1" w:styleId="Tablenoteslast">
    <w:name w:val="Table notes last"/>
    <w:link w:val="TablenoteslastChar"/>
    <w:uiPriority w:val="99"/>
    <w:rsid w:val="002415C2"/>
    <w:pPr>
      <w:spacing w:after="240"/>
    </w:pPr>
    <w:rPr>
      <w:rFonts w:ascii="Arial" w:hAnsi="Arial"/>
      <w:noProof/>
      <w:sz w:val="18"/>
      <w:szCs w:val="18"/>
    </w:rPr>
  </w:style>
  <w:style w:type="character" w:customStyle="1" w:styleId="TablenoteslastChar">
    <w:name w:val="Table notes last Char"/>
    <w:basedOn w:val="DefaultParagraphFont"/>
    <w:link w:val="Tablenoteslast"/>
    <w:uiPriority w:val="99"/>
    <w:locked/>
    <w:rsid w:val="002415C2"/>
    <w:rPr>
      <w:rFonts w:ascii="Arial" w:hAnsi="Arial"/>
      <w:noProof/>
      <w:sz w:val="18"/>
      <w:szCs w:val="18"/>
    </w:rPr>
  </w:style>
  <w:style w:type="paragraph" w:styleId="DocumentMap">
    <w:name w:val="Document Map"/>
    <w:basedOn w:val="Normal"/>
    <w:link w:val="DocumentMapChar"/>
    <w:uiPriority w:val="99"/>
    <w:semiHidden/>
    <w:rsid w:val="002415C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2415C2"/>
    <w:rPr>
      <w:rFonts w:ascii="Tahoma" w:hAnsi="Tahoma" w:cs="Tahoma"/>
      <w:shd w:val="clear" w:color="auto" w:fill="000080"/>
    </w:rPr>
  </w:style>
  <w:style w:type="paragraph" w:customStyle="1" w:styleId="Biblio">
    <w:name w:val="Biblio"/>
    <w:basedOn w:val="Normal"/>
    <w:link w:val="BiblioChar"/>
    <w:rsid w:val="002415C2"/>
    <w:pPr>
      <w:keepLines/>
      <w:spacing w:after="240"/>
      <w:ind w:left="360" w:hanging="360"/>
    </w:pPr>
    <w:rPr>
      <w:kern w:val="2"/>
      <w:szCs w:val="20"/>
    </w:rPr>
  </w:style>
  <w:style w:type="character" w:customStyle="1" w:styleId="BiblioChar">
    <w:name w:val="Biblio Char"/>
    <w:basedOn w:val="DefaultParagraphFont"/>
    <w:link w:val="Biblio"/>
    <w:locked/>
    <w:rsid w:val="002415C2"/>
    <w:rPr>
      <w:kern w:val="2"/>
      <w:sz w:val="24"/>
    </w:rPr>
  </w:style>
  <w:style w:type="paragraph" w:customStyle="1" w:styleId="footnote">
    <w:name w:val="footnote"/>
    <w:basedOn w:val="Normal"/>
    <w:uiPriority w:val="99"/>
    <w:rsid w:val="002415C2"/>
    <w:rPr>
      <w:rFonts w:ascii="Arial" w:hAnsi="Arial"/>
      <w:sz w:val="18"/>
      <w:szCs w:val="20"/>
    </w:rPr>
  </w:style>
  <w:style w:type="paragraph" w:customStyle="1" w:styleId="Cov-Address">
    <w:name w:val="Cov-Address"/>
    <w:basedOn w:val="Normal"/>
    <w:uiPriority w:val="99"/>
    <w:rsid w:val="002415C2"/>
    <w:pPr>
      <w:jc w:val="right"/>
    </w:pPr>
    <w:rPr>
      <w:rFonts w:ascii="Arial" w:hAnsi="Arial"/>
      <w:szCs w:val="20"/>
    </w:rPr>
  </w:style>
  <w:style w:type="paragraph" w:customStyle="1" w:styleId="AppH2">
    <w:name w:val="App H2"/>
    <w:basedOn w:val="Heading2"/>
    <w:uiPriority w:val="99"/>
    <w:rsid w:val="002415C2"/>
    <w:pPr>
      <w:numPr>
        <w:ilvl w:val="1"/>
      </w:numPr>
      <w:tabs>
        <w:tab w:val="left" w:pos="720"/>
        <w:tab w:val="num" w:pos="990"/>
      </w:tabs>
      <w:overflowPunct w:val="0"/>
      <w:autoSpaceDE w:val="0"/>
      <w:autoSpaceDN w:val="0"/>
      <w:adjustRightInd w:val="0"/>
      <w:spacing w:before="240" w:after="120" w:line="320" w:lineRule="atLeast"/>
      <w:ind w:left="720" w:hanging="720"/>
      <w:textAlignment w:val="baseline"/>
    </w:pPr>
    <w:rPr>
      <w:rFonts w:ascii="Arial" w:hAnsi="Arial" w:cs="Arial"/>
      <w:iCs/>
      <w:szCs w:val="28"/>
    </w:rPr>
  </w:style>
  <w:style w:type="paragraph" w:customStyle="1" w:styleId="NCESevenfooter">
    <w:name w:val="NCES even footer"/>
    <w:basedOn w:val="NCESoddfooter"/>
    <w:link w:val="NCESevenfooterChar"/>
    <w:uiPriority w:val="99"/>
    <w:rsid w:val="002415C2"/>
    <w:pPr>
      <w:jc w:val="right"/>
    </w:pPr>
  </w:style>
  <w:style w:type="character" w:customStyle="1" w:styleId="NCESevenfooterChar">
    <w:name w:val="NCES even footer Char"/>
    <w:basedOn w:val="NCESoddfooterChar"/>
    <w:link w:val="NCESevenfooter"/>
    <w:uiPriority w:val="99"/>
    <w:locked/>
    <w:rsid w:val="002415C2"/>
    <w:rPr>
      <w:rFonts w:ascii="Arial" w:hAnsi="Arial"/>
      <w:smallCaps/>
      <w:sz w:val="18"/>
      <w:szCs w:val="22"/>
      <w:lang w:val="en-US" w:eastAsia="en-US" w:bidi="ar-SA"/>
    </w:rPr>
  </w:style>
  <w:style w:type="paragraph" w:customStyle="1" w:styleId="asource">
    <w:name w:val="asource"/>
    <w:basedOn w:val="Normal"/>
    <w:uiPriority w:val="99"/>
    <w:rsid w:val="002415C2"/>
    <w:rPr>
      <w:rFonts w:ascii="Arial" w:hAnsi="Arial"/>
      <w:sz w:val="18"/>
      <w:szCs w:val="18"/>
    </w:rPr>
  </w:style>
  <w:style w:type="paragraph" w:customStyle="1" w:styleId="Cov-Author">
    <w:name w:val="Cov-Author"/>
    <w:basedOn w:val="Normal"/>
    <w:uiPriority w:val="99"/>
    <w:rsid w:val="002415C2"/>
    <w:pPr>
      <w:jc w:val="right"/>
    </w:pPr>
    <w:rPr>
      <w:rFonts w:ascii="Arial Black" w:hAnsi="Arial Black"/>
      <w:szCs w:val="20"/>
    </w:rPr>
  </w:style>
  <w:style w:type="paragraph" w:customStyle="1" w:styleId="Cov-Date">
    <w:name w:val="Cov-Date"/>
    <w:basedOn w:val="Normal"/>
    <w:uiPriority w:val="99"/>
    <w:rsid w:val="002415C2"/>
    <w:pPr>
      <w:jc w:val="right"/>
    </w:pPr>
    <w:rPr>
      <w:rFonts w:ascii="Arial" w:hAnsi="Arial"/>
      <w:b/>
      <w:sz w:val="28"/>
      <w:szCs w:val="20"/>
    </w:rPr>
  </w:style>
  <w:style w:type="paragraph" w:customStyle="1" w:styleId="Cov-Disclaimer">
    <w:name w:val="Cov-Disclaimer"/>
    <w:basedOn w:val="Normal"/>
    <w:uiPriority w:val="99"/>
    <w:rsid w:val="002415C2"/>
    <w:pPr>
      <w:jc w:val="right"/>
    </w:pPr>
    <w:rPr>
      <w:rFonts w:ascii="Arial" w:hAnsi="Arial" w:cs="Arial"/>
      <w:sz w:val="18"/>
      <w:szCs w:val="18"/>
    </w:rPr>
  </w:style>
  <w:style w:type="paragraph" w:customStyle="1" w:styleId="Cov-Subtitle">
    <w:name w:val="Cov-Subtitle"/>
    <w:basedOn w:val="Normal"/>
    <w:uiPriority w:val="99"/>
    <w:rsid w:val="002415C2"/>
    <w:pPr>
      <w:jc w:val="right"/>
    </w:pPr>
    <w:rPr>
      <w:rFonts w:ascii="Arial Black" w:hAnsi="Arial Black"/>
      <w:sz w:val="28"/>
      <w:szCs w:val="20"/>
    </w:rPr>
  </w:style>
  <w:style w:type="paragraph" w:customStyle="1" w:styleId="Name">
    <w:name w:val="Name"/>
    <w:basedOn w:val="Tablenoteslast"/>
    <w:uiPriority w:val="99"/>
    <w:rsid w:val="002415C2"/>
    <w:rPr>
      <w:sz w:val="20"/>
    </w:rPr>
  </w:style>
  <w:style w:type="paragraph" w:styleId="Quote">
    <w:name w:val="Quote"/>
    <w:basedOn w:val="BodyText"/>
    <w:link w:val="QuoteChar"/>
    <w:uiPriority w:val="99"/>
    <w:qFormat/>
    <w:rsid w:val="002415C2"/>
    <w:pPr>
      <w:spacing w:before="120" w:after="120" w:line="320" w:lineRule="atLeast"/>
      <w:ind w:left="720" w:right="720"/>
      <w:jc w:val="left"/>
    </w:pPr>
    <w:rPr>
      <w:b w:val="0"/>
      <w:bCs w:val="0"/>
      <w:iCs/>
      <w:sz w:val="22"/>
    </w:rPr>
  </w:style>
  <w:style w:type="character" w:customStyle="1" w:styleId="QuoteChar">
    <w:name w:val="Quote Char"/>
    <w:basedOn w:val="DefaultParagraphFont"/>
    <w:link w:val="Quote"/>
    <w:uiPriority w:val="99"/>
    <w:rsid w:val="002415C2"/>
    <w:rPr>
      <w:iCs/>
      <w:sz w:val="22"/>
      <w:szCs w:val="24"/>
    </w:rPr>
  </w:style>
  <w:style w:type="paragraph" w:customStyle="1" w:styleId="Style1">
    <w:name w:val="Style1"/>
    <w:basedOn w:val="Bodytextnoindent"/>
    <w:uiPriority w:val="99"/>
    <w:rsid w:val="002415C2"/>
    <w:pPr>
      <w:spacing w:line="320" w:lineRule="atLeast"/>
    </w:pPr>
    <w:rPr>
      <w:sz w:val="20"/>
      <w:szCs w:val="16"/>
    </w:rPr>
  </w:style>
  <w:style w:type="paragraph" w:customStyle="1" w:styleId="Style2">
    <w:name w:val="Style2"/>
    <w:uiPriority w:val="99"/>
    <w:rsid w:val="002415C2"/>
    <w:pPr>
      <w:numPr>
        <w:numId w:val="6"/>
      </w:numPr>
      <w:tabs>
        <w:tab w:val="clear" w:pos="720"/>
      </w:tabs>
      <w:spacing w:after="120"/>
      <w:ind w:left="1440"/>
    </w:pPr>
    <w:rPr>
      <w:sz w:val="24"/>
    </w:rPr>
  </w:style>
  <w:style w:type="character" w:customStyle="1" w:styleId="BodyText2Char">
    <w:name w:val="Body Text 2 Char"/>
    <w:basedOn w:val="DefaultParagraphFont"/>
    <w:link w:val="BodyText2"/>
    <w:uiPriority w:val="99"/>
    <w:locked/>
    <w:rsid w:val="002415C2"/>
    <w:rPr>
      <w:color w:val="FF0000"/>
      <w:sz w:val="24"/>
      <w:szCs w:val="24"/>
    </w:rPr>
  </w:style>
  <w:style w:type="paragraph" w:customStyle="1" w:styleId="Exhibit">
    <w:name w:val="Exhibit"/>
    <w:basedOn w:val="Normal"/>
    <w:uiPriority w:val="99"/>
    <w:rsid w:val="002415C2"/>
    <w:pPr>
      <w:keepNext/>
      <w:widowControl w:val="0"/>
      <w:tabs>
        <w:tab w:val="left" w:pos="-1440"/>
        <w:tab w:val="left" w:pos="-720"/>
        <w:tab w:val="left" w:pos="0"/>
        <w:tab w:val="left" w:pos="432"/>
      </w:tabs>
      <w:spacing w:after="120"/>
      <w:ind w:left="1152" w:hanging="1152"/>
    </w:pPr>
    <w:rPr>
      <w:b/>
      <w:szCs w:val="20"/>
    </w:rPr>
  </w:style>
  <w:style w:type="paragraph" w:styleId="PlainText">
    <w:name w:val="Plain Text"/>
    <w:basedOn w:val="Normal"/>
    <w:link w:val="PlainTextChar"/>
    <w:uiPriority w:val="99"/>
    <w:rsid w:val="002415C2"/>
    <w:rPr>
      <w:rFonts w:ascii="Courier New" w:hAnsi="Courier New"/>
      <w:sz w:val="20"/>
      <w:szCs w:val="20"/>
    </w:rPr>
  </w:style>
  <w:style w:type="character" w:customStyle="1" w:styleId="PlainTextChar">
    <w:name w:val="Plain Text Char"/>
    <w:basedOn w:val="DefaultParagraphFont"/>
    <w:link w:val="PlainText"/>
    <w:uiPriority w:val="99"/>
    <w:rsid w:val="002415C2"/>
    <w:rPr>
      <w:rFonts w:ascii="Courier New" w:hAnsi="Courier New"/>
    </w:rPr>
  </w:style>
  <w:style w:type="paragraph" w:styleId="TOC6">
    <w:name w:val="toc 6"/>
    <w:basedOn w:val="Normal"/>
    <w:next w:val="Normal"/>
    <w:autoRedefine/>
    <w:uiPriority w:val="99"/>
    <w:semiHidden/>
    <w:rsid w:val="002415C2"/>
    <w:pPr>
      <w:ind w:left="960"/>
    </w:pPr>
    <w:rPr>
      <w:sz w:val="20"/>
      <w:szCs w:val="20"/>
    </w:rPr>
  </w:style>
  <w:style w:type="paragraph" w:styleId="TOC7">
    <w:name w:val="toc 7"/>
    <w:basedOn w:val="Normal"/>
    <w:next w:val="Normal"/>
    <w:autoRedefine/>
    <w:uiPriority w:val="99"/>
    <w:semiHidden/>
    <w:rsid w:val="002415C2"/>
    <w:pPr>
      <w:ind w:left="1200"/>
    </w:pPr>
    <w:rPr>
      <w:sz w:val="20"/>
      <w:szCs w:val="20"/>
    </w:rPr>
  </w:style>
  <w:style w:type="paragraph" w:styleId="TOC8">
    <w:name w:val="toc 8"/>
    <w:basedOn w:val="Normal"/>
    <w:next w:val="Normal"/>
    <w:autoRedefine/>
    <w:uiPriority w:val="99"/>
    <w:semiHidden/>
    <w:rsid w:val="002415C2"/>
    <w:pPr>
      <w:ind w:left="1440"/>
    </w:pPr>
    <w:rPr>
      <w:sz w:val="20"/>
      <w:szCs w:val="20"/>
    </w:rPr>
  </w:style>
  <w:style w:type="paragraph" w:styleId="TOC9">
    <w:name w:val="toc 9"/>
    <w:basedOn w:val="Normal"/>
    <w:next w:val="Normal"/>
    <w:autoRedefine/>
    <w:uiPriority w:val="99"/>
    <w:semiHidden/>
    <w:rsid w:val="002415C2"/>
    <w:pPr>
      <w:ind w:left="1680"/>
    </w:pPr>
    <w:rPr>
      <w:sz w:val="20"/>
      <w:szCs w:val="20"/>
    </w:rPr>
  </w:style>
  <w:style w:type="paragraph" w:styleId="Index1">
    <w:name w:val="index 1"/>
    <w:basedOn w:val="Normal"/>
    <w:next w:val="Normal"/>
    <w:autoRedefine/>
    <w:uiPriority w:val="99"/>
    <w:semiHidden/>
    <w:rsid w:val="002415C2"/>
    <w:pPr>
      <w:ind w:left="240" w:hanging="240"/>
    </w:pPr>
    <w:rPr>
      <w:sz w:val="18"/>
      <w:szCs w:val="20"/>
    </w:rPr>
  </w:style>
  <w:style w:type="paragraph" w:styleId="Index2">
    <w:name w:val="index 2"/>
    <w:basedOn w:val="Normal"/>
    <w:next w:val="Normal"/>
    <w:autoRedefine/>
    <w:uiPriority w:val="99"/>
    <w:semiHidden/>
    <w:rsid w:val="002415C2"/>
    <w:pPr>
      <w:ind w:left="480" w:hanging="240"/>
    </w:pPr>
    <w:rPr>
      <w:sz w:val="18"/>
      <w:szCs w:val="20"/>
    </w:rPr>
  </w:style>
  <w:style w:type="paragraph" w:styleId="Index3">
    <w:name w:val="index 3"/>
    <w:basedOn w:val="Normal"/>
    <w:next w:val="Normal"/>
    <w:autoRedefine/>
    <w:uiPriority w:val="99"/>
    <w:semiHidden/>
    <w:rsid w:val="002415C2"/>
    <w:pPr>
      <w:ind w:left="720" w:hanging="240"/>
    </w:pPr>
    <w:rPr>
      <w:sz w:val="18"/>
      <w:szCs w:val="20"/>
    </w:rPr>
  </w:style>
  <w:style w:type="paragraph" w:styleId="Index4">
    <w:name w:val="index 4"/>
    <w:basedOn w:val="Normal"/>
    <w:next w:val="Normal"/>
    <w:autoRedefine/>
    <w:uiPriority w:val="99"/>
    <w:semiHidden/>
    <w:rsid w:val="002415C2"/>
    <w:pPr>
      <w:ind w:left="960" w:hanging="240"/>
    </w:pPr>
    <w:rPr>
      <w:sz w:val="18"/>
      <w:szCs w:val="20"/>
    </w:rPr>
  </w:style>
  <w:style w:type="paragraph" w:styleId="Index5">
    <w:name w:val="index 5"/>
    <w:basedOn w:val="Normal"/>
    <w:next w:val="Normal"/>
    <w:autoRedefine/>
    <w:uiPriority w:val="99"/>
    <w:semiHidden/>
    <w:rsid w:val="002415C2"/>
    <w:pPr>
      <w:ind w:left="1200" w:hanging="240"/>
    </w:pPr>
    <w:rPr>
      <w:sz w:val="18"/>
      <w:szCs w:val="20"/>
    </w:rPr>
  </w:style>
  <w:style w:type="paragraph" w:styleId="Index6">
    <w:name w:val="index 6"/>
    <w:basedOn w:val="Normal"/>
    <w:next w:val="Normal"/>
    <w:autoRedefine/>
    <w:uiPriority w:val="99"/>
    <w:semiHidden/>
    <w:rsid w:val="002415C2"/>
    <w:pPr>
      <w:ind w:left="1440" w:hanging="240"/>
    </w:pPr>
    <w:rPr>
      <w:sz w:val="18"/>
      <w:szCs w:val="20"/>
    </w:rPr>
  </w:style>
  <w:style w:type="paragraph" w:styleId="Index7">
    <w:name w:val="index 7"/>
    <w:basedOn w:val="Normal"/>
    <w:next w:val="Normal"/>
    <w:autoRedefine/>
    <w:uiPriority w:val="99"/>
    <w:semiHidden/>
    <w:rsid w:val="002415C2"/>
    <w:pPr>
      <w:ind w:left="1680" w:hanging="240"/>
    </w:pPr>
    <w:rPr>
      <w:sz w:val="18"/>
      <w:szCs w:val="20"/>
    </w:rPr>
  </w:style>
  <w:style w:type="paragraph" w:styleId="Index8">
    <w:name w:val="index 8"/>
    <w:basedOn w:val="Normal"/>
    <w:next w:val="Normal"/>
    <w:autoRedefine/>
    <w:uiPriority w:val="99"/>
    <w:semiHidden/>
    <w:rsid w:val="002415C2"/>
    <w:pPr>
      <w:ind w:left="1920" w:hanging="240"/>
    </w:pPr>
    <w:rPr>
      <w:sz w:val="18"/>
      <w:szCs w:val="20"/>
    </w:rPr>
  </w:style>
  <w:style w:type="paragraph" w:styleId="Index9">
    <w:name w:val="index 9"/>
    <w:basedOn w:val="Normal"/>
    <w:next w:val="Normal"/>
    <w:autoRedefine/>
    <w:uiPriority w:val="99"/>
    <w:semiHidden/>
    <w:rsid w:val="002415C2"/>
    <w:pPr>
      <w:ind w:left="2160" w:hanging="240"/>
    </w:pPr>
    <w:rPr>
      <w:sz w:val="18"/>
      <w:szCs w:val="20"/>
    </w:rPr>
  </w:style>
  <w:style w:type="paragraph" w:styleId="IndexHeading">
    <w:name w:val="index heading"/>
    <w:basedOn w:val="Normal"/>
    <w:next w:val="Index1"/>
    <w:uiPriority w:val="99"/>
    <w:semiHidden/>
    <w:rsid w:val="002415C2"/>
    <w:pPr>
      <w:pBdr>
        <w:top w:val="single" w:sz="12" w:space="0" w:color="auto"/>
      </w:pBdr>
      <w:spacing w:before="360" w:after="240"/>
    </w:pPr>
    <w:rPr>
      <w:b/>
      <w:i/>
      <w:sz w:val="26"/>
      <w:szCs w:val="20"/>
    </w:rPr>
  </w:style>
  <w:style w:type="paragraph" w:styleId="Subtitle">
    <w:name w:val="Subtitle"/>
    <w:basedOn w:val="Normal"/>
    <w:link w:val="SubtitleChar"/>
    <w:uiPriority w:val="99"/>
    <w:qFormat/>
    <w:rsid w:val="002415C2"/>
    <w:pPr>
      <w:jc w:val="center"/>
    </w:pPr>
    <w:rPr>
      <w:b/>
      <w:sz w:val="20"/>
      <w:szCs w:val="20"/>
    </w:rPr>
  </w:style>
  <w:style w:type="character" w:customStyle="1" w:styleId="SubtitleChar">
    <w:name w:val="Subtitle Char"/>
    <w:basedOn w:val="DefaultParagraphFont"/>
    <w:link w:val="Subtitle"/>
    <w:uiPriority w:val="99"/>
    <w:rsid w:val="002415C2"/>
    <w:rPr>
      <w:b/>
    </w:rPr>
  </w:style>
  <w:style w:type="character" w:customStyle="1" w:styleId="Hd04run-in">
    <w:name w:val="Hd04 run-in"/>
    <w:uiPriority w:val="99"/>
    <w:rsid w:val="002415C2"/>
    <w:rPr>
      <w:rFonts w:ascii="Arial" w:hAnsi="Arial"/>
      <w:b/>
      <w:i/>
    </w:rPr>
  </w:style>
  <w:style w:type="paragraph" w:styleId="BlockText">
    <w:name w:val="Block Text"/>
    <w:basedOn w:val="Normal"/>
    <w:uiPriority w:val="99"/>
    <w:rsid w:val="002415C2"/>
    <w:pPr>
      <w:spacing w:before="120"/>
      <w:ind w:left="720" w:right="720"/>
    </w:pPr>
    <w:rPr>
      <w:szCs w:val="20"/>
    </w:rPr>
  </w:style>
  <w:style w:type="paragraph" w:customStyle="1" w:styleId="a">
    <w:name w:val="_"/>
    <w:basedOn w:val="Normal"/>
    <w:uiPriority w:val="99"/>
    <w:rsid w:val="002415C2"/>
    <w:pPr>
      <w:widowControl w:val="0"/>
      <w:ind w:left="1440" w:hanging="720"/>
    </w:pPr>
    <w:rPr>
      <w:szCs w:val="20"/>
    </w:rPr>
  </w:style>
  <w:style w:type="paragraph" w:customStyle="1" w:styleId="Tabs">
    <w:name w:val="Tabs"/>
    <w:uiPriority w:val="99"/>
    <w:rsid w:val="002415C2"/>
    <w:pPr>
      <w:widowControl w:val="0"/>
      <w:tabs>
        <w:tab w:val="left" w:pos="-144"/>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uppressAutoHyphens/>
    </w:pPr>
    <w:rPr>
      <w:rFonts w:ascii="Haettenschweiler" w:hAnsi="Haettenschweiler"/>
    </w:rPr>
  </w:style>
  <w:style w:type="paragraph" w:customStyle="1" w:styleId="Numbers">
    <w:name w:val="Numbers"/>
    <w:basedOn w:val="Normal"/>
    <w:uiPriority w:val="99"/>
    <w:rsid w:val="002415C2"/>
    <w:pPr>
      <w:spacing w:before="120" w:after="120"/>
    </w:pPr>
    <w:rPr>
      <w:szCs w:val="20"/>
    </w:rPr>
  </w:style>
  <w:style w:type="paragraph" w:customStyle="1" w:styleId="Document1">
    <w:name w:val="Document 1"/>
    <w:uiPriority w:val="99"/>
    <w:rsid w:val="002415C2"/>
    <w:pPr>
      <w:keepNext/>
      <w:keepLines/>
      <w:tabs>
        <w:tab w:val="left" w:pos="-720"/>
      </w:tabs>
      <w:suppressAutoHyphens/>
    </w:pPr>
    <w:rPr>
      <w:sz w:val="24"/>
    </w:rPr>
  </w:style>
  <w:style w:type="paragraph" w:styleId="List">
    <w:name w:val="List"/>
    <w:basedOn w:val="Normal"/>
    <w:uiPriority w:val="99"/>
    <w:rsid w:val="002415C2"/>
    <w:pPr>
      <w:ind w:left="360" w:hanging="360"/>
    </w:pPr>
    <w:rPr>
      <w:szCs w:val="20"/>
    </w:rPr>
  </w:style>
  <w:style w:type="paragraph" w:styleId="List2">
    <w:name w:val="List 2"/>
    <w:basedOn w:val="Normal"/>
    <w:uiPriority w:val="99"/>
    <w:rsid w:val="002415C2"/>
    <w:pPr>
      <w:ind w:left="720" w:hanging="360"/>
    </w:pPr>
    <w:rPr>
      <w:szCs w:val="20"/>
    </w:rPr>
  </w:style>
  <w:style w:type="paragraph" w:customStyle="1" w:styleId="QuickA">
    <w:name w:val="Quick A."/>
    <w:basedOn w:val="Normal"/>
    <w:uiPriority w:val="99"/>
    <w:rsid w:val="002415C2"/>
    <w:pPr>
      <w:widowControl w:val="0"/>
      <w:tabs>
        <w:tab w:val="num" w:pos="720"/>
        <w:tab w:val="num" w:pos="1080"/>
      </w:tabs>
      <w:ind w:left="223" w:hanging="223"/>
    </w:pPr>
    <w:rPr>
      <w:szCs w:val="20"/>
    </w:rPr>
  </w:style>
  <w:style w:type="paragraph" w:customStyle="1" w:styleId="Quick1">
    <w:name w:val="Quick 1."/>
    <w:basedOn w:val="Normal"/>
    <w:uiPriority w:val="99"/>
    <w:rsid w:val="002415C2"/>
    <w:pPr>
      <w:widowControl w:val="0"/>
      <w:tabs>
        <w:tab w:val="num" w:pos="720"/>
        <w:tab w:val="num" w:pos="1080"/>
      </w:tabs>
      <w:ind w:left="550" w:hanging="327"/>
    </w:pPr>
    <w:rPr>
      <w:szCs w:val="20"/>
    </w:rPr>
  </w:style>
  <w:style w:type="paragraph" w:customStyle="1" w:styleId="Quick">
    <w:name w:val="Quick ­"/>
    <w:basedOn w:val="Normal"/>
    <w:uiPriority w:val="99"/>
    <w:rsid w:val="002415C2"/>
    <w:pPr>
      <w:widowControl w:val="0"/>
      <w:ind w:left="223" w:hanging="203"/>
    </w:pPr>
    <w:rPr>
      <w:szCs w:val="20"/>
    </w:rPr>
  </w:style>
  <w:style w:type="paragraph" w:customStyle="1" w:styleId="bullets">
    <w:name w:val="bullets"/>
    <w:basedOn w:val="Normal"/>
    <w:rsid w:val="002415C2"/>
    <w:pPr>
      <w:tabs>
        <w:tab w:val="num" w:pos="1080"/>
      </w:tabs>
      <w:spacing w:after="60"/>
      <w:ind w:left="1080" w:hanging="360"/>
    </w:pPr>
    <w:rPr>
      <w:szCs w:val="20"/>
    </w:rPr>
  </w:style>
  <w:style w:type="paragraph" w:customStyle="1" w:styleId="a2colbul">
    <w:name w:val="a2col_bul"/>
    <w:basedOn w:val="bullets"/>
    <w:uiPriority w:val="99"/>
    <w:rsid w:val="002415C2"/>
    <w:pPr>
      <w:ind w:left="342"/>
    </w:pPr>
  </w:style>
  <w:style w:type="paragraph" w:customStyle="1" w:styleId="aft-12-0">
    <w:name w:val="aft-12-0"/>
    <w:basedOn w:val="Normal"/>
    <w:uiPriority w:val="99"/>
    <w:rsid w:val="002415C2"/>
    <w:pPr>
      <w:spacing w:before="240" w:after="240"/>
    </w:pPr>
    <w:rPr>
      <w:szCs w:val="20"/>
    </w:rPr>
  </w:style>
  <w:style w:type="paragraph" w:customStyle="1" w:styleId="aft-12">
    <w:name w:val="aft-12"/>
    <w:basedOn w:val="Normal"/>
    <w:uiPriority w:val="99"/>
    <w:rsid w:val="002415C2"/>
    <w:pPr>
      <w:spacing w:before="240" w:after="240"/>
      <w:ind w:firstLine="720"/>
    </w:pPr>
    <w:rPr>
      <w:szCs w:val="20"/>
    </w:rPr>
  </w:style>
  <w:style w:type="paragraph" w:customStyle="1" w:styleId="ExhibitTitle">
    <w:name w:val="Exhibit Title"/>
    <w:link w:val="ExhibitTitleChar"/>
    <w:rsid w:val="002415C2"/>
    <w:pPr>
      <w:keepNext/>
      <w:keepLines/>
      <w:spacing w:after="60"/>
      <w:ind w:left="1080" w:hanging="1080"/>
    </w:pPr>
    <w:rPr>
      <w:rFonts w:ascii="Arial" w:hAnsi="Arial"/>
      <w:b/>
    </w:rPr>
  </w:style>
  <w:style w:type="paragraph" w:customStyle="1" w:styleId="aboxtxt">
    <w:name w:val="abox_txt"/>
    <w:basedOn w:val="Normal"/>
    <w:uiPriority w:val="99"/>
    <w:rsid w:val="002415C2"/>
    <w:pPr>
      <w:spacing w:after="120"/>
    </w:pPr>
    <w:rPr>
      <w:rFonts w:ascii="Arial" w:hAnsi="Arial"/>
      <w:sz w:val="20"/>
      <w:szCs w:val="20"/>
    </w:rPr>
  </w:style>
  <w:style w:type="paragraph" w:customStyle="1" w:styleId="NPSASTbltext">
    <w:name w:val="NPSAS Tbl text"/>
    <w:uiPriority w:val="99"/>
    <w:rsid w:val="002415C2"/>
    <w:pPr>
      <w:spacing w:before="20" w:after="20"/>
    </w:pPr>
    <w:rPr>
      <w:color w:val="000000"/>
    </w:rPr>
  </w:style>
  <w:style w:type="paragraph" w:customStyle="1" w:styleId="Blockedquote">
    <w:name w:val="Blocked quote"/>
    <w:basedOn w:val="BodyText"/>
    <w:link w:val="BlockedquoteChar"/>
    <w:uiPriority w:val="99"/>
    <w:rsid w:val="002415C2"/>
    <w:pPr>
      <w:spacing w:before="120" w:after="120" w:line="320" w:lineRule="atLeast"/>
      <w:ind w:left="720" w:right="720"/>
      <w:jc w:val="left"/>
    </w:pPr>
    <w:rPr>
      <w:b w:val="0"/>
      <w:bCs w:val="0"/>
      <w:i/>
      <w:iCs/>
    </w:rPr>
  </w:style>
  <w:style w:type="character" w:customStyle="1" w:styleId="BlockedquoteChar">
    <w:name w:val="Blocked quote Char"/>
    <w:basedOn w:val="BodyTextChar"/>
    <w:link w:val="Blockedquote"/>
    <w:uiPriority w:val="99"/>
    <w:locked/>
    <w:rsid w:val="002415C2"/>
    <w:rPr>
      <w:b w:val="0"/>
      <w:bCs w:val="0"/>
      <w:i/>
      <w:iCs/>
      <w:sz w:val="24"/>
      <w:szCs w:val="24"/>
    </w:rPr>
  </w:style>
  <w:style w:type="paragraph" w:customStyle="1" w:styleId="Table2">
    <w:name w:val="Table 2"/>
    <w:basedOn w:val="Tabletext"/>
    <w:uiPriority w:val="99"/>
    <w:rsid w:val="002415C2"/>
  </w:style>
  <w:style w:type="paragraph" w:customStyle="1" w:styleId="BodyText21">
    <w:name w:val="Body Text 21"/>
    <w:basedOn w:val="Normal"/>
    <w:uiPriority w:val="99"/>
    <w:rsid w:val="002415C2"/>
    <w:pPr>
      <w:spacing w:before="120" w:after="120"/>
    </w:pPr>
    <w:rPr>
      <w:sz w:val="22"/>
      <w:szCs w:val="22"/>
    </w:rPr>
  </w:style>
  <w:style w:type="paragraph" w:customStyle="1" w:styleId="AppH3">
    <w:name w:val="App H3"/>
    <w:basedOn w:val="Heading3"/>
    <w:uiPriority w:val="99"/>
    <w:rsid w:val="002415C2"/>
    <w:pPr>
      <w:numPr>
        <w:ilvl w:val="2"/>
      </w:numPr>
      <w:spacing w:before="240" w:after="120" w:line="320" w:lineRule="atLeast"/>
      <w:ind w:left="720" w:hanging="720"/>
    </w:pPr>
    <w:rPr>
      <w:rFonts w:ascii="Arial" w:hAnsi="Arial" w:cs="Arial"/>
      <w:b/>
      <w:bCs/>
      <w:u w:val="none"/>
    </w:rPr>
  </w:style>
  <w:style w:type="paragraph" w:customStyle="1" w:styleId="Apptabletitle">
    <w:name w:val="App table title"/>
    <w:basedOn w:val="TableTitle0"/>
    <w:uiPriority w:val="99"/>
    <w:rsid w:val="002415C2"/>
  </w:style>
  <w:style w:type="paragraph" w:customStyle="1" w:styleId="equation">
    <w:name w:val="equation"/>
    <w:basedOn w:val="BlockText"/>
    <w:uiPriority w:val="99"/>
    <w:rsid w:val="002415C2"/>
    <w:pPr>
      <w:spacing w:before="200"/>
      <w:ind w:left="1440" w:right="0"/>
    </w:pPr>
  </w:style>
  <w:style w:type="character" w:customStyle="1" w:styleId="footer1">
    <w:name w:val="footer1"/>
    <w:basedOn w:val="DefaultParagraphFont"/>
    <w:uiPriority w:val="99"/>
    <w:rsid w:val="002415C2"/>
    <w:rPr>
      <w:rFonts w:ascii="Verdana" w:hAnsi="Verdana" w:cs="Times New Roman"/>
      <w:color w:val="auto"/>
      <w:sz w:val="15"/>
      <w:szCs w:val="15"/>
    </w:rPr>
  </w:style>
  <w:style w:type="character" w:customStyle="1" w:styleId="BodyTextIndentChar">
    <w:name w:val="Body Text Indent Char"/>
    <w:basedOn w:val="DefaultParagraphFont"/>
    <w:link w:val="BodyTextIndent"/>
    <w:uiPriority w:val="99"/>
    <w:locked/>
    <w:rsid w:val="002415C2"/>
    <w:rPr>
      <w:sz w:val="24"/>
      <w:szCs w:val="24"/>
    </w:rPr>
  </w:style>
  <w:style w:type="character" w:customStyle="1" w:styleId="BodyText3Char">
    <w:name w:val="Body Text 3 Char"/>
    <w:basedOn w:val="DefaultParagraphFont"/>
    <w:link w:val="BodyText3"/>
    <w:uiPriority w:val="99"/>
    <w:locked/>
    <w:rsid w:val="002415C2"/>
    <w:rPr>
      <w:rFonts w:ascii="Times" w:hAnsi="Times"/>
      <w:sz w:val="28"/>
    </w:rPr>
  </w:style>
  <w:style w:type="paragraph" w:customStyle="1" w:styleId="QuickS">
    <w:name w:val="Quick S"/>
    <w:uiPriority w:val="99"/>
    <w:rsid w:val="002415C2"/>
    <w:pPr>
      <w:widowControl w:val="0"/>
      <w:overflowPunct w:val="0"/>
      <w:autoSpaceDE w:val="0"/>
      <w:autoSpaceDN w:val="0"/>
      <w:adjustRightInd w:val="0"/>
      <w:ind w:left="-1440"/>
      <w:jc w:val="both"/>
      <w:textAlignment w:val="baseline"/>
    </w:pPr>
    <w:rPr>
      <w:sz w:val="24"/>
      <w:szCs w:val="24"/>
    </w:rPr>
  </w:style>
  <w:style w:type="paragraph" w:customStyle="1" w:styleId="Normaltext">
    <w:name w:val="Normal text"/>
    <w:basedOn w:val="Normal"/>
    <w:link w:val="NormaltextChar"/>
    <w:uiPriority w:val="99"/>
    <w:rsid w:val="002415C2"/>
    <w:pPr>
      <w:spacing w:before="240"/>
      <w:ind w:firstLine="720"/>
    </w:pPr>
    <w:rPr>
      <w:szCs w:val="20"/>
    </w:rPr>
  </w:style>
  <w:style w:type="character" w:customStyle="1" w:styleId="NormaltextChar">
    <w:name w:val="Normal text Char"/>
    <w:basedOn w:val="DefaultParagraphFont"/>
    <w:link w:val="Normaltext"/>
    <w:uiPriority w:val="99"/>
    <w:locked/>
    <w:rsid w:val="002415C2"/>
    <w:rPr>
      <w:sz w:val="24"/>
    </w:rPr>
  </w:style>
  <w:style w:type="paragraph" w:customStyle="1" w:styleId="tocpagehead">
    <w:name w:val="toc page head"/>
    <w:uiPriority w:val="99"/>
    <w:rsid w:val="002415C2"/>
    <w:pPr>
      <w:tabs>
        <w:tab w:val="right" w:pos="9360"/>
      </w:tabs>
      <w:jc w:val="both"/>
    </w:pPr>
    <w:rPr>
      <w:b/>
      <w:bCs/>
      <w:noProof/>
      <w:sz w:val="22"/>
      <w:u w:val="words"/>
    </w:rPr>
  </w:style>
  <w:style w:type="paragraph" w:customStyle="1" w:styleId="bodytext-db">
    <w:name w:val="body text-db"/>
    <w:basedOn w:val="Normal"/>
    <w:link w:val="bodytext-dbChar"/>
    <w:rsid w:val="002415C2"/>
    <w:pPr>
      <w:spacing w:after="240"/>
      <w:ind w:firstLine="360"/>
    </w:pPr>
    <w:rPr>
      <w:sz w:val="22"/>
      <w:szCs w:val="20"/>
    </w:rPr>
  </w:style>
  <w:style w:type="character" w:customStyle="1" w:styleId="bodytext-dbChar">
    <w:name w:val="body text-db Char"/>
    <w:basedOn w:val="DefaultParagraphFont"/>
    <w:link w:val="bodytext-db"/>
    <w:locked/>
    <w:rsid w:val="002415C2"/>
    <w:rPr>
      <w:sz w:val="22"/>
    </w:rPr>
  </w:style>
  <w:style w:type="paragraph" w:customStyle="1" w:styleId="bodytext-proposal">
    <w:name w:val="body text - proposal"/>
    <w:basedOn w:val="Normal"/>
    <w:uiPriority w:val="99"/>
    <w:rsid w:val="002415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ind w:firstLine="720"/>
    </w:pPr>
    <w:rPr>
      <w:rFonts w:cs="Arial"/>
    </w:rPr>
  </w:style>
  <w:style w:type="paragraph" w:customStyle="1" w:styleId="bulletround-proposaltext">
    <w:name w:val="bullet round - proposal text"/>
    <w:basedOn w:val="bulletround"/>
    <w:uiPriority w:val="99"/>
    <w:rsid w:val="002415C2"/>
    <w:pPr>
      <w:tabs>
        <w:tab w:val="num" w:pos="1080"/>
      </w:tabs>
      <w:ind w:left="1080" w:hanging="360"/>
    </w:pPr>
    <w:rPr>
      <w:kern w:val="2"/>
      <w:szCs w:val="22"/>
    </w:rPr>
  </w:style>
  <w:style w:type="paragraph" w:customStyle="1" w:styleId="text">
    <w:name w:val="text"/>
    <w:basedOn w:val="Normal"/>
    <w:uiPriority w:val="99"/>
    <w:rsid w:val="002415C2"/>
    <w:pPr>
      <w:spacing w:before="120" w:after="120"/>
    </w:pPr>
    <w:rPr>
      <w:sz w:val="20"/>
    </w:rPr>
  </w:style>
  <w:style w:type="paragraph" w:customStyle="1" w:styleId="arialtitle">
    <w:name w:val="arial title"/>
    <w:basedOn w:val="Normal"/>
    <w:uiPriority w:val="99"/>
    <w:rsid w:val="002415C2"/>
    <w:pPr>
      <w:keepNext/>
      <w:spacing w:before="240"/>
    </w:pPr>
    <w:rPr>
      <w:rFonts w:ascii="Arial" w:hAnsi="Arial"/>
      <w:b/>
      <w:sz w:val="22"/>
    </w:rPr>
  </w:style>
  <w:style w:type="paragraph" w:customStyle="1" w:styleId="1">
    <w:name w:val="1"/>
    <w:aliases w:val="2,3"/>
    <w:basedOn w:val="Normal"/>
    <w:uiPriority w:val="99"/>
    <w:rsid w:val="002415C2"/>
    <w:pPr>
      <w:widowControl w:val="0"/>
      <w:ind w:left="1440" w:hanging="720"/>
    </w:pPr>
    <w:rPr>
      <w:szCs w:val="20"/>
    </w:rPr>
  </w:style>
  <w:style w:type="paragraph" w:customStyle="1" w:styleId="Style">
    <w:name w:val="Style"/>
    <w:uiPriority w:val="99"/>
    <w:rsid w:val="002415C2"/>
    <w:pPr>
      <w:widowControl w:val="0"/>
      <w:autoSpaceDE w:val="0"/>
      <w:autoSpaceDN w:val="0"/>
      <w:adjustRightInd w:val="0"/>
    </w:pPr>
    <w:rPr>
      <w:rFonts w:ascii="Arial" w:hAnsi="Arial" w:cs="Arial"/>
      <w:sz w:val="24"/>
      <w:szCs w:val="24"/>
    </w:rPr>
  </w:style>
  <w:style w:type="paragraph" w:styleId="HTMLPreformatted">
    <w:name w:val="HTML Preformatted"/>
    <w:basedOn w:val="Normal"/>
    <w:link w:val="HTMLPreformattedChar"/>
    <w:uiPriority w:val="99"/>
    <w:rsid w:val="002415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uiPriority w:val="99"/>
    <w:rsid w:val="002415C2"/>
    <w:rPr>
      <w:rFonts w:ascii="Arial Unicode MS" w:eastAsia="Arial Unicode MS" w:hAnsi="Arial Unicode MS" w:cs="Arial Unicode MS"/>
    </w:rPr>
  </w:style>
  <w:style w:type="paragraph" w:customStyle="1" w:styleId="ESHeading1">
    <w:name w:val="ES Heading 1"/>
    <w:basedOn w:val="Heading1"/>
    <w:uiPriority w:val="99"/>
    <w:rsid w:val="002415C2"/>
    <w:pPr>
      <w:tabs>
        <w:tab w:val="left" w:pos="540"/>
      </w:tabs>
      <w:spacing w:after="120"/>
      <w:ind w:left="540" w:hanging="540"/>
    </w:pPr>
    <w:rPr>
      <w:rFonts w:ascii="Arial" w:hAnsi="Arial" w:cs="Arial"/>
      <w:bCs w:val="0"/>
      <w:sz w:val="28"/>
      <w:szCs w:val="20"/>
      <w:u w:val="none"/>
    </w:rPr>
  </w:style>
  <w:style w:type="paragraph" w:styleId="TableofFigures">
    <w:name w:val="table of figures"/>
    <w:basedOn w:val="Normal"/>
    <w:next w:val="Normal"/>
    <w:uiPriority w:val="99"/>
    <w:rsid w:val="002415C2"/>
    <w:pPr>
      <w:tabs>
        <w:tab w:val="left" w:pos="720"/>
        <w:tab w:val="right" w:leader="dot" w:pos="9350"/>
      </w:tabs>
      <w:spacing w:after="120"/>
      <w:ind w:left="720" w:right="720" w:hanging="720"/>
    </w:pPr>
    <w:rPr>
      <w:noProof/>
      <w:szCs w:val="20"/>
    </w:rPr>
  </w:style>
  <w:style w:type="character" w:styleId="SubtleEmphasis">
    <w:name w:val="Subtle Emphasis"/>
    <w:basedOn w:val="DefaultParagraphFont"/>
    <w:uiPriority w:val="99"/>
    <w:qFormat/>
    <w:rsid w:val="002415C2"/>
    <w:rPr>
      <w:rFonts w:cs="Times New Roman"/>
      <w:i/>
      <w:iCs/>
      <w:color w:val="808080"/>
    </w:rPr>
  </w:style>
  <w:style w:type="paragraph" w:customStyle="1" w:styleId="BodyText20">
    <w:name w:val="Body Text2"/>
    <w:basedOn w:val="Normal"/>
    <w:uiPriority w:val="99"/>
    <w:rsid w:val="002415C2"/>
    <w:pPr>
      <w:spacing w:after="240" w:line="320" w:lineRule="exact"/>
      <w:ind w:firstLine="720"/>
    </w:pPr>
    <w:rPr>
      <w:sz w:val="22"/>
      <w:szCs w:val="20"/>
    </w:rPr>
  </w:style>
  <w:style w:type="paragraph" w:customStyle="1" w:styleId="Bullet-nosymbol">
    <w:name w:val="Bullet - no symbol"/>
    <w:basedOn w:val="bulletround"/>
    <w:uiPriority w:val="99"/>
    <w:rsid w:val="002415C2"/>
    <w:pPr>
      <w:ind w:left="1530" w:hanging="810"/>
    </w:pPr>
    <w:rPr>
      <w:szCs w:val="20"/>
    </w:rPr>
  </w:style>
  <w:style w:type="paragraph" w:customStyle="1" w:styleId="bodytext0">
    <w:name w:val="bodytext"/>
    <w:basedOn w:val="Normal"/>
    <w:uiPriority w:val="99"/>
    <w:rsid w:val="002415C2"/>
    <w:pPr>
      <w:spacing w:after="240" w:line="320" w:lineRule="atLeast"/>
      <w:ind w:firstLine="720"/>
    </w:pPr>
    <w:rPr>
      <w:sz w:val="22"/>
      <w:szCs w:val="22"/>
    </w:rPr>
  </w:style>
  <w:style w:type="paragraph" w:styleId="ListBullet3">
    <w:name w:val="List Bullet 3"/>
    <w:basedOn w:val="Normal"/>
    <w:uiPriority w:val="99"/>
    <w:semiHidden/>
    <w:unhideWhenUsed/>
    <w:rsid w:val="002415C2"/>
    <w:pPr>
      <w:numPr>
        <w:numId w:val="7"/>
      </w:numPr>
      <w:contextualSpacing/>
    </w:pPr>
    <w:rPr>
      <w:szCs w:val="20"/>
    </w:rPr>
  </w:style>
  <w:style w:type="paragraph" w:customStyle="1" w:styleId="paragraphtext">
    <w:name w:val="paragraph text"/>
    <w:aliases w:val="pt"/>
    <w:basedOn w:val="Normal"/>
    <w:rsid w:val="002415C2"/>
    <w:pPr>
      <w:numPr>
        <w:numId w:val="9"/>
      </w:numPr>
      <w:tabs>
        <w:tab w:val="clear" w:pos="360"/>
      </w:tabs>
      <w:spacing w:after="240" w:line="340" w:lineRule="atLeast"/>
      <w:ind w:left="0" w:firstLine="547"/>
    </w:pPr>
    <w:rPr>
      <w:szCs w:val="20"/>
    </w:rPr>
  </w:style>
  <w:style w:type="paragraph" w:customStyle="1" w:styleId="bulletlist2">
    <w:name w:val="bullet list2"/>
    <w:aliases w:val="b2"/>
    <w:basedOn w:val="Normal"/>
    <w:rsid w:val="002415C2"/>
    <w:pPr>
      <w:tabs>
        <w:tab w:val="num" w:pos="720"/>
        <w:tab w:val="left" w:pos="800"/>
      </w:tabs>
      <w:spacing w:after="120"/>
      <w:ind w:left="1339" w:hanging="360"/>
    </w:pPr>
    <w:rPr>
      <w:szCs w:val="20"/>
    </w:rPr>
  </w:style>
  <w:style w:type="paragraph" w:customStyle="1" w:styleId="bulletlist1">
    <w:name w:val="bullet list1"/>
    <w:aliases w:val="b1"/>
    <w:basedOn w:val="Normal"/>
    <w:rsid w:val="002415C2"/>
    <w:pPr>
      <w:numPr>
        <w:numId w:val="8"/>
      </w:numPr>
      <w:tabs>
        <w:tab w:val="left" w:pos="980"/>
      </w:tabs>
      <w:spacing w:after="120"/>
      <w:ind w:left="979"/>
    </w:pPr>
    <w:rPr>
      <w:szCs w:val="20"/>
    </w:rPr>
  </w:style>
  <w:style w:type="paragraph" w:styleId="ListNumber">
    <w:name w:val="List Number"/>
    <w:basedOn w:val="Normal"/>
    <w:uiPriority w:val="99"/>
    <w:unhideWhenUsed/>
    <w:rsid w:val="002415C2"/>
    <w:pPr>
      <w:numPr>
        <w:numId w:val="10"/>
      </w:numPr>
      <w:contextualSpacing/>
    </w:pPr>
    <w:rPr>
      <w:szCs w:val="20"/>
    </w:rPr>
  </w:style>
  <w:style w:type="paragraph" w:customStyle="1" w:styleId="biblio0">
    <w:name w:val="biblio"/>
    <w:basedOn w:val="Normal"/>
    <w:uiPriority w:val="99"/>
    <w:rsid w:val="002415C2"/>
    <w:pPr>
      <w:keepLines/>
      <w:spacing w:after="240"/>
      <w:ind w:left="720" w:hanging="720"/>
    </w:pPr>
    <w:rPr>
      <w:szCs w:val="20"/>
    </w:rPr>
  </w:style>
  <w:style w:type="paragraph" w:customStyle="1" w:styleId="BodyTextnoindent0">
    <w:name w:val="Body Text no indent"/>
    <w:basedOn w:val="BodyText"/>
    <w:qFormat/>
    <w:rsid w:val="002415C2"/>
    <w:pPr>
      <w:spacing w:before="120" w:after="120" w:line="320" w:lineRule="atLeast"/>
      <w:jc w:val="left"/>
    </w:pPr>
    <w:rPr>
      <w:b w:val="0"/>
      <w:bCs w:val="0"/>
    </w:rPr>
  </w:style>
  <w:style w:type="paragraph" w:customStyle="1" w:styleId="Tablenotes">
    <w:name w:val="Table notes"/>
    <w:basedOn w:val="Tablenoteslast"/>
    <w:qFormat/>
    <w:rsid w:val="002415C2"/>
    <w:pPr>
      <w:spacing w:after="0"/>
    </w:pPr>
  </w:style>
  <w:style w:type="paragraph" w:styleId="ListNumber2">
    <w:name w:val="List Number 2"/>
    <w:basedOn w:val="Normal"/>
    <w:uiPriority w:val="99"/>
    <w:unhideWhenUsed/>
    <w:rsid w:val="002415C2"/>
    <w:pPr>
      <w:numPr>
        <w:numId w:val="11"/>
      </w:numPr>
      <w:contextualSpacing/>
    </w:pPr>
    <w:rPr>
      <w:szCs w:val="20"/>
    </w:rPr>
  </w:style>
  <w:style w:type="paragraph" w:styleId="ListNumber3">
    <w:name w:val="List Number 3"/>
    <w:basedOn w:val="Normal"/>
    <w:uiPriority w:val="99"/>
    <w:unhideWhenUsed/>
    <w:rsid w:val="002415C2"/>
    <w:pPr>
      <w:numPr>
        <w:numId w:val="12"/>
      </w:numPr>
      <w:contextualSpacing/>
    </w:pPr>
    <w:rPr>
      <w:szCs w:val="20"/>
    </w:rPr>
  </w:style>
  <w:style w:type="paragraph" w:customStyle="1" w:styleId="Tableheading-LEFT">
    <w:name w:val="Table heading - LEFT"/>
    <w:basedOn w:val="Tabletext"/>
    <w:rsid w:val="002415C2"/>
    <w:pPr>
      <w:spacing w:before="10" w:after="10"/>
      <w:ind w:left="0" w:firstLine="0"/>
    </w:pPr>
  </w:style>
  <w:style w:type="paragraph" w:customStyle="1" w:styleId="Tableheading-CENTER">
    <w:name w:val="Table heading - CENTER"/>
    <w:basedOn w:val="Tablenumbers"/>
    <w:qFormat/>
    <w:rsid w:val="002415C2"/>
    <w:pPr>
      <w:spacing w:before="10" w:after="10"/>
      <w:jc w:val="center"/>
    </w:pPr>
    <w:rPr>
      <w:snapToGrid w:val="0"/>
    </w:rPr>
  </w:style>
  <w:style w:type="paragraph" w:customStyle="1" w:styleId="NCESBoilerplateText">
    <w:name w:val="NCES Boilerplate Text"/>
    <w:rsid w:val="002415C2"/>
    <w:pPr>
      <w:tabs>
        <w:tab w:val="left" w:pos="720"/>
        <w:tab w:val="center" w:pos="4680"/>
      </w:tabs>
      <w:autoSpaceDE w:val="0"/>
      <w:autoSpaceDN w:val="0"/>
      <w:adjustRightInd w:val="0"/>
      <w:spacing w:before="180"/>
    </w:pPr>
    <w:rPr>
      <w:rFonts w:ascii="ITC Avant Garde Std Bk" w:hAnsi="ITC Avant Garde Std Bk"/>
      <w:color w:val="000000"/>
    </w:rPr>
  </w:style>
  <w:style w:type="table" w:customStyle="1" w:styleId="MediumShading2-Accent11">
    <w:name w:val="Medium Shading 2 - Accent 11"/>
    <w:basedOn w:val="TableNormal"/>
    <w:uiPriority w:val="64"/>
    <w:rsid w:val="002415C2"/>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1">
    <w:name w:val="Light Shading1"/>
    <w:basedOn w:val="TableNormal"/>
    <w:uiPriority w:val="60"/>
    <w:rsid w:val="002415C2"/>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Caption">
    <w:name w:val="caption"/>
    <w:basedOn w:val="Normal"/>
    <w:next w:val="Normal"/>
    <w:semiHidden/>
    <w:unhideWhenUsed/>
    <w:qFormat/>
    <w:rsid w:val="002415C2"/>
    <w:pPr>
      <w:spacing w:after="200"/>
    </w:pPr>
    <w:rPr>
      <w:b/>
      <w:bCs/>
      <w:color w:val="4F81BD" w:themeColor="accent1"/>
      <w:sz w:val="18"/>
      <w:szCs w:val="18"/>
    </w:rPr>
  </w:style>
  <w:style w:type="character" w:customStyle="1" w:styleId="ListParagraphChar">
    <w:name w:val="List Paragraph Char"/>
    <w:basedOn w:val="DefaultParagraphFont"/>
    <w:link w:val="ListParagraph"/>
    <w:uiPriority w:val="34"/>
    <w:locked/>
    <w:rsid w:val="002415C2"/>
    <w:rPr>
      <w:rFonts w:ascii="Calibri" w:eastAsia="Calibri" w:hAnsi="Calibri"/>
      <w:sz w:val="22"/>
      <w:szCs w:val="22"/>
    </w:rPr>
  </w:style>
  <w:style w:type="character" w:customStyle="1" w:styleId="TableTitleChar1">
    <w:name w:val="Table Title Char1"/>
    <w:basedOn w:val="DefaultParagraphFont"/>
    <w:uiPriority w:val="99"/>
    <w:locked/>
    <w:rsid w:val="002415C2"/>
    <w:rPr>
      <w:rFonts w:ascii="Arial" w:eastAsia="MS Mincho" w:hAnsi="Arial" w:cs="Times New Roman"/>
      <w:b/>
      <w:kern w:val="2"/>
      <w:lang w:val="en-US" w:eastAsia="en-US" w:bidi="ar-SA"/>
    </w:rPr>
  </w:style>
  <w:style w:type="character" w:customStyle="1" w:styleId="apple-converted-space">
    <w:name w:val="apple-converted-space"/>
    <w:basedOn w:val="DefaultParagraphFont"/>
    <w:rsid w:val="002415C2"/>
  </w:style>
  <w:style w:type="character" w:styleId="PlaceholderText">
    <w:name w:val="Placeholder Text"/>
    <w:basedOn w:val="DefaultParagraphFont"/>
    <w:uiPriority w:val="99"/>
    <w:semiHidden/>
    <w:rsid w:val="002415C2"/>
    <w:rPr>
      <w:color w:val="808080"/>
    </w:rPr>
  </w:style>
  <w:style w:type="table" w:customStyle="1" w:styleId="TableGrid11">
    <w:name w:val="Table Grid11"/>
    <w:basedOn w:val="TableNormal"/>
    <w:next w:val="TableGrid"/>
    <w:rsid w:val="002415C2"/>
    <w:pPr>
      <w:spacing w:before="20" w:after="20"/>
    </w:pPr>
    <w:rPr>
      <w:rFonts w:ascii="Arial" w:hAnsi="Arial"/>
      <w:sz w:val="18"/>
    </w:rPr>
    <w:tblPr>
      <w:tblBorders>
        <w:top w:val="single" w:sz="12" w:space="0" w:color="auto"/>
        <w:bottom w:val="single" w:sz="12" w:space="0" w:color="auto"/>
      </w:tblBorders>
    </w:tblPr>
    <w:tcPr>
      <w:vAlign w:val="bottom"/>
    </w:tcPr>
    <w:tblStylePr w:type="firstRow">
      <w:pPr>
        <w:wordWrap/>
        <w:spacing w:beforeLines="0" w:before="120" w:beforeAutospacing="0"/>
        <w:jc w:val="right"/>
      </w:pPr>
      <w:tblPr/>
      <w:tcPr>
        <w:tcBorders>
          <w:bottom w:val="single" w:sz="4" w:space="0" w:color="auto"/>
        </w:tcBorders>
        <w:vAlign w:val="bottom"/>
      </w:tcPr>
    </w:tblStylePr>
    <w:tblStylePr w:type="firstCol">
      <w:pPr>
        <w:wordWrap/>
        <w:ind w:leftChars="0" w:left="346" w:rightChars="0" w:right="0" w:firstLineChars="0" w:hanging="346"/>
        <w:jc w:val="left"/>
      </w:pPr>
    </w:tblStylePr>
    <w:tblStylePr w:type="nwCell">
      <w:pPr>
        <w:jc w:val="left"/>
      </w:pPr>
      <w:tblPr/>
      <w:tcPr>
        <w:vAlign w:val="bottom"/>
      </w:tcPr>
    </w:tblStylePr>
  </w:style>
  <w:style w:type="character" w:customStyle="1" w:styleId="ExhibitTitleChar">
    <w:name w:val="Exhibit Title Char"/>
    <w:basedOn w:val="DefaultParagraphFont"/>
    <w:link w:val="ExhibitTitle"/>
    <w:locked/>
    <w:rsid w:val="002415C2"/>
    <w:rPr>
      <w:rFonts w:ascii="Arial" w:hAnsi="Arial"/>
      <w:b/>
    </w:rPr>
  </w:style>
  <w:style w:type="table" w:customStyle="1" w:styleId="Headerevenpageastable">
    <w:name w:val="Header even page as table"/>
    <w:basedOn w:val="TableNormal"/>
    <w:uiPriority w:val="99"/>
    <w:rsid w:val="002415C2"/>
    <w:pPr>
      <w:tabs>
        <w:tab w:val="left" w:pos="230"/>
      </w:tabs>
      <w:spacing w:line="200" w:lineRule="exact"/>
    </w:pPr>
    <w:rPr>
      <w:rFonts w:ascii="Arial Narrow" w:eastAsia="Calibri" w:hAnsi="Arial Narrow"/>
      <w:caps/>
      <w:sz w:val="16"/>
    </w:rPr>
    <w:tblPr/>
    <w:trPr>
      <w:cantSplit/>
    </w:trPr>
    <w:tcPr>
      <w:tcMar>
        <w:left w:w="0" w:type="dxa"/>
        <w:right w:w="0" w:type="dxa"/>
      </w:tcMar>
      <w:vAlign w:val="bottom"/>
    </w:tcPr>
    <w:tblStylePr w:type="firstCol">
      <w:pPr>
        <w:jc w:val="center"/>
      </w:pPr>
      <w:rPr>
        <w:rFonts w:asciiTheme="majorHAnsi" w:hAnsiTheme="majorHAnsi"/>
        <w:sz w:val="16"/>
      </w:rPr>
      <w:tblPr/>
      <w:tcPr>
        <w:tcBorders>
          <w:left w:val="single" w:sz="4" w:space="0" w:color="auto"/>
          <w:right w:val="single" w:sz="4" w:space="0" w:color="auto"/>
        </w:tcBorders>
      </w:tcPr>
    </w:tblStylePr>
  </w:style>
  <w:style w:type="paragraph" w:customStyle="1" w:styleId="Headeroddpage">
    <w:name w:val="Header odd page"/>
    <w:basedOn w:val="Normal"/>
    <w:rsid w:val="002415C2"/>
    <w:pPr>
      <w:tabs>
        <w:tab w:val="left" w:pos="230"/>
      </w:tabs>
      <w:spacing w:line="200" w:lineRule="exact"/>
      <w:ind w:left="230" w:right="230"/>
      <w:jc w:val="right"/>
    </w:pPr>
    <w:rPr>
      <w:rFonts w:ascii="Arial Narrow" w:eastAsia="Calibri" w:hAnsi="Arial Narrow"/>
      <w:caps/>
      <w:sz w:val="16"/>
      <w:szCs w:val="20"/>
    </w:rPr>
  </w:style>
  <w:style w:type="paragraph" w:customStyle="1" w:styleId="Figure">
    <w:name w:val="Figure"/>
    <w:basedOn w:val="Normal"/>
    <w:next w:val="Source"/>
    <w:rsid w:val="002415C2"/>
    <w:pPr>
      <w:keepNext/>
    </w:pPr>
    <w:rPr>
      <w:rFonts w:asciiTheme="minorHAnsi" w:hAnsiTheme="minorHAnsi"/>
      <w:noProof/>
    </w:rPr>
  </w:style>
  <w:style w:type="paragraph" w:customStyle="1" w:styleId="Tabletextcolumn1">
    <w:name w:val="Table text column 1"/>
    <w:basedOn w:val="Tabletext"/>
    <w:qFormat/>
    <w:rsid w:val="002415C2"/>
    <w:pPr>
      <w:spacing w:before="0" w:after="0"/>
      <w:ind w:left="187" w:hanging="187"/>
    </w:pPr>
  </w:style>
  <w:style w:type="paragraph" w:customStyle="1" w:styleId="question">
    <w:name w:val="question"/>
    <w:basedOn w:val="Normal"/>
    <w:uiPriority w:val="99"/>
    <w:rsid w:val="002415C2"/>
    <w:pPr>
      <w:numPr>
        <w:numId w:val="20"/>
      </w:numPr>
      <w:spacing w:before="240" w:after="120" w:line="264" w:lineRule="auto"/>
      <w:ind w:left="360"/>
    </w:pPr>
    <w:rPr>
      <w:rFonts w:ascii="Arial" w:hAnsi="Arial" w:cs="Arial"/>
      <w:sz w:val="22"/>
      <w:szCs w:val="22"/>
    </w:rPr>
  </w:style>
  <w:style w:type="paragraph" w:customStyle="1" w:styleId="Source9pt">
    <w:name w:val="Source 9pt"/>
    <w:basedOn w:val="Normal"/>
    <w:next w:val="BodyText"/>
    <w:link w:val="Source9ptChar"/>
    <w:uiPriority w:val="99"/>
    <w:rsid w:val="002415C2"/>
    <w:pPr>
      <w:spacing w:before="60" w:after="360"/>
      <w:contextualSpacing/>
    </w:pPr>
    <w:rPr>
      <w:rFonts w:ascii="Arial" w:hAnsi="Arial"/>
      <w:sz w:val="18"/>
      <w:szCs w:val="18"/>
    </w:rPr>
  </w:style>
  <w:style w:type="character" w:customStyle="1" w:styleId="Source9ptChar">
    <w:name w:val="Source 9pt Char"/>
    <w:basedOn w:val="DefaultParagraphFont"/>
    <w:link w:val="Source9pt"/>
    <w:uiPriority w:val="99"/>
    <w:locked/>
    <w:rsid w:val="002415C2"/>
    <w:rPr>
      <w:rFonts w:ascii="Arial" w:hAnsi="Arial"/>
      <w:sz w:val="18"/>
      <w:szCs w:val="18"/>
    </w:rPr>
  </w:style>
  <w:style w:type="paragraph" w:customStyle="1" w:styleId="Tabletextcolumn1indent1">
    <w:name w:val="Table text column 1 indent 1"/>
    <w:basedOn w:val="Normal"/>
    <w:qFormat/>
    <w:rsid w:val="002415C2"/>
    <w:pPr>
      <w:spacing w:line="240" w:lineRule="atLeast"/>
      <w:ind w:left="346" w:firstLineChars="100" w:firstLine="201"/>
    </w:pPr>
    <w:rPr>
      <w:rFonts w:ascii="Arial" w:hAnsi="Arial" w:cs="Arial"/>
      <w:bCs/>
      <w:sz w:val="20"/>
      <w:szCs w:val="20"/>
    </w:rPr>
  </w:style>
  <w:style w:type="paragraph" w:customStyle="1" w:styleId="Tabletextcolumn1indent2">
    <w:name w:val="Table text column 1 indent 2"/>
    <w:qFormat/>
    <w:rsid w:val="002415C2"/>
    <w:pPr>
      <w:spacing w:after="160" w:line="259" w:lineRule="auto"/>
      <w:ind w:left="346" w:firstLineChars="200" w:firstLine="40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935729">
      <w:bodyDiv w:val="1"/>
      <w:marLeft w:val="0"/>
      <w:marRight w:val="0"/>
      <w:marTop w:val="0"/>
      <w:marBottom w:val="0"/>
      <w:divBdr>
        <w:top w:val="none" w:sz="0" w:space="0" w:color="auto"/>
        <w:left w:val="none" w:sz="0" w:space="0" w:color="auto"/>
        <w:bottom w:val="none" w:sz="0" w:space="0" w:color="auto"/>
        <w:right w:val="none" w:sz="0" w:space="0" w:color="auto"/>
      </w:divBdr>
    </w:div>
    <w:div w:id="296574427">
      <w:bodyDiv w:val="1"/>
      <w:marLeft w:val="0"/>
      <w:marRight w:val="0"/>
      <w:marTop w:val="0"/>
      <w:marBottom w:val="0"/>
      <w:divBdr>
        <w:top w:val="none" w:sz="0" w:space="0" w:color="auto"/>
        <w:left w:val="none" w:sz="0" w:space="0" w:color="auto"/>
        <w:bottom w:val="none" w:sz="0" w:space="0" w:color="auto"/>
        <w:right w:val="none" w:sz="0" w:space="0" w:color="auto"/>
      </w:divBdr>
    </w:div>
    <w:div w:id="438917920">
      <w:bodyDiv w:val="1"/>
      <w:marLeft w:val="0"/>
      <w:marRight w:val="0"/>
      <w:marTop w:val="0"/>
      <w:marBottom w:val="0"/>
      <w:divBdr>
        <w:top w:val="none" w:sz="0" w:space="0" w:color="auto"/>
        <w:left w:val="none" w:sz="0" w:space="0" w:color="auto"/>
        <w:bottom w:val="none" w:sz="0" w:space="0" w:color="auto"/>
        <w:right w:val="none" w:sz="0" w:space="0" w:color="auto"/>
      </w:divBdr>
    </w:div>
    <w:div w:id="456338361">
      <w:bodyDiv w:val="1"/>
      <w:marLeft w:val="0"/>
      <w:marRight w:val="0"/>
      <w:marTop w:val="0"/>
      <w:marBottom w:val="0"/>
      <w:divBdr>
        <w:top w:val="none" w:sz="0" w:space="0" w:color="auto"/>
        <w:left w:val="none" w:sz="0" w:space="0" w:color="auto"/>
        <w:bottom w:val="none" w:sz="0" w:space="0" w:color="auto"/>
        <w:right w:val="none" w:sz="0" w:space="0" w:color="auto"/>
      </w:divBdr>
    </w:div>
    <w:div w:id="838346876">
      <w:bodyDiv w:val="1"/>
      <w:marLeft w:val="0"/>
      <w:marRight w:val="0"/>
      <w:marTop w:val="0"/>
      <w:marBottom w:val="0"/>
      <w:divBdr>
        <w:top w:val="none" w:sz="0" w:space="0" w:color="auto"/>
        <w:left w:val="none" w:sz="0" w:space="0" w:color="auto"/>
        <w:bottom w:val="none" w:sz="0" w:space="0" w:color="auto"/>
        <w:right w:val="none" w:sz="0" w:space="0" w:color="auto"/>
      </w:divBdr>
      <w:divsChild>
        <w:div w:id="1253583241">
          <w:marLeft w:val="1166"/>
          <w:marRight w:val="0"/>
          <w:marTop w:val="115"/>
          <w:marBottom w:val="0"/>
          <w:divBdr>
            <w:top w:val="none" w:sz="0" w:space="0" w:color="auto"/>
            <w:left w:val="none" w:sz="0" w:space="0" w:color="auto"/>
            <w:bottom w:val="none" w:sz="0" w:space="0" w:color="auto"/>
            <w:right w:val="none" w:sz="0" w:space="0" w:color="auto"/>
          </w:divBdr>
        </w:div>
        <w:div w:id="1916744092">
          <w:marLeft w:val="1166"/>
          <w:marRight w:val="0"/>
          <w:marTop w:val="115"/>
          <w:marBottom w:val="0"/>
          <w:divBdr>
            <w:top w:val="none" w:sz="0" w:space="0" w:color="auto"/>
            <w:left w:val="none" w:sz="0" w:space="0" w:color="auto"/>
            <w:bottom w:val="none" w:sz="0" w:space="0" w:color="auto"/>
            <w:right w:val="none" w:sz="0" w:space="0" w:color="auto"/>
          </w:divBdr>
        </w:div>
      </w:divsChild>
    </w:div>
    <w:div w:id="841702337">
      <w:bodyDiv w:val="1"/>
      <w:marLeft w:val="0"/>
      <w:marRight w:val="0"/>
      <w:marTop w:val="0"/>
      <w:marBottom w:val="0"/>
      <w:divBdr>
        <w:top w:val="none" w:sz="0" w:space="0" w:color="auto"/>
        <w:left w:val="none" w:sz="0" w:space="0" w:color="auto"/>
        <w:bottom w:val="none" w:sz="0" w:space="0" w:color="auto"/>
        <w:right w:val="none" w:sz="0" w:space="0" w:color="auto"/>
      </w:divBdr>
    </w:div>
    <w:div w:id="851603496">
      <w:bodyDiv w:val="1"/>
      <w:marLeft w:val="0"/>
      <w:marRight w:val="0"/>
      <w:marTop w:val="0"/>
      <w:marBottom w:val="0"/>
      <w:divBdr>
        <w:top w:val="none" w:sz="0" w:space="0" w:color="auto"/>
        <w:left w:val="none" w:sz="0" w:space="0" w:color="auto"/>
        <w:bottom w:val="none" w:sz="0" w:space="0" w:color="auto"/>
        <w:right w:val="none" w:sz="0" w:space="0" w:color="auto"/>
      </w:divBdr>
    </w:div>
    <w:div w:id="887453167">
      <w:bodyDiv w:val="1"/>
      <w:marLeft w:val="0"/>
      <w:marRight w:val="0"/>
      <w:marTop w:val="0"/>
      <w:marBottom w:val="0"/>
      <w:divBdr>
        <w:top w:val="none" w:sz="0" w:space="0" w:color="auto"/>
        <w:left w:val="none" w:sz="0" w:space="0" w:color="auto"/>
        <w:bottom w:val="none" w:sz="0" w:space="0" w:color="auto"/>
        <w:right w:val="none" w:sz="0" w:space="0" w:color="auto"/>
      </w:divBdr>
    </w:div>
    <w:div w:id="1212575670">
      <w:bodyDiv w:val="1"/>
      <w:marLeft w:val="0"/>
      <w:marRight w:val="0"/>
      <w:marTop w:val="0"/>
      <w:marBottom w:val="0"/>
      <w:divBdr>
        <w:top w:val="none" w:sz="0" w:space="0" w:color="auto"/>
        <w:left w:val="none" w:sz="0" w:space="0" w:color="auto"/>
        <w:bottom w:val="none" w:sz="0" w:space="0" w:color="auto"/>
        <w:right w:val="none" w:sz="0" w:space="0" w:color="auto"/>
      </w:divBdr>
    </w:div>
    <w:div w:id="1213075318">
      <w:bodyDiv w:val="1"/>
      <w:marLeft w:val="0"/>
      <w:marRight w:val="0"/>
      <w:marTop w:val="0"/>
      <w:marBottom w:val="0"/>
      <w:divBdr>
        <w:top w:val="none" w:sz="0" w:space="0" w:color="auto"/>
        <w:left w:val="none" w:sz="0" w:space="0" w:color="auto"/>
        <w:bottom w:val="none" w:sz="0" w:space="0" w:color="auto"/>
        <w:right w:val="none" w:sz="0" w:space="0" w:color="auto"/>
      </w:divBdr>
    </w:div>
    <w:div w:id="1222789522">
      <w:bodyDiv w:val="1"/>
      <w:marLeft w:val="0"/>
      <w:marRight w:val="0"/>
      <w:marTop w:val="0"/>
      <w:marBottom w:val="0"/>
      <w:divBdr>
        <w:top w:val="none" w:sz="0" w:space="0" w:color="auto"/>
        <w:left w:val="none" w:sz="0" w:space="0" w:color="auto"/>
        <w:bottom w:val="none" w:sz="0" w:space="0" w:color="auto"/>
        <w:right w:val="none" w:sz="0" w:space="0" w:color="auto"/>
      </w:divBdr>
      <w:divsChild>
        <w:div w:id="1691491844">
          <w:marLeft w:val="547"/>
          <w:marRight w:val="0"/>
          <w:marTop w:val="134"/>
          <w:marBottom w:val="0"/>
          <w:divBdr>
            <w:top w:val="none" w:sz="0" w:space="0" w:color="auto"/>
            <w:left w:val="none" w:sz="0" w:space="0" w:color="auto"/>
            <w:bottom w:val="none" w:sz="0" w:space="0" w:color="auto"/>
            <w:right w:val="none" w:sz="0" w:space="0" w:color="auto"/>
          </w:divBdr>
        </w:div>
        <w:div w:id="19137331">
          <w:marLeft w:val="547"/>
          <w:marRight w:val="0"/>
          <w:marTop w:val="134"/>
          <w:marBottom w:val="0"/>
          <w:divBdr>
            <w:top w:val="none" w:sz="0" w:space="0" w:color="auto"/>
            <w:left w:val="none" w:sz="0" w:space="0" w:color="auto"/>
            <w:bottom w:val="none" w:sz="0" w:space="0" w:color="auto"/>
            <w:right w:val="none" w:sz="0" w:space="0" w:color="auto"/>
          </w:divBdr>
        </w:div>
      </w:divsChild>
    </w:div>
    <w:div w:id="1434588162">
      <w:bodyDiv w:val="1"/>
      <w:marLeft w:val="0"/>
      <w:marRight w:val="0"/>
      <w:marTop w:val="0"/>
      <w:marBottom w:val="0"/>
      <w:divBdr>
        <w:top w:val="none" w:sz="0" w:space="0" w:color="auto"/>
        <w:left w:val="none" w:sz="0" w:space="0" w:color="auto"/>
        <w:bottom w:val="none" w:sz="0" w:space="0" w:color="auto"/>
        <w:right w:val="none" w:sz="0" w:space="0" w:color="auto"/>
      </w:divBdr>
    </w:div>
    <w:div w:id="1564952485">
      <w:bodyDiv w:val="1"/>
      <w:marLeft w:val="0"/>
      <w:marRight w:val="0"/>
      <w:marTop w:val="0"/>
      <w:marBottom w:val="0"/>
      <w:divBdr>
        <w:top w:val="none" w:sz="0" w:space="0" w:color="auto"/>
        <w:left w:val="none" w:sz="0" w:space="0" w:color="auto"/>
        <w:bottom w:val="none" w:sz="0" w:space="0" w:color="auto"/>
        <w:right w:val="none" w:sz="0" w:space="0" w:color="auto"/>
      </w:divBdr>
    </w:div>
    <w:div w:id="1651399909">
      <w:bodyDiv w:val="1"/>
      <w:marLeft w:val="0"/>
      <w:marRight w:val="0"/>
      <w:marTop w:val="0"/>
      <w:marBottom w:val="0"/>
      <w:divBdr>
        <w:top w:val="none" w:sz="0" w:space="0" w:color="auto"/>
        <w:left w:val="none" w:sz="0" w:space="0" w:color="auto"/>
        <w:bottom w:val="none" w:sz="0" w:space="0" w:color="auto"/>
        <w:right w:val="none" w:sz="0" w:space="0" w:color="auto"/>
      </w:divBdr>
      <w:divsChild>
        <w:div w:id="73865217">
          <w:marLeft w:val="547"/>
          <w:marRight w:val="0"/>
          <w:marTop w:val="134"/>
          <w:marBottom w:val="0"/>
          <w:divBdr>
            <w:top w:val="none" w:sz="0" w:space="0" w:color="auto"/>
            <w:left w:val="none" w:sz="0" w:space="0" w:color="auto"/>
            <w:bottom w:val="none" w:sz="0" w:space="0" w:color="auto"/>
            <w:right w:val="none" w:sz="0" w:space="0" w:color="auto"/>
          </w:divBdr>
        </w:div>
        <w:div w:id="375785398">
          <w:marLeft w:val="547"/>
          <w:marRight w:val="0"/>
          <w:marTop w:val="134"/>
          <w:marBottom w:val="0"/>
          <w:divBdr>
            <w:top w:val="none" w:sz="0" w:space="0" w:color="auto"/>
            <w:left w:val="none" w:sz="0" w:space="0" w:color="auto"/>
            <w:bottom w:val="none" w:sz="0" w:space="0" w:color="auto"/>
            <w:right w:val="none" w:sz="0" w:space="0" w:color="auto"/>
          </w:divBdr>
        </w:div>
      </w:divsChild>
    </w:div>
    <w:div w:id="1854681645">
      <w:bodyDiv w:val="1"/>
      <w:marLeft w:val="0"/>
      <w:marRight w:val="0"/>
      <w:marTop w:val="0"/>
      <w:marBottom w:val="0"/>
      <w:divBdr>
        <w:top w:val="none" w:sz="0" w:space="0" w:color="auto"/>
        <w:left w:val="none" w:sz="0" w:space="0" w:color="auto"/>
        <w:bottom w:val="none" w:sz="0" w:space="0" w:color="auto"/>
        <w:right w:val="none" w:sz="0" w:space="0" w:color="auto"/>
      </w:divBdr>
    </w:div>
    <w:div w:id="2009402544">
      <w:bodyDiv w:val="1"/>
      <w:marLeft w:val="0"/>
      <w:marRight w:val="0"/>
      <w:marTop w:val="0"/>
      <w:marBottom w:val="0"/>
      <w:divBdr>
        <w:top w:val="none" w:sz="0" w:space="0" w:color="auto"/>
        <w:left w:val="none" w:sz="0" w:space="0" w:color="auto"/>
        <w:bottom w:val="none" w:sz="0" w:space="0" w:color="auto"/>
        <w:right w:val="none" w:sz="0" w:space="0" w:color="auto"/>
      </w:divBdr>
    </w:div>
    <w:div w:id="2069525921">
      <w:bodyDiv w:val="1"/>
      <w:marLeft w:val="0"/>
      <w:marRight w:val="0"/>
      <w:marTop w:val="0"/>
      <w:marBottom w:val="0"/>
      <w:divBdr>
        <w:top w:val="none" w:sz="0" w:space="0" w:color="auto"/>
        <w:left w:val="none" w:sz="0" w:space="0" w:color="auto"/>
        <w:bottom w:val="none" w:sz="0" w:space="0" w:color="auto"/>
        <w:right w:val="none" w:sz="0" w:space="0" w:color="auto"/>
      </w:divBdr>
    </w:div>
    <w:div w:id="2081099758">
      <w:bodyDiv w:val="1"/>
      <w:marLeft w:val="0"/>
      <w:marRight w:val="0"/>
      <w:marTop w:val="0"/>
      <w:marBottom w:val="0"/>
      <w:divBdr>
        <w:top w:val="none" w:sz="0" w:space="0" w:color="auto"/>
        <w:left w:val="none" w:sz="0" w:space="0" w:color="auto"/>
        <w:bottom w:val="none" w:sz="0" w:space="0" w:color="auto"/>
        <w:right w:val="none" w:sz="0" w:space="0" w:color="auto"/>
      </w:divBdr>
    </w:div>
    <w:div w:id="2086300092">
      <w:bodyDiv w:val="1"/>
      <w:marLeft w:val="0"/>
      <w:marRight w:val="0"/>
      <w:marTop w:val="0"/>
      <w:marBottom w:val="0"/>
      <w:divBdr>
        <w:top w:val="none" w:sz="0" w:space="0" w:color="auto"/>
        <w:left w:val="none" w:sz="0" w:space="0" w:color="auto"/>
        <w:bottom w:val="none" w:sz="0" w:space="0" w:color="auto"/>
        <w:right w:val="none" w:sz="0" w:space="0" w:color="auto"/>
      </w:divBdr>
    </w:div>
    <w:div w:id="2086760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2.png"/><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image" Target="media/image5.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4.wmf"/><Relationship Id="rId4" Type="http://schemas.microsoft.com/office/2007/relationships/stylesWithEffects" Target="stylesWithEffects.xml"/><Relationship Id="rId9" Type="http://schemas.openxmlformats.org/officeDocument/2006/relationships/hyperlink" Target="https://www.treasury.gov/resource-center/sanctions/Pages/default.aspx" TargetMode="External"/><Relationship Id="rId14" Type="http://schemas.openxmlformats.org/officeDocument/2006/relationships/header" Target="header2.xm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030A65-D8FC-46D1-9270-150952A28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19</Pages>
  <Words>9075</Words>
  <Characters>51733</Characters>
  <Application>Microsoft Office Word</Application>
  <DocSecurity>0</DocSecurity>
  <Lines>431</Lines>
  <Paragraphs>121</Paragraphs>
  <ScaleCrop>false</ScaleCrop>
  <HeadingPairs>
    <vt:vector size="2" baseType="variant">
      <vt:variant>
        <vt:lpstr>Title</vt:lpstr>
      </vt:variant>
      <vt:variant>
        <vt:i4>1</vt:i4>
      </vt:variant>
    </vt:vector>
  </HeadingPairs>
  <TitlesOfParts>
    <vt:vector size="1" baseType="lpstr">
      <vt:lpstr>Memorandum                                           United States Department of Education</vt:lpstr>
    </vt:vector>
  </TitlesOfParts>
  <Company>Department of Education</Company>
  <LinksUpToDate>false</LinksUpToDate>
  <CharactersWithSpaces>60687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United States Department of Education</dc:title>
  <dc:creator>audrey.pendleton</dc:creator>
  <cp:lastModifiedBy>Kubzdela, Kashka</cp:lastModifiedBy>
  <cp:revision>17</cp:revision>
  <cp:lastPrinted>2017-04-10T18:30:00Z</cp:lastPrinted>
  <dcterms:created xsi:type="dcterms:W3CDTF">2017-04-07T21:25:00Z</dcterms:created>
  <dcterms:modified xsi:type="dcterms:W3CDTF">2017-04-10T20:56:00Z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