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F066F" w14:textId="77777777" w:rsidR="00C2153D" w:rsidRPr="00A95C35" w:rsidRDefault="00A01190" w:rsidP="000D740B">
      <w:pPr>
        <w:pStyle w:val="BodyText3"/>
        <w:spacing w:line="276" w:lineRule="auto"/>
        <w:rPr>
          <w:rFonts w:ascii="Times New Roman" w:hAnsi="Times New Roman"/>
          <w:b/>
          <w:bCs/>
          <w:sz w:val="24"/>
          <w:szCs w:val="24"/>
        </w:rPr>
      </w:pPr>
      <w:r w:rsidRPr="00A95C35">
        <w:rPr>
          <w:rFonts w:ascii="Times New Roman" w:hAnsi="Times New Roman"/>
          <w:b/>
          <w:bCs/>
          <w:sz w:val="24"/>
          <w:szCs w:val="24"/>
        </w:rPr>
        <w:t xml:space="preserve">Memorandum </w:t>
      </w:r>
      <w:r w:rsidRPr="00A95C35">
        <w:rPr>
          <w:rFonts w:ascii="Times New Roman" w:hAnsi="Times New Roman"/>
          <w:b/>
          <w:bCs/>
          <w:sz w:val="24"/>
          <w:szCs w:val="24"/>
        </w:rPr>
        <w:tab/>
      </w:r>
      <w:r w:rsidRPr="00A95C35">
        <w:rPr>
          <w:rFonts w:ascii="Times New Roman" w:hAnsi="Times New Roman"/>
          <w:b/>
          <w:bCs/>
          <w:sz w:val="24"/>
          <w:szCs w:val="24"/>
        </w:rPr>
        <w:tab/>
      </w:r>
      <w:r w:rsidRPr="00A95C35">
        <w:rPr>
          <w:rFonts w:ascii="Times New Roman" w:hAnsi="Times New Roman"/>
          <w:b/>
          <w:bCs/>
          <w:sz w:val="24"/>
          <w:szCs w:val="24"/>
        </w:rPr>
        <w:tab/>
      </w:r>
      <w:r w:rsidRPr="00A95C35">
        <w:rPr>
          <w:rFonts w:ascii="Times New Roman" w:hAnsi="Times New Roman"/>
          <w:b/>
          <w:bCs/>
          <w:sz w:val="24"/>
          <w:szCs w:val="24"/>
        </w:rPr>
        <w:tab/>
      </w:r>
      <w:r w:rsidRPr="00A95C35">
        <w:rPr>
          <w:rFonts w:ascii="Times New Roman" w:hAnsi="Times New Roman"/>
          <w:b/>
          <w:bCs/>
          <w:sz w:val="24"/>
          <w:szCs w:val="24"/>
        </w:rPr>
        <w:tab/>
        <w:t>United States Department of Education</w:t>
      </w:r>
    </w:p>
    <w:p w14:paraId="5856B720" w14:textId="77777777" w:rsidR="00C2153D" w:rsidRPr="00A95C35" w:rsidRDefault="00A01190" w:rsidP="000D740B">
      <w:pPr>
        <w:pStyle w:val="BodyText3"/>
        <w:spacing w:line="276" w:lineRule="auto"/>
        <w:ind w:left="3600" w:firstLine="720"/>
        <w:rPr>
          <w:rFonts w:ascii="Times New Roman" w:hAnsi="Times New Roman"/>
          <w:b/>
          <w:bCs/>
          <w:sz w:val="24"/>
          <w:szCs w:val="24"/>
        </w:rPr>
      </w:pPr>
      <w:r w:rsidRPr="00A95C35">
        <w:rPr>
          <w:rFonts w:ascii="Times New Roman" w:hAnsi="Times New Roman"/>
          <w:b/>
          <w:bCs/>
          <w:sz w:val="24"/>
          <w:szCs w:val="24"/>
        </w:rPr>
        <w:tab/>
        <w:t>Institute of Education Sciences</w:t>
      </w:r>
    </w:p>
    <w:p w14:paraId="11BC288F" w14:textId="77777777" w:rsidR="00C2153D" w:rsidRPr="00A95C35" w:rsidRDefault="00A01190" w:rsidP="000D740B">
      <w:pPr>
        <w:pStyle w:val="Heading8"/>
        <w:pBdr>
          <w:bottom w:val="single" w:sz="12" w:space="1" w:color="auto"/>
        </w:pBdr>
        <w:spacing w:line="276" w:lineRule="auto"/>
      </w:pPr>
      <w:r w:rsidRPr="00A95C35">
        <w:tab/>
      </w:r>
      <w:r w:rsidRPr="00A95C35">
        <w:tab/>
      </w:r>
      <w:r w:rsidRPr="00A95C35">
        <w:tab/>
      </w:r>
      <w:r w:rsidRPr="00A95C35">
        <w:tab/>
      </w:r>
      <w:r w:rsidRPr="00A95C35">
        <w:tab/>
      </w:r>
      <w:r w:rsidRPr="00A95C35">
        <w:tab/>
      </w:r>
      <w:r w:rsidRPr="00A95C35">
        <w:tab/>
        <w:t>National Center for Education Statistics</w:t>
      </w:r>
    </w:p>
    <w:p w14:paraId="7A6CB8EF" w14:textId="77777777" w:rsidR="00C2153D" w:rsidRPr="00A95C35" w:rsidRDefault="00C2153D" w:rsidP="000D740B">
      <w:pPr>
        <w:spacing w:line="276" w:lineRule="auto"/>
      </w:pPr>
    </w:p>
    <w:p w14:paraId="6898DA05" w14:textId="71AA7094" w:rsidR="00D90962" w:rsidRPr="00A95C35" w:rsidRDefault="00C2153D" w:rsidP="000D740B">
      <w:pPr>
        <w:spacing w:line="276" w:lineRule="auto"/>
      </w:pPr>
      <w:r w:rsidRPr="00A95C35">
        <w:t>DATE:</w:t>
      </w:r>
      <w:r w:rsidRPr="00A95C35">
        <w:tab/>
      </w:r>
      <w:r w:rsidR="00A14445" w:rsidRPr="00A95C35">
        <w:tab/>
      </w:r>
      <w:r w:rsidR="0047422C">
        <w:t>June 8</w:t>
      </w:r>
      <w:r w:rsidR="001B15CB" w:rsidRPr="00A95C35">
        <w:t>, 2016</w:t>
      </w:r>
    </w:p>
    <w:p w14:paraId="0A386C93" w14:textId="62DA37BB" w:rsidR="00C2153D" w:rsidRPr="00A95C35" w:rsidRDefault="00C2153D" w:rsidP="009B4A44"/>
    <w:p w14:paraId="31AA0AF6" w14:textId="77777777" w:rsidR="00D018C6" w:rsidRPr="00A95C35" w:rsidRDefault="00026D24" w:rsidP="000D740B">
      <w:pPr>
        <w:spacing w:line="276" w:lineRule="auto"/>
      </w:pPr>
      <w:r w:rsidRPr="00A95C35">
        <w:t>TO:</w:t>
      </w:r>
      <w:r w:rsidRPr="00A95C35">
        <w:tab/>
      </w:r>
      <w:r w:rsidRPr="00A95C35">
        <w:tab/>
      </w:r>
      <w:r w:rsidR="00D018C6" w:rsidRPr="00A95C35">
        <w:t>Robert Sivinski, OMB</w:t>
      </w:r>
    </w:p>
    <w:p w14:paraId="128F7F3D" w14:textId="77777777" w:rsidR="009B4A44" w:rsidRPr="00A95C35" w:rsidRDefault="009B4A44" w:rsidP="009B4A44"/>
    <w:p w14:paraId="58215B3B" w14:textId="77777777" w:rsidR="00C2153D" w:rsidRPr="00A95C35" w:rsidRDefault="00026D24" w:rsidP="000D740B">
      <w:pPr>
        <w:spacing w:line="276" w:lineRule="auto"/>
      </w:pPr>
      <w:r w:rsidRPr="00A95C35">
        <w:t>THROUGH</w:t>
      </w:r>
      <w:r w:rsidR="00C2153D" w:rsidRPr="00A95C35">
        <w:t>:</w:t>
      </w:r>
      <w:r w:rsidRPr="00A95C35">
        <w:tab/>
      </w:r>
      <w:r w:rsidR="000E3482" w:rsidRPr="00A95C35">
        <w:t>Kashka Kubzdela</w:t>
      </w:r>
      <w:r w:rsidR="007D64A0" w:rsidRPr="00A95C35">
        <w:t xml:space="preserve">, OMB Liaison, </w:t>
      </w:r>
      <w:proofErr w:type="gramStart"/>
      <w:r w:rsidR="00C2153D" w:rsidRPr="00A95C35">
        <w:t>NCES</w:t>
      </w:r>
      <w:proofErr w:type="gramEnd"/>
    </w:p>
    <w:p w14:paraId="26110ECB" w14:textId="77777777" w:rsidR="009B4A44" w:rsidRPr="00A95C35" w:rsidRDefault="009B4A44" w:rsidP="009B4A44"/>
    <w:p w14:paraId="636CDA47" w14:textId="77777777" w:rsidR="00C2153D" w:rsidRPr="00A95C35" w:rsidRDefault="00C2153D" w:rsidP="000D740B">
      <w:pPr>
        <w:spacing w:line="276" w:lineRule="auto"/>
      </w:pPr>
      <w:r w:rsidRPr="00A95C35">
        <w:t>FROM:</w:t>
      </w:r>
      <w:r w:rsidRPr="00A95C35">
        <w:tab/>
      </w:r>
      <w:r w:rsidR="00F65EBC" w:rsidRPr="00A95C35">
        <w:t>Elise Christopher</w:t>
      </w:r>
      <w:r w:rsidR="007D64A0" w:rsidRPr="00A95C35">
        <w:t xml:space="preserve">, </w:t>
      </w:r>
      <w:r w:rsidR="00F65EBC" w:rsidRPr="00A95C35">
        <w:t>HSLS</w:t>
      </w:r>
      <w:proofErr w:type="gramStart"/>
      <w:r w:rsidR="00F65EBC" w:rsidRPr="00A95C35">
        <w:t>:09</w:t>
      </w:r>
      <w:proofErr w:type="gramEnd"/>
      <w:r w:rsidR="00D018C6" w:rsidRPr="00A95C35">
        <w:t xml:space="preserve"> Project Officer</w:t>
      </w:r>
      <w:r w:rsidRPr="00A95C35">
        <w:t>, NCES</w:t>
      </w:r>
    </w:p>
    <w:p w14:paraId="77714E18" w14:textId="77777777" w:rsidR="009B4A44" w:rsidRPr="00A95C35" w:rsidRDefault="009B4A44" w:rsidP="009B4A44"/>
    <w:p w14:paraId="6DEAD108" w14:textId="7212B702" w:rsidR="009B4A44" w:rsidRPr="00A95C35" w:rsidRDefault="00C2153D" w:rsidP="00FB296D">
      <w:pPr>
        <w:pStyle w:val="Heading1"/>
        <w:spacing w:line="276" w:lineRule="auto"/>
        <w:ind w:left="1440" w:hanging="1440"/>
        <w:rPr>
          <w:b w:val="0"/>
          <w:bCs w:val="0"/>
          <w:u w:val="none"/>
        </w:rPr>
      </w:pPr>
      <w:r w:rsidRPr="00A95C35">
        <w:rPr>
          <w:b w:val="0"/>
          <w:bCs w:val="0"/>
          <w:u w:val="none"/>
        </w:rPr>
        <w:t>SUBJECT:</w:t>
      </w:r>
      <w:r w:rsidRPr="00A95C35">
        <w:rPr>
          <w:b w:val="0"/>
          <w:bCs w:val="0"/>
          <w:u w:val="none"/>
        </w:rPr>
        <w:tab/>
      </w:r>
      <w:r w:rsidR="00FB296D" w:rsidRPr="00A95C35">
        <w:rPr>
          <w:b w:val="0"/>
          <w:bCs w:val="0"/>
          <w:u w:val="none"/>
        </w:rPr>
        <w:t>High School Longitudinal Study of 2009 (HSLS</w:t>
      </w:r>
      <w:proofErr w:type="gramStart"/>
      <w:r w:rsidR="00FB296D" w:rsidRPr="00A95C35">
        <w:rPr>
          <w:b w:val="0"/>
          <w:bCs w:val="0"/>
          <w:u w:val="none"/>
        </w:rPr>
        <w:t>:09</w:t>
      </w:r>
      <w:proofErr w:type="gramEnd"/>
      <w:r w:rsidR="00FB296D" w:rsidRPr="00A95C35">
        <w:rPr>
          <w:b w:val="0"/>
          <w:bCs w:val="0"/>
          <w:u w:val="none"/>
        </w:rPr>
        <w:t xml:space="preserve">) Second Follow-up Main Study </w:t>
      </w:r>
      <w:r w:rsidR="00AE04C7">
        <w:rPr>
          <w:b w:val="0"/>
          <w:bCs w:val="0"/>
          <w:u w:val="none"/>
        </w:rPr>
        <w:t>First</w:t>
      </w:r>
      <w:r w:rsidR="00A95C35">
        <w:rPr>
          <w:b w:val="0"/>
          <w:bCs w:val="0"/>
          <w:u w:val="none"/>
        </w:rPr>
        <w:t xml:space="preserve"> Incentive </w:t>
      </w:r>
      <w:r w:rsidR="00AE04C7">
        <w:rPr>
          <w:b w:val="0"/>
          <w:bCs w:val="0"/>
          <w:u w:val="none"/>
        </w:rPr>
        <w:t xml:space="preserve">Boost </w:t>
      </w:r>
      <w:r w:rsidR="00A95C35">
        <w:rPr>
          <w:b w:val="0"/>
          <w:bCs w:val="0"/>
          <w:u w:val="none"/>
        </w:rPr>
        <w:t xml:space="preserve">Change Request </w:t>
      </w:r>
      <w:r w:rsidR="009B4A44" w:rsidRPr="00A95C35">
        <w:rPr>
          <w:b w:val="0"/>
          <w:bCs w:val="0"/>
          <w:u w:val="none"/>
        </w:rPr>
        <w:t>(OMB# 1850-0852 v.</w:t>
      </w:r>
      <w:r w:rsidR="00ED4F7B">
        <w:rPr>
          <w:b w:val="0"/>
          <w:bCs w:val="0"/>
          <w:u w:val="none"/>
        </w:rPr>
        <w:t>21</w:t>
      </w:r>
      <w:r w:rsidR="009B4A44" w:rsidRPr="00A95C35">
        <w:rPr>
          <w:b w:val="0"/>
          <w:bCs w:val="0"/>
          <w:u w:val="none"/>
        </w:rPr>
        <w:t>)</w:t>
      </w:r>
      <w:r w:rsidR="00A95C35">
        <w:rPr>
          <w:b w:val="0"/>
          <w:bCs w:val="0"/>
          <w:u w:val="none"/>
        </w:rPr>
        <w:t xml:space="preserve"> - </w:t>
      </w:r>
      <w:r w:rsidR="00A95C35" w:rsidRPr="00A95C35">
        <w:rPr>
          <w:b w:val="0"/>
          <w:bCs w:val="0"/>
          <w:u w:val="none"/>
        </w:rPr>
        <w:t>Calibration Sample Results: Phase</w:t>
      </w:r>
      <w:r w:rsidR="0047422C">
        <w:rPr>
          <w:b w:val="0"/>
          <w:bCs w:val="0"/>
          <w:u w:val="none"/>
        </w:rPr>
        <w:t xml:space="preserve"> 3</w:t>
      </w:r>
      <w:r w:rsidR="00AE04C7">
        <w:rPr>
          <w:b w:val="0"/>
          <w:bCs w:val="0"/>
          <w:u w:val="none"/>
        </w:rPr>
        <w:t xml:space="preserve"> and “Thank you” Email</w:t>
      </w:r>
    </w:p>
    <w:p w14:paraId="52FD3891" w14:textId="77777777" w:rsidR="00EA4F96" w:rsidRPr="00A95C35" w:rsidRDefault="00EA4F96" w:rsidP="004F4D11">
      <w:pPr>
        <w:pStyle w:val="Bodytextnoindent"/>
        <w:spacing w:before="0" w:after="0" w:line="276" w:lineRule="auto"/>
        <w:ind w:firstLine="720"/>
        <w:rPr>
          <w:szCs w:val="24"/>
        </w:rPr>
      </w:pPr>
    </w:p>
    <w:p w14:paraId="1A7FAC47" w14:textId="31A717E2" w:rsidR="0012347F" w:rsidRDefault="00ED4F7B" w:rsidP="00A95C35">
      <w:pPr>
        <w:pStyle w:val="Bodytextnoindent"/>
        <w:spacing w:before="0" w:line="23" w:lineRule="atLeast"/>
        <w:rPr>
          <w:szCs w:val="24"/>
        </w:rPr>
      </w:pPr>
      <w:r w:rsidRPr="00A95C35">
        <w:rPr>
          <w:szCs w:val="24"/>
        </w:rPr>
        <w:t xml:space="preserve">The High School Longitudinal Study of 2009 (HSLS:09) Second Follow-up Main Study and 2018 Panel Maintenance request </w:t>
      </w:r>
      <w:r w:rsidRPr="00ED4F7B">
        <w:rPr>
          <w:szCs w:val="24"/>
        </w:rPr>
        <w:t xml:space="preserve">was approved by OMB in December 2015 </w:t>
      </w:r>
      <w:r w:rsidRPr="00A95C35">
        <w:rPr>
          <w:szCs w:val="24"/>
        </w:rPr>
        <w:t>(OMB# 1850-0852 v.1</w:t>
      </w:r>
      <w:r>
        <w:rPr>
          <w:bCs/>
        </w:rPr>
        <w:t>7</w:t>
      </w:r>
      <w:r>
        <w:rPr>
          <w:szCs w:val="24"/>
        </w:rPr>
        <w:t xml:space="preserve">) </w:t>
      </w:r>
      <w:r w:rsidRPr="00ED4F7B">
        <w:rPr>
          <w:szCs w:val="24"/>
        </w:rPr>
        <w:t>with updates in March and May 2016 (OMB# 1850-0852 v.1</w:t>
      </w:r>
      <w:r>
        <w:rPr>
          <w:szCs w:val="24"/>
        </w:rPr>
        <w:t>8</w:t>
      </w:r>
      <w:r w:rsidRPr="00ED4F7B">
        <w:rPr>
          <w:szCs w:val="24"/>
        </w:rPr>
        <w:t>-20).</w:t>
      </w:r>
      <w:r>
        <w:rPr>
          <w:szCs w:val="24"/>
        </w:rPr>
        <w:t xml:space="preserve"> </w:t>
      </w:r>
      <w:r w:rsidR="00856A8B" w:rsidRPr="00856A8B">
        <w:rPr>
          <w:szCs w:val="24"/>
        </w:rPr>
        <w:t>This submission provides results from the third phase of calibration sample recruitment experiment, and requests approval for recommended first incentive boost amount for phase 3 of the main sample data collection, as well as approval to send a “thank you” email to respondents once they complete the survey</w:t>
      </w:r>
      <w:r w:rsidR="0012347F">
        <w:rPr>
          <w:szCs w:val="24"/>
        </w:rPr>
        <w:t>.</w:t>
      </w:r>
      <w:r w:rsidR="00501AD8">
        <w:rPr>
          <w:szCs w:val="24"/>
        </w:rPr>
        <w:t xml:space="preserve"> No change to estimated response burden or the total cost to the federal government is associated with this request.</w:t>
      </w:r>
    </w:p>
    <w:p w14:paraId="407B9C1B" w14:textId="49970F1A" w:rsidR="0012347F" w:rsidRDefault="0012347F" w:rsidP="00C90410">
      <w:pPr>
        <w:pStyle w:val="Heading1"/>
        <w:numPr>
          <w:ilvl w:val="0"/>
          <w:numId w:val="21"/>
        </w:numPr>
      </w:pPr>
      <w:bookmarkStart w:id="0" w:name="_GoBack"/>
      <w:bookmarkEnd w:id="0"/>
      <w:r>
        <w:t>“Thank you”</w:t>
      </w:r>
      <w:r w:rsidR="00122462">
        <w:t xml:space="preserve"> email</w:t>
      </w:r>
    </w:p>
    <w:p w14:paraId="07AE1536" w14:textId="77777777" w:rsidR="0010135B" w:rsidRDefault="00122462" w:rsidP="00307F6F">
      <w:pPr>
        <w:pStyle w:val="Bodytextnoindent"/>
        <w:spacing w:before="0" w:line="23" w:lineRule="atLeast"/>
        <w:rPr>
          <w:szCs w:val="24"/>
        </w:rPr>
      </w:pPr>
      <w:r>
        <w:rPr>
          <w:szCs w:val="24"/>
        </w:rPr>
        <w:t>We propose to send a “thank you” email to respondents when they complete the survey. The goal of this message is to thank them fo</w:t>
      </w:r>
      <w:r w:rsidR="00307F6F">
        <w:rPr>
          <w:szCs w:val="24"/>
        </w:rPr>
        <w:t>r their time and also provide a convenient way</w:t>
      </w:r>
      <w:r>
        <w:rPr>
          <w:szCs w:val="24"/>
        </w:rPr>
        <w:t xml:space="preserve"> for sample members to contact the project team to report any issues or with questions that may arise related to processing time for incentives. </w:t>
      </w:r>
      <w:r w:rsidR="00307F6F">
        <w:rPr>
          <w:szCs w:val="24"/>
        </w:rPr>
        <w:t xml:space="preserve">Sample members will be able to reach the Help Desk by replying to the email, rather than having to search for the Help Desk email address or telephone number in the materials they received previously. </w:t>
      </w:r>
      <w:r w:rsidR="001C4603">
        <w:rPr>
          <w:szCs w:val="24"/>
        </w:rPr>
        <w:t xml:space="preserve">There </w:t>
      </w:r>
      <w:r w:rsidR="00834859">
        <w:rPr>
          <w:szCs w:val="24"/>
        </w:rPr>
        <w:t>are</w:t>
      </w:r>
      <w:r w:rsidR="001C4603">
        <w:rPr>
          <w:szCs w:val="24"/>
        </w:rPr>
        <w:t xml:space="preserve"> separate version</w:t>
      </w:r>
      <w:r w:rsidR="00834859">
        <w:rPr>
          <w:szCs w:val="24"/>
        </w:rPr>
        <w:t>s</w:t>
      </w:r>
      <w:r w:rsidR="001C4603">
        <w:rPr>
          <w:szCs w:val="24"/>
        </w:rPr>
        <w:t xml:space="preserve"> for respondents who chose to receive their incentive</w:t>
      </w:r>
      <w:r w:rsidR="00834859">
        <w:rPr>
          <w:szCs w:val="24"/>
        </w:rPr>
        <w:t>s</w:t>
      </w:r>
      <w:r w:rsidR="001C4603">
        <w:rPr>
          <w:szCs w:val="24"/>
        </w:rPr>
        <w:t xml:space="preserve"> through PayPal, </w:t>
      </w:r>
      <w:r w:rsidR="00834859">
        <w:rPr>
          <w:szCs w:val="24"/>
        </w:rPr>
        <w:t>respondents receiving</w:t>
      </w:r>
      <w:r w:rsidR="00C46DD6">
        <w:rPr>
          <w:szCs w:val="24"/>
        </w:rPr>
        <w:t xml:space="preserve"> </w:t>
      </w:r>
      <w:r w:rsidR="00834859">
        <w:rPr>
          <w:szCs w:val="24"/>
        </w:rPr>
        <w:t>their incentives by</w:t>
      </w:r>
      <w:r w:rsidR="001C4603">
        <w:rPr>
          <w:szCs w:val="24"/>
        </w:rPr>
        <w:t xml:space="preserve"> check, and for non-incentivized respondents.</w:t>
      </w:r>
    </w:p>
    <w:p w14:paraId="115E0DAC" w14:textId="61835DB0" w:rsidR="001C4603" w:rsidRDefault="001C4603" w:rsidP="00C90410">
      <w:pPr>
        <w:pStyle w:val="Heading4"/>
      </w:pPr>
    </w:p>
    <w:p w14:paraId="47F7A9D6" w14:textId="77777777" w:rsidR="0012347F" w:rsidRPr="00856A8B" w:rsidRDefault="0012347F" w:rsidP="00856A8B">
      <w:pPr>
        <w:pStyle w:val="Heading4"/>
        <w:spacing w:after="120"/>
        <w:rPr>
          <w:sz w:val="22"/>
          <w:szCs w:val="22"/>
        </w:rPr>
      </w:pPr>
      <w:r w:rsidRPr="00856A8B">
        <w:rPr>
          <w:sz w:val="22"/>
          <w:szCs w:val="22"/>
        </w:rPr>
        <w:t>PayPal Incentive:</w:t>
      </w:r>
    </w:p>
    <w:p w14:paraId="033B4A4B" w14:textId="77777777" w:rsidR="0012347F" w:rsidRPr="00856A8B" w:rsidRDefault="0012347F" w:rsidP="00856A8B">
      <w:pPr>
        <w:spacing w:after="120"/>
        <w:ind w:left="720"/>
        <w:rPr>
          <w:sz w:val="22"/>
          <w:szCs w:val="22"/>
        </w:rPr>
      </w:pPr>
      <w:r w:rsidRPr="00856A8B">
        <w:rPr>
          <w:sz w:val="22"/>
          <w:szCs w:val="22"/>
        </w:rPr>
        <w:t>Dear [NAME]:</w:t>
      </w:r>
    </w:p>
    <w:p w14:paraId="149DC0AB" w14:textId="77777777" w:rsidR="0012347F" w:rsidRPr="00856A8B" w:rsidRDefault="0012347F" w:rsidP="00856A8B">
      <w:pPr>
        <w:spacing w:after="120"/>
        <w:ind w:left="720"/>
        <w:rPr>
          <w:sz w:val="22"/>
          <w:szCs w:val="22"/>
        </w:rPr>
      </w:pPr>
      <w:r w:rsidRPr="00856A8B">
        <w:rPr>
          <w:sz w:val="22"/>
          <w:szCs w:val="22"/>
        </w:rPr>
        <w:t xml:space="preserve">On behalf of the National Center for Education Statistics in the U.S. Department of Education's Institute of Education Sciences and the staff of the High School Longitudinal Study of 2009 (HSLS:09), we would like to thank you for your participation in the HSLS:09 survey. Your participation in this study is very important to its success! Your payment of $[XX] is a token of our appreciation for your time and participation. Our records indicate that you chose to receive your incentive via PayPal. Please note it can take up to a full business day to process. Please look for an email from PayPal indicating that you have received $[XX] from RTI International, or check your </w:t>
      </w:r>
      <w:proofErr w:type="spellStart"/>
      <w:r w:rsidRPr="00856A8B">
        <w:rPr>
          <w:sz w:val="22"/>
          <w:szCs w:val="22"/>
        </w:rPr>
        <w:t>Paypal</w:t>
      </w:r>
      <w:proofErr w:type="spellEnd"/>
      <w:r w:rsidRPr="00856A8B">
        <w:rPr>
          <w:sz w:val="22"/>
          <w:szCs w:val="22"/>
        </w:rPr>
        <w:t xml:space="preserve"> account. Please contact us with any concerns about your incentive.</w:t>
      </w:r>
    </w:p>
    <w:p w14:paraId="42A46739" w14:textId="77777777" w:rsidR="0010135B" w:rsidRDefault="0012347F" w:rsidP="00856A8B">
      <w:pPr>
        <w:spacing w:after="120"/>
        <w:ind w:left="720"/>
        <w:rPr>
          <w:sz w:val="22"/>
          <w:szCs w:val="22"/>
        </w:rPr>
      </w:pPr>
      <w:r w:rsidRPr="00856A8B">
        <w:rPr>
          <w:sz w:val="22"/>
          <w:szCs w:val="22"/>
        </w:rPr>
        <w:t>If you have additional questions, please do not hesitate to call the HSLS</w:t>
      </w:r>
      <w:proofErr w:type="gramStart"/>
      <w:r w:rsidRPr="00856A8B">
        <w:rPr>
          <w:sz w:val="22"/>
          <w:szCs w:val="22"/>
        </w:rPr>
        <w:t>:09</w:t>
      </w:r>
      <w:proofErr w:type="gramEnd"/>
      <w:r w:rsidRPr="00856A8B">
        <w:rPr>
          <w:sz w:val="22"/>
          <w:szCs w:val="22"/>
        </w:rPr>
        <w:t xml:space="preserve"> Help Desk at 1-877-282-4757.</w:t>
      </w:r>
    </w:p>
    <w:p w14:paraId="2B7198F0" w14:textId="77777777" w:rsidR="0010135B" w:rsidRDefault="0012347F" w:rsidP="00856A8B">
      <w:pPr>
        <w:spacing w:after="120"/>
        <w:ind w:left="720"/>
        <w:rPr>
          <w:sz w:val="22"/>
          <w:szCs w:val="22"/>
        </w:rPr>
      </w:pPr>
      <w:r w:rsidRPr="00856A8B">
        <w:rPr>
          <w:sz w:val="22"/>
          <w:szCs w:val="22"/>
        </w:rPr>
        <w:t>Again, thank you for your time and willingness to participate.</w:t>
      </w:r>
    </w:p>
    <w:p w14:paraId="4CF8D8A5" w14:textId="3818D35E" w:rsidR="0012347F" w:rsidRPr="00856A8B" w:rsidRDefault="0012347F" w:rsidP="00856A8B">
      <w:pPr>
        <w:spacing w:after="120"/>
        <w:ind w:left="720"/>
        <w:rPr>
          <w:sz w:val="22"/>
          <w:szCs w:val="22"/>
        </w:rPr>
      </w:pPr>
      <w:r w:rsidRPr="00856A8B">
        <w:rPr>
          <w:sz w:val="22"/>
          <w:szCs w:val="22"/>
        </w:rPr>
        <w:t>HSLS</w:t>
      </w:r>
      <w:proofErr w:type="gramStart"/>
      <w:r w:rsidRPr="00856A8B">
        <w:rPr>
          <w:sz w:val="22"/>
          <w:szCs w:val="22"/>
        </w:rPr>
        <w:t>:09</w:t>
      </w:r>
      <w:proofErr w:type="gramEnd"/>
      <w:r w:rsidRPr="00856A8B">
        <w:rPr>
          <w:sz w:val="22"/>
          <w:szCs w:val="22"/>
        </w:rPr>
        <w:t xml:space="preserve"> Data Collection Team</w:t>
      </w:r>
    </w:p>
    <w:p w14:paraId="019C1A3F" w14:textId="77777777" w:rsidR="0012347F" w:rsidRPr="00856A8B" w:rsidRDefault="0012347F" w:rsidP="00856A8B">
      <w:pPr>
        <w:spacing w:after="120"/>
        <w:ind w:left="720"/>
        <w:rPr>
          <w:sz w:val="22"/>
          <w:szCs w:val="22"/>
        </w:rPr>
      </w:pPr>
      <w:r w:rsidRPr="00856A8B">
        <w:rPr>
          <w:sz w:val="22"/>
          <w:szCs w:val="22"/>
        </w:rPr>
        <w:t>1-877-282-4757</w:t>
      </w:r>
    </w:p>
    <w:p w14:paraId="235A49CE" w14:textId="77777777" w:rsidR="0012347F" w:rsidRPr="00856A8B" w:rsidRDefault="0012347F" w:rsidP="00856A8B">
      <w:pPr>
        <w:pStyle w:val="Heading4"/>
        <w:spacing w:after="120"/>
        <w:rPr>
          <w:sz w:val="22"/>
          <w:szCs w:val="22"/>
        </w:rPr>
      </w:pPr>
      <w:r w:rsidRPr="00856A8B">
        <w:rPr>
          <w:sz w:val="22"/>
          <w:szCs w:val="22"/>
        </w:rPr>
        <w:lastRenderedPageBreak/>
        <w:t>Check Incentive:</w:t>
      </w:r>
    </w:p>
    <w:p w14:paraId="59CE391A" w14:textId="77777777" w:rsidR="0012347F" w:rsidRPr="00856A8B" w:rsidRDefault="0012347F" w:rsidP="00856A8B">
      <w:pPr>
        <w:spacing w:after="120"/>
        <w:ind w:left="720"/>
        <w:rPr>
          <w:sz w:val="22"/>
          <w:szCs w:val="22"/>
        </w:rPr>
      </w:pPr>
      <w:r w:rsidRPr="00856A8B">
        <w:rPr>
          <w:sz w:val="22"/>
          <w:szCs w:val="22"/>
        </w:rPr>
        <w:t>Dear [NAME]:</w:t>
      </w:r>
    </w:p>
    <w:p w14:paraId="57718F68" w14:textId="77777777" w:rsidR="0012347F" w:rsidRPr="00856A8B" w:rsidRDefault="0012347F" w:rsidP="00856A8B">
      <w:pPr>
        <w:spacing w:after="120"/>
        <w:ind w:left="720"/>
        <w:rPr>
          <w:sz w:val="22"/>
          <w:szCs w:val="22"/>
        </w:rPr>
      </w:pPr>
      <w:r w:rsidRPr="00856A8B">
        <w:rPr>
          <w:sz w:val="22"/>
          <w:szCs w:val="22"/>
        </w:rPr>
        <w:t>On behalf of the National Center for Education Statistics in the U.S. Department of Education's Institute of Education Sciences and the staff of the High School Longitudinal Study of 2009 (HSLS:09), we would like to thank you for your participation in the HSLS:09 survey. Your participation in this study is very important to its success! Your payment of $[XX] is a token of our appreciation for your time and participation. Our records indicate that you selected a check payment. Your check is being processed and should arrive in a few weeks. Please contact us with any concerns about your incentive.</w:t>
      </w:r>
    </w:p>
    <w:p w14:paraId="1966A3AE" w14:textId="77777777" w:rsidR="0010135B" w:rsidRDefault="0012347F" w:rsidP="00856A8B">
      <w:pPr>
        <w:spacing w:after="120"/>
        <w:ind w:left="720"/>
        <w:rPr>
          <w:sz w:val="22"/>
          <w:szCs w:val="22"/>
        </w:rPr>
      </w:pPr>
      <w:r w:rsidRPr="00856A8B">
        <w:rPr>
          <w:sz w:val="22"/>
          <w:szCs w:val="22"/>
        </w:rPr>
        <w:t>If you have additional questions, please do not hesitate to call the HSLS</w:t>
      </w:r>
      <w:proofErr w:type="gramStart"/>
      <w:r w:rsidRPr="00856A8B">
        <w:rPr>
          <w:sz w:val="22"/>
          <w:szCs w:val="22"/>
        </w:rPr>
        <w:t>:09</w:t>
      </w:r>
      <w:proofErr w:type="gramEnd"/>
      <w:r w:rsidRPr="00856A8B">
        <w:rPr>
          <w:sz w:val="22"/>
          <w:szCs w:val="22"/>
        </w:rPr>
        <w:t xml:space="preserve"> Help Desk at 1-877-282-4757.</w:t>
      </w:r>
    </w:p>
    <w:p w14:paraId="0E463DD9" w14:textId="77777777" w:rsidR="0010135B" w:rsidRDefault="0012347F" w:rsidP="00856A8B">
      <w:pPr>
        <w:spacing w:after="120"/>
        <w:ind w:left="720"/>
        <w:rPr>
          <w:sz w:val="22"/>
          <w:szCs w:val="22"/>
        </w:rPr>
      </w:pPr>
      <w:r w:rsidRPr="00856A8B">
        <w:rPr>
          <w:sz w:val="22"/>
          <w:szCs w:val="22"/>
        </w:rPr>
        <w:t>Again, thank you for your time and willingness to participate.</w:t>
      </w:r>
    </w:p>
    <w:p w14:paraId="1C51F26E" w14:textId="11A1FBD1" w:rsidR="0012347F" w:rsidRPr="00856A8B" w:rsidRDefault="0012347F" w:rsidP="00856A8B">
      <w:pPr>
        <w:spacing w:after="120"/>
        <w:ind w:left="720"/>
        <w:rPr>
          <w:sz w:val="22"/>
          <w:szCs w:val="22"/>
        </w:rPr>
      </w:pPr>
      <w:r w:rsidRPr="00856A8B">
        <w:rPr>
          <w:sz w:val="22"/>
          <w:szCs w:val="22"/>
        </w:rPr>
        <w:t>HSLS</w:t>
      </w:r>
      <w:proofErr w:type="gramStart"/>
      <w:r w:rsidRPr="00856A8B">
        <w:rPr>
          <w:sz w:val="22"/>
          <w:szCs w:val="22"/>
        </w:rPr>
        <w:t>:09</w:t>
      </w:r>
      <w:proofErr w:type="gramEnd"/>
      <w:r w:rsidRPr="00856A8B">
        <w:rPr>
          <w:sz w:val="22"/>
          <w:szCs w:val="22"/>
        </w:rPr>
        <w:t xml:space="preserve"> Data Collection Team</w:t>
      </w:r>
    </w:p>
    <w:p w14:paraId="0ECE28E0" w14:textId="77777777" w:rsidR="0012347F" w:rsidRPr="00856A8B" w:rsidRDefault="0012347F" w:rsidP="00856A8B">
      <w:pPr>
        <w:spacing w:after="120"/>
        <w:ind w:left="720"/>
        <w:rPr>
          <w:sz w:val="22"/>
          <w:szCs w:val="22"/>
        </w:rPr>
      </w:pPr>
      <w:r w:rsidRPr="00856A8B">
        <w:rPr>
          <w:sz w:val="22"/>
          <w:szCs w:val="22"/>
        </w:rPr>
        <w:t>1-877-282-4757</w:t>
      </w:r>
    </w:p>
    <w:p w14:paraId="05A76B4B" w14:textId="77777777" w:rsidR="0012347F" w:rsidRPr="00856A8B" w:rsidRDefault="0012347F" w:rsidP="00856A8B">
      <w:pPr>
        <w:pStyle w:val="Heading4"/>
        <w:spacing w:after="120"/>
        <w:rPr>
          <w:sz w:val="22"/>
          <w:szCs w:val="22"/>
        </w:rPr>
      </w:pPr>
      <w:r w:rsidRPr="00856A8B">
        <w:rPr>
          <w:sz w:val="22"/>
          <w:szCs w:val="22"/>
        </w:rPr>
        <w:t>No Incentive:</w:t>
      </w:r>
    </w:p>
    <w:p w14:paraId="02CBC490" w14:textId="77777777" w:rsidR="0012347F" w:rsidRPr="00856A8B" w:rsidRDefault="0012347F" w:rsidP="00856A8B">
      <w:pPr>
        <w:spacing w:after="120"/>
        <w:ind w:left="720"/>
        <w:rPr>
          <w:sz w:val="22"/>
          <w:szCs w:val="22"/>
        </w:rPr>
      </w:pPr>
      <w:r w:rsidRPr="00856A8B">
        <w:rPr>
          <w:sz w:val="22"/>
          <w:szCs w:val="22"/>
        </w:rPr>
        <w:t>Dear [NAME]:</w:t>
      </w:r>
    </w:p>
    <w:p w14:paraId="4224DAF8" w14:textId="77777777" w:rsidR="0010135B" w:rsidRDefault="0012347F" w:rsidP="00856A8B">
      <w:pPr>
        <w:spacing w:after="120"/>
        <w:ind w:left="720"/>
        <w:rPr>
          <w:sz w:val="22"/>
          <w:szCs w:val="22"/>
        </w:rPr>
      </w:pPr>
      <w:r w:rsidRPr="00856A8B">
        <w:rPr>
          <w:sz w:val="22"/>
          <w:szCs w:val="22"/>
        </w:rPr>
        <w:t>On behalf of the National Center for Education Statistics in the U.S. Department of Education's Institute of Education Sciences and the staff of the High School Longitudinal Study of 2009 (HSLS:09), we would like to thank you for your participation in the HSLS:09 survey. Your participation in this study is very important to its success!</w:t>
      </w:r>
    </w:p>
    <w:p w14:paraId="32448848" w14:textId="77777777" w:rsidR="0010135B" w:rsidRDefault="0012347F" w:rsidP="00856A8B">
      <w:pPr>
        <w:spacing w:after="120"/>
        <w:ind w:left="720"/>
        <w:rPr>
          <w:sz w:val="22"/>
          <w:szCs w:val="22"/>
        </w:rPr>
      </w:pPr>
      <w:r w:rsidRPr="00856A8B">
        <w:rPr>
          <w:sz w:val="22"/>
          <w:szCs w:val="22"/>
        </w:rPr>
        <w:t>If you have additional questions, please do not hesitate to call the HSLS</w:t>
      </w:r>
      <w:proofErr w:type="gramStart"/>
      <w:r w:rsidRPr="00856A8B">
        <w:rPr>
          <w:sz w:val="22"/>
          <w:szCs w:val="22"/>
        </w:rPr>
        <w:t>:09</w:t>
      </w:r>
      <w:proofErr w:type="gramEnd"/>
      <w:r w:rsidRPr="00856A8B">
        <w:rPr>
          <w:sz w:val="22"/>
          <w:szCs w:val="22"/>
        </w:rPr>
        <w:t xml:space="preserve"> Help Desk at 1-877-282-4757.</w:t>
      </w:r>
    </w:p>
    <w:p w14:paraId="7CFB69C3" w14:textId="77777777" w:rsidR="0010135B" w:rsidRDefault="0012347F" w:rsidP="00856A8B">
      <w:pPr>
        <w:spacing w:after="120"/>
        <w:ind w:left="720"/>
        <w:rPr>
          <w:sz w:val="22"/>
          <w:szCs w:val="22"/>
        </w:rPr>
      </w:pPr>
      <w:r w:rsidRPr="00856A8B">
        <w:rPr>
          <w:sz w:val="22"/>
          <w:szCs w:val="22"/>
        </w:rPr>
        <w:t>Again, thank you for your time and willingness to participate.</w:t>
      </w:r>
    </w:p>
    <w:p w14:paraId="3CC1720D" w14:textId="0A2D0A93" w:rsidR="0012347F" w:rsidRPr="00856A8B" w:rsidRDefault="0012347F" w:rsidP="00856A8B">
      <w:pPr>
        <w:spacing w:after="120"/>
        <w:ind w:left="720"/>
        <w:rPr>
          <w:sz w:val="22"/>
          <w:szCs w:val="22"/>
        </w:rPr>
      </w:pPr>
      <w:r w:rsidRPr="00856A8B">
        <w:rPr>
          <w:sz w:val="22"/>
          <w:szCs w:val="22"/>
        </w:rPr>
        <w:t>HSLS</w:t>
      </w:r>
      <w:proofErr w:type="gramStart"/>
      <w:r w:rsidRPr="00856A8B">
        <w:rPr>
          <w:sz w:val="22"/>
          <w:szCs w:val="22"/>
        </w:rPr>
        <w:t>:09</w:t>
      </w:r>
      <w:proofErr w:type="gramEnd"/>
      <w:r w:rsidRPr="00856A8B">
        <w:rPr>
          <w:sz w:val="22"/>
          <w:szCs w:val="22"/>
        </w:rPr>
        <w:t xml:space="preserve"> Data Collection Team</w:t>
      </w:r>
    </w:p>
    <w:p w14:paraId="64412AA5" w14:textId="77777777" w:rsidR="0012347F" w:rsidRPr="00856A8B" w:rsidRDefault="0012347F" w:rsidP="00856A8B">
      <w:pPr>
        <w:spacing w:after="120"/>
        <w:ind w:left="720"/>
        <w:rPr>
          <w:sz w:val="22"/>
          <w:szCs w:val="22"/>
        </w:rPr>
      </w:pPr>
      <w:r w:rsidRPr="00856A8B">
        <w:rPr>
          <w:sz w:val="22"/>
          <w:szCs w:val="22"/>
        </w:rPr>
        <w:t>1-877-282-4757</w:t>
      </w:r>
    </w:p>
    <w:p w14:paraId="473C9AF8" w14:textId="77777777" w:rsidR="00C90410" w:rsidRDefault="00C90410" w:rsidP="00856A8B">
      <w:pPr>
        <w:pStyle w:val="Heading1"/>
      </w:pPr>
    </w:p>
    <w:p w14:paraId="0F2BCEB4" w14:textId="62DC14E1" w:rsidR="0012347F" w:rsidRDefault="0012347F" w:rsidP="00C90410">
      <w:pPr>
        <w:pStyle w:val="Heading1"/>
        <w:numPr>
          <w:ilvl w:val="0"/>
          <w:numId w:val="21"/>
        </w:numPr>
      </w:pPr>
      <w:r>
        <w:t>Phase 3 incentive boost amount</w:t>
      </w:r>
    </w:p>
    <w:p w14:paraId="3277243C" w14:textId="3019F978" w:rsidR="001B15CB" w:rsidRPr="00307F6F" w:rsidRDefault="0047422C" w:rsidP="00A95C35">
      <w:pPr>
        <w:pStyle w:val="Bodytextnoindent"/>
        <w:spacing w:before="0" w:line="23" w:lineRule="atLeast"/>
        <w:rPr>
          <w:rFonts w:asciiTheme="majorBidi" w:hAnsiTheme="majorBidi" w:cstheme="majorBidi"/>
          <w:szCs w:val="24"/>
        </w:rPr>
      </w:pPr>
      <w:r w:rsidRPr="00307F6F">
        <w:rPr>
          <w:rFonts w:asciiTheme="majorBidi" w:hAnsiTheme="majorBidi" w:cstheme="majorBidi"/>
          <w:szCs w:val="24"/>
        </w:rPr>
        <w:t xml:space="preserve">A change request was submitted and approved in April to establish baseline incentive plans for the main sample. </w:t>
      </w:r>
      <w:r w:rsidR="001F7E7E" w:rsidRPr="00307F6F">
        <w:rPr>
          <w:rFonts w:asciiTheme="majorBidi" w:hAnsiTheme="majorBidi" w:cstheme="majorBidi"/>
          <w:szCs w:val="24"/>
        </w:rPr>
        <w:t>This</w:t>
      </w:r>
      <w:r w:rsidR="00450CC6" w:rsidRPr="00307F6F">
        <w:rPr>
          <w:rFonts w:asciiTheme="majorBidi" w:hAnsiTheme="majorBidi" w:cstheme="majorBidi"/>
          <w:szCs w:val="24"/>
        </w:rPr>
        <w:t xml:space="preserve"> memorandum </w:t>
      </w:r>
      <w:r w:rsidR="004E0012" w:rsidRPr="00307F6F">
        <w:rPr>
          <w:rFonts w:asciiTheme="majorBidi" w:hAnsiTheme="majorBidi" w:cstheme="majorBidi"/>
          <w:szCs w:val="24"/>
        </w:rPr>
        <w:t xml:space="preserve">provides </w:t>
      </w:r>
      <w:r w:rsidR="00DE39F0" w:rsidRPr="00307F6F">
        <w:rPr>
          <w:rFonts w:asciiTheme="majorBidi" w:hAnsiTheme="majorBidi" w:cstheme="majorBidi"/>
          <w:szCs w:val="24"/>
        </w:rPr>
        <w:t xml:space="preserve">data collection results from the </w:t>
      </w:r>
      <w:r w:rsidR="00A95C35" w:rsidRPr="00307F6F">
        <w:rPr>
          <w:rFonts w:asciiTheme="majorBidi" w:hAnsiTheme="majorBidi" w:cstheme="majorBidi"/>
          <w:szCs w:val="24"/>
        </w:rPr>
        <w:t xml:space="preserve">calibration sample </w:t>
      </w:r>
      <w:r w:rsidR="00834859">
        <w:rPr>
          <w:rFonts w:asciiTheme="majorBidi" w:hAnsiTheme="majorBidi" w:cstheme="majorBidi"/>
          <w:szCs w:val="24"/>
        </w:rPr>
        <w:t xml:space="preserve">third </w:t>
      </w:r>
      <w:r w:rsidRPr="00307F6F">
        <w:rPr>
          <w:rFonts w:asciiTheme="majorBidi" w:hAnsiTheme="majorBidi" w:cstheme="majorBidi"/>
          <w:szCs w:val="24"/>
        </w:rPr>
        <w:t>phase</w:t>
      </w:r>
      <w:r w:rsidR="00834859">
        <w:rPr>
          <w:rFonts w:asciiTheme="majorBidi" w:hAnsiTheme="majorBidi" w:cstheme="majorBidi"/>
          <w:szCs w:val="24"/>
        </w:rPr>
        <w:t xml:space="preserve"> (first incentive boost experiment)</w:t>
      </w:r>
      <w:r w:rsidR="00DE39F0" w:rsidRPr="00307F6F">
        <w:rPr>
          <w:rFonts w:asciiTheme="majorBidi" w:hAnsiTheme="majorBidi" w:cstheme="majorBidi"/>
          <w:szCs w:val="24"/>
        </w:rPr>
        <w:t xml:space="preserve">, and </w:t>
      </w:r>
      <w:r w:rsidR="003F14B1" w:rsidRPr="00307F6F">
        <w:rPr>
          <w:rFonts w:asciiTheme="majorBidi" w:hAnsiTheme="majorBidi" w:cstheme="majorBidi"/>
          <w:szCs w:val="24"/>
        </w:rPr>
        <w:t xml:space="preserve">requests approval for recommended </w:t>
      </w:r>
      <w:r w:rsidR="00DE39F0" w:rsidRPr="00307F6F">
        <w:rPr>
          <w:rFonts w:asciiTheme="majorBidi" w:hAnsiTheme="majorBidi" w:cstheme="majorBidi"/>
          <w:szCs w:val="24"/>
        </w:rPr>
        <w:t xml:space="preserve">incentive </w:t>
      </w:r>
      <w:r w:rsidRPr="00307F6F">
        <w:rPr>
          <w:rFonts w:asciiTheme="majorBidi" w:hAnsiTheme="majorBidi" w:cstheme="majorBidi"/>
          <w:szCs w:val="24"/>
        </w:rPr>
        <w:t xml:space="preserve">boost </w:t>
      </w:r>
      <w:r w:rsidR="00DE39F0" w:rsidRPr="00307F6F">
        <w:rPr>
          <w:rFonts w:asciiTheme="majorBidi" w:hAnsiTheme="majorBidi" w:cstheme="majorBidi"/>
          <w:szCs w:val="24"/>
        </w:rPr>
        <w:t>plans for the main sample</w:t>
      </w:r>
      <w:r w:rsidR="00D90962" w:rsidRPr="00307F6F">
        <w:rPr>
          <w:rFonts w:asciiTheme="majorBidi" w:hAnsiTheme="majorBidi" w:cstheme="majorBidi"/>
          <w:szCs w:val="24"/>
        </w:rPr>
        <w:t>.</w:t>
      </w:r>
    </w:p>
    <w:p w14:paraId="0DEB3822" w14:textId="6408F0A7" w:rsidR="001F7E7E" w:rsidRPr="00307F6F" w:rsidRDefault="00FC0F0E" w:rsidP="009F504E">
      <w:pPr>
        <w:pStyle w:val="NoSpacing"/>
        <w:spacing w:before="120" w:after="120" w:line="23" w:lineRule="atLeast"/>
        <w:rPr>
          <w:rFonts w:asciiTheme="majorBidi" w:hAnsiTheme="majorBidi" w:cstheme="majorBidi"/>
        </w:rPr>
      </w:pPr>
      <w:r w:rsidRPr="00307F6F">
        <w:rPr>
          <w:rFonts w:asciiTheme="majorBidi" w:hAnsiTheme="majorBidi" w:cstheme="majorBidi"/>
        </w:rPr>
        <w:t xml:space="preserve">For reference, an excerpt from </w:t>
      </w:r>
      <w:r w:rsidR="00120E05" w:rsidRPr="00307F6F">
        <w:rPr>
          <w:rFonts w:asciiTheme="majorBidi" w:hAnsiTheme="majorBidi" w:cstheme="majorBidi"/>
        </w:rPr>
        <w:t xml:space="preserve">Part B of </w:t>
      </w:r>
      <w:r w:rsidRPr="00307F6F">
        <w:rPr>
          <w:rFonts w:asciiTheme="majorBidi" w:hAnsiTheme="majorBidi" w:cstheme="majorBidi"/>
        </w:rPr>
        <w:t xml:space="preserve">the </w:t>
      </w:r>
      <w:r w:rsidR="00120E05" w:rsidRPr="00307F6F">
        <w:rPr>
          <w:rFonts w:asciiTheme="majorBidi" w:hAnsiTheme="majorBidi" w:cstheme="majorBidi"/>
        </w:rPr>
        <w:t xml:space="preserve">second follow-up </w:t>
      </w:r>
      <w:r w:rsidRPr="00307F6F">
        <w:rPr>
          <w:rFonts w:asciiTheme="majorBidi" w:hAnsiTheme="majorBidi" w:cstheme="majorBidi"/>
        </w:rPr>
        <w:t xml:space="preserve">main study </w:t>
      </w:r>
      <w:r w:rsidR="00120E05" w:rsidRPr="00307F6F">
        <w:rPr>
          <w:rFonts w:asciiTheme="majorBidi" w:hAnsiTheme="majorBidi" w:cstheme="majorBidi"/>
        </w:rPr>
        <w:t>submission</w:t>
      </w:r>
      <w:r w:rsidRPr="00307F6F">
        <w:rPr>
          <w:rFonts w:asciiTheme="majorBidi" w:hAnsiTheme="majorBidi" w:cstheme="majorBidi"/>
        </w:rPr>
        <w:t xml:space="preserve"> that describes main study responsive design plans is presented in Attachment 1</w:t>
      </w:r>
      <w:r w:rsidR="00A95C35" w:rsidRPr="00307F6F">
        <w:rPr>
          <w:rFonts w:asciiTheme="majorBidi" w:hAnsiTheme="majorBidi" w:cstheme="majorBidi"/>
        </w:rPr>
        <w:t xml:space="preserve"> below</w:t>
      </w:r>
      <w:r w:rsidRPr="00307F6F">
        <w:rPr>
          <w:rFonts w:asciiTheme="majorBidi" w:hAnsiTheme="majorBidi" w:cstheme="majorBidi"/>
        </w:rPr>
        <w:t xml:space="preserve">. </w:t>
      </w:r>
      <w:r w:rsidR="001F7E7E" w:rsidRPr="00307F6F">
        <w:rPr>
          <w:rFonts w:asciiTheme="majorBidi" w:hAnsiTheme="majorBidi" w:cstheme="majorBidi"/>
        </w:rPr>
        <w:t>In the HSLS</w:t>
      </w:r>
      <w:proofErr w:type="gramStart"/>
      <w:r w:rsidR="001F7E7E" w:rsidRPr="00307F6F">
        <w:rPr>
          <w:rFonts w:asciiTheme="majorBidi" w:hAnsiTheme="majorBidi" w:cstheme="majorBidi"/>
        </w:rPr>
        <w:t>:09</w:t>
      </w:r>
      <w:proofErr w:type="gramEnd"/>
      <w:r w:rsidR="001F7E7E" w:rsidRPr="00307F6F">
        <w:rPr>
          <w:rFonts w:asciiTheme="majorBidi" w:hAnsiTheme="majorBidi" w:cstheme="majorBidi"/>
        </w:rPr>
        <w:t xml:space="preserve"> second follow-up main study, there are three subgroups of special interest.</w:t>
      </w:r>
    </w:p>
    <w:p w14:paraId="13D51751" w14:textId="537BD424" w:rsidR="001F7E7E" w:rsidRPr="00307F6F" w:rsidRDefault="001F7E7E" w:rsidP="009F504E">
      <w:pPr>
        <w:pStyle w:val="NoSpacing"/>
        <w:numPr>
          <w:ilvl w:val="0"/>
          <w:numId w:val="11"/>
        </w:numPr>
        <w:spacing w:before="120" w:after="120" w:line="23" w:lineRule="atLeast"/>
        <w:rPr>
          <w:rFonts w:asciiTheme="majorBidi" w:hAnsiTheme="majorBidi" w:cstheme="majorBidi"/>
        </w:rPr>
      </w:pPr>
      <w:r w:rsidRPr="00307F6F">
        <w:rPr>
          <w:rFonts w:asciiTheme="majorBidi" w:hAnsiTheme="majorBidi" w:cstheme="majorBidi"/>
        </w:rPr>
        <w:t xml:space="preserve">Subgroup </w:t>
      </w:r>
      <w:r w:rsidR="0089162D" w:rsidRPr="00307F6F">
        <w:rPr>
          <w:rFonts w:asciiTheme="majorBidi" w:hAnsiTheme="majorBidi" w:cstheme="majorBidi"/>
        </w:rPr>
        <w:t>A</w:t>
      </w:r>
      <w:r w:rsidR="0010095E" w:rsidRPr="00307F6F">
        <w:rPr>
          <w:rStyle w:val="FootnoteReference"/>
          <w:rFonts w:asciiTheme="majorBidi" w:hAnsiTheme="majorBidi" w:cstheme="majorBidi"/>
          <w:sz w:val="24"/>
          <w:szCs w:val="24"/>
        </w:rPr>
        <w:footnoteReference w:id="2"/>
      </w:r>
      <w:r w:rsidRPr="00307F6F">
        <w:rPr>
          <w:rFonts w:asciiTheme="majorBidi" w:hAnsiTheme="majorBidi" w:cstheme="majorBidi"/>
        </w:rPr>
        <w:t xml:space="preserve"> (high school late/alternative/non-completers) is the subset of sample members who, as of the 2013 Update, had not completed high school, were still enrolled in high school, received an alternative credential, completed high school late, or experienced a dropout episode with unknown completion status.</w:t>
      </w:r>
    </w:p>
    <w:p w14:paraId="70EC4348" w14:textId="6DF3806F" w:rsidR="001F7E7E" w:rsidRPr="00307F6F" w:rsidRDefault="0089162D" w:rsidP="009F504E">
      <w:pPr>
        <w:pStyle w:val="NoSpacing"/>
        <w:numPr>
          <w:ilvl w:val="0"/>
          <w:numId w:val="11"/>
        </w:numPr>
        <w:spacing w:before="120" w:after="120" w:line="23" w:lineRule="atLeast"/>
        <w:rPr>
          <w:rFonts w:asciiTheme="majorBidi" w:hAnsiTheme="majorBidi" w:cstheme="majorBidi"/>
        </w:rPr>
      </w:pPr>
      <w:r w:rsidRPr="00307F6F">
        <w:rPr>
          <w:rFonts w:asciiTheme="majorBidi" w:hAnsiTheme="majorBidi" w:cstheme="majorBidi"/>
        </w:rPr>
        <w:t>Subgroup B</w:t>
      </w:r>
      <w:r w:rsidR="001F7E7E" w:rsidRPr="00307F6F">
        <w:rPr>
          <w:rFonts w:asciiTheme="majorBidi" w:hAnsiTheme="majorBidi" w:cstheme="majorBidi"/>
        </w:rPr>
        <w:t xml:space="preserve"> (ultra-cooperative respondents) includes sample members who participated in the base year, first follow-up, and 2013 Update without an incentive offer. These cases were also early web respondents in </w:t>
      </w:r>
      <w:r w:rsidR="00120E05" w:rsidRPr="00307F6F">
        <w:rPr>
          <w:rFonts w:asciiTheme="majorBidi" w:hAnsiTheme="majorBidi" w:cstheme="majorBidi"/>
        </w:rPr>
        <w:t xml:space="preserve">the </w:t>
      </w:r>
      <w:r w:rsidR="001F7E7E" w:rsidRPr="00307F6F">
        <w:rPr>
          <w:rFonts w:asciiTheme="majorBidi" w:hAnsiTheme="majorBidi" w:cstheme="majorBidi"/>
        </w:rPr>
        <w:t>2013 Update and, by definition, are high school completers.</w:t>
      </w:r>
    </w:p>
    <w:p w14:paraId="32DE1E96" w14:textId="31930395" w:rsidR="001F7E7E" w:rsidRPr="00307F6F" w:rsidRDefault="0089162D" w:rsidP="009F504E">
      <w:pPr>
        <w:pStyle w:val="NoSpacing"/>
        <w:numPr>
          <w:ilvl w:val="0"/>
          <w:numId w:val="11"/>
        </w:numPr>
        <w:spacing w:before="120" w:after="120" w:line="23" w:lineRule="atLeast"/>
        <w:rPr>
          <w:rFonts w:asciiTheme="majorBidi" w:hAnsiTheme="majorBidi" w:cstheme="majorBidi"/>
        </w:rPr>
      </w:pPr>
      <w:r w:rsidRPr="00307F6F">
        <w:rPr>
          <w:rFonts w:asciiTheme="majorBidi" w:hAnsiTheme="majorBidi" w:cstheme="majorBidi"/>
        </w:rPr>
        <w:t>Subgroup C</w:t>
      </w:r>
      <w:r w:rsidR="001F7E7E" w:rsidRPr="00307F6F">
        <w:rPr>
          <w:rFonts w:asciiTheme="majorBidi" w:hAnsiTheme="majorBidi" w:cstheme="majorBidi"/>
        </w:rPr>
        <w:t xml:space="preserve"> (high school completers and unknown high school completion status) include</w:t>
      </w:r>
      <w:r w:rsidR="002A3CB7" w:rsidRPr="00307F6F">
        <w:rPr>
          <w:rFonts w:asciiTheme="majorBidi" w:hAnsiTheme="majorBidi" w:cstheme="majorBidi"/>
        </w:rPr>
        <w:t>s</w:t>
      </w:r>
      <w:r w:rsidR="001F7E7E" w:rsidRPr="00307F6F">
        <w:rPr>
          <w:rFonts w:asciiTheme="majorBidi" w:hAnsiTheme="majorBidi" w:cstheme="majorBidi"/>
        </w:rPr>
        <w:t xml:space="preserve"> cases that, as of the 2013 Update, were known </w:t>
      </w:r>
      <w:r w:rsidR="00120E05" w:rsidRPr="00307F6F">
        <w:rPr>
          <w:rFonts w:asciiTheme="majorBidi" w:hAnsiTheme="majorBidi" w:cstheme="majorBidi"/>
        </w:rPr>
        <w:t xml:space="preserve">to be </w:t>
      </w:r>
      <w:r w:rsidR="001F7E7E" w:rsidRPr="00307F6F">
        <w:rPr>
          <w:rFonts w:asciiTheme="majorBidi" w:hAnsiTheme="majorBidi" w:cstheme="majorBidi"/>
        </w:rPr>
        <w:t>on-time or early regular diploma completers (and not identified as ultra-cooperative) and cases with unknown high school completion status who were not previously identified as ever having a dropout episode.</w:t>
      </w:r>
    </w:p>
    <w:p w14:paraId="779303D9" w14:textId="38A2571D" w:rsidR="001F7E7E" w:rsidRPr="00307F6F" w:rsidRDefault="001F7E7E" w:rsidP="009F504E">
      <w:pPr>
        <w:pStyle w:val="NoSpacing"/>
        <w:spacing w:before="120" w:after="120" w:line="23" w:lineRule="atLeast"/>
        <w:rPr>
          <w:rFonts w:asciiTheme="majorBidi" w:hAnsiTheme="majorBidi" w:cstheme="majorBidi"/>
        </w:rPr>
      </w:pPr>
      <w:r w:rsidRPr="00307F6F">
        <w:rPr>
          <w:rFonts w:asciiTheme="majorBidi" w:hAnsiTheme="majorBidi" w:cstheme="majorBidi"/>
        </w:rPr>
        <w:lastRenderedPageBreak/>
        <w:t xml:space="preserve">To determine </w:t>
      </w:r>
      <w:r w:rsidRPr="00307F6F">
        <w:rPr>
          <w:rFonts w:asciiTheme="majorBidi" w:hAnsiTheme="majorBidi" w:cstheme="majorBidi"/>
          <w:bCs/>
        </w:rPr>
        <w:t xml:space="preserve">optimal incentive amounts, </w:t>
      </w:r>
      <w:r w:rsidRPr="00307F6F">
        <w:rPr>
          <w:rFonts w:asciiTheme="majorBidi" w:hAnsiTheme="majorBidi" w:cstheme="majorBidi"/>
        </w:rPr>
        <w:t xml:space="preserve">a calibration subsample </w:t>
      </w:r>
      <w:r w:rsidR="00696340" w:rsidRPr="00307F6F">
        <w:rPr>
          <w:rFonts w:asciiTheme="majorBidi" w:hAnsiTheme="majorBidi" w:cstheme="majorBidi"/>
        </w:rPr>
        <w:t>has been</w:t>
      </w:r>
      <w:r w:rsidRPr="00307F6F">
        <w:rPr>
          <w:rFonts w:asciiTheme="majorBidi" w:hAnsiTheme="majorBidi" w:cstheme="majorBidi"/>
        </w:rPr>
        <w:t xml:space="preserve"> selected from each of the aforementioned subgroups to begin data collection ahead of the main sample.</w:t>
      </w:r>
      <w:r w:rsidR="00696340" w:rsidRPr="00307F6F">
        <w:rPr>
          <w:rFonts w:asciiTheme="majorBidi" w:hAnsiTheme="majorBidi" w:cstheme="majorBidi"/>
        </w:rPr>
        <w:t xml:space="preserve"> The experimental subsamples </w:t>
      </w:r>
      <w:r w:rsidR="002968A9" w:rsidRPr="00307F6F">
        <w:rPr>
          <w:rFonts w:asciiTheme="majorBidi" w:hAnsiTheme="majorBidi" w:cstheme="majorBidi"/>
        </w:rPr>
        <w:t>a</w:t>
      </w:r>
      <w:r w:rsidR="00F33B51" w:rsidRPr="00307F6F">
        <w:rPr>
          <w:rFonts w:asciiTheme="majorBidi" w:hAnsiTheme="majorBidi" w:cstheme="majorBidi"/>
        </w:rPr>
        <w:t>re</w:t>
      </w:r>
      <w:r w:rsidR="00696340" w:rsidRPr="00307F6F">
        <w:rPr>
          <w:rFonts w:asciiTheme="majorBidi" w:hAnsiTheme="majorBidi" w:cstheme="majorBidi"/>
        </w:rPr>
        <w:t xml:space="preserve"> fielded about six weeks prior to the main sample </w:t>
      </w:r>
      <w:r w:rsidR="00FC0F0E" w:rsidRPr="00307F6F">
        <w:rPr>
          <w:rFonts w:asciiTheme="majorBidi" w:hAnsiTheme="majorBidi" w:cstheme="majorBidi"/>
        </w:rPr>
        <w:t>to allow time to</w:t>
      </w:r>
      <w:r w:rsidR="00696340" w:rsidRPr="00307F6F">
        <w:rPr>
          <w:rFonts w:asciiTheme="majorBidi" w:hAnsiTheme="majorBidi" w:cstheme="majorBidi"/>
        </w:rPr>
        <w:t xml:space="preserve"> analyze the results and consult with OMB to determine the baseline incentive amounts </w:t>
      </w:r>
      <w:r w:rsidR="00FC0F0E" w:rsidRPr="00307F6F">
        <w:rPr>
          <w:rFonts w:asciiTheme="majorBidi" w:hAnsiTheme="majorBidi" w:cstheme="majorBidi"/>
        </w:rPr>
        <w:t xml:space="preserve">to be implemented </w:t>
      </w:r>
      <w:r w:rsidR="00696340" w:rsidRPr="00307F6F">
        <w:rPr>
          <w:rFonts w:asciiTheme="majorBidi" w:hAnsiTheme="majorBidi" w:cstheme="majorBidi"/>
        </w:rPr>
        <w:t>for each subgroup in the main sample</w:t>
      </w:r>
      <w:r w:rsidR="00E32E16" w:rsidRPr="00307F6F">
        <w:rPr>
          <w:rFonts w:asciiTheme="majorBidi" w:hAnsiTheme="majorBidi" w:cstheme="majorBidi"/>
        </w:rPr>
        <w:t>.</w:t>
      </w:r>
    </w:p>
    <w:p w14:paraId="52F0BBBA" w14:textId="77777777" w:rsidR="0010135B" w:rsidRDefault="00525932" w:rsidP="005B3D5C">
      <w:pPr>
        <w:spacing w:before="120" w:after="120" w:line="23" w:lineRule="atLeast"/>
        <w:rPr>
          <w:rFonts w:asciiTheme="majorBidi" w:hAnsiTheme="majorBidi" w:cstheme="majorBidi"/>
        </w:rPr>
      </w:pPr>
      <w:r w:rsidRPr="00A95C35">
        <w:rPr>
          <w:b/>
          <w:u w:val="single"/>
        </w:rPr>
        <w:t>Calibration sample results</w:t>
      </w:r>
      <w:r w:rsidR="002968A9" w:rsidRPr="00A95C35">
        <w:rPr>
          <w:b/>
          <w:u w:val="single"/>
        </w:rPr>
        <w:t xml:space="preserve"> from phase</w:t>
      </w:r>
      <w:r w:rsidR="001C4603">
        <w:rPr>
          <w:b/>
          <w:u w:val="single"/>
        </w:rPr>
        <w:t xml:space="preserve"> 3</w:t>
      </w:r>
      <w:r w:rsidR="00153D6A">
        <w:rPr>
          <w:b/>
          <w:u w:val="single"/>
        </w:rPr>
        <w:t xml:space="preserve"> (boost 1)</w:t>
      </w:r>
      <w:r w:rsidR="00531C04">
        <w:rPr>
          <w:rFonts w:asciiTheme="majorBidi" w:hAnsiTheme="majorBidi" w:cstheme="majorBidi"/>
          <w:b/>
        </w:rPr>
        <w:t xml:space="preserve">. </w:t>
      </w:r>
      <w:r w:rsidR="00BD2503" w:rsidRPr="00307F6F">
        <w:rPr>
          <w:rFonts w:asciiTheme="majorBidi" w:hAnsiTheme="majorBidi" w:cstheme="majorBidi"/>
        </w:rPr>
        <w:t xml:space="preserve">Phase 3 of the calibration study introduced an incentive boost that was offered </w:t>
      </w:r>
      <w:r w:rsidR="00977F6A">
        <w:rPr>
          <w:rFonts w:asciiTheme="majorBidi" w:hAnsiTheme="majorBidi" w:cstheme="majorBidi"/>
        </w:rPr>
        <w:t xml:space="preserve">to a subset of pending nonrespondents </w:t>
      </w:r>
      <w:r w:rsidR="00BD2503" w:rsidRPr="00307F6F">
        <w:rPr>
          <w:rFonts w:asciiTheme="majorBidi" w:hAnsiTheme="majorBidi" w:cstheme="majorBidi"/>
        </w:rPr>
        <w:t>in addition to the baseline amount offered in the prior phases.  The purpose of this memo is to present the results from phase 3 for the calibration sample and to recommend an incentive boost amount for each subgroup to be implemented in the main sample.</w:t>
      </w:r>
    </w:p>
    <w:p w14:paraId="1B2F5704" w14:textId="54155F2A" w:rsidR="00BD2503" w:rsidRPr="00307F6F" w:rsidRDefault="00BD2503" w:rsidP="00BD2503">
      <w:pPr>
        <w:pStyle w:val="ListParagraph"/>
        <w:numPr>
          <w:ilvl w:val="0"/>
          <w:numId w:val="13"/>
        </w:numPr>
        <w:spacing w:after="160" w:line="259" w:lineRule="auto"/>
        <w:contextualSpacing/>
        <w:rPr>
          <w:rFonts w:asciiTheme="majorBidi" w:hAnsiTheme="majorBidi" w:cstheme="majorBidi"/>
          <w:sz w:val="24"/>
        </w:rPr>
      </w:pPr>
      <w:r w:rsidRPr="00307F6F">
        <w:rPr>
          <w:rFonts w:asciiTheme="majorBidi" w:hAnsiTheme="majorBidi" w:cstheme="majorBidi"/>
          <w:sz w:val="24"/>
        </w:rPr>
        <w:t>Subgroup A (High School Late/Alternative/ Non-Completers.) Among all remaining nonrespondents, cases were randomized to a boost 1 incentive amount of $15 or $25.</w:t>
      </w:r>
    </w:p>
    <w:p w14:paraId="0229F69E" w14:textId="250B9DC8" w:rsidR="00BD2503" w:rsidRPr="00307F6F" w:rsidRDefault="00BD2503" w:rsidP="00BD2503">
      <w:pPr>
        <w:pStyle w:val="ListParagraph"/>
        <w:numPr>
          <w:ilvl w:val="0"/>
          <w:numId w:val="13"/>
        </w:numPr>
        <w:spacing w:after="160" w:line="259" w:lineRule="auto"/>
        <w:contextualSpacing/>
        <w:rPr>
          <w:rFonts w:asciiTheme="majorBidi" w:hAnsiTheme="majorBidi" w:cstheme="majorBidi"/>
          <w:sz w:val="24"/>
        </w:rPr>
      </w:pPr>
      <w:r w:rsidRPr="00307F6F">
        <w:rPr>
          <w:rFonts w:asciiTheme="majorBidi" w:hAnsiTheme="majorBidi" w:cstheme="majorBidi"/>
          <w:sz w:val="24"/>
        </w:rPr>
        <w:t>Subgroup B (Ultra-Cooperative Respondents.) Among the remaining nonrespondents, cases that were identified for targeting by the bias</w:t>
      </w:r>
      <w:r w:rsidR="00977F6A">
        <w:rPr>
          <w:rFonts w:asciiTheme="majorBidi" w:hAnsiTheme="majorBidi" w:cstheme="majorBidi"/>
          <w:sz w:val="24"/>
        </w:rPr>
        <w:t>-likelihood</w:t>
      </w:r>
      <w:r w:rsidRPr="00307F6F">
        <w:rPr>
          <w:rFonts w:asciiTheme="majorBidi" w:hAnsiTheme="majorBidi" w:cstheme="majorBidi"/>
          <w:sz w:val="24"/>
        </w:rPr>
        <w:t xml:space="preserve"> model were randomized to a boost 1 incentive amount of $10 or $20.</w:t>
      </w:r>
    </w:p>
    <w:p w14:paraId="1EE6CDCA" w14:textId="49B0BA87" w:rsidR="00BD2503" w:rsidRPr="00307F6F" w:rsidRDefault="00BD2503" w:rsidP="00BD2503">
      <w:pPr>
        <w:pStyle w:val="ListParagraph"/>
        <w:numPr>
          <w:ilvl w:val="0"/>
          <w:numId w:val="13"/>
        </w:numPr>
        <w:spacing w:after="160" w:line="259" w:lineRule="auto"/>
        <w:contextualSpacing/>
        <w:rPr>
          <w:rFonts w:asciiTheme="majorBidi" w:hAnsiTheme="majorBidi" w:cstheme="majorBidi"/>
          <w:sz w:val="24"/>
        </w:rPr>
      </w:pPr>
      <w:r w:rsidRPr="00307F6F">
        <w:rPr>
          <w:rFonts w:asciiTheme="majorBidi" w:hAnsiTheme="majorBidi" w:cstheme="majorBidi"/>
          <w:sz w:val="24"/>
        </w:rPr>
        <w:t>Subgroup C (All Other High School Completers and Unknown Cases.) Among the remaining nonrespondents, cases that were identified for targeting by the bias</w:t>
      </w:r>
      <w:r w:rsidR="00977F6A">
        <w:rPr>
          <w:rFonts w:asciiTheme="majorBidi" w:hAnsiTheme="majorBidi" w:cstheme="majorBidi"/>
          <w:sz w:val="24"/>
        </w:rPr>
        <w:t>-likelihood</w:t>
      </w:r>
      <w:r w:rsidRPr="00307F6F">
        <w:rPr>
          <w:rFonts w:asciiTheme="majorBidi" w:hAnsiTheme="majorBidi" w:cstheme="majorBidi"/>
          <w:sz w:val="24"/>
        </w:rPr>
        <w:t xml:space="preserve"> model were randomized to a boost 1 incentive amount of $10 or $20.</w:t>
      </w:r>
    </w:p>
    <w:p w14:paraId="649A5CDB" w14:textId="77777777" w:rsidR="0010135B" w:rsidRDefault="00BD2503" w:rsidP="00BD2503">
      <w:pPr>
        <w:rPr>
          <w:rFonts w:asciiTheme="majorBidi" w:hAnsiTheme="majorBidi" w:cstheme="majorBidi"/>
        </w:rPr>
      </w:pPr>
      <w:proofErr w:type="gramStart"/>
      <w:r w:rsidRPr="005B3D5C">
        <w:rPr>
          <w:rFonts w:asciiTheme="majorBidi" w:hAnsiTheme="majorBidi" w:cstheme="majorBidi"/>
          <w:b/>
          <w:i/>
        </w:rPr>
        <w:t>Subgroup A (High School Late/Alternative/ Non-Completers</w:t>
      </w:r>
      <w:r w:rsidRPr="00153D6A">
        <w:rPr>
          <w:rFonts w:asciiTheme="majorBidi" w:hAnsiTheme="majorBidi" w:cstheme="majorBidi"/>
          <w:b/>
          <w:i/>
        </w:rPr>
        <w:t>).</w:t>
      </w:r>
      <w:proofErr w:type="gramEnd"/>
      <w:r w:rsidRPr="00153D6A">
        <w:rPr>
          <w:rFonts w:asciiTheme="majorBidi" w:hAnsiTheme="majorBidi" w:cstheme="majorBidi"/>
        </w:rPr>
        <w:t xml:space="preserve"> </w:t>
      </w:r>
      <w:r w:rsidRPr="00307F6F">
        <w:rPr>
          <w:rFonts w:asciiTheme="majorBidi" w:hAnsiTheme="majorBidi" w:cstheme="majorBidi"/>
        </w:rPr>
        <w:t xml:space="preserve">Exhibit 1 displays response rates during phase 3 by incentive boost level. One-way chi-square tests were used to perform pairwise contrasts between the boost amounts offered to all remaining nonrespondents in Subgroup </w:t>
      </w:r>
      <w:proofErr w:type="gramStart"/>
      <w:r w:rsidRPr="00307F6F">
        <w:rPr>
          <w:rFonts w:asciiTheme="majorBidi" w:hAnsiTheme="majorBidi" w:cstheme="majorBidi"/>
        </w:rPr>
        <w:t>A</w:t>
      </w:r>
      <w:proofErr w:type="gramEnd"/>
      <w:r w:rsidRPr="00307F6F">
        <w:rPr>
          <w:rFonts w:asciiTheme="majorBidi" w:hAnsiTheme="majorBidi" w:cstheme="majorBidi"/>
        </w:rPr>
        <w:t xml:space="preserve"> calibration sample. Among cases in Subgroup A, analyses of phases 1</w:t>
      </w:r>
      <w:r w:rsidR="00977F6A">
        <w:rPr>
          <w:rFonts w:asciiTheme="majorBidi" w:hAnsiTheme="majorBidi" w:cstheme="majorBidi"/>
        </w:rPr>
        <w:t xml:space="preserve"> and</w:t>
      </w:r>
      <w:r w:rsidR="00856A8B">
        <w:rPr>
          <w:rFonts w:asciiTheme="majorBidi" w:hAnsiTheme="majorBidi" w:cstheme="majorBidi"/>
        </w:rPr>
        <w:t xml:space="preserve"> </w:t>
      </w:r>
      <w:r w:rsidRPr="00307F6F">
        <w:rPr>
          <w:rFonts w:asciiTheme="majorBidi" w:hAnsiTheme="majorBidi" w:cstheme="majorBidi"/>
        </w:rPr>
        <w:t xml:space="preserve">2 showed that there were no significant differences in response rates for the different baseline incentive amounts offered (for more details, see </w:t>
      </w:r>
      <w:r w:rsidRPr="00307F6F">
        <w:rPr>
          <w:rFonts w:asciiTheme="majorBidi" w:hAnsiTheme="majorBidi" w:cstheme="majorBidi"/>
          <w:i/>
        </w:rPr>
        <w:t>HSLS:09 calibration study analysis: Phase 1 (baseline incentive) and 2 (CATI)</w:t>
      </w:r>
      <w:r w:rsidRPr="00307F6F">
        <w:rPr>
          <w:rFonts w:asciiTheme="majorBidi" w:hAnsiTheme="majorBidi" w:cstheme="majorBidi"/>
        </w:rPr>
        <w:t>), therefore all baseline amounts were collapsed together for the comparison of response rates by boost amount.</w:t>
      </w:r>
    </w:p>
    <w:p w14:paraId="75C831FE" w14:textId="785EB6DE" w:rsidR="00BD2503" w:rsidRPr="00307F6F" w:rsidRDefault="00BD2503" w:rsidP="00BD2503">
      <w:pPr>
        <w:rPr>
          <w:rFonts w:asciiTheme="majorBidi" w:hAnsiTheme="majorBidi" w:cstheme="majorBidi"/>
        </w:rPr>
      </w:pPr>
      <w:r w:rsidRPr="00307F6F">
        <w:rPr>
          <w:rFonts w:asciiTheme="majorBidi" w:hAnsiTheme="majorBidi" w:cstheme="majorBidi"/>
        </w:rPr>
        <w:t xml:space="preserve">No significant difference was detected between the response rates of </w:t>
      </w:r>
      <w:r w:rsidR="00856A8B">
        <w:rPr>
          <w:rFonts w:asciiTheme="majorBidi" w:hAnsiTheme="majorBidi" w:cstheme="majorBidi"/>
        </w:rPr>
        <w:t>sample members</w:t>
      </w:r>
      <w:r w:rsidRPr="00307F6F">
        <w:rPr>
          <w:rFonts w:asciiTheme="majorBidi" w:hAnsiTheme="majorBidi" w:cstheme="majorBidi"/>
        </w:rPr>
        <w:t xml:space="preserve"> who </w:t>
      </w:r>
      <w:r w:rsidR="00856A8B">
        <w:rPr>
          <w:rFonts w:asciiTheme="majorBidi" w:hAnsiTheme="majorBidi" w:cstheme="majorBidi"/>
        </w:rPr>
        <w:t>were offered</w:t>
      </w:r>
      <w:r w:rsidRPr="00307F6F">
        <w:rPr>
          <w:rFonts w:asciiTheme="majorBidi" w:hAnsiTheme="majorBidi" w:cstheme="majorBidi"/>
        </w:rPr>
        <w:t xml:space="preserve"> the $15 (13.5 percent) and $25 (15.6 percent) boost 1 incentive (</w:t>
      </w:r>
      <w:r w:rsidRPr="00307F6F">
        <w:rPr>
          <w:rFonts w:asciiTheme="majorBidi" w:hAnsiTheme="majorBidi" w:cstheme="majorBidi"/>
          <w:i/>
        </w:rPr>
        <w:t>χ</w:t>
      </w:r>
      <w:r w:rsidRPr="00307F6F">
        <w:rPr>
          <w:rFonts w:asciiTheme="majorBidi" w:hAnsiTheme="majorBidi" w:cstheme="majorBidi"/>
          <w:i/>
          <w:vertAlign w:val="superscript"/>
        </w:rPr>
        <w:t xml:space="preserve">2 </w:t>
      </w:r>
      <w:r w:rsidRPr="00307F6F">
        <w:rPr>
          <w:rFonts w:asciiTheme="majorBidi" w:hAnsiTheme="majorBidi" w:cstheme="majorBidi"/>
        </w:rPr>
        <w:t xml:space="preserve">(1, </w:t>
      </w:r>
      <w:r w:rsidRPr="00307F6F">
        <w:rPr>
          <w:rFonts w:asciiTheme="majorBidi" w:hAnsiTheme="majorBidi" w:cstheme="majorBidi"/>
          <w:i/>
        </w:rPr>
        <w:t>N</w:t>
      </w:r>
      <w:r w:rsidRPr="00307F6F">
        <w:rPr>
          <w:rFonts w:asciiTheme="majorBidi" w:hAnsiTheme="majorBidi" w:cstheme="majorBidi"/>
        </w:rPr>
        <w:t xml:space="preserve"> = 364) = .33, </w:t>
      </w:r>
      <w:r w:rsidRPr="00307F6F">
        <w:rPr>
          <w:rFonts w:asciiTheme="majorBidi" w:hAnsiTheme="majorBidi" w:cstheme="majorBidi"/>
          <w:i/>
        </w:rPr>
        <w:t>p</w:t>
      </w:r>
      <w:r w:rsidRPr="00307F6F">
        <w:rPr>
          <w:rFonts w:asciiTheme="majorBidi" w:hAnsiTheme="majorBidi" w:cstheme="majorBidi"/>
        </w:rPr>
        <w:t xml:space="preserve"> = .56). Our recommendation, therefore, is </w:t>
      </w:r>
      <w:r w:rsidR="00856A8B">
        <w:rPr>
          <w:rFonts w:asciiTheme="majorBidi" w:hAnsiTheme="majorBidi" w:cstheme="majorBidi"/>
        </w:rPr>
        <w:t xml:space="preserve">that </w:t>
      </w:r>
      <w:r w:rsidRPr="00307F6F">
        <w:rPr>
          <w:rFonts w:asciiTheme="majorBidi" w:hAnsiTheme="majorBidi" w:cstheme="majorBidi"/>
        </w:rPr>
        <w:t xml:space="preserve">a boost of $15 be offered to all cases in the Subgroup </w:t>
      </w:r>
      <w:proofErr w:type="gramStart"/>
      <w:r w:rsidRPr="00307F6F">
        <w:rPr>
          <w:rFonts w:asciiTheme="majorBidi" w:hAnsiTheme="majorBidi" w:cstheme="majorBidi"/>
        </w:rPr>
        <w:t>A</w:t>
      </w:r>
      <w:proofErr w:type="gramEnd"/>
      <w:r w:rsidRPr="00307F6F">
        <w:rPr>
          <w:rFonts w:asciiTheme="majorBidi" w:hAnsiTheme="majorBidi" w:cstheme="majorBidi"/>
        </w:rPr>
        <w:t xml:space="preserve"> main sample.</w:t>
      </w:r>
    </w:p>
    <w:p w14:paraId="603F3655" w14:textId="77777777" w:rsidR="001C4603" w:rsidRPr="003C55F6" w:rsidRDefault="001C4603" w:rsidP="00BD2503">
      <w:pPr>
        <w:rPr>
          <w:rFonts w:ascii="Garamond" w:hAnsi="Garamond"/>
          <w:b/>
        </w:rPr>
      </w:pPr>
    </w:p>
    <w:p w14:paraId="1C32C6A0" w14:textId="74143337" w:rsidR="00BD2503" w:rsidRDefault="00BD2503" w:rsidP="00BD2503">
      <w:pPr>
        <w:rPr>
          <w:rFonts w:ascii="Arial" w:hAnsi="Arial" w:cs="Arial"/>
          <w:b/>
          <w:color w:val="000000"/>
          <w:sz w:val="18"/>
        </w:rPr>
      </w:pPr>
      <w:r>
        <w:rPr>
          <w:rFonts w:ascii="Arial" w:hAnsi="Arial" w:cs="Arial"/>
          <w:b/>
          <w:color w:val="000000"/>
          <w:sz w:val="18"/>
        </w:rPr>
        <w:t>Exhibit</w:t>
      </w:r>
      <w:r w:rsidRPr="00617622">
        <w:rPr>
          <w:rFonts w:ascii="Arial" w:hAnsi="Arial" w:cs="Arial"/>
          <w:b/>
          <w:color w:val="000000"/>
          <w:sz w:val="18"/>
        </w:rPr>
        <w:t xml:space="preserve"> 1. Subgroup A response rates </w:t>
      </w:r>
      <w:r>
        <w:rPr>
          <w:rFonts w:ascii="Arial" w:hAnsi="Arial" w:cs="Arial"/>
          <w:b/>
          <w:color w:val="000000"/>
          <w:sz w:val="18"/>
        </w:rPr>
        <w:t xml:space="preserve">in phase 3, </w:t>
      </w:r>
      <w:r w:rsidRPr="00617622">
        <w:rPr>
          <w:rFonts w:ascii="Arial" w:hAnsi="Arial" w:cs="Arial"/>
          <w:b/>
          <w:color w:val="000000"/>
          <w:sz w:val="18"/>
        </w:rPr>
        <w:t>by</w:t>
      </w:r>
      <w:r>
        <w:rPr>
          <w:rFonts w:ascii="Arial" w:hAnsi="Arial" w:cs="Arial"/>
          <w:b/>
          <w:color w:val="000000"/>
          <w:sz w:val="18"/>
        </w:rPr>
        <w:t xml:space="preserve"> boost 1</w:t>
      </w:r>
      <w:r w:rsidRPr="00617622">
        <w:rPr>
          <w:rFonts w:ascii="Arial" w:hAnsi="Arial" w:cs="Arial"/>
          <w:b/>
          <w:color w:val="000000"/>
          <w:sz w:val="18"/>
        </w:rPr>
        <w:t xml:space="preserve"> incentive amount</w:t>
      </w:r>
    </w:p>
    <w:tbl>
      <w:tblPr>
        <w:tblW w:w="5000" w:type="pct"/>
        <w:tblLook w:val="04A0" w:firstRow="1" w:lastRow="0" w:firstColumn="1" w:lastColumn="0" w:noHBand="0" w:noVBand="1"/>
      </w:tblPr>
      <w:tblGrid>
        <w:gridCol w:w="1905"/>
        <w:gridCol w:w="2968"/>
        <w:gridCol w:w="1816"/>
        <w:gridCol w:w="1992"/>
        <w:gridCol w:w="1903"/>
      </w:tblGrid>
      <w:tr w:rsidR="00BD2503" w:rsidRPr="00FF0A70" w14:paraId="21708F3A" w14:textId="77777777" w:rsidTr="00834859">
        <w:trPr>
          <w:trHeight w:val="630"/>
        </w:trPr>
        <w:tc>
          <w:tcPr>
            <w:tcW w:w="900" w:type="pct"/>
            <w:tcBorders>
              <w:top w:val="single" w:sz="12" w:space="0" w:color="auto"/>
              <w:left w:val="nil"/>
              <w:bottom w:val="nil"/>
              <w:right w:val="nil"/>
            </w:tcBorders>
            <w:shd w:val="clear" w:color="auto" w:fill="auto"/>
            <w:vAlign w:val="center"/>
            <w:hideMark/>
          </w:tcPr>
          <w:p w14:paraId="62FAAA96" w14:textId="77777777" w:rsidR="00BD2503" w:rsidRPr="00FF0A70" w:rsidRDefault="00BD2503" w:rsidP="00834859">
            <w:pPr>
              <w:jc w:val="right"/>
              <w:rPr>
                <w:rFonts w:ascii="Arial" w:hAnsi="Arial" w:cs="Arial"/>
                <w:color w:val="000000"/>
                <w:sz w:val="20"/>
              </w:rPr>
            </w:pPr>
            <w:r w:rsidRPr="00FF0A70">
              <w:rPr>
                <w:rFonts w:ascii="Arial" w:hAnsi="Arial" w:cs="Arial"/>
                <w:color w:val="000000"/>
                <w:sz w:val="20"/>
              </w:rPr>
              <w:t>Boost 1</w:t>
            </w:r>
          </w:p>
        </w:tc>
        <w:tc>
          <w:tcPr>
            <w:tcW w:w="1402" w:type="pct"/>
            <w:tcBorders>
              <w:top w:val="single" w:sz="12" w:space="0" w:color="auto"/>
              <w:left w:val="nil"/>
              <w:bottom w:val="nil"/>
              <w:right w:val="nil"/>
            </w:tcBorders>
            <w:shd w:val="clear" w:color="auto" w:fill="auto"/>
            <w:vAlign w:val="center"/>
            <w:hideMark/>
          </w:tcPr>
          <w:p w14:paraId="456F1AC1" w14:textId="77777777" w:rsidR="00BD2503" w:rsidRPr="00FF0A70" w:rsidRDefault="00BD2503" w:rsidP="00834859">
            <w:pPr>
              <w:jc w:val="right"/>
              <w:rPr>
                <w:rFonts w:ascii="Arial" w:hAnsi="Arial" w:cs="Arial"/>
                <w:color w:val="000000"/>
                <w:sz w:val="20"/>
              </w:rPr>
            </w:pPr>
            <w:r w:rsidRPr="00FF0A70">
              <w:rPr>
                <w:rFonts w:ascii="Arial" w:hAnsi="Arial" w:cs="Arial"/>
                <w:color w:val="000000"/>
                <w:sz w:val="20"/>
              </w:rPr>
              <w:t>Sample members</w:t>
            </w:r>
            <w:r w:rsidRPr="00FF0A70">
              <w:rPr>
                <w:rFonts w:ascii="Arial" w:hAnsi="Arial" w:cs="Arial"/>
                <w:color w:val="000000"/>
                <w:sz w:val="20"/>
              </w:rPr>
              <w:br/>
              <w:t>(n)</w:t>
            </w:r>
          </w:p>
        </w:tc>
        <w:tc>
          <w:tcPr>
            <w:tcW w:w="1799" w:type="pct"/>
            <w:gridSpan w:val="2"/>
            <w:tcBorders>
              <w:top w:val="single" w:sz="12" w:space="0" w:color="auto"/>
              <w:left w:val="nil"/>
              <w:bottom w:val="single" w:sz="8" w:space="0" w:color="auto"/>
              <w:right w:val="nil"/>
            </w:tcBorders>
            <w:shd w:val="clear" w:color="auto" w:fill="auto"/>
            <w:vAlign w:val="center"/>
            <w:hideMark/>
          </w:tcPr>
          <w:p w14:paraId="526224EB" w14:textId="77777777" w:rsidR="00BD2503" w:rsidRPr="00FF0A70" w:rsidRDefault="00BD2503" w:rsidP="00834859">
            <w:pPr>
              <w:jc w:val="center"/>
              <w:rPr>
                <w:rFonts w:ascii="Arial" w:hAnsi="Arial" w:cs="Arial"/>
                <w:color w:val="000000"/>
                <w:sz w:val="20"/>
              </w:rPr>
            </w:pPr>
            <w:r w:rsidRPr="00FF0A70">
              <w:rPr>
                <w:rFonts w:ascii="Arial" w:hAnsi="Arial" w:cs="Arial"/>
                <w:color w:val="000000"/>
                <w:sz w:val="20"/>
              </w:rPr>
              <w:t>Boost 1 response</w:t>
            </w:r>
          </w:p>
        </w:tc>
        <w:tc>
          <w:tcPr>
            <w:tcW w:w="899" w:type="pct"/>
            <w:tcBorders>
              <w:top w:val="single" w:sz="12" w:space="0" w:color="auto"/>
              <w:left w:val="nil"/>
              <w:bottom w:val="nil"/>
              <w:right w:val="nil"/>
            </w:tcBorders>
            <w:shd w:val="clear" w:color="auto" w:fill="auto"/>
            <w:vAlign w:val="center"/>
            <w:hideMark/>
          </w:tcPr>
          <w:p w14:paraId="1A2F3E2A" w14:textId="77777777" w:rsidR="00BD2503" w:rsidRPr="00FF0A70" w:rsidRDefault="00BD2503" w:rsidP="00834859">
            <w:pPr>
              <w:jc w:val="right"/>
              <w:rPr>
                <w:rFonts w:ascii="Arial" w:hAnsi="Arial" w:cs="Arial"/>
                <w:color w:val="000000"/>
                <w:sz w:val="20"/>
              </w:rPr>
            </w:pPr>
            <w:r w:rsidRPr="00FF0A70">
              <w:rPr>
                <w:rFonts w:ascii="Arial" w:hAnsi="Arial" w:cs="Arial"/>
                <w:color w:val="000000"/>
                <w:sz w:val="20"/>
              </w:rPr>
              <w:t>Boost 1 response rate (%)</w:t>
            </w:r>
          </w:p>
        </w:tc>
      </w:tr>
      <w:tr w:rsidR="00BD2503" w:rsidRPr="00FF0A70" w14:paraId="73FA246E" w14:textId="77777777" w:rsidTr="00834859">
        <w:trPr>
          <w:trHeight w:val="315"/>
        </w:trPr>
        <w:tc>
          <w:tcPr>
            <w:tcW w:w="900" w:type="pct"/>
            <w:tcBorders>
              <w:top w:val="nil"/>
              <w:left w:val="nil"/>
              <w:bottom w:val="single" w:sz="8" w:space="0" w:color="auto"/>
              <w:right w:val="nil"/>
            </w:tcBorders>
            <w:shd w:val="clear" w:color="auto" w:fill="auto"/>
            <w:noWrap/>
            <w:vAlign w:val="center"/>
            <w:hideMark/>
          </w:tcPr>
          <w:p w14:paraId="76335FDC" w14:textId="77777777" w:rsidR="00BD2503" w:rsidRPr="00FF0A70" w:rsidRDefault="00BD2503" w:rsidP="00834859">
            <w:pPr>
              <w:jc w:val="right"/>
              <w:rPr>
                <w:rFonts w:ascii="Arial" w:hAnsi="Arial" w:cs="Arial"/>
                <w:color w:val="000000"/>
                <w:sz w:val="20"/>
              </w:rPr>
            </w:pPr>
            <w:r w:rsidRPr="00FF0A70">
              <w:rPr>
                <w:rFonts w:ascii="Arial" w:hAnsi="Arial" w:cs="Arial"/>
                <w:color w:val="000000"/>
                <w:sz w:val="20"/>
              </w:rPr>
              <w:t> </w:t>
            </w:r>
          </w:p>
        </w:tc>
        <w:tc>
          <w:tcPr>
            <w:tcW w:w="1402" w:type="pct"/>
            <w:tcBorders>
              <w:top w:val="nil"/>
              <w:left w:val="nil"/>
              <w:bottom w:val="single" w:sz="8" w:space="0" w:color="auto"/>
              <w:right w:val="nil"/>
            </w:tcBorders>
            <w:shd w:val="clear" w:color="auto" w:fill="auto"/>
            <w:noWrap/>
            <w:vAlign w:val="center"/>
            <w:hideMark/>
          </w:tcPr>
          <w:p w14:paraId="2BF1792D" w14:textId="77777777" w:rsidR="00BD2503" w:rsidRPr="00FF0A70" w:rsidRDefault="00BD2503" w:rsidP="00834859">
            <w:pPr>
              <w:jc w:val="right"/>
              <w:rPr>
                <w:rFonts w:ascii="Arial" w:hAnsi="Arial" w:cs="Arial"/>
                <w:color w:val="000000"/>
                <w:sz w:val="20"/>
              </w:rPr>
            </w:pPr>
            <w:r w:rsidRPr="00FF0A70">
              <w:rPr>
                <w:rFonts w:ascii="Arial" w:hAnsi="Arial" w:cs="Arial"/>
                <w:color w:val="000000"/>
                <w:sz w:val="20"/>
              </w:rPr>
              <w:t> </w:t>
            </w:r>
          </w:p>
        </w:tc>
        <w:tc>
          <w:tcPr>
            <w:tcW w:w="858" w:type="pct"/>
            <w:tcBorders>
              <w:top w:val="nil"/>
              <w:left w:val="nil"/>
              <w:bottom w:val="single" w:sz="8" w:space="0" w:color="auto"/>
              <w:right w:val="nil"/>
            </w:tcBorders>
            <w:shd w:val="clear" w:color="auto" w:fill="auto"/>
            <w:noWrap/>
            <w:vAlign w:val="center"/>
            <w:hideMark/>
          </w:tcPr>
          <w:p w14:paraId="69C28FBB" w14:textId="77777777" w:rsidR="00BD2503" w:rsidRPr="00FF0A70" w:rsidRDefault="00BD2503" w:rsidP="00834859">
            <w:pPr>
              <w:jc w:val="right"/>
              <w:rPr>
                <w:rFonts w:ascii="Arial" w:hAnsi="Arial" w:cs="Arial"/>
                <w:color w:val="000000"/>
                <w:sz w:val="20"/>
              </w:rPr>
            </w:pPr>
            <w:r w:rsidRPr="00FF0A70">
              <w:rPr>
                <w:rFonts w:ascii="Arial" w:hAnsi="Arial" w:cs="Arial"/>
                <w:color w:val="000000"/>
                <w:sz w:val="20"/>
              </w:rPr>
              <w:t>Yes</w:t>
            </w:r>
          </w:p>
        </w:tc>
        <w:tc>
          <w:tcPr>
            <w:tcW w:w="941" w:type="pct"/>
            <w:tcBorders>
              <w:top w:val="nil"/>
              <w:left w:val="nil"/>
              <w:bottom w:val="single" w:sz="8" w:space="0" w:color="auto"/>
              <w:right w:val="nil"/>
            </w:tcBorders>
            <w:shd w:val="clear" w:color="auto" w:fill="auto"/>
            <w:noWrap/>
            <w:vAlign w:val="center"/>
            <w:hideMark/>
          </w:tcPr>
          <w:p w14:paraId="6810F7B6" w14:textId="77777777" w:rsidR="00BD2503" w:rsidRPr="00FF0A70" w:rsidRDefault="00BD2503" w:rsidP="00834859">
            <w:pPr>
              <w:jc w:val="right"/>
              <w:rPr>
                <w:rFonts w:ascii="Arial" w:hAnsi="Arial" w:cs="Arial"/>
                <w:color w:val="000000"/>
                <w:sz w:val="20"/>
              </w:rPr>
            </w:pPr>
            <w:r w:rsidRPr="00FF0A70">
              <w:rPr>
                <w:rFonts w:ascii="Arial" w:hAnsi="Arial" w:cs="Arial"/>
                <w:color w:val="000000"/>
                <w:sz w:val="20"/>
              </w:rPr>
              <w:t>No</w:t>
            </w:r>
          </w:p>
        </w:tc>
        <w:tc>
          <w:tcPr>
            <w:tcW w:w="899" w:type="pct"/>
            <w:tcBorders>
              <w:top w:val="nil"/>
              <w:left w:val="nil"/>
              <w:bottom w:val="single" w:sz="8" w:space="0" w:color="auto"/>
              <w:right w:val="nil"/>
            </w:tcBorders>
            <w:shd w:val="clear" w:color="auto" w:fill="auto"/>
            <w:noWrap/>
            <w:vAlign w:val="center"/>
            <w:hideMark/>
          </w:tcPr>
          <w:p w14:paraId="6DFBE7D7" w14:textId="77777777" w:rsidR="00BD2503" w:rsidRPr="00FF0A70" w:rsidRDefault="00BD2503" w:rsidP="00834859">
            <w:pPr>
              <w:jc w:val="right"/>
              <w:rPr>
                <w:rFonts w:ascii="Arial" w:hAnsi="Arial" w:cs="Arial"/>
                <w:color w:val="000000"/>
                <w:sz w:val="20"/>
              </w:rPr>
            </w:pPr>
            <w:r w:rsidRPr="00FF0A70">
              <w:rPr>
                <w:rFonts w:ascii="Arial" w:hAnsi="Arial" w:cs="Arial"/>
                <w:color w:val="000000"/>
                <w:sz w:val="20"/>
              </w:rPr>
              <w:t> </w:t>
            </w:r>
          </w:p>
        </w:tc>
      </w:tr>
      <w:tr w:rsidR="00BD2503" w:rsidRPr="00FF0A70" w14:paraId="55A04A75" w14:textId="77777777" w:rsidTr="00834859">
        <w:trPr>
          <w:trHeight w:val="300"/>
        </w:trPr>
        <w:tc>
          <w:tcPr>
            <w:tcW w:w="900" w:type="pct"/>
            <w:tcBorders>
              <w:top w:val="nil"/>
              <w:left w:val="nil"/>
              <w:bottom w:val="nil"/>
              <w:right w:val="nil"/>
            </w:tcBorders>
            <w:shd w:val="clear" w:color="auto" w:fill="auto"/>
            <w:noWrap/>
            <w:vAlign w:val="bottom"/>
            <w:hideMark/>
          </w:tcPr>
          <w:p w14:paraId="5E547D94" w14:textId="77777777" w:rsidR="00BD2503" w:rsidRPr="00FF0A70" w:rsidRDefault="00BD2503" w:rsidP="00834859">
            <w:pPr>
              <w:rPr>
                <w:rFonts w:ascii="Arial" w:hAnsi="Arial" w:cs="Arial"/>
                <w:color w:val="000000"/>
                <w:sz w:val="20"/>
              </w:rPr>
            </w:pPr>
          </w:p>
        </w:tc>
        <w:tc>
          <w:tcPr>
            <w:tcW w:w="1402" w:type="pct"/>
            <w:tcBorders>
              <w:top w:val="nil"/>
              <w:left w:val="nil"/>
              <w:bottom w:val="nil"/>
              <w:right w:val="nil"/>
            </w:tcBorders>
            <w:shd w:val="clear" w:color="auto" w:fill="auto"/>
            <w:noWrap/>
            <w:vAlign w:val="bottom"/>
            <w:hideMark/>
          </w:tcPr>
          <w:p w14:paraId="6A628D13" w14:textId="77777777" w:rsidR="00BD2503" w:rsidRPr="00FF0A70" w:rsidRDefault="00BD2503" w:rsidP="00834859">
            <w:pPr>
              <w:rPr>
                <w:rFonts w:ascii="Arial" w:hAnsi="Arial" w:cs="Arial"/>
                <w:sz w:val="20"/>
                <w:szCs w:val="20"/>
              </w:rPr>
            </w:pPr>
          </w:p>
        </w:tc>
        <w:tc>
          <w:tcPr>
            <w:tcW w:w="858" w:type="pct"/>
            <w:tcBorders>
              <w:top w:val="nil"/>
              <w:left w:val="nil"/>
              <w:bottom w:val="nil"/>
              <w:right w:val="nil"/>
            </w:tcBorders>
            <w:shd w:val="clear" w:color="auto" w:fill="auto"/>
            <w:noWrap/>
            <w:vAlign w:val="bottom"/>
            <w:hideMark/>
          </w:tcPr>
          <w:p w14:paraId="61CB0AD6" w14:textId="77777777" w:rsidR="00BD2503" w:rsidRPr="00FF0A70" w:rsidRDefault="00BD2503" w:rsidP="00834859">
            <w:pPr>
              <w:rPr>
                <w:rFonts w:ascii="Arial" w:hAnsi="Arial" w:cs="Arial"/>
                <w:sz w:val="20"/>
                <w:szCs w:val="20"/>
              </w:rPr>
            </w:pPr>
          </w:p>
        </w:tc>
        <w:tc>
          <w:tcPr>
            <w:tcW w:w="941" w:type="pct"/>
            <w:tcBorders>
              <w:top w:val="nil"/>
              <w:left w:val="nil"/>
              <w:bottom w:val="nil"/>
              <w:right w:val="nil"/>
            </w:tcBorders>
            <w:shd w:val="clear" w:color="auto" w:fill="auto"/>
            <w:noWrap/>
            <w:vAlign w:val="bottom"/>
            <w:hideMark/>
          </w:tcPr>
          <w:p w14:paraId="456B9406" w14:textId="77777777" w:rsidR="00BD2503" w:rsidRPr="00FF0A70" w:rsidRDefault="00BD2503" w:rsidP="00834859">
            <w:pPr>
              <w:rPr>
                <w:rFonts w:ascii="Arial" w:hAnsi="Arial" w:cs="Arial"/>
                <w:sz w:val="20"/>
                <w:szCs w:val="20"/>
              </w:rPr>
            </w:pPr>
          </w:p>
        </w:tc>
        <w:tc>
          <w:tcPr>
            <w:tcW w:w="899" w:type="pct"/>
            <w:tcBorders>
              <w:top w:val="nil"/>
              <w:left w:val="nil"/>
              <w:bottom w:val="nil"/>
              <w:right w:val="nil"/>
            </w:tcBorders>
            <w:shd w:val="clear" w:color="auto" w:fill="auto"/>
            <w:noWrap/>
            <w:vAlign w:val="bottom"/>
            <w:hideMark/>
          </w:tcPr>
          <w:p w14:paraId="4B1A93AE" w14:textId="77777777" w:rsidR="00BD2503" w:rsidRPr="00FF0A70" w:rsidRDefault="00BD2503" w:rsidP="00834859">
            <w:pPr>
              <w:rPr>
                <w:rFonts w:ascii="Arial" w:hAnsi="Arial" w:cs="Arial"/>
                <w:sz w:val="20"/>
                <w:szCs w:val="20"/>
              </w:rPr>
            </w:pPr>
          </w:p>
        </w:tc>
      </w:tr>
      <w:tr w:rsidR="00BD2503" w:rsidRPr="00FF0A70" w14:paraId="313C0EA2" w14:textId="77777777" w:rsidTr="00834859">
        <w:trPr>
          <w:trHeight w:val="300"/>
        </w:trPr>
        <w:tc>
          <w:tcPr>
            <w:tcW w:w="900" w:type="pct"/>
            <w:tcBorders>
              <w:top w:val="nil"/>
              <w:left w:val="nil"/>
              <w:bottom w:val="nil"/>
              <w:right w:val="nil"/>
            </w:tcBorders>
            <w:shd w:val="clear" w:color="auto" w:fill="auto"/>
            <w:noWrap/>
            <w:vAlign w:val="center"/>
            <w:hideMark/>
          </w:tcPr>
          <w:p w14:paraId="015558F4" w14:textId="77777777" w:rsidR="00BD2503" w:rsidRPr="00FF0A70" w:rsidRDefault="00BD2503" w:rsidP="00834859">
            <w:pPr>
              <w:jc w:val="right"/>
              <w:rPr>
                <w:rFonts w:ascii="Arial" w:hAnsi="Arial" w:cs="Arial"/>
                <w:color w:val="000000"/>
                <w:sz w:val="20"/>
              </w:rPr>
            </w:pPr>
            <w:r w:rsidRPr="00FF0A70">
              <w:rPr>
                <w:rFonts w:ascii="Arial" w:hAnsi="Arial" w:cs="Arial"/>
                <w:color w:val="000000"/>
                <w:sz w:val="20"/>
              </w:rPr>
              <w:t xml:space="preserve">$15 </w:t>
            </w:r>
          </w:p>
        </w:tc>
        <w:tc>
          <w:tcPr>
            <w:tcW w:w="1402" w:type="pct"/>
            <w:tcBorders>
              <w:top w:val="nil"/>
              <w:left w:val="nil"/>
              <w:bottom w:val="nil"/>
              <w:right w:val="nil"/>
            </w:tcBorders>
            <w:shd w:val="clear" w:color="auto" w:fill="auto"/>
            <w:noWrap/>
            <w:vAlign w:val="center"/>
            <w:hideMark/>
          </w:tcPr>
          <w:p w14:paraId="42423213" w14:textId="77777777" w:rsidR="00BD2503" w:rsidRPr="00130939" w:rsidRDefault="00BD2503" w:rsidP="00834859">
            <w:pPr>
              <w:jc w:val="right"/>
              <w:rPr>
                <w:rFonts w:ascii="Arial" w:hAnsi="Arial" w:cs="Arial"/>
                <w:color w:val="000000"/>
                <w:sz w:val="20"/>
              </w:rPr>
            </w:pPr>
            <w:r w:rsidRPr="00130939">
              <w:rPr>
                <w:rFonts w:ascii="Arial" w:hAnsi="Arial" w:cs="Arial"/>
                <w:color w:val="000000"/>
                <w:sz w:val="20"/>
              </w:rPr>
              <w:t>185</w:t>
            </w:r>
          </w:p>
        </w:tc>
        <w:tc>
          <w:tcPr>
            <w:tcW w:w="858" w:type="pct"/>
            <w:tcBorders>
              <w:top w:val="nil"/>
              <w:left w:val="nil"/>
              <w:bottom w:val="nil"/>
              <w:right w:val="nil"/>
            </w:tcBorders>
            <w:shd w:val="clear" w:color="auto" w:fill="auto"/>
            <w:noWrap/>
            <w:vAlign w:val="center"/>
            <w:hideMark/>
          </w:tcPr>
          <w:p w14:paraId="0087EDE8" w14:textId="77777777" w:rsidR="00BD2503" w:rsidRPr="00130939" w:rsidRDefault="00BD2503" w:rsidP="00834859">
            <w:pPr>
              <w:jc w:val="right"/>
              <w:rPr>
                <w:rFonts w:ascii="Arial" w:hAnsi="Arial" w:cs="Arial"/>
                <w:color w:val="000000"/>
                <w:sz w:val="20"/>
              </w:rPr>
            </w:pPr>
            <w:r w:rsidRPr="00130939">
              <w:rPr>
                <w:rFonts w:ascii="Arial" w:hAnsi="Arial" w:cs="Arial"/>
                <w:color w:val="000000"/>
                <w:sz w:val="20"/>
              </w:rPr>
              <w:t>25</w:t>
            </w:r>
          </w:p>
        </w:tc>
        <w:tc>
          <w:tcPr>
            <w:tcW w:w="941" w:type="pct"/>
            <w:tcBorders>
              <w:top w:val="nil"/>
              <w:left w:val="nil"/>
              <w:bottom w:val="nil"/>
              <w:right w:val="nil"/>
            </w:tcBorders>
            <w:shd w:val="clear" w:color="auto" w:fill="auto"/>
            <w:noWrap/>
            <w:vAlign w:val="bottom"/>
            <w:hideMark/>
          </w:tcPr>
          <w:p w14:paraId="79BE848A" w14:textId="77777777" w:rsidR="00BD2503" w:rsidRPr="00130939" w:rsidRDefault="00BD2503" w:rsidP="00834859">
            <w:pPr>
              <w:jc w:val="right"/>
              <w:rPr>
                <w:rFonts w:ascii="Arial" w:hAnsi="Arial" w:cs="Arial"/>
                <w:color w:val="000000"/>
                <w:sz w:val="20"/>
              </w:rPr>
            </w:pPr>
            <w:r w:rsidRPr="00130939">
              <w:rPr>
                <w:rFonts w:ascii="Arial" w:hAnsi="Arial" w:cs="Arial"/>
                <w:color w:val="000000"/>
                <w:sz w:val="20"/>
              </w:rPr>
              <w:t>160</w:t>
            </w:r>
          </w:p>
        </w:tc>
        <w:tc>
          <w:tcPr>
            <w:tcW w:w="899" w:type="pct"/>
            <w:tcBorders>
              <w:top w:val="nil"/>
              <w:left w:val="nil"/>
              <w:bottom w:val="nil"/>
              <w:right w:val="nil"/>
            </w:tcBorders>
            <w:shd w:val="clear" w:color="auto" w:fill="auto"/>
            <w:noWrap/>
            <w:vAlign w:val="bottom"/>
            <w:hideMark/>
          </w:tcPr>
          <w:p w14:paraId="1CEFA93B" w14:textId="77777777" w:rsidR="00BD2503" w:rsidRPr="00130939" w:rsidRDefault="00BD2503" w:rsidP="00834859">
            <w:pPr>
              <w:jc w:val="right"/>
              <w:rPr>
                <w:rFonts w:ascii="Arial" w:hAnsi="Arial" w:cs="Arial"/>
                <w:color w:val="000000"/>
                <w:sz w:val="20"/>
              </w:rPr>
            </w:pPr>
            <w:r w:rsidRPr="00130939">
              <w:rPr>
                <w:rFonts w:ascii="Arial" w:hAnsi="Arial" w:cs="Arial"/>
                <w:color w:val="000000"/>
                <w:sz w:val="20"/>
              </w:rPr>
              <w:t>13.5</w:t>
            </w:r>
          </w:p>
        </w:tc>
      </w:tr>
      <w:tr w:rsidR="00BD2503" w:rsidRPr="00FF0A70" w14:paraId="1CE38554" w14:textId="77777777" w:rsidTr="00834859">
        <w:trPr>
          <w:trHeight w:val="300"/>
        </w:trPr>
        <w:tc>
          <w:tcPr>
            <w:tcW w:w="900" w:type="pct"/>
            <w:tcBorders>
              <w:top w:val="nil"/>
              <w:left w:val="nil"/>
              <w:bottom w:val="nil"/>
              <w:right w:val="nil"/>
            </w:tcBorders>
            <w:shd w:val="clear" w:color="auto" w:fill="auto"/>
            <w:noWrap/>
            <w:vAlign w:val="center"/>
            <w:hideMark/>
          </w:tcPr>
          <w:p w14:paraId="680A1A4A" w14:textId="77777777" w:rsidR="00BD2503" w:rsidRPr="00FF0A70" w:rsidRDefault="00BD2503" w:rsidP="00834859">
            <w:pPr>
              <w:jc w:val="right"/>
              <w:rPr>
                <w:rFonts w:ascii="Arial" w:hAnsi="Arial" w:cs="Arial"/>
                <w:color w:val="000000"/>
                <w:sz w:val="20"/>
              </w:rPr>
            </w:pPr>
            <w:r w:rsidRPr="00FF0A70">
              <w:rPr>
                <w:rFonts w:ascii="Arial" w:hAnsi="Arial" w:cs="Arial"/>
                <w:color w:val="000000"/>
                <w:sz w:val="20"/>
              </w:rPr>
              <w:t xml:space="preserve">$25 </w:t>
            </w:r>
          </w:p>
        </w:tc>
        <w:tc>
          <w:tcPr>
            <w:tcW w:w="1402" w:type="pct"/>
            <w:tcBorders>
              <w:top w:val="nil"/>
              <w:left w:val="nil"/>
              <w:bottom w:val="nil"/>
              <w:right w:val="nil"/>
            </w:tcBorders>
            <w:shd w:val="clear" w:color="auto" w:fill="auto"/>
            <w:noWrap/>
            <w:vAlign w:val="center"/>
            <w:hideMark/>
          </w:tcPr>
          <w:p w14:paraId="669F86FC" w14:textId="77777777" w:rsidR="00BD2503" w:rsidRPr="00130939" w:rsidRDefault="00BD2503" w:rsidP="00834859">
            <w:pPr>
              <w:jc w:val="right"/>
              <w:rPr>
                <w:rFonts w:ascii="Arial" w:hAnsi="Arial" w:cs="Arial"/>
                <w:color w:val="000000"/>
                <w:sz w:val="20"/>
              </w:rPr>
            </w:pPr>
            <w:r w:rsidRPr="00130939">
              <w:rPr>
                <w:rFonts w:ascii="Arial" w:hAnsi="Arial" w:cs="Arial"/>
                <w:color w:val="000000"/>
                <w:sz w:val="20"/>
              </w:rPr>
              <w:t>179</w:t>
            </w:r>
          </w:p>
        </w:tc>
        <w:tc>
          <w:tcPr>
            <w:tcW w:w="858" w:type="pct"/>
            <w:tcBorders>
              <w:top w:val="nil"/>
              <w:left w:val="nil"/>
              <w:bottom w:val="nil"/>
              <w:right w:val="nil"/>
            </w:tcBorders>
            <w:shd w:val="clear" w:color="auto" w:fill="auto"/>
            <w:noWrap/>
            <w:vAlign w:val="center"/>
            <w:hideMark/>
          </w:tcPr>
          <w:p w14:paraId="110A664A" w14:textId="77777777" w:rsidR="00BD2503" w:rsidRPr="00130939" w:rsidRDefault="00BD2503" w:rsidP="00834859">
            <w:pPr>
              <w:jc w:val="right"/>
              <w:rPr>
                <w:rFonts w:ascii="Arial" w:hAnsi="Arial" w:cs="Arial"/>
                <w:color w:val="000000"/>
                <w:sz w:val="20"/>
              </w:rPr>
            </w:pPr>
            <w:r w:rsidRPr="00130939">
              <w:rPr>
                <w:rFonts w:ascii="Arial" w:hAnsi="Arial" w:cs="Arial"/>
                <w:color w:val="000000"/>
                <w:sz w:val="20"/>
              </w:rPr>
              <w:t>28</w:t>
            </w:r>
          </w:p>
        </w:tc>
        <w:tc>
          <w:tcPr>
            <w:tcW w:w="941" w:type="pct"/>
            <w:tcBorders>
              <w:top w:val="nil"/>
              <w:left w:val="nil"/>
              <w:bottom w:val="nil"/>
              <w:right w:val="nil"/>
            </w:tcBorders>
            <w:shd w:val="clear" w:color="auto" w:fill="auto"/>
            <w:noWrap/>
            <w:vAlign w:val="bottom"/>
            <w:hideMark/>
          </w:tcPr>
          <w:p w14:paraId="5702D835" w14:textId="77777777" w:rsidR="00BD2503" w:rsidRPr="00130939" w:rsidRDefault="00BD2503" w:rsidP="00834859">
            <w:pPr>
              <w:jc w:val="right"/>
              <w:rPr>
                <w:rFonts w:ascii="Arial" w:hAnsi="Arial" w:cs="Arial"/>
                <w:color w:val="000000"/>
                <w:sz w:val="20"/>
              </w:rPr>
            </w:pPr>
            <w:r w:rsidRPr="00130939">
              <w:rPr>
                <w:rFonts w:ascii="Arial" w:hAnsi="Arial" w:cs="Arial"/>
                <w:color w:val="000000"/>
                <w:sz w:val="20"/>
              </w:rPr>
              <w:t>151</w:t>
            </w:r>
          </w:p>
        </w:tc>
        <w:tc>
          <w:tcPr>
            <w:tcW w:w="899" w:type="pct"/>
            <w:tcBorders>
              <w:top w:val="nil"/>
              <w:left w:val="nil"/>
              <w:bottom w:val="nil"/>
              <w:right w:val="nil"/>
            </w:tcBorders>
            <w:shd w:val="clear" w:color="auto" w:fill="auto"/>
            <w:noWrap/>
            <w:vAlign w:val="bottom"/>
            <w:hideMark/>
          </w:tcPr>
          <w:p w14:paraId="232D535B" w14:textId="77777777" w:rsidR="00BD2503" w:rsidRPr="00130939" w:rsidRDefault="00BD2503" w:rsidP="00834859">
            <w:pPr>
              <w:jc w:val="right"/>
              <w:rPr>
                <w:rFonts w:ascii="Arial" w:hAnsi="Arial" w:cs="Arial"/>
                <w:color w:val="000000"/>
                <w:sz w:val="20"/>
              </w:rPr>
            </w:pPr>
            <w:r w:rsidRPr="00130939">
              <w:rPr>
                <w:rFonts w:ascii="Arial" w:hAnsi="Arial" w:cs="Arial"/>
                <w:color w:val="000000"/>
                <w:sz w:val="20"/>
              </w:rPr>
              <w:t>15.6</w:t>
            </w:r>
          </w:p>
        </w:tc>
      </w:tr>
      <w:tr w:rsidR="00BD2503" w:rsidRPr="00FF0A70" w14:paraId="38A4AAB0" w14:textId="77777777" w:rsidTr="00834859">
        <w:trPr>
          <w:trHeight w:val="300"/>
        </w:trPr>
        <w:tc>
          <w:tcPr>
            <w:tcW w:w="900" w:type="pct"/>
            <w:tcBorders>
              <w:top w:val="nil"/>
              <w:left w:val="nil"/>
              <w:bottom w:val="nil"/>
              <w:right w:val="nil"/>
            </w:tcBorders>
            <w:shd w:val="clear" w:color="auto" w:fill="auto"/>
            <w:noWrap/>
            <w:vAlign w:val="bottom"/>
            <w:hideMark/>
          </w:tcPr>
          <w:p w14:paraId="5F7EB4FD" w14:textId="77777777" w:rsidR="00BD2503" w:rsidRPr="00FF0A70" w:rsidRDefault="00BD2503" w:rsidP="00834859">
            <w:pPr>
              <w:jc w:val="right"/>
              <w:rPr>
                <w:rFonts w:ascii="Arial" w:hAnsi="Arial" w:cs="Arial"/>
                <w:color w:val="000000"/>
                <w:sz w:val="20"/>
              </w:rPr>
            </w:pPr>
          </w:p>
        </w:tc>
        <w:tc>
          <w:tcPr>
            <w:tcW w:w="1402" w:type="pct"/>
            <w:tcBorders>
              <w:top w:val="nil"/>
              <w:left w:val="nil"/>
              <w:bottom w:val="nil"/>
              <w:right w:val="nil"/>
            </w:tcBorders>
            <w:shd w:val="clear" w:color="auto" w:fill="auto"/>
            <w:noWrap/>
            <w:vAlign w:val="bottom"/>
            <w:hideMark/>
          </w:tcPr>
          <w:p w14:paraId="1AF24712" w14:textId="77777777" w:rsidR="00BD2503" w:rsidRPr="00130939" w:rsidRDefault="00BD2503" w:rsidP="00834859">
            <w:pPr>
              <w:rPr>
                <w:rFonts w:ascii="Arial" w:hAnsi="Arial" w:cs="Arial"/>
                <w:sz w:val="20"/>
                <w:szCs w:val="20"/>
              </w:rPr>
            </w:pPr>
          </w:p>
        </w:tc>
        <w:tc>
          <w:tcPr>
            <w:tcW w:w="858" w:type="pct"/>
            <w:tcBorders>
              <w:top w:val="nil"/>
              <w:left w:val="nil"/>
              <w:bottom w:val="nil"/>
              <w:right w:val="nil"/>
            </w:tcBorders>
            <w:shd w:val="clear" w:color="auto" w:fill="auto"/>
            <w:noWrap/>
            <w:vAlign w:val="bottom"/>
            <w:hideMark/>
          </w:tcPr>
          <w:p w14:paraId="5B9D4C5D" w14:textId="77777777" w:rsidR="00BD2503" w:rsidRPr="00130939" w:rsidRDefault="00BD2503" w:rsidP="00834859">
            <w:pPr>
              <w:rPr>
                <w:rFonts w:ascii="Arial" w:hAnsi="Arial" w:cs="Arial"/>
                <w:sz w:val="20"/>
                <w:szCs w:val="20"/>
              </w:rPr>
            </w:pPr>
          </w:p>
        </w:tc>
        <w:tc>
          <w:tcPr>
            <w:tcW w:w="941" w:type="pct"/>
            <w:tcBorders>
              <w:top w:val="nil"/>
              <w:left w:val="nil"/>
              <w:bottom w:val="nil"/>
              <w:right w:val="nil"/>
            </w:tcBorders>
            <w:shd w:val="clear" w:color="auto" w:fill="auto"/>
            <w:noWrap/>
            <w:vAlign w:val="bottom"/>
            <w:hideMark/>
          </w:tcPr>
          <w:p w14:paraId="3C8768EC" w14:textId="77777777" w:rsidR="00BD2503" w:rsidRPr="00130939" w:rsidRDefault="00BD2503" w:rsidP="00834859">
            <w:pPr>
              <w:rPr>
                <w:rFonts w:ascii="Arial" w:hAnsi="Arial" w:cs="Arial"/>
                <w:sz w:val="20"/>
                <w:szCs w:val="20"/>
              </w:rPr>
            </w:pPr>
          </w:p>
        </w:tc>
        <w:tc>
          <w:tcPr>
            <w:tcW w:w="899" w:type="pct"/>
            <w:tcBorders>
              <w:top w:val="nil"/>
              <w:left w:val="nil"/>
              <w:bottom w:val="nil"/>
              <w:right w:val="nil"/>
            </w:tcBorders>
            <w:shd w:val="clear" w:color="auto" w:fill="auto"/>
            <w:noWrap/>
            <w:vAlign w:val="bottom"/>
            <w:hideMark/>
          </w:tcPr>
          <w:p w14:paraId="31D0F71C" w14:textId="77777777" w:rsidR="00BD2503" w:rsidRPr="00130939" w:rsidRDefault="00BD2503" w:rsidP="00834859">
            <w:pPr>
              <w:rPr>
                <w:rFonts w:ascii="Arial" w:hAnsi="Arial" w:cs="Arial"/>
                <w:sz w:val="20"/>
                <w:szCs w:val="20"/>
              </w:rPr>
            </w:pPr>
          </w:p>
        </w:tc>
      </w:tr>
      <w:tr w:rsidR="00BD2503" w:rsidRPr="00FF0A70" w14:paraId="218B0D07" w14:textId="77777777" w:rsidTr="00834859">
        <w:trPr>
          <w:trHeight w:val="315"/>
        </w:trPr>
        <w:tc>
          <w:tcPr>
            <w:tcW w:w="900" w:type="pct"/>
            <w:tcBorders>
              <w:top w:val="nil"/>
              <w:left w:val="nil"/>
              <w:bottom w:val="single" w:sz="12" w:space="0" w:color="auto"/>
              <w:right w:val="nil"/>
            </w:tcBorders>
            <w:shd w:val="clear" w:color="auto" w:fill="auto"/>
            <w:noWrap/>
            <w:vAlign w:val="center"/>
            <w:hideMark/>
          </w:tcPr>
          <w:p w14:paraId="203500A6" w14:textId="77777777" w:rsidR="00BD2503" w:rsidRPr="00FF0A70" w:rsidRDefault="00BD2503" w:rsidP="00834859">
            <w:pPr>
              <w:rPr>
                <w:rFonts w:ascii="Arial" w:hAnsi="Arial" w:cs="Arial"/>
                <w:color w:val="000000"/>
                <w:sz w:val="20"/>
              </w:rPr>
            </w:pPr>
            <w:r w:rsidRPr="00FF0A70">
              <w:rPr>
                <w:rFonts w:ascii="Arial" w:hAnsi="Arial" w:cs="Arial"/>
                <w:color w:val="000000"/>
                <w:sz w:val="20"/>
              </w:rPr>
              <w:t>Total</w:t>
            </w:r>
          </w:p>
        </w:tc>
        <w:tc>
          <w:tcPr>
            <w:tcW w:w="1402" w:type="pct"/>
            <w:tcBorders>
              <w:top w:val="nil"/>
              <w:left w:val="nil"/>
              <w:bottom w:val="single" w:sz="12" w:space="0" w:color="auto"/>
              <w:right w:val="nil"/>
            </w:tcBorders>
            <w:shd w:val="clear" w:color="auto" w:fill="auto"/>
            <w:noWrap/>
            <w:vAlign w:val="center"/>
            <w:hideMark/>
          </w:tcPr>
          <w:p w14:paraId="2C66AA8F" w14:textId="77777777" w:rsidR="00BD2503" w:rsidRPr="00130939" w:rsidRDefault="00BD2503" w:rsidP="00834859">
            <w:pPr>
              <w:jc w:val="right"/>
              <w:rPr>
                <w:rFonts w:ascii="Arial" w:hAnsi="Arial" w:cs="Arial"/>
                <w:color w:val="000000"/>
                <w:sz w:val="20"/>
              </w:rPr>
            </w:pPr>
            <w:r w:rsidRPr="00130939">
              <w:rPr>
                <w:rFonts w:ascii="Arial" w:hAnsi="Arial" w:cs="Arial"/>
                <w:color w:val="000000"/>
                <w:sz w:val="20"/>
              </w:rPr>
              <w:t>364</w:t>
            </w:r>
          </w:p>
        </w:tc>
        <w:tc>
          <w:tcPr>
            <w:tcW w:w="858" w:type="pct"/>
            <w:tcBorders>
              <w:top w:val="nil"/>
              <w:left w:val="nil"/>
              <w:bottom w:val="single" w:sz="12" w:space="0" w:color="auto"/>
              <w:right w:val="nil"/>
            </w:tcBorders>
            <w:shd w:val="clear" w:color="auto" w:fill="auto"/>
            <w:noWrap/>
            <w:vAlign w:val="center"/>
            <w:hideMark/>
          </w:tcPr>
          <w:p w14:paraId="79AA0A03" w14:textId="77777777" w:rsidR="00BD2503" w:rsidRPr="00130939" w:rsidRDefault="00BD2503" w:rsidP="00834859">
            <w:pPr>
              <w:jc w:val="right"/>
              <w:rPr>
                <w:rFonts w:ascii="Arial" w:hAnsi="Arial" w:cs="Arial"/>
                <w:color w:val="000000"/>
                <w:sz w:val="20"/>
              </w:rPr>
            </w:pPr>
            <w:r w:rsidRPr="00130939">
              <w:rPr>
                <w:rFonts w:ascii="Arial" w:hAnsi="Arial" w:cs="Arial"/>
                <w:color w:val="000000"/>
                <w:sz w:val="20"/>
              </w:rPr>
              <w:t>53</w:t>
            </w:r>
          </w:p>
        </w:tc>
        <w:tc>
          <w:tcPr>
            <w:tcW w:w="941" w:type="pct"/>
            <w:tcBorders>
              <w:top w:val="nil"/>
              <w:left w:val="nil"/>
              <w:bottom w:val="single" w:sz="12" w:space="0" w:color="auto"/>
              <w:right w:val="nil"/>
            </w:tcBorders>
            <w:shd w:val="clear" w:color="auto" w:fill="auto"/>
            <w:noWrap/>
            <w:vAlign w:val="center"/>
            <w:hideMark/>
          </w:tcPr>
          <w:p w14:paraId="0B4EFBAC" w14:textId="77777777" w:rsidR="00BD2503" w:rsidRPr="00130939" w:rsidRDefault="00BD2503" w:rsidP="00834859">
            <w:pPr>
              <w:jc w:val="right"/>
              <w:rPr>
                <w:rFonts w:ascii="Arial" w:hAnsi="Arial" w:cs="Arial"/>
                <w:color w:val="000000"/>
                <w:sz w:val="20"/>
              </w:rPr>
            </w:pPr>
            <w:r w:rsidRPr="00130939">
              <w:rPr>
                <w:rFonts w:ascii="Arial" w:hAnsi="Arial" w:cs="Arial"/>
                <w:color w:val="000000"/>
                <w:sz w:val="20"/>
              </w:rPr>
              <w:t>311</w:t>
            </w:r>
          </w:p>
        </w:tc>
        <w:tc>
          <w:tcPr>
            <w:tcW w:w="899" w:type="pct"/>
            <w:tcBorders>
              <w:top w:val="nil"/>
              <w:left w:val="nil"/>
              <w:bottom w:val="single" w:sz="12" w:space="0" w:color="auto"/>
              <w:right w:val="nil"/>
            </w:tcBorders>
            <w:shd w:val="clear" w:color="auto" w:fill="auto"/>
            <w:noWrap/>
            <w:vAlign w:val="center"/>
            <w:hideMark/>
          </w:tcPr>
          <w:p w14:paraId="70199C38" w14:textId="77777777" w:rsidR="00BD2503" w:rsidRPr="00130939" w:rsidRDefault="00BD2503" w:rsidP="00834859">
            <w:pPr>
              <w:jc w:val="right"/>
              <w:rPr>
                <w:rFonts w:ascii="Arial" w:hAnsi="Arial" w:cs="Arial"/>
                <w:color w:val="000000"/>
                <w:sz w:val="20"/>
              </w:rPr>
            </w:pPr>
            <w:r w:rsidRPr="00130939">
              <w:rPr>
                <w:rFonts w:ascii="Arial" w:hAnsi="Arial" w:cs="Arial"/>
                <w:color w:val="000000"/>
                <w:sz w:val="20"/>
              </w:rPr>
              <w:t>14.6</w:t>
            </w:r>
          </w:p>
        </w:tc>
      </w:tr>
    </w:tbl>
    <w:p w14:paraId="5AAEE4A7" w14:textId="77777777" w:rsidR="0010135B" w:rsidRDefault="00BD2503" w:rsidP="00BD2503">
      <w:pPr>
        <w:rPr>
          <w:rFonts w:ascii="Arial" w:hAnsi="Arial" w:cs="Arial"/>
          <w:color w:val="000000"/>
          <w:sz w:val="18"/>
        </w:rPr>
      </w:pPr>
      <w:r>
        <w:rPr>
          <w:rFonts w:ascii="Arial" w:hAnsi="Arial" w:cs="Arial"/>
          <w:color w:val="000000"/>
          <w:sz w:val="18"/>
        </w:rPr>
        <w:t>NOTE: Excludes partially completed cases.</w:t>
      </w:r>
    </w:p>
    <w:p w14:paraId="2CC275F0" w14:textId="10E9214B" w:rsidR="00BD2503" w:rsidRDefault="00BD2503" w:rsidP="00BD2503">
      <w:pPr>
        <w:rPr>
          <w:rFonts w:ascii="Arial" w:hAnsi="Arial" w:cs="Arial"/>
          <w:color w:val="000000"/>
          <w:sz w:val="18"/>
        </w:rPr>
      </w:pPr>
      <w:r w:rsidRPr="0002172C">
        <w:rPr>
          <w:rFonts w:ascii="Arial" w:hAnsi="Arial" w:cs="Arial"/>
          <w:color w:val="000000"/>
          <w:sz w:val="18"/>
        </w:rPr>
        <w:t>SOURCE: U.S. Department of Education, National Center for Education Statistics. High School Longitudinal Study of 2009 (HSLS</w:t>
      </w:r>
      <w:proofErr w:type="gramStart"/>
      <w:r w:rsidRPr="0002172C">
        <w:rPr>
          <w:rFonts w:ascii="Arial" w:hAnsi="Arial" w:cs="Arial"/>
          <w:color w:val="000000"/>
          <w:sz w:val="18"/>
        </w:rPr>
        <w:t>:</w:t>
      </w:r>
      <w:r>
        <w:rPr>
          <w:rFonts w:ascii="Arial" w:hAnsi="Arial" w:cs="Arial"/>
          <w:color w:val="000000"/>
          <w:sz w:val="18"/>
        </w:rPr>
        <w:t>09</w:t>
      </w:r>
      <w:proofErr w:type="gramEnd"/>
      <w:r>
        <w:rPr>
          <w:rFonts w:ascii="Arial" w:hAnsi="Arial" w:cs="Arial"/>
          <w:color w:val="000000"/>
          <w:sz w:val="18"/>
        </w:rPr>
        <w:t>) Second Follow-up Main Study.</w:t>
      </w:r>
    </w:p>
    <w:p w14:paraId="3B3334F4" w14:textId="77777777" w:rsidR="00BD2503" w:rsidRDefault="00BD2503" w:rsidP="00BD2503"/>
    <w:p w14:paraId="36835A65" w14:textId="79A406FB" w:rsidR="00BD2503" w:rsidRPr="00307F6F" w:rsidRDefault="00BD2503" w:rsidP="00BD2503">
      <w:pPr>
        <w:rPr>
          <w:rFonts w:asciiTheme="majorBidi" w:hAnsiTheme="majorBidi" w:cstheme="majorBidi"/>
        </w:rPr>
      </w:pPr>
      <w:r w:rsidRPr="005B3D5C">
        <w:rPr>
          <w:rFonts w:asciiTheme="majorBidi" w:hAnsiTheme="majorBidi" w:cstheme="majorBidi"/>
          <w:b/>
          <w:i/>
        </w:rPr>
        <w:t>Subgroup B (Ultra-Cooperative Respondents).</w:t>
      </w:r>
      <w:r w:rsidRPr="005B3D5C">
        <w:rPr>
          <w:rFonts w:asciiTheme="majorBidi" w:hAnsiTheme="majorBidi" w:cstheme="majorBidi"/>
        </w:rPr>
        <w:t xml:space="preserve"> </w:t>
      </w:r>
      <w:r w:rsidRPr="00307F6F">
        <w:rPr>
          <w:rFonts w:asciiTheme="majorBidi" w:hAnsiTheme="majorBidi" w:cstheme="majorBidi"/>
        </w:rPr>
        <w:t>Exhibit 2 displays Subgroup B response rates during phase 3 by incentive boost level</w:t>
      </w:r>
      <w:r w:rsidR="00531C04">
        <w:rPr>
          <w:rFonts w:asciiTheme="majorBidi" w:hAnsiTheme="majorBidi" w:cstheme="majorBidi"/>
        </w:rPr>
        <w:t xml:space="preserve"> for those targeted by the bias-likelihood model for intervention</w:t>
      </w:r>
      <w:r w:rsidRPr="00307F6F">
        <w:rPr>
          <w:rFonts w:asciiTheme="majorBidi" w:hAnsiTheme="majorBidi" w:cstheme="majorBidi"/>
        </w:rPr>
        <w:t xml:space="preserve">. Note that most of the ultra-cooperative sample members had responded in phases 1 and 2, leaving very few </w:t>
      </w:r>
      <w:r w:rsidR="00977F6A">
        <w:rPr>
          <w:rFonts w:asciiTheme="majorBidi" w:hAnsiTheme="majorBidi" w:cstheme="majorBidi"/>
        </w:rPr>
        <w:t xml:space="preserve">that were targeted for an incentive intervention </w:t>
      </w:r>
      <w:r w:rsidRPr="00307F6F">
        <w:rPr>
          <w:rFonts w:asciiTheme="majorBidi" w:hAnsiTheme="majorBidi" w:cstheme="majorBidi"/>
        </w:rPr>
        <w:t>in phase 3 (only 18 remaining cases</w:t>
      </w:r>
      <w:r w:rsidR="00977F6A">
        <w:rPr>
          <w:rFonts w:asciiTheme="majorBidi" w:hAnsiTheme="majorBidi" w:cstheme="majorBidi"/>
        </w:rPr>
        <w:t>)</w:t>
      </w:r>
      <w:r w:rsidRPr="00307F6F">
        <w:rPr>
          <w:rFonts w:asciiTheme="majorBidi" w:hAnsiTheme="majorBidi" w:cstheme="majorBidi"/>
        </w:rPr>
        <w:t xml:space="preserve">. Given the small number of cases within Subgroup B, statistical analysis of the boost 1 incentive was not conducted. However, we recommend </w:t>
      </w:r>
      <w:r w:rsidR="00856A8B">
        <w:rPr>
          <w:rFonts w:asciiTheme="majorBidi" w:hAnsiTheme="majorBidi" w:cstheme="majorBidi"/>
        </w:rPr>
        <w:t xml:space="preserve">that </w:t>
      </w:r>
      <w:r w:rsidRPr="00307F6F">
        <w:rPr>
          <w:rFonts w:asciiTheme="majorBidi" w:hAnsiTheme="majorBidi" w:cstheme="majorBidi"/>
        </w:rPr>
        <w:t>the minimum incentive ($10) be offered to all th</w:t>
      </w:r>
      <w:r w:rsidR="00856A8B">
        <w:rPr>
          <w:rFonts w:asciiTheme="majorBidi" w:hAnsiTheme="majorBidi" w:cstheme="majorBidi"/>
        </w:rPr>
        <w:t>e Subgroup B main sample cases.</w:t>
      </w:r>
    </w:p>
    <w:p w14:paraId="3BEF82D3" w14:textId="77777777" w:rsidR="00856A8B" w:rsidRDefault="00856A8B">
      <w:pPr>
        <w:rPr>
          <w:rFonts w:ascii="Arial" w:hAnsi="Arial" w:cs="Arial"/>
          <w:b/>
          <w:color w:val="000000"/>
          <w:sz w:val="18"/>
        </w:rPr>
      </w:pPr>
      <w:r>
        <w:rPr>
          <w:rFonts w:ascii="Arial" w:hAnsi="Arial" w:cs="Arial"/>
          <w:b/>
          <w:color w:val="000000"/>
          <w:sz w:val="18"/>
        </w:rPr>
        <w:br w:type="page"/>
      </w:r>
    </w:p>
    <w:p w14:paraId="682FA1CA" w14:textId="38695505" w:rsidR="00BD2503" w:rsidRDefault="00BD2503" w:rsidP="00BD2503">
      <w:pPr>
        <w:rPr>
          <w:rFonts w:ascii="Arial" w:hAnsi="Arial" w:cs="Arial"/>
          <w:b/>
          <w:color w:val="000000"/>
          <w:sz w:val="18"/>
        </w:rPr>
      </w:pPr>
      <w:proofErr w:type="gramStart"/>
      <w:r>
        <w:rPr>
          <w:rFonts w:ascii="Arial" w:hAnsi="Arial" w:cs="Arial"/>
          <w:b/>
          <w:color w:val="000000"/>
          <w:sz w:val="18"/>
        </w:rPr>
        <w:lastRenderedPageBreak/>
        <w:t>Exhibit 2</w:t>
      </w:r>
      <w:r w:rsidRPr="00617622">
        <w:rPr>
          <w:rFonts w:ascii="Arial" w:hAnsi="Arial" w:cs="Arial"/>
          <w:b/>
          <w:color w:val="000000"/>
          <w:sz w:val="18"/>
        </w:rPr>
        <w:t>.</w:t>
      </w:r>
      <w:proofErr w:type="gramEnd"/>
      <w:r w:rsidRPr="00617622">
        <w:rPr>
          <w:rFonts w:ascii="Arial" w:hAnsi="Arial" w:cs="Arial"/>
          <w:b/>
          <w:color w:val="000000"/>
          <w:sz w:val="18"/>
        </w:rPr>
        <w:t xml:space="preserve"> Subgroup </w:t>
      </w:r>
      <w:r>
        <w:rPr>
          <w:rFonts w:ascii="Arial" w:hAnsi="Arial" w:cs="Arial"/>
          <w:b/>
          <w:color w:val="000000"/>
          <w:sz w:val="18"/>
        </w:rPr>
        <w:t>B</w:t>
      </w:r>
      <w:r w:rsidRPr="00617622">
        <w:rPr>
          <w:rFonts w:ascii="Arial" w:hAnsi="Arial" w:cs="Arial"/>
          <w:b/>
          <w:color w:val="000000"/>
          <w:sz w:val="18"/>
        </w:rPr>
        <w:t xml:space="preserve"> response rates </w:t>
      </w:r>
      <w:r>
        <w:rPr>
          <w:rFonts w:ascii="Arial" w:hAnsi="Arial" w:cs="Arial"/>
          <w:b/>
          <w:color w:val="000000"/>
          <w:sz w:val="18"/>
        </w:rPr>
        <w:t xml:space="preserve">in phase 3, </w:t>
      </w:r>
      <w:r w:rsidRPr="00617622">
        <w:rPr>
          <w:rFonts w:ascii="Arial" w:hAnsi="Arial" w:cs="Arial"/>
          <w:b/>
          <w:color w:val="000000"/>
          <w:sz w:val="18"/>
        </w:rPr>
        <w:t>by</w:t>
      </w:r>
      <w:r>
        <w:rPr>
          <w:rFonts w:ascii="Arial" w:hAnsi="Arial" w:cs="Arial"/>
          <w:b/>
          <w:color w:val="000000"/>
          <w:sz w:val="18"/>
        </w:rPr>
        <w:t xml:space="preserve"> boost 1</w:t>
      </w:r>
      <w:r w:rsidRPr="00617622">
        <w:rPr>
          <w:rFonts w:ascii="Arial" w:hAnsi="Arial" w:cs="Arial"/>
          <w:b/>
          <w:color w:val="000000"/>
          <w:sz w:val="18"/>
        </w:rPr>
        <w:t xml:space="preserve"> incentive amount</w:t>
      </w:r>
    </w:p>
    <w:tbl>
      <w:tblPr>
        <w:tblW w:w="5000" w:type="pct"/>
        <w:tblLook w:val="04A0" w:firstRow="1" w:lastRow="0" w:firstColumn="1" w:lastColumn="0" w:noHBand="0" w:noVBand="1"/>
      </w:tblPr>
      <w:tblGrid>
        <w:gridCol w:w="1905"/>
        <w:gridCol w:w="2968"/>
        <w:gridCol w:w="2036"/>
        <w:gridCol w:w="1772"/>
        <w:gridCol w:w="1903"/>
      </w:tblGrid>
      <w:tr w:rsidR="00BD2503" w:rsidRPr="007A07BD" w14:paraId="6A39BA8E" w14:textId="77777777" w:rsidTr="00834859">
        <w:trPr>
          <w:trHeight w:val="630"/>
        </w:trPr>
        <w:tc>
          <w:tcPr>
            <w:tcW w:w="900" w:type="pct"/>
            <w:tcBorders>
              <w:top w:val="single" w:sz="12" w:space="0" w:color="auto"/>
              <w:left w:val="nil"/>
              <w:bottom w:val="nil"/>
              <w:right w:val="nil"/>
            </w:tcBorders>
            <w:shd w:val="clear" w:color="auto" w:fill="auto"/>
            <w:vAlign w:val="center"/>
            <w:hideMark/>
          </w:tcPr>
          <w:p w14:paraId="065EBF11" w14:textId="77777777" w:rsidR="00BD2503" w:rsidRPr="007A07BD" w:rsidRDefault="00BD2503" w:rsidP="00834859">
            <w:pPr>
              <w:jc w:val="right"/>
              <w:rPr>
                <w:rFonts w:ascii="Arial" w:hAnsi="Arial" w:cs="Arial"/>
                <w:color w:val="000000"/>
                <w:sz w:val="20"/>
              </w:rPr>
            </w:pPr>
            <w:r w:rsidRPr="007A07BD">
              <w:rPr>
                <w:rFonts w:ascii="Arial" w:hAnsi="Arial" w:cs="Arial"/>
                <w:color w:val="000000"/>
                <w:sz w:val="20"/>
              </w:rPr>
              <w:t>Boost 1</w:t>
            </w:r>
          </w:p>
        </w:tc>
        <w:tc>
          <w:tcPr>
            <w:tcW w:w="1402" w:type="pct"/>
            <w:tcBorders>
              <w:top w:val="single" w:sz="12" w:space="0" w:color="auto"/>
              <w:left w:val="nil"/>
              <w:bottom w:val="nil"/>
              <w:right w:val="nil"/>
            </w:tcBorders>
            <w:shd w:val="clear" w:color="auto" w:fill="auto"/>
            <w:vAlign w:val="center"/>
            <w:hideMark/>
          </w:tcPr>
          <w:p w14:paraId="7BD4AC3D" w14:textId="77777777" w:rsidR="00BD2503" w:rsidRPr="007A07BD" w:rsidRDefault="00BD2503" w:rsidP="00834859">
            <w:pPr>
              <w:jc w:val="right"/>
              <w:rPr>
                <w:rFonts w:ascii="Arial" w:hAnsi="Arial" w:cs="Arial"/>
                <w:color w:val="000000"/>
                <w:sz w:val="20"/>
              </w:rPr>
            </w:pPr>
            <w:r w:rsidRPr="007A07BD">
              <w:rPr>
                <w:rFonts w:ascii="Arial" w:hAnsi="Arial" w:cs="Arial"/>
                <w:color w:val="000000"/>
                <w:sz w:val="20"/>
              </w:rPr>
              <w:t>Sample members</w:t>
            </w:r>
            <w:r w:rsidRPr="007A07BD">
              <w:rPr>
                <w:rFonts w:ascii="Arial" w:hAnsi="Arial" w:cs="Arial"/>
                <w:color w:val="000000"/>
                <w:sz w:val="20"/>
              </w:rPr>
              <w:br/>
              <w:t>(n)</w:t>
            </w:r>
          </w:p>
        </w:tc>
        <w:tc>
          <w:tcPr>
            <w:tcW w:w="1799" w:type="pct"/>
            <w:gridSpan w:val="2"/>
            <w:tcBorders>
              <w:top w:val="single" w:sz="12" w:space="0" w:color="auto"/>
              <w:left w:val="nil"/>
              <w:bottom w:val="single" w:sz="8" w:space="0" w:color="auto"/>
              <w:right w:val="nil"/>
            </w:tcBorders>
            <w:shd w:val="clear" w:color="auto" w:fill="auto"/>
            <w:vAlign w:val="center"/>
            <w:hideMark/>
          </w:tcPr>
          <w:p w14:paraId="28E0A1CA" w14:textId="77777777" w:rsidR="00BD2503" w:rsidRPr="007A07BD" w:rsidRDefault="00BD2503" w:rsidP="00834859">
            <w:pPr>
              <w:jc w:val="center"/>
              <w:rPr>
                <w:rFonts w:ascii="Arial" w:hAnsi="Arial" w:cs="Arial"/>
                <w:color w:val="000000"/>
                <w:sz w:val="20"/>
              </w:rPr>
            </w:pPr>
            <w:r w:rsidRPr="007A07BD">
              <w:rPr>
                <w:rFonts w:ascii="Arial" w:hAnsi="Arial" w:cs="Arial"/>
                <w:color w:val="000000"/>
                <w:sz w:val="20"/>
              </w:rPr>
              <w:t>Boost 1 response</w:t>
            </w:r>
          </w:p>
        </w:tc>
        <w:tc>
          <w:tcPr>
            <w:tcW w:w="899" w:type="pct"/>
            <w:tcBorders>
              <w:top w:val="single" w:sz="12" w:space="0" w:color="auto"/>
              <w:left w:val="nil"/>
              <w:bottom w:val="nil"/>
              <w:right w:val="nil"/>
            </w:tcBorders>
            <w:shd w:val="clear" w:color="auto" w:fill="auto"/>
            <w:vAlign w:val="center"/>
            <w:hideMark/>
          </w:tcPr>
          <w:p w14:paraId="4CAB7F26" w14:textId="77777777" w:rsidR="00BD2503" w:rsidRPr="007A07BD" w:rsidRDefault="00BD2503" w:rsidP="00834859">
            <w:pPr>
              <w:jc w:val="right"/>
              <w:rPr>
                <w:rFonts w:ascii="Arial" w:hAnsi="Arial" w:cs="Arial"/>
                <w:color w:val="000000"/>
                <w:sz w:val="20"/>
              </w:rPr>
            </w:pPr>
            <w:r w:rsidRPr="007A07BD">
              <w:rPr>
                <w:rFonts w:ascii="Arial" w:hAnsi="Arial" w:cs="Arial"/>
                <w:color w:val="000000"/>
                <w:sz w:val="20"/>
              </w:rPr>
              <w:t>Boost 1 response rate (%)</w:t>
            </w:r>
          </w:p>
        </w:tc>
      </w:tr>
      <w:tr w:rsidR="00BD2503" w:rsidRPr="007A07BD" w14:paraId="12F77EEC" w14:textId="77777777" w:rsidTr="00834859">
        <w:trPr>
          <w:trHeight w:val="315"/>
        </w:trPr>
        <w:tc>
          <w:tcPr>
            <w:tcW w:w="900" w:type="pct"/>
            <w:tcBorders>
              <w:top w:val="nil"/>
              <w:left w:val="nil"/>
              <w:bottom w:val="single" w:sz="8" w:space="0" w:color="auto"/>
              <w:right w:val="nil"/>
            </w:tcBorders>
            <w:shd w:val="clear" w:color="auto" w:fill="auto"/>
            <w:noWrap/>
            <w:vAlign w:val="center"/>
            <w:hideMark/>
          </w:tcPr>
          <w:p w14:paraId="43B6CD0D" w14:textId="77777777" w:rsidR="00BD2503" w:rsidRPr="007A07BD" w:rsidRDefault="00BD2503" w:rsidP="00834859">
            <w:pPr>
              <w:jc w:val="right"/>
              <w:rPr>
                <w:rFonts w:ascii="Arial" w:hAnsi="Arial" w:cs="Arial"/>
                <w:color w:val="000000"/>
                <w:sz w:val="20"/>
              </w:rPr>
            </w:pPr>
            <w:r w:rsidRPr="007A07BD">
              <w:rPr>
                <w:rFonts w:ascii="Arial" w:hAnsi="Arial" w:cs="Arial"/>
                <w:color w:val="000000"/>
                <w:sz w:val="20"/>
              </w:rPr>
              <w:t> </w:t>
            </w:r>
          </w:p>
        </w:tc>
        <w:tc>
          <w:tcPr>
            <w:tcW w:w="1402" w:type="pct"/>
            <w:tcBorders>
              <w:top w:val="nil"/>
              <w:left w:val="nil"/>
              <w:bottom w:val="single" w:sz="8" w:space="0" w:color="auto"/>
              <w:right w:val="nil"/>
            </w:tcBorders>
            <w:shd w:val="clear" w:color="auto" w:fill="auto"/>
            <w:noWrap/>
            <w:vAlign w:val="center"/>
            <w:hideMark/>
          </w:tcPr>
          <w:p w14:paraId="56E5420A" w14:textId="77777777" w:rsidR="00BD2503" w:rsidRPr="007A07BD" w:rsidRDefault="00BD2503" w:rsidP="00834859">
            <w:pPr>
              <w:jc w:val="right"/>
              <w:rPr>
                <w:rFonts w:ascii="Arial" w:hAnsi="Arial" w:cs="Arial"/>
                <w:color w:val="000000"/>
                <w:sz w:val="20"/>
              </w:rPr>
            </w:pPr>
            <w:r w:rsidRPr="007A07BD">
              <w:rPr>
                <w:rFonts w:ascii="Arial" w:hAnsi="Arial" w:cs="Arial"/>
                <w:color w:val="000000"/>
                <w:sz w:val="20"/>
              </w:rPr>
              <w:t> </w:t>
            </w:r>
          </w:p>
        </w:tc>
        <w:tc>
          <w:tcPr>
            <w:tcW w:w="962" w:type="pct"/>
            <w:tcBorders>
              <w:top w:val="nil"/>
              <w:left w:val="nil"/>
              <w:bottom w:val="single" w:sz="8" w:space="0" w:color="auto"/>
              <w:right w:val="nil"/>
            </w:tcBorders>
            <w:shd w:val="clear" w:color="auto" w:fill="auto"/>
            <w:noWrap/>
            <w:vAlign w:val="center"/>
            <w:hideMark/>
          </w:tcPr>
          <w:p w14:paraId="34235D10" w14:textId="77777777" w:rsidR="00BD2503" w:rsidRPr="007A07BD" w:rsidRDefault="00BD2503" w:rsidP="00834859">
            <w:pPr>
              <w:jc w:val="right"/>
              <w:rPr>
                <w:rFonts w:ascii="Arial" w:hAnsi="Arial" w:cs="Arial"/>
                <w:color w:val="000000"/>
                <w:sz w:val="20"/>
              </w:rPr>
            </w:pPr>
            <w:r w:rsidRPr="007A07BD">
              <w:rPr>
                <w:rFonts w:ascii="Arial" w:hAnsi="Arial" w:cs="Arial"/>
                <w:color w:val="000000"/>
                <w:sz w:val="20"/>
              </w:rPr>
              <w:t>Yes</w:t>
            </w:r>
          </w:p>
        </w:tc>
        <w:tc>
          <w:tcPr>
            <w:tcW w:w="837" w:type="pct"/>
            <w:tcBorders>
              <w:top w:val="nil"/>
              <w:left w:val="nil"/>
              <w:bottom w:val="single" w:sz="8" w:space="0" w:color="auto"/>
              <w:right w:val="nil"/>
            </w:tcBorders>
            <w:shd w:val="clear" w:color="auto" w:fill="auto"/>
            <w:noWrap/>
            <w:vAlign w:val="center"/>
            <w:hideMark/>
          </w:tcPr>
          <w:p w14:paraId="4BB60A13" w14:textId="77777777" w:rsidR="00BD2503" w:rsidRPr="007A07BD" w:rsidRDefault="00BD2503" w:rsidP="00834859">
            <w:pPr>
              <w:jc w:val="right"/>
              <w:rPr>
                <w:rFonts w:ascii="Arial" w:hAnsi="Arial" w:cs="Arial"/>
                <w:color w:val="000000"/>
                <w:sz w:val="20"/>
              </w:rPr>
            </w:pPr>
            <w:r w:rsidRPr="007A07BD">
              <w:rPr>
                <w:rFonts w:ascii="Arial" w:hAnsi="Arial" w:cs="Arial"/>
                <w:color w:val="000000"/>
                <w:sz w:val="20"/>
              </w:rPr>
              <w:t>No</w:t>
            </w:r>
          </w:p>
        </w:tc>
        <w:tc>
          <w:tcPr>
            <w:tcW w:w="899" w:type="pct"/>
            <w:tcBorders>
              <w:top w:val="nil"/>
              <w:left w:val="nil"/>
              <w:bottom w:val="single" w:sz="8" w:space="0" w:color="auto"/>
              <w:right w:val="nil"/>
            </w:tcBorders>
            <w:shd w:val="clear" w:color="auto" w:fill="auto"/>
            <w:noWrap/>
            <w:vAlign w:val="center"/>
            <w:hideMark/>
          </w:tcPr>
          <w:p w14:paraId="21AD5DE3" w14:textId="77777777" w:rsidR="00BD2503" w:rsidRPr="007A07BD" w:rsidRDefault="00BD2503" w:rsidP="00834859">
            <w:pPr>
              <w:jc w:val="right"/>
              <w:rPr>
                <w:rFonts w:ascii="Arial" w:hAnsi="Arial" w:cs="Arial"/>
                <w:color w:val="000000"/>
                <w:sz w:val="20"/>
              </w:rPr>
            </w:pPr>
            <w:r w:rsidRPr="007A07BD">
              <w:rPr>
                <w:rFonts w:ascii="Arial" w:hAnsi="Arial" w:cs="Arial"/>
                <w:color w:val="000000"/>
                <w:sz w:val="20"/>
              </w:rPr>
              <w:t> </w:t>
            </w:r>
          </w:p>
        </w:tc>
      </w:tr>
      <w:tr w:rsidR="00BD2503" w:rsidRPr="007A07BD" w14:paraId="2CC72B9D" w14:textId="77777777" w:rsidTr="00834859">
        <w:trPr>
          <w:trHeight w:val="300"/>
        </w:trPr>
        <w:tc>
          <w:tcPr>
            <w:tcW w:w="900" w:type="pct"/>
            <w:tcBorders>
              <w:top w:val="nil"/>
              <w:left w:val="nil"/>
              <w:bottom w:val="nil"/>
              <w:right w:val="nil"/>
            </w:tcBorders>
            <w:shd w:val="clear" w:color="auto" w:fill="auto"/>
            <w:noWrap/>
            <w:vAlign w:val="bottom"/>
            <w:hideMark/>
          </w:tcPr>
          <w:p w14:paraId="3BCCD2B7" w14:textId="77777777" w:rsidR="00BD2503" w:rsidRPr="007A07BD" w:rsidRDefault="00BD2503" w:rsidP="00834859">
            <w:pPr>
              <w:rPr>
                <w:rFonts w:ascii="Arial" w:hAnsi="Arial" w:cs="Arial"/>
                <w:color w:val="000000"/>
                <w:sz w:val="20"/>
              </w:rPr>
            </w:pPr>
          </w:p>
        </w:tc>
        <w:tc>
          <w:tcPr>
            <w:tcW w:w="1402" w:type="pct"/>
            <w:tcBorders>
              <w:top w:val="nil"/>
              <w:left w:val="nil"/>
              <w:bottom w:val="nil"/>
              <w:right w:val="nil"/>
            </w:tcBorders>
            <w:shd w:val="clear" w:color="auto" w:fill="auto"/>
            <w:noWrap/>
            <w:vAlign w:val="bottom"/>
            <w:hideMark/>
          </w:tcPr>
          <w:p w14:paraId="3BBC8C0D" w14:textId="77777777" w:rsidR="00BD2503" w:rsidRPr="007A07BD" w:rsidRDefault="00BD2503" w:rsidP="00834859">
            <w:pPr>
              <w:rPr>
                <w:rFonts w:ascii="Arial" w:hAnsi="Arial" w:cs="Arial"/>
                <w:sz w:val="20"/>
                <w:szCs w:val="20"/>
              </w:rPr>
            </w:pPr>
          </w:p>
        </w:tc>
        <w:tc>
          <w:tcPr>
            <w:tcW w:w="962" w:type="pct"/>
            <w:tcBorders>
              <w:top w:val="nil"/>
              <w:left w:val="nil"/>
              <w:bottom w:val="nil"/>
              <w:right w:val="nil"/>
            </w:tcBorders>
            <w:shd w:val="clear" w:color="auto" w:fill="auto"/>
            <w:noWrap/>
            <w:vAlign w:val="bottom"/>
            <w:hideMark/>
          </w:tcPr>
          <w:p w14:paraId="4B5592D5" w14:textId="77777777" w:rsidR="00BD2503" w:rsidRPr="007A07BD" w:rsidRDefault="00BD2503" w:rsidP="00834859">
            <w:pPr>
              <w:rPr>
                <w:rFonts w:ascii="Arial" w:hAnsi="Arial" w:cs="Arial"/>
                <w:sz w:val="20"/>
                <w:szCs w:val="20"/>
              </w:rPr>
            </w:pPr>
          </w:p>
        </w:tc>
        <w:tc>
          <w:tcPr>
            <w:tcW w:w="837" w:type="pct"/>
            <w:tcBorders>
              <w:top w:val="nil"/>
              <w:left w:val="nil"/>
              <w:bottom w:val="nil"/>
              <w:right w:val="nil"/>
            </w:tcBorders>
            <w:shd w:val="clear" w:color="auto" w:fill="auto"/>
            <w:noWrap/>
            <w:vAlign w:val="bottom"/>
            <w:hideMark/>
          </w:tcPr>
          <w:p w14:paraId="2CEED37E" w14:textId="77777777" w:rsidR="00BD2503" w:rsidRPr="007A07BD" w:rsidRDefault="00BD2503" w:rsidP="00834859">
            <w:pPr>
              <w:rPr>
                <w:rFonts w:ascii="Arial" w:hAnsi="Arial" w:cs="Arial"/>
                <w:sz w:val="20"/>
                <w:szCs w:val="20"/>
              </w:rPr>
            </w:pPr>
          </w:p>
        </w:tc>
        <w:tc>
          <w:tcPr>
            <w:tcW w:w="899" w:type="pct"/>
            <w:tcBorders>
              <w:top w:val="nil"/>
              <w:left w:val="nil"/>
              <w:bottom w:val="nil"/>
              <w:right w:val="nil"/>
            </w:tcBorders>
            <w:shd w:val="clear" w:color="auto" w:fill="auto"/>
            <w:noWrap/>
            <w:vAlign w:val="bottom"/>
            <w:hideMark/>
          </w:tcPr>
          <w:p w14:paraId="613441A4" w14:textId="77777777" w:rsidR="00BD2503" w:rsidRPr="007A07BD" w:rsidRDefault="00BD2503" w:rsidP="00834859">
            <w:pPr>
              <w:rPr>
                <w:rFonts w:ascii="Arial" w:hAnsi="Arial" w:cs="Arial"/>
                <w:sz w:val="20"/>
                <w:szCs w:val="20"/>
              </w:rPr>
            </w:pPr>
          </w:p>
        </w:tc>
      </w:tr>
      <w:tr w:rsidR="00BD2503" w:rsidRPr="007A07BD" w14:paraId="6E39811E" w14:textId="77777777" w:rsidTr="00834859">
        <w:trPr>
          <w:trHeight w:val="300"/>
        </w:trPr>
        <w:tc>
          <w:tcPr>
            <w:tcW w:w="900" w:type="pct"/>
            <w:tcBorders>
              <w:top w:val="nil"/>
              <w:left w:val="nil"/>
              <w:bottom w:val="nil"/>
              <w:right w:val="nil"/>
            </w:tcBorders>
            <w:shd w:val="clear" w:color="auto" w:fill="auto"/>
            <w:noWrap/>
            <w:vAlign w:val="center"/>
            <w:hideMark/>
          </w:tcPr>
          <w:p w14:paraId="6FE0E340" w14:textId="77777777" w:rsidR="00BD2503" w:rsidRPr="007A07BD" w:rsidRDefault="00BD2503" w:rsidP="00834859">
            <w:pPr>
              <w:jc w:val="right"/>
              <w:rPr>
                <w:rFonts w:ascii="Arial" w:hAnsi="Arial" w:cs="Arial"/>
                <w:color w:val="000000"/>
                <w:sz w:val="20"/>
              </w:rPr>
            </w:pPr>
            <w:r w:rsidRPr="007A07BD">
              <w:rPr>
                <w:rFonts w:ascii="Arial" w:hAnsi="Arial" w:cs="Arial"/>
                <w:color w:val="000000"/>
                <w:sz w:val="20"/>
              </w:rPr>
              <w:t xml:space="preserve">$10 </w:t>
            </w:r>
          </w:p>
        </w:tc>
        <w:tc>
          <w:tcPr>
            <w:tcW w:w="1402" w:type="pct"/>
            <w:tcBorders>
              <w:top w:val="nil"/>
              <w:left w:val="nil"/>
              <w:bottom w:val="nil"/>
              <w:right w:val="nil"/>
            </w:tcBorders>
            <w:shd w:val="clear" w:color="auto" w:fill="auto"/>
            <w:noWrap/>
            <w:vAlign w:val="center"/>
            <w:hideMark/>
          </w:tcPr>
          <w:p w14:paraId="217AF774" w14:textId="77777777" w:rsidR="00BD2503" w:rsidRPr="00130939" w:rsidRDefault="00BD2503" w:rsidP="00834859">
            <w:pPr>
              <w:jc w:val="right"/>
              <w:rPr>
                <w:rFonts w:ascii="Arial" w:hAnsi="Arial" w:cs="Arial"/>
                <w:color w:val="000000"/>
                <w:sz w:val="20"/>
              </w:rPr>
            </w:pPr>
            <w:r w:rsidRPr="00130939">
              <w:rPr>
                <w:rFonts w:ascii="Arial" w:hAnsi="Arial" w:cs="Arial"/>
                <w:color w:val="000000"/>
                <w:sz w:val="20"/>
              </w:rPr>
              <w:t>9</w:t>
            </w:r>
          </w:p>
        </w:tc>
        <w:tc>
          <w:tcPr>
            <w:tcW w:w="962" w:type="pct"/>
            <w:tcBorders>
              <w:top w:val="nil"/>
              <w:left w:val="nil"/>
              <w:bottom w:val="nil"/>
              <w:right w:val="nil"/>
            </w:tcBorders>
            <w:shd w:val="clear" w:color="auto" w:fill="auto"/>
            <w:noWrap/>
            <w:vAlign w:val="center"/>
            <w:hideMark/>
          </w:tcPr>
          <w:p w14:paraId="0573D185" w14:textId="77777777" w:rsidR="00BD2503" w:rsidRPr="00130939" w:rsidRDefault="00BD2503" w:rsidP="00834859">
            <w:pPr>
              <w:jc w:val="right"/>
              <w:rPr>
                <w:rFonts w:ascii="Arial" w:hAnsi="Arial" w:cs="Arial"/>
                <w:color w:val="000000"/>
                <w:sz w:val="20"/>
              </w:rPr>
            </w:pPr>
            <w:r w:rsidRPr="00130939">
              <w:rPr>
                <w:rFonts w:ascii="Arial" w:hAnsi="Arial" w:cs="Arial"/>
                <w:color w:val="000000"/>
                <w:sz w:val="20"/>
              </w:rPr>
              <w:t>3</w:t>
            </w:r>
          </w:p>
        </w:tc>
        <w:tc>
          <w:tcPr>
            <w:tcW w:w="837" w:type="pct"/>
            <w:tcBorders>
              <w:top w:val="nil"/>
              <w:left w:val="nil"/>
              <w:bottom w:val="nil"/>
              <w:right w:val="nil"/>
            </w:tcBorders>
            <w:shd w:val="clear" w:color="auto" w:fill="auto"/>
            <w:noWrap/>
            <w:vAlign w:val="bottom"/>
            <w:hideMark/>
          </w:tcPr>
          <w:p w14:paraId="47398D85" w14:textId="77777777" w:rsidR="00BD2503" w:rsidRPr="00130939" w:rsidRDefault="00BD2503" w:rsidP="00834859">
            <w:pPr>
              <w:jc w:val="right"/>
              <w:rPr>
                <w:rFonts w:ascii="Arial" w:hAnsi="Arial" w:cs="Arial"/>
                <w:color w:val="000000"/>
                <w:sz w:val="20"/>
              </w:rPr>
            </w:pPr>
            <w:r w:rsidRPr="00130939">
              <w:rPr>
                <w:rFonts w:ascii="Arial" w:hAnsi="Arial" w:cs="Arial"/>
                <w:color w:val="000000"/>
                <w:sz w:val="20"/>
              </w:rPr>
              <w:t>6</w:t>
            </w:r>
          </w:p>
        </w:tc>
        <w:tc>
          <w:tcPr>
            <w:tcW w:w="899" w:type="pct"/>
            <w:tcBorders>
              <w:top w:val="nil"/>
              <w:left w:val="nil"/>
              <w:bottom w:val="nil"/>
              <w:right w:val="nil"/>
            </w:tcBorders>
            <w:shd w:val="clear" w:color="auto" w:fill="auto"/>
            <w:noWrap/>
            <w:vAlign w:val="bottom"/>
            <w:hideMark/>
          </w:tcPr>
          <w:p w14:paraId="05F6F59F" w14:textId="77777777" w:rsidR="00BD2503" w:rsidRPr="00130939" w:rsidRDefault="00BD2503" w:rsidP="00834859">
            <w:pPr>
              <w:jc w:val="right"/>
              <w:rPr>
                <w:rFonts w:ascii="Arial" w:hAnsi="Arial" w:cs="Arial"/>
                <w:color w:val="000000"/>
                <w:sz w:val="20"/>
              </w:rPr>
            </w:pPr>
            <w:r w:rsidRPr="00130939">
              <w:rPr>
                <w:rFonts w:ascii="Arial" w:hAnsi="Arial" w:cs="Arial"/>
                <w:color w:val="000000"/>
                <w:sz w:val="20"/>
              </w:rPr>
              <w:t>33.3</w:t>
            </w:r>
          </w:p>
        </w:tc>
      </w:tr>
      <w:tr w:rsidR="00BD2503" w:rsidRPr="007A07BD" w14:paraId="6BC16EE5" w14:textId="77777777" w:rsidTr="00834859">
        <w:trPr>
          <w:trHeight w:val="300"/>
        </w:trPr>
        <w:tc>
          <w:tcPr>
            <w:tcW w:w="900" w:type="pct"/>
            <w:tcBorders>
              <w:top w:val="nil"/>
              <w:left w:val="nil"/>
              <w:bottom w:val="nil"/>
              <w:right w:val="nil"/>
            </w:tcBorders>
            <w:shd w:val="clear" w:color="auto" w:fill="auto"/>
            <w:noWrap/>
            <w:vAlign w:val="center"/>
            <w:hideMark/>
          </w:tcPr>
          <w:p w14:paraId="2F1B4A1F" w14:textId="77777777" w:rsidR="00BD2503" w:rsidRPr="007A07BD" w:rsidRDefault="00BD2503" w:rsidP="00834859">
            <w:pPr>
              <w:jc w:val="right"/>
              <w:rPr>
                <w:rFonts w:ascii="Arial" w:hAnsi="Arial" w:cs="Arial"/>
                <w:color w:val="000000"/>
                <w:sz w:val="20"/>
              </w:rPr>
            </w:pPr>
            <w:r w:rsidRPr="007A07BD">
              <w:rPr>
                <w:rFonts w:ascii="Arial" w:hAnsi="Arial" w:cs="Arial"/>
                <w:color w:val="000000"/>
                <w:sz w:val="20"/>
              </w:rPr>
              <w:t xml:space="preserve">$20 </w:t>
            </w:r>
          </w:p>
        </w:tc>
        <w:tc>
          <w:tcPr>
            <w:tcW w:w="1402" w:type="pct"/>
            <w:tcBorders>
              <w:top w:val="nil"/>
              <w:left w:val="nil"/>
              <w:bottom w:val="nil"/>
              <w:right w:val="nil"/>
            </w:tcBorders>
            <w:shd w:val="clear" w:color="auto" w:fill="auto"/>
            <w:noWrap/>
            <w:vAlign w:val="center"/>
            <w:hideMark/>
          </w:tcPr>
          <w:p w14:paraId="44F7423B" w14:textId="77777777" w:rsidR="00BD2503" w:rsidRPr="00130939" w:rsidRDefault="00BD2503" w:rsidP="00834859">
            <w:pPr>
              <w:jc w:val="right"/>
              <w:rPr>
                <w:rFonts w:ascii="Arial" w:hAnsi="Arial" w:cs="Arial"/>
                <w:color w:val="000000"/>
                <w:sz w:val="20"/>
              </w:rPr>
            </w:pPr>
            <w:r w:rsidRPr="00130939">
              <w:rPr>
                <w:rFonts w:ascii="Arial" w:hAnsi="Arial" w:cs="Arial"/>
                <w:color w:val="000000"/>
                <w:sz w:val="20"/>
              </w:rPr>
              <w:t>9</w:t>
            </w:r>
          </w:p>
        </w:tc>
        <w:tc>
          <w:tcPr>
            <w:tcW w:w="962" w:type="pct"/>
            <w:tcBorders>
              <w:top w:val="nil"/>
              <w:left w:val="nil"/>
              <w:bottom w:val="nil"/>
              <w:right w:val="nil"/>
            </w:tcBorders>
            <w:shd w:val="clear" w:color="auto" w:fill="auto"/>
            <w:noWrap/>
            <w:vAlign w:val="center"/>
            <w:hideMark/>
          </w:tcPr>
          <w:p w14:paraId="5CB4A966" w14:textId="77777777" w:rsidR="00BD2503" w:rsidRPr="00130939" w:rsidRDefault="00BD2503" w:rsidP="00834859">
            <w:pPr>
              <w:jc w:val="right"/>
              <w:rPr>
                <w:rFonts w:ascii="Arial" w:hAnsi="Arial" w:cs="Arial"/>
                <w:color w:val="000000"/>
                <w:sz w:val="20"/>
              </w:rPr>
            </w:pPr>
            <w:r w:rsidRPr="00130939">
              <w:rPr>
                <w:rFonts w:ascii="Arial" w:hAnsi="Arial" w:cs="Arial"/>
                <w:color w:val="000000"/>
                <w:sz w:val="20"/>
              </w:rPr>
              <w:t>2</w:t>
            </w:r>
          </w:p>
        </w:tc>
        <w:tc>
          <w:tcPr>
            <w:tcW w:w="837" w:type="pct"/>
            <w:tcBorders>
              <w:top w:val="nil"/>
              <w:left w:val="nil"/>
              <w:bottom w:val="nil"/>
              <w:right w:val="nil"/>
            </w:tcBorders>
            <w:shd w:val="clear" w:color="auto" w:fill="auto"/>
            <w:noWrap/>
            <w:vAlign w:val="bottom"/>
            <w:hideMark/>
          </w:tcPr>
          <w:p w14:paraId="19D39156" w14:textId="77777777" w:rsidR="00BD2503" w:rsidRPr="00130939" w:rsidRDefault="00BD2503" w:rsidP="00834859">
            <w:pPr>
              <w:jc w:val="right"/>
              <w:rPr>
                <w:rFonts w:ascii="Arial" w:hAnsi="Arial" w:cs="Arial"/>
                <w:color w:val="000000"/>
                <w:sz w:val="20"/>
              </w:rPr>
            </w:pPr>
            <w:r w:rsidRPr="00130939">
              <w:rPr>
                <w:rFonts w:ascii="Arial" w:hAnsi="Arial" w:cs="Arial"/>
                <w:color w:val="000000"/>
                <w:sz w:val="20"/>
              </w:rPr>
              <w:t>7</w:t>
            </w:r>
          </w:p>
        </w:tc>
        <w:tc>
          <w:tcPr>
            <w:tcW w:w="899" w:type="pct"/>
            <w:tcBorders>
              <w:top w:val="nil"/>
              <w:left w:val="nil"/>
              <w:bottom w:val="nil"/>
              <w:right w:val="nil"/>
            </w:tcBorders>
            <w:shd w:val="clear" w:color="auto" w:fill="auto"/>
            <w:noWrap/>
            <w:vAlign w:val="bottom"/>
            <w:hideMark/>
          </w:tcPr>
          <w:p w14:paraId="647B5D91" w14:textId="77777777" w:rsidR="00BD2503" w:rsidRPr="00130939" w:rsidRDefault="00BD2503" w:rsidP="00834859">
            <w:pPr>
              <w:jc w:val="right"/>
              <w:rPr>
                <w:rFonts w:ascii="Arial" w:hAnsi="Arial" w:cs="Arial"/>
                <w:color w:val="000000"/>
                <w:sz w:val="20"/>
              </w:rPr>
            </w:pPr>
            <w:r w:rsidRPr="00130939">
              <w:rPr>
                <w:rFonts w:ascii="Arial" w:hAnsi="Arial" w:cs="Arial"/>
                <w:color w:val="000000"/>
                <w:sz w:val="20"/>
              </w:rPr>
              <w:t>22.2</w:t>
            </w:r>
          </w:p>
        </w:tc>
      </w:tr>
      <w:tr w:rsidR="00BD2503" w:rsidRPr="007A07BD" w14:paraId="1CE6F6CE" w14:textId="77777777" w:rsidTr="00834859">
        <w:trPr>
          <w:trHeight w:val="300"/>
        </w:trPr>
        <w:tc>
          <w:tcPr>
            <w:tcW w:w="900" w:type="pct"/>
            <w:tcBorders>
              <w:top w:val="nil"/>
              <w:left w:val="nil"/>
              <w:bottom w:val="nil"/>
              <w:right w:val="nil"/>
            </w:tcBorders>
            <w:shd w:val="clear" w:color="auto" w:fill="auto"/>
            <w:noWrap/>
            <w:vAlign w:val="bottom"/>
            <w:hideMark/>
          </w:tcPr>
          <w:p w14:paraId="76C8449E" w14:textId="77777777" w:rsidR="00BD2503" w:rsidRPr="007A07BD" w:rsidRDefault="00BD2503" w:rsidP="00834859">
            <w:pPr>
              <w:jc w:val="right"/>
              <w:rPr>
                <w:rFonts w:ascii="Arial" w:hAnsi="Arial" w:cs="Arial"/>
                <w:color w:val="000000"/>
                <w:sz w:val="20"/>
              </w:rPr>
            </w:pPr>
          </w:p>
        </w:tc>
        <w:tc>
          <w:tcPr>
            <w:tcW w:w="1402" w:type="pct"/>
            <w:tcBorders>
              <w:top w:val="nil"/>
              <w:left w:val="nil"/>
              <w:bottom w:val="nil"/>
              <w:right w:val="nil"/>
            </w:tcBorders>
            <w:shd w:val="clear" w:color="auto" w:fill="auto"/>
            <w:noWrap/>
            <w:vAlign w:val="bottom"/>
            <w:hideMark/>
          </w:tcPr>
          <w:p w14:paraId="7BFD644B" w14:textId="77777777" w:rsidR="00BD2503" w:rsidRPr="00130939" w:rsidRDefault="00BD2503" w:rsidP="00834859">
            <w:pPr>
              <w:rPr>
                <w:rFonts w:ascii="Arial" w:hAnsi="Arial" w:cs="Arial"/>
                <w:sz w:val="20"/>
                <w:szCs w:val="20"/>
              </w:rPr>
            </w:pPr>
          </w:p>
        </w:tc>
        <w:tc>
          <w:tcPr>
            <w:tcW w:w="962" w:type="pct"/>
            <w:tcBorders>
              <w:top w:val="nil"/>
              <w:left w:val="nil"/>
              <w:bottom w:val="nil"/>
              <w:right w:val="nil"/>
            </w:tcBorders>
            <w:shd w:val="clear" w:color="auto" w:fill="auto"/>
            <w:noWrap/>
            <w:vAlign w:val="bottom"/>
            <w:hideMark/>
          </w:tcPr>
          <w:p w14:paraId="42FD9E09" w14:textId="77777777" w:rsidR="00BD2503" w:rsidRPr="00130939" w:rsidRDefault="00BD2503" w:rsidP="00834859">
            <w:pPr>
              <w:rPr>
                <w:rFonts w:ascii="Arial" w:hAnsi="Arial" w:cs="Arial"/>
                <w:sz w:val="20"/>
                <w:szCs w:val="20"/>
              </w:rPr>
            </w:pPr>
          </w:p>
        </w:tc>
        <w:tc>
          <w:tcPr>
            <w:tcW w:w="837" w:type="pct"/>
            <w:tcBorders>
              <w:top w:val="nil"/>
              <w:left w:val="nil"/>
              <w:bottom w:val="nil"/>
              <w:right w:val="nil"/>
            </w:tcBorders>
            <w:shd w:val="clear" w:color="auto" w:fill="auto"/>
            <w:noWrap/>
            <w:vAlign w:val="bottom"/>
            <w:hideMark/>
          </w:tcPr>
          <w:p w14:paraId="16A4A4CD" w14:textId="77777777" w:rsidR="00BD2503" w:rsidRPr="00130939" w:rsidRDefault="00BD2503" w:rsidP="00834859">
            <w:pPr>
              <w:rPr>
                <w:rFonts w:ascii="Arial" w:hAnsi="Arial" w:cs="Arial"/>
                <w:sz w:val="20"/>
                <w:szCs w:val="20"/>
              </w:rPr>
            </w:pPr>
          </w:p>
        </w:tc>
        <w:tc>
          <w:tcPr>
            <w:tcW w:w="899" w:type="pct"/>
            <w:tcBorders>
              <w:top w:val="nil"/>
              <w:left w:val="nil"/>
              <w:bottom w:val="nil"/>
              <w:right w:val="nil"/>
            </w:tcBorders>
            <w:shd w:val="clear" w:color="auto" w:fill="auto"/>
            <w:noWrap/>
            <w:vAlign w:val="bottom"/>
            <w:hideMark/>
          </w:tcPr>
          <w:p w14:paraId="455304AB" w14:textId="77777777" w:rsidR="00BD2503" w:rsidRPr="00130939" w:rsidRDefault="00BD2503" w:rsidP="00834859">
            <w:pPr>
              <w:rPr>
                <w:rFonts w:ascii="Arial" w:hAnsi="Arial" w:cs="Arial"/>
                <w:sz w:val="20"/>
                <w:szCs w:val="20"/>
              </w:rPr>
            </w:pPr>
          </w:p>
        </w:tc>
      </w:tr>
      <w:tr w:rsidR="00BD2503" w:rsidRPr="007A07BD" w14:paraId="04199772" w14:textId="77777777" w:rsidTr="00834859">
        <w:trPr>
          <w:trHeight w:val="315"/>
        </w:trPr>
        <w:tc>
          <w:tcPr>
            <w:tcW w:w="900" w:type="pct"/>
            <w:tcBorders>
              <w:top w:val="nil"/>
              <w:left w:val="nil"/>
              <w:bottom w:val="single" w:sz="12" w:space="0" w:color="auto"/>
              <w:right w:val="nil"/>
            </w:tcBorders>
            <w:shd w:val="clear" w:color="auto" w:fill="auto"/>
            <w:noWrap/>
            <w:vAlign w:val="center"/>
            <w:hideMark/>
          </w:tcPr>
          <w:p w14:paraId="6396F8C7" w14:textId="77777777" w:rsidR="00BD2503" w:rsidRPr="007A07BD" w:rsidRDefault="00BD2503" w:rsidP="00834859">
            <w:pPr>
              <w:rPr>
                <w:rFonts w:ascii="Arial" w:hAnsi="Arial" w:cs="Arial"/>
                <w:color w:val="000000"/>
                <w:sz w:val="20"/>
              </w:rPr>
            </w:pPr>
            <w:r w:rsidRPr="007A07BD">
              <w:rPr>
                <w:rFonts w:ascii="Arial" w:hAnsi="Arial" w:cs="Arial"/>
                <w:color w:val="000000"/>
                <w:sz w:val="20"/>
              </w:rPr>
              <w:t>Total</w:t>
            </w:r>
          </w:p>
        </w:tc>
        <w:tc>
          <w:tcPr>
            <w:tcW w:w="1402" w:type="pct"/>
            <w:tcBorders>
              <w:top w:val="nil"/>
              <w:left w:val="nil"/>
              <w:bottom w:val="single" w:sz="12" w:space="0" w:color="auto"/>
              <w:right w:val="nil"/>
            </w:tcBorders>
            <w:shd w:val="clear" w:color="auto" w:fill="auto"/>
            <w:noWrap/>
            <w:vAlign w:val="center"/>
            <w:hideMark/>
          </w:tcPr>
          <w:p w14:paraId="31D2D01F" w14:textId="77777777" w:rsidR="00BD2503" w:rsidRPr="00130939" w:rsidRDefault="00BD2503" w:rsidP="00834859">
            <w:pPr>
              <w:jc w:val="right"/>
              <w:rPr>
                <w:rFonts w:ascii="Arial" w:hAnsi="Arial" w:cs="Arial"/>
                <w:color w:val="000000"/>
                <w:sz w:val="20"/>
              </w:rPr>
            </w:pPr>
            <w:r w:rsidRPr="00130939">
              <w:rPr>
                <w:rFonts w:ascii="Arial" w:hAnsi="Arial" w:cs="Arial"/>
                <w:color w:val="000000"/>
                <w:sz w:val="20"/>
              </w:rPr>
              <w:t>18</w:t>
            </w:r>
          </w:p>
        </w:tc>
        <w:tc>
          <w:tcPr>
            <w:tcW w:w="962" w:type="pct"/>
            <w:tcBorders>
              <w:top w:val="nil"/>
              <w:left w:val="nil"/>
              <w:bottom w:val="single" w:sz="12" w:space="0" w:color="auto"/>
              <w:right w:val="nil"/>
            </w:tcBorders>
            <w:shd w:val="clear" w:color="auto" w:fill="auto"/>
            <w:noWrap/>
            <w:vAlign w:val="center"/>
            <w:hideMark/>
          </w:tcPr>
          <w:p w14:paraId="7F870954" w14:textId="77777777" w:rsidR="00BD2503" w:rsidRPr="00130939" w:rsidRDefault="00BD2503" w:rsidP="00834859">
            <w:pPr>
              <w:jc w:val="right"/>
              <w:rPr>
                <w:rFonts w:ascii="Arial" w:hAnsi="Arial" w:cs="Arial"/>
                <w:color w:val="000000"/>
                <w:sz w:val="20"/>
              </w:rPr>
            </w:pPr>
            <w:r w:rsidRPr="00130939">
              <w:rPr>
                <w:rFonts w:ascii="Arial" w:hAnsi="Arial" w:cs="Arial"/>
                <w:color w:val="000000"/>
                <w:sz w:val="20"/>
              </w:rPr>
              <w:t>5</w:t>
            </w:r>
          </w:p>
        </w:tc>
        <w:tc>
          <w:tcPr>
            <w:tcW w:w="837" w:type="pct"/>
            <w:tcBorders>
              <w:top w:val="nil"/>
              <w:left w:val="nil"/>
              <w:bottom w:val="single" w:sz="12" w:space="0" w:color="auto"/>
              <w:right w:val="nil"/>
            </w:tcBorders>
            <w:shd w:val="clear" w:color="auto" w:fill="auto"/>
            <w:noWrap/>
            <w:vAlign w:val="center"/>
            <w:hideMark/>
          </w:tcPr>
          <w:p w14:paraId="7A7DD412" w14:textId="77777777" w:rsidR="00BD2503" w:rsidRPr="00130939" w:rsidRDefault="00BD2503" w:rsidP="00834859">
            <w:pPr>
              <w:jc w:val="right"/>
              <w:rPr>
                <w:rFonts w:ascii="Arial" w:hAnsi="Arial" w:cs="Arial"/>
                <w:color w:val="000000"/>
                <w:sz w:val="20"/>
              </w:rPr>
            </w:pPr>
            <w:r w:rsidRPr="00130939">
              <w:rPr>
                <w:rFonts w:ascii="Arial" w:hAnsi="Arial" w:cs="Arial"/>
                <w:color w:val="000000"/>
                <w:sz w:val="20"/>
              </w:rPr>
              <w:t>13</w:t>
            </w:r>
          </w:p>
        </w:tc>
        <w:tc>
          <w:tcPr>
            <w:tcW w:w="899" w:type="pct"/>
            <w:tcBorders>
              <w:top w:val="nil"/>
              <w:left w:val="nil"/>
              <w:bottom w:val="single" w:sz="12" w:space="0" w:color="auto"/>
              <w:right w:val="nil"/>
            </w:tcBorders>
            <w:shd w:val="clear" w:color="auto" w:fill="auto"/>
            <w:noWrap/>
            <w:vAlign w:val="center"/>
            <w:hideMark/>
          </w:tcPr>
          <w:p w14:paraId="483DC0C8" w14:textId="77777777" w:rsidR="00BD2503" w:rsidRPr="00130939" w:rsidRDefault="00BD2503" w:rsidP="00834859">
            <w:pPr>
              <w:jc w:val="right"/>
              <w:rPr>
                <w:rFonts w:ascii="Arial" w:hAnsi="Arial" w:cs="Arial"/>
                <w:color w:val="000000"/>
                <w:sz w:val="20"/>
              </w:rPr>
            </w:pPr>
            <w:r w:rsidRPr="00130939">
              <w:rPr>
                <w:rFonts w:ascii="Arial" w:hAnsi="Arial" w:cs="Arial"/>
                <w:color w:val="000000"/>
                <w:sz w:val="20"/>
              </w:rPr>
              <w:t>27.8</w:t>
            </w:r>
          </w:p>
        </w:tc>
      </w:tr>
    </w:tbl>
    <w:p w14:paraId="64D39B45" w14:textId="77777777" w:rsidR="00BD2503" w:rsidRDefault="00BD2503" w:rsidP="00BD2503">
      <w:pPr>
        <w:rPr>
          <w:rFonts w:ascii="Arial" w:hAnsi="Arial" w:cs="Arial"/>
          <w:color w:val="000000"/>
          <w:sz w:val="18"/>
        </w:rPr>
      </w:pPr>
      <w:r>
        <w:rPr>
          <w:rFonts w:ascii="Arial" w:hAnsi="Arial" w:cs="Arial"/>
          <w:color w:val="000000"/>
          <w:sz w:val="18"/>
        </w:rPr>
        <w:t xml:space="preserve">NOTE: Excludes partially completed cases. </w:t>
      </w:r>
      <w:r>
        <w:rPr>
          <w:rFonts w:ascii="Arial" w:hAnsi="Arial" w:cs="Arial"/>
          <w:color w:val="000000"/>
          <w:sz w:val="18"/>
        </w:rPr>
        <w:br/>
      </w:r>
      <w:r w:rsidRPr="007A07BD">
        <w:rPr>
          <w:rFonts w:ascii="Arial" w:hAnsi="Arial" w:cs="Arial"/>
          <w:color w:val="000000"/>
          <w:sz w:val="18"/>
        </w:rPr>
        <w:t>SOURCE: U.S. Department of Education, National Center for Education Statistics. High School Longitudinal Study of 2009 (HSLS</w:t>
      </w:r>
      <w:proofErr w:type="gramStart"/>
      <w:r w:rsidRPr="007A07BD">
        <w:rPr>
          <w:rFonts w:ascii="Arial" w:hAnsi="Arial" w:cs="Arial"/>
          <w:color w:val="000000"/>
          <w:sz w:val="18"/>
        </w:rPr>
        <w:t>:09</w:t>
      </w:r>
      <w:proofErr w:type="gramEnd"/>
      <w:r w:rsidRPr="007A07BD">
        <w:rPr>
          <w:rFonts w:ascii="Arial" w:hAnsi="Arial" w:cs="Arial"/>
          <w:color w:val="000000"/>
          <w:sz w:val="18"/>
        </w:rPr>
        <w:t>) Second Follow-up Main Study.</w:t>
      </w:r>
    </w:p>
    <w:p w14:paraId="24F8A260" w14:textId="77777777" w:rsidR="00BD2503" w:rsidRDefault="00BD2503" w:rsidP="00BD2503">
      <w:pPr>
        <w:rPr>
          <w:rFonts w:ascii="Garamond" w:hAnsi="Garamond"/>
          <w:b/>
          <w:i/>
        </w:rPr>
      </w:pPr>
    </w:p>
    <w:p w14:paraId="7179FD76" w14:textId="0C6BB642" w:rsidR="00BD2503" w:rsidRDefault="00BD2503" w:rsidP="00BD2503">
      <w:proofErr w:type="gramStart"/>
      <w:r w:rsidRPr="005B3D5C">
        <w:rPr>
          <w:b/>
          <w:i/>
        </w:rPr>
        <w:t>Subgroup C (All Other High School Completers and Unknown Cases).</w:t>
      </w:r>
      <w:proofErr w:type="gramEnd"/>
      <w:r w:rsidRPr="005B3D5C">
        <w:rPr>
          <w:b/>
          <w:i/>
        </w:rPr>
        <w:t xml:space="preserve"> </w:t>
      </w:r>
      <w:r w:rsidRPr="005B3D5C">
        <w:t>Exhibit 3 displays Subgroup C response rates during phase 3 by incentive level</w:t>
      </w:r>
      <w:r w:rsidR="00977F6A">
        <w:t xml:space="preserve">, among the 661 cases selected for an incentive boost based on the </w:t>
      </w:r>
      <w:r w:rsidR="00531C04">
        <w:t>bias-likelihood model</w:t>
      </w:r>
      <w:r w:rsidRPr="005B3D5C">
        <w:t>. No significant difference was detected between the phase 3 response rates of sample members offered $10 (13.0 percent) and $20 (15.5 percent) boost 1 (</w:t>
      </w:r>
      <w:r w:rsidRPr="005B3D5C">
        <w:rPr>
          <w:i/>
        </w:rPr>
        <w:t>χ</w:t>
      </w:r>
      <w:r w:rsidRPr="005B3D5C">
        <w:rPr>
          <w:i/>
          <w:vertAlign w:val="superscript"/>
        </w:rPr>
        <w:t xml:space="preserve">2 </w:t>
      </w:r>
      <w:r w:rsidRPr="005B3D5C">
        <w:t xml:space="preserve">(1, </w:t>
      </w:r>
      <w:r w:rsidRPr="005B3D5C">
        <w:rPr>
          <w:i/>
        </w:rPr>
        <w:t>N</w:t>
      </w:r>
      <w:r w:rsidRPr="005B3D5C">
        <w:t xml:space="preserve"> = 661) = 0.88, </w:t>
      </w:r>
      <w:r w:rsidRPr="005B3D5C">
        <w:rPr>
          <w:i/>
        </w:rPr>
        <w:t>p</w:t>
      </w:r>
      <w:r w:rsidRPr="005B3D5C">
        <w:t xml:space="preserve"> = .35). As such we recommend a boost 1 of $10 be offered to all cases in the Subgroup C main sample.</w:t>
      </w:r>
    </w:p>
    <w:p w14:paraId="6E7AA29B" w14:textId="77777777" w:rsidR="00856A8B" w:rsidRPr="005B3D5C" w:rsidRDefault="00856A8B" w:rsidP="00BD2503">
      <w:pPr>
        <w:rPr>
          <w:b/>
        </w:rPr>
      </w:pPr>
    </w:p>
    <w:p w14:paraId="6FFD87BC" w14:textId="77777777" w:rsidR="00BD2503" w:rsidRDefault="00BD2503" w:rsidP="00BD2503">
      <w:pPr>
        <w:rPr>
          <w:rFonts w:ascii="Arial" w:hAnsi="Arial" w:cs="Arial"/>
          <w:b/>
          <w:color w:val="000000"/>
          <w:sz w:val="18"/>
        </w:rPr>
      </w:pPr>
      <w:proofErr w:type="gramStart"/>
      <w:r>
        <w:rPr>
          <w:rFonts w:ascii="Arial" w:hAnsi="Arial" w:cs="Arial"/>
          <w:b/>
          <w:color w:val="000000"/>
          <w:sz w:val="18"/>
        </w:rPr>
        <w:t>Exhibit 3.</w:t>
      </w:r>
      <w:proofErr w:type="gramEnd"/>
      <w:r>
        <w:rPr>
          <w:rFonts w:ascii="Arial" w:hAnsi="Arial" w:cs="Arial"/>
          <w:b/>
          <w:color w:val="000000"/>
          <w:sz w:val="18"/>
        </w:rPr>
        <w:t xml:space="preserve"> Subgroup</w:t>
      </w:r>
      <w:r w:rsidRPr="00282520">
        <w:rPr>
          <w:rFonts w:ascii="Arial" w:hAnsi="Arial" w:cs="Arial"/>
          <w:b/>
          <w:color w:val="000000"/>
          <w:sz w:val="18"/>
        </w:rPr>
        <w:t xml:space="preserve"> C</w:t>
      </w:r>
      <w:r w:rsidRPr="00617622">
        <w:rPr>
          <w:rFonts w:ascii="Arial" w:hAnsi="Arial" w:cs="Arial"/>
          <w:b/>
          <w:color w:val="000000"/>
          <w:sz w:val="18"/>
        </w:rPr>
        <w:t xml:space="preserve"> response rates </w:t>
      </w:r>
      <w:r>
        <w:rPr>
          <w:rFonts w:ascii="Arial" w:hAnsi="Arial" w:cs="Arial"/>
          <w:b/>
          <w:color w:val="000000"/>
          <w:sz w:val="18"/>
        </w:rPr>
        <w:t xml:space="preserve">in phase 3, </w:t>
      </w:r>
      <w:r w:rsidRPr="00617622">
        <w:rPr>
          <w:rFonts w:ascii="Arial" w:hAnsi="Arial" w:cs="Arial"/>
          <w:b/>
          <w:color w:val="000000"/>
          <w:sz w:val="18"/>
        </w:rPr>
        <w:t>by</w:t>
      </w:r>
      <w:r>
        <w:rPr>
          <w:rFonts w:ascii="Arial" w:hAnsi="Arial" w:cs="Arial"/>
          <w:b/>
          <w:color w:val="000000"/>
          <w:sz w:val="18"/>
        </w:rPr>
        <w:t xml:space="preserve"> boost 1</w:t>
      </w:r>
      <w:r w:rsidRPr="00617622">
        <w:rPr>
          <w:rFonts w:ascii="Arial" w:hAnsi="Arial" w:cs="Arial"/>
          <w:b/>
          <w:color w:val="000000"/>
          <w:sz w:val="18"/>
        </w:rPr>
        <w:t xml:space="preserve"> incentive amount</w:t>
      </w:r>
    </w:p>
    <w:tbl>
      <w:tblPr>
        <w:tblW w:w="5000" w:type="pct"/>
        <w:tblLook w:val="04A0" w:firstRow="1" w:lastRow="0" w:firstColumn="1" w:lastColumn="0" w:noHBand="0" w:noVBand="1"/>
      </w:tblPr>
      <w:tblGrid>
        <w:gridCol w:w="1905"/>
        <w:gridCol w:w="2968"/>
        <w:gridCol w:w="1816"/>
        <w:gridCol w:w="1992"/>
        <w:gridCol w:w="1903"/>
      </w:tblGrid>
      <w:tr w:rsidR="00BD2503" w:rsidRPr="00AA76B1" w14:paraId="06298D88" w14:textId="77777777" w:rsidTr="00834859">
        <w:trPr>
          <w:trHeight w:val="630"/>
        </w:trPr>
        <w:tc>
          <w:tcPr>
            <w:tcW w:w="900" w:type="pct"/>
            <w:tcBorders>
              <w:top w:val="single" w:sz="12" w:space="0" w:color="auto"/>
              <w:left w:val="nil"/>
              <w:bottom w:val="nil"/>
              <w:right w:val="nil"/>
            </w:tcBorders>
            <w:shd w:val="clear" w:color="auto" w:fill="auto"/>
            <w:vAlign w:val="center"/>
            <w:hideMark/>
          </w:tcPr>
          <w:p w14:paraId="6C4D187A" w14:textId="77777777" w:rsidR="00BD2503" w:rsidRPr="00AA76B1" w:rsidRDefault="00BD2503" w:rsidP="00834859">
            <w:pPr>
              <w:jc w:val="right"/>
              <w:rPr>
                <w:rFonts w:ascii="Arial" w:hAnsi="Arial" w:cs="Arial"/>
                <w:color w:val="000000"/>
                <w:sz w:val="20"/>
              </w:rPr>
            </w:pPr>
            <w:r w:rsidRPr="00AA76B1">
              <w:rPr>
                <w:rFonts w:ascii="Arial" w:hAnsi="Arial" w:cs="Arial"/>
                <w:color w:val="000000"/>
                <w:sz w:val="20"/>
              </w:rPr>
              <w:t>Boost 1</w:t>
            </w:r>
          </w:p>
        </w:tc>
        <w:tc>
          <w:tcPr>
            <w:tcW w:w="1402" w:type="pct"/>
            <w:tcBorders>
              <w:top w:val="single" w:sz="12" w:space="0" w:color="auto"/>
              <w:left w:val="nil"/>
              <w:bottom w:val="nil"/>
              <w:right w:val="nil"/>
            </w:tcBorders>
            <w:shd w:val="clear" w:color="auto" w:fill="auto"/>
            <w:vAlign w:val="center"/>
            <w:hideMark/>
          </w:tcPr>
          <w:p w14:paraId="64B0F0C9" w14:textId="77777777" w:rsidR="00BD2503" w:rsidRPr="00AA76B1" w:rsidRDefault="00BD2503" w:rsidP="00834859">
            <w:pPr>
              <w:jc w:val="right"/>
              <w:rPr>
                <w:rFonts w:ascii="Arial" w:hAnsi="Arial" w:cs="Arial"/>
                <w:color w:val="000000"/>
                <w:sz w:val="20"/>
              </w:rPr>
            </w:pPr>
            <w:r w:rsidRPr="00AA76B1">
              <w:rPr>
                <w:rFonts w:ascii="Arial" w:hAnsi="Arial" w:cs="Arial"/>
                <w:color w:val="000000"/>
                <w:sz w:val="20"/>
              </w:rPr>
              <w:t>Sample members</w:t>
            </w:r>
            <w:r w:rsidRPr="00AA76B1">
              <w:rPr>
                <w:rFonts w:ascii="Arial" w:hAnsi="Arial" w:cs="Arial"/>
                <w:color w:val="000000"/>
                <w:sz w:val="20"/>
              </w:rPr>
              <w:br/>
              <w:t>(n)</w:t>
            </w:r>
          </w:p>
        </w:tc>
        <w:tc>
          <w:tcPr>
            <w:tcW w:w="1799" w:type="pct"/>
            <w:gridSpan w:val="2"/>
            <w:tcBorders>
              <w:top w:val="single" w:sz="12" w:space="0" w:color="auto"/>
              <w:left w:val="nil"/>
              <w:bottom w:val="single" w:sz="8" w:space="0" w:color="auto"/>
              <w:right w:val="nil"/>
            </w:tcBorders>
            <w:shd w:val="clear" w:color="auto" w:fill="auto"/>
            <w:vAlign w:val="center"/>
            <w:hideMark/>
          </w:tcPr>
          <w:p w14:paraId="73124195" w14:textId="77777777" w:rsidR="00BD2503" w:rsidRPr="00AA76B1" w:rsidRDefault="00BD2503" w:rsidP="00834859">
            <w:pPr>
              <w:jc w:val="center"/>
              <w:rPr>
                <w:rFonts w:ascii="Arial" w:hAnsi="Arial" w:cs="Arial"/>
                <w:color w:val="000000"/>
                <w:sz w:val="20"/>
              </w:rPr>
            </w:pPr>
            <w:r w:rsidRPr="00AA76B1">
              <w:rPr>
                <w:rFonts w:ascii="Arial" w:hAnsi="Arial" w:cs="Arial"/>
                <w:color w:val="000000"/>
                <w:sz w:val="20"/>
              </w:rPr>
              <w:t>Boost 1 response</w:t>
            </w:r>
          </w:p>
        </w:tc>
        <w:tc>
          <w:tcPr>
            <w:tcW w:w="899" w:type="pct"/>
            <w:tcBorders>
              <w:top w:val="single" w:sz="12" w:space="0" w:color="auto"/>
              <w:left w:val="nil"/>
              <w:bottom w:val="nil"/>
              <w:right w:val="nil"/>
            </w:tcBorders>
            <w:shd w:val="clear" w:color="auto" w:fill="auto"/>
            <w:vAlign w:val="center"/>
            <w:hideMark/>
          </w:tcPr>
          <w:p w14:paraId="1E6AE6EB" w14:textId="77777777" w:rsidR="00BD2503" w:rsidRPr="00AA76B1" w:rsidRDefault="00BD2503" w:rsidP="00834859">
            <w:pPr>
              <w:jc w:val="right"/>
              <w:rPr>
                <w:rFonts w:ascii="Arial" w:hAnsi="Arial" w:cs="Arial"/>
                <w:color w:val="000000"/>
                <w:sz w:val="20"/>
              </w:rPr>
            </w:pPr>
            <w:r w:rsidRPr="00AA76B1">
              <w:rPr>
                <w:rFonts w:ascii="Arial" w:hAnsi="Arial" w:cs="Arial"/>
                <w:color w:val="000000"/>
                <w:sz w:val="20"/>
              </w:rPr>
              <w:t>Boost 1 response rate (%)</w:t>
            </w:r>
          </w:p>
        </w:tc>
      </w:tr>
      <w:tr w:rsidR="00BD2503" w:rsidRPr="00AA76B1" w14:paraId="1D9D4C81" w14:textId="77777777" w:rsidTr="00834859">
        <w:trPr>
          <w:trHeight w:val="315"/>
        </w:trPr>
        <w:tc>
          <w:tcPr>
            <w:tcW w:w="900" w:type="pct"/>
            <w:tcBorders>
              <w:top w:val="nil"/>
              <w:left w:val="nil"/>
              <w:bottom w:val="single" w:sz="8" w:space="0" w:color="auto"/>
              <w:right w:val="nil"/>
            </w:tcBorders>
            <w:shd w:val="clear" w:color="auto" w:fill="auto"/>
            <w:noWrap/>
            <w:vAlign w:val="bottom"/>
            <w:hideMark/>
          </w:tcPr>
          <w:p w14:paraId="03274AD0" w14:textId="77777777" w:rsidR="00BD2503" w:rsidRPr="00AA76B1" w:rsidRDefault="00BD2503" w:rsidP="00834859">
            <w:pPr>
              <w:rPr>
                <w:rFonts w:ascii="Arial" w:hAnsi="Arial" w:cs="Arial"/>
                <w:color w:val="000000"/>
                <w:sz w:val="20"/>
              </w:rPr>
            </w:pPr>
            <w:r w:rsidRPr="00AA76B1">
              <w:rPr>
                <w:rFonts w:ascii="Arial" w:hAnsi="Arial" w:cs="Arial"/>
                <w:color w:val="000000"/>
                <w:sz w:val="20"/>
              </w:rPr>
              <w:t> </w:t>
            </w:r>
          </w:p>
        </w:tc>
        <w:tc>
          <w:tcPr>
            <w:tcW w:w="1402" w:type="pct"/>
            <w:tcBorders>
              <w:top w:val="nil"/>
              <w:left w:val="nil"/>
              <w:bottom w:val="single" w:sz="8" w:space="0" w:color="auto"/>
              <w:right w:val="nil"/>
            </w:tcBorders>
            <w:shd w:val="clear" w:color="auto" w:fill="auto"/>
            <w:noWrap/>
            <w:vAlign w:val="bottom"/>
            <w:hideMark/>
          </w:tcPr>
          <w:p w14:paraId="156DCE14" w14:textId="77777777" w:rsidR="00BD2503" w:rsidRPr="00AA76B1" w:rsidRDefault="00BD2503" w:rsidP="00834859">
            <w:pPr>
              <w:rPr>
                <w:rFonts w:ascii="Arial" w:hAnsi="Arial" w:cs="Arial"/>
                <w:color w:val="000000"/>
                <w:sz w:val="20"/>
              </w:rPr>
            </w:pPr>
            <w:r w:rsidRPr="00AA76B1">
              <w:rPr>
                <w:rFonts w:ascii="Arial" w:hAnsi="Arial" w:cs="Arial"/>
                <w:color w:val="000000"/>
                <w:sz w:val="20"/>
              </w:rPr>
              <w:t> </w:t>
            </w:r>
          </w:p>
        </w:tc>
        <w:tc>
          <w:tcPr>
            <w:tcW w:w="858" w:type="pct"/>
            <w:tcBorders>
              <w:top w:val="nil"/>
              <w:left w:val="nil"/>
              <w:bottom w:val="single" w:sz="8" w:space="0" w:color="auto"/>
              <w:right w:val="nil"/>
            </w:tcBorders>
            <w:shd w:val="clear" w:color="auto" w:fill="auto"/>
            <w:noWrap/>
            <w:vAlign w:val="center"/>
            <w:hideMark/>
          </w:tcPr>
          <w:p w14:paraId="308797CE" w14:textId="77777777" w:rsidR="00BD2503" w:rsidRPr="00AA76B1" w:rsidRDefault="00BD2503" w:rsidP="00834859">
            <w:pPr>
              <w:jc w:val="right"/>
              <w:rPr>
                <w:rFonts w:ascii="Arial" w:hAnsi="Arial" w:cs="Arial"/>
                <w:color w:val="000000"/>
                <w:sz w:val="20"/>
              </w:rPr>
            </w:pPr>
            <w:r w:rsidRPr="00AA76B1">
              <w:rPr>
                <w:rFonts w:ascii="Arial" w:hAnsi="Arial" w:cs="Arial"/>
                <w:color w:val="000000"/>
                <w:sz w:val="20"/>
              </w:rPr>
              <w:t>Yes</w:t>
            </w:r>
          </w:p>
        </w:tc>
        <w:tc>
          <w:tcPr>
            <w:tcW w:w="941" w:type="pct"/>
            <w:tcBorders>
              <w:top w:val="nil"/>
              <w:left w:val="nil"/>
              <w:bottom w:val="single" w:sz="8" w:space="0" w:color="auto"/>
              <w:right w:val="nil"/>
            </w:tcBorders>
            <w:shd w:val="clear" w:color="auto" w:fill="auto"/>
            <w:noWrap/>
            <w:vAlign w:val="center"/>
            <w:hideMark/>
          </w:tcPr>
          <w:p w14:paraId="5CD78FB4" w14:textId="77777777" w:rsidR="00BD2503" w:rsidRPr="00AA76B1" w:rsidRDefault="00BD2503" w:rsidP="00834859">
            <w:pPr>
              <w:jc w:val="right"/>
              <w:rPr>
                <w:rFonts w:ascii="Arial" w:hAnsi="Arial" w:cs="Arial"/>
                <w:color w:val="000000"/>
                <w:sz w:val="20"/>
              </w:rPr>
            </w:pPr>
            <w:r w:rsidRPr="00AA76B1">
              <w:rPr>
                <w:rFonts w:ascii="Arial" w:hAnsi="Arial" w:cs="Arial"/>
                <w:color w:val="000000"/>
                <w:sz w:val="20"/>
              </w:rPr>
              <w:t>No</w:t>
            </w:r>
          </w:p>
        </w:tc>
        <w:tc>
          <w:tcPr>
            <w:tcW w:w="899" w:type="pct"/>
            <w:tcBorders>
              <w:top w:val="nil"/>
              <w:left w:val="nil"/>
              <w:bottom w:val="single" w:sz="8" w:space="0" w:color="auto"/>
              <w:right w:val="nil"/>
            </w:tcBorders>
            <w:shd w:val="clear" w:color="auto" w:fill="auto"/>
            <w:noWrap/>
            <w:vAlign w:val="bottom"/>
            <w:hideMark/>
          </w:tcPr>
          <w:p w14:paraId="54B0CC5F" w14:textId="77777777" w:rsidR="00BD2503" w:rsidRPr="00AA76B1" w:rsidRDefault="00BD2503" w:rsidP="00834859">
            <w:pPr>
              <w:rPr>
                <w:rFonts w:ascii="Arial" w:hAnsi="Arial" w:cs="Arial"/>
                <w:color w:val="000000"/>
                <w:sz w:val="20"/>
              </w:rPr>
            </w:pPr>
            <w:r w:rsidRPr="00AA76B1">
              <w:rPr>
                <w:rFonts w:ascii="Arial" w:hAnsi="Arial" w:cs="Arial"/>
                <w:color w:val="000000"/>
                <w:sz w:val="20"/>
              </w:rPr>
              <w:t> </w:t>
            </w:r>
          </w:p>
        </w:tc>
      </w:tr>
      <w:tr w:rsidR="00BD2503" w:rsidRPr="00AA76B1" w14:paraId="75220903" w14:textId="77777777" w:rsidTr="00834859">
        <w:trPr>
          <w:trHeight w:val="300"/>
        </w:trPr>
        <w:tc>
          <w:tcPr>
            <w:tcW w:w="900" w:type="pct"/>
            <w:tcBorders>
              <w:top w:val="nil"/>
              <w:left w:val="nil"/>
              <w:bottom w:val="nil"/>
              <w:right w:val="nil"/>
            </w:tcBorders>
            <w:shd w:val="clear" w:color="auto" w:fill="auto"/>
            <w:noWrap/>
            <w:vAlign w:val="bottom"/>
            <w:hideMark/>
          </w:tcPr>
          <w:p w14:paraId="368CAB3C" w14:textId="77777777" w:rsidR="00BD2503" w:rsidRPr="00AA76B1" w:rsidRDefault="00BD2503" w:rsidP="00834859">
            <w:pPr>
              <w:rPr>
                <w:rFonts w:ascii="Arial" w:hAnsi="Arial" w:cs="Arial"/>
                <w:color w:val="000000"/>
                <w:sz w:val="20"/>
              </w:rPr>
            </w:pPr>
          </w:p>
        </w:tc>
        <w:tc>
          <w:tcPr>
            <w:tcW w:w="1402" w:type="pct"/>
            <w:tcBorders>
              <w:top w:val="nil"/>
              <w:left w:val="nil"/>
              <w:bottom w:val="nil"/>
              <w:right w:val="nil"/>
            </w:tcBorders>
            <w:shd w:val="clear" w:color="auto" w:fill="auto"/>
            <w:noWrap/>
            <w:vAlign w:val="bottom"/>
            <w:hideMark/>
          </w:tcPr>
          <w:p w14:paraId="4D91E361" w14:textId="77777777" w:rsidR="00BD2503" w:rsidRPr="00AA76B1" w:rsidRDefault="00BD2503" w:rsidP="00834859">
            <w:pPr>
              <w:rPr>
                <w:rFonts w:ascii="Arial" w:hAnsi="Arial" w:cs="Arial"/>
                <w:sz w:val="20"/>
                <w:szCs w:val="20"/>
              </w:rPr>
            </w:pPr>
          </w:p>
        </w:tc>
        <w:tc>
          <w:tcPr>
            <w:tcW w:w="858" w:type="pct"/>
            <w:tcBorders>
              <w:top w:val="nil"/>
              <w:left w:val="nil"/>
              <w:bottom w:val="nil"/>
              <w:right w:val="nil"/>
            </w:tcBorders>
            <w:shd w:val="clear" w:color="auto" w:fill="auto"/>
            <w:noWrap/>
            <w:vAlign w:val="bottom"/>
            <w:hideMark/>
          </w:tcPr>
          <w:p w14:paraId="70CCDE1F" w14:textId="77777777" w:rsidR="00BD2503" w:rsidRPr="00AA76B1" w:rsidRDefault="00BD2503" w:rsidP="00834859">
            <w:pPr>
              <w:rPr>
                <w:rFonts w:ascii="Arial" w:hAnsi="Arial" w:cs="Arial"/>
                <w:sz w:val="20"/>
                <w:szCs w:val="20"/>
              </w:rPr>
            </w:pPr>
          </w:p>
        </w:tc>
        <w:tc>
          <w:tcPr>
            <w:tcW w:w="941" w:type="pct"/>
            <w:tcBorders>
              <w:top w:val="nil"/>
              <w:left w:val="nil"/>
              <w:bottom w:val="nil"/>
              <w:right w:val="nil"/>
            </w:tcBorders>
            <w:shd w:val="clear" w:color="auto" w:fill="auto"/>
            <w:noWrap/>
            <w:vAlign w:val="bottom"/>
            <w:hideMark/>
          </w:tcPr>
          <w:p w14:paraId="7E723BF3" w14:textId="77777777" w:rsidR="00BD2503" w:rsidRPr="00AA76B1" w:rsidRDefault="00BD2503" w:rsidP="00834859">
            <w:pPr>
              <w:rPr>
                <w:rFonts w:ascii="Arial" w:hAnsi="Arial" w:cs="Arial"/>
                <w:sz w:val="20"/>
                <w:szCs w:val="20"/>
              </w:rPr>
            </w:pPr>
          </w:p>
        </w:tc>
        <w:tc>
          <w:tcPr>
            <w:tcW w:w="899" w:type="pct"/>
            <w:tcBorders>
              <w:top w:val="nil"/>
              <w:left w:val="nil"/>
              <w:bottom w:val="nil"/>
              <w:right w:val="nil"/>
            </w:tcBorders>
            <w:shd w:val="clear" w:color="auto" w:fill="auto"/>
            <w:noWrap/>
            <w:vAlign w:val="bottom"/>
            <w:hideMark/>
          </w:tcPr>
          <w:p w14:paraId="7F72E0AB" w14:textId="77777777" w:rsidR="00BD2503" w:rsidRPr="00AA76B1" w:rsidRDefault="00BD2503" w:rsidP="00834859">
            <w:pPr>
              <w:rPr>
                <w:rFonts w:ascii="Arial" w:hAnsi="Arial" w:cs="Arial"/>
                <w:sz w:val="20"/>
                <w:szCs w:val="20"/>
              </w:rPr>
            </w:pPr>
          </w:p>
        </w:tc>
      </w:tr>
      <w:tr w:rsidR="00BD2503" w:rsidRPr="00AA76B1" w14:paraId="1FF5AC8C" w14:textId="77777777" w:rsidTr="00834859">
        <w:trPr>
          <w:trHeight w:val="300"/>
        </w:trPr>
        <w:tc>
          <w:tcPr>
            <w:tcW w:w="900" w:type="pct"/>
            <w:tcBorders>
              <w:top w:val="nil"/>
              <w:left w:val="nil"/>
              <w:bottom w:val="nil"/>
              <w:right w:val="nil"/>
            </w:tcBorders>
            <w:shd w:val="clear" w:color="auto" w:fill="auto"/>
            <w:noWrap/>
            <w:vAlign w:val="center"/>
            <w:hideMark/>
          </w:tcPr>
          <w:p w14:paraId="35C0B2E6" w14:textId="77777777" w:rsidR="00BD2503" w:rsidRPr="00AA76B1" w:rsidRDefault="00BD2503" w:rsidP="00834859">
            <w:pPr>
              <w:jc w:val="right"/>
              <w:rPr>
                <w:rFonts w:ascii="Arial" w:hAnsi="Arial" w:cs="Arial"/>
                <w:color w:val="000000"/>
                <w:sz w:val="20"/>
              </w:rPr>
            </w:pPr>
            <w:r w:rsidRPr="00AA76B1">
              <w:rPr>
                <w:rFonts w:ascii="Arial" w:hAnsi="Arial" w:cs="Arial"/>
                <w:color w:val="000000"/>
                <w:sz w:val="20"/>
              </w:rPr>
              <w:t xml:space="preserve">$10 </w:t>
            </w:r>
          </w:p>
        </w:tc>
        <w:tc>
          <w:tcPr>
            <w:tcW w:w="1402" w:type="pct"/>
            <w:tcBorders>
              <w:top w:val="nil"/>
              <w:left w:val="nil"/>
              <w:bottom w:val="nil"/>
              <w:right w:val="nil"/>
            </w:tcBorders>
            <w:shd w:val="clear" w:color="auto" w:fill="auto"/>
            <w:noWrap/>
            <w:vAlign w:val="center"/>
            <w:hideMark/>
          </w:tcPr>
          <w:p w14:paraId="3C9BF04E" w14:textId="77777777" w:rsidR="00BD2503" w:rsidRPr="00130939" w:rsidRDefault="00BD2503" w:rsidP="00834859">
            <w:pPr>
              <w:jc w:val="right"/>
              <w:rPr>
                <w:rFonts w:ascii="Arial" w:hAnsi="Arial" w:cs="Arial"/>
                <w:color w:val="000000"/>
                <w:sz w:val="20"/>
              </w:rPr>
            </w:pPr>
            <w:r>
              <w:rPr>
                <w:rFonts w:ascii="Arial" w:hAnsi="Arial" w:cs="Arial"/>
                <w:color w:val="000000"/>
                <w:sz w:val="20"/>
              </w:rPr>
              <w:t>332</w:t>
            </w:r>
          </w:p>
        </w:tc>
        <w:tc>
          <w:tcPr>
            <w:tcW w:w="858" w:type="pct"/>
            <w:tcBorders>
              <w:top w:val="nil"/>
              <w:left w:val="nil"/>
              <w:bottom w:val="nil"/>
              <w:right w:val="nil"/>
            </w:tcBorders>
            <w:shd w:val="clear" w:color="auto" w:fill="auto"/>
            <w:noWrap/>
            <w:vAlign w:val="center"/>
            <w:hideMark/>
          </w:tcPr>
          <w:p w14:paraId="455EB681" w14:textId="77777777" w:rsidR="00BD2503" w:rsidRPr="00130939" w:rsidRDefault="00BD2503" w:rsidP="00834859">
            <w:pPr>
              <w:jc w:val="right"/>
              <w:rPr>
                <w:rFonts w:ascii="Arial" w:hAnsi="Arial" w:cs="Arial"/>
                <w:color w:val="000000"/>
                <w:sz w:val="20"/>
              </w:rPr>
            </w:pPr>
            <w:r>
              <w:rPr>
                <w:rFonts w:ascii="Arial" w:hAnsi="Arial" w:cs="Arial"/>
                <w:color w:val="000000"/>
                <w:sz w:val="20"/>
              </w:rPr>
              <w:t>43</w:t>
            </w:r>
          </w:p>
        </w:tc>
        <w:tc>
          <w:tcPr>
            <w:tcW w:w="941" w:type="pct"/>
            <w:tcBorders>
              <w:top w:val="nil"/>
              <w:left w:val="nil"/>
              <w:bottom w:val="nil"/>
              <w:right w:val="nil"/>
            </w:tcBorders>
            <w:shd w:val="clear" w:color="auto" w:fill="auto"/>
            <w:noWrap/>
            <w:vAlign w:val="bottom"/>
            <w:hideMark/>
          </w:tcPr>
          <w:p w14:paraId="5D8C485B" w14:textId="77777777" w:rsidR="00BD2503" w:rsidRPr="00130939" w:rsidRDefault="00BD2503" w:rsidP="00834859">
            <w:pPr>
              <w:jc w:val="right"/>
              <w:rPr>
                <w:rFonts w:ascii="Arial" w:hAnsi="Arial" w:cs="Arial"/>
                <w:color w:val="000000"/>
                <w:sz w:val="20"/>
              </w:rPr>
            </w:pPr>
            <w:r>
              <w:rPr>
                <w:rFonts w:ascii="Arial" w:hAnsi="Arial" w:cs="Arial"/>
                <w:color w:val="000000"/>
                <w:sz w:val="20"/>
              </w:rPr>
              <w:t>289</w:t>
            </w:r>
          </w:p>
        </w:tc>
        <w:tc>
          <w:tcPr>
            <w:tcW w:w="899" w:type="pct"/>
            <w:tcBorders>
              <w:top w:val="nil"/>
              <w:left w:val="nil"/>
              <w:bottom w:val="nil"/>
              <w:right w:val="nil"/>
            </w:tcBorders>
            <w:shd w:val="clear" w:color="auto" w:fill="auto"/>
            <w:noWrap/>
            <w:vAlign w:val="bottom"/>
            <w:hideMark/>
          </w:tcPr>
          <w:p w14:paraId="69C0AE90" w14:textId="77777777" w:rsidR="00BD2503" w:rsidRPr="00130939" w:rsidRDefault="00BD2503" w:rsidP="00834859">
            <w:pPr>
              <w:jc w:val="right"/>
              <w:rPr>
                <w:rFonts w:ascii="Arial" w:hAnsi="Arial" w:cs="Arial"/>
                <w:color w:val="000000"/>
                <w:sz w:val="20"/>
              </w:rPr>
            </w:pPr>
            <w:r>
              <w:rPr>
                <w:rFonts w:ascii="Arial" w:hAnsi="Arial" w:cs="Arial"/>
                <w:color w:val="000000"/>
                <w:sz w:val="20"/>
              </w:rPr>
              <w:t>13.0</w:t>
            </w:r>
          </w:p>
        </w:tc>
      </w:tr>
      <w:tr w:rsidR="00BD2503" w:rsidRPr="00AA76B1" w14:paraId="1589B13A" w14:textId="77777777" w:rsidTr="00834859">
        <w:trPr>
          <w:trHeight w:val="300"/>
        </w:trPr>
        <w:tc>
          <w:tcPr>
            <w:tcW w:w="900" w:type="pct"/>
            <w:tcBorders>
              <w:top w:val="nil"/>
              <w:left w:val="nil"/>
              <w:bottom w:val="nil"/>
              <w:right w:val="nil"/>
            </w:tcBorders>
            <w:shd w:val="clear" w:color="auto" w:fill="auto"/>
            <w:noWrap/>
            <w:vAlign w:val="center"/>
            <w:hideMark/>
          </w:tcPr>
          <w:p w14:paraId="2EE92F5B" w14:textId="77777777" w:rsidR="00BD2503" w:rsidRPr="00AA76B1" w:rsidRDefault="00BD2503" w:rsidP="00834859">
            <w:pPr>
              <w:jc w:val="right"/>
              <w:rPr>
                <w:rFonts w:ascii="Arial" w:hAnsi="Arial" w:cs="Arial"/>
                <w:color w:val="000000"/>
                <w:sz w:val="20"/>
              </w:rPr>
            </w:pPr>
            <w:r w:rsidRPr="00AA76B1">
              <w:rPr>
                <w:rFonts w:ascii="Arial" w:hAnsi="Arial" w:cs="Arial"/>
                <w:color w:val="000000"/>
                <w:sz w:val="20"/>
              </w:rPr>
              <w:t xml:space="preserve">$20 </w:t>
            </w:r>
          </w:p>
        </w:tc>
        <w:tc>
          <w:tcPr>
            <w:tcW w:w="1402" w:type="pct"/>
            <w:tcBorders>
              <w:top w:val="nil"/>
              <w:left w:val="nil"/>
              <w:bottom w:val="nil"/>
              <w:right w:val="nil"/>
            </w:tcBorders>
            <w:shd w:val="clear" w:color="auto" w:fill="auto"/>
            <w:noWrap/>
            <w:vAlign w:val="center"/>
            <w:hideMark/>
          </w:tcPr>
          <w:p w14:paraId="42CA8E40" w14:textId="77777777" w:rsidR="00BD2503" w:rsidRPr="00130939" w:rsidRDefault="00BD2503" w:rsidP="00834859">
            <w:pPr>
              <w:jc w:val="right"/>
              <w:rPr>
                <w:rFonts w:ascii="Arial" w:hAnsi="Arial" w:cs="Arial"/>
                <w:color w:val="000000"/>
                <w:sz w:val="20"/>
              </w:rPr>
            </w:pPr>
            <w:r>
              <w:rPr>
                <w:rFonts w:ascii="Arial" w:hAnsi="Arial" w:cs="Arial"/>
                <w:color w:val="000000"/>
                <w:sz w:val="20"/>
              </w:rPr>
              <w:t>329</w:t>
            </w:r>
          </w:p>
        </w:tc>
        <w:tc>
          <w:tcPr>
            <w:tcW w:w="858" w:type="pct"/>
            <w:tcBorders>
              <w:top w:val="nil"/>
              <w:left w:val="nil"/>
              <w:bottom w:val="nil"/>
              <w:right w:val="nil"/>
            </w:tcBorders>
            <w:shd w:val="clear" w:color="auto" w:fill="auto"/>
            <w:noWrap/>
            <w:vAlign w:val="center"/>
            <w:hideMark/>
          </w:tcPr>
          <w:p w14:paraId="6FBFFF12" w14:textId="77777777" w:rsidR="00BD2503" w:rsidRPr="00130939" w:rsidRDefault="00BD2503" w:rsidP="00834859">
            <w:pPr>
              <w:jc w:val="right"/>
              <w:rPr>
                <w:rFonts w:ascii="Arial" w:hAnsi="Arial" w:cs="Arial"/>
                <w:color w:val="000000"/>
                <w:sz w:val="20"/>
              </w:rPr>
            </w:pPr>
            <w:r>
              <w:rPr>
                <w:rFonts w:ascii="Arial" w:hAnsi="Arial" w:cs="Arial"/>
                <w:color w:val="000000"/>
                <w:sz w:val="20"/>
              </w:rPr>
              <w:t>51</w:t>
            </w:r>
          </w:p>
        </w:tc>
        <w:tc>
          <w:tcPr>
            <w:tcW w:w="941" w:type="pct"/>
            <w:tcBorders>
              <w:top w:val="nil"/>
              <w:left w:val="nil"/>
              <w:bottom w:val="nil"/>
              <w:right w:val="nil"/>
            </w:tcBorders>
            <w:shd w:val="clear" w:color="auto" w:fill="auto"/>
            <w:noWrap/>
            <w:vAlign w:val="bottom"/>
            <w:hideMark/>
          </w:tcPr>
          <w:p w14:paraId="33A93CDE" w14:textId="77777777" w:rsidR="00BD2503" w:rsidRPr="00130939" w:rsidRDefault="00BD2503" w:rsidP="00834859">
            <w:pPr>
              <w:jc w:val="right"/>
              <w:rPr>
                <w:rFonts w:ascii="Arial" w:hAnsi="Arial" w:cs="Arial"/>
                <w:color w:val="000000"/>
                <w:sz w:val="20"/>
              </w:rPr>
            </w:pPr>
            <w:r>
              <w:rPr>
                <w:rFonts w:ascii="Arial" w:hAnsi="Arial" w:cs="Arial"/>
                <w:color w:val="000000"/>
                <w:sz w:val="20"/>
              </w:rPr>
              <w:t>278</w:t>
            </w:r>
          </w:p>
        </w:tc>
        <w:tc>
          <w:tcPr>
            <w:tcW w:w="899" w:type="pct"/>
            <w:tcBorders>
              <w:top w:val="nil"/>
              <w:left w:val="nil"/>
              <w:bottom w:val="nil"/>
              <w:right w:val="nil"/>
            </w:tcBorders>
            <w:shd w:val="clear" w:color="auto" w:fill="auto"/>
            <w:noWrap/>
            <w:vAlign w:val="bottom"/>
            <w:hideMark/>
          </w:tcPr>
          <w:p w14:paraId="7E90D6B4" w14:textId="77777777" w:rsidR="00BD2503" w:rsidRPr="00130939" w:rsidRDefault="00BD2503" w:rsidP="00834859">
            <w:pPr>
              <w:jc w:val="right"/>
              <w:rPr>
                <w:rFonts w:ascii="Arial" w:hAnsi="Arial" w:cs="Arial"/>
                <w:color w:val="000000"/>
                <w:sz w:val="20"/>
              </w:rPr>
            </w:pPr>
            <w:r>
              <w:rPr>
                <w:rFonts w:ascii="Arial" w:hAnsi="Arial" w:cs="Arial"/>
                <w:color w:val="000000"/>
                <w:sz w:val="20"/>
              </w:rPr>
              <w:t>15.5</w:t>
            </w:r>
          </w:p>
        </w:tc>
      </w:tr>
      <w:tr w:rsidR="00BD2503" w:rsidRPr="00AA76B1" w14:paraId="60522ED9" w14:textId="77777777" w:rsidTr="00834859">
        <w:trPr>
          <w:trHeight w:val="300"/>
        </w:trPr>
        <w:tc>
          <w:tcPr>
            <w:tcW w:w="900" w:type="pct"/>
            <w:tcBorders>
              <w:top w:val="nil"/>
              <w:left w:val="nil"/>
              <w:bottom w:val="nil"/>
              <w:right w:val="nil"/>
            </w:tcBorders>
            <w:shd w:val="clear" w:color="auto" w:fill="auto"/>
            <w:noWrap/>
            <w:vAlign w:val="bottom"/>
            <w:hideMark/>
          </w:tcPr>
          <w:p w14:paraId="5E60BF08" w14:textId="77777777" w:rsidR="00BD2503" w:rsidRPr="00AA76B1" w:rsidRDefault="00BD2503" w:rsidP="00834859">
            <w:pPr>
              <w:jc w:val="right"/>
              <w:rPr>
                <w:rFonts w:ascii="Arial" w:hAnsi="Arial" w:cs="Arial"/>
                <w:color w:val="000000"/>
                <w:sz w:val="20"/>
              </w:rPr>
            </w:pPr>
          </w:p>
        </w:tc>
        <w:tc>
          <w:tcPr>
            <w:tcW w:w="1402" w:type="pct"/>
            <w:tcBorders>
              <w:top w:val="nil"/>
              <w:left w:val="nil"/>
              <w:bottom w:val="nil"/>
              <w:right w:val="nil"/>
            </w:tcBorders>
            <w:shd w:val="clear" w:color="auto" w:fill="auto"/>
            <w:noWrap/>
            <w:vAlign w:val="bottom"/>
            <w:hideMark/>
          </w:tcPr>
          <w:p w14:paraId="408D8241" w14:textId="77777777" w:rsidR="00BD2503" w:rsidRPr="00130939" w:rsidRDefault="00BD2503" w:rsidP="00834859">
            <w:pPr>
              <w:rPr>
                <w:rFonts w:ascii="Arial" w:hAnsi="Arial" w:cs="Arial"/>
                <w:sz w:val="20"/>
                <w:szCs w:val="20"/>
              </w:rPr>
            </w:pPr>
          </w:p>
        </w:tc>
        <w:tc>
          <w:tcPr>
            <w:tcW w:w="858" w:type="pct"/>
            <w:tcBorders>
              <w:top w:val="nil"/>
              <w:left w:val="nil"/>
              <w:bottom w:val="nil"/>
              <w:right w:val="nil"/>
            </w:tcBorders>
            <w:shd w:val="clear" w:color="auto" w:fill="auto"/>
            <w:noWrap/>
            <w:vAlign w:val="bottom"/>
            <w:hideMark/>
          </w:tcPr>
          <w:p w14:paraId="0FCAC41E" w14:textId="77777777" w:rsidR="00BD2503" w:rsidRPr="00130939" w:rsidRDefault="00BD2503" w:rsidP="00834859">
            <w:pPr>
              <w:rPr>
                <w:rFonts w:ascii="Arial" w:hAnsi="Arial" w:cs="Arial"/>
                <w:sz w:val="20"/>
                <w:szCs w:val="20"/>
              </w:rPr>
            </w:pPr>
          </w:p>
        </w:tc>
        <w:tc>
          <w:tcPr>
            <w:tcW w:w="941" w:type="pct"/>
            <w:tcBorders>
              <w:top w:val="nil"/>
              <w:left w:val="nil"/>
              <w:bottom w:val="nil"/>
              <w:right w:val="nil"/>
            </w:tcBorders>
            <w:shd w:val="clear" w:color="auto" w:fill="auto"/>
            <w:noWrap/>
            <w:vAlign w:val="bottom"/>
            <w:hideMark/>
          </w:tcPr>
          <w:p w14:paraId="70D277D4" w14:textId="77777777" w:rsidR="00BD2503" w:rsidRPr="00130939" w:rsidRDefault="00BD2503" w:rsidP="00834859">
            <w:pPr>
              <w:rPr>
                <w:rFonts w:ascii="Arial" w:hAnsi="Arial" w:cs="Arial"/>
                <w:sz w:val="20"/>
                <w:szCs w:val="20"/>
              </w:rPr>
            </w:pPr>
          </w:p>
        </w:tc>
        <w:tc>
          <w:tcPr>
            <w:tcW w:w="899" w:type="pct"/>
            <w:tcBorders>
              <w:top w:val="nil"/>
              <w:left w:val="nil"/>
              <w:bottom w:val="nil"/>
              <w:right w:val="nil"/>
            </w:tcBorders>
            <w:shd w:val="clear" w:color="auto" w:fill="auto"/>
            <w:noWrap/>
            <w:vAlign w:val="bottom"/>
            <w:hideMark/>
          </w:tcPr>
          <w:p w14:paraId="554C046A" w14:textId="77777777" w:rsidR="00BD2503" w:rsidRPr="00130939" w:rsidRDefault="00BD2503" w:rsidP="00834859">
            <w:pPr>
              <w:rPr>
                <w:rFonts w:ascii="Arial" w:hAnsi="Arial" w:cs="Arial"/>
                <w:sz w:val="20"/>
                <w:szCs w:val="20"/>
              </w:rPr>
            </w:pPr>
          </w:p>
        </w:tc>
      </w:tr>
      <w:tr w:rsidR="00BD2503" w:rsidRPr="00AA76B1" w14:paraId="47C00DD9" w14:textId="77777777" w:rsidTr="00834859">
        <w:trPr>
          <w:trHeight w:val="315"/>
        </w:trPr>
        <w:tc>
          <w:tcPr>
            <w:tcW w:w="900" w:type="pct"/>
            <w:tcBorders>
              <w:top w:val="nil"/>
              <w:left w:val="nil"/>
              <w:bottom w:val="single" w:sz="12" w:space="0" w:color="auto"/>
              <w:right w:val="nil"/>
            </w:tcBorders>
            <w:shd w:val="clear" w:color="auto" w:fill="auto"/>
            <w:noWrap/>
            <w:vAlign w:val="center"/>
            <w:hideMark/>
          </w:tcPr>
          <w:p w14:paraId="4BDC1A97" w14:textId="77777777" w:rsidR="00BD2503" w:rsidRPr="00AA76B1" w:rsidRDefault="00BD2503" w:rsidP="00834859">
            <w:pPr>
              <w:rPr>
                <w:rFonts w:ascii="Arial" w:hAnsi="Arial" w:cs="Arial"/>
                <w:color w:val="000000"/>
                <w:sz w:val="20"/>
              </w:rPr>
            </w:pPr>
            <w:r w:rsidRPr="00AA76B1">
              <w:rPr>
                <w:rFonts w:ascii="Arial" w:hAnsi="Arial" w:cs="Arial"/>
                <w:color w:val="000000"/>
                <w:sz w:val="20"/>
              </w:rPr>
              <w:t>Total</w:t>
            </w:r>
          </w:p>
        </w:tc>
        <w:tc>
          <w:tcPr>
            <w:tcW w:w="1402" w:type="pct"/>
            <w:tcBorders>
              <w:top w:val="nil"/>
              <w:left w:val="nil"/>
              <w:bottom w:val="single" w:sz="12" w:space="0" w:color="auto"/>
              <w:right w:val="nil"/>
            </w:tcBorders>
            <w:shd w:val="clear" w:color="auto" w:fill="auto"/>
            <w:noWrap/>
            <w:vAlign w:val="center"/>
            <w:hideMark/>
          </w:tcPr>
          <w:p w14:paraId="55F4F1F0" w14:textId="77777777" w:rsidR="00BD2503" w:rsidRPr="00130939" w:rsidRDefault="00BD2503" w:rsidP="00834859">
            <w:pPr>
              <w:jc w:val="right"/>
              <w:rPr>
                <w:rFonts w:ascii="Arial" w:hAnsi="Arial" w:cs="Arial"/>
                <w:color w:val="000000"/>
                <w:sz w:val="20"/>
              </w:rPr>
            </w:pPr>
            <w:r>
              <w:rPr>
                <w:rFonts w:ascii="Arial" w:hAnsi="Arial" w:cs="Arial"/>
                <w:color w:val="000000"/>
                <w:sz w:val="20"/>
              </w:rPr>
              <w:t>661</w:t>
            </w:r>
          </w:p>
        </w:tc>
        <w:tc>
          <w:tcPr>
            <w:tcW w:w="858" w:type="pct"/>
            <w:tcBorders>
              <w:top w:val="nil"/>
              <w:left w:val="nil"/>
              <w:bottom w:val="single" w:sz="12" w:space="0" w:color="auto"/>
              <w:right w:val="nil"/>
            </w:tcBorders>
            <w:shd w:val="clear" w:color="auto" w:fill="auto"/>
            <w:noWrap/>
            <w:vAlign w:val="center"/>
            <w:hideMark/>
          </w:tcPr>
          <w:p w14:paraId="30F27149" w14:textId="77777777" w:rsidR="00BD2503" w:rsidRPr="00130939" w:rsidRDefault="00BD2503" w:rsidP="00834859">
            <w:pPr>
              <w:jc w:val="right"/>
              <w:rPr>
                <w:rFonts w:ascii="Arial" w:hAnsi="Arial" w:cs="Arial"/>
                <w:color w:val="000000"/>
                <w:sz w:val="20"/>
              </w:rPr>
            </w:pPr>
            <w:r>
              <w:rPr>
                <w:rFonts w:ascii="Arial" w:hAnsi="Arial" w:cs="Arial"/>
                <w:color w:val="000000"/>
                <w:sz w:val="20"/>
              </w:rPr>
              <w:t>94</w:t>
            </w:r>
          </w:p>
        </w:tc>
        <w:tc>
          <w:tcPr>
            <w:tcW w:w="941" w:type="pct"/>
            <w:tcBorders>
              <w:top w:val="nil"/>
              <w:left w:val="nil"/>
              <w:bottom w:val="single" w:sz="12" w:space="0" w:color="auto"/>
              <w:right w:val="nil"/>
            </w:tcBorders>
            <w:shd w:val="clear" w:color="auto" w:fill="auto"/>
            <w:noWrap/>
            <w:vAlign w:val="center"/>
            <w:hideMark/>
          </w:tcPr>
          <w:p w14:paraId="5FF0C2FA" w14:textId="77777777" w:rsidR="00BD2503" w:rsidRPr="00130939" w:rsidRDefault="00BD2503" w:rsidP="00834859">
            <w:pPr>
              <w:jc w:val="right"/>
              <w:rPr>
                <w:rFonts w:ascii="Arial" w:hAnsi="Arial" w:cs="Arial"/>
                <w:color w:val="000000"/>
                <w:sz w:val="20"/>
              </w:rPr>
            </w:pPr>
            <w:r>
              <w:rPr>
                <w:rFonts w:ascii="Arial" w:hAnsi="Arial" w:cs="Arial"/>
                <w:color w:val="000000"/>
                <w:sz w:val="20"/>
              </w:rPr>
              <w:t>567</w:t>
            </w:r>
          </w:p>
        </w:tc>
        <w:tc>
          <w:tcPr>
            <w:tcW w:w="899" w:type="pct"/>
            <w:tcBorders>
              <w:top w:val="nil"/>
              <w:left w:val="nil"/>
              <w:bottom w:val="single" w:sz="12" w:space="0" w:color="auto"/>
              <w:right w:val="nil"/>
            </w:tcBorders>
            <w:shd w:val="clear" w:color="auto" w:fill="auto"/>
            <w:noWrap/>
            <w:vAlign w:val="center"/>
            <w:hideMark/>
          </w:tcPr>
          <w:p w14:paraId="3274D946" w14:textId="77777777" w:rsidR="00BD2503" w:rsidRPr="00130939" w:rsidRDefault="00BD2503" w:rsidP="00834859">
            <w:pPr>
              <w:jc w:val="right"/>
              <w:rPr>
                <w:rFonts w:ascii="Arial" w:hAnsi="Arial" w:cs="Arial"/>
                <w:color w:val="000000"/>
                <w:sz w:val="20"/>
              </w:rPr>
            </w:pPr>
            <w:r>
              <w:rPr>
                <w:rFonts w:ascii="Arial" w:hAnsi="Arial" w:cs="Arial"/>
                <w:color w:val="000000"/>
                <w:sz w:val="20"/>
              </w:rPr>
              <w:t>14.2</w:t>
            </w:r>
          </w:p>
        </w:tc>
      </w:tr>
    </w:tbl>
    <w:p w14:paraId="2DE0193F" w14:textId="77777777" w:rsidR="00BD2503" w:rsidRDefault="00BD2503" w:rsidP="00BD2503">
      <w:r>
        <w:rPr>
          <w:rFonts w:ascii="Arial" w:hAnsi="Arial" w:cs="Arial"/>
          <w:color w:val="000000"/>
          <w:sz w:val="18"/>
        </w:rPr>
        <w:t>NOTE: Excludes partially completed cases.</w:t>
      </w:r>
      <w:r>
        <w:rPr>
          <w:rFonts w:ascii="Arial" w:hAnsi="Arial" w:cs="Arial"/>
          <w:color w:val="000000"/>
          <w:sz w:val="18"/>
        </w:rPr>
        <w:br/>
      </w:r>
      <w:r w:rsidRPr="0002172C">
        <w:rPr>
          <w:rFonts w:ascii="Arial" w:hAnsi="Arial" w:cs="Arial"/>
          <w:color w:val="000000"/>
          <w:sz w:val="18"/>
        </w:rPr>
        <w:t>SOURCE: U.S. Department of Education, National Center for Education Statistics. High School Longitudinal Study of 2009 (HSLS</w:t>
      </w:r>
      <w:proofErr w:type="gramStart"/>
      <w:r w:rsidRPr="0002172C">
        <w:rPr>
          <w:rFonts w:ascii="Arial" w:hAnsi="Arial" w:cs="Arial"/>
          <w:color w:val="000000"/>
          <w:sz w:val="18"/>
        </w:rPr>
        <w:t>:</w:t>
      </w:r>
      <w:r>
        <w:rPr>
          <w:rFonts w:ascii="Arial" w:hAnsi="Arial" w:cs="Arial"/>
          <w:color w:val="000000"/>
          <w:sz w:val="18"/>
        </w:rPr>
        <w:t>09</w:t>
      </w:r>
      <w:proofErr w:type="gramEnd"/>
      <w:r>
        <w:rPr>
          <w:rFonts w:ascii="Arial" w:hAnsi="Arial" w:cs="Arial"/>
          <w:color w:val="000000"/>
          <w:sz w:val="18"/>
        </w:rPr>
        <w:t>) Second Follow-up Main Study.</w:t>
      </w:r>
    </w:p>
    <w:p w14:paraId="0BC06E77" w14:textId="77777777" w:rsidR="00E32781" w:rsidRDefault="00E32781" w:rsidP="009F504E">
      <w:pPr>
        <w:spacing w:before="120" w:after="120" w:line="23" w:lineRule="atLeast"/>
        <w:rPr>
          <w:b/>
          <w:u w:val="single"/>
        </w:rPr>
      </w:pPr>
    </w:p>
    <w:p w14:paraId="4183935D" w14:textId="63EDEDA6" w:rsidR="008A023A" w:rsidRPr="00A95C35" w:rsidRDefault="00E56FFB" w:rsidP="009F504E">
      <w:pPr>
        <w:spacing w:before="120" w:after="120" w:line="23" w:lineRule="atLeast"/>
      </w:pPr>
      <w:r w:rsidRPr="00A95C35">
        <w:t xml:space="preserve">NCES </w:t>
      </w:r>
      <w:r w:rsidR="008A023A" w:rsidRPr="00A95C35">
        <w:t xml:space="preserve">thanks </w:t>
      </w:r>
      <w:r w:rsidRPr="00A95C35">
        <w:t>OMB</w:t>
      </w:r>
      <w:r w:rsidR="008A023A" w:rsidRPr="00A95C35">
        <w:t xml:space="preserve"> for considering these changes</w:t>
      </w:r>
      <w:r w:rsidRPr="00A95C35">
        <w:t>. Data collection</w:t>
      </w:r>
      <w:r w:rsidR="00DE39F0" w:rsidRPr="00A95C35">
        <w:t xml:space="preserve"> for the main sample</w:t>
      </w:r>
      <w:r w:rsidRPr="00A95C35">
        <w:t xml:space="preserve"> is scheduled to begin </w:t>
      </w:r>
      <w:r w:rsidR="00E32781" w:rsidRPr="00A95C35">
        <w:t>on June</w:t>
      </w:r>
      <w:r w:rsidR="007E131D">
        <w:t xml:space="preserve"> 20</w:t>
      </w:r>
      <w:r w:rsidRPr="00A95C35">
        <w:t>, 2016.</w:t>
      </w:r>
    </w:p>
    <w:p w14:paraId="1D8BA8CA" w14:textId="6879F833" w:rsidR="00D3014C" w:rsidRPr="00A95C35" w:rsidRDefault="00D3014C" w:rsidP="00B30CEF">
      <w:pPr>
        <w:rPr>
          <w:rFonts w:asciiTheme="majorBidi" w:hAnsiTheme="majorBidi" w:cstheme="majorBidi"/>
          <w:b/>
          <w:sz w:val="28"/>
        </w:rPr>
      </w:pPr>
      <w:r w:rsidRPr="00A95C35">
        <w:br w:type="page"/>
      </w:r>
      <w:r w:rsidRPr="00A95C35">
        <w:rPr>
          <w:rFonts w:asciiTheme="majorBidi" w:hAnsiTheme="majorBidi" w:cstheme="majorBidi"/>
          <w:b/>
          <w:sz w:val="28"/>
        </w:rPr>
        <w:lastRenderedPageBreak/>
        <w:t xml:space="preserve">Attachment 1 – Description of main study responsive design plans (excerpt from </w:t>
      </w:r>
      <w:r w:rsidR="00F7318B">
        <w:rPr>
          <w:rFonts w:asciiTheme="majorBidi" w:hAnsiTheme="majorBidi" w:cstheme="majorBidi"/>
          <w:b/>
          <w:sz w:val="28"/>
        </w:rPr>
        <w:t>Supporting Statement Part B</w:t>
      </w:r>
      <w:r w:rsidRPr="00A95C35">
        <w:rPr>
          <w:rFonts w:asciiTheme="majorBidi" w:hAnsiTheme="majorBidi" w:cstheme="majorBidi"/>
          <w:b/>
          <w:sz w:val="28"/>
        </w:rPr>
        <w:t xml:space="preserve"> approved </w:t>
      </w:r>
      <w:r w:rsidR="00F7318B">
        <w:rPr>
          <w:rFonts w:asciiTheme="majorBidi" w:hAnsiTheme="majorBidi" w:cstheme="majorBidi"/>
          <w:b/>
          <w:sz w:val="28"/>
        </w:rPr>
        <w:t>on 12</w:t>
      </w:r>
      <w:r w:rsidRPr="00A95C35">
        <w:rPr>
          <w:rFonts w:asciiTheme="majorBidi" w:hAnsiTheme="majorBidi" w:cstheme="majorBidi"/>
          <w:b/>
          <w:sz w:val="28"/>
        </w:rPr>
        <w:t>/</w:t>
      </w:r>
      <w:r w:rsidR="00F7318B">
        <w:rPr>
          <w:rFonts w:asciiTheme="majorBidi" w:hAnsiTheme="majorBidi" w:cstheme="majorBidi"/>
          <w:b/>
          <w:sz w:val="28"/>
        </w:rPr>
        <w:t>15</w:t>
      </w:r>
      <w:r w:rsidRPr="00A95C35">
        <w:rPr>
          <w:rFonts w:asciiTheme="majorBidi" w:hAnsiTheme="majorBidi" w:cstheme="majorBidi"/>
          <w:b/>
          <w:sz w:val="28"/>
        </w:rPr>
        <w:t>/201</w:t>
      </w:r>
      <w:r w:rsidR="00F7318B">
        <w:rPr>
          <w:rFonts w:asciiTheme="majorBidi" w:hAnsiTheme="majorBidi" w:cstheme="majorBidi"/>
          <w:b/>
          <w:sz w:val="28"/>
        </w:rPr>
        <w:t>5</w:t>
      </w:r>
      <w:r w:rsidRPr="00A95C35">
        <w:rPr>
          <w:rFonts w:asciiTheme="majorBidi" w:hAnsiTheme="majorBidi" w:cstheme="majorBidi"/>
          <w:b/>
          <w:sz w:val="28"/>
        </w:rPr>
        <w:t>)</w:t>
      </w:r>
    </w:p>
    <w:p w14:paraId="03F4487B" w14:textId="77777777" w:rsidR="00344A28" w:rsidRPr="00A95C35" w:rsidRDefault="00344A28" w:rsidP="00D3014C">
      <w:pPr>
        <w:pStyle w:val="ListParagraph"/>
        <w:spacing w:line="23" w:lineRule="atLeast"/>
        <w:ind w:left="0"/>
        <w:rPr>
          <w:rFonts w:asciiTheme="majorBidi" w:hAnsiTheme="majorBidi" w:cstheme="majorBidi"/>
          <w:b/>
          <w:sz w:val="28"/>
          <w:szCs w:val="24"/>
        </w:rPr>
      </w:pPr>
    </w:p>
    <w:p w14:paraId="11D70A14" w14:textId="77777777" w:rsidR="00D3014C" w:rsidRPr="00A95C35" w:rsidRDefault="00D3014C" w:rsidP="00D3014C">
      <w:pPr>
        <w:pStyle w:val="bodytextpsg"/>
        <w:spacing w:after="120" w:line="23" w:lineRule="atLeast"/>
        <w:rPr>
          <w:rFonts w:asciiTheme="majorBidi" w:hAnsiTheme="majorBidi" w:cstheme="majorBidi"/>
          <w:b/>
          <w:bCs/>
          <w:i/>
        </w:rPr>
      </w:pPr>
      <w:r w:rsidRPr="00A95C35">
        <w:rPr>
          <w:rFonts w:asciiTheme="majorBidi" w:hAnsiTheme="majorBidi" w:cstheme="majorBidi"/>
          <w:b/>
          <w:bCs/>
          <w:i/>
        </w:rPr>
        <w:t>B.4.d</w:t>
      </w:r>
      <w:r w:rsidRPr="00A95C35">
        <w:rPr>
          <w:rFonts w:asciiTheme="majorBidi" w:hAnsiTheme="majorBidi" w:cstheme="majorBidi"/>
          <w:b/>
          <w:bCs/>
          <w:i/>
        </w:rPr>
        <w:tab/>
        <w:t>Main Study Plans</w:t>
      </w:r>
    </w:p>
    <w:p w14:paraId="01AA59B1" w14:textId="77777777" w:rsidR="00D3014C" w:rsidRPr="00A95C35" w:rsidRDefault="00D3014C" w:rsidP="00D3014C">
      <w:pPr>
        <w:pStyle w:val="bodytextpsg"/>
        <w:spacing w:after="120" w:line="23" w:lineRule="atLeast"/>
        <w:rPr>
          <w:rFonts w:asciiTheme="majorBidi" w:hAnsiTheme="majorBidi" w:cstheme="majorBidi"/>
        </w:rPr>
      </w:pPr>
      <w:r w:rsidRPr="00A95C35">
        <w:rPr>
          <w:rFonts w:asciiTheme="majorBidi" w:hAnsiTheme="majorBidi" w:cstheme="majorBidi"/>
        </w:rPr>
        <w:t>NCES and RTI are working closely together to design a data collection approach that makes use of evaluations from prior interventions that were used to improve sample representativeness by ensuring that the responding sample is as similar as possible to the total sample. In previous rounds of HSLS</w:t>
      </w:r>
      <w:proofErr w:type="gramStart"/>
      <w:r w:rsidRPr="00A95C35">
        <w:rPr>
          <w:rFonts w:asciiTheme="majorBidi" w:hAnsiTheme="majorBidi" w:cstheme="majorBidi"/>
        </w:rPr>
        <w:t>:09</w:t>
      </w:r>
      <w:proofErr w:type="gramEnd"/>
      <w:r w:rsidRPr="00A95C35">
        <w:rPr>
          <w:rFonts w:asciiTheme="majorBidi" w:hAnsiTheme="majorBidi" w:cstheme="majorBidi"/>
        </w:rPr>
        <w:t xml:space="preserve"> and in other NCES studies (such as BPS:12/14, B&amp;B:08/12, and ELS:2002 third follow-up), responsive designs have been used to improve sample representativeness in key survey variables. The proposed main study data collection plan has been designed to maximize data quality through a responsive design approach in which variance between the responding sample and the overall sample is estimated at several points during data collection. An advantage of the proposed responsive design is that it allows us to determine, during data collection, how representative the responding sample is of the total sample, so that we can focus efforts and resources on bringing in the cases that are most needed to achieve balance in the responding sample.</w:t>
      </w:r>
    </w:p>
    <w:p w14:paraId="7F3F8628" w14:textId="77777777" w:rsidR="00D3014C" w:rsidRPr="00A95C35" w:rsidRDefault="00D3014C" w:rsidP="00736CA1">
      <w:pPr>
        <w:pStyle w:val="bodytextpsg"/>
        <w:spacing w:after="120" w:line="23" w:lineRule="atLeast"/>
        <w:rPr>
          <w:rFonts w:asciiTheme="majorBidi" w:hAnsiTheme="majorBidi" w:cstheme="majorBidi"/>
        </w:rPr>
      </w:pPr>
      <w:r w:rsidRPr="00A95C35">
        <w:rPr>
          <w:rFonts w:asciiTheme="majorBidi" w:hAnsiTheme="majorBidi" w:cstheme="majorBidi"/>
        </w:rPr>
        <w:t>Plans for the HSLS</w:t>
      </w:r>
      <w:proofErr w:type="gramStart"/>
      <w:r w:rsidRPr="00A95C35">
        <w:rPr>
          <w:rFonts w:asciiTheme="majorBidi" w:hAnsiTheme="majorBidi" w:cstheme="majorBidi"/>
        </w:rPr>
        <w:t>:09</w:t>
      </w:r>
      <w:proofErr w:type="gramEnd"/>
      <w:r w:rsidRPr="00A95C35">
        <w:rPr>
          <w:rFonts w:asciiTheme="majorBidi" w:hAnsiTheme="majorBidi" w:cstheme="majorBidi"/>
        </w:rPr>
        <w:t xml:space="preserve"> second follow-up main study are based upon 1) results of incentive experiments and responsive design modeling simulations from the HSLS:09 second follow-up field test, 2) results from related longitudinal studies, and 3) prior experience with the HSLS:09 cohort. This section describes plans for responsive design in the main study data collection. In particular, there are three subgroups of interest that will be handled differently. This section describes the phases of data collection and how and when interventions will be implemented and evaluated. Finally, we discuss the development of the response likelihood and bias likelihood models that will be used to identify cases for targeted treatments.</w:t>
      </w:r>
    </w:p>
    <w:p w14:paraId="430AA8D7" w14:textId="77777777" w:rsidR="00D3014C" w:rsidRPr="00A95C35" w:rsidRDefault="00D3014C" w:rsidP="00D3014C">
      <w:pPr>
        <w:pStyle w:val="bodytextpsg"/>
        <w:spacing w:after="120" w:line="23" w:lineRule="atLeast"/>
        <w:rPr>
          <w:rFonts w:asciiTheme="majorBidi" w:hAnsiTheme="majorBidi" w:cstheme="majorBidi"/>
        </w:rPr>
      </w:pPr>
      <w:r w:rsidRPr="00A95C35">
        <w:rPr>
          <w:rStyle w:val="IntenseQuoteChar"/>
          <w:rFonts w:asciiTheme="majorBidi" w:hAnsiTheme="majorBidi" w:cstheme="majorBidi"/>
          <w:b/>
          <w:bCs/>
          <w:color w:val="auto"/>
        </w:rPr>
        <w:t>Sample subgroup classification</w:t>
      </w:r>
      <w:r w:rsidRPr="00A95C35">
        <w:rPr>
          <w:rFonts w:asciiTheme="majorBidi" w:hAnsiTheme="majorBidi" w:cstheme="majorBidi"/>
        </w:rPr>
        <w:t>. In the HSLS</w:t>
      </w:r>
      <w:proofErr w:type="gramStart"/>
      <w:r w:rsidRPr="00A95C35">
        <w:rPr>
          <w:rFonts w:asciiTheme="majorBidi" w:hAnsiTheme="majorBidi" w:cstheme="majorBidi"/>
        </w:rPr>
        <w:t>:09</w:t>
      </w:r>
      <w:proofErr w:type="gramEnd"/>
      <w:r w:rsidRPr="00A95C35">
        <w:rPr>
          <w:rFonts w:asciiTheme="majorBidi" w:hAnsiTheme="majorBidi" w:cstheme="majorBidi"/>
        </w:rPr>
        <w:t xml:space="preserve"> second follow-up main study, there will be three subgroups of special interest.</w:t>
      </w:r>
    </w:p>
    <w:p w14:paraId="0AFC0C50" w14:textId="77777777" w:rsidR="00D3014C" w:rsidRPr="00A95C35" w:rsidRDefault="00D3014C" w:rsidP="00867CAE">
      <w:pPr>
        <w:pStyle w:val="bodytextpsg"/>
        <w:numPr>
          <w:ilvl w:val="0"/>
          <w:numId w:val="19"/>
        </w:numPr>
        <w:spacing w:after="120" w:line="23" w:lineRule="atLeast"/>
        <w:rPr>
          <w:rFonts w:asciiTheme="majorBidi" w:hAnsiTheme="majorBidi" w:cstheme="majorBidi"/>
        </w:rPr>
      </w:pPr>
      <w:r w:rsidRPr="00A95C35">
        <w:rPr>
          <w:rFonts w:asciiTheme="majorBidi" w:hAnsiTheme="majorBidi" w:cstheme="majorBidi"/>
        </w:rPr>
        <w:t>Subgroup 1 (high school late/alternative/non-completers) will be the subset of sample members who, as of the 2013 Update, had not completed high school, were still enrolled in high school, received an alternative credential, completed high school late, or experienced a dropout episode with unknown completion status.</w:t>
      </w:r>
    </w:p>
    <w:p w14:paraId="02710221" w14:textId="77777777" w:rsidR="00D3014C" w:rsidRPr="00A95C35" w:rsidRDefault="00D3014C" w:rsidP="00867CAE">
      <w:pPr>
        <w:pStyle w:val="bodytextpsg"/>
        <w:numPr>
          <w:ilvl w:val="0"/>
          <w:numId w:val="19"/>
        </w:numPr>
        <w:spacing w:after="120" w:line="23" w:lineRule="atLeast"/>
        <w:rPr>
          <w:rFonts w:asciiTheme="majorBidi" w:hAnsiTheme="majorBidi" w:cstheme="majorBidi"/>
        </w:rPr>
      </w:pPr>
      <w:r w:rsidRPr="00A95C35">
        <w:rPr>
          <w:rFonts w:asciiTheme="majorBidi" w:hAnsiTheme="majorBidi" w:cstheme="majorBidi"/>
        </w:rPr>
        <w:t>Subgroup 2 (ultra-cooperative respondents) includes sample members who participated in the base year, first follow-up, and 2013 Update without an incentive offer. These cases were also early web respondents in 2013 Update and, by definition, are high school completers.</w:t>
      </w:r>
    </w:p>
    <w:p w14:paraId="446B4DC8" w14:textId="77777777" w:rsidR="00D3014C" w:rsidRPr="00A95C35" w:rsidRDefault="00D3014C" w:rsidP="00867CAE">
      <w:pPr>
        <w:pStyle w:val="bodytextpsg"/>
        <w:numPr>
          <w:ilvl w:val="0"/>
          <w:numId w:val="19"/>
        </w:numPr>
        <w:spacing w:after="120" w:line="23" w:lineRule="atLeast"/>
        <w:rPr>
          <w:rFonts w:asciiTheme="majorBidi" w:hAnsiTheme="majorBidi" w:cstheme="majorBidi"/>
        </w:rPr>
      </w:pPr>
      <w:r w:rsidRPr="00A95C35">
        <w:rPr>
          <w:rFonts w:asciiTheme="majorBidi" w:hAnsiTheme="majorBidi" w:cstheme="majorBidi"/>
        </w:rPr>
        <w:t>Subgroup 3 (high school completers and unknown high school completion status) will include cases that, as of the 2013 Update, were known on-time or early regular diploma completers (and not identified as ultra-cooperative) and cases with unknown high school completion status who were not previously identified as ever having a dropout episode.</w:t>
      </w:r>
    </w:p>
    <w:p w14:paraId="6393C86C" w14:textId="77777777" w:rsidR="00D3014C" w:rsidRPr="00A95C35" w:rsidRDefault="00D3014C" w:rsidP="00D3014C">
      <w:pPr>
        <w:pStyle w:val="bodytextpsg"/>
        <w:spacing w:after="120" w:line="23" w:lineRule="atLeast"/>
        <w:rPr>
          <w:rFonts w:asciiTheme="majorBidi" w:hAnsiTheme="majorBidi" w:cstheme="majorBidi"/>
        </w:rPr>
      </w:pPr>
      <w:r w:rsidRPr="00A95C35">
        <w:rPr>
          <w:rStyle w:val="IntenseQuoteChar"/>
          <w:b/>
          <w:color w:val="auto"/>
        </w:rPr>
        <w:t>Calibration subsamples</w:t>
      </w:r>
      <w:r w:rsidRPr="00A95C35">
        <w:rPr>
          <w:rStyle w:val="IntenseQuoteChar"/>
          <w:b/>
          <w:bCs/>
          <w:color w:val="auto"/>
        </w:rPr>
        <w:t>.</w:t>
      </w:r>
      <w:r w:rsidRPr="00A95C35">
        <w:rPr>
          <w:rFonts w:asciiTheme="majorBidi" w:hAnsiTheme="majorBidi" w:cstheme="majorBidi"/>
        </w:rPr>
        <w:t xml:space="preserve"> To determine </w:t>
      </w:r>
      <w:r w:rsidRPr="00A95C35">
        <w:rPr>
          <w:rStyle w:val="IntenseQuoteChar"/>
          <w:rFonts w:asciiTheme="majorBidi" w:hAnsiTheme="majorBidi" w:cstheme="majorBidi"/>
          <w:bCs/>
          <w:color w:val="auto"/>
        </w:rPr>
        <w:t xml:space="preserve">optimal incentive amounts, </w:t>
      </w:r>
      <w:r w:rsidRPr="00A95C35">
        <w:rPr>
          <w:rFonts w:asciiTheme="majorBidi" w:hAnsiTheme="majorBidi" w:cstheme="majorBidi"/>
        </w:rPr>
        <w:t>a calibration subsample will be selected from each of the aforementioned subgroups to begin data collection ahead of the main sample. A similar approach was used successfully in BPS:12/14, where</w:t>
      </w:r>
      <w:r w:rsidRPr="00A95C35" w:rsidDel="00BB66DD">
        <w:rPr>
          <w:rFonts w:asciiTheme="majorBidi" w:hAnsiTheme="majorBidi" w:cstheme="majorBidi"/>
        </w:rPr>
        <w:t xml:space="preserve"> </w:t>
      </w:r>
      <w:r w:rsidRPr="00A95C35">
        <w:rPr>
          <w:rFonts w:asciiTheme="majorBidi" w:hAnsiTheme="majorBidi" w:cstheme="majorBidi"/>
        </w:rPr>
        <w:t>approximately 10 percent of that sample (3,700 cases) was selected and fielded seven weeks prior to the rest of the BPS:12/14 sample. The experimental subsample was treated in advance of the remaining cases, and after analyzing the results for the experimental sample and consultation with OMB, the successful treatment was implemented with the remaining sample. In the HSLS</w:t>
      </w:r>
      <w:proofErr w:type="gramStart"/>
      <w:r w:rsidRPr="00A95C35">
        <w:rPr>
          <w:rFonts w:asciiTheme="majorBidi" w:hAnsiTheme="majorBidi" w:cstheme="majorBidi"/>
        </w:rPr>
        <w:t>:09</w:t>
      </w:r>
      <w:proofErr w:type="gramEnd"/>
      <w:r w:rsidRPr="00A95C35">
        <w:rPr>
          <w:rFonts w:asciiTheme="majorBidi" w:hAnsiTheme="majorBidi" w:cstheme="majorBidi"/>
        </w:rPr>
        <w:t xml:space="preserve"> second follow-up main study, a similar approach is proposed with the HSLS:09 calibration subsamples fielded six weeks prior to the rest of the HSLS:09 sample. Exhibit B-7 shows the estimated size of each subgroup, the percentage of cases to be selected for the calibration subsample, and the estimated number of cases in the calibration sample.</w:t>
      </w:r>
    </w:p>
    <w:p w14:paraId="377CD51D" w14:textId="77777777" w:rsidR="00D3014C" w:rsidRPr="00A95C35" w:rsidRDefault="00D3014C" w:rsidP="00D3014C">
      <w:pPr>
        <w:pStyle w:val="ExhibitTitle"/>
        <w:spacing w:line="23" w:lineRule="atLeast"/>
      </w:pPr>
      <w:bookmarkStart w:id="1" w:name="_Toc430965867"/>
      <w:bookmarkStart w:id="2" w:name="_Toc433779238"/>
      <w:r w:rsidRPr="00A95C35">
        <w:lastRenderedPageBreak/>
        <w:t>Exhibit B-7. Calibration Sample Sizes</w:t>
      </w:r>
      <w:bookmarkEnd w:id="1"/>
      <w:r w:rsidRPr="00A95C35">
        <w:t>, by Subgroup</w:t>
      </w:r>
      <w:bookmarkEnd w:id="2"/>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1175"/>
        <w:gridCol w:w="5614"/>
        <w:gridCol w:w="1237"/>
        <w:gridCol w:w="1290"/>
        <w:gridCol w:w="1290"/>
      </w:tblGrid>
      <w:tr w:rsidR="00F11A5F" w:rsidRPr="00A95C35" w14:paraId="4BBBCD65" w14:textId="77777777" w:rsidTr="00C55CAB">
        <w:trPr>
          <w:trHeight w:val="144"/>
        </w:trPr>
        <w:tc>
          <w:tcPr>
            <w:tcW w:w="450" w:type="pct"/>
            <w:shd w:val="clear" w:color="auto" w:fill="D9D9D9" w:themeFill="background1" w:themeFillShade="D9"/>
            <w:tcMar>
              <w:top w:w="0" w:type="dxa"/>
              <w:left w:w="115" w:type="dxa"/>
              <w:bottom w:w="0" w:type="dxa"/>
              <w:right w:w="115" w:type="dxa"/>
            </w:tcMar>
            <w:vAlign w:val="center"/>
            <w:hideMark/>
          </w:tcPr>
          <w:p w14:paraId="4B08995E" w14:textId="77777777" w:rsidR="00D3014C" w:rsidRPr="00A95C35" w:rsidRDefault="00D3014C" w:rsidP="00C55CAB">
            <w:pPr>
              <w:pStyle w:val="Tabletext"/>
              <w:spacing w:before="0" w:after="0" w:line="23" w:lineRule="atLeast"/>
              <w:ind w:left="0" w:firstLine="0"/>
              <w:rPr>
                <w:rFonts w:cs="Arial"/>
                <w:b/>
                <w:bCs/>
              </w:rPr>
            </w:pPr>
            <w:r w:rsidRPr="00A95C35">
              <w:rPr>
                <w:rFonts w:cs="Arial"/>
                <w:b/>
                <w:bCs/>
              </w:rPr>
              <w:t>Subgroup Number</w:t>
            </w:r>
          </w:p>
        </w:tc>
        <w:tc>
          <w:tcPr>
            <w:tcW w:w="2673" w:type="pct"/>
            <w:shd w:val="clear" w:color="auto" w:fill="D9D9D9" w:themeFill="background1" w:themeFillShade="D9"/>
            <w:tcMar>
              <w:top w:w="0" w:type="dxa"/>
              <w:left w:w="115" w:type="dxa"/>
              <w:bottom w:w="0" w:type="dxa"/>
              <w:right w:w="115" w:type="dxa"/>
            </w:tcMar>
            <w:vAlign w:val="center"/>
            <w:hideMark/>
          </w:tcPr>
          <w:p w14:paraId="23F09134" w14:textId="77777777" w:rsidR="00D3014C" w:rsidRPr="00A95C35" w:rsidRDefault="00D3014C" w:rsidP="00C55CAB">
            <w:pPr>
              <w:pStyle w:val="bodytextpsg"/>
              <w:spacing w:after="0" w:line="23" w:lineRule="atLeast"/>
              <w:rPr>
                <w:rFonts w:ascii="Arial" w:hAnsi="Arial" w:cs="Arial"/>
                <w:sz w:val="20"/>
                <w:szCs w:val="20"/>
              </w:rPr>
            </w:pPr>
            <w:r w:rsidRPr="00A95C35">
              <w:rPr>
                <w:rFonts w:ascii="Arial" w:hAnsi="Arial" w:cs="Arial"/>
                <w:b/>
                <w:bCs/>
                <w:sz w:val="20"/>
                <w:szCs w:val="20"/>
              </w:rPr>
              <w:t>Subgroup Description</w:t>
            </w:r>
          </w:p>
        </w:tc>
        <w:tc>
          <w:tcPr>
            <w:tcW w:w="609" w:type="pct"/>
            <w:shd w:val="clear" w:color="auto" w:fill="D9D9D9" w:themeFill="background1" w:themeFillShade="D9"/>
            <w:tcMar>
              <w:top w:w="0" w:type="dxa"/>
              <w:left w:w="115" w:type="dxa"/>
              <w:bottom w:w="0" w:type="dxa"/>
              <w:right w:w="115" w:type="dxa"/>
            </w:tcMar>
            <w:vAlign w:val="center"/>
            <w:hideMark/>
          </w:tcPr>
          <w:p w14:paraId="5EFF3A80" w14:textId="77777777" w:rsidR="00D3014C" w:rsidRPr="00A95C35" w:rsidRDefault="00D3014C" w:rsidP="00C55CAB">
            <w:pPr>
              <w:pStyle w:val="bodytextpsg"/>
              <w:spacing w:after="0" w:line="23" w:lineRule="atLeast"/>
              <w:jc w:val="right"/>
              <w:rPr>
                <w:rFonts w:ascii="Arial" w:hAnsi="Arial" w:cs="Arial"/>
                <w:sz w:val="20"/>
                <w:szCs w:val="20"/>
              </w:rPr>
            </w:pPr>
            <w:r w:rsidRPr="00A95C35">
              <w:rPr>
                <w:rFonts w:ascii="Arial" w:hAnsi="Arial" w:cs="Arial"/>
                <w:b/>
                <w:bCs/>
                <w:sz w:val="20"/>
                <w:szCs w:val="20"/>
              </w:rPr>
              <w:t>Main Sample</w:t>
            </w:r>
          </w:p>
        </w:tc>
        <w:tc>
          <w:tcPr>
            <w:tcW w:w="634" w:type="pct"/>
            <w:shd w:val="clear" w:color="auto" w:fill="D9D9D9" w:themeFill="background1" w:themeFillShade="D9"/>
            <w:tcMar>
              <w:top w:w="0" w:type="dxa"/>
              <w:left w:w="115" w:type="dxa"/>
              <w:bottom w:w="0" w:type="dxa"/>
              <w:right w:w="115" w:type="dxa"/>
            </w:tcMar>
            <w:vAlign w:val="center"/>
            <w:hideMark/>
          </w:tcPr>
          <w:p w14:paraId="00742CB3" w14:textId="77777777" w:rsidR="00D3014C" w:rsidRPr="00A95C35" w:rsidRDefault="00D3014C" w:rsidP="00C55CAB">
            <w:pPr>
              <w:pStyle w:val="bodytextpsg"/>
              <w:spacing w:after="0" w:line="23" w:lineRule="atLeast"/>
              <w:jc w:val="right"/>
              <w:rPr>
                <w:rFonts w:ascii="Arial" w:hAnsi="Arial" w:cs="Arial"/>
                <w:sz w:val="20"/>
                <w:szCs w:val="20"/>
              </w:rPr>
            </w:pPr>
            <w:r w:rsidRPr="00A95C35">
              <w:rPr>
                <w:rFonts w:ascii="Arial" w:hAnsi="Arial" w:cs="Arial"/>
                <w:b/>
                <w:bCs/>
                <w:sz w:val="20"/>
                <w:szCs w:val="20"/>
              </w:rPr>
              <w:t>Calibration Sample</w:t>
            </w:r>
          </w:p>
        </w:tc>
        <w:tc>
          <w:tcPr>
            <w:tcW w:w="634" w:type="pct"/>
            <w:shd w:val="clear" w:color="auto" w:fill="D9D9D9" w:themeFill="background1" w:themeFillShade="D9"/>
            <w:tcMar>
              <w:top w:w="0" w:type="dxa"/>
              <w:left w:w="115" w:type="dxa"/>
              <w:bottom w:w="0" w:type="dxa"/>
              <w:right w:w="115" w:type="dxa"/>
            </w:tcMar>
            <w:vAlign w:val="center"/>
            <w:hideMark/>
          </w:tcPr>
          <w:p w14:paraId="03E38D99" w14:textId="77777777" w:rsidR="00D3014C" w:rsidRPr="00A95C35" w:rsidRDefault="00D3014C" w:rsidP="00C55CAB">
            <w:pPr>
              <w:pStyle w:val="bodytextpsg"/>
              <w:spacing w:after="0" w:line="23" w:lineRule="atLeast"/>
              <w:jc w:val="right"/>
              <w:rPr>
                <w:rFonts w:ascii="Arial" w:hAnsi="Arial" w:cs="Arial"/>
                <w:sz w:val="20"/>
                <w:szCs w:val="20"/>
              </w:rPr>
            </w:pPr>
            <w:r w:rsidRPr="00A95C35">
              <w:rPr>
                <w:rFonts w:ascii="Arial" w:hAnsi="Arial" w:cs="Arial"/>
                <w:b/>
                <w:bCs/>
                <w:sz w:val="20"/>
                <w:szCs w:val="20"/>
              </w:rPr>
              <w:t>Calibration Percent</w:t>
            </w:r>
          </w:p>
        </w:tc>
      </w:tr>
      <w:tr w:rsidR="00F11A5F" w:rsidRPr="00A95C35" w14:paraId="1F78ECC3" w14:textId="77777777" w:rsidTr="00C55CAB">
        <w:trPr>
          <w:trHeight w:val="144"/>
        </w:trPr>
        <w:tc>
          <w:tcPr>
            <w:tcW w:w="450" w:type="pct"/>
            <w:shd w:val="clear" w:color="auto" w:fill="FFFFFF" w:themeFill="background1"/>
            <w:tcMar>
              <w:top w:w="0" w:type="dxa"/>
              <w:left w:w="115" w:type="dxa"/>
              <w:bottom w:w="0" w:type="dxa"/>
              <w:right w:w="115" w:type="dxa"/>
            </w:tcMar>
            <w:hideMark/>
          </w:tcPr>
          <w:p w14:paraId="7EC38478" w14:textId="77777777" w:rsidR="00D3014C" w:rsidRPr="00A95C35" w:rsidRDefault="00D3014C" w:rsidP="00C55CAB">
            <w:pPr>
              <w:pStyle w:val="bodytextpsg"/>
              <w:spacing w:after="0" w:line="23" w:lineRule="atLeast"/>
              <w:rPr>
                <w:rFonts w:ascii="Arial" w:hAnsi="Arial" w:cs="Arial"/>
                <w:sz w:val="20"/>
                <w:szCs w:val="20"/>
              </w:rPr>
            </w:pPr>
            <w:r w:rsidRPr="00A95C35">
              <w:rPr>
                <w:rFonts w:ascii="Arial" w:hAnsi="Arial" w:cs="Arial"/>
                <w:sz w:val="20"/>
                <w:szCs w:val="20"/>
              </w:rPr>
              <w:t>1</w:t>
            </w:r>
          </w:p>
        </w:tc>
        <w:tc>
          <w:tcPr>
            <w:tcW w:w="2673" w:type="pct"/>
            <w:shd w:val="clear" w:color="auto" w:fill="FFFFFF" w:themeFill="background1"/>
            <w:tcMar>
              <w:top w:w="0" w:type="dxa"/>
              <w:left w:w="115" w:type="dxa"/>
              <w:bottom w:w="0" w:type="dxa"/>
              <w:right w:w="115" w:type="dxa"/>
            </w:tcMar>
            <w:hideMark/>
          </w:tcPr>
          <w:p w14:paraId="2DBDFC4F" w14:textId="77777777" w:rsidR="00D3014C" w:rsidRPr="00A95C35" w:rsidRDefault="00D3014C" w:rsidP="00C55CAB">
            <w:pPr>
              <w:pStyle w:val="bodytextpsg"/>
              <w:spacing w:after="0" w:line="23" w:lineRule="atLeast"/>
              <w:rPr>
                <w:rFonts w:ascii="Arial" w:hAnsi="Arial" w:cs="Arial"/>
                <w:sz w:val="20"/>
                <w:szCs w:val="20"/>
              </w:rPr>
            </w:pPr>
            <w:r w:rsidRPr="00A95C35">
              <w:rPr>
                <w:rFonts w:ascii="Arial" w:hAnsi="Arial" w:cs="Arial"/>
                <w:b/>
                <w:bCs/>
                <w:sz w:val="20"/>
                <w:szCs w:val="20"/>
              </w:rPr>
              <w:t>High School Late/Alternative/ Non-Completers</w:t>
            </w:r>
          </w:p>
          <w:p w14:paraId="6C854155" w14:textId="77777777" w:rsidR="00D3014C" w:rsidRPr="00A95C35" w:rsidRDefault="00D3014C" w:rsidP="00C55CAB">
            <w:pPr>
              <w:pStyle w:val="bodytextpsg"/>
              <w:spacing w:after="0" w:line="23" w:lineRule="atLeast"/>
              <w:rPr>
                <w:rFonts w:ascii="Arial" w:hAnsi="Arial" w:cs="Arial"/>
                <w:sz w:val="20"/>
                <w:szCs w:val="20"/>
              </w:rPr>
            </w:pPr>
            <w:r w:rsidRPr="00A95C35">
              <w:rPr>
                <w:rFonts w:ascii="Arial" w:hAnsi="Arial" w:cs="Arial"/>
                <w:i/>
                <w:iCs/>
                <w:sz w:val="20"/>
                <w:szCs w:val="20"/>
              </w:rPr>
              <w:t>Non-completers, late completers, still enrolled, and alternative credential as of the 2013 Update as well as ever dropouts with no completion status,</w:t>
            </w:r>
          </w:p>
        </w:tc>
        <w:tc>
          <w:tcPr>
            <w:tcW w:w="609" w:type="pct"/>
            <w:shd w:val="clear" w:color="auto" w:fill="FFFFFF" w:themeFill="background1"/>
            <w:tcMar>
              <w:top w:w="0" w:type="dxa"/>
              <w:left w:w="115" w:type="dxa"/>
              <w:bottom w:w="0" w:type="dxa"/>
              <w:right w:w="115" w:type="dxa"/>
            </w:tcMar>
            <w:hideMark/>
          </w:tcPr>
          <w:p w14:paraId="4F284387" w14:textId="77777777" w:rsidR="00D3014C" w:rsidRPr="00A95C35" w:rsidRDefault="00D3014C" w:rsidP="00C55CAB">
            <w:pPr>
              <w:pStyle w:val="bodytextpsg"/>
              <w:spacing w:after="0" w:line="23" w:lineRule="atLeast"/>
              <w:jc w:val="right"/>
              <w:rPr>
                <w:rFonts w:ascii="Arial" w:hAnsi="Arial" w:cs="Arial"/>
                <w:sz w:val="20"/>
                <w:szCs w:val="20"/>
              </w:rPr>
            </w:pPr>
            <w:r w:rsidRPr="00A95C35">
              <w:rPr>
                <w:rFonts w:ascii="Arial" w:hAnsi="Arial" w:cs="Arial"/>
                <w:sz w:val="20"/>
                <w:szCs w:val="20"/>
              </w:rPr>
              <w:t>2,545</w:t>
            </w:r>
          </w:p>
        </w:tc>
        <w:tc>
          <w:tcPr>
            <w:tcW w:w="634" w:type="pct"/>
            <w:shd w:val="clear" w:color="auto" w:fill="FFFFFF" w:themeFill="background1"/>
            <w:tcMar>
              <w:top w:w="0" w:type="dxa"/>
              <w:left w:w="115" w:type="dxa"/>
              <w:bottom w:w="0" w:type="dxa"/>
              <w:right w:w="115" w:type="dxa"/>
            </w:tcMar>
            <w:hideMark/>
          </w:tcPr>
          <w:p w14:paraId="56B37060" w14:textId="77777777" w:rsidR="00D3014C" w:rsidRPr="00A95C35" w:rsidRDefault="00D3014C" w:rsidP="00C55CAB">
            <w:pPr>
              <w:pStyle w:val="bodytextpsg"/>
              <w:spacing w:after="0" w:line="23" w:lineRule="atLeast"/>
              <w:jc w:val="right"/>
              <w:rPr>
                <w:rFonts w:ascii="Arial" w:hAnsi="Arial" w:cs="Arial"/>
                <w:sz w:val="20"/>
                <w:szCs w:val="20"/>
              </w:rPr>
            </w:pPr>
            <w:r w:rsidRPr="00A95C35">
              <w:rPr>
                <w:rFonts w:ascii="Arial" w:hAnsi="Arial" w:cs="Arial"/>
                <w:sz w:val="20"/>
                <w:szCs w:val="20"/>
              </w:rPr>
              <w:t>509</w:t>
            </w:r>
          </w:p>
        </w:tc>
        <w:tc>
          <w:tcPr>
            <w:tcW w:w="634" w:type="pct"/>
            <w:shd w:val="clear" w:color="auto" w:fill="FFFFFF" w:themeFill="background1"/>
            <w:tcMar>
              <w:top w:w="0" w:type="dxa"/>
              <w:left w:w="115" w:type="dxa"/>
              <w:bottom w:w="0" w:type="dxa"/>
              <w:right w:w="115" w:type="dxa"/>
            </w:tcMar>
            <w:hideMark/>
          </w:tcPr>
          <w:p w14:paraId="3CEB0704" w14:textId="77777777" w:rsidR="00D3014C" w:rsidRPr="00A95C35" w:rsidRDefault="00D3014C" w:rsidP="00C55CAB">
            <w:pPr>
              <w:pStyle w:val="bodytextpsg"/>
              <w:spacing w:after="0" w:line="23" w:lineRule="atLeast"/>
              <w:jc w:val="right"/>
              <w:rPr>
                <w:rFonts w:ascii="Arial" w:hAnsi="Arial" w:cs="Arial"/>
                <w:sz w:val="20"/>
                <w:szCs w:val="20"/>
              </w:rPr>
            </w:pPr>
            <w:r w:rsidRPr="00A95C35">
              <w:rPr>
                <w:rFonts w:ascii="Arial" w:hAnsi="Arial" w:cs="Arial"/>
                <w:sz w:val="20"/>
                <w:szCs w:val="20"/>
              </w:rPr>
              <w:t>20%</w:t>
            </w:r>
          </w:p>
        </w:tc>
      </w:tr>
      <w:tr w:rsidR="00F11A5F" w:rsidRPr="00A95C35" w14:paraId="5822F5EB" w14:textId="77777777" w:rsidTr="00C55CAB">
        <w:trPr>
          <w:trHeight w:val="144"/>
        </w:trPr>
        <w:tc>
          <w:tcPr>
            <w:tcW w:w="450" w:type="pct"/>
            <w:shd w:val="clear" w:color="auto" w:fill="FFFFFF" w:themeFill="background1"/>
            <w:tcMar>
              <w:top w:w="0" w:type="dxa"/>
              <w:left w:w="115" w:type="dxa"/>
              <w:bottom w:w="0" w:type="dxa"/>
              <w:right w:w="115" w:type="dxa"/>
            </w:tcMar>
            <w:hideMark/>
          </w:tcPr>
          <w:p w14:paraId="7D1FB32D" w14:textId="77777777" w:rsidR="00D3014C" w:rsidRPr="00A95C35" w:rsidRDefault="00D3014C" w:rsidP="00C55CAB">
            <w:pPr>
              <w:pStyle w:val="bodytextpsg"/>
              <w:spacing w:after="0" w:line="23" w:lineRule="atLeast"/>
              <w:rPr>
                <w:rFonts w:ascii="Arial" w:hAnsi="Arial" w:cs="Arial"/>
                <w:sz w:val="20"/>
                <w:szCs w:val="20"/>
              </w:rPr>
            </w:pPr>
            <w:r w:rsidRPr="00A95C35">
              <w:rPr>
                <w:rFonts w:ascii="Arial" w:hAnsi="Arial" w:cs="Arial"/>
                <w:sz w:val="20"/>
                <w:szCs w:val="20"/>
              </w:rPr>
              <w:t>2</w:t>
            </w:r>
          </w:p>
        </w:tc>
        <w:tc>
          <w:tcPr>
            <w:tcW w:w="2673" w:type="pct"/>
            <w:shd w:val="clear" w:color="auto" w:fill="FFFFFF" w:themeFill="background1"/>
            <w:tcMar>
              <w:top w:w="0" w:type="dxa"/>
              <w:left w:w="115" w:type="dxa"/>
              <w:bottom w:w="0" w:type="dxa"/>
              <w:right w:w="115" w:type="dxa"/>
            </w:tcMar>
            <w:hideMark/>
          </w:tcPr>
          <w:p w14:paraId="4429CA58" w14:textId="77777777" w:rsidR="00D3014C" w:rsidRPr="00A95C35" w:rsidRDefault="00D3014C" w:rsidP="00C55CAB">
            <w:pPr>
              <w:pStyle w:val="bodytextpsg"/>
              <w:spacing w:after="0" w:line="23" w:lineRule="atLeast"/>
              <w:rPr>
                <w:rFonts w:ascii="Arial" w:hAnsi="Arial" w:cs="Arial"/>
                <w:sz w:val="20"/>
                <w:szCs w:val="20"/>
              </w:rPr>
            </w:pPr>
            <w:r w:rsidRPr="00A95C35">
              <w:rPr>
                <w:rFonts w:ascii="Arial" w:hAnsi="Arial" w:cs="Arial"/>
                <w:b/>
                <w:bCs/>
                <w:sz w:val="20"/>
                <w:szCs w:val="20"/>
              </w:rPr>
              <w:t>Ultra-Cooperative Respondents</w:t>
            </w:r>
          </w:p>
          <w:p w14:paraId="12447BB2" w14:textId="77777777" w:rsidR="00D3014C" w:rsidRPr="00A95C35" w:rsidRDefault="00D3014C" w:rsidP="00C55CAB">
            <w:pPr>
              <w:pStyle w:val="bodytextpsg"/>
              <w:spacing w:after="0" w:line="23" w:lineRule="atLeast"/>
              <w:rPr>
                <w:rFonts w:ascii="Arial" w:hAnsi="Arial" w:cs="Arial"/>
                <w:sz w:val="20"/>
                <w:szCs w:val="20"/>
              </w:rPr>
            </w:pPr>
            <w:r w:rsidRPr="00A95C35">
              <w:rPr>
                <w:rFonts w:ascii="Arial" w:hAnsi="Arial" w:cs="Arial"/>
                <w:i/>
                <w:iCs/>
                <w:sz w:val="20"/>
                <w:szCs w:val="20"/>
              </w:rPr>
              <w:t>High school completers who participated in base year and the first follow-up, and completed the 2013 Update in early web period, with no incentive</w:t>
            </w:r>
          </w:p>
        </w:tc>
        <w:tc>
          <w:tcPr>
            <w:tcW w:w="609" w:type="pct"/>
            <w:shd w:val="clear" w:color="auto" w:fill="FFFFFF" w:themeFill="background1"/>
            <w:tcMar>
              <w:top w:w="0" w:type="dxa"/>
              <w:left w:w="115" w:type="dxa"/>
              <w:bottom w:w="0" w:type="dxa"/>
              <w:right w:w="115" w:type="dxa"/>
            </w:tcMar>
            <w:hideMark/>
          </w:tcPr>
          <w:p w14:paraId="684A1A74" w14:textId="77777777" w:rsidR="00D3014C" w:rsidRPr="00A95C35" w:rsidRDefault="00D3014C" w:rsidP="00C55CAB">
            <w:pPr>
              <w:pStyle w:val="bodytextpsg"/>
              <w:spacing w:after="0" w:line="23" w:lineRule="atLeast"/>
              <w:jc w:val="right"/>
              <w:rPr>
                <w:rFonts w:ascii="Arial" w:hAnsi="Arial" w:cs="Arial"/>
                <w:sz w:val="20"/>
                <w:szCs w:val="20"/>
              </w:rPr>
            </w:pPr>
            <w:r w:rsidRPr="00A95C35">
              <w:rPr>
                <w:rFonts w:ascii="Arial" w:hAnsi="Arial" w:cs="Arial"/>
                <w:sz w:val="20"/>
                <w:szCs w:val="20"/>
              </w:rPr>
              <w:t>1,027</w:t>
            </w:r>
          </w:p>
        </w:tc>
        <w:tc>
          <w:tcPr>
            <w:tcW w:w="634" w:type="pct"/>
            <w:shd w:val="clear" w:color="auto" w:fill="FFFFFF" w:themeFill="background1"/>
            <w:tcMar>
              <w:top w:w="0" w:type="dxa"/>
              <w:left w:w="115" w:type="dxa"/>
              <w:bottom w:w="0" w:type="dxa"/>
              <w:right w:w="115" w:type="dxa"/>
            </w:tcMar>
            <w:hideMark/>
          </w:tcPr>
          <w:p w14:paraId="7DE5B638" w14:textId="77777777" w:rsidR="00D3014C" w:rsidRPr="00A95C35" w:rsidRDefault="00D3014C" w:rsidP="00C55CAB">
            <w:pPr>
              <w:pStyle w:val="bodytextpsg"/>
              <w:spacing w:after="0" w:line="23" w:lineRule="atLeast"/>
              <w:jc w:val="right"/>
              <w:rPr>
                <w:rFonts w:ascii="Arial" w:hAnsi="Arial" w:cs="Arial"/>
                <w:sz w:val="20"/>
                <w:szCs w:val="20"/>
              </w:rPr>
            </w:pPr>
            <w:r w:rsidRPr="00A95C35">
              <w:rPr>
                <w:rFonts w:ascii="Arial" w:hAnsi="Arial" w:cs="Arial"/>
                <w:sz w:val="20"/>
                <w:szCs w:val="20"/>
              </w:rPr>
              <w:t>154</w:t>
            </w:r>
          </w:p>
        </w:tc>
        <w:tc>
          <w:tcPr>
            <w:tcW w:w="634" w:type="pct"/>
            <w:shd w:val="clear" w:color="auto" w:fill="FFFFFF" w:themeFill="background1"/>
            <w:tcMar>
              <w:top w:w="0" w:type="dxa"/>
              <w:left w:w="115" w:type="dxa"/>
              <w:bottom w:w="0" w:type="dxa"/>
              <w:right w:w="115" w:type="dxa"/>
            </w:tcMar>
            <w:hideMark/>
          </w:tcPr>
          <w:p w14:paraId="708C79A0" w14:textId="77777777" w:rsidR="00D3014C" w:rsidRPr="00A95C35" w:rsidRDefault="00D3014C" w:rsidP="00C55CAB">
            <w:pPr>
              <w:pStyle w:val="bodytextpsg"/>
              <w:spacing w:after="0" w:line="23" w:lineRule="atLeast"/>
              <w:jc w:val="right"/>
              <w:rPr>
                <w:rFonts w:ascii="Arial" w:hAnsi="Arial" w:cs="Arial"/>
                <w:sz w:val="20"/>
                <w:szCs w:val="20"/>
              </w:rPr>
            </w:pPr>
            <w:r w:rsidRPr="00A95C35">
              <w:rPr>
                <w:rFonts w:ascii="Arial" w:hAnsi="Arial" w:cs="Arial"/>
                <w:sz w:val="20"/>
                <w:szCs w:val="20"/>
              </w:rPr>
              <w:t xml:space="preserve">15% </w:t>
            </w:r>
          </w:p>
        </w:tc>
      </w:tr>
      <w:tr w:rsidR="00F11A5F" w:rsidRPr="00A95C35" w14:paraId="466D3CE3" w14:textId="77777777" w:rsidTr="00C55CAB">
        <w:trPr>
          <w:trHeight w:val="144"/>
        </w:trPr>
        <w:tc>
          <w:tcPr>
            <w:tcW w:w="450" w:type="pct"/>
            <w:shd w:val="clear" w:color="auto" w:fill="FFFFFF" w:themeFill="background1"/>
            <w:tcMar>
              <w:top w:w="0" w:type="dxa"/>
              <w:left w:w="115" w:type="dxa"/>
              <w:bottom w:w="0" w:type="dxa"/>
              <w:right w:w="115" w:type="dxa"/>
            </w:tcMar>
            <w:hideMark/>
          </w:tcPr>
          <w:p w14:paraId="50412FE2" w14:textId="77777777" w:rsidR="00D3014C" w:rsidRPr="00A95C35" w:rsidRDefault="00D3014C" w:rsidP="00C55CAB">
            <w:pPr>
              <w:pStyle w:val="bodytextpsg"/>
              <w:spacing w:after="0" w:line="23" w:lineRule="atLeast"/>
              <w:rPr>
                <w:rFonts w:ascii="Arial" w:hAnsi="Arial" w:cs="Arial"/>
                <w:sz w:val="20"/>
                <w:szCs w:val="20"/>
              </w:rPr>
            </w:pPr>
            <w:r w:rsidRPr="00A95C35">
              <w:rPr>
                <w:rFonts w:ascii="Arial" w:hAnsi="Arial" w:cs="Arial"/>
                <w:sz w:val="20"/>
                <w:szCs w:val="20"/>
              </w:rPr>
              <w:t>3</w:t>
            </w:r>
          </w:p>
        </w:tc>
        <w:tc>
          <w:tcPr>
            <w:tcW w:w="2673" w:type="pct"/>
            <w:shd w:val="clear" w:color="auto" w:fill="FFFFFF" w:themeFill="background1"/>
            <w:tcMar>
              <w:top w:w="0" w:type="dxa"/>
              <w:left w:w="115" w:type="dxa"/>
              <w:bottom w:w="0" w:type="dxa"/>
              <w:right w:w="115" w:type="dxa"/>
            </w:tcMar>
            <w:hideMark/>
          </w:tcPr>
          <w:p w14:paraId="6FD6C013" w14:textId="77777777" w:rsidR="00D3014C" w:rsidRPr="00A95C35" w:rsidRDefault="00D3014C" w:rsidP="00C55CAB">
            <w:pPr>
              <w:pStyle w:val="bodytextpsg"/>
              <w:spacing w:after="0" w:line="23" w:lineRule="atLeast"/>
              <w:rPr>
                <w:rFonts w:ascii="Arial" w:hAnsi="Arial" w:cs="Arial"/>
                <w:sz w:val="20"/>
                <w:szCs w:val="20"/>
              </w:rPr>
            </w:pPr>
            <w:r w:rsidRPr="00A95C35">
              <w:rPr>
                <w:rFonts w:ascii="Arial" w:hAnsi="Arial" w:cs="Arial"/>
                <w:b/>
                <w:bCs/>
                <w:sz w:val="20"/>
                <w:szCs w:val="20"/>
              </w:rPr>
              <w:t xml:space="preserve">All Other High School </w:t>
            </w:r>
            <w:r w:rsidRPr="00A95C35">
              <w:rPr>
                <w:rFonts w:ascii="Arial" w:hAnsi="Arial" w:cs="Arial"/>
                <w:b/>
                <w:sz w:val="20"/>
                <w:szCs w:val="20"/>
              </w:rPr>
              <w:t>Completers and Unknown Cases</w:t>
            </w:r>
          </w:p>
          <w:p w14:paraId="1C9383FA" w14:textId="77777777" w:rsidR="00D3014C" w:rsidRPr="00A95C35" w:rsidRDefault="00D3014C" w:rsidP="00C55CAB">
            <w:pPr>
              <w:pStyle w:val="bodytextpsg"/>
              <w:spacing w:after="0" w:line="23" w:lineRule="atLeast"/>
              <w:rPr>
                <w:rFonts w:ascii="Arial" w:hAnsi="Arial" w:cs="Arial"/>
                <w:sz w:val="20"/>
                <w:szCs w:val="20"/>
              </w:rPr>
            </w:pPr>
            <w:r w:rsidRPr="00A95C35">
              <w:rPr>
                <w:rFonts w:ascii="Arial" w:hAnsi="Arial" w:cs="Arial"/>
                <w:i/>
                <w:iCs/>
                <w:sz w:val="20"/>
                <w:szCs w:val="20"/>
              </w:rPr>
              <w:t>HS Diploma completed early/on-time unknown or unknown completion status with no known dropout episode</w:t>
            </w:r>
          </w:p>
        </w:tc>
        <w:tc>
          <w:tcPr>
            <w:tcW w:w="609" w:type="pct"/>
            <w:shd w:val="clear" w:color="auto" w:fill="FFFFFF" w:themeFill="background1"/>
            <w:tcMar>
              <w:top w:w="0" w:type="dxa"/>
              <w:left w:w="115" w:type="dxa"/>
              <w:bottom w:w="0" w:type="dxa"/>
              <w:right w:w="115" w:type="dxa"/>
            </w:tcMar>
            <w:hideMark/>
          </w:tcPr>
          <w:p w14:paraId="623AD706" w14:textId="77777777" w:rsidR="00D3014C" w:rsidRPr="00A95C35" w:rsidRDefault="00D3014C" w:rsidP="00C55CAB">
            <w:pPr>
              <w:pStyle w:val="bodytextpsg"/>
              <w:spacing w:after="0" w:line="23" w:lineRule="atLeast"/>
              <w:jc w:val="right"/>
              <w:rPr>
                <w:rFonts w:ascii="Arial" w:hAnsi="Arial" w:cs="Arial"/>
                <w:sz w:val="20"/>
                <w:szCs w:val="20"/>
              </w:rPr>
            </w:pPr>
            <w:r w:rsidRPr="00A95C35">
              <w:rPr>
                <w:rFonts w:ascii="Arial" w:hAnsi="Arial" w:cs="Arial"/>
                <w:sz w:val="20"/>
                <w:szCs w:val="20"/>
              </w:rPr>
              <w:t>19,747</w:t>
            </w:r>
          </w:p>
        </w:tc>
        <w:tc>
          <w:tcPr>
            <w:tcW w:w="634" w:type="pct"/>
            <w:shd w:val="clear" w:color="auto" w:fill="FFFFFF" w:themeFill="background1"/>
            <w:tcMar>
              <w:top w:w="0" w:type="dxa"/>
              <w:left w:w="115" w:type="dxa"/>
              <w:bottom w:w="0" w:type="dxa"/>
              <w:right w:w="115" w:type="dxa"/>
            </w:tcMar>
            <w:hideMark/>
          </w:tcPr>
          <w:p w14:paraId="0657ECC8" w14:textId="77777777" w:rsidR="00D3014C" w:rsidRPr="00A95C35" w:rsidRDefault="00D3014C" w:rsidP="00C55CAB">
            <w:pPr>
              <w:pStyle w:val="bodytextpsg"/>
              <w:spacing w:after="0" w:line="23" w:lineRule="atLeast"/>
              <w:jc w:val="right"/>
              <w:rPr>
                <w:rFonts w:ascii="Arial" w:hAnsi="Arial" w:cs="Arial"/>
                <w:sz w:val="20"/>
                <w:szCs w:val="20"/>
              </w:rPr>
            </w:pPr>
            <w:r w:rsidRPr="00A95C35">
              <w:rPr>
                <w:rFonts w:ascii="Arial" w:hAnsi="Arial" w:cs="Arial"/>
                <w:sz w:val="20"/>
                <w:szCs w:val="20"/>
              </w:rPr>
              <w:t>1,975</w:t>
            </w:r>
          </w:p>
        </w:tc>
        <w:tc>
          <w:tcPr>
            <w:tcW w:w="634" w:type="pct"/>
            <w:shd w:val="clear" w:color="auto" w:fill="FFFFFF" w:themeFill="background1"/>
            <w:tcMar>
              <w:top w:w="0" w:type="dxa"/>
              <w:left w:w="115" w:type="dxa"/>
              <w:bottom w:w="0" w:type="dxa"/>
              <w:right w:w="115" w:type="dxa"/>
            </w:tcMar>
            <w:hideMark/>
          </w:tcPr>
          <w:p w14:paraId="762361D6" w14:textId="77777777" w:rsidR="00D3014C" w:rsidRPr="00A95C35" w:rsidRDefault="00D3014C" w:rsidP="00C55CAB">
            <w:pPr>
              <w:pStyle w:val="bodytextpsg"/>
              <w:spacing w:after="0" w:line="23" w:lineRule="atLeast"/>
              <w:jc w:val="right"/>
              <w:rPr>
                <w:rFonts w:ascii="Arial" w:hAnsi="Arial" w:cs="Arial"/>
                <w:sz w:val="20"/>
                <w:szCs w:val="20"/>
              </w:rPr>
            </w:pPr>
            <w:r w:rsidRPr="00A95C35">
              <w:rPr>
                <w:rFonts w:ascii="Arial" w:hAnsi="Arial" w:cs="Arial"/>
                <w:sz w:val="20"/>
                <w:szCs w:val="20"/>
              </w:rPr>
              <w:t>10%</w:t>
            </w:r>
          </w:p>
        </w:tc>
      </w:tr>
    </w:tbl>
    <w:p w14:paraId="67C5AAE7" w14:textId="77777777" w:rsidR="00D3014C" w:rsidRPr="00A95C35" w:rsidRDefault="00D3014C" w:rsidP="00D3014C">
      <w:pPr>
        <w:pStyle w:val="bodytextpsg"/>
        <w:spacing w:after="120" w:line="23" w:lineRule="atLeast"/>
        <w:rPr>
          <w:rFonts w:asciiTheme="majorBidi" w:hAnsiTheme="majorBidi" w:cstheme="majorBidi"/>
        </w:rPr>
      </w:pPr>
    </w:p>
    <w:p w14:paraId="253A42FA" w14:textId="77777777" w:rsidR="00D3014C" w:rsidRPr="00A95C35" w:rsidRDefault="00D3014C" w:rsidP="00D3014C">
      <w:pPr>
        <w:pStyle w:val="bodytextpsg"/>
        <w:spacing w:after="120" w:line="23" w:lineRule="atLeast"/>
        <w:rPr>
          <w:rFonts w:asciiTheme="majorBidi" w:hAnsiTheme="majorBidi" w:cstheme="majorBidi"/>
        </w:rPr>
      </w:pPr>
      <w:r w:rsidRPr="00A95C35">
        <w:rPr>
          <w:rStyle w:val="IntenseEmphasis"/>
          <w:rFonts w:asciiTheme="majorBidi" w:hAnsiTheme="majorBidi" w:cstheme="majorBidi"/>
          <w:b/>
          <w:bCs/>
          <w:color w:val="auto"/>
        </w:rPr>
        <w:t>Data collection phases, treatments, and evaluations.</w:t>
      </w:r>
      <w:r w:rsidRPr="00A95C35">
        <w:rPr>
          <w:rFonts w:asciiTheme="majorBidi" w:hAnsiTheme="majorBidi" w:cstheme="majorBidi"/>
        </w:rPr>
        <w:t xml:space="preserve"> For the second follow-up main study, the data collection plan includes a phased responsive design strategy specifically aimed at improving sample representativeness in the final survey participants. Exhibit B-8 presents the schedule for the planned phases of data collection for both the calibration samples and the main samples. Exhibit B-9 summarizes the baseline and boost incentives to be tested for each subgroup.</w:t>
      </w:r>
      <w:r w:rsidRPr="00A95C35" w:rsidDel="00D15542">
        <w:rPr>
          <w:rFonts w:asciiTheme="majorBidi" w:hAnsiTheme="majorBidi" w:cstheme="majorBidi"/>
        </w:rPr>
        <w:t xml:space="preserve"> </w:t>
      </w:r>
      <w:r w:rsidRPr="00A95C35">
        <w:rPr>
          <w:rFonts w:asciiTheme="majorBidi" w:hAnsiTheme="majorBidi" w:cstheme="majorBidi"/>
        </w:rPr>
        <w:t>The phases will proceed as follows:</w:t>
      </w:r>
    </w:p>
    <w:p w14:paraId="4728293E" w14:textId="77777777" w:rsidR="00D3014C" w:rsidRPr="00A95C35" w:rsidRDefault="00D3014C" w:rsidP="00C2639F">
      <w:pPr>
        <w:pStyle w:val="bodytextpsg"/>
        <w:spacing w:after="120" w:line="23" w:lineRule="atLeast"/>
        <w:rPr>
          <w:rStyle w:val="IntenseQuoteChar"/>
          <w:rFonts w:asciiTheme="majorBidi" w:hAnsiTheme="majorBidi" w:cstheme="majorBidi"/>
          <w:bCs/>
          <w:i w:val="0"/>
          <w:iCs w:val="0"/>
          <w:color w:val="auto"/>
        </w:rPr>
      </w:pPr>
      <w:r w:rsidRPr="00A95C35">
        <w:rPr>
          <w:rStyle w:val="IntenseQuoteChar"/>
          <w:rFonts w:asciiTheme="majorBidi" w:hAnsiTheme="majorBidi" w:cstheme="majorBidi"/>
          <w:b/>
          <w:bCs/>
          <w:color w:val="auto"/>
        </w:rPr>
        <w:t>Baseline incentive (phase 1).</w:t>
      </w:r>
      <w:r w:rsidRPr="00A95C35">
        <w:rPr>
          <w:rStyle w:val="IntenseQuoteChar"/>
          <w:rFonts w:asciiTheme="majorBidi" w:hAnsiTheme="majorBidi" w:cstheme="majorBidi"/>
          <w:bCs/>
          <w:color w:val="auto"/>
        </w:rPr>
        <w:t xml:space="preserve"> </w:t>
      </w:r>
      <w:r w:rsidRPr="00A95C35">
        <w:t xml:space="preserve">During this beginning phase of data collection, the survey will be open exclusively for self-administered interviews via the web. Web response will remain open throughout the entire data collection. </w:t>
      </w:r>
      <w:r w:rsidRPr="00A95C35">
        <w:rPr>
          <w:rStyle w:val="IntenseQuoteChar"/>
          <w:rFonts w:asciiTheme="majorBidi" w:hAnsiTheme="majorBidi" w:cstheme="majorBidi"/>
          <w:bCs/>
          <w:color w:val="auto"/>
        </w:rPr>
        <w:t>As described above, the calibration samples will allow for testing of incentive amounts on a subset of cases, and the results will inform the implementation plan for the main samples. Prior to the start of the main sample data collection for phase 1, calibration sample response rates will be evaluated. An ANOVA-based model will be used to perform pairwise contrasts between the different incentive amounts offered to the treatment and control groups in each phase. NCES and OMB will meet to review the results of the calibration experiment and determine the optimal incentive amount for each of the subgroups.</w:t>
      </w:r>
    </w:p>
    <w:p w14:paraId="6AC300BE" w14:textId="77777777" w:rsidR="00D3014C" w:rsidRPr="00A95C35" w:rsidRDefault="00D3014C" w:rsidP="00D3014C">
      <w:pPr>
        <w:pStyle w:val="bodytextpsg"/>
        <w:numPr>
          <w:ilvl w:val="0"/>
          <w:numId w:val="15"/>
        </w:numPr>
        <w:spacing w:after="120" w:line="23" w:lineRule="atLeast"/>
        <w:ind w:left="450"/>
        <w:rPr>
          <w:rStyle w:val="IntenseQuoteChar"/>
          <w:rFonts w:asciiTheme="majorBidi" w:hAnsiTheme="majorBidi" w:cstheme="majorBidi"/>
          <w:bCs/>
          <w:i w:val="0"/>
          <w:iCs w:val="0"/>
          <w:color w:val="auto"/>
        </w:rPr>
      </w:pPr>
      <w:r w:rsidRPr="00A95C35">
        <w:rPr>
          <w:rStyle w:val="IntenseQuoteChar"/>
          <w:rFonts w:asciiTheme="majorBidi" w:hAnsiTheme="majorBidi" w:cstheme="majorBidi"/>
          <w:bCs/>
          <w:color w:val="auto"/>
        </w:rPr>
        <w:t>Subgroup 1 (high school late/alternative/non-completers) will be offered 3 different baseline incentive amounts ($30, $40, or $50). The optimal amount (to be determined in consultation with OMB) will be offered to all cases in the subgroup 1 main sample.</w:t>
      </w:r>
    </w:p>
    <w:p w14:paraId="56007554" w14:textId="77777777" w:rsidR="00D3014C" w:rsidRPr="00A95C35" w:rsidRDefault="00D3014C" w:rsidP="00D3014C">
      <w:pPr>
        <w:pStyle w:val="bodytextpsg"/>
        <w:numPr>
          <w:ilvl w:val="0"/>
          <w:numId w:val="15"/>
        </w:numPr>
        <w:spacing w:after="120" w:line="23" w:lineRule="atLeast"/>
        <w:ind w:left="450"/>
        <w:rPr>
          <w:rStyle w:val="IntenseQuoteChar"/>
          <w:rFonts w:asciiTheme="majorBidi" w:hAnsiTheme="majorBidi" w:cstheme="majorBidi"/>
          <w:bCs/>
          <w:i w:val="0"/>
          <w:iCs w:val="0"/>
          <w:color w:val="auto"/>
        </w:rPr>
      </w:pPr>
      <w:r w:rsidRPr="00A95C35">
        <w:rPr>
          <w:rStyle w:val="IntenseQuoteChar"/>
          <w:rFonts w:asciiTheme="majorBidi" w:hAnsiTheme="majorBidi" w:cstheme="majorBidi"/>
          <w:bCs/>
          <w:color w:val="auto"/>
        </w:rPr>
        <w:t>Subgroup 2 (ultra-cooperative respondents) will not be offered a baseline incentive. The subgroup 2 calibration sample response rate will be evaluated against early response rates for other cohorts (such as BPS</w:t>
      </w:r>
      <w:proofErr w:type="gramStart"/>
      <w:r w:rsidRPr="00A95C35">
        <w:rPr>
          <w:rStyle w:val="IntenseQuoteChar"/>
          <w:rFonts w:asciiTheme="majorBidi" w:hAnsiTheme="majorBidi" w:cstheme="majorBidi"/>
          <w:bCs/>
          <w:color w:val="auto"/>
        </w:rPr>
        <w:t>:12</w:t>
      </w:r>
      <w:proofErr w:type="gramEnd"/>
      <w:r w:rsidRPr="00A95C35">
        <w:rPr>
          <w:rStyle w:val="IntenseQuoteChar"/>
          <w:rFonts w:asciiTheme="majorBidi" w:hAnsiTheme="majorBidi" w:cstheme="majorBidi"/>
          <w:bCs/>
          <w:color w:val="auto"/>
        </w:rPr>
        <w:t>/14 and ELS:2002 third follow-up) to estimate a “successful” response benchmark for HSLS:09. If it is determined that the subgroup 2 calibration sample response rate is not successful, we will discuss with OMB the possibility of offering a baseline incentive (amount to be determined in consultation with OMB) to the subgroup 2 main sample.</w:t>
      </w:r>
    </w:p>
    <w:p w14:paraId="6AA1FE77" w14:textId="77777777" w:rsidR="00D3014C" w:rsidRPr="00A95C35" w:rsidRDefault="00D3014C" w:rsidP="00D3014C">
      <w:pPr>
        <w:pStyle w:val="bodytextpsg"/>
        <w:numPr>
          <w:ilvl w:val="0"/>
          <w:numId w:val="15"/>
        </w:numPr>
        <w:spacing w:after="120" w:line="23" w:lineRule="atLeast"/>
        <w:ind w:left="450"/>
        <w:rPr>
          <w:rStyle w:val="IntenseQuoteChar"/>
          <w:i w:val="0"/>
          <w:iCs w:val="0"/>
          <w:color w:val="auto"/>
        </w:rPr>
      </w:pPr>
      <w:r w:rsidRPr="00A95C35">
        <w:rPr>
          <w:rStyle w:val="IntenseQuoteChar"/>
          <w:rFonts w:asciiTheme="majorBidi" w:hAnsiTheme="majorBidi" w:cstheme="majorBidi"/>
          <w:bCs/>
          <w:color w:val="auto"/>
        </w:rPr>
        <w:t>Subgroup 3 (high school completers and unknowns) will be offered 6 different incentive amounts, ranging from $15 to $40 ($15, $20, $25, $30, $35, or $40). The $15 starting point for this baseline incentive calibration experiment is based on the results of the HSLS</w:t>
      </w:r>
      <w:proofErr w:type="gramStart"/>
      <w:r w:rsidRPr="00A95C35">
        <w:rPr>
          <w:rStyle w:val="IntenseQuoteChar"/>
          <w:rFonts w:asciiTheme="majorBidi" w:hAnsiTheme="majorBidi" w:cstheme="majorBidi"/>
          <w:bCs/>
          <w:color w:val="auto"/>
        </w:rPr>
        <w:t>:09</w:t>
      </w:r>
      <w:proofErr w:type="gramEnd"/>
      <w:r w:rsidRPr="00A95C35">
        <w:rPr>
          <w:rStyle w:val="IntenseQuoteChar"/>
          <w:rFonts w:asciiTheme="majorBidi" w:hAnsiTheme="majorBidi" w:cstheme="majorBidi"/>
          <w:bCs/>
          <w:color w:val="auto"/>
        </w:rPr>
        <w:t xml:space="preserve"> second follow-up field test experiment. The optimal amount (to be determined in consultation with OMB) will be offered to all cases in the subgroup 3 main sample.</w:t>
      </w:r>
    </w:p>
    <w:p w14:paraId="6D3A38C3" w14:textId="77777777" w:rsidR="00AE4148" w:rsidRPr="00A95C35" w:rsidRDefault="00AE4148" w:rsidP="0006440F">
      <w:pPr>
        <w:pStyle w:val="bodytextpsg"/>
        <w:spacing w:after="120" w:line="23" w:lineRule="atLeast"/>
        <w:rPr>
          <w:rStyle w:val="IntenseQuoteChar"/>
          <w:rFonts w:asciiTheme="majorBidi" w:hAnsiTheme="majorBidi" w:cstheme="majorBidi"/>
          <w:bCs/>
          <w:color w:val="auto"/>
        </w:rPr>
      </w:pPr>
    </w:p>
    <w:p w14:paraId="796713A3" w14:textId="77777777" w:rsidR="00AE4148" w:rsidRPr="00A95C35" w:rsidRDefault="00AE4148" w:rsidP="0006440F">
      <w:pPr>
        <w:pStyle w:val="bodytextpsg"/>
        <w:spacing w:after="120" w:line="23" w:lineRule="atLeast"/>
      </w:pPr>
    </w:p>
    <w:p w14:paraId="63AC0B19" w14:textId="77777777" w:rsidR="00D3014C" w:rsidRPr="00A95C35" w:rsidRDefault="00D3014C" w:rsidP="00D3014C">
      <w:pPr>
        <w:pStyle w:val="ExhibitTitle"/>
        <w:spacing w:line="23" w:lineRule="atLeast"/>
      </w:pPr>
      <w:bookmarkStart w:id="3" w:name="_Toc433779239"/>
      <w:bookmarkStart w:id="4" w:name="_Toc430965868"/>
      <w:r w:rsidRPr="00A95C35">
        <w:lastRenderedPageBreak/>
        <w:t>Exhibit B-8. Data Collection Schedule and Phases.</w:t>
      </w:r>
      <w:bookmarkEnd w:id="3"/>
      <w:bookmarkEnd w:id="4"/>
    </w:p>
    <w:p w14:paraId="6311DDDC" w14:textId="77777777" w:rsidR="00D3014C" w:rsidRPr="00A95C35" w:rsidRDefault="00D3014C" w:rsidP="00D3014C">
      <w:pPr>
        <w:spacing w:line="23" w:lineRule="atLeast"/>
      </w:pPr>
      <w:r w:rsidRPr="00A95C35">
        <w:rPr>
          <w:rFonts w:asciiTheme="majorBidi" w:hAnsiTheme="majorBidi" w:cstheme="majorBidi"/>
          <w:b/>
          <w:noProof/>
        </w:rPr>
        <w:drawing>
          <wp:inline distT="0" distB="0" distL="0" distR="0" wp14:anchorId="344F6236" wp14:editId="64778E74">
            <wp:extent cx="6185139" cy="2449902"/>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F793091" w14:textId="66557D2D" w:rsidR="00D3014C" w:rsidRPr="00A95C35" w:rsidRDefault="00C2639F" w:rsidP="00D3014C">
      <w:pPr>
        <w:pStyle w:val="bodytextpsg"/>
        <w:spacing w:after="120" w:line="23" w:lineRule="atLeast"/>
        <w:rPr>
          <w:rFonts w:asciiTheme="majorBidi" w:hAnsiTheme="majorBidi" w:cstheme="majorBidi"/>
          <w:iCs/>
        </w:rPr>
      </w:pPr>
      <w:r w:rsidRPr="00A95C35">
        <w:rPr>
          <w:rFonts w:asciiTheme="majorBidi" w:hAnsiTheme="majorBidi" w:cstheme="majorBidi"/>
          <w:b/>
          <w:i/>
          <w:iCs/>
        </w:rPr>
        <w:br/>
      </w:r>
      <w:r w:rsidR="00D3014C" w:rsidRPr="00A95C35">
        <w:rPr>
          <w:rFonts w:asciiTheme="majorBidi" w:hAnsiTheme="majorBidi" w:cstheme="majorBidi"/>
          <w:b/>
          <w:i/>
          <w:iCs/>
        </w:rPr>
        <w:t>Outbound CATI prompting (phase 2).</w:t>
      </w:r>
      <w:r w:rsidR="00D3014C" w:rsidRPr="00A95C35">
        <w:rPr>
          <w:rFonts w:asciiTheme="majorBidi" w:hAnsiTheme="majorBidi" w:cstheme="majorBidi"/>
          <w:iCs/>
        </w:rPr>
        <w:t xml:space="preserve"> After phase 1 data collection which is self-administered via the web (except for instances when sample members call in to the help desk), phase 2 will initiate another mode of data collection. Telephone interviewers will begin making outbound calls to prompt for self-administration or to conduct telephone interviews. No additional incentives will be offered during phase 2.</w:t>
      </w:r>
    </w:p>
    <w:p w14:paraId="2748F6E1" w14:textId="77777777" w:rsidR="00D3014C" w:rsidRPr="00A95C35" w:rsidRDefault="00D3014C" w:rsidP="00D3014C">
      <w:pPr>
        <w:pStyle w:val="bodytextpsg"/>
        <w:numPr>
          <w:ilvl w:val="0"/>
          <w:numId w:val="17"/>
        </w:numPr>
        <w:spacing w:after="120" w:line="23" w:lineRule="atLeast"/>
        <w:ind w:left="648"/>
        <w:rPr>
          <w:rFonts w:asciiTheme="majorBidi" w:hAnsiTheme="majorBidi" w:cstheme="majorBidi"/>
          <w:iCs/>
        </w:rPr>
      </w:pPr>
      <w:r w:rsidRPr="00A95C35">
        <w:rPr>
          <w:rFonts w:asciiTheme="majorBidi" w:hAnsiTheme="majorBidi" w:cstheme="majorBidi"/>
          <w:iCs/>
        </w:rPr>
        <w:t>Subgroup 1 will begin outbound CATI earlier than the other subgroups, to allow additional time for telephone interviewers to work these high priority cases.</w:t>
      </w:r>
    </w:p>
    <w:p w14:paraId="3533E52A" w14:textId="77777777" w:rsidR="00D3014C" w:rsidRPr="00A95C35" w:rsidRDefault="00D3014C" w:rsidP="00D3014C">
      <w:pPr>
        <w:pStyle w:val="bodytextpsg"/>
        <w:spacing w:after="120" w:line="23" w:lineRule="atLeast"/>
        <w:rPr>
          <w:rStyle w:val="IntenseQuoteChar"/>
          <w:rFonts w:asciiTheme="majorBidi" w:hAnsiTheme="majorBidi" w:cstheme="majorBidi"/>
          <w:bCs/>
          <w:i w:val="0"/>
          <w:iCs w:val="0"/>
          <w:color w:val="auto"/>
        </w:rPr>
      </w:pPr>
      <w:r w:rsidRPr="00A95C35">
        <w:rPr>
          <w:rStyle w:val="IntenseQuoteChar"/>
          <w:rFonts w:asciiTheme="majorBidi" w:hAnsiTheme="majorBidi" w:cstheme="majorBidi"/>
          <w:b/>
          <w:bCs/>
          <w:color w:val="auto"/>
        </w:rPr>
        <w:t>Incentive boosts (phases 3 and 4).</w:t>
      </w:r>
      <w:r w:rsidRPr="00A95C35">
        <w:rPr>
          <w:rStyle w:val="IntenseQuoteChar"/>
          <w:rFonts w:asciiTheme="majorBidi" w:hAnsiTheme="majorBidi" w:cstheme="majorBidi"/>
          <w:bCs/>
          <w:color w:val="auto"/>
        </w:rPr>
        <w:t xml:space="preserve"> P</w:t>
      </w:r>
      <w:r w:rsidRPr="00A95C35">
        <w:rPr>
          <w:rFonts w:asciiTheme="majorBidi" w:hAnsiTheme="majorBidi" w:cstheme="majorBidi"/>
          <w:bCs/>
        </w:rPr>
        <w:t xml:space="preserve">hases 3 and 4 introduce the use of responsive design with the bias likelihood model. Targeted cases will be offered an incentive boost in addition to the baseline incentive offer. </w:t>
      </w:r>
      <w:r w:rsidRPr="00A95C35">
        <w:rPr>
          <w:rStyle w:val="IntenseQuoteChar"/>
          <w:rFonts w:asciiTheme="majorBidi" w:hAnsiTheme="majorBidi" w:cstheme="majorBidi"/>
          <w:bCs/>
          <w:color w:val="auto"/>
        </w:rPr>
        <w:t>The calibration samples will allow for testing of incentive boost amounts on a subset of the remaining nonrespondents in phases 3 and 4, and the results will inform the incentive boost implementation plan for the main samples. Prior to the start of the main sample data collection for phases 3 and 4, calibration sample response rates will be evaluated. An ANOVA-based model will be used to perform pairwise contrasts between the different incentive boost amounts offered to the treatment and control groups in each phase. NCES and OMB will meet to review the results of the calibration experiment and determine the optimal incentive boost amount for each of the subgroups.</w:t>
      </w:r>
    </w:p>
    <w:p w14:paraId="22EB446A" w14:textId="77777777" w:rsidR="00D3014C" w:rsidRPr="00A95C35" w:rsidRDefault="00D3014C" w:rsidP="00D3014C">
      <w:pPr>
        <w:pStyle w:val="bodytextpsg"/>
        <w:numPr>
          <w:ilvl w:val="0"/>
          <w:numId w:val="16"/>
        </w:numPr>
        <w:spacing w:after="120" w:line="23" w:lineRule="atLeast"/>
        <w:ind w:left="450"/>
        <w:rPr>
          <w:rStyle w:val="IntenseQuoteChar"/>
          <w:rFonts w:asciiTheme="majorBidi" w:hAnsiTheme="majorBidi" w:cstheme="majorBidi"/>
          <w:bCs/>
          <w:i w:val="0"/>
          <w:iCs w:val="0"/>
          <w:color w:val="auto"/>
        </w:rPr>
      </w:pPr>
      <w:r w:rsidRPr="00A95C35">
        <w:rPr>
          <w:rStyle w:val="IntenseQuoteChar"/>
          <w:rFonts w:asciiTheme="majorBidi" w:hAnsiTheme="majorBidi" w:cstheme="majorBidi"/>
          <w:bCs/>
          <w:color w:val="auto"/>
        </w:rPr>
        <w:t>Subgroup 1 (high school late/alternative/non-completers) will be offered an incentive boost of either $15 or $25, on top of the baseline incentive they were offered in phase 1. The optimal amount (to be determined in consultation with OMB) based on the calibration sample results, will be offered to all remaining nonrespondents in subgroup 1.</w:t>
      </w:r>
    </w:p>
    <w:p w14:paraId="36AC6D47" w14:textId="77777777" w:rsidR="00D3014C" w:rsidRPr="00A95C35" w:rsidRDefault="00D3014C" w:rsidP="00D3014C">
      <w:pPr>
        <w:pStyle w:val="bodytextpsg"/>
        <w:numPr>
          <w:ilvl w:val="0"/>
          <w:numId w:val="16"/>
        </w:numPr>
        <w:spacing w:after="120" w:line="23" w:lineRule="atLeast"/>
        <w:ind w:left="450"/>
        <w:rPr>
          <w:rStyle w:val="IntenseQuoteChar"/>
          <w:rFonts w:asciiTheme="majorBidi" w:hAnsiTheme="majorBidi" w:cstheme="majorBidi"/>
          <w:bCs/>
          <w:i w:val="0"/>
          <w:iCs w:val="0"/>
          <w:color w:val="auto"/>
        </w:rPr>
      </w:pPr>
      <w:r w:rsidRPr="00A95C35">
        <w:rPr>
          <w:rStyle w:val="IntenseQuoteChar"/>
          <w:rFonts w:asciiTheme="majorBidi" w:hAnsiTheme="majorBidi" w:cstheme="majorBidi"/>
          <w:bCs/>
          <w:color w:val="auto"/>
        </w:rPr>
        <w:t>The subset of subgroup 2 (ultra-cooperative respondents) cases that are targeted for intervention, based on bias likelihood modeling, will be offered an incentive boost of either $10 or $20, and the optimal amount (to be determined in consultation with OMB) will be offered only to targeted cases among the remaining subgroup 2 nonrespondents.</w:t>
      </w:r>
    </w:p>
    <w:p w14:paraId="0FE8FD4F" w14:textId="77777777" w:rsidR="00D3014C" w:rsidRPr="00A95C35" w:rsidRDefault="00D3014C" w:rsidP="00D3014C">
      <w:pPr>
        <w:pStyle w:val="bodytextpsg"/>
        <w:numPr>
          <w:ilvl w:val="0"/>
          <w:numId w:val="16"/>
        </w:numPr>
        <w:spacing w:after="120" w:line="23" w:lineRule="atLeast"/>
        <w:ind w:left="450"/>
      </w:pPr>
      <w:r w:rsidRPr="00A95C35">
        <w:rPr>
          <w:rStyle w:val="IntenseQuoteChar"/>
          <w:rFonts w:asciiTheme="majorBidi" w:hAnsiTheme="majorBidi" w:cstheme="majorBidi"/>
          <w:bCs/>
          <w:color w:val="auto"/>
        </w:rPr>
        <w:t>The subset of subgroup 3 (high school completers and unknowns) cases that are targeted for intervention, based on bias likelihood modeling, will be offered an incentive boost of either $10 or $20, and the optimal amount (to be determined in consultation with OMB) will be offered only to targeted cases among the remaining subgroup 3 nonrespondents.</w:t>
      </w:r>
    </w:p>
    <w:p w14:paraId="0AA0F78D" w14:textId="77777777" w:rsidR="00AE4148" w:rsidRPr="00A95C35" w:rsidRDefault="00AE4148">
      <w:pPr>
        <w:rPr>
          <w:b/>
          <w:szCs w:val="20"/>
        </w:rPr>
      </w:pPr>
      <w:bookmarkStart w:id="5" w:name="_Toc433779240"/>
      <w:r w:rsidRPr="00A95C35">
        <w:br w:type="page"/>
      </w:r>
    </w:p>
    <w:p w14:paraId="784A823C" w14:textId="7C98BD3E" w:rsidR="00D3014C" w:rsidRPr="00A95C35" w:rsidRDefault="00D3014C" w:rsidP="00D3014C">
      <w:pPr>
        <w:pStyle w:val="ExhibitTitle"/>
        <w:spacing w:line="23" w:lineRule="atLeast"/>
      </w:pPr>
      <w:r w:rsidRPr="00A95C35">
        <w:lastRenderedPageBreak/>
        <w:t>Exhibit B-9. Main study baseline and incentive boost experiments</w:t>
      </w:r>
      <w:bookmarkEnd w:id="5"/>
    </w:p>
    <w:tbl>
      <w:tblPr>
        <w:tblStyle w:val="TableGrid"/>
        <w:tblW w:w="5000" w:type="pct"/>
        <w:tblLayout w:type="fixed"/>
        <w:tblLook w:val="04A0" w:firstRow="1" w:lastRow="0" w:firstColumn="1" w:lastColumn="0" w:noHBand="0" w:noVBand="1"/>
      </w:tblPr>
      <w:tblGrid>
        <w:gridCol w:w="2027"/>
        <w:gridCol w:w="3649"/>
        <w:gridCol w:w="1094"/>
        <w:gridCol w:w="1907"/>
        <w:gridCol w:w="1907"/>
      </w:tblGrid>
      <w:tr w:rsidR="00F11A5F" w:rsidRPr="00A95C35" w14:paraId="44FC6DED" w14:textId="77777777" w:rsidTr="00C55CAB">
        <w:trPr>
          <w:trHeight w:val="300"/>
          <w:tblHeader/>
        </w:trPr>
        <w:tc>
          <w:tcPr>
            <w:tcW w:w="957" w:type="pct"/>
            <w:shd w:val="clear" w:color="auto" w:fill="D9D9D9" w:themeFill="background1" w:themeFillShade="D9"/>
            <w:hideMark/>
          </w:tcPr>
          <w:p w14:paraId="5D731D06" w14:textId="77777777" w:rsidR="00D3014C" w:rsidRPr="00A95C35" w:rsidRDefault="00D3014C" w:rsidP="00C55CAB">
            <w:pPr>
              <w:pStyle w:val="bodytextpsg"/>
              <w:spacing w:after="0" w:line="23" w:lineRule="atLeast"/>
              <w:rPr>
                <w:rFonts w:ascii="Arial" w:hAnsi="Arial"/>
                <w:b/>
                <w:bCs/>
                <w:sz w:val="20"/>
                <w:szCs w:val="20"/>
              </w:rPr>
            </w:pPr>
          </w:p>
        </w:tc>
        <w:tc>
          <w:tcPr>
            <w:tcW w:w="1724" w:type="pct"/>
            <w:shd w:val="clear" w:color="auto" w:fill="D9D9D9" w:themeFill="background1" w:themeFillShade="D9"/>
            <w:vAlign w:val="center"/>
            <w:hideMark/>
          </w:tcPr>
          <w:p w14:paraId="242D584E" w14:textId="77777777" w:rsidR="00D3014C" w:rsidRPr="00A95C35" w:rsidRDefault="00D3014C" w:rsidP="00C55CAB">
            <w:pPr>
              <w:pStyle w:val="bodytextpsg"/>
              <w:spacing w:after="0" w:line="23" w:lineRule="atLeast"/>
              <w:rPr>
                <w:rFonts w:ascii="Arial" w:hAnsi="Arial"/>
                <w:b/>
                <w:bCs/>
                <w:sz w:val="20"/>
                <w:szCs w:val="20"/>
              </w:rPr>
            </w:pPr>
            <w:r w:rsidRPr="00A95C35">
              <w:rPr>
                <w:rFonts w:ascii="Arial" w:hAnsi="Arial"/>
                <w:b/>
                <w:bCs/>
                <w:sz w:val="20"/>
                <w:szCs w:val="20"/>
              </w:rPr>
              <w:t>Incentive Phase</w:t>
            </w:r>
          </w:p>
        </w:tc>
        <w:tc>
          <w:tcPr>
            <w:tcW w:w="517" w:type="pct"/>
            <w:shd w:val="clear" w:color="auto" w:fill="D9D9D9" w:themeFill="background1" w:themeFillShade="D9"/>
            <w:vAlign w:val="center"/>
            <w:hideMark/>
          </w:tcPr>
          <w:p w14:paraId="7AA17C1A" w14:textId="77777777" w:rsidR="00D3014C" w:rsidRPr="00A95C35" w:rsidRDefault="00D3014C" w:rsidP="00C55CAB">
            <w:pPr>
              <w:pStyle w:val="bodytextpsg"/>
              <w:spacing w:after="0" w:line="23" w:lineRule="atLeast"/>
              <w:jc w:val="right"/>
              <w:rPr>
                <w:rFonts w:ascii="Arial" w:hAnsi="Arial"/>
                <w:b/>
                <w:bCs/>
                <w:sz w:val="20"/>
                <w:szCs w:val="20"/>
              </w:rPr>
            </w:pPr>
            <w:r w:rsidRPr="00A95C35">
              <w:rPr>
                <w:rFonts w:ascii="Arial" w:hAnsi="Arial"/>
                <w:b/>
                <w:bCs/>
                <w:sz w:val="20"/>
                <w:szCs w:val="20"/>
              </w:rPr>
              <w:t>Amount</w:t>
            </w:r>
          </w:p>
        </w:tc>
        <w:tc>
          <w:tcPr>
            <w:tcW w:w="901" w:type="pct"/>
            <w:shd w:val="clear" w:color="auto" w:fill="D9D9D9" w:themeFill="background1" w:themeFillShade="D9"/>
            <w:vAlign w:val="center"/>
            <w:hideMark/>
          </w:tcPr>
          <w:p w14:paraId="2022F47F" w14:textId="77777777" w:rsidR="00D3014C" w:rsidRPr="00A95C35" w:rsidRDefault="00D3014C" w:rsidP="00C55CAB">
            <w:pPr>
              <w:pStyle w:val="bodytextpsg"/>
              <w:spacing w:after="0" w:line="23" w:lineRule="atLeast"/>
              <w:jc w:val="right"/>
              <w:rPr>
                <w:rFonts w:ascii="Arial" w:hAnsi="Arial"/>
                <w:b/>
                <w:bCs/>
                <w:sz w:val="20"/>
                <w:szCs w:val="20"/>
              </w:rPr>
            </w:pPr>
            <w:r w:rsidRPr="00A95C35">
              <w:rPr>
                <w:rFonts w:ascii="Arial" w:hAnsi="Arial"/>
                <w:b/>
                <w:bCs/>
                <w:sz w:val="20"/>
                <w:szCs w:val="20"/>
              </w:rPr>
              <w:t>Total Cumulative Incentives Offered</w:t>
            </w:r>
          </w:p>
        </w:tc>
        <w:tc>
          <w:tcPr>
            <w:tcW w:w="901" w:type="pct"/>
            <w:shd w:val="clear" w:color="auto" w:fill="D9D9D9" w:themeFill="background1" w:themeFillShade="D9"/>
            <w:vAlign w:val="center"/>
            <w:hideMark/>
          </w:tcPr>
          <w:p w14:paraId="780A7A22" w14:textId="77777777" w:rsidR="00D3014C" w:rsidRPr="00A95C35" w:rsidRDefault="00D3014C" w:rsidP="00C55CAB">
            <w:pPr>
              <w:pStyle w:val="bodytextpsg"/>
              <w:spacing w:after="0" w:line="23" w:lineRule="atLeast"/>
              <w:jc w:val="right"/>
              <w:rPr>
                <w:rFonts w:ascii="Arial" w:hAnsi="Arial"/>
                <w:b/>
                <w:bCs/>
                <w:sz w:val="20"/>
                <w:szCs w:val="20"/>
              </w:rPr>
            </w:pPr>
            <w:r w:rsidRPr="00A95C35">
              <w:rPr>
                <w:rFonts w:ascii="Arial" w:hAnsi="Arial"/>
                <w:b/>
                <w:bCs/>
                <w:sz w:val="20"/>
                <w:szCs w:val="20"/>
              </w:rPr>
              <w:t>Estimated Number of Cases to be Worked</w:t>
            </w:r>
          </w:p>
        </w:tc>
      </w:tr>
      <w:tr w:rsidR="00F11A5F" w:rsidRPr="00A95C35" w14:paraId="28EDEF3C" w14:textId="77777777" w:rsidTr="00C55CAB">
        <w:trPr>
          <w:trHeight w:val="300"/>
        </w:trPr>
        <w:tc>
          <w:tcPr>
            <w:tcW w:w="957" w:type="pct"/>
            <w:vMerge w:val="restart"/>
            <w:vAlign w:val="center"/>
            <w:hideMark/>
          </w:tcPr>
          <w:p w14:paraId="2311F571" w14:textId="77777777" w:rsidR="00D3014C" w:rsidRPr="00A95C35" w:rsidRDefault="00D3014C" w:rsidP="00C55CAB">
            <w:pPr>
              <w:pStyle w:val="bodytextpsg"/>
              <w:spacing w:after="0" w:line="23" w:lineRule="atLeast"/>
              <w:rPr>
                <w:rFonts w:ascii="Arial" w:hAnsi="Arial"/>
                <w:b/>
                <w:bCs/>
                <w:sz w:val="20"/>
                <w:szCs w:val="20"/>
              </w:rPr>
            </w:pPr>
            <w:r w:rsidRPr="00A95C35">
              <w:rPr>
                <w:rFonts w:ascii="Arial" w:hAnsi="Arial"/>
                <w:b/>
                <w:bCs/>
                <w:sz w:val="20"/>
                <w:szCs w:val="20"/>
              </w:rPr>
              <w:t>High School Late/Alternative/Non-Completers</w:t>
            </w:r>
          </w:p>
        </w:tc>
        <w:tc>
          <w:tcPr>
            <w:tcW w:w="1724" w:type="pct"/>
            <w:hideMark/>
          </w:tcPr>
          <w:p w14:paraId="0301A973" w14:textId="77777777" w:rsidR="00D3014C" w:rsidRPr="00A95C35" w:rsidRDefault="00D3014C" w:rsidP="00C55CAB">
            <w:pPr>
              <w:pStyle w:val="bodytextpsg"/>
              <w:spacing w:after="0" w:line="23" w:lineRule="atLeast"/>
              <w:rPr>
                <w:rFonts w:ascii="Arial" w:hAnsi="Arial"/>
                <w:sz w:val="20"/>
                <w:szCs w:val="20"/>
              </w:rPr>
            </w:pPr>
            <w:r w:rsidRPr="00A95C35">
              <w:rPr>
                <w:rFonts w:ascii="Arial" w:hAnsi="Arial"/>
                <w:sz w:val="20"/>
                <w:szCs w:val="20"/>
              </w:rPr>
              <w:t xml:space="preserve">Base Incentive </w:t>
            </w:r>
          </w:p>
        </w:tc>
        <w:tc>
          <w:tcPr>
            <w:tcW w:w="517" w:type="pct"/>
            <w:hideMark/>
          </w:tcPr>
          <w:p w14:paraId="71CE597F"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$30 </w:t>
            </w:r>
          </w:p>
        </w:tc>
        <w:tc>
          <w:tcPr>
            <w:tcW w:w="901" w:type="pct"/>
            <w:vMerge w:val="restart"/>
            <w:hideMark/>
          </w:tcPr>
          <w:p w14:paraId="144C4A3D"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$30 to $50</w:t>
            </w:r>
          </w:p>
        </w:tc>
        <w:tc>
          <w:tcPr>
            <w:tcW w:w="901" w:type="pct"/>
            <w:hideMark/>
          </w:tcPr>
          <w:p w14:paraId="4DC8BC55"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170</w:t>
            </w:r>
          </w:p>
        </w:tc>
      </w:tr>
      <w:tr w:rsidR="00F11A5F" w:rsidRPr="00A95C35" w14:paraId="27650603" w14:textId="77777777" w:rsidTr="00C55CAB">
        <w:trPr>
          <w:trHeight w:val="300"/>
        </w:trPr>
        <w:tc>
          <w:tcPr>
            <w:tcW w:w="957" w:type="pct"/>
            <w:vMerge/>
            <w:vAlign w:val="center"/>
            <w:hideMark/>
          </w:tcPr>
          <w:p w14:paraId="4AFF88EB" w14:textId="77777777" w:rsidR="00D3014C" w:rsidRPr="00A95C35" w:rsidRDefault="00D3014C" w:rsidP="00C55CAB">
            <w:pPr>
              <w:pStyle w:val="bodytextpsg"/>
              <w:spacing w:after="0" w:line="23" w:lineRule="atLeast"/>
              <w:rPr>
                <w:rFonts w:ascii="Arial" w:hAnsi="Arial"/>
                <w:b/>
                <w:bCs/>
                <w:sz w:val="20"/>
                <w:szCs w:val="20"/>
              </w:rPr>
            </w:pPr>
          </w:p>
        </w:tc>
        <w:tc>
          <w:tcPr>
            <w:tcW w:w="1724" w:type="pct"/>
            <w:hideMark/>
          </w:tcPr>
          <w:p w14:paraId="48347B15" w14:textId="77777777" w:rsidR="00D3014C" w:rsidRPr="00A95C35" w:rsidRDefault="00D3014C" w:rsidP="00C55CAB">
            <w:pPr>
              <w:pStyle w:val="bodytextpsg"/>
              <w:spacing w:after="0" w:line="23" w:lineRule="atLeast"/>
              <w:rPr>
                <w:rFonts w:ascii="Arial" w:hAnsi="Arial"/>
                <w:sz w:val="20"/>
                <w:szCs w:val="20"/>
              </w:rPr>
            </w:pPr>
            <w:r w:rsidRPr="00A95C35">
              <w:rPr>
                <w:rFonts w:ascii="Arial" w:hAnsi="Arial"/>
                <w:sz w:val="20"/>
                <w:szCs w:val="20"/>
              </w:rPr>
              <w:t>(all calibration sample cases)</w:t>
            </w:r>
          </w:p>
        </w:tc>
        <w:tc>
          <w:tcPr>
            <w:tcW w:w="517" w:type="pct"/>
            <w:hideMark/>
          </w:tcPr>
          <w:p w14:paraId="2062BB0F"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$40 </w:t>
            </w:r>
          </w:p>
        </w:tc>
        <w:tc>
          <w:tcPr>
            <w:tcW w:w="901" w:type="pct"/>
            <w:vMerge/>
            <w:hideMark/>
          </w:tcPr>
          <w:p w14:paraId="06AEED8B" w14:textId="77777777" w:rsidR="00D3014C" w:rsidRPr="00A95C35" w:rsidRDefault="00D3014C" w:rsidP="00C55CAB">
            <w:pPr>
              <w:pStyle w:val="bodytextpsg"/>
              <w:spacing w:after="0" w:line="23" w:lineRule="atLeast"/>
              <w:jc w:val="right"/>
              <w:rPr>
                <w:rFonts w:ascii="Arial" w:hAnsi="Arial"/>
                <w:sz w:val="20"/>
                <w:szCs w:val="20"/>
              </w:rPr>
            </w:pPr>
          </w:p>
        </w:tc>
        <w:tc>
          <w:tcPr>
            <w:tcW w:w="901" w:type="pct"/>
            <w:hideMark/>
          </w:tcPr>
          <w:p w14:paraId="7FDB9EB8"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170</w:t>
            </w:r>
          </w:p>
        </w:tc>
      </w:tr>
      <w:tr w:rsidR="00F11A5F" w:rsidRPr="00A95C35" w14:paraId="2F4AF524" w14:textId="77777777" w:rsidTr="00C55CAB">
        <w:trPr>
          <w:trHeight w:val="300"/>
        </w:trPr>
        <w:tc>
          <w:tcPr>
            <w:tcW w:w="957" w:type="pct"/>
            <w:vMerge/>
            <w:vAlign w:val="center"/>
            <w:hideMark/>
          </w:tcPr>
          <w:p w14:paraId="69A45CA8" w14:textId="77777777" w:rsidR="00D3014C" w:rsidRPr="00A95C35" w:rsidRDefault="00D3014C" w:rsidP="00C55CAB">
            <w:pPr>
              <w:pStyle w:val="bodytextpsg"/>
              <w:spacing w:after="0" w:line="23" w:lineRule="atLeast"/>
              <w:rPr>
                <w:rFonts w:ascii="Arial" w:hAnsi="Arial"/>
                <w:b/>
                <w:bCs/>
                <w:sz w:val="20"/>
                <w:szCs w:val="20"/>
              </w:rPr>
            </w:pPr>
          </w:p>
        </w:tc>
        <w:tc>
          <w:tcPr>
            <w:tcW w:w="1724" w:type="pct"/>
            <w:hideMark/>
          </w:tcPr>
          <w:p w14:paraId="61838261" w14:textId="77777777" w:rsidR="00D3014C" w:rsidRPr="00A95C35" w:rsidRDefault="00D3014C" w:rsidP="00C55CAB">
            <w:pPr>
              <w:pStyle w:val="bodytextpsg"/>
              <w:spacing w:after="0" w:line="23" w:lineRule="atLeast"/>
              <w:rPr>
                <w:rFonts w:ascii="Arial" w:hAnsi="Arial"/>
                <w:sz w:val="20"/>
                <w:szCs w:val="20"/>
              </w:rPr>
            </w:pPr>
            <w:r w:rsidRPr="00A95C35">
              <w:rPr>
                <w:rFonts w:ascii="Arial" w:hAnsi="Arial"/>
                <w:sz w:val="20"/>
                <w:szCs w:val="20"/>
              </w:rPr>
              <w:t> </w:t>
            </w:r>
          </w:p>
        </w:tc>
        <w:tc>
          <w:tcPr>
            <w:tcW w:w="517" w:type="pct"/>
            <w:hideMark/>
          </w:tcPr>
          <w:p w14:paraId="0D2DABEB"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$50 </w:t>
            </w:r>
          </w:p>
        </w:tc>
        <w:tc>
          <w:tcPr>
            <w:tcW w:w="901" w:type="pct"/>
            <w:vMerge/>
            <w:hideMark/>
          </w:tcPr>
          <w:p w14:paraId="2C290055" w14:textId="77777777" w:rsidR="00D3014C" w:rsidRPr="00A95C35" w:rsidRDefault="00D3014C" w:rsidP="00C55CAB">
            <w:pPr>
              <w:pStyle w:val="bodytextpsg"/>
              <w:spacing w:after="0" w:line="23" w:lineRule="atLeast"/>
              <w:jc w:val="right"/>
              <w:rPr>
                <w:rFonts w:ascii="Arial" w:hAnsi="Arial"/>
                <w:sz w:val="20"/>
                <w:szCs w:val="20"/>
              </w:rPr>
            </w:pPr>
          </w:p>
        </w:tc>
        <w:tc>
          <w:tcPr>
            <w:tcW w:w="901" w:type="pct"/>
            <w:hideMark/>
          </w:tcPr>
          <w:p w14:paraId="3BFE8BEE"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169</w:t>
            </w:r>
          </w:p>
        </w:tc>
      </w:tr>
      <w:tr w:rsidR="00F11A5F" w:rsidRPr="00A95C35" w14:paraId="71840D92" w14:textId="77777777" w:rsidTr="00C55CAB">
        <w:trPr>
          <w:trHeight w:val="300"/>
        </w:trPr>
        <w:tc>
          <w:tcPr>
            <w:tcW w:w="957" w:type="pct"/>
            <w:vMerge/>
            <w:vAlign w:val="center"/>
            <w:hideMark/>
          </w:tcPr>
          <w:p w14:paraId="69AB2B16" w14:textId="77777777" w:rsidR="00D3014C" w:rsidRPr="00A95C35" w:rsidRDefault="00D3014C" w:rsidP="00C55CAB">
            <w:pPr>
              <w:pStyle w:val="bodytextpsg"/>
              <w:spacing w:after="0" w:line="23" w:lineRule="atLeast"/>
              <w:rPr>
                <w:rFonts w:ascii="Arial" w:hAnsi="Arial"/>
                <w:b/>
                <w:bCs/>
                <w:sz w:val="20"/>
                <w:szCs w:val="20"/>
              </w:rPr>
            </w:pPr>
          </w:p>
        </w:tc>
        <w:tc>
          <w:tcPr>
            <w:tcW w:w="1724" w:type="pct"/>
            <w:vMerge w:val="restart"/>
            <w:hideMark/>
          </w:tcPr>
          <w:p w14:paraId="66A0CFFE" w14:textId="77777777" w:rsidR="00D3014C" w:rsidRPr="00A95C35" w:rsidRDefault="00D3014C" w:rsidP="00C55CAB">
            <w:pPr>
              <w:pStyle w:val="bodytextpsg"/>
              <w:spacing w:after="0" w:line="23" w:lineRule="atLeast"/>
              <w:rPr>
                <w:rFonts w:ascii="Arial" w:hAnsi="Arial"/>
                <w:sz w:val="20"/>
                <w:szCs w:val="20"/>
              </w:rPr>
            </w:pPr>
            <w:r w:rsidRPr="00A95C35">
              <w:rPr>
                <w:rFonts w:ascii="Arial" w:hAnsi="Arial"/>
                <w:sz w:val="20"/>
                <w:szCs w:val="20"/>
              </w:rPr>
              <w:t>Boost 1 (all remaining calibration sample nonrespondents)</w:t>
            </w:r>
          </w:p>
        </w:tc>
        <w:tc>
          <w:tcPr>
            <w:tcW w:w="517" w:type="pct"/>
            <w:hideMark/>
          </w:tcPr>
          <w:p w14:paraId="42583DC8"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$15 </w:t>
            </w:r>
          </w:p>
        </w:tc>
        <w:tc>
          <w:tcPr>
            <w:tcW w:w="901" w:type="pct"/>
            <w:vMerge w:val="restart"/>
            <w:hideMark/>
          </w:tcPr>
          <w:p w14:paraId="4E46FAD2"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$45 to $75</w:t>
            </w:r>
          </w:p>
        </w:tc>
        <w:tc>
          <w:tcPr>
            <w:tcW w:w="901" w:type="pct"/>
            <w:hideMark/>
          </w:tcPr>
          <w:p w14:paraId="141129FA"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158</w:t>
            </w:r>
          </w:p>
        </w:tc>
      </w:tr>
      <w:tr w:rsidR="00F11A5F" w:rsidRPr="00A95C35" w14:paraId="79F894B9" w14:textId="77777777" w:rsidTr="00C55CAB">
        <w:trPr>
          <w:trHeight w:val="300"/>
        </w:trPr>
        <w:tc>
          <w:tcPr>
            <w:tcW w:w="957" w:type="pct"/>
            <w:vMerge/>
            <w:vAlign w:val="center"/>
            <w:hideMark/>
          </w:tcPr>
          <w:p w14:paraId="72098B41" w14:textId="77777777" w:rsidR="00D3014C" w:rsidRPr="00A95C35" w:rsidRDefault="00D3014C" w:rsidP="00C55CAB">
            <w:pPr>
              <w:pStyle w:val="bodytextpsg"/>
              <w:spacing w:after="0" w:line="23" w:lineRule="atLeast"/>
              <w:rPr>
                <w:rFonts w:ascii="Arial" w:hAnsi="Arial"/>
                <w:b/>
                <w:bCs/>
                <w:sz w:val="20"/>
                <w:szCs w:val="20"/>
              </w:rPr>
            </w:pPr>
          </w:p>
        </w:tc>
        <w:tc>
          <w:tcPr>
            <w:tcW w:w="1724" w:type="pct"/>
            <w:vMerge/>
            <w:hideMark/>
          </w:tcPr>
          <w:p w14:paraId="73302822" w14:textId="77777777" w:rsidR="00D3014C" w:rsidRPr="00A95C35" w:rsidRDefault="00D3014C" w:rsidP="00C55CAB">
            <w:pPr>
              <w:pStyle w:val="bodytextpsg"/>
              <w:spacing w:after="0" w:line="23" w:lineRule="atLeast"/>
              <w:rPr>
                <w:rFonts w:ascii="Arial" w:hAnsi="Arial"/>
                <w:sz w:val="20"/>
                <w:szCs w:val="20"/>
              </w:rPr>
            </w:pPr>
          </w:p>
        </w:tc>
        <w:tc>
          <w:tcPr>
            <w:tcW w:w="517" w:type="pct"/>
            <w:hideMark/>
          </w:tcPr>
          <w:p w14:paraId="1980935F"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$25 </w:t>
            </w:r>
          </w:p>
        </w:tc>
        <w:tc>
          <w:tcPr>
            <w:tcW w:w="901" w:type="pct"/>
            <w:vMerge/>
            <w:hideMark/>
          </w:tcPr>
          <w:p w14:paraId="74A25017" w14:textId="77777777" w:rsidR="00D3014C" w:rsidRPr="00A95C35" w:rsidRDefault="00D3014C" w:rsidP="00C55CAB">
            <w:pPr>
              <w:pStyle w:val="bodytextpsg"/>
              <w:spacing w:after="0" w:line="23" w:lineRule="atLeast"/>
              <w:jc w:val="right"/>
              <w:rPr>
                <w:rFonts w:ascii="Arial" w:hAnsi="Arial"/>
                <w:sz w:val="20"/>
                <w:szCs w:val="20"/>
              </w:rPr>
            </w:pPr>
          </w:p>
        </w:tc>
        <w:tc>
          <w:tcPr>
            <w:tcW w:w="901" w:type="pct"/>
            <w:hideMark/>
          </w:tcPr>
          <w:p w14:paraId="11E7857C"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158</w:t>
            </w:r>
          </w:p>
        </w:tc>
      </w:tr>
      <w:tr w:rsidR="00F11A5F" w:rsidRPr="00A95C35" w14:paraId="64896B21" w14:textId="77777777" w:rsidTr="00C55CAB">
        <w:trPr>
          <w:trHeight w:val="300"/>
        </w:trPr>
        <w:tc>
          <w:tcPr>
            <w:tcW w:w="957" w:type="pct"/>
            <w:vMerge/>
            <w:vAlign w:val="center"/>
            <w:hideMark/>
          </w:tcPr>
          <w:p w14:paraId="506E83A1" w14:textId="77777777" w:rsidR="00D3014C" w:rsidRPr="00A95C35" w:rsidRDefault="00D3014C" w:rsidP="00C55CAB">
            <w:pPr>
              <w:pStyle w:val="bodytextpsg"/>
              <w:spacing w:after="0" w:line="23" w:lineRule="atLeast"/>
              <w:rPr>
                <w:rFonts w:ascii="Arial" w:hAnsi="Arial"/>
                <w:b/>
                <w:bCs/>
                <w:sz w:val="20"/>
                <w:szCs w:val="20"/>
              </w:rPr>
            </w:pPr>
          </w:p>
        </w:tc>
        <w:tc>
          <w:tcPr>
            <w:tcW w:w="1724" w:type="pct"/>
            <w:vMerge w:val="restart"/>
            <w:hideMark/>
          </w:tcPr>
          <w:p w14:paraId="3ABC8C3C" w14:textId="77777777" w:rsidR="00D3014C" w:rsidRPr="00A95C35" w:rsidRDefault="00D3014C" w:rsidP="00C55CAB">
            <w:pPr>
              <w:pStyle w:val="bodytextpsg"/>
              <w:spacing w:after="0" w:line="23" w:lineRule="atLeast"/>
              <w:rPr>
                <w:rFonts w:ascii="Arial" w:hAnsi="Arial"/>
                <w:sz w:val="20"/>
                <w:szCs w:val="20"/>
              </w:rPr>
            </w:pPr>
            <w:r w:rsidRPr="00A95C35">
              <w:rPr>
                <w:rFonts w:ascii="Arial" w:hAnsi="Arial"/>
                <w:sz w:val="20"/>
                <w:szCs w:val="20"/>
              </w:rPr>
              <w:t>Boost 2 (all remaining calibration sample nonrespondents)</w:t>
            </w:r>
          </w:p>
        </w:tc>
        <w:tc>
          <w:tcPr>
            <w:tcW w:w="517" w:type="pct"/>
            <w:hideMark/>
          </w:tcPr>
          <w:p w14:paraId="6E5C9DFB"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$10 </w:t>
            </w:r>
          </w:p>
        </w:tc>
        <w:tc>
          <w:tcPr>
            <w:tcW w:w="901" w:type="pct"/>
            <w:vMerge w:val="restart"/>
            <w:hideMark/>
          </w:tcPr>
          <w:p w14:paraId="72258B42"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$55 to $95</w:t>
            </w:r>
          </w:p>
        </w:tc>
        <w:tc>
          <w:tcPr>
            <w:tcW w:w="901" w:type="pct"/>
            <w:hideMark/>
          </w:tcPr>
          <w:p w14:paraId="255C6488"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102</w:t>
            </w:r>
          </w:p>
        </w:tc>
      </w:tr>
      <w:tr w:rsidR="00F11A5F" w:rsidRPr="00A95C35" w14:paraId="244E6AF4" w14:textId="77777777" w:rsidTr="00C55CAB">
        <w:trPr>
          <w:trHeight w:val="300"/>
        </w:trPr>
        <w:tc>
          <w:tcPr>
            <w:tcW w:w="957" w:type="pct"/>
            <w:vMerge/>
            <w:vAlign w:val="center"/>
            <w:hideMark/>
          </w:tcPr>
          <w:p w14:paraId="06DFB3E6" w14:textId="77777777" w:rsidR="00D3014C" w:rsidRPr="00A95C35" w:rsidRDefault="00D3014C" w:rsidP="00C55CAB">
            <w:pPr>
              <w:pStyle w:val="bodytextpsg"/>
              <w:spacing w:after="0" w:line="23" w:lineRule="atLeast"/>
              <w:rPr>
                <w:rFonts w:ascii="Arial" w:hAnsi="Arial"/>
                <w:b/>
                <w:bCs/>
                <w:sz w:val="20"/>
                <w:szCs w:val="20"/>
              </w:rPr>
            </w:pPr>
          </w:p>
        </w:tc>
        <w:tc>
          <w:tcPr>
            <w:tcW w:w="1724" w:type="pct"/>
            <w:vMerge/>
            <w:hideMark/>
          </w:tcPr>
          <w:p w14:paraId="4F05290A" w14:textId="77777777" w:rsidR="00D3014C" w:rsidRPr="00A95C35" w:rsidRDefault="00D3014C" w:rsidP="00C55CAB">
            <w:pPr>
              <w:pStyle w:val="bodytextpsg"/>
              <w:spacing w:after="0" w:line="23" w:lineRule="atLeast"/>
              <w:rPr>
                <w:rFonts w:ascii="Arial" w:hAnsi="Arial"/>
                <w:sz w:val="20"/>
                <w:szCs w:val="20"/>
              </w:rPr>
            </w:pPr>
          </w:p>
        </w:tc>
        <w:tc>
          <w:tcPr>
            <w:tcW w:w="517" w:type="pct"/>
            <w:hideMark/>
          </w:tcPr>
          <w:p w14:paraId="14043E1A"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$20 </w:t>
            </w:r>
          </w:p>
        </w:tc>
        <w:tc>
          <w:tcPr>
            <w:tcW w:w="901" w:type="pct"/>
            <w:vMerge/>
            <w:hideMark/>
          </w:tcPr>
          <w:p w14:paraId="01CF1A48" w14:textId="77777777" w:rsidR="00D3014C" w:rsidRPr="00A95C35" w:rsidRDefault="00D3014C" w:rsidP="00C55CAB">
            <w:pPr>
              <w:pStyle w:val="bodytextpsg"/>
              <w:spacing w:after="0" w:line="23" w:lineRule="atLeast"/>
              <w:jc w:val="right"/>
              <w:rPr>
                <w:rFonts w:ascii="Arial" w:hAnsi="Arial"/>
                <w:sz w:val="20"/>
                <w:szCs w:val="20"/>
              </w:rPr>
            </w:pPr>
          </w:p>
        </w:tc>
        <w:tc>
          <w:tcPr>
            <w:tcW w:w="901" w:type="pct"/>
            <w:hideMark/>
          </w:tcPr>
          <w:p w14:paraId="012FDD6E"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102</w:t>
            </w:r>
          </w:p>
        </w:tc>
      </w:tr>
      <w:tr w:rsidR="00F11A5F" w:rsidRPr="00A95C35" w14:paraId="794FB441" w14:textId="77777777" w:rsidTr="00C55CAB">
        <w:trPr>
          <w:trHeight w:val="300"/>
        </w:trPr>
        <w:tc>
          <w:tcPr>
            <w:tcW w:w="957" w:type="pct"/>
            <w:vMerge w:val="restart"/>
            <w:vAlign w:val="center"/>
            <w:hideMark/>
          </w:tcPr>
          <w:p w14:paraId="6F69E0A2" w14:textId="77777777" w:rsidR="00D3014C" w:rsidRPr="00A95C35" w:rsidRDefault="00D3014C" w:rsidP="00C55CAB">
            <w:pPr>
              <w:pStyle w:val="bodytextpsg"/>
              <w:spacing w:after="0" w:line="23" w:lineRule="atLeast"/>
              <w:rPr>
                <w:rFonts w:ascii="Arial" w:hAnsi="Arial"/>
                <w:b/>
                <w:bCs/>
                <w:sz w:val="20"/>
                <w:szCs w:val="20"/>
              </w:rPr>
            </w:pPr>
            <w:r w:rsidRPr="00A95C35">
              <w:rPr>
                <w:rFonts w:ascii="Arial" w:hAnsi="Arial"/>
                <w:b/>
                <w:bCs/>
                <w:sz w:val="20"/>
                <w:szCs w:val="20"/>
              </w:rPr>
              <w:t>Ultra-Cooperative Respondents</w:t>
            </w:r>
          </w:p>
        </w:tc>
        <w:tc>
          <w:tcPr>
            <w:tcW w:w="1724" w:type="pct"/>
            <w:hideMark/>
          </w:tcPr>
          <w:p w14:paraId="4BDB9748" w14:textId="77777777" w:rsidR="00D3014C" w:rsidRPr="00A95C35" w:rsidRDefault="00D3014C" w:rsidP="00C55CAB">
            <w:pPr>
              <w:pStyle w:val="bodytextpsg"/>
              <w:spacing w:after="0" w:line="23" w:lineRule="atLeast"/>
              <w:rPr>
                <w:rFonts w:ascii="Arial" w:hAnsi="Arial"/>
                <w:sz w:val="20"/>
                <w:szCs w:val="20"/>
              </w:rPr>
            </w:pPr>
            <w:r w:rsidRPr="00A95C35">
              <w:rPr>
                <w:rFonts w:ascii="Arial" w:hAnsi="Arial"/>
                <w:sz w:val="20"/>
                <w:szCs w:val="20"/>
              </w:rPr>
              <w:t>Base Incentive (all calibration sample cases)</w:t>
            </w:r>
          </w:p>
        </w:tc>
        <w:tc>
          <w:tcPr>
            <w:tcW w:w="517" w:type="pct"/>
            <w:vMerge w:val="restart"/>
            <w:hideMark/>
          </w:tcPr>
          <w:p w14:paraId="42478118"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$0</w:t>
            </w:r>
          </w:p>
        </w:tc>
        <w:tc>
          <w:tcPr>
            <w:tcW w:w="901" w:type="pct"/>
            <w:vMerge w:val="restart"/>
            <w:hideMark/>
          </w:tcPr>
          <w:p w14:paraId="4C304AB0"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$0</w:t>
            </w:r>
          </w:p>
        </w:tc>
        <w:tc>
          <w:tcPr>
            <w:tcW w:w="901" w:type="pct"/>
            <w:vMerge w:val="restart"/>
            <w:hideMark/>
          </w:tcPr>
          <w:p w14:paraId="73AE1B06"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154</w:t>
            </w:r>
          </w:p>
        </w:tc>
      </w:tr>
      <w:tr w:rsidR="00F11A5F" w:rsidRPr="00A95C35" w14:paraId="2ABFF04E" w14:textId="77777777" w:rsidTr="00C55CAB">
        <w:trPr>
          <w:trHeight w:val="300"/>
        </w:trPr>
        <w:tc>
          <w:tcPr>
            <w:tcW w:w="957" w:type="pct"/>
            <w:vMerge/>
            <w:vAlign w:val="center"/>
            <w:hideMark/>
          </w:tcPr>
          <w:p w14:paraId="01C32438" w14:textId="77777777" w:rsidR="00D3014C" w:rsidRPr="00A95C35" w:rsidRDefault="00D3014C" w:rsidP="00C55CAB">
            <w:pPr>
              <w:pStyle w:val="bodytextpsg"/>
              <w:spacing w:after="0" w:line="23" w:lineRule="atLeast"/>
              <w:rPr>
                <w:rFonts w:ascii="Arial" w:hAnsi="Arial"/>
                <w:b/>
                <w:bCs/>
                <w:sz w:val="20"/>
                <w:szCs w:val="20"/>
              </w:rPr>
            </w:pPr>
          </w:p>
        </w:tc>
        <w:tc>
          <w:tcPr>
            <w:tcW w:w="1724" w:type="pct"/>
          </w:tcPr>
          <w:p w14:paraId="36511C89" w14:textId="77777777" w:rsidR="00D3014C" w:rsidRPr="00A95C35" w:rsidRDefault="00D3014C" w:rsidP="00C55CAB">
            <w:pPr>
              <w:pStyle w:val="bodytextpsg"/>
              <w:spacing w:after="0" w:line="23" w:lineRule="atLeast"/>
              <w:rPr>
                <w:rFonts w:ascii="Arial" w:hAnsi="Arial"/>
                <w:sz w:val="20"/>
                <w:szCs w:val="20"/>
              </w:rPr>
            </w:pPr>
          </w:p>
        </w:tc>
        <w:tc>
          <w:tcPr>
            <w:tcW w:w="517" w:type="pct"/>
            <w:vMerge/>
            <w:hideMark/>
          </w:tcPr>
          <w:p w14:paraId="60C08358" w14:textId="77777777" w:rsidR="00D3014C" w:rsidRPr="00A95C35" w:rsidRDefault="00D3014C" w:rsidP="00C55CAB">
            <w:pPr>
              <w:pStyle w:val="bodytextpsg"/>
              <w:spacing w:after="0" w:line="23" w:lineRule="atLeast"/>
              <w:jc w:val="right"/>
              <w:rPr>
                <w:rFonts w:ascii="Arial" w:hAnsi="Arial"/>
                <w:sz w:val="20"/>
                <w:szCs w:val="20"/>
              </w:rPr>
            </w:pPr>
          </w:p>
        </w:tc>
        <w:tc>
          <w:tcPr>
            <w:tcW w:w="901" w:type="pct"/>
            <w:vMerge/>
            <w:hideMark/>
          </w:tcPr>
          <w:p w14:paraId="547BB410" w14:textId="77777777" w:rsidR="00D3014C" w:rsidRPr="00A95C35" w:rsidRDefault="00D3014C" w:rsidP="00C55CAB">
            <w:pPr>
              <w:pStyle w:val="bodytextpsg"/>
              <w:spacing w:after="0" w:line="23" w:lineRule="atLeast"/>
              <w:jc w:val="right"/>
              <w:rPr>
                <w:rFonts w:ascii="Arial" w:hAnsi="Arial"/>
                <w:sz w:val="20"/>
                <w:szCs w:val="20"/>
              </w:rPr>
            </w:pPr>
          </w:p>
        </w:tc>
        <w:tc>
          <w:tcPr>
            <w:tcW w:w="901" w:type="pct"/>
            <w:vMerge/>
            <w:hideMark/>
          </w:tcPr>
          <w:p w14:paraId="28B7B5A3" w14:textId="77777777" w:rsidR="00D3014C" w:rsidRPr="00A95C35" w:rsidRDefault="00D3014C" w:rsidP="00C55CAB">
            <w:pPr>
              <w:pStyle w:val="bodytextpsg"/>
              <w:spacing w:after="0" w:line="23" w:lineRule="atLeast"/>
              <w:jc w:val="right"/>
              <w:rPr>
                <w:rFonts w:ascii="Arial" w:hAnsi="Arial"/>
                <w:sz w:val="20"/>
                <w:szCs w:val="20"/>
              </w:rPr>
            </w:pPr>
          </w:p>
        </w:tc>
      </w:tr>
      <w:tr w:rsidR="00F11A5F" w:rsidRPr="00A95C35" w14:paraId="4DB340B9" w14:textId="77777777" w:rsidTr="00C55CAB">
        <w:trPr>
          <w:trHeight w:val="300"/>
        </w:trPr>
        <w:tc>
          <w:tcPr>
            <w:tcW w:w="957" w:type="pct"/>
            <w:vMerge/>
            <w:vAlign w:val="center"/>
            <w:hideMark/>
          </w:tcPr>
          <w:p w14:paraId="20729BC2" w14:textId="77777777" w:rsidR="00D3014C" w:rsidRPr="00A95C35" w:rsidRDefault="00D3014C" w:rsidP="00C55CAB">
            <w:pPr>
              <w:pStyle w:val="bodytextpsg"/>
              <w:spacing w:after="0" w:line="23" w:lineRule="atLeast"/>
              <w:rPr>
                <w:rFonts w:ascii="Arial" w:hAnsi="Arial"/>
                <w:b/>
                <w:bCs/>
                <w:sz w:val="20"/>
                <w:szCs w:val="20"/>
              </w:rPr>
            </w:pPr>
          </w:p>
        </w:tc>
        <w:tc>
          <w:tcPr>
            <w:tcW w:w="1724" w:type="pct"/>
            <w:vMerge w:val="restart"/>
            <w:hideMark/>
          </w:tcPr>
          <w:p w14:paraId="67CE1686" w14:textId="77777777" w:rsidR="00D3014C" w:rsidRPr="00A95C35" w:rsidRDefault="00D3014C" w:rsidP="00C55CAB">
            <w:pPr>
              <w:pStyle w:val="bodytextpsg"/>
              <w:spacing w:after="0" w:line="23" w:lineRule="atLeast"/>
              <w:rPr>
                <w:rFonts w:ascii="Arial" w:hAnsi="Arial"/>
                <w:sz w:val="20"/>
                <w:szCs w:val="20"/>
              </w:rPr>
            </w:pPr>
            <w:r w:rsidRPr="00A95C35">
              <w:rPr>
                <w:rFonts w:ascii="Arial" w:hAnsi="Arial"/>
                <w:sz w:val="20"/>
                <w:szCs w:val="20"/>
              </w:rPr>
              <w:t>Boost 1 (for targeted cases only: combined with subsample 3)</w:t>
            </w:r>
          </w:p>
        </w:tc>
        <w:tc>
          <w:tcPr>
            <w:tcW w:w="517" w:type="pct"/>
            <w:hideMark/>
          </w:tcPr>
          <w:p w14:paraId="68430398"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$10 </w:t>
            </w:r>
          </w:p>
        </w:tc>
        <w:tc>
          <w:tcPr>
            <w:tcW w:w="901" w:type="pct"/>
            <w:vMerge w:val="restart"/>
            <w:hideMark/>
          </w:tcPr>
          <w:p w14:paraId="6DEDD427"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$10 to $20 targeted; $0 otherwise</w:t>
            </w:r>
          </w:p>
        </w:tc>
        <w:tc>
          <w:tcPr>
            <w:tcW w:w="901" w:type="pct"/>
            <w:vMerge w:val="restart"/>
            <w:hideMark/>
          </w:tcPr>
          <w:p w14:paraId="57F0D89F"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(very few if any cases expected to be selected)</w:t>
            </w:r>
          </w:p>
        </w:tc>
      </w:tr>
      <w:tr w:rsidR="00F11A5F" w:rsidRPr="00A95C35" w14:paraId="2084DC7A" w14:textId="77777777" w:rsidTr="00C55CAB">
        <w:trPr>
          <w:trHeight w:val="300"/>
        </w:trPr>
        <w:tc>
          <w:tcPr>
            <w:tcW w:w="957" w:type="pct"/>
            <w:vMerge/>
            <w:vAlign w:val="center"/>
            <w:hideMark/>
          </w:tcPr>
          <w:p w14:paraId="70C6E7CC" w14:textId="77777777" w:rsidR="00D3014C" w:rsidRPr="00A95C35" w:rsidRDefault="00D3014C" w:rsidP="00C55CAB">
            <w:pPr>
              <w:pStyle w:val="bodytextpsg"/>
              <w:spacing w:after="0" w:line="23" w:lineRule="atLeast"/>
              <w:rPr>
                <w:rFonts w:ascii="Arial" w:hAnsi="Arial"/>
                <w:b/>
                <w:bCs/>
                <w:sz w:val="20"/>
                <w:szCs w:val="20"/>
              </w:rPr>
            </w:pPr>
          </w:p>
        </w:tc>
        <w:tc>
          <w:tcPr>
            <w:tcW w:w="1724" w:type="pct"/>
            <w:vMerge/>
            <w:hideMark/>
          </w:tcPr>
          <w:p w14:paraId="19B78136" w14:textId="77777777" w:rsidR="00D3014C" w:rsidRPr="00A95C35" w:rsidRDefault="00D3014C" w:rsidP="00C55CAB">
            <w:pPr>
              <w:pStyle w:val="bodytextpsg"/>
              <w:spacing w:after="0" w:line="23" w:lineRule="atLeast"/>
              <w:rPr>
                <w:rFonts w:ascii="Arial" w:hAnsi="Arial"/>
                <w:sz w:val="20"/>
                <w:szCs w:val="20"/>
              </w:rPr>
            </w:pPr>
          </w:p>
        </w:tc>
        <w:tc>
          <w:tcPr>
            <w:tcW w:w="517" w:type="pct"/>
            <w:hideMark/>
          </w:tcPr>
          <w:p w14:paraId="2FE4B116"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$20 </w:t>
            </w:r>
          </w:p>
        </w:tc>
        <w:tc>
          <w:tcPr>
            <w:tcW w:w="901" w:type="pct"/>
            <w:vMerge/>
            <w:hideMark/>
          </w:tcPr>
          <w:p w14:paraId="736A62DE" w14:textId="77777777" w:rsidR="00D3014C" w:rsidRPr="00A95C35" w:rsidRDefault="00D3014C" w:rsidP="00C55CAB">
            <w:pPr>
              <w:pStyle w:val="bodytextpsg"/>
              <w:spacing w:after="0" w:line="23" w:lineRule="atLeast"/>
              <w:jc w:val="right"/>
              <w:rPr>
                <w:rFonts w:ascii="Arial" w:hAnsi="Arial"/>
                <w:sz w:val="20"/>
                <w:szCs w:val="20"/>
              </w:rPr>
            </w:pPr>
          </w:p>
        </w:tc>
        <w:tc>
          <w:tcPr>
            <w:tcW w:w="901" w:type="pct"/>
            <w:vMerge/>
            <w:hideMark/>
          </w:tcPr>
          <w:p w14:paraId="535FE299" w14:textId="77777777" w:rsidR="00D3014C" w:rsidRPr="00A95C35" w:rsidRDefault="00D3014C" w:rsidP="00C55CAB">
            <w:pPr>
              <w:pStyle w:val="bodytextpsg"/>
              <w:spacing w:after="0" w:line="23" w:lineRule="atLeast"/>
              <w:jc w:val="right"/>
              <w:rPr>
                <w:rFonts w:ascii="Arial" w:hAnsi="Arial"/>
                <w:sz w:val="20"/>
                <w:szCs w:val="20"/>
              </w:rPr>
            </w:pPr>
          </w:p>
        </w:tc>
      </w:tr>
      <w:tr w:rsidR="00F11A5F" w:rsidRPr="00A95C35" w14:paraId="41B74199" w14:textId="77777777" w:rsidTr="00C55CAB">
        <w:trPr>
          <w:trHeight w:val="300"/>
        </w:trPr>
        <w:tc>
          <w:tcPr>
            <w:tcW w:w="957" w:type="pct"/>
            <w:vMerge/>
            <w:vAlign w:val="center"/>
            <w:hideMark/>
          </w:tcPr>
          <w:p w14:paraId="240B0672" w14:textId="77777777" w:rsidR="00D3014C" w:rsidRPr="00A95C35" w:rsidRDefault="00D3014C" w:rsidP="00C55CAB">
            <w:pPr>
              <w:pStyle w:val="bodytextpsg"/>
              <w:spacing w:after="0" w:line="23" w:lineRule="atLeast"/>
              <w:rPr>
                <w:rFonts w:ascii="Arial" w:hAnsi="Arial"/>
                <w:b/>
                <w:bCs/>
                <w:sz w:val="20"/>
                <w:szCs w:val="20"/>
              </w:rPr>
            </w:pPr>
          </w:p>
        </w:tc>
        <w:tc>
          <w:tcPr>
            <w:tcW w:w="1724" w:type="pct"/>
            <w:vMerge w:val="restart"/>
            <w:hideMark/>
          </w:tcPr>
          <w:p w14:paraId="5602F9E3" w14:textId="77777777" w:rsidR="00D3014C" w:rsidRPr="00A95C35" w:rsidRDefault="00D3014C" w:rsidP="00C55CAB">
            <w:pPr>
              <w:pStyle w:val="bodytextpsg"/>
              <w:spacing w:after="0" w:line="23" w:lineRule="atLeast"/>
              <w:rPr>
                <w:rFonts w:ascii="Arial" w:hAnsi="Arial"/>
                <w:sz w:val="20"/>
                <w:szCs w:val="20"/>
              </w:rPr>
            </w:pPr>
            <w:r w:rsidRPr="00A95C35">
              <w:rPr>
                <w:rFonts w:ascii="Arial" w:hAnsi="Arial"/>
                <w:sz w:val="20"/>
                <w:szCs w:val="20"/>
              </w:rPr>
              <w:t>Boost 2 (for targeted cases only: combined with subsample 3)</w:t>
            </w:r>
          </w:p>
        </w:tc>
        <w:tc>
          <w:tcPr>
            <w:tcW w:w="517" w:type="pct"/>
            <w:hideMark/>
          </w:tcPr>
          <w:p w14:paraId="4B395554"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$10 </w:t>
            </w:r>
          </w:p>
        </w:tc>
        <w:tc>
          <w:tcPr>
            <w:tcW w:w="901" w:type="pct"/>
            <w:vMerge w:val="restart"/>
            <w:hideMark/>
          </w:tcPr>
          <w:p w14:paraId="718B4583"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$10 to $40 targeted; $0 to $20 otherwise</w:t>
            </w:r>
          </w:p>
        </w:tc>
        <w:tc>
          <w:tcPr>
            <w:tcW w:w="901" w:type="pct"/>
            <w:vMerge w:val="restart"/>
            <w:hideMark/>
          </w:tcPr>
          <w:p w14:paraId="06F6B62B"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(very few if any cases expected to be selected)</w:t>
            </w:r>
          </w:p>
        </w:tc>
      </w:tr>
      <w:tr w:rsidR="00F11A5F" w:rsidRPr="00A95C35" w14:paraId="279AF99A" w14:textId="77777777" w:rsidTr="00C55CAB">
        <w:trPr>
          <w:trHeight w:val="300"/>
        </w:trPr>
        <w:tc>
          <w:tcPr>
            <w:tcW w:w="957" w:type="pct"/>
            <w:vMerge/>
            <w:vAlign w:val="center"/>
            <w:hideMark/>
          </w:tcPr>
          <w:p w14:paraId="2E5C6A57" w14:textId="77777777" w:rsidR="00D3014C" w:rsidRPr="00A95C35" w:rsidRDefault="00D3014C" w:rsidP="00C55CAB">
            <w:pPr>
              <w:pStyle w:val="bodytextpsg"/>
              <w:spacing w:after="0" w:line="23" w:lineRule="atLeast"/>
              <w:rPr>
                <w:rFonts w:ascii="Arial" w:hAnsi="Arial"/>
                <w:b/>
                <w:bCs/>
                <w:sz w:val="20"/>
                <w:szCs w:val="20"/>
              </w:rPr>
            </w:pPr>
          </w:p>
        </w:tc>
        <w:tc>
          <w:tcPr>
            <w:tcW w:w="1724" w:type="pct"/>
            <w:vMerge/>
            <w:hideMark/>
          </w:tcPr>
          <w:p w14:paraId="2A686AB1" w14:textId="77777777" w:rsidR="00D3014C" w:rsidRPr="00A95C35" w:rsidRDefault="00D3014C" w:rsidP="00C55CAB">
            <w:pPr>
              <w:pStyle w:val="bodytextpsg"/>
              <w:spacing w:after="0" w:line="23" w:lineRule="atLeast"/>
              <w:rPr>
                <w:rFonts w:ascii="Arial" w:hAnsi="Arial"/>
                <w:sz w:val="20"/>
                <w:szCs w:val="20"/>
              </w:rPr>
            </w:pPr>
          </w:p>
        </w:tc>
        <w:tc>
          <w:tcPr>
            <w:tcW w:w="517" w:type="pct"/>
            <w:hideMark/>
          </w:tcPr>
          <w:p w14:paraId="02D1CF0A"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$20 </w:t>
            </w:r>
          </w:p>
        </w:tc>
        <w:tc>
          <w:tcPr>
            <w:tcW w:w="901" w:type="pct"/>
            <w:vMerge/>
            <w:hideMark/>
          </w:tcPr>
          <w:p w14:paraId="460051BA" w14:textId="77777777" w:rsidR="00D3014C" w:rsidRPr="00A95C35" w:rsidRDefault="00D3014C" w:rsidP="00C55CAB">
            <w:pPr>
              <w:pStyle w:val="bodytextpsg"/>
              <w:spacing w:after="0" w:line="23" w:lineRule="atLeast"/>
              <w:jc w:val="right"/>
              <w:rPr>
                <w:rFonts w:ascii="Arial" w:hAnsi="Arial"/>
                <w:sz w:val="20"/>
                <w:szCs w:val="20"/>
              </w:rPr>
            </w:pPr>
          </w:p>
        </w:tc>
        <w:tc>
          <w:tcPr>
            <w:tcW w:w="901" w:type="pct"/>
            <w:vMerge/>
            <w:hideMark/>
          </w:tcPr>
          <w:p w14:paraId="154C3507" w14:textId="77777777" w:rsidR="00D3014C" w:rsidRPr="00A95C35" w:rsidRDefault="00D3014C" w:rsidP="00C55CAB">
            <w:pPr>
              <w:pStyle w:val="bodytextpsg"/>
              <w:spacing w:after="0" w:line="23" w:lineRule="atLeast"/>
              <w:jc w:val="right"/>
              <w:rPr>
                <w:rFonts w:ascii="Arial" w:hAnsi="Arial"/>
                <w:sz w:val="20"/>
                <w:szCs w:val="20"/>
              </w:rPr>
            </w:pPr>
          </w:p>
        </w:tc>
      </w:tr>
      <w:tr w:rsidR="00F11A5F" w:rsidRPr="00A95C35" w14:paraId="6BF58E4F" w14:textId="77777777" w:rsidTr="00C55CAB">
        <w:trPr>
          <w:trHeight w:val="300"/>
        </w:trPr>
        <w:tc>
          <w:tcPr>
            <w:tcW w:w="957" w:type="pct"/>
            <w:vMerge w:val="restart"/>
            <w:vAlign w:val="center"/>
            <w:hideMark/>
          </w:tcPr>
          <w:p w14:paraId="7F665B4A" w14:textId="77777777" w:rsidR="00D3014C" w:rsidRPr="00A95C35" w:rsidRDefault="00D3014C" w:rsidP="00C55CAB">
            <w:pPr>
              <w:pStyle w:val="bodytextpsg"/>
              <w:spacing w:after="0" w:line="23" w:lineRule="atLeast"/>
              <w:rPr>
                <w:rFonts w:ascii="Arial" w:hAnsi="Arial"/>
                <w:b/>
                <w:bCs/>
                <w:sz w:val="20"/>
                <w:szCs w:val="20"/>
              </w:rPr>
            </w:pPr>
            <w:r w:rsidRPr="00A95C35">
              <w:rPr>
                <w:rFonts w:ascii="Arial" w:hAnsi="Arial"/>
                <w:b/>
                <w:bCs/>
                <w:sz w:val="20"/>
                <w:szCs w:val="20"/>
              </w:rPr>
              <w:t>High School Completers and Unknowns</w:t>
            </w:r>
          </w:p>
        </w:tc>
        <w:tc>
          <w:tcPr>
            <w:tcW w:w="1724" w:type="pct"/>
            <w:hideMark/>
          </w:tcPr>
          <w:p w14:paraId="14C917A0" w14:textId="77777777" w:rsidR="00D3014C" w:rsidRPr="00A95C35" w:rsidRDefault="00D3014C" w:rsidP="00C55CAB">
            <w:pPr>
              <w:pStyle w:val="bodytextpsg"/>
              <w:spacing w:after="0" w:line="23" w:lineRule="atLeast"/>
              <w:rPr>
                <w:rFonts w:ascii="Arial" w:hAnsi="Arial"/>
                <w:sz w:val="20"/>
                <w:szCs w:val="20"/>
              </w:rPr>
            </w:pPr>
            <w:r w:rsidRPr="00A95C35">
              <w:rPr>
                <w:rFonts w:ascii="Arial" w:hAnsi="Arial"/>
                <w:sz w:val="20"/>
                <w:szCs w:val="20"/>
              </w:rPr>
              <w:t xml:space="preserve">Base Incentive </w:t>
            </w:r>
          </w:p>
        </w:tc>
        <w:tc>
          <w:tcPr>
            <w:tcW w:w="517" w:type="pct"/>
            <w:hideMark/>
          </w:tcPr>
          <w:p w14:paraId="019C24C7"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$15 </w:t>
            </w:r>
          </w:p>
        </w:tc>
        <w:tc>
          <w:tcPr>
            <w:tcW w:w="901" w:type="pct"/>
            <w:vMerge w:val="restart"/>
            <w:hideMark/>
          </w:tcPr>
          <w:p w14:paraId="5E3B9CFD"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$15 to $40</w:t>
            </w:r>
          </w:p>
        </w:tc>
        <w:tc>
          <w:tcPr>
            <w:tcW w:w="901" w:type="pct"/>
            <w:hideMark/>
          </w:tcPr>
          <w:p w14:paraId="300286AE"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330</w:t>
            </w:r>
          </w:p>
        </w:tc>
      </w:tr>
      <w:tr w:rsidR="00F11A5F" w:rsidRPr="00A95C35" w14:paraId="72C32241" w14:textId="77777777" w:rsidTr="00C55CAB">
        <w:trPr>
          <w:trHeight w:val="300"/>
        </w:trPr>
        <w:tc>
          <w:tcPr>
            <w:tcW w:w="957" w:type="pct"/>
            <w:vMerge/>
            <w:hideMark/>
          </w:tcPr>
          <w:p w14:paraId="46616961" w14:textId="77777777" w:rsidR="00D3014C" w:rsidRPr="00A95C35" w:rsidRDefault="00D3014C" w:rsidP="00C55CAB">
            <w:pPr>
              <w:pStyle w:val="bodytextpsg"/>
              <w:spacing w:after="0" w:line="23" w:lineRule="atLeast"/>
              <w:rPr>
                <w:rFonts w:ascii="Arial" w:hAnsi="Arial"/>
                <w:b/>
                <w:bCs/>
                <w:sz w:val="20"/>
                <w:szCs w:val="20"/>
              </w:rPr>
            </w:pPr>
          </w:p>
        </w:tc>
        <w:tc>
          <w:tcPr>
            <w:tcW w:w="1724" w:type="pct"/>
            <w:hideMark/>
          </w:tcPr>
          <w:p w14:paraId="221491AC" w14:textId="77777777" w:rsidR="00D3014C" w:rsidRPr="00A95C35" w:rsidRDefault="00D3014C" w:rsidP="00C55CAB">
            <w:pPr>
              <w:pStyle w:val="bodytextpsg"/>
              <w:spacing w:after="0" w:line="23" w:lineRule="atLeast"/>
              <w:rPr>
                <w:rFonts w:ascii="Arial" w:hAnsi="Arial"/>
                <w:sz w:val="20"/>
                <w:szCs w:val="20"/>
              </w:rPr>
            </w:pPr>
            <w:r w:rsidRPr="00A95C35">
              <w:rPr>
                <w:rFonts w:ascii="Arial" w:hAnsi="Arial"/>
                <w:sz w:val="20"/>
                <w:szCs w:val="20"/>
              </w:rPr>
              <w:t>(all calibration sample cases)</w:t>
            </w:r>
          </w:p>
        </w:tc>
        <w:tc>
          <w:tcPr>
            <w:tcW w:w="517" w:type="pct"/>
            <w:hideMark/>
          </w:tcPr>
          <w:p w14:paraId="0A252863"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$20 </w:t>
            </w:r>
          </w:p>
        </w:tc>
        <w:tc>
          <w:tcPr>
            <w:tcW w:w="901" w:type="pct"/>
            <w:vMerge/>
            <w:hideMark/>
          </w:tcPr>
          <w:p w14:paraId="4E8B1A95" w14:textId="77777777" w:rsidR="00D3014C" w:rsidRPr="00A95C35" w:rsidRDefault="00D3014C" w:rsidP="00C55CAB">
            <w:pPr>
              <w:pStyle w:val="bodytextpsg"/>
              <w:spacing w:after="0" w:line="23" w:lineRule="atLeast"/>
              <w:jc w:val="right"/>
              <w:rPr>
                <w:rFonts w:ascii="Arial" w:hAnsi="Arial"/>
                <w:sz w:val="20"/>
                <w:szCs w:val="20"/>
              </w:rPr>
            </w:pPr>
          </w:p>
        </w:tc>
        <w:tc>
          <w:tcPr>
            <w:tcW w:w="901" w:type="pct"/>
            <w:hideMark/>
          </w:tcPr>
          <w:p w14:paraId="49879DF2"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329</w:t>
            </w:r>
          </w:p>
        </w:tc>
      </w:tr>
      <w:tr w:rsidR="00F11A5F" w:rsidRPr="00A95C35" w14:paraId="13084691" w14:textId="77777777" w:rsidTr="00C55CAB">
        <w:trPr>
          <w:trHeight w:val="300"/>
        </w:trPr>
        <w:tc>
          <w:tcPr>
            <w:tcW w:w="957" w:type="pct"/>
            <w:vMerge/>
            <w:hideMark/>
          </w:tcPr>
          <w:p w14:paraId="4306138B" w14:textId="77777777" w:rsidR="00D3014C" w:rsidRPr="00A95C35" w:rsidRDefault="00D3014C" w:rsidP="00C55CAB">
            <w:pPr>
              <w:pStyle w:val="bodytextpsg"/>
              <w:spacing w:after="0" w:line="23" w:lineRule="atLeast"/>
              <w:rPr>
                <w:rFonts w:ascii="Arial" w:hAnsi="Arial"/>
                <w:b/>
                <w:bCs/>
                <w:sz w:val="20"/>
                <w:szCs w:val="20"/>
              </w:rPr>
            </w:pPr>
          </w:p>
        </w:tc>
        <w:tc>
          <w:tcPr>
            <w:tcW w:w="1724" w:type="pct"/>
            <w:hideMark/>
          </w:tcPr>
          <w:p w14:paraId="5B28A61E" w14:textId="77777777" w:rsidR="00D3014C" w:rsidRPr="00A95C35" w:rsidRDefault="00D3014C" w:rsidP="00C55CAB">
            <w:pPr>
              <w:pStyle w:val="bodytextpsg"/>
              <w:spacing w:after="0" w:line="23" w:lineRule="atLeast"/>
              <w:rPr>
                <w:rFonts w:ascii="Arial" w:hAnsi="Arial"/>
                <w:sz w:val="20"/>
                <w:szCs w:val="20"/>
              </w:rPr>
            </w:pPr>
            <w:r w:rsidRPr="00A95C35">
              <w:rPr>
                <w:rFonts w:ascii="Arial" w:hAnsi="Arial"/>
                <w:sz w:val="20"/>
                <w:szCs w:val="20"/>
              </w:rPr>
              <w:t> </w:t>
            </w:r>
          </w:p>
        </w:tc>
        <w:tc>
          <w:tcPr>
            <w:tcW w:w="517" w:type="pct"/>
            <w:hideMark/>
          </w:tcPr>
          <w:p w14:paraId="4179B8F2"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$25 </w:t>
            </w:r>
          </w:p>
        </w:tc>
        <w:tc>
          <w:tcPr>
            <w:tcW w:w="901" w:type="pct"/>
            <w:vMerge/>
            <w:hideMark/>
          </w:tcPr>
          <w:p w14:paraId="75B8F2E7" w14:textId="77777777" w:rsidR="00D3014C" w:rsidRPr="00A95C35" w:rsidRDefault="00D3014C" w:rsidP="00C55CAB">
            <w:pPr>
              <w:pStyle w:val="bodytextpsg"/>
              <w:spacing w:after="0" w:line="23" w:lineRule="atLeast"/>
              <w:jc w:val="right"/>
              <w:rPr>
                <w:rFonts w:ascii="Arial" w:hAnsi="Arial"/>
                <w:sz w:val="20"/>
                <w:szCs w:val="20"/>
              </w:rPr>
            </w:pPr>
          </w:p>
        </w:tc>
        <w:tc>
          <w:tcPr>
            <w:tcW w:w="901" w:type="pct"/>
            <w:hideMark/>
          </w:tcPr>
          <w:p w14:paraId="534B83B3"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329</w:t>
            </w:r>
          </w:p>
        </w:tc>
      </w:tr>
      <w:tr w:rsidR="00F11A5F" w:rsidRPr="00A95C35" w14:paraId="3809EE5B" w14:textId="77777777" w:rsidTr="00C55CAB">
        <w:trPr>
          <w:trHeight w:val="300"/>
        </w:trPr>
        <w:tc>
          <w:tcPr>
            <w:tcW w:w="957" w:type="pct"/>
            <w:vMerge/>
            <w:hideMark/>
          </w:tcPr>
          <w:p w14:paraId="3F87E8AA" w14:textId="77777777" w:rsidR="00D3014C" w:rsidRPr="00A95C35" w:rsidRDefault="00D3014C" w:rsidP="00C55CAB">
            <w:pPr>
              <w:pStyle w:val="bodytextpsg"/>
              <w:spacing w:after="0" w:line="23" w:lineRule="atLeast"/>
              <w:rPr>
                <w:rFonts w:ascii="Arial" w:hAnsi="Arial"/>
                <w:b/>
                <w:bCs/>
                <w:sz w:val="20"/>
                <w:szCs w:val="20"/>
              </w:rPr>
            </w:pPr>
          </w:p>
        </w:tc>
        <w:tc>
          <w:tcPr>
            <w:tcW w:w="1724" w:type="pct"/>
            <w:hideMark/>
          </w:tcPr>
          <w:p w14:paraId="5BF5A03E" w14:textId="77777777" w:rsidR="00D3014C" w:rsidRPr="00A95C35" w:rsidRDefault="00D3014C" w:rsidP="00C55CAB">
            <w:pPr>
              <w:pStyle w:val="bodytextpsg"/>
              <w:spacing w:after="0" w:line="23" w:lineRule="atLeast"/>
              <w:rPr>
                <w:rFonts w:ascii="Arial" w:hAnsi="Arial"/>
                <w:sz w:val="20"/>
                <w:szCs w:val="20"/>
              </w:rPr>
            </w:pPr>
            <w:r w:rsidRPr="00A95C35">
              <w:rPr>
                <w:rFonts w:ascii="Arial" w:hAnsi="Arial"/>
                <w:sz w:val="20"/>
                <w:szCs w:val="20"/>
              </w:rPr>
              <w:t> </w:t>
            </w:r>
          </w:p>
        </w:tc>
        <w:tc>
          <w:tcPr>
            <w:tcW w:w="517" w:type="pct"/>
            <w:hideMark/>
          </w:tcPr>
          <w:p w14:paraId="7911463C"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$30 </w:t>
            </w:r>
          </w:p>
        </w:tc>
        <w:tc>
          <w:tcPr>
            <w:tcW w:w="901" w:type="pct"/>
            <w:vMerge/>
            <w:hideMark/>
          </w:tcPr>
          <w:p w14:paraId="26C0523A" w14:textId="77777777" w:rsidR="00D3014C" w:rsidRPr="00A95C35" w:rsidRDefault="00D3014C" w:rsidP="00C55CAB">
            <w:pPr>
              <w:pStyle w:val="bodytextpsg"/>
              <w:spacing w:after="0" w:line="23" w:lineRule="atLeast"/>
              <w:jc w:val="right"/>
              <w:rPr>
                <w:rFonts w:ascii="Arial" w:hAnsi="Arial"/>
                <w:sz w:val="20"/>
                <w:szCs w:val="20"/>
              </w:rPr>
            </w:pPr>
          </w:p>
        </w:tc>
        <w:tc>
          <w:tcPr>
            <w:tcW w:w="901" w:type="pct"/>
            <w:hideMark/>
          </w:tcPr>
          <w:p w14:paraId="3B1F3A3C"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329</w:t>
            </w:r>
          </w:p>
        </w:tc>
      </w:tr>
      <w:tr w:rsidR="00F11A5F" w:rsidRPr="00A95C35" w14:paraId="426992E5" w14:textId="77777777" w:rsidTr="00C55CAB">
        <w:trPr>
          <w:trHeight w:val="300"/>
        </w:trPr>
        <w:tc>
          <w:tcPr>
            <w:tcW w:w="957" w:type="pct"/>
            <w:vMerge/>
            <w:hideMark/>
          </w:tcPr>
          <w:p w14:paraId="7009FBBD" w14:textId="77777777" w:rsidR="00D3014C" w:rsidRPr="00A95C35" w:rsidRDefault="00D3014C" w:rsidP="00C55CAB">
            <w:pPr>
              <w:pStyle w:val="bodytextpsg"/>
              <w:spacing w:after="0" w:line="23" w:lineRule="atLeast"/>
              <w:rPr>
                <w:rFonts w:ascii="Arial" w:hAnsi="Arial"/>
                <w:b/>
                <w:bCs/>
                <w:sz w:val="20"/>
                <w:szCs w:val="20"/>
              </w:rPr>
            </w:pPr>
          </w:p>
        </w:tc>
        <w:tc>
          <w:tcPr>
            <w:tcW w:w="1724" w:type="pct"/>
            <w:hideMark/>
          </w:tcPr>
          <w:p w14:paraId="4A0B63F7" w14:textId="77777777" w:rsidR="00D3014C" w:rsidRPr="00A95C35" w:rsidRDefault="00D3014C" w:rsidP="00C55CAB">
            <w:pPr>
              <w:pStyle w:val="bodytextpsg"/>
              <w:spacing w:after="0" w:line="23" w:lineRule="atLeast"/>
              <w:rPr>
                <w:rFonts w:ascii="Arial" w:hAnsi="Arial"/>
                <w:sz w:val="20"/>
                <w:szCs w:val="20"/>
              </w:rPr>
            </w:pPr>
            <w:r w:rsidRPr="00A95C35">
              <w:rPr>
                <w:rFonts w:ascii="Arial" w:hAnsi="Arial"/>
                <w:sz w:val="20"/>
                <w:szCs w:val="20"/>
              </w:rPr>
              <w:t> </w:t>
            </w:r>
          </w:p>
        </w:tc>
        <w:tc>
          <w:tcPr>
            <w:tcW w:w="517" w:type="pct"/>
            <w:hideMark/>
          </w:tcPr>
          <w:p w14:paraId="3206E08F"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$35 </w:t>
            </w:r>
          </w:p>
        </w:tc>
        <w:tc>
          <w:tcPr>
            <w:tcW w:w="901" w:type="pct"/>
            <w:vMerge/>
            <w:hideMark/>
          </w:tcPr>
          <w:p w14:paraId="4CE1A205" w14:textId="77777777" w:rsidR="00D3014C" w:rsidRPr="00A95C35" w:rsidRDefault="00D3014C" w:rsidP="00C55CAB">
            <w:pPr>
              <w:pStyle w:val="bodytextpsg"/>
              <w:spacing w:after="0" w:line="23" w:lineRule="atLeast"/>
              <w:jc w:val="right"/>
              <w:rPr>
                <w:rFonts w:ascii="Arial" w:hAnsi="Arial"/>
                <w:sz w:val="20"/>
                <w:szCs w:val="20"/>
              </w:rPr>
            </w:pPr>
          </w:p>
        </w:tc>
        <w:tc>
          <w:tcPr>
            <w:tcW w:w="901" w:type="pct"/>
            <w:hideMark/>
          </w:tcPr>
          <w:p w14:paraId="07116C04"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329</w:t>
            </w:r>
          </w:p>
        </w:tc>
      </w:tr>
      <w:tr w:rsidR="00F11A5F" w:rsidRPr="00A95C35" w14:paraId="131705ED" w14:textId="77777777" w:rsidTr="00C55CAB">
        <w:trPr>
          <w:trHeight w:val="300"/>
        </w:trPr>
        <w:tc>
          <w:tcPr>
            <w:tcW w:w="957" w:type="pct"/>
            <w:vMerge/>
            <w:hideMark/>
          </w:tcPr>
          <w:p w14:paraId="673532EE" w14:textId="77777777" w:rsidR="00D3014C" w:rsidRPr="00A95C35" w:rsidRDefault="00D3014C" w:rsidP="00C55CAB">
            <w:pPr>
              <w:pStyle w:val="bodytextpsg"/>
              <w:spacing w:after="0" w:line="23" w:lineRule="atLeast"/>
              <w:rPr>
                <w:rFonts w:ascii="Arial" w:hAnsi="Arial"/>
                <w:b/>
                <w:bCs/>
                <w:sz w:val="20"/>
                <w:szCs w:val="20"/>
              </w:rPr>
            </w:pPr>
          </w:p>
        </w:tc>
        <w:tc>
          <w:tcPr>
            <w:tcW w:w="1724" w:type="pct"/>
            <w:hideMark/>
          </w:tcPr>
          <w:p w14:paraId="7EEFC932" w14:textId="77777777" w:rsidR="00D3014C" w:rsidRPr="00A95C35" w:rsidRDefault="00D3014C" w:rsidP="00C55CAB">
            <w:pPr>
              <w:pStyle w:val="bodytextpsg"/>
              <w:spacing w:after="0" w:line="23" w:lineRule="atLeast"/>
              <w:rPr>
                <w:rFonts w:ascii="Arial" w:hAnsi="Arial"/>
                <w:sz w:val="20"/>
                <w:szCs w:val="20"/>
              </w:rPr>
            </w:pPr>
            <w:r w:rsidRPr="00A95C35">
              <w:rPr>
                <w:rFonts w:ascii="Arial" w:hAnsi="Arial"/>
                <w:sz w:val="20"/>
                <w:szCs w:val="20"/>
              </w:rPr>
              <w:t> </w:t>
            </w:r>
          </w:p>
        </w:tc>
        <w:tc>
          <w:tcPr>
            <w:tcW w:w="517" w:type="pct"/>
            <w:hideMark/>
          </w:tcPr>
          <w:p w14:paraId="50068337"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$40 </w:t>
            </w:r>
          </w:p>
        </w:tc>
        <w:tc>
          <w:tcPr>
            <w:tcW w:w="901" w:type="pct"/>
            <w:vMerge/>
            <w:hideMark/>
          </w:tcPr>
          <w:p w14:paraId="24E4BF28" w14:textId="77777777" w:rsidR="00D3014C" w:rsidRPr="00A95C35" w:rsidRDefault="00D3014C" w:rsidP="00C55CAB">
            <w:pPr>
              <w:pStyle w:val="bodytextpsg"/>
              <w:spacing w:after="0" w:line="23" w:lineRule="atLeast"/>
              <w:jc w:val="right"/>
              <w:rPr>
                <w:rFonts w:ascii="Arial" w:hAnsi="Arial"/>
                <w:sz w:val="20"/>
                <w:szCs w:val="20"/>
              </w:rPr>
            </w:pPr>
          </w:p>
        </w:tc>
        <w:tc>
          <w:tcPr>
            <w:tcW w:w="901" w:type="pct"/>
            <w:hideMark/>
          </w:tcPr>
          <w:p w14:paraId="768623C4"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329</w:t>
            </w:r>
          </w:p>
        </w:tc>
      </w:tr>
      <w:tr w:rsidR="00F11A5F" w:rsidRPr="00A95C35" w14:paraId="587A79BB" w14:textId="77777777" w:rsidTr="00C55CAB">
        <w:trPr>
          <w:trHeight w:val="300"/>
        </w:trPr>
        <w:tc>
          <w:tcPr>
            <w:tcW w:w="957" w:type="pct"/>
            <w:vMerge/>
            <w:hideMark/>
          </w:tcPr>
          <w:p w14:paraId="754B01FA" w14:textId="77777777" w:rsidR="00D3014C" w:rsidRPr="00A95C35" w:rsidRDefault="00D3014C" w:rsidP="00C55CAB">
            <w:pPr>
              <w:pStyle w:val="bodytextpsg"/>
              <w:spacing w:after="0" w:line="23" w:lineRule="atLeast"/>
              <w:rPr>
                <w:rFonts w:ascii="Arial" w:hAnsi="Arial"/>
                <w:b/>
                <w:bCs/>
                <w:sz w:val="20"/>
                <w:szCs w:val="20"/>
              </w:rPr>
            </w:pPr>
          </w:p>
        </w:tc>
        <w:tc>
          <w:tcPr>
            <w:tcW w:w="1724" w:type="pct"/>
            <w:vMerge w:val="restart"/>
            <w:hideMark/>
          </w:tcPr>
          <w:p w14:paraId="5997CC74" w14:textId="77777777" w:rsidR="00D3014C" w:rsidRPr="00A95C35" w:rsidRDefault="00D3014C" w:rsidP="00C55CAB">
            <w:pPr>
              <w:pStyle w:val="bodytextpsg"/>
              <w:spacing w:after="0" w:line="23" w:lineRule="atLeast"/>
              <w:rPr>
                <w:rFonts w:ascii="Arial" w:hAnsi="Arial"/>
                <w:sz w:val="20"/>
                <w:szCs w:val="20"/>
              </w:rPr>
            </w:pPr>
            <w:r w:rsidRPr="00A95C35">
              <w:rPr>
                <w:rFonts w:ascii="Arial" w:hAnsi="Arial"/>
                <w:sz w:val="20"/>
                <w:szCs w:val="20"/>
              </w:rPr>
              <w:t>Boost 1 (for targeted cases: 1/2 of non-respondents)</w:t>
            </w:r>
          </w:p>
        </w:tc>
        <w:tc>
          <w:tcPr>
            <w:tcW w:w="517" w:type="pct"/>
            <w:hideMark/>
          </w:tcPr>
          <w:p w14:paraId="2F8B6911"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$10 </w:t>
            </w:r>
          </w:p>
        </w:tc>
        <w:tc>
          <w:tcPr>
            <w:tcW w:w="901" w:type="pct"/>
            <w:vMerge w:val="restart"/>
            <w:hideMark/>
          </w:tcPr>
          <w:p w14:paraId="124A6C5F"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$25 to $60 targeted; $15 to $40 otherwise</w:t>
            </w:r>
          </w:p>
        </w:tc>
        <w:tc>
          <w:tcPr>
            <w:tcW w:w="901" w:type="pct"/>
            <w:hideMark/>
          </w:tcPr>
          <w:p w14:paraId="4C2C3F05"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250</w:t>
            </w:r>
          </w:p>
        </w:tc>
      </w:tr>
      <w:tr w:rsidR="00F11A5F" w:rsidRPr="00A95C35" w14:paraId="3EC90F09" w14:textId="77777777" w:rsidTr="00C55CAB">
        <w:trPr>
          <w:trHeight w:val="300"/>
        </w:trPr>
        <w:tc>
          <w:tcPr>
            <w:tcW w:w="957" w:type="pct"/>
            <w:vMerge/>
            <w:hideMark/>
          </w:tcPr>
          <w:p w14:paraId="6D9CEFBF" w14:textId="77777777" w:rsidR="00D3014C" w:rsidRPr="00A95C35" w:rsidRDefault="00D3014C" w:rsidP="00C55CAB">
            <w:pPr>
              <w:pStyle w:val="bodytextpsg"/>
              <w:spacing w:after="0" w:line="23" w:lineRule="atLeast"/>
              <w:rPr>
                <w:rFonts w:ascii="Arial" w:hAnsi="Arial"/>
                <w:b/>
                <w:bCs/>
                <w:sz w:val="20"/>
                <w:szCs w:val="20"/>
              </w:rPr>
            </w:pPr>
          </w:p>
        </w:tc>
        <w:tc>
          <w:tcPr>
            <w:tcW w:w="1724" w:type="pct"/>
            <w:vMerge/>
            <w:hideMark/>
          </w:tcPr>
          <w:p w14:paraId="38A6530C" w14:textId="77777777" w:rsidR="00D3014C" w:rsidRPr="00A95C35" w:rsidRDefault="00D3014C" w:rsidP="00C55CAB">
            <w:pPr>
              <w:pStyle w:val="bodytextpsg"/>
              <w:spacing w:after="0" w:line="23" w:lineRule="atLeast"/>
              <w:rPr>
                <w:rFonts w:ascii="Arial" w:hAnsi="Arial"/>
                <w:sz w:val="20"/>
                <w:szCs w:val="20"/>
              </w:rPr>
            </w:pPr>
          </w:p>
        </w:tc>
        <w:tc>
          <w:tcPr>
            <w:tcW w:w="517" w:type="pct"/>
            <w:hideMark/>
          </w:tcPr>
          <w:p w14:paraId="5FCCB31F"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$20 </w:t>
            </w:r>
          </w:p>
        </w:tc>
        <w:tc>
          <w:tcPr>
            <w:tcW w:w="901" w:type="pct"/>
            <w:vMerge/>
            <w:hideMark/>
          </w:tcPr>
          <w:p w14:paraId="4B009C34" w14:textId="77777777" w:rsidR="00D3014C" w:rsidRPr="00A95C35" w:rsidRDefault="00D3014C" w:rsidP="00C55CAB">
            <w:pPr>
              <w:pStyle w:val="bodytextpsg"/>
              <w:spacing w:after="0" w:line="23" w:lineRule="atLeast"/>
              <w:jc w:val="right"/>
              <w:rPr>
                <w:rFonts w:ascii="Arial" w:hAnsi="Arial"/>
                <w:sz w:val="20"/>
                <w:szCs w:val="20"/>
              </w:rPr>
            </w:pPr>
          </w:p>
        </w:tc>
        <w:tc>
          <w:tcPr>
            <w:tcW w:w="901" w:type="pct"/>
            <w:hideMark/>
          </w:tcPr>
          <w:p w14:paraId="71755EF7"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250</w:t>
            </w:r>
          </w:p>
        </w:tc>
      </w:tr>
      <w:tr w:rsidR="00F11A5F" w:rsidRPr="00A95C35" w14:paraId="50E24306" w14:textId="77777777" w:rsidTr="00C55CAB">
        <w:trPr>
          <w:trHeight w:val="300"/>
        </w:trPr>
        <w:tc>
          <w:tcPr>
            <w:tcW w:w="957" w:type="pct"/>
            <w:vMerge/>
            <w:hideMark/>
          </w:tcPr>
          <w:p w14:paraId="425295ED" w14:textId="77777777" w:rsidR="00D3014C" w:rsidRPr="00A95C35" w:rsidRDefault="00D3014C" w:rsidP="00C55CAB">
            <w:pPr>
              <w:pStyle w:val="bodytextpsg"/>
              <w:spacing w:after="0" w:line="23" w:lineRule="atLeast"/>
              <w:rPr>
                <w:rFonts w:ascii="Arial" w:hAnsi="Arial"/>
                <w:b/>
                <w:bCs/>
                <w:sz w:val="20"/>
                <w:szCs w:val="20"/>
              </w:rPr>
            </w:pPr>
          </w:p>
        </w:tc>
        <w:tc>
          <w:tcPr>
            <w:tcW w:w="1724" w:type="pct"/>
            <w:vMerge w:val="restart"/>
            <w:hideMark/>
          </w:tcPr>
          <w:p w14:paraId="754E6DC6" w14:textId="77777777" w:rsidR="00D3014C" w:rsidRPr="00A95C35" w:rsidRDefault="00D3014C" w:rsidP="00C55CAB">
            <w:pPr>
              <w:pStyle w:val="bodytextpsg"/>
              <w:spacing w:after="0" w:line="23" w:lineRule="atLeast"/>
              <w:rPr>
                <w:rFonts w:ascii="Arial" w:hAnsi="Arial"/>
                <w:sz w:val="20"/>
                <w:szCs w:val="20"/>
              </w:rPr>
            </w:pPr>
            <w:r w:rsidRPr="00A95C35">
              <w:rPr>
                <w:rFonts w:ascii="Arial" w:hAnsi="Arial"/>
                <w:sz w:val="20"/>
                <w:szCs w:val="20"/>
              </w:rPr>
              <w:t>Boost 2 (for targeted cases: 1/2 of non-respondents)</w:t>
            </w:r>
          </w:p>
        </w:tc>
        <w:tc>
          <w:tcPr>
            <w:tcW w:w="517" w:type="pct"/>
            <w:hideMark/>
          </w:tcPr>
          <w:p w14:paraId="5CD64C79"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$10 </w:t>
            </w:r>
          </w:p>
        </w:tc>
        <w:tc>
          <w:tcPr>
            <w:tcW w:w="901" w:type="pct"/>
            <w:vMerge w:val="restart"/>
            <w:hideMark/>
          </w:tcPr>
          <w:p w14:paraId="2440AE6D"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$25 to $80 targeted; $15 to $60 otherwise</w:t>
            </w:r>
          </w:p>
        </w:tc>
        <w:tc>
          <w:tcPr>
            <w:tcW w:w="901" w:type="pct"/>
            <w:hideMark/>
          </w:tcPr>
          <w:p w14:paraId="607057B9"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175</w:t>
            </w:r>
          </w:p>
        </w:tc>
      </w:tr>
      <w:tr w:rsidR="007E68D0" w:rsidRPr="00A95C35" w14:paraId="724172AA" w14:textId="77777777" w:rsidTr="00C55CAB">
        <w:trPr>
          <w:trHeight w:val="116"/>
        </w:trPr>
        <w:tc>
          <w:tcPr>
            <w:tcW w:w="957" w:type="pct"/>
            <w:vMerge/>
            <w:hideMark/>
          </w:tcPr>
          <w:p w14:paraId="13322FD3" w14:textId="77777777" w:rsidR="00D3014C" w:rsidRPr="00A95C35" w:rsidRDefault="00D3014C" w:rsidP="00C55CAB">
            <w:pPr>
              <w:pStyle w:val="bodytextpsg"/>
              <w:spacing w:after="0" w:line="23" w:lineRule="atLeast"/>
              <w:rPr>
                <w:rFonts w:ascii="Arial" w:hAnsi="Arial"/>
                <w:b/>
                <w:bCs/>
                <w:sz w:val="20"/>
                <w:szCs w:val="20"/>
              </w:rPr>
            </w:pPr>
          </w:p>
        </w:tc>
        <w:tc>
          <w:tcPr>
            <w:tcW w:w="1724" w:type="pct"/>
            <w:vMerge/>
            <w:hideMark/>
          </w:tcPr>
          <w:p w14:paraId="076161AF" w14:textId="77777777" w:rsidR="00D3014C" w:rsidRPr="00A95C35" w:rsidRDefault="00D3014C" w:rsidP="00C55CAB">
            <w:pPr>
              <w:pStyle w:val="bodytextpsg"/>
              <w:spacing w:after="0" w:line="23" w:lineRule="atLeast"/>
              <w:rPr>
                <w:rFonts w:ascii="Arial" w:hAnsi="Arial"/>
                <w:sz w:val="20"/>
                <w:szCs w:val="20"/>
              </w:rPr>
            </w:pPr>
          </w:p>
        </w:tc>
        <w:tc>
          <w:tcPr>
            <w:tcW w:w="517" w:type="pct"/>
            <w:hideMark/>
          </w:tcPr>
          <w:p w14:paraId="3DED3A9C"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$20 </w:t>
            </w:r>
          </w:p>
        </w:tc>
        <w:tc>
          <w:tcPr>
            <w:tcW w:w="901" w:type="pct"/>
            <w:vMerge/>
            <w:hideMark/>
          </w:tcPr>
          <w:p w14:paraId="50EE49D0" w14:textId="77777777" w:rsidR="00D3014C" w:rsidRPr="00A95C35" w:rsidRDefault="00D3014C" w:rsidP="00C55CAB">
            <w:pPr>
              <w:pStyle w:val="bodytextpsg"/>
              <w:spacing w:after="0" w:line="23" w:lineRule="atLeast"/>
              <w:jc w:val="right"/>
              <w:rPr>
                <w:rFonts w:ascii="Arial" w:hAnsi="Arial"/>
                <w:sz w:val="20"/>
                <w:szCs w:val="20"/>
              </w:rPr>
            </w:pPr>
          </w:p>
        </w:tc>
        <w:tc>
          <w:tcPr>
            <w:tcW w:w="901" w:type="pct"/>
            <w:hideMark/>
          </w:tcPr>
          <w:p w14:paraId="609293EA"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175</w:t>
            </w:r>
          </w:p>
        </w:tc>
      </w:tr>
    </w:tbl>
    <w:p w14:paraId="53D8CADC" w14:textId="77777777" w:rsidR="00D3014C" w:rsidRPr="00A95C35" w:rsidRDefault="00D3014C" w:rsidP="00D3014C">
      <w:pPr>
        <w:pStyle w:val="bodytextpsg"/>
        <w:spacing w:after="120" w:line="23" w:lineRule="atLeast"/>
        <w:rPr>
          <w:rFonts w:asciiTheme="majorBidi" w:hAnsiTheme="majorBidi"/>
          <w:b/>
          <w:i/>
        </w:rPr>
      </w:pPr>
    </w:p>
    <w:p w14:paraId="3EEB315D" w14:textId="77777777" w:rsidR="00D3014C" w:rsidRPr="00A95C35" w:rsidRDefault="00D3014C" w:rsidP="00D3014C">
      <w:pPr>
        <w:pStyle w:val="bodytextpsg"/>
        <w:spacing w:after="120" w:line="23" w:lineRule="atLeast"/>
        <w:rPr>
          <w:rFonts w:asciiTheme="majorBidi" w:hAnsiTheme="majorBidi" w:cstheme="majorBidi"/>
          <w:i/>
          <w:iCs/>
        </w:rPr>
      </w:pPr>
      <w:r w:rsidRPr="00A95C35">
        <w:rPr>
          <w:rStyle w:val="IntenseEmphasis"/>
          <w:rFonts w:asciiTheme="majorBidi" w:hAnsiTheme="majorBidi" w:cstheme="majorBidi"/>
          <w:b/>
          <w:bCs/>
          <w:color w:val="auto"/>
        </w:rPr>
        <w:t>Additional treatments for targeted cases.</w:t>
      </w:r>
      <w:r w:rsidRPr="00A95C35">
        <w:rPr>
          <w:rFonts w:asciiTheme="majorBidi" w:hAnsiTheme="majorBidi" w:cstheme="majorBidi"/>
        </w:rPr>
        <w:t xml:space="preserve"> In addition to the monetary interventions described above, the HSLS</w:t>
      </w:r>
      <w:proofErr w:type="gramStart"/>
      <w:r w:rsidRPr="00A95C35">
        <w:rPr>
          <w:rFonts w:asciiTheme="majorBidi" w:hAnsiTheme="majorBidi" w:cstheme="majorBidi"/>
        </w:rPr>
        <w:t>:09</w:t>
      </w:r>
      <w:proofErr w:type="gramEnd"/>
      <w:r w:rsidRPr="00A95C35">
        <w:rPr>
          <w:rFonts w:asciiTheme="majorBidi" w:hAnsiTheme="majorBidi" w:cstheme="majorBidi"/>
        </w:rPr>
        <w:t xml:space="preserve"> second follow-up main study design includes non-monetary treatments to be used with targeted cases.</w:t>
      </w:r>
    </w:p>
    <w:p w14:paraId="5FD195A6" w14:textId="77777777" w:rsidR="00D3014C" w:rsidRPr="00A95C35" w:rsidRDefault="00D3014C" w:rsidP="00D3014C">
      <w:pPr>
        <w:pStyle w:val="bodytextpsg"/>
        <w:spacing w:after="120" w:line="23" w:lineRule="atLeast"/>
        <w:rPr>
          <w:rFonts w:asciiTheme="majorBidi" w:hAnsiTheme="majorBidi" w:cstheme="majorBidi"/>
        </w:rPr>
      </w:pPr>
      <w:r w:rsidRPr="00A95C35">
        <w:rPr>
          <w:rFonts w:asciiTheme="majorBidi" w:hAnsiTheme="majorBidi" w:cstheme="majorBidi"/>
          <w:b/>
          <w:i/>
          <w:iCs/>
        </w:rPr>
        <w:t>Field interviewing (phase 5).</w:t>
      </w:r>
      <w:r w:rsidRPr="00A95C35">
        <w:rPr>
          <w:rFonts w:eastAsiaTheme="minorHAnsi"/>
        </w:rPr>
        <w:t xml:space="preserve"> </w:t>
      </w:r>
      <w:r w:rsidRPr="00A95C35">
        <w:rPr>
          <w:rFonts w:asciiTheme="majorBidi" w:hAnsiTheme="majorBidi" w:cstheme="majorBidi"/>
          <w:iCs/>
        </w:rPr>
        <w:t xml:space="preserve">Field interviewing will be conducted for all targeted nonrespondents at the same time; there will be no time lag between the calibration and main samples. </w:t>
      </w:r>
      <w:r w:rsidRPr="00A95C35">
        <w:rPr>
          <w:rFonts w:asciiTheme="majorBidi" w:hAnsiTheme="majorBidi" w:cstheme="majorBidi"/>
        </w:rPr>
        <w:t>Cases identified for targeted treatment (all high school late/alternative/non-completers, and sample members with high bias likelihood scores) will be considered for field interviewing. The decision to conduct field interviewing for a case may also be determined by other factors, such as the location of a case and its proximity to other likely field cases. Nontargeted cases may potentially be included in field interviewing if it is cost effective to do so. Conversely, given the expense of field interviewing, cases with a very low response likelihood may not be pursued.</w:t>
      </w:r>
    </w:p>
    <w:p w14:paraId="0666EB7B" w14:textId="77777777" w:rsidR="00D3014C" w:rsidRPr="00A95C35" w:rsidRDefault="00D3014C" w:rsidP="00D3014C">
      <w:pPr>
        <w:pStyle w:val="bodytextpsg"/>
        <w:spacing w:after="120" w:line="23" w:lineRule="atLeast"/>
        <w:rPr>
          <w:rFonts w:asciiTheme="majorBidi" w:hAnsiTheme="majorBidi" w:cstheme="majorBidi"/>
        </w:rPr>
      </w:pPr>
      <w:r w:rsidRPr="00A95C35">
        <w:rPr>
          <w:rFonts w:asciiTheme="majorBidi" w:hAnsiTheme="majorBidi" w:cstheme="majorBidi"/>
          <w:b/>
          <w:i/>
          <w:iCs/>
        </w:rPr>
        <w:t>Extended data collection (phase 6).</w:t>
      </w:r>
      <w:r w:rsidRPr="00A95C35">
        <w:rPr>
          <w:rFonts w:asciiTheme="majorBidi" w:hAnsiTheme="majorBidi" w:cstheme="majorBidi"/>
          <w:i/>
          <w:iCs/>
        </w:rPr>
        <w:t xml:space="preserve"> </w:t>
      </w:r>
      <w:r w:rsidRPr="00A95C35">
        <w:rPr>
          <w:rFonts w:asciiTheme="majorBidi" w:hAnsiTheme="majorBidi" w:cstheme="majorBidi"/>
        </w:rPr>
        <w:t>Cases identified for targeted treatment (all high school late/alternative/non-completers, and sample members with high bias likelihood scores) will be part of an extended data collection period. During this period (the last month of data collection), only targeted cases will be actively prompted to participate. Data collection will remain open for all other cases if they choose to participate, but effort to pursue those cases will be suspended.</w:t>
      </w:r>
    </w:p>
    <w:p w14:paraId="35648FEC" w14:textId="77777777" w:rsidR="00D3014C" w:rsidRPr="00A95C35" w:rsidRDefault="00D3014C" w:rsidP="0006440F">
      <w:pPr>
        <w:pStyle w:val="bodytextpsg"/>
        <w:spacing w:after="120" w:line="23" w:lineRule="atLeast"/>
        <w:rPr>
          <w:rStyle w:val="IntenseQuoteChar"/>
          <w:rFonts w:asciiTheme="majorBidi" w:hAnsiTheme="majorBidi"/>
          <w:color w:val="auto"/>
        </w:rPr>
      </w:pPr>
      <w:r w:rsidRPr="00A95C35">
        <w:rPr>
          <w:rStyle w:val="IntenseQuoteChar"/>
          <w:rFonts w:asciiTheme="majorBidi" w:hAnsiTheme="majorBidi" w:cstheme="majorBidi"/>
          <w:b/>
          <w:bCs/>
          <w:color w:val="auto"/>
        </w:rPr>
        <w:lastRenderedPageBreak/>
        <w:t>Model development.</w:t>
      </w:r>
      <w:r w:rsidRPr="00A95C35">
        <w:rPr>
          <w:rStyle w:val="IntenseQuoteChar"/>
          <w:rFonts w:asciiTheme="majorBidi" w:hAnsiTheme="majorBidi" w:cstheme="majorBidi"/>
          <w:color w:val="auto"/>
        </w:rPr>
        <w:t xml:space="preserve"> A critical element of any responsive design is the method used to identify cases that will receive special treatment. As described above, the primary goal of this approach is to improve sample representativeness. The bias likelihood model will help determine which cases are most needed to balance the responding sample, and the response likelihood model will help determine which cases may not be optimal for pursuing with targeted interventions so that project resources can be most effectively allocated. In this section, we describe our modeling approach and the variables to be considered for use as predictor variables for both the bias likelihood and the response likelihood models. Variables</w:t>
      </w:r>
      <w:r w:rsidRPr="00A95C35">
        <w:t xml:space="preserve"> will be drawn from data obtained in prior waves of data collection with this cohort (base-year, first follow-up, and 2013 Update survey data; high school transcripts; school characteristics; sampling frame information; and paradata). </w:t>
      </w:r>
      <w:r w:rsidRPr="00A95C35">
        <w:rPr>
          <w:rFonts w:asciiTheme="majorBidi" w:hAnsiTheme="majorBidi" w:cstheme="majorBidi"/>
        </w:rPr>
        <w:t>The models for the HSLS</w:t>
      </w:r>
      <w:proofErr w:type="gramStart"/>
      <w:r w:rsidRPr="00A95C35">
        <w:rPr>
          <w:rFonts w:asciiTheme="majorBidi" w:hAnsiTheme="majorBidi" w:cstheme="majorBidi"/>
        </w:rPr>
        <w:t>:09</w:t>
      </w:r>
      <w:proofErr w:type="gramEnd"/>
      <w:r w:rsidRPr="00A95C35">
        <w:rPr>
          <w:rFonts w:asciiTheme="majorBidi" w:hAnsiTheme="majorBidi" w:cstheme="majorBidi"/>
        </w:rPr>
        <w:t xml:space="preserve"> second follow-up main study have been developed and will be refined from models for previous rounds of HSLS:09, ELS:2002, and other NCES studies, including BPS:12/14.</w:t>
      </w:r>
    </w:p>
    <w:p w14:paraId="6DF21A16" w14:textId="77777777" w:rsidR="00D3014C" w:rsidRPr="00A95C35" w:rsidRDefault="00D3014C" w:rsidP="0006440F">
      <w:pPr>
        <w:pStyle w:val="bodytextpsg"/>
        <w:spacing w:after="120" w:line="23" w:lineRule="atLeast"/>
        <w:rPr>
          <w:rFonts w:asciiTheme="majorBidi" w:hAnsiTheme="majorBidi" w:cstheme="majorBidi"/>
        </w:rPr>
      </w:pPr>
      <w:r w:rsidRPr="00A95C35">
        <w:rPr>
          <w:b/>
          <w:i/>
        </w:rPr>
        <w:t>Response Likelihood Model</w:t>
      </w:r>
      <w:r w:rsidRPr="00A95C35">
        <w:rPr>
          <w:b/>
          <w:i/>
          <w:sz w:val="20"/>
          <w:szCs w:val="20"/>
        </w:rPr>
        <w:t>.</w:t>
      </w:r>
      <w:r w:rsidRPr="00A95C35">
        <w:rPr>
          <w:i/>
          <w:sz w:val="20"/>
          <w:szCs w:val="20"/>
        </w:rPr>
        <w:t xml:space="preserve"> </w:t>
      </w:r>
      <w:r w:rsidRPr="00A95C35">
        <w:rPr>
          <w:rFonts w:asciiTheme="majorBidi" w:hAnsiTheme="majorBidi" w:cstheme="majorBidi"/>
        </w:rPr>
        <w:t>The response likelihood model will be run only once, before data collection begins. Using data obtained in prior waves that are correlated with response outcome (primarily paradata variables), we will fit a model predicting response outcome in the 2013 Update. We will then use the coefficients associated with the significant predictors to estimate the likelihood of response in the second follow-up main study, and each sample member will be assigned a likelihood score prior to the start of data collection. Exhibit B-10 lists the universe of predictor variables that will be considered for the response likelihood model.</w:t>
      </w:r>
    </w:p>
    <w:p w14:paraId="7BDFB786" w14:textId="77777777" w:rsidR="00D3014C" w:rsidRPr="00A95C35" w:rsidRDefault="00D3014C" w:rsidP="001C2531">
      <w:pPr>
        <w:pStyle w:val="bodytextpsg"/>
        <w:spacing w:after="120" w:line="23" w:lineRule="atLeast"/>
        <w:rPr>
          <w:rFonts w:asciiTheme="majorBidi" w:hAnsiTheme="majorBidi" w:cstheme="majorBidi"/>
        </w:rPr>
      </w:pPr>
      <w:r w:rsidRPr="00A95C35">
        <w:rPr>
          <w:rFonts w:asciiTheme="majorBidi" w:hAnsiTheme="majorBidi" w:cstheme="majorBidi"/>
        </w:rPr>
        <w:t>During data collection, the response likelihood scores will be used as a “filter” to assist in determining intervention resource allocation. For example, cases that have a very high likelihood of participation may not be offered an incentive boost, since they are likely to participate without it. The response likelihood score can also be used to exclude cases with very low likelihood from the field interviewing intervention. We will also consider using the response likelihood score to adjust the classification of cases in the subgroups. For example, cases with very high response likelihood scores could potentially be treated as “ultra-cooperative” cases. The primary objective of the response likelihood model is to provide information that will inform decisions about inclusion or exclusion of targeted cases for interventions, thereby controlling costs.</w:t>
      </w:r>
    </w:p>
    <w:p w14:paraId="5090817F" w14:textId="77777777" w:rsidR="00D3014C" w:rsidRPr="00A95C35" w:rsidRDefault="00D3014C" w:rsidP="00D3014C">
      <w:pPr>
        <w:pStyle w:val="bodytextpsg"/>
        <w:spacing w:after="120" w:line="23" w:lineRule="atLeast"/>
        <w:rPr>
          <w:rFonts w:asciiTheme="majorBidi" w:hAnsiTheme="majorBidi" w:cstheme="majorBidi"/>
        </w:rPr>
      </w:pPr>
      <w:r w:rsidRPr="00A95C35">
        <w:rPr>
          <w:rFonts w:asciiTheme="majorBidi" w:hAnsiTheme="majorBidi" w:cstheme="majorBidi"/>
          <w:b/>
          <w:i/>
        </w:rPr>
        <w:t>Bias Likelihood Model</w:t>
      </w:r>
      <w:r w:rsidRPr="00A95C35">
        <w:rPr>
          <w:rFonts w:asciiTheme="majorBidi" w:hAnsiTheme="majorBidi" w:cstheme="majorBidi"/>
          <w:b/>
        </w:rPr>
        <w:t>.</w:t>
      </w:r>
      <w:r w:rsidRPr="00A95C35">
        <w:rPr>
          <w:rFonts w:asciiTheme="majorBidi" w:hAnsiTheme="majorBidi" w:cstheme="majorBidi"/>
        </w:rPr>
        <w:t xml:space="preserve"> The bias likelihood model will be used to identify cases that are most unlike the set of sample members that have responded. As was done in the responsive design approach for the 2013 Update, the bias likelihood model will use only key survey and frame variables as predictors to identify nonrespondents most likely to reduce bias in key survey variables if converted to respondents. To calculate bias likelihood, we will run a logistic regression with the second follow-up response outcome as the dependent variable. The bias likelihood model will be run at the beginning of phases 3, 4, 5, and 6 for the calibration samples and at the beginning of phases 3, 4, 5, and 6 for the rest of the cases. (Modeling will be done on the combined sample [calibration cases and rest of cases] prior to phases 5 and 6.) We will then use the coefficients associated with the significant predictors to assign a bias likelihood score for each case. Because the set of respondents and nonrespondents is dynamic, the bias likelihood score for an individual case may change across the phases. The universe of candidate predictor variables have been selected due to their analytic importance for the study, and are presented in Exhibit B-11.</w:t>
      </w:r>
    </w:p>
    <w:p w14:paraId="7EED66B8" w14:textId="77777777" w:rsidR="001C2531" w:rsidRPr="00A95C35" w:rsidRDefault="001C2531">
      <w:pPr>
        <w:rPr>
          <w:b/>
          <w:szCs w:val="20"/>
        </w:rPr>
      </w:pPr>
      <w:bookmarkStart w:id="6" w:name="_Toc433779241"/>
      <w:bookmarkStart w:id="7" w:name="_Toc430965871"/>
      <w:r w:rsidRPr="00A95C35">
        <w:br w:type="page"/>
      </w:r>
    </w:p>
    <w:p w14:paraId="52C4BBAE" w14:textId="369EA359" w:rsidR="00D3014C" w:rsidRPr="00A95C35" w:rsidRDefault="00D3014C" w:rsidP="00D3014C">
      <w:pPr>
        <w:pStyle w:val="ExhibitTitle"/>
        <w:spacing w:line="23" w:lineRule="atLeast"/>
      </w:pPr>
      <w:r w:rsidRPr="00A95C35">
        <w:lastRenderedPageBreak/>
        <w:t>Exhibit B-10. Candidate Variables for the Main Study Response Likelihood Model</w:t>
      </w:r>
      <w:bookmarkEnd w:id="6"/>
      <w:r w:rsidRPr="00A95C35">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220"/>
        <w:gridCol w:w="7378"/>
      </w:tblGrid>
      <w:tr w:rsidR="00F11A5F" w:rsidRPr="00A95C35" w14:paraId="38287D90" w14:textId="77777777" w:rsidTr="00C55CAB">
        <w:trPr>
          <w:trHeight w:val="144"/>
        </w:trPr>
        <w:tc>
          <w:tcPr>
            <w:tcW w:w="1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60D42E" w14:textId="77777777" w:rsidR="00D3014C" w:rsidRPr="00A95C35" w:rsidRDefault="00D3014C" w:rsidP="00C55CAB">
            <w:pPr>
              <w:autoSpaceDE w:val="0"/>
              <w:autoSpaceDN w:val="0"/>
              <w:adjustRightInd w:val="0"/>
              <w:spacing w:line="23" w:lineRule="atLeast"/>
              <w:rPr>
                <w:rFonts w:ascii="Arial" w:eastAsiaTheme="minorHAnsi" w:hAnsi="Arial" w:cs="Arial"/>
                <w:b/>
                <w:bCs/>
                <w:sz w:val="20"/>
                <w:szCs w:val="18"/>
              </w:rPr>
            </w:pPr>
            <w:r w:rsidRPr="00A95C35">
              <w:rPr>
                <w:rFonts w:ascii="Arial" w:eastAsiaTheme="minorHAnsi" w:hAnsi="Arial" w:cs="Arial"/>
                <w:b/>
                <w:bCs/>
                <w:sz w:val="20"/>
                <w:szCs w:val="18"/>
              </w:rPr>
              <w:t>Data collection wave</w:t>
            </w:r>
          </w:p>
        </w:tc>
        <w:tc>
          <w:tcPr>
            <w:tcW w:w="34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B8DDF8" w14:textId="77777777" w:rsidR="00D3014C" w:rsidRPr="00A95C35" w:rsidRDefault="00D3014C" w:rsidP="00C55CAB">
            <w:pPr>
              <w:autoSpaceDE w:val="0"/>
              <w:autoSpaceDN w:val="0"/>
              <w:adjustRightInd w:val="0"/>
              <w:spacing w:line="23" w:lineRule="atLeast"/>
              <w:rPr>
                <w:rFonts w:ascii="Arial" w:eastAsiaTheme="minorHAnsi" w:hAnsi="Arial" w:cs="Arial"/>
                <w:b/>
                <w:bCs/>
                <w:sz w:val="20"/>
                <w:szCs w:val="18"/>
              </w:rPr>
            </w:pPr>
            <w:r w:rsidRPr="00A95C35">
              <w:rPr>
                <w:rFonts w:ascii="Arial" w:eastAsiaTheme="minorHAnsi" w:hAnsi="Arial" w:cs="Arial"/>
                <w:b/>
                <w:bCs/>
                <w:sz w:val="20"/>
                <w:szCs w:val="18"/>
              </w:rPr>
              <w:t>Variables</w:t>
            </w:r>
          </w:p>
        </w:tc>
      </w:tr>
      <w:tr w:rsidR="00F11A5F" w:rsidRPr="00A95C35" w14:paraId="77DC508B" w14:textId="77777777" w:rsidTr="00C55CAB">
        <w:trPr>
          <w:trHeight w:val="144"/>
        </w:trPr>
        <w:tc>
          <w:tcPr>
            <w:tcW w:w="1519" w:type="pct"/>
            <w:tcBorders>
              <w:top w:val="single" w:sz="4" w:space="0" w:color="auto"/>
              <w:left w:val="single" w:sz="4" w:space="0" w:color="auto"/>
              <w:bottom w:val="single" w:sz="4" w:space="0" w:color="auto"/>
              <w:right w:val="single" w:sz="4" w:space="0" w:color="auto"/>
            </w:tcBorders>
            <w:vAlign w:val="center"/>
          </w:tcPr>
          <w:p w14:paraId="0465CA91" w14:textId="77777777" w:rsidR="00D3014C" w:rsidRPr="00A95C35" w:rsidRDefault="00D3014C" w:rsidP="00C55CAB">
            <w:pPr>
              <w:autoSpaceDE w:val="0"/>
              <w:autoSpaceDN w:val="0"/>
              <w:adjustRightInd w:val="0"/>
              <w:spacing w:line="23" w:lineRule="atLeast"/>
              <w:rPr>
                <w:rFonts w:ascii="Arial" w:eastAsiaTheme="minorHAnsi" w:hAnsi="Arial" w:cs="Arial"/>
                <w:b/>
                <w:bCs/>
                <w:sz w:val="20"/>
                <w:szCs w:val="18"/>
              </w:rPr>
            </w:pPr>
            <w:r w:rsidRPr="00A95C35">
              <w:rPr>
                <w:rFonts w:ascii="Arial" w:eastAsiaTheme="minorHAnsi" w:hAnsi="Arial" w:cs="Arial"/>
                <w:b/>
                <w:bCs/>
                <w:sz w:val="20"/>
                <w:szCs w:val="18"/>
              </w:rPr>
              <w:t xml:space="preserve">Base year </w:t>
            </w:r>
          </w:p>
        </w:tc>
        <w:tc>
          <w:tcPr>
            <w:tcW w:w="3481" w:type="pct"/>
            <w:tcBorders>
              <w:top w:val="single" w:sz="4" w:space="0" w:color="auto"/>
              <w:left w:val="single" w:sz="4" w:space="0" w:color="auto"/>
              <w:bottom w:val="single" w:sz="4" w:space="0" w:color="auto"/>
              <w:right w:val="single" w:sz="4" w:space="0" w:color="auto"/>
            </w:tcBorders>
            <w:vAlign w:val="center"/>
          </w:tcPr>
          <w:p w14:paraId="5018DA91"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Response outcome</w:t>
            </w:r>
          </w:p>
          <w:p w14:paraId="6485C7DD"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Response mode</w:t>
            </w:r>
          </w:p>
          <w:p w14:paraId="7B51454B"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Early phase response status</w:t>
            </w:r>
          </w:p>
        </w:tc>
      </w:tr>
      <w:tr w:rsidR="00F11A5F" w:rsidRPr="00A95C35" w14:paraId="1839422A" w14:textId="77777777" w:rsidTr="00C55CAB">
        <w:trPr>
          <w:trHeight w:val="144"/>
        </w:trPr>
        <w:tc>
          <w:tcPr>
            <w:tcW w:w="1519" w:type="pct"/>
            <w:tcBorders>
              <w:top w:val="single" w:sz="4" w:space="0" w:color="auto"/>
              <w:left w:val="single" w:sz="4" w:space="0" w:color="auto"/>
              <w:bottom w:val="single" w:sz="4" w:space="0" w:color="auto"/>
              <w:right w:val="single" w:sz="4" w:space="0" w:color="auto"/>
            </w:tcBorders>
            <w:vAlign w:val="center"/>
          </w:tcPr>
          <w:p w14:paraId="5A0ADFE7" w14:textId="77777777" w:rsidR="00D3014C" w:rsidRPr="00A95C35" w:rsidRDefault="00D3014C" w:rsidP="00C55CAB">
            <w:pPr>
              <w:autoSpaceDE w:val="0"/>
              <w:autoSpaceDN w:val="0"/>
              <w:adjustRightInd w:val="0"/>
              <w:spacing w:line="23" w:lineRule="atLeast"/>
              <w:rPr>
                <w:rFonts w:ascii="Arial" w:eastAsiaTheme="minorHAnsi" w:hAnsi="Arial" w:cs="Arial"/>
                <w:b/>
                <w:bCs/>
                <w:sz w:val="20"/>
                <w:szCs w:val="18"/>
              </w:rPr>
            </w:pPr>
            <w:r w:rsidRPr="00A95C35">
              <w:rPr>
                <w:rFonts w:ascii="Arial" w:eastAsiaTheme="minorHAnsi" w:hAnsi="Arial" w:cs="Arial"/>
                <w:b/>
                <w:bCs/>
                <w:sz w:val="20"/>
                <w:szCs w:val="18"/>
              </w:rPr>
              <w:t xml:space="preserve">First follow-up </w:t>
            </w:r>
          </w:p>
        </w:tc>
        <w:tc>
          <w:tcPr>
            <w:tcW w:w="3481" w:type="pct"/>
            <w:tcBorders>
              <w:top w:val="single" w:sz="4" w:space="0" w:color="auto"/>
              <w:left w:val="single" w:sz="4" w:space="0" w:color="auto"/>
              <w:bottom w:val="single" w:sz="4" w:space="0" w:color="auto"/>
              <w:right w:val="single" w:sz="4" w:space="0" w:color="auto"/>
            </w:tcBorders>
            <w:vAlign w:val="center"/>
          </w:tcPr>
          <w:p w14:paraId="6E3C810C"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Response outcome</w:t>
            </w:r>
          </w:p>
          <w:p w14:paraId="222FAB4A"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Response mode</w:t>
            </w:r>
          </w:p>
          <w:p w14:paraId="19CAE82A"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Early phase response status</w:t>
            </w:r>
          </w:p>
        </w:tc>
      </w:tr>
      <w:tr w:rsidR="00F11A5F" w:rsidRPr="00A95C35" w14:paraId="33B960AD" w14:textId="77777777" w:rsidTr="00C55CAB">
        <w:trPr>
          <w:trHeight w:val="144"/>
        </w:trPr>
        <w:tc>
          <w:tcPr>
            <w:tcW w:w="1519" w:type="pct"/>
            <w:tcBorders>
              <w:top w:val="single" w:sz="4" w:space="0" w:color="auto"/>
              <w:left w:val="single" w:sz="4" w:space="0" w:color="auto"/>
              <w:bottom w:val="nil"/>
              <w:right w:val="single" w:sz="4" w:space="0" w:color="auto"/>
            </w:tcBorders>
            <w:vAlign w:val="center"/>
          </w:tcPr>
          <w:p w14:paraId="67AC13DB" w14:textId="77777777" w:rsidR="00D3014C" w:rsidRPr="00A95C35" w:rsidRDefault="00D3014C" w:rsidP="00C55CAB">
            <w:pPr>
              <w:autoSpaceDE w:val="0"/>
              <w:autoSpaceDN w:val="0"/>
              <w:adjustRightInd w:val="0"/>
              <w:spacing w:line="23" w:lineRule="atLeast"/>
              <w:rPr>
                <w:rFonts w:ascii="Arial" w:eastAsiaTheme="minorHAnsi" w:hAnsi="Arial" w:cs="Arial"/>
                <w:b/>
                <w:bCs/>
                <w:sz w:val="20"/>
                <w:szCs w:val="18"/>
              </w:rPr>
            </w:pPr>
            <w:r w:rsidRPr="00A95C35">
              <w:rPr>
                <w:rFonts w:ascii="Arial" w:eastAsiaTheme="minorHAnsi" w:hAnsi="Arial" w:cs="Arial"/>
                <w:b/>
                <w:bCs/>
                <w:sz w:val="20"/>
                <w:szCs w:val="18"/>
              </w:rPr>
              <w:t>Panel Maintenance and Address Updates</w:t>
            </w:r>
          </w:p>
        </w:tc>
        <w:tc>
          <w:tcPr>
            <w:tcW w:w="3481" w:type="pct"/>
            <w:tcBorders>
              <w:top w:val="single" w:sz="4" w:space="0" w:color="auto"/>
              <w:left w:val="single" w:sz="4" w:space="0" w:color="auto"/>
              <w:bottom w:val="nil"/>
              <w:right w:val="single" w:sz="4" w:space="0" w:color="auto"/>
            </w:tcBorders>
            <w:vAlign w:val="center"/>
          </w:tcPr>
          <w:p w14:paraId="4F82A727"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Panel maintenance response status</w:t>
            </w:r>
          </w:p>
          <w:p w14:paraId="625360E7"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Address update response status</w:t>
            </w:r>
          </w:p>
        </w:tc>
      </w:tr>
      <w:tr w:rsidR="00F11A5F" w:rsidRPr="00A95C35" w14:paraId="591CA75F" w14:textId="77777777" w:rsidTr="00C55CAB">
        <w:trPr>
          <w:trHeight w:val="144"/>
        </w:trPr>
        <w:tc>
          <w:tcPr>
            <w:tcW w:w="1519" w:type="pct"/>
            <w:tcBorders>
              <w:top w:val="single" w:sz="4" w:space="0" w:color="auto"/>
              <w:left w:val="single" w:sz="4" w:space="0" w:color="auto"/>
              <w:bottom w:val="nil"/>
              <w:right w:val="single" w:sz="4" w:space="0" w:color="auto"/>
            </w:tcBorders>
            <w:vAlign w:val="center"/>
          </w:tcPr>
          <w:p w14:paraId="69BE8FC2" w14:textId="77777777" w:rsidR="00D3014C" w:rsidRPr="00A95C35" w:rsidRDefault="00D3014C" w:rsidP="00C55CAB">
            <w:pPr>
              <w:autoSpaceDE w:val="0"/>
              <w:autoSpaceDN w:val="0"/>
              <w:adjustRightInd w:val="0"/>
              <w:spacing w:line="23" w:lineRule="atLeast"/>
              <w:rPr>
                <w:rFonts w:ascii="Arial" w:eastAsiaTheme="minorHAnsi" w:hAnsi="Arial" w:cs="Arial"/>
                <w:b/>
                <w:bCs/>
                <w:sz w:val="20"/>
                <w:szCs w:val="18"/>
              </w:rPr>
            </w:pPr>
            <w:r w:rsidRPr="00A95C35">
              <w:rPr>
                <w:rFonts w:ascii="Arial" w:eastAsiaTheme="minorHAnsi" w:hAnsi="Arial" w:cs="Arial"/>
                <w:b/>
                <w:bCs/>
                <w:sz w:val="20"/>
                <w:szCs w:val="18"/>
              </w:rPr>
              <w:t xml:space="preserve">2013 Update Survey </w:t>
            </w:r>
          </w:p>
        </w:tc>
        <w:tc>
          <w:tcPr>
            <w:tcW w:w="3481" w:type="pct"/>
            <w:tcBorders>
              <w:top w:val="single" w:sz="4" w:space="0" w:color="auto"/>
              <w:left w:val="single" w:sz="4" w:space="0" w:color="auto"/>
              <w:bottom w:val="nil"/>
              <w:right w:val="single" w:sz="4" w:space="0" w:color="auto"/>
            </w:tcBorders>
            <w:vAlign w:val="center"/>
          </w:tcPr>
          <w:p w14:paraId="4E9DE72F"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2013 Update response by student (not parent)</w:t>
            </w:r>
          </w:p>
          <w:p w14:paraId="1ABACA85"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Early phase response status</w:t>
            </w:r>
          </w:p>
          <w:p w14:paraId="0AF81EFF"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Response mode</w:t>
            </w:r>
          </w:p>
          <w:p w14:paraId="6BC9C578"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Incentive amount (to control for the effect of incentives on response outcomes)</w:t>
            </w:r>
          </w:p>
          <w:p w14:paraId="36A98C92"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Ever called in to the help desk</w:t>
            </w:r>
          </w:p>
          <w:p w14:paraId="2182A02C"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Ever refused (sample member)</w:t>
            </w:r>
          </w:p>
          <w:p w14:paraId="2B477760"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Ever refused (other contact)</w:t>
            </w:r>
          </w:p>
          <w:p w14:paraId="6FBB6AF9"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Ever agreed to complete web interview</w:t>
            </w:r>
          </w:p>
          <w:p w14:paraId="0403CF24"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Dual language speaker</w:t>
            </w:r>
          </w:p>
          <w:p w14:paraId="212E5526"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HS completion status indicator</w:t>
            </w:r>
          </w:p>
          <w:p w14:paraId="098547B5"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Gender</w:t>
            </w:r>
          </w:p>
        </w:tc>
      </w:tr>
      <w:tr w:rsidR="007E68D0" w:rsidRPr="00A95C35" w14:paraId="68E3A836" w14:textId="77777777" w:rsidTr="00C55CAB">
        <w:trPr>
          <w:trHeight w:val="144"/>
        </w:trPr>
        <w:tc>
          <w:tcPr>
            <w:tcW w:w="1519" w:type="pct"/>
            <w:tcBorders>
              <w:top w:val="nil"/>
              <w:left w:val="single" w:sz="4" w:space="0" w:color="auto"/>
              <w:bottom w:val="single" w:sz="4" w:space="0" w:color="auto"/>
              <w:right w:val="single" w:sz="4" w:space="0" w:color="auto"/>
            </w:tcBorders>
            <w:vAlign w:val="center"/>
          </w:tcPr>
          <w:p w14:paraId="3B4DBF54" w14:textId="77777777" w:rsidR="00D3014C" w:rsidRPr="00A95C35" w:rsidRDefault="00D3014C" w:rsidP="00C55CAB">
            <w:pPr>
              <w:autoSpaceDE w:val="0"/>
              <w:autoSpaceDN w:val="0"/>
              <w:adjustRightInd w:val="0"/>
              <w:spacing w:line="23" w:lineRule="atLeast"/>
              <w:rPr>
                <w:rFonts w:ascii="Arial" w:eastAsiaTheme="minorHAnsi" w:hAnsi="Arial" w:cs="Arial"/>
                <w:b/>
                <w:bCs/>
                <w:sz w:val="20"/>
                <w:szCs w:val="18"/>
              </w:rPr>
            </w:pPr>
          </w:p>
        </w:tc>
        <w:tc>
          <w:tcPr>
            <w:tcW w:w="3481" w:type="pct"/>
            <w:tcBorders>
              <w:top w:val="nil"/>
              <w:left w:val="single" w:sz="4" w:space="0" w:color="auto"/>
              <w:bottom w:val="single" w:sz="4" w:space="0" w:color="auto"/>
              <w:right w:val="single" w:sz="4" w:space="0" w:color="auto"/>
            </w:tcBorders>
            <w:vAlign w:val="center"/>
          </w:tcPr>
          <w:p w14:paraId="30B1CEDC"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Count of email addresses</w:t>
            </w:r>
          </w:p>
          <w:p w14:paraId="3059A37E"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Count of phone numbers</w:t>
            </w:r>
          </w:p>
          <w:p w14:paraId="79E1DCE1"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Count of addresses</w:t>
            </w:r>
          </w:p>
        </w:tc>
      </w:tr>
    </w:tbl>
    <w:p w14:paraId="00B8FEDB" w14:textId="77777777" w:rsidR="00D3014C" w:rsidRPr="00A95C35" w:rsidRDefault="00D3014C" w:rsidP="00D3014C">
      <w:pPr>
        <w:pStyle w:val="bodytextpsg"/>
        <w:spacing w:after="120" w:line="23" w:lineRule="atLeast"/>
        <w:rPr>
          <w:rFonts w:asciiTheme="majorBidi" w:hAnsiTheme="majorBidi" w:cstheme="majorBidi"/>
        </w:rPr>
      </w:pPr>
    </w:p>
    <w:p w14:paraId="5415C5DD" w14:textId="77777777" w:rsidR="00D3014C" w:rsidRPr="00A95C35" w:rsidRDefault="00D3014C" w:rsidP="00D3014C">
      <w:pPr>
        <w:pStyle w:val="ExhibitTitle"/>
        <w:spacing w:before="0" w:after="0" w:line="23" w:lineRule="atLeast"/>
        <w:ind w:left="0" w:firstLine="0"/>
      </w:pPr>
      <w:bookmarkStart w:id="8" w:name="_Toc433779242"/>
      <w:r w:rsidRPr="00A95C35">
        <w:t>Exhibit B-11. Candidate Variables for the Main Study Bias Likelihood Model</w:t>
      </w:r>
      <w:bookmarkEnd w:id="7"/>
      <w:bookmarkEnd w:id="8"/>
      <w:r w:rsidRPr="00A95C35">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2652"/>
        <w:gridCol w:w="7946"/>
      </w:tblGrid>
      <w:tr w:rsidR="00F11A5F" w:rsidRPr="00A95C35" w14:paraId="63CA68FF" w14:textId="77777777" w:rsidTr="0006440F">
        <w:trPr>
          <w:trHeight w:val="20"/>
          <w:tblHeader/>
        </w:trPr>
        <w:tc>
          <w:tcPr>
            <w:tcW w:w="1251" w:type="pct"/>
            <w:shd w:val="clear" w:color="auto" w:fill="D9D9D9" w:themeFill="background1" w:themeFillShade="D9"/>
            <w:tcMar>
              <w:top w:w="0" w:type="dxa"/>
              <w:left w:w="115" w:type="dxa"/>
              <w:bottom w:w="0" w:type="dxa"/>
              <w:right w:w="115" w:type="dxa"/>
            </w:tcMar>
            <w:vAlign w:val="center"/>
          </w:tcPr>
          <w:p w14:paraId="625492DD" w14:textId="77777777" w:rsidR="00D3014C" w:rsidRPr="00A95C35" w:rsidRDefault="00D3014C" w:rsidP="00C55CAB">
            <w:pPr>
              <w:autoSpaceDE w:val="0"/>
              <w:autoSpaceDN w:val="0"/>
              <w:adjustRightInd w:val="0"/>
              <w:spacing w:line="23" w:lineRule="atLeast"/>
              <w:rPr>
                <w:rFonts w:ascii="Arial" w:eastAsiaTheme="minorHAnsi" w:hAnsi="Arial" w:cs="Arial"/>
                <w:b/>
                <w:bCs/>
                <w:sz w:val="20"/>
                <w:szCs w:val="18"/>
              </w:rPr>
            </w:pPr>
            <w:r w:rsidRPr="00A95C35">
              <w:rPr>
                <w:rFonts w:ascii="Arial" w:eastAsiaTheme="minorHAnsi" w:hAnsi="Arial" w:cs="Arial"/>
                <w:b/>
                <w:bCs/>
                <w:sz w:val="20"/>
                <w:szCs w:val="18"/>
              </w:rPr>
              <w:t>Data collection wave</w:t>
            </w:r>
          </w:p>
        </w:tc>
        <w:tc>
          <w:tcPr>
            <w:tcW w:w="3749" w:type="pct"/>
            <w:shd w:val="clear" w:color="auto" w:fill="D9D9D9" w:themeFill="background1" w:themeFillShade="D9"/>
            <w:tcMar>
              <w:top w:w="0" w:type="dxa"/>
              <w:left w:w="115" w:type="dxa"/>
              <w:bottom w:w="0" w:type="dxa"/>
              <w:right w:w="115" w:type="dxa"/>
            </w:tcMar>
            <w:vAlign w:val="center"/>
          </w:tcPr>
          <w:p w14:paraId="61931CF2" w14:textId="77777777" w:rsidR="00D3014C" w:rsidRPr="00A95C35" w:rsidRDefault="00D3014C" w:rsidP="00C55CAB">
            <w:pPr>
              <w:autoSpaceDE w:val="0"/>
              <w:autoSpaceDN w:val="0"/>
              <w:adjustRightInd w:val="0"/>
              <w:spacing w:line="23" w:lineRule="atLeast"/>
              <w:rPr>
                <w:rFonts w:ascii="Arial" w:eastAsiaTheme="minorHAnsi" w:hAnsi="Arial" w:cs="Arial"/>
                <w:b/>
                <w:bCs/>
                <w:sz w:val="20"/>
                <w:szCs w:val="18"/>
              </w:rPr>
            </w:pPr>
            <w:r w:rsidRPr="00A95C35">
              <w:rPr>
                <w:rFonts w:ascii="Arial" w:eastAsiaTheme="minorHAnsi" w:hAnsi="Arial" w:cs="Arial"/>
                <w:b/>
                <w:bCs/>
                <w:sz w:val="20"/>
                <w:szCs w:val="18"/>
              </w:rPr>
              <w:t>Variables</w:t>
            </w:r>
          </w:p>
        </w:tc>
      </w:tr>
      <w:tr w:rsidR="00F11A5F" w:rsidRPr="00A95C35" w14:paraId="082118ED" w14:textId="77777777" w:rsidTr="00C55CAB">
        <w:trPr>
          <w:trHeight w:val="144"/>
        </w:trPr>
        <w:tc>
          <w:tcPr>
            <w:tcW w:w="1251" w:type="pct"/>
            <w:tcMar>
              <w:top w:w="0" w:type="dxa"/>
              <w:left w:w="115" w:type="dxa"/>
              <w:bottom w:w="0" w:type="dxa"/>
              <w:right w:w="115" w:type="dxa"/>
            </w:tcMar>
            <w:vAlign w:val="center"/>
          </w:tcPr>
          <w:p w14:paraId="672AECDB" w14:textId="77777777" w:rsidR="00D3014C" w:rsidRPr="00A95C35" w:rsidRDefault="00D3014C" w:rsidP="00C55CAB">
            <w:pPr>
              <w:autoSpaceDE w:val="0"/>
              <w:autoSpaceDN w:val="0"/>
              <w:adjustRightInd w:val="0"/>
              <w:spacing w:line="23" w:lineRule="atLeast"/>
              <w:rPr>
                <w:rFonts w:ascii="Arial" w:eastAsiaTheme="minorHAnsi" w:hAnsi="Arial" w:cs="Arial"/>
                <w:b/>
                <w:sz w:val="20"/>
                <w:szCs w:val="20"/>
              </w:rPr>
            </w:pPr>
            <w:r w:rsidRPr="00A95C35">
              <w:rPr>
                <w:rFonts w:ascii="Arial" w:eastAsiaTheme="minorHAnsi" w:hAnsi="Arial" w:cs="Arial"/>
                <w:b/>
                <w:sz w:val="20"/>
                <w:szCs w:val="20"/>
              </w:rPr>
              <w:t>Sampling frame</w:t>
            </w:r>
          </w:p>
        </w:tc>
        <w:tc>
          <w:tcPr>
            <w:tcW w:w="3749" w:type="pct"/>
            <w:tcMar>
              <w:top w:w="0" w:type="dxa"/>
              <w:left w:w="115" w:type="dxa"/>
              <w:bottom w:w="0" w:type="dxa"/>
              <w:right w:w="115" w:type="dxa"/>
            </w:tcMar>
            <w:vAlign w:val="center"/>
          </w:tcPr>
          <w:p w14:paraId="74CD6ED0"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Race</w:t>
            </w:r>
          </w:p>
        </w:tc>
      </w:tr>
      <w:tr w:rsidR="00F11A5F" w:rsidRPr="00A95C35" w14:paraId="4ED97664" w14:textId="77777777" w:rsidTr="00C55CAB">
        <w:trPr>
          <w:trHeight w:val="144"/>
        </w:trPr>
        <w:tc>
          <w:tcPr>
            <w:tcW w:w="1251" w:type="pct"/>
            <w:tcMar>
              <w:top w:w="0" w:type="dxa"/>
              <w:left w:w="115" w:type="dxa"/>
              <w:bottom w:w="0" w:type="dxa"/>
              <w:right w:w="115" w:type="dxa"/>
            </w:tcMar>
            <w:vAlign w:val="center"/>
          </w:tcPr>
          <w:p w14:paraId="78C5FD35" w14:textId="77777777" w:rsidR="00D3014C" w:rsidRPr="00A95C35" w:rsidRDefault="00D3014C" w:rsidP="00C55CAB">
            <w:pPr>
              <w:autoSpaceDE w:val="0"/>
              <w:autoSpaceDN w:val="0"/>
              <w:adjustRightInd w:val="0"/>
              <w:spacing w:line="23" w:lineRule="atLeast"/>
              <w:rPr>
                <w:rFonts w:ascii="Arial" w:eastAsiaTheme="minorHAnsi" w:hAnsi="Arial" w:cs="Arial"/>
                <w:b/>
                <w:sz w:val="20"/>
                <w:szCs w:val="20"/>
              </w:rPr>
            </w:pPr>
          </w:p>
        </w:tc>
        <w:tc>
          <w:tcPr>
            <w:tcW w:w="3749" w:type="pct"/>
            <w:tcMar>
              <w:top w:w="0" w:type="dxa"/>
              <w:left w:w="115" w:type="dxa"/>
              <w:bottom w:w="0" w:type="dxa"/>
              <w:right w:w="115" w:type="dxa"/>
            </w:tcMar>
            <w:vAlign w:val="center"/>
          </w:tcPr>
          <w:p w14:paraId="5E8FD489"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Gender</w:t>
            </w:r>
          </w:p>
        </w:tc>
      </w:tr>
      <w:tr w:rsidR="00F11A5F" w:rsidRPr="00A95C35" w14:paraId="2A284511" w14:textId="77777777" w:rsidTr="00C55CAB">
        <w:trPr>
          <w:trHeight w:val="144"/>
        </w:trPr>
        <w:tc>
          <w:tcPr>
            <w:tcW w:w="1251" w:type="pct"/>
            <w:tcMar>
              <w:top w:w="0" w:type="dxa"/>
              <w:left w:w="115" w:type="dxa"/>
              <w:bottom w:w="0" w:type="dxa"/>
              <w:right w:w="115" w:type="dxa"/>
            </w:tcMar>
            <w:vAlign w:val="center"/>
          </w:tcPr>
          <w:p w14:paraId="079FC661" w14:textId="77777777" w:rsidR="00D3014C" w:rsidRPr="00A95C35" w:rsidRDefault="00D3014C" w:rsidP="00C55CAB">
            <w:pPr>
              <w:autoSpaceDE w:val="0"/>
              <w:autoSpaceDN w:val="0"/>
              <w:adjustRightInd w:val="0"/>
              <w:spacing w:line="23" w:lineRule="atLeast"/>
              <w:rPr>
                <w:rFonts w:ascii="Arial" w:eastAsiaTheme="minorHAnsi" w:hAnsi="Arial" w:cs="Arial"/>
                <w:b/>
                <w:sz w:val="20"/>
                <w:szCs w:val="20"/>
              </w:rPr>
            </w:pPr>
          </w:p>
        </w:tc>
        <w:tc>
          <w:tcPr>
            <w:tcW w:w="3749" w:type="pct"/>
            <w:tcMar>
              <w:top w:w="0" w:type="dxa"/>
              <w:left w:w="115" w:type="dxa"/>
              <w:bottom w:w="0" w:type="dxa"/>
              <w:right w:w="115" w:type="dxa"/>
            </w:tcMar>
            <w:vAlign w:val="center"/>
          </w:tcPr>
          <w:p w14:paraId="178A27DF"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School type</w:t>
            </w:r>
          </w:p>
        </w:tc>
      </w:tr>
      <w:tr w:rsidR="00F11A5F" w:rsidRPr="00A95C35" w14:paraId="4DD0D714" w14:textId="77777777" w:rsidTr="00C55CAB">
        <w:trPr>
          <w:trHeight w:val="144"/>
        </w:trPr>
        <w:tc>
          <w:tcPr>
            <w:tcW w:w="1251" w:type="pct"/>
            <w:tcMar>
              <w:top w:w="0" w:type="dxa"/>
              <w:left w:w="115" w:type="dxa"/>
              <w:bottom w:w="0" w:type="dxa"/>
              <w:right w:w="115" w:type="dxa"/>
            </w:tcMar>
            <w:vAlign w:val="center"/>
          </w:tcPr>
          <w:p w14:paraId="65EE79B6" w14:textId="77777777" w:rsidR="00D3014C" w:rsidRPr="00A95C35" w:rsidRDefault="00D3014C" w:rsidP="00C55CAB">
            <w:pPr>
              <w:autoSpaceDE w:val="0"/>
              <w:autoSpaceDN w:val="0"/>
              <w:adjustRightInd w:val="0"/>
              <w:spacing w:line="23" w:lineRule="atLeast"/>
              <w:rPr>
                <w:rFonts w:ascii="Arial" w:eastAsiaTheme="minorHAnsi" w:hAnsi="Arial" w:cs="Arial"/>
                <w:b/>
                <w:sz w:val="20"/>
                <w:szCs w:val="20"/>
              </w:rPr>
            </w:pPr>
          </w:p>
        </w:tc>
        <w:tc>
          <w:tcPr>
            <w:tcW w:w="3749" w:type="pct"/>
            <w:tcMar>
              <w:top w:w="0" w:type="dxa"/>
              <w:left w:w="115" w:type="dxa"/>
              <w:bottom w:w="0" w:type="dxa"/>
              <w:right w:w="115" w:type="dxa"/>
            </w:tcMar>
            <w:vAlign w:val="center"/>
          </w:tcPr>
          <w:p w14:paraId="08C02179"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Metropolitan area</w:t>
            </w:r>
          </w:p>
        </w:tc>
      </w:tr>
      <w:tr w:rsidR="00F11A5F" w:rsidRPr="00A95C35" w14:paraId="71A07C56" w14:textId="77777777" w:rsidTr="00C55CAB">
        <w:trPr>
          <w:trHeight w:val="144"/>
        </w:trPr>
        <w:tc>
          <w:tcPr>
            <w:tcW w:w="1251" w:type="pct"/>
            <w:tcMar>
              <w:top w:w="0" w:type="dxa"/>
              <w:left w:w="115" w:type="dxa"/>
              <w:bottom w:w="0" w:type="dxa"/>
              <w:right w:w="115" w:type="dxa"/>
            </w:tcMar>
            <w:vAlign w:val="center"/>
          </w:tcPr>
          <w:p w14:paraId="5FD7F5FA" w14:textId="77777777" w:rsidR="00D3014C" w:rsidRPr="00A95C35" w:rsidRDefault="00D3014C" w:rsidP="00C55CAB">
            <w:pPr>
              <w:autoSpaceDE w:val="0"/>
              <w:autoSpaceDN w:val="0"/>
              <w:adjustRightInd w:val="0"/>
              <w:spacing w:line="23" w:lineRule="atLeast"/>
              <w:rPr>
                <w:rFonts w:ascii="Arial" w:eastAsiaTheme="minorHAnsi" w:hAnsi="Arial" w:cs="Arial"/>
                <w:b/>
                <w:sz w:val="20"/>
                <w:szCs w:val="20"/>
              </w:rPr>
            </w:pPr>
          </w:p>
        </w:tc>
        <w:tc>
          <w:tcPr>
            <w:tcW w:w="3749" w:type="pct"/>
            <w:tcMar>
              <w:top w:w="0" w:type="dxa"/>
              <w:left w:w="115" w:type="dxa"/>
              <w:bottom w:w="0" w:type="dxa"/>
              <w:right w:w="115" w:type="dxa"/>
            </w:tcMar>
            <w:vAlign w:val="center"/>
          </w:tcPr>
          <w:p w14:paraId="7B045E3E"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Geographic region</w:t>
            </w:r>
          </w:p>
        </w:tc>
      </w:tr>
      <w:tr w:rsidR="00F11A5F" w:rsidRPr="00A95C35" w14:paraId="6F05923B" w14:textId="77777777" w:rsidTr="00C55CAB">
        <w:trPr>
          <w:trHeight w:val="144"/>
        </w:trPr>
        <w:tc>
          <w:tcPr>
            <w:tcW w:w="1251" w:type="pct"/>
            <w:tcMar>
              <w:top w:w="0" w:type="dxa"/>
              <w:left w:w="115" w:type="dxa"/>
              <w:bottom w:w="0" w:type="dxa"/>
              <w:right w:w="115" w:type="dxa"/>
            </w:tcMar>
            <w:vAlign w:val="center"/>
          </w:tcPr>
          <w:p w14:paraId="34CEED59"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b/>
                <w:sz w:val="20"/>
                <w:szCs w:val="20"/>
              </w:rPr>
              <w:t>Base Year</w:t>
            </w:r>
            <w:r w:rsidRPr="00A95C35">
              <w:rPr>
                <w:rFonts w:ascii="Arial" w:eastAsiaTheme="minorHAnsi" w:hAnsi="Arial" w:cs="Arial"/>
                <w:sz w:val="20"/>
                <w:szCs w:val="20"/>
              </w:rPr>
              <w:t xml:space="preserve"> </w:t>
            </w:r>
          </w:p>
        </w:tc>
        <w:tc>
          <w:tcPr>
            <w:tcW w:w="3749" w:type="pct"/>
            <w:tcMar>
              <w:top w:w="0" w:type="dxa"/>
              <w:left w:w="115" w:type="dxa"/>
              <w:bottom w:w="0" w:type="dxa"/>
              <w:right w:w="115" w:type="dxa"/>
            </w:tcMar>
            <w:vAlign w:val="center"/>
          </w:tcPr>
          <w:p w14:paraId="01743DC9"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Student’s educational expectations</w:t>
            </w:r>
          </w:p>
          <w:p w14:paraId="63730250"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Parent’s education expectations</w:t>
            </w:r>
          </w:p>
          <w:p w14:paraId="4E2C9D0A"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Taking a Fall 09 math course</w:t>
            </w:r>
          </w:p>
          <w:p w14:paraId="2091761B"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Taking a Fall 09 science course</w:t>
            </w:r>
          </w:p>
          <w:p w14:paraId="076CABC0"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Base year math assessment score</w:t>
            </w:r>
          </w:p>
        </w:tc>
      </w:tr>
      <w:tr w:rsidR="00F11A5F" w:rsidRPr="00A95C35" w14:paraId="6BFFB821" w14:textId="77777777" w:rsidTr="00C55CAB">
        <w:trPr>
          <w:trHeight w:val="144"/>
        </w:trPr>
        <w:tc>
          <w:tcPr>
            <w:tcW w:w="1251" w:type="pct"/>
            <w:tcMar>
              <w:top w:w="0" w:type="dxa"/>
              <w:left w:w="115" w:type="dxa"/>
              <w:bottom w:w="0" w:type="dxa"/>
              <w:right w:w="115" w:type="dxa"/>
            </w:tcMar>
            <w:vAlign w:val="center"/>
          </w:tcPr>
          <w:p w14:paraId="43C7C517"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b/>
                <w:sz w:val="20"/>
                <w:szCs w:val="20"/>
              </w:rPr>
              <w:t>First Follow up</w:t>
            </w:r>
          </w:p>
        </w:tc>
        <w:tc>
          <w:tcPr>
            <w:tcW w:w="3749" w:type="pct"/>
            <w:tcMar>
              <w:top w:w="0" w:type="dxa"/>
              <w:left w:w="115" w:type="dxa"/>
              <w:bottom w:w="0" w:type="dxa"/>
              <w:right w:w="115" w:type="dxa"/>
            </w:tcMar>
            <w:vAlign w:val="center"/>
          </w:tcPr>
          <w:p w14:paraId="61E0CD4F"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When Algebra 1 was taken</w:t>
            </w:r>
          </w:p>
          <w:p w14:paraId="08313442"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Grade in Algebra 1</w:t>
            </w:r>
          </w:p>
          <w:p w14:paraId="62AE724F"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Student’s educational expectations</w:t>
            </w:r>
          </w:p>
          <w:p w14:paraId="59643297"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Parent’s education expectations</w:t>
            </w:r>
          </w:p>
          <w:p w14:paraId="73F5A84A"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Grade in 2011-12</w:t>
            </w:r>
          </w:p>
          <w:p w14:paraId="32460C21"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Location</w:t>
            </w:r>
          </w:p>
          <w:p w14:paraId="444C2189"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Dual language indicator</w:t>
            </w:r>
          </w:p>
          <w:p w14:paraId="37AF4C8D"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Socioeconomic status indicator</w:t>
            </w:r>
          </w:p>
          <w:p w14:paraId="5B189783"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Repeated a grade?</w:t>
            </w:r>
          </w:p>
          <w:p w14:paraId="597951B5"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F1 math assessment score</w:t>
            </w:r>
          </w:p>
          <w:p w14:paraId="1E4073C8"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Attended a job fair?</w:t>
            </w:r>
          </w:p>
          <w:p w14:paraId="29A69022"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Toured a college?</w:t>
            </w:r>
          </w:p>
          <w:p w14:paraId="75F41EF9"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Taken a college class?</w:t>
            </w:r>
          </w:p>
          <w:p w14:paraId="31552042"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Completed an internship?</w:t>
            </w:r>
          </w:p>
          <w:p w14:paraId="29C349BD"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Performed work in job related to career goals?</w:t>
            </w:r>
          </w:p>
          <w:p w14:paraId="43F08F42"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Searched internet/college guides for college options?</w:t>
            </w:r>
          </w:p>
          <w:p w14:paraId="7EB4A845"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Talked to HS counselor about after high school options?</w:t>
            </w:r>
          </w:p>
          <w:p w14:paraId="73A86257"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Talked with college admission counselor?</w:t>
            </w:r>
          </w:p>
          <w:p w14:paraId="1DD18670"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Taken a college entrance exam prep course?</w:t>
            </w:r>
          </w:p>
          <w:p w14:paraId="0A1F40A5"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Taking math classes in spring 2012?</w:t>
            </w:r>
          </w:p>
        </w:tc>
      </w:tr>
      <w:tr w:rsidR="00F11A5F" w:rsidRPr="00A95C35" w14:paraId="1883F506" w14:textId="77777777" w:rsidTr="0006440F">
        <w:tblPrEx>
          <w:tblCellMar>
            <w:top w:w="0" w:type="dxa"/>
            <w:bottom w:w="0" w:type="dxa"/>
          </w:tblCellMar>
        </w:tblPrEx>
        <w:trPr>
          <w:cantSplit/>
          <w:trHeight w:val="206"/>
        </w:trPr>
        <w:tc>
          <w:tcPr>
            <w:tcW w:w="1251" w:type="pct"/>
            <w:vMerge w:val="restart"/>
            <w:tcMar>
              <w:top w:w="0" w:type="dxa"/>
              <w:left w:w="115" w:type="dxa"/>
              <w:bottom w:w="0" w:type="dxa"/>
              <w:right w:w="115" w:type="dxa"/>
            </w:tcMar>
            <w:vAlign w:val="center"/>
          </w:tcPr>
          <w:p w14:paraId="4C47C10D"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b/>
                <w:bCs/>
                <w:sz w:val="20"/>
                <w:szCs w:val="18"/>
              </w:rPr>
              <w:lastRenderedPageBreak/>
              <w:t>2013 Update Survey and High School Transcript Collection</w:t>
            </w:r>
          </w:p>
        </w:tc>
        <w:tc>
          <w:tcPr>
            <w:tcW w:w="3749" w:type="pct"/>
            <w:tcMar>
              <w:top w:w="0" w:type="dxa"/>
              <w:left w:w="115" w:type="dxa"/>
              <w:bottom w:w="0" w:type="dxa"/>
              <w:right w:w="115" w:type="dxa"/>
            </w:tcMar>
          </w:tcPr>
          <w:p w14:paraId="77C5DB52"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Sample member has high school credential</w:t>
            </w:r>
          </w:p>
          <w:p w14:paraId="7C7BE38E"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Date of high school credential</w:t>
            </w:r>
          </w:p>
          <w:p w14:paraId="37D5A7B6"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School characteristics of last-attended high school</w:t>
            </w:r>
          </w:p>
          <w:p w14:paraId="1A8FC4F7"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Dual-enrollment status/information</w:t>
            </w:r>
          </w:p>
        </w:tc>
      </w:tr>
      <w:tr w:rsidR="00F11A5F" w:rsidRPr="00A95C35" w14:paraId="1517DD62"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195BB0FD"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6DA18A29"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Taking postsecondary classes as of Nov 1 2013</w:t>
            </w:r>
          </w:p>
          <w:p w14:paraId="693E4632"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Sector of postsecondary institution as of Nov 1 2013</w:t>
            </w:r>
          </w:p>
        </w:tc>
      </w:tr>
      <w:tr w:rsidR="00F11A5F" w:rsidRPr="00A95C35" w14:paraId="1629A0E3"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4F94BDAF"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183DCE8C"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Apprenticing as of Nov 1 2013</w:t>
            </w:r>
          </w:p>
        </w:tc>
      </w:tr>
      <w:tr w:rsidR="00F11A5F" w:rsidRPr="00A95C35" w14:paraId="37D55E89"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560DD7A4"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6C168ABD"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Working for pay as of Nov 1 2013</w:t>
            </w:r>
          </w:p>
        </w:tc>
      </w:tr>
      <w:tr w:rsidR="00F11A5F" w:rsidRPr="00A95C35" w14:paraId="763D3961" w14:textId="77777777" w:rsidTr="00C55CAB">
        <w:tblPrEx>
          <w:tblCellMar>
            <w:top w:w="0" w:type="dxa"/>
            <w:bottom w:w="0" w:type="dxa"/>
          </w:tblCellMar>
        </w:tblPrEx>
        <w:trPr>
          <w:trHeight w:val="95"/>
        </w:trPr>
        <w:tc>
          <w:tcPr>
            <w:tcW w:w="1251" w:type="pct"/>
            <w:vMerge/>
            <w:tcMar>
              <w:top w:w="0" w:type="dxa"/>
              <w:left w:w="115" w:type="dxa"/>
              <w:bottom w:w="0" w:type="dxa"/>
              <w:right w:w="115" w:type="dxa"/>
            </w:tcMar>
            <w:vAlign w:val="center"/>
          </w:tcPr>
          <w:p w14:paraId="0F987A93"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67A313D8"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Serving in the military as of Nov 1 2013</w:t>
            </w:r>
          </w:p>
        </w:tc>
      </w:tr>
      <w:tr w:rsidR="00F11A5F" w:rsidRPr="00A95C35" w14:paraId="63B45672"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25CF3E5E"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1A986701"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Starting family/taking care of children as of Nov 1 2013</w:t>
            </w:r>
          </w:p>
        </w:tc>
      </w:tr>
      <w:tr w:rsidR="00F11A5F" w:rsidRPr="00A95C35" w14:paraId="76BD2B72"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18653F63"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7F3D88FC"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Attending high school or homeschool as of Nov 1 2013</w:t>
            </w:r>
          </w:p>
        </w:tc>
      </w:tr>
      <w:tr w:rsidR="00F11A5F" w:rsidRPr="00A95C35" w14:paraId="5C6EA310"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5238B703"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64D1DF01"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In a course to prepare for GED as of Nov 1 2013</w:t>
            </w:r>
          </w:p>
          <w:p w14:paraId="62651F4C"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Number of postsecondary institutions applied to</w:t>
            </w:r>
          </w:p>
        </w:tc>
      </w:tr>
      <w:tr w:rsidR="00F11A5F" w:rsidRPr="00A95C35" w14:paraId="2F315387"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1B7291B4"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154C67A8"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Completed a FAFSA for teenager's education</w:t>
            </w:r>
          </w:p>
        </w:tc>
      </w:tr>
      <w:tr w:rsidR="00F11A5F" w:rsidRPr="00A95C35" w14:paraId="7A2CCAD5"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125E1E10"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3FB4123F"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Did not complete FAFSA because did not want to go into debt</w:t>
            </w:r>
          </w:p>
        </w:tc>
      </w:tr>
      <w:tr w:rsidR="00F11A5F" w:rsidRPr="00A95C35" w14:paraId="19391836"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236E4651"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588C4B7E"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Did not complete FAFSA because can afford college without financial aid</w:t>
            </w:r>
          </w:p>
        </w:tc>
      </w:tr>
      <w:tr w:rsidR="00F11A5F" w:rsidRPr="00A95C35" w14:paraId="5A3B88C2"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3E6297A0"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675F9DF4"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Did not complete FAFSA because thought ineligible or unqualified</w:t>
            </w:r>
          </w:p>
        </w:tc>
      </w:tr>
      <w:tr w:rsidR="00F11A5F" w:rsidRPr="00A95C35" w14:paraId="26988E97"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38FA62A1"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78A68065"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Did not complete FAFSA because did not know how</w:t>
            </w:r>
          </w:p>
        </w:tc>
      </w:tr>
      <w:tr w:rsidR="00F11A5F" w:rsidRPr="00A95C35" w14:paraId="57616B1F"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45A2FFE9"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19406B4F"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Did not complete FAFSA because forms were too time-consuming/too much work</w:t>
            </w:r>
          </w:p>
        </w:tc>
      </w:tr>
      <w:tr w:rsidR="00F11A5F" w:rsidRPr="00A95C35" w14:paraId="471696C0"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4F5771A8"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68B01B5C"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Did not complete FAFSA because did not know could</w:t>
            </w:r>
          </w:p>
        </w:tc>
      </w:tr>
      <w:tr w:rsidR="00F11A5F" w:rsidRPr="00A95C35" w14:paraId="5A4761A8"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48A22708"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0FC02B3C"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Did not complete FAFSA because teen does not plan to continue education</w:t>
            </w:r>
          </w:p>
        </w:tc>
      </w:tr>
      <w:tr w:rsidR="00F11A5F" w:rsidRPr="00A95C35" w14:paraId="3F232C16" w14:textId="77777777" w:rsidTr="00C55CAB">
        <w:trPr>
          <w:trHeight w:val="20"/>
        </w:trPr>
        <w:tc>
          <w:tcPr>
            <w:tcW w:w="1251" w:type="pct"/>
            <w:vMerge/>
            <w:tcMar>
              <w:top w:w="0" w:type="dxa"/>
              <w:left w:w="115" w:type="dxa"/>
              <w:bottom w:w="0" w:type="dxa"/>
              <w:right w:w="115" w:type="dxa"/>
            </w:tcMar>
            <w:vAlign w:val="center"/>
          </w:tcPr>
          <w:p w14:paraId="7F7A4118"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10203879"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Currently working for pay</w:t>
            </w:r>
          </w:p>
        </w:tc>
      </w:tr>
      <w:tr w:rsidR="00F11A5F" w:rsidRPr="00A95C35" w14:paraId="787B331D"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435F0F53"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30DBB9FF"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Number of high schools attended</w:t>
            </w:r>
          </w:p>
        </w:tc>
      </w:tr>
      <w:tr w:rsidR="00F11A5F" w:rsidRPr="00A95C35" w14:paraId="5265052D" w14:textId="77777777" w:rsidTr="00C55CAB">
        <w:trPr>
          <w:trHeight w:val="20"/>
        </w:trPr>
        <w:tc>
          <w:tcPr>
            <w:tcW w:w="1251" w:type="pct"/>
            <w:vMerge/>
            <w:tcMar>
              <w:top w:w="0" w:type="dxa"/>
              <w:left w:w="115" w:type="dxa"/>
              <w:bottom w:w="0" w:type="dxa"/>
              <w:right w:w="115" w:type="dxa"/>
            </w:tcMar>
            <w:vAlign w:val="center"/>
          </w:tcPr>
          <w:p w14:paraId="2964EAAE"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1F8BD487"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Attended CTE center (flag)</w:t>
            </w:r>
          </w:p>
        </w:tc>
      </w:tr>
      <w:tr w:rsidR="00F11A5F" w:rsidRPr="00A95C35" w14:paraId="2476E2B0" w14:textId="77777777" w:rsidTr="00C55CAB">
        <w:trPr>
          <w:trHeight w:val="20"/>
        </w:trPr>
        <w:tc>
          <w:tcPr>
            <w:tcW w:w="1251" w:type="pct"/>
            <w:vMerge/>
            <w:tcMar>
              <w:top w:w="0" w:type="dxa"/>
              <w:left w:w="115" w:type="dxa"/>
              <w:bottom w:w="0" w:type="dxa"/>
              <w:right w:w="115" w:type="dxa"/>
            </w:tcMar>
            <w:vAlign w:val="center"/>
          </w:tcPr>
          <w:p w14:paraId="088469CA"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5ADB2713"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English language learner status</w:t>
            </w:r>
          </w:p>
        </w:tc>
      </w:tr>
      <w:tr w:rsidR="00F11A5F" w:rsidRPr="00A95C35" w14:paraId="54D12F0A" w14:textId="77777777" w:rsidTr="00C55CAB">
        <w:trPr>
          <w:trHeight w:val="20"/>
        </w:trPr>
        <w:tc>
          <w:tcPr>
            <w:tcW w:w="1251" w:type="pct"/>
            <w:vMerge/>
            <w:tcMar>
              <w:top w:w="0" w:type="dxa"/>
              <w:left w:w="115" w:type="dxa"/>
              <w:bottom w:w="0" w:type="dxa"/>
              <w:right w:w="115" w:type="dxa"/>
            </w:tcMar>
            <w:vAlign w:val="center"/>
          </w:tcPr>
          <w:p w14:paraId="7FE34B28"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4DC739D6"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GPA: overall</w:t>
            </w:r>
          </w:p>
          <w:p w14:paraId="6F02ADC4"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GPA: English</w:t>
            </w:r>
          </w:p>
        </w:tc>
      </w:tr>
      <w:tr w:rsidR="00F11A5F" w:rsidRPr="00A95C35" w14:paraId="10564038"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78066FC4"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29FAA9F1"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GPA: mathematics</w:t>
            </w:r>
          </w:p>
        </w:tc>
      </w:tr>
      <w:tr w:rsidR="00F11A5F" w:rsidRPr="00A95C35" w14:paraId="1E615D51"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57EA6AA0"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57096480"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GPA: science</w:t>
            </w:r>
          </w:p>
        </w:tc>
      </w:tr>
      <w:tr w:rsidR="00F11A5F" w:rsidRPr="00A95C35" w14:paraId="58CD13EF"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1845A599"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42EEA8C3"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Total credits earned</w:t>
            </w:r>
          </w:p>
        </w:tc>
      </w:tr>
      <w:tr w:rsidR="007E68D0" w:rsidRPr="00A95C35" w14:paraId="4DB7618B"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4E82A286"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04A1BB56"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Credits earned in academic courses</w:t>
            </w:r>
          </w:p>
          <w:p w14:paraId="4B9C7EC0"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Ever had a dropout episode</w:t>
            </w:r>
          </w:p>
        </w:tc>
      </w:tr>
    </w:tbl>
    <w:p w14:paraId="0F25EA84" w14:textId="77777777" w:rsidR="00D3014C" w:rsidRPr="00A95C35" w:rsidRDefault="00D3014C" w:rsidP="00D3014C">
      <w:pPr>
        <w:rPr>
          <w:sz w:val="20"/>
          <w:szCs w:val="18"/>
        </w:rPr>
      </w:pPr>
    </w:p>
    <w:p w14:paraId="3CA27556" w14:textId="77777777" w:rsidR="00D3014C" w:rsidRPr="00A95C35" w:rsidRDefault="00D3014C" w:rsidP="0006440F">
      <w:pPr>
        <w:pStyle w:val="bodytextpsg"/>
        <w:spacing w:after="120" w:line="23" w:lineRule="atLeast"/>
      </w:pPr>
      <w:r w:rsidRPr="00A95C35">
        <w:t>The goal of the bias likelihood model is not to accurately predict response, but to classify sample members’ current response rates along the dimensions represented by the predictor variables. As such, statistical significance should not be a determining factor in which variables are included in the model, rather the criterion should be that variable’s importance for HSLS</w:t>
      </w:r>
      <w:proofErr w:type="gramStart"/>
      <w:r w:rsidRPr="00A95C35">
        <w:t>:09</w:t>
      </w:r>
      <w:proofErr w:type="gramEnd"/>
      <w:r w:rsidRPr="00A95C35">
        <w:t>. The threshold for identifying cases for targeted treatment will be based on an assessment of the bias likelihood score, the response likelihood score, and available project resources.</w:t>
      </w:r>
    </w:p>
    <w:p w14:paraId="3F7C449A" w14:textId="77777777" w:rsidR="00D3014C" w:rsidRPr="00A95C35" w:rsidRDefault="00D3014C" w:rsidP="00D3014C">
      <w:pPr>
        <w:spacing w:after="120" w:line="23" w:lineRule="atLeast"/>
        <w:rPr>
          <w:rFonts w:asciiTheme="majorBidi" w:hAnsiTheme="majorBidi"/>
        </w:rPr>
      </w:pPr>
      <w:r w:rsidRPr="00A95C35">
        <w:rPr>
          <w:rFonts w:asciiTheme="majorBidi" w:hAnsiTheme="majorBidi" w:cstheme="majorBidi"/>
          <w:b/>
        </w:rPr>
        <w:t>Evaluation of responsive design approach.</w:t>
      </w:r>
    </w:p>
    <w:p w14:paraId="1D60920D" w14:textId="77777777" w:rsidR="00D3014C" w:rsidRPr="00A95C35" w:rsidRDefault="00D3014C" w:rsidP="00D3014C">
      <w:pPr>
        <w:spacing w:after="120" w:line="23" w:lineRule="atLeast"/>
      </w:pPr>
      <w:r w:rsidRPr="00A95C35">
        <w:t>There are three elements to be evaluated in the proposed responsive design approach: (1) that sample cases that contribute to sample representativeness can be identified at the beginning of the third and subsequent data collection phases, (2) that interventions used during each phase of the data collection design are effective in increasing participation, and (3) that increasing response rates among the targeted cases will improve sample representativeness. We intend to examine these three aspects of the responsive design and its implementation for the HSLS</w:t>
      </w:r>
      <w:proofErr w:type="gramStart"/>
      <w:r w:rsidRPr="00A95C35">
        <w:t>:09</w:t>
      </w:r>
      <w:proofErr w:type="gramEnd"/>
      <w:r w:rsidRPr="00A95C35">
        <w:t xml:space="preserve"> second follow up as follows:</w:t>
      </w:r>
    </w:p>
    <w:p w14:paraId="1CCFC8DA" w14:textId="77777777" w:rsidR="00D3014C" w:rsidRPr="00A95C35" w:rsidRDefault="00D3014C" w:rsidP="00D3014C">
      <w:pPr>
        <w:pStyle w:val="ListParagraph"/>
        <w:numPr>
          <w:ilvl w:val="0"/>
          <w:numId w:val="18"/>
        </w:numPr>
        <w:spacing w:after="120" w:line="23" w:lineRule="atLeast"/>
        <w:ind w:left="450"/>
        <w:rPr>
          <w:rFonts w:ascii="Times New Roman" w:hAnsi="Times New Roman"/>
          <w:sz w:val="24"/>
        </w:rPr>
      </w:pPr>
      <w:r w:rsidRPr="00A95C35">
        <w:rPr>
          <w:rFonts w:ascii="Times New Roman" w:hAnsi="Times New Roman"/>
          <w:i/>
          <w:iCs/>
          <w:sz w:val="24"/>
          <w:szCs w:val="24"/>
        </w:rPr>
        <w:t xml:space="preserve">Evaluate the bias likelihood model used to identify targeted cases. </w:t>
      </w:r>
      <w:r w:rsidRPr="00A95C35">
        <w:rPr>
          <w:rFonts w:ascii="Times New Roman" w:hAnsi="Times New Roman"/>
          <w:sz w:val="24"/>
          <w:szCs w:val="24"/>
        </w:rPr>
        <w:t>To assess whether the bias likelihood model successfully identifies nonresponding cases that are underrepresented on key survey variables, we will compare estimates within the categories of each model variable for respondents and nonrespondents at each phase. This comparison will highlight the model variables that exhibit bias at each phase and the relative size of the imbalance that remains to be reduced through the intervention.</w:t>
      </w:r>
    </w:p>
    <w:p w14:paraId="6A591BA6" w14:textId="77777777" w:rsidR="00D3014C" w:rsidRPr="00A95C35" w:rsidRDefault="00D3014C" w:rsidP="00D3014C">
      <w:pPr>
        <w:pStyle w:val="ListParagraph"/>
        <w:numPr>
          <w:ilvl w:val="0"/>
          <w:numId w:val="18"/>
        </w:numPr>
        <w:spacing w:after="120" w:line="23" w:lineRule="atLeast"/>
        <w:ind w:left="450"/>
        <w:rPr>
          <w:rFonts w:ascii="Times New Roman" w:hAnsi="Times New Roman"/>
          <w:sz w:val="24"/>
        </w:rPr>
      </w:pPr>
      <w:r w:rsidRPr="00A95C35">
        <w:rPr>
          <w:rFonts w:ascii="Times New Roman" w:hAnsi="Times New Roman"/>
          <w:i/>
          <w:iCs/>
          <w:sz w:val="24"/>
          <w:szCs w:val="24"/>
        </w:rPr>
        <w:t xml:space="preserve">Evaluate the effectiveness of each intervention in increasing survey participation. </w:t>
      </w:r>
      <w:r w:rsidRPr="00A95C35">
        <w:rPr>
          <w:rFonts w:ascii="Times New Roman" w:hAnsi="Times New Roman"/>
          <w:sz w:val="24"/>
          <w:szCs w:val="24"/>
        </w:rPr>
        <w:t xml:space="preserve">The second key component of this responsive design is the effectiveness of the targeted treatments in increasing </w:t>
      </w:r>
      <w:r w:rsidRPr="00A95C35">
        <w:rPr>
          <w:rFonts w:ascii="Times New Roman" w:hAnsi="Times New Roman"/>
          <w:sz w:val="24"/>
          <w:szCs w:val="24"/>
        </w:rPr>
        <w:lastRenderedPageBreak/>
        <w:t>participation. Experiments conducted with the calibration samples will allow us to assess the efficacy of the various treatments.</w:t>
      </w:r>
    </w:p>
    <w:p w14:paraId="7786A1F1" w14:textId="77777777" w:rsidR="00D3014C" w:rsidRPr="00A95C35" w:rsidRDefault="00D3014C" w:rsidP="00D3014C">
      <w:pPr>
        <w:pStyle w:val="ListParagraph"/>
        <w:numPr>
          <w:ilvl w:val="0"/>
          <w:numId w:val="18"/>
        </w:numPr>
        <w:spacing w:after="120" w:line="23" w:lineRule="atLeast"/>
        <w:ind w:left="450"/>
      </w:pPr>
      <w:r w:rsidRPr="00A95C35">
        <w:rPr>
          <w:rFonts w:ascii="Times New Roman" w:hAnsi="Times New Roman"/>
          <w:i/>
          <w:iCs/>
          <w:sz w:val="24"/>
          <w:szCs w:val="24"/>
        </w:rPr>
        <w:t xml:space="preserve">Evaluate the ability to increase sample representativeness, by identifying cases for targeted treatment. </w:t>
      </w:r>
      <w:r w:rsidRPr="00A95C35">
        <w:rPr>
          <w:rFonts w:ascii="Times New Roman" w:hAnsi="Times New Roman"/>
          <w:sz w:val="24"/>
          <w:szCs w:val="24"/>
        </w:rPr>
        <w:t>We will measure sample representativeness by comparing estimates on key variables for respondents and nonrespondents, at each phase of data collection and at the end of data collection. We will then be able to assess whether sample representativeness is improved over the course of data collection through the use of the targeted interventions for cases identified with the bias likelihood model.</w:t>
      </w:r>
    </w:p>
    <w:p w14:paraId="02FF974F" w14:textId="2D2256C7" w:rsidR="00D3014C" w:rsidRPr="00A95C35" w:rsidRDefault="00D3014C" w:rsidP="00D3014C">
      <w:pPr>
        <w:spacing w:after="120" w:line="23" w:lineRule="atLeast"/>
        <w:rPr>
          <w:rFonts w:ascii="Times New Roman Bold" w:hAnsi="Times New Roman Bold"/>
          <w:b/>
          <w:bCs/>
          <w:caps/>
          <w:sz w:val="22"/>
          <w:szCs w:val="22"/>
        </w:rPr>
      </w:pPr>
    </w:p>
    <w:p w14:paraId="225C75D0" w14:textId="77777777" w:rsidR="00D3014C" w:rsidRPr="00A95C35" w:rsidRDefault="00D3014C" w:rsidP="00D3014C">
      <w:pPr>
        <w:pStyle w:val="Heading1"/>
        <w:spacing w:line="23" w:lineRule="atLeast"/>
        <w:rPr>
          <w:sz w:val="22"/>
          <w:szCs w:val="22"/>
        </w:rPr>
      </w:pPr>
      <w:bookmarkStart w:id="9" w:name="_Toc433779232"/>
      <w:bookmarkStart w:id="10" w:name="_Toc430962815"/>
      <w:r w:rsidRPr="00A95C35">
        <w:rPr>
          <w:sz w:val="22"/>
          <w:szCs w:val="22"/>
        </w:rPr>
        <w:t>References</w:t>
      </w:r>
      <w:bookmarkEnd w:id="9"/>
      <w:bookmarkEnd w:id="10"/>
    </w:p>
    <w:p w14:paraId="50206450" w14:textId="77777777" w:rsidR="00D3014C" w:rsidRPr="00A95C35" w:rsidRDefault="00D3014C" w:rsidP="00D3014C">
      <w:pPr>
        <w:pStyle w:val="R-Pubs-Pres"/>
        <w:spacing w:after="120" w:line="23" w:lineRule="atLeast"/>
        <w:rPr>
          <w:szCs w:val="22"/>
        </w:rPr>
      </w:pPr>
      <w:r w:rsidRPr="00A95C35">
        <w:rPr>
          <w:szCs w:val="22"/>
        </w:rPr>
        <w:t>Rosen, J. A.,</w:t>
      </w:r>
      <w:r w:rsidRPr="00A95C35">
        <w:rPr>
          <w:rStyle w:val="apple-converted-space"/>
          <w:szCs w:val="22"/>
        </w:rPr>
        <w:t> </w:t>
      </w:r>
      <w:r w:rsidRPr="00A95C35">
        <w:rPr>
          <w:szCs w:val="22"/>
        </w:rPr>
        <w:t>Murphy, J. J.,</w:t>
      </w:r>
      <w:r w:rsidRPr="00A95C35">
        <w:rPr>
          <w:rStyle w:val="apple-converted-space"/>
          <w:szCs w:val="22"/>
        </w:rPr>
        <w:t> </w:t>
      </w:r>
      <w:r w:rsidRPr="00A95C35">
        <w:rPr>
          <w:szCs w:val="22"/>
        </w:rPr>
        <w:t>Peytchev, A.,</w:t>
      </w:r>
      <w:r w:rsidRPr="00A95C35">
        <w:rPr>
          <w:rStyle w:val="apple-converted-space"/>
          <w:szCs w:val="22"/>
        </w:rPr>
        <w:t> </w:t>
      </w:r>
      <w:r w:rsidRPr="00A95C35">
        <w:rPr>
          <w:szCs w:val="22"/>
        </w:rPr>
        <w:t>Holder, T. E.,</w:t>
      </w:r>
      <w:r w:rsidRPr="00A95C35">
        <w:rPr>
          <w:rStyle w:val="apple-converted-space"/>
          <w:szCs w:val="22"/>
        </w:rPr>
        <w:t> </w:t>
      </w:r>
      <w:r w:rsidRPr="00A95C35">
        <w:rPr>
          <w:szCs w:val="22"/>
        </w:rPr>
        <w:t>Dever, J. A., Herget, D. R., &amp;</w:t>
      </w:r>
      <w:r w:rsidRPr="00A95C35">
        <w:rPr>
          <w:rStyle w:val="apple-converted-space"/>
          <w:szCs w:val="22"/>
        </w:rPr>
        <w:t> </w:t>
      </w:r>
      <w:r w:rsidRPr="00A95C35">
        <w:rPr>
          <w:szCs w:val="22"/>
        </w:rPr>
        <w:t>Pratt, D. J.</w:t>
      </w:r>
      <w:r w:rsidRPr="00A95C35">
        <w:rPr>
          <w:rStyle w:val="apple-converted-space"/>
          <w:szCs w:val="22"/>
        </w:rPr>
        <w:t> </w:t>
      </w:r>
      <w:r w:rsidRPr="00A95C35">
        <w:rPr>
          <w:szCs w:val="22"/>
        </w:rPr>
        <w:t>(2014). Prioritizing low-propensity sample members in a survey: Implications for nonresponse bias.</w:t>
      </w:r>
      <w:r w:rsidRPr="00A95C35">
        <w:rPr>
          <w:rStyle w:val="apple-converted-space"/>
          <w:szCs w:val="22"/>
        </w:rPr>
        <w:t> </w:t>
      </w:r>
      <w:r w:rsidRPr="00A95C35">
        <w:rPr>
          <w:i/>
          <w:szCs w:val="22"/>
        </w:rPr>
        <w:t>Survey Practice, 7</w:t>
      </w:r>
      <w:r w:rsidRPr="00A95C35">
        <w:rPr>
          <w:szCs w:val="22"/>
        </w:rPr>
        <w:t>(1), 1–8.</w:t>
      </w:r>
    </w:p>
    <w:p w14:paraId="05B520F1" w14:textId="77777777" w:rsidR="00D3014C" w:rsidRPr="00A95C35" w:rsidRDefault="00D3014C" w:rsidP="00D3014C">
      <w:pPr>
        <w:pStyle w:val="R-Pubs-Pres"/>
        <w:spacing w:after="120" w:line="23" w:lineRule="atLeast"/>
        <w:rPr>
          <w:szCs w:val="22"/>
        </w:rPr>
      </w:pPr>
      <w:r w:rsidRPr="00A95C35">
        <w:rPr>
          <w:bCs/>
          <w:szCs w:val="22"/>
        </w:rPr>
        <w:t>Pratt, D. J.</w:t>
      </w:r>
      <w:r w:rsidRPr="00A95C35">
        <w:rPr>
          <w:szCs w:val="22"/>
        </w:rPr>
        <w:t xml:space="preserve"> (Invited Speaker). (2014, March). </w:t>
      </w:r>
      <w:r w:rsidRPr="00A95C35">
        <w:rPr>
          <w:i/>
          <w:iCs/>
          <w:szCs w:val="22"/>
        </w:rPr>
        <w:t>What is adaptive design in practice? Approaches, experiences, and perspectives</w:t>
      </w:r>
      <w:r w:rsidRPr="00A95C35">
        <w:rPr>
          <w:szCs w:val="22"/>
        </w:rPr>
        <w:t>. Presented at FedCASIC 2014 Workshop Plenary Panel Session, Washington, DC.</w:t>
      </w:r>
    </w:p>
    <w:p w14:paraId="2D67530B" w14:textId="3F209F12" w:rsidR="00D3014C" w:rsidRPr="0010135B" w:rsidRDefault="00D3014C" w:rsidP="0010135B">
      <w:pPr>
        <w:pStyle w:val="R-Pubs-Pres"/>
        <w:spacing w:after="240" w:line="23" w:lineRule="atLeast"/>
        <w:rPr>
          <w:szCs w:val="22"/>
        </w:rPr>
      </w:pPr>
      <w:r w:rsidRPr="00A95C35">
        <w:rPr>
          <w:szCs w:val="22"/>
        </w:rPr>
        <w:t xml:space="preserve">Pratt, D. J. (2013, December). </w:t>
      </w:r>
      <w:r w:rsidRPr="00A95C35">
        <w:rPr>
          <w:i/>
          <w:szCs w:val="22"/>
        </w:rPr>
        <w:t>Modeling, prioritization, and phased interventions to reduce potential nonresponse bias</w:t>
      </w:r>
      <w:r w:rsidRPr="00A95C35">
        <w:rPr>
          <w:szCs w:val="22"/>
        </w:rPr>
        <w:t xml:space="preserve">. </w:t>
      </w:r>
      <w:proofErr w:type="gramStart"/>
      <w:r w:rsidRPr="00A95C35">
        <w:rPr>
          <w:szCs w:val="22"/>
        </w:rPr>
        <w:t>Presented at Workshop on Advances in Adaptive and Responsive Surve</w:t>
      </w:r>
      <w:r w:rsidR="0010135B">
        <w:rPr>
          <w:szCs w:val="22"/>
        </w:rPr>
        <w:t>y Design, Heerlen, Netherlands.</w:t>
      </w:r>
      <w:proofErr w:type="gramEnd"/>
    </w:p>
    <w:sectPr w:rsidR="00D3014C" w:rsidRPr="0010135B" w:rsidSect="00FD080F">
      <w:headerReference w:type="even" r:id="rId10"/>
      <w:footerReference w:type="default" r:id="rId11"/>
      <w:pgSz w:w="12240" w:h="15840" w:code="1"/>
      <w:pgMar w:top="936" w:right="936" w:bottom="720" w:left="936" w:header="432" w:footer="43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F813D" w14:textId="77777777" w:rsidR="00ED4F7B" w:rsidRDefault="00ED4F7B">
      <w:r>
        <w:separator/>
      </w:r>
    </w:p>
  </w:endnote>
  <w:endnote w:type="continuationSeparator" w:id="0">
    <w:p w14:paraId="09D082D1" w14:textId="77777777" w:rsidR="00ED4F7B" w:rsidRDefault="00ED4F7B">
      <w:r>
        <w:continuationSeparator/>
      </w:r>
    </w:p>
  </w:endnote>
  <w:endnote w:type="continuationNotice" w:id="1">
    <w:p w14:paraId="355889DE" w14:textId="77777777" w:rsidR="00ED4F7B" w:rsidRDefault="00ED4F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819523"/>
      <w:docPartObj>
        <w:docPartGallery w:val="Page Numbers (Bottom of Page)"/>
        <w:docPartUnique/>
      </w:docPartObj>
    </w:sdtPr>
    <w:sdtEndPr>
      <w:rPr>
        <w:noProof/>
      </w:rPr>
    </w:sdtEndPr>
    <w:sdtContent>
      <w:p w14:paraId="5F4A00AC" w14:textId="2A037EE8" w:rsidR="00ED4F7B" w:rsidRDefault="00ED4F7B">
        <w:pPr>
          <w:pStyle w:val="Footer"/>
          <w:jc w:val="center"/>
        </w:pPr>
        <w:r>
          <w:fldChar w:fldCharType="begin"/>
        </w:r>
        <w:r>
          <w:instrText xml:space="preserve"> PAGE   \* MERGEFORMAT </w:instrText>
        </w:r>
        <w:r>
          <w:fldChar w:fldCharType="separate"/>
        </w:r>
        <w:r w:rsidR="00501AD8">
          <w:rPr>
            <w:noProof/>
          </w:rPr>
          <w:t>2</w:t>
        </w:r>
        <w:r>
          <w:rPr>
            <w:noProof/>
          </w:rPr>
          <w:fldChar w:fldCharType="end"/>
        </w:r>
      </w:p>
    </w:sdtContent>
  </w:sdt>
  <w:p w14:paraId="4E522FBF" w14:textId="5858BCA6" w:rsidR="00ED4F7B" w:rsidRDefault="00ED4F7B">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4C5ED" w14:textId="77777777" w:rsidR="00ED4F7B" w:rsidRDefault="00ED4F7B">
      <w:r>
        <w:separator/>
      </w:r>
    </w:p>
  </w:footnote>
  <w:footnote w:type="continuationSeparator" w:id="0">
    <w:p w14:paraId="10D2009E" w14:textId="77777777" w:rsidR="00ED4F7B" w:rsidRDefault="00ED4F7B">
      <w:r>
        <w:continuationSeparator/>
      </w:r>
    </w:p>
  </w:footnote>
  <w:footnote w:type="continuationNotice" w:id="1">
    <w:p w14:paraId="26722398" w14:textId="77777777" w:rsidR="00ED4F7B" w:rsidRDefault="00ED4F7B"/>
  </w:footnote>
  <w:footnote w:id="2">
    <w:p w14:paraId="32044633" w14:textId="4FB9B53E" w:rsidR="00ED4F7B" w:rsidRDefault="00ED4F7B">
      <w:pPr>
        <w:pStyle w:val="FootnoteText"/>
      </w:pPr>
      <w:r>
        <w:rPr>
          <w:rStyle w:val="FootnoteReference"/>
        </w:rPr>
        <w:footnoteRef/>
      </w:r>
      <w:r>
        <w:t xml:space="preserve"> Note that in Attachment 1, the subgroups are labeled as 1, 2, and 3 rather than A, B, and 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592A0" w14:textId="77777777" w:rsidR="00ED4F7B" w:rsidRDefault="00ED4F7B">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1F15"/>
    <w:multiLevelType w:val="hybridMultilevel"/>
    <w:tmpl w:val="28C6A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52F13"/>
    <w:multiLevelType w:val="hybridMultilevel"/>
    <w:tmpl w:val="4B86B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041AEA"/>
    <w:multiLevelType w:val="hybridMultilevel"/>
    <w:tmpl w:val="A6A22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107C06BD"/>
    <w:multiLevelType w:val="hybridMultilevel"/>
    <w:tmpl w:val="3D6A7450"/>
    <w:lvl w:ilvl="0" w:tplc="4CE2D872">
      <w:start w:val="1"/>
      <w:numFmt w:val="decimal"/>
      <w:pStyle w:val="ListBullet21"/>
      <w:lvlText w:val="%1."/>
      <w:lvlJc w:val="left"/>
      <w:pPr>
        <w:tabs>
          <w:tab w:val="num" w:pos="2610"/>
        </w:tabs>
        <w:ind w:left="261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6D13B2"/>
    <w:multiLevelType w:val="multilevel"/>
    <w:tmpl w:val="2A322370"/>
    <w:lvl w:ilvl="0">
      <w:start w:val="1"/>
      <w:numFmt w:val="bullet"/>
      <w:lvlText w:val=""/>
      <w:lvlJc w:val="left"/>
      <w:pPr>
        <w:tabs>
          <w:tab w:val="num" w:pos="360"/>
        </w:tabs>
        <w:ind w:left="720" w:hanging="72"/>
      </w:pPr>
      <w:rPr>
        <w:rFonts w:ascii="Symbol" w:hAnsi="Symbol"/>
      </w:rPr>
    </w:lvl>
    <w:lvl w:ilvl="1">
      <w:start w:val="1"/>
      <w:numFmt w:val="bullet"/>
      <w:pStyle w:val="Bulleted1"/>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96F6557"/>
    <w:multiLevelType w:val="hybridMultilevel"/>
    <w:tmpl w:val="12243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314097"/>
    <w:multiLevelType w:val="hybridMultilevel"/>
    <w:tmpl w:val="5FF4AB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243193D"/>
    <w:multiLevelType w:val="hybridMultilevel"/>
    <w:tmpl w:val="1C1824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DB6B6A"/>
    <w:multiLevelType w:val="hybridMultilevel"/>
    <w:tmpl w:val="36C8EF50"/>
    <w:lvl w:ilvl="0" w:tplc="60F61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FF2EDE"/>
    <w:multiLevelType w:val="hybridMultilevel"/>
    <w:tmpl w:val="FBC2F2BC"/>
    <w:lvl w:ilvl="0" w:tplc="F456251C">
      <w:start w:val="1"/>
      <w:numFmt w:val="lowerLetter"/>
      <w:pStyle w:val="Quick1"/>
      <w:lvlText w:val="(%1)"/>
      <w:lvlJc w:val="left"/>
      <w:pPr>
        <w:tabs>
          <w:tab w:val="num" w:pos="600"/>
        </w:tabs>
        <w:ind w:left="600" w:hanging="360"/>
      </w:pPr>
      <w:rPr>
        <w:rFonts w:cs="Times New Roman" w:hint="default"/>
      </w:rPr>
    </w:lvl>
    <w:lvl w:ilvl="1" w:tplc="04090019">
      <w:start w:val="1"/>
      <w:numFmt w:val="decimal"/>
      <w:lvlText w:val="(%2)"/>
      <w:lvlJc w:val="left"/>
      <w:pPr>
        <w:tabs>
          <w:tab w:val="num" w:pos="1320"/>
        </w:tabs>
        <w:ind w:left="1320" w:hanging="360"/>
      </w:pPr>
      <w:rPr>
        <w:rFonts w:cs="Times New Roman" w:hint="default"/>
      </w:rPr>
    </w:lvl>
    <w:lvl w:ilvl="2" w:tplc="0409001B">
      <w:start w:val="1"/>
      <w:numFmt w:val="upperLetter"/>
      <w:lvlText w:val="(%3)"/>
      <w:lvlJc w:val="left"/>
      <w:pPr>
        <w:tabs>
          <w:tab w:val="num" w:pos="2250"/>
        </w:tabs>
        <w:ind w:left="2250" w:hanging="390"/>
      </w:pPr>
      <w:rPr>
        <w:rFonts w:cs="Times New Roman" w:hint="default"/>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10">
    <w:nsid w:val="39703200"/>
    <w:multiLevelType w:val="hybridMultilevel"/>
    <w:tmpl w:val="B958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4D53CE"/>
    <w:multiLevelType w:val="hybridMultilevel"/>
    <w:tmpl w:val="B442CD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32A6DEB"/>
    <w:multiLevelType w:val="hybridMultilevel"/>
    <w:tmpl w:val="C302B5A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4B2145B"/>
    <w:multiLevelType w:val="hybridMultilevel"/>
    <w:tmpl w:val="26BAF1C4"/>
    <w:lvl w:ilvl="0" w:tplc="B664AD54">
      <w:start w:val="1"/>
      <w:numFmt w:val="bullet"/>
      <w:pStyle w:val="NPSAS08bulleted"/>
      <w:lvlText w:val=""/>
      <w:lvlJc w:val="left"/>
      <w:pPr>
        <w:tabs>
          <w:tab w:val="num" w:pos="2520"/>
        </w:tabs>
        <w:ind w:left="2520" w:hanging="360"/>
      </w:pPr>
      <w:rPr>
        <w:rFonts w:ascii="Wingdings" w:hAnsi="Wingdings" w:hint="default"/>
      </w:rPr>
    </w:lvl>
    <w:lvl w:ilvl="1" w:tplc="B79C55AC">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510566FC"/>
    <w:multiLevelType w:val="hybridMultilevel"/>
    <w:tmpl w:val="44B2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AD0612"/>
    <w:multiLevelType w:val="hybridMultilevel"/>
    <w:tmpl w:val="3932ADCC"/>
    <w:lvl w:ilvl="0" w:tplc="FFFFFFFF">
      <w:start w:val="1"/>
      <w:numFmt w:val="bullet"/>
      <w:pStyle w:val="ListBullet"/>
      <w:lvlText w:val=""/>
      <w:lvlJc w:val="left"/>
      <w:pPr>
        <w:tabs>
          <w:tab w:val="num" w:pos="1800"/>
        </w:tabs>
        <w:ind w:left="1800" w:hanging="360"/>
      </w:pPr>
      <w:rPr>
        <w:rFonts w:ascii="Wingdings" w:hAnsi="Wingdings" w:hint="default"/>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nsid w:val="58685584"/>
    <w:multiLevelType w:val="hybridMultilevel"/>
    <w:tmpl w:val="0066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340915"/>
    <w:multiLevelType w:val="hybridMultilevel"/>
    <w:tmpl w:val="244A6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312A63"/>
    <w:multiLevelType w:val="hybridMultilevel"/>
    <w:tmpl w:val="17265858"/>
    <w:lvl w:ilvl="0" w:tplc="085E755E">
      <w:start w:val="1"/>
      <w:numFmt w:val="bullet"/>
      <w:pStyle w:val="PRMain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E0D12CA"/>
    <w:multiLevelType w:val="hybridMultilevel"/>
    <w:tmpl w:val="4D504C80"/>
    <w:lvl w:ilvl="0" w:tplc="29367F4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EA79E1"/>
    <w:multiLevelType w:val="hybridMultilevel"/>
    <w:tmpl w:val="F1E0CAB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3"/>
  </w:num>
  <w:num w:numId="3">
    <w:abstractNumId w:val="4"/>
  </w:num>
  <w:num w:numId="4">
    <w:abstractNumId w:val="18"/>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7"/>
  </w:num>
  <w:num w:numId="9">
    <w:abstractNumId w:val="17"/>
  </w:num>
  <w:num w:numId="10">
    <w:abstractNumId w:val="0"/>
  </w:num>
  <w:num w:numId="11">
    <w:abstractNumId w:val="1"/>
  </w:num>
  <w:num w:numId="12">
    <w:abstractNumId w:val="2"/>
  </w:num>
  <w:num w:numId="13">
    <w:abstractNumId w:val="14"/>
  </w:num>
  <w:num w:numId="14">
    <w:abstractNumId w:val="9"/>
  </w:num>
  <w:num w:numId="15">
    <w:abstractNumId w:val="11"/>
  </w:num>
  <w:num w:numId="16">
    <w:abstractNumId w:val="10"/>
  </w:num>
  <w:num w:numId="17">
    <w:abstractNumId w:val="5"/>
  </w:num>
  <w:num w:numId="18">
    <w:abstractNumId w:val="20"/>
  </w:num>
  <w:num w:numId="19">
    <w:abstractNumId w:val="8"/>
  </w:num>
  <w:num w:numId="20">
    <w:abstractNumId w:val="16"/>
  </w:num>
  <w:num w:numId="21">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030"/>
    <w:rsid w:val="000003C4"/>
    <w:rsid w:val="00002263"/>
    <w:rsid w:val="00004942"/>
    <w:rsid w:val="000237B6"/>
    <w:rsid w:val="00026D24"/>
    <w:rsid w:val="00034BCE"/>
    <w:rsid w:val="00041DBD"/>
    <w:rsid w:val="00043BAF"/>
    <w:rsid w:val="000520EB"/>
    <w:rsid w:val="0005249A"/>
    <w:rsid w:val="00054505"/>
    <w:rsid w:val="0005595A"/>
    <w:rsid w:val="0006440F"/>
    <w:rsid w:val="000650B2"/>
    <w:rsid w:val="00071633"/>
    <w:rsid w:val="00075654"/>
    <w:rsid w:val="0007600F"/>
    <w:rsid w:val="00081A1A"/>
    <w:rsid w:val="0008530A"/>
    <w:rsid w:val="00085D18"/>
    <w:rsid w:val="00086510"/>
    <w:rsid w:val="00087219"/>
    <w:rsid w:val="000A2EB9"/>
    <w:rsid w:val="000A64CB"/>
    <w:rsid w:val="000A65A0"/>
    <w:rsid w:val="000B0168"/>
    <w:rsid w:val="000B3F93"/>
    <w:rsid w:val="000D00E3"/>
    <w:rsid w:val="000D2D03"/>
    <w:rsid w:val="000D740B"/>
    <w:rsid w:val="000E3482"/>
    <w:rsid w:val="000E3EE7"/>
    <w:rsid w:val="000E6B74"/>
    <w:rsid w:val="000E7626"/>
    <w:rsid w:val="000F1D53"/>
    <w:rsid w:val="0010095E"/>
    <w:rsid w:val="0010135B"/>
    <w:rsid w:val="001022E0"/>
    <w:rsid w:val="0011040D"/>
    <w:rsid w:val="001107AC"/>
    <w:rsid w:val="00120E05"/>
    <w:rsid w:val="00122462"/>
    <w:rsid w:val="0012347F"/>
    <w:rsid w:val="00134806"/>
    <w:rsid w:val="00146B69"/>
    <w:rsid w:val="001502A3"/>
    <w:rsid w:val="00150A36"/>
    <w:rsid w:val="00153D6A"/>
    <w:rsid w:val="00156F2C"/>
    <w:rsid w:val="001618B3"/>
    <w:rsid w:val="00164B62"/>
    <w:rsid w:val="00174A49"/>
    <w:rsid w:val="0019187E"/>
    <w:rsid w:val="001A0238"/>
    <w:rsid w:val="001A269D"/>
    <w:rsid w:val="001A60C7"/>
    <w:rsid w:val="001A7C89"/>
    <w:rsid w:val="001B15CB"/>
    <w:rsid w:val="001B6BD2"/>
    <w:rsid w:val="001B7ECC"/>
    <w:rsid w:val="001C2531"/>
    <w:rsid w:val="001C443B"/>
    <w:rsid w:val="001C4603"/>
    <w:rsid w:val="001C4FA2"/>
    <w:rsid w:val="001D0B88"/>
    <w:rsid w:val="001D48CF"/>
    <w:rsid w:val="001D5696"/>
    <w:rsid w:val="001E3C6D"/>
    <w:rsid w:val="001F4030"/>
    <w:rsid w:val="001F7E7E"/>
    <w:rsid w:val="002007C9"/>
    <w:rsid w:val="002008EF"/>
    <w:rsid w:val="00201B4E"/>
    <w:rsid w:val="00204DC8"/>
    <w:rsid w:val="00204EC3"/>
    <w:rsid w:val="0020523C"/>
    <w:rsid w:val="00215302"/>
    <w:rsid w:val="002265C8"/>
    <w:rsid w:val="0022784E"/>
    <w:rsid w:val="002305F8"/>
    <w:rsid w:val="002312D7"/>
    <w:rsid w:val="00241713"/>
    <w:rsid w:val="0025009B"/>
    <w:rsid w:val="002526C7"/>
    <w:rsid w:val="00263498"/>
    <w:rsid w:val="00267F0C"/>
    <w:rsid w:val="002717E7"/>
    <w:rsid w:val="00276F00"/>
    <w:rsid w:val="002968A9"/>
    <w:rsid w:val="00296BF9"/>
    <w:rsid w:val="002A32B5"/>
    <w:rsid w:val="002A3CB7"/>
    <w:rsid w:val="002B3840"/>
    <w:rsid w:val="002B665B"/>
    <w:rsid w:val="002C18AE"/>
    <w:rsid w:val="002C3312"/>
    <w:rsid w:val="002D627D"/>
    <w:rsid w:val="002D7224"/>
    <w:rsid w:val="002D7F37"/>
    <w:rsid w:val="002E1919"/>
    <w:rsid w:val="002E5E18"/>
    <w:rsid w:val="002E6593"/>
    <w:rsid w:val="002F059C"/>
    <w:rsid w:val="002F4659"/>
    <w:rsid w:val="003029B7"/>
    <w:rsid w:val="003051F0"/>
    <w:rsid w:val="00307F6F"/>
    <w:rsid w:val="003200C7"/>
    <w:rsid w:val="00323B85"/>
    <w:rsid w:val="00324044"/>
    <w:rsid w:val="003308B7"/>
    <w:rsid w:val="00332A11"/>
    <w:rsid w:val="00335504"/>
    <w:rsid w:val="00344A28"/>
    <w:rsid w:val="003479C8"/>
    <w:rsid w:val="00355F38"/>
    <w:rsid w:val="00363842"/>
    <w:rsid w:val="003805C1"/>
    <w:rsid w:val="00383320"/>
    <w:rsid w:val="00384346"/>
    <w:rsid w:val="00386497"/>
    <w:rsid w:val="003A2D62"/>
    <w:rsid w:val="003A797A"/>
    <w:rsid w:val="003B1A71"/>
    <w:rsid w:val="003B36CE"/>
    <w:rsid w:val="003C6FF3"/>
    <w:rsid w:val="003D0EE1"/>
    <w:rsid w:val="003D4730"/>
    <w:rsid w:val="003D5E60"/>
    <w:rsid w:val="003D737C"/>
    <w:rsid w:val="003E7348"/>
    <w:rsid w:val="003F14B1"/>
    <w:rsid w:val="003F4077"/>
    <w:rsid w:val="003F4DB8"/>
    <w:rsid w:val="003F6EF4"/>
    <w:rsid w:val="00404267"/>
    <w:rsid w:val="00410846"/>
    <w:rsid w:val="00416CCB"/>
    <w:rsid w:val="00421D9B"/>
    <w:rsid w:val="00423961"/>
    <w:rsid w:val="00426EBB"/>
    <w:rsid w:val="00433F7B"/>
    <w:rsid w:val="00450CC6"/>
    <w:rsid w:val="00463F87"/>
    <w:rsid w:val="00464456"/>
    <w:rsid w:val="00473DB3"/>
    <w:rsid w:val="0047422C"/>
    <w:rsid w:val="004770ED"/>
    <w:rsid w:val="00482476"/>
    <w:rsid w:val="004862BB"/>
    <w:rsid w:val="0048745F"/>
    <w:rsid w:val="0048758A"/>
    <w:rsid w:val="004961A0"/>
    <w:rsid w:val="004974C5"/>
    <w:rsid w:val="004A25B4"/>
    <w:rsid w:val="004C1457"/>
    <w:rsid w:val="004C4CBD"/>
    <w:rsid w:val="004C730D"/>
    <w:rsid w:val="004D2FA4"/>
    <w:rsid w:val="004E0012"/>
    <w:rsid w:val="004E366D"/>
    <w:rsid w:val="004F3308"/>
    <w:rsid w:val="004F373B"/>
    <w:rsid w:val="004F4D11"/>
    <w:rsid w:val="004F6A0B"/>
    <w:rsid w:val="00501AD8"/>
    <w:rsid w:val="00510645"/>
    <w:rsid w:val="00524287"/>
    <w:rsid w:val="00524385"/>
    <w:rsid w:val="00525932"/>
    <w:rsid w:val="00531C04"/>
    <w:rsid w:val="00532594"/>
    <w:rsid w:val="00532758"/>
    <w:rsid w:val="00534700"/>
    <w:rsid w:val="00536DEA"/>
    <w:rsid w:val="00540294"/>
    <w:rsid w:val="005472FC"/>
    <w:rsid w:val="00562224"/>
    <w:rsid w:val="005703D8"/>
    <w:rsid w:val="005742B4"/>
    <w:rsid w:val="0057478E"/>
    <w:rsid w:val="005767ED"/>
    <w:rsid w:val="005779C8"/>
    <w:rsid w:val="00584B04"/>
    <w:rsid w:val="00591368"/>
    <w:rsid w:val="005966E0"/>
    <w:rsid w:val="005A04EC"/>
    <w:rsid w:val="005A13AF"/>
    <w:rsid w:val="005A6173"/>
    <w:rsid w:val="005B0D6F"/>
    <w:rsid w:val="005B3D5C"/>
    <w:rsid w:val="005C2E26"/>
    <w:rsid w:val="005D4E22"/>
    <w:rsid w:val="005F499A"/>
    <w:rsid w:val="005F7402"/>
    <w:rsid w:val="00602EA4"/>
    <w:rsid w:val="006056BC"/>
    <w:rsid w:val="00606621"/>
    <w:rsid w:val="00606EDA"/>
    <w:rsid w:val="00611991"/>
    <w:rsid w:val="006219D2"/>
    <w:rsid w:val="0062790F"/>
    <w:rsid w:val="00627E50"/>
    <w:rsid w:val="00633C76"/>
    <w:rsid w:val="00642580"/>
    <w:rsid w:val="0064599C"/>
    <w:rsid w:val="00650E68"/>
    <w:rsid w:val="00656B8E"/>
    <w:rsid w:val="006852AD"/>
    <w:rsid w:val="00687548"/>
    <w:rsid w:val="00696340"/>
    <w:rsid w:val="006A1613"/>
    <w:rsid w:val="006A3425"/>
    <w:rsid w:val="006B1269"/>
    <w:rsid w:val="006B787D"/>
    <w:rsid w:val="006C2929"/>
    <w:rsid w:val="006C4B87"/>
    <w:rsid w:val="006C6733"/>
    <w:rsid w:val="006E02B4"/>
    <w:rsid w:val="006E0A9E"/>
    <w:rsid w:val="006E292A"/>
    <w:rsid w:val="006F605E"/>
    <w:rsid w:val="007054CC"/>
    <w:rsid w:val="00706349"/>
    <w:rsid w:val="00711D1A"/>
    <w:rsid w:val="00713704"/>
    <w:rsid w:val="00715D8F"/>
    <w:rsid w:val="00717268"/>
    <w:rsid w:val="00724ADF"/>
    <w:rsid w:val="00726185"/>
    <w:rsid w:val="00735F3E"/>
    <w:rsid w:val="00736CA1"/>
    <w:rsid w:val="00737E25"/>
    <w:rsid w:val="007451A6"/>
    <w:rsid w:val="007517A3"/>
    <w:rsid w:val="00760990"/>
    <w:rsid w:val="00760CD9"/>
    <w:rsid w:val="0076259A"/>
    <w:rsid w:val="00763E2A"/>
    <w:rsid w:val="007664E6"/>
    <w:rsid w:val="00770A91"/>
    <w:rsid w:val="0077427A"/>
    <w:rsid w:val="00781B23"/>
    <w:rsid w:val="00783191"/>
    <w:rsid w:val="007978E6"/>
    <w:rsid w:val="007A035A"/>
    <w:rsid w:val="007A10B5"/>
    <w:rsid w:val="007A2F9B"/>
    <w:rsid w:val="007B1682"/>
    <w:rsid w:val="007B22AF"/>
    <w:rsid w:val="007B541A"/>
    <w:rsid w:val="007B7257"/>
    <w:rsid w:val="007C4E0F"/>
    <w:rsid w:val="007C6FC7"/>
    <w:rsid w:val="007C73ED"/>
    <w:rsid w:val="007D2586"/>
    <w:rsid w:val="007D517B"/>
    <w:rsid w:val="007D637B"/>
    <w:rsid w:val="007D64A0"/>
    <w:rsid w:val="007E131D"/>
    <w:rsid w:val="007E68D0"/>
    <w:rsid w:val="007E69AE"/>
    <w:rsid w:val="008027A9"/>
    <w:rsid w:val="00805799"/>
    <w:rsid w:val="00810D0E"/>
    <w:rsid w:val="008111EC"/>
    <w:rsid w:val="00812345"/>
    <w:rsid w:val="00812778"/>
    <w:rsid w:val="0081647D"/>
    <w:rsid w:val="008210EE"/>
    <w:rsid w:val="008251CC"/>
    <w:rsid w:val="00833193"/>
    <w:rsid w:val="00834859"/>
    <w:rsid w:val="008412D6"/>
    <w:rsid w:val="00841D7F"/>
    <w:rsid w:val="0084372C"/>
    <w:rsid w:val="0084454C"/>
    <w:rsid w:val="00850AAE"/>
    <w:rsid w:val="008559CA"/>
    <w:rsid w:val="008562D9"/>
    <w:rsid w:val="00856A8B"/>
    <w:rsid w:val="00860449"/>
    <w:rsid w:val="00867CAE"/>
    <w:rsid w:val="0087130D"/>
    <w:rsid w:val="00876579"/>
    <w:rsid w:val="00881396"/>
    <w:rsid w:val="00883F68"/>
    <w:rsid w:val="0089162D"/>
    <w:rsid w:val="0089658D"/>
    <w:rsid w:val="00897DF7"/>
    <w:rsid w:val="008A023A"/>
    <w:rsid w:val="008A7CE5"/>
    <w:rsid w:val="008E34D2"/>
    <w:rsid w:val="008F3E6E"/>
    <w:rsid w:val="008F77D6"/>
    <w:rsid w:val="00900196"/>
    <w:rsid w:val="00900919"/>
    <w:rsid w:val="009051BA"/>
    <w:rsid w:val="00905A84"/>
    <w:rsid w:val="00905C1F"/>
    <w:rsid w:val="009104AD"/>
    <w:rsid w:val="0091161A"/>
    <w:rsid w:val="00920369"/>
    <w:rsid w:val="00921113"/>
    <w:rsid w:val="009271E1"/>
    <w:rsid w:val="009329EC"/>
    <w:rsid w:val="00936D1D"/>
    <w:rsid w:val="0094072D"/>
    <w:rsid w:val="00954A86"/>
    <w:rsid w:val="00955759"/>
    <w:rsid w:val="00961E2D"/>
    <w:rsid w:val="00970A9E"/>
    <w:rsid w:val="00973AEC"/>
    <w:rsid w:val="009757ED"/>
    <w:rsid w:val="00977F6A"/>
    <w:rsid w:val="009A16A9"/>
    <w:rsid w:val="009A1FEF"/>
    <w:rsid w:val="009A5A10"/>
    <w:rsid w:val="009A6863"/>
    <w:rsid w:val="009A6F75"/>
    <w:rsid w:val="009B0AEC"/>
    <w:rsid w:val="009B4A44"/>
    <w:rsid w:val="009C4893"/>
    <w:rsid w:val="009D23A9"/>
    <w:rsid w:val="009D5B14"/>
    <w:rsid w:val="009E06C0"/>
    <w:rsid w:val="009E7F49"/>
    <w:rsid w:val="009F35D0"/>
    <w:rsid w:val="009F504E"/>
    <w:rsid w:val="00A01190"/>
    <w:rsid w:val="00A104D5"/>
    <w:rsid w:val="00A14445"/>
    <w:rsid w:val="00A20F68"/>
    <w:rsid w:val="00A24A66"/>
    <w:rsid w:val="00A27030"/>
    <w:rsid w:val="00A47692"/>
    <w:rsid w:val="00A47FD7"/>
    <w:rsid w:val="00A54EBE"/>
    <w:rsid w:val="00A5639F"/>
    <w:rsid w:val="00A7338B"/>
    <w:rsid w:val="00A74B90"/>
    <w:rsid w:val="00A75303"/>
    <w:rsid w:val="00A7716F"/>
    <w:rsid w:val="00A77AFB"/>
    <w:rsid w:val="00A857B6"/>
    <w:rsid w:val="00A91F2B"/>
    <w:rsid w:val="00A95C35"/>
    <w:rsid w:val="00A963BC"/>
    <w:rsid w:val="00AB165B"/>
    <w:rsid w:val="00AB72F9"/>
    <w:rsid w:val="00AC1706"/>
    <w:rsid w:val="00AC42BD"/>
    <w:rsid w:val="00AD6427"/>
    <w:rsid w:val="00AE04C7"/>
    <w:rsid w:val="00AE20C8"/>
    <w:rsid w:val="00AE4148"/>
    <w:rsid w:val="00AE47B5"/>
    <w:rsid w:val="00AE7E1E"/>
    <w:rsid w:val="00AF45BB"/>
    <w:rsid w:val="00B034B6"/>
    <w:rsid w:val="00B2664A"/>
    <w:rsid w:val="00B26977"/>
    <w:rsid w:val="00B30CEF"/>
    <w:rsid w:val="00B33C7F"/>
    <w:rsid w:val="00B42518"/>
    <w:rsid w:val="00B43076"/>
    <w:rsid w:val="00B452EF"/>
    <w:rsid w:val="00B52FB6"/>
    <w:rsid w:val="00B6159B"/>
    <w:rsid w:val="00B70610"/>
    <w:rsid w:val="00B909A2"/>
    <w:rsid w:val="00B93AB5"/>
    <w:rsid w:val="00B95A8E"/>
    <w:rsid w:val="00B9753D"/>
    <w:rsid w:val="00BA21ED"/>
    <w:rsid w:val="00BA4CD1"/>
    <w:rsid w:val="00BB2467"/>
    <w:rsid w:val="00BD2503"/>
    <w:rsid w:val="00BD2A45"/>
    <w:rsid w:val="00BD7A89"/>
    <w:rsid w:val="00BE11F5"/>
    <w:rsid w:val="00BE14C6"/>
    <w:rsid w:val="00BE400B"/>
    <w:rsid w:val="00BE526A"/>
    <w:rsid w:val="00C037FF"/>
    <w:rsid w:val="00C1044C"/>
    <w:rsid w:val="00C2153D"/>
    <w:rsid w:val="00C24AAB"/>
    <w:rsid w:val="00C2639F"/>
    <w:rsid w:val="00C311CF"/>
    <w:rsid w:val="00C32AF0"/>
    <w:rsid w:val="00C36A1E"/>
    <w:rsid w:val="00C40B43"/>
    <w:rsid w:val="00C436F5"/>
    <w:rsid w:val="00C46BC0"/>
    <w:rsid w:val="00C46DD6"/>
    <w:rsid w:val="00C55CAB"/>
    <w:rsid w:val="00C56A4A"/>
    <w:rsid w:val="00C64734"/>
    <w:rsid w:val="00C707D1"/>
    <w:rsid w:val="00C729FA"/>
    <w:rsid w:val="00C749F7"/>
    <w:rsid w:val="00C8430A"/>
    <w:rsid w:val="00C90410"/>
    <w:rsid w:val="00CA190D"/>
    <w:rsid w:val="00CA712C"/>
    <w:rsid w:val="00CA754B"/>
    <w:rsid w:val="00CA7D9A"/>
    <w:rsid w:val="00CC5C68"/>
    <w:rsid w:val="00CD4E94"/>
    <w:rsid w:val="00CD513B"/>
    <w:rsid w:val="00CE19E9"/>
    <w:rsid w:val="00CE7988"/>
    <w:rsid w:val="00CF140A"/>
    <w:rsid w:val="00CF418E"/>
    <w:rsid w:val="00CF7CCF"/>
    <w:rsid w:val="00D011E4"/>
    <w:rsid w:val="00D018C6"/>
    <w:rsid w:val="00D07FA6"/>
    <w:rsid w:val="00D10131"/>
    <w:rsid w:val="00D1192E"/>
    <w:rsid w:val="00D24D0D"/>
    <w:rsid w:val="00D2509B"/>
    <w:rsid w:val="00D3014C"/>
    <w:rsid w:val="00D323D0"/>
    <w:rsid w:val="00D3527D"/>
    <w:rsid w:val="00D41CAA"/>
    <w:rsid w:val="00D46398"/>
    <w:rsid w:val="00D51340"/>
    <w:rsid w:val="00D55096"/>
    <w:rsid w:val="00D5570C"/>
    <w:rsid w:val="00D574CE"/>
    <w:rsid w:val="00D615B8"/>
    <w:rsid w:val="00D7644A"/>
    <w:rsid w:val="00D81FC1"/>
    <w:rsid w:val="00D8492D"/>
    <w:rsid w:val="00D90962"/>
    <w:rsid w:val="00D964E4"/>
    <w:rsid w:val="00D96B2D"/>
    <w:rsid w:val="00DA1673"/>
    <w:rsid w:val="00DB0B39"/>
    <w:rsid w:val="00DB3D44"/>
    <w:rsid w:val="00DB6394"/>
    <w:rsid w:val="00DB7C18"/>
    <w:rsid w:val="00DC738C"/>
    <w:rsid w:val="00DC77AA"/>
    <w:rsid w:val="00DD1B66"/>
    <w:rsid w:val="00DD2458"/>
    <w:rsid w:val="00DD3FFC"/>
    <w:rsid w:val="00DE39F0"/>
    <w:rsid w:val="00DE55BC"/>
    <w:rsid w:val="00DF1D08"/>
    <w:rsid w:val="00DF4952"/>
    <w:rsid w:val="00DF6873"/>
    <w:rsid w:val="00E047BE"/>
    <w:rsid w:val="00E06602"/>
    <w:rsid w:val="00E07688"/>
    <w:rsid w:val="00E0786F"/>
    <w:rsid w:val="00E12822"/>
    <w:rsid w:val="00E1424D"/>
    <w:rsid w:val="00E1456F"/>
    <w:rsid w:val="00E2062A"/>
    <w:rsid w:val="00E20802"/>
    <w:rsid w:val="00E237BA"/>
    <w:rsid w:val="00E2391B"/>
    <w:rsid w:val="00E32781"/>
    <w:rsid w:val="00E32E16"/>
    <w:rsid w:val="00E537AF"/>
    <w:rsid w:val="00E54656"/>
    <w:rsid w:val="00E56FFB"/>
    <w:rsid w:val="00E77498"/>
    <w:rsid w:val="00E82959"/>
    <w:rsid w:val="00E83A8D"/>
    <w:rsid w:val="00E852AF"/>
    <w:rsid w:val="00E92D07"/>
    <w:rsid w:val="00E95109"/>
    <w:rsid w:val="00EA4F96"/>
    <w:rsid w:val="00EA52D5"/>
    <w:rsid w:val="00EB0F89"/>
    <w:rsid w:val="00EB1D0F"/>
    <w:rsid w:val="00EB7058"/>
    <w:rsid w:val="00EC0068"/>
    <w:rsid w:val="00EC312D"/>
    <w:rsid w:val="00EC4172"/>
    <w:rsid w:val="00EC7658"/>
    <w:rsid w:val="00ED0120"/>
    <w:rsid w:val="00ED040A"/>
    <w:rsid w:val="00ED4F7B"/>
    <w:rsid w:val="00EE0269"/>
    <w:rsid w:val="00EF0525"/>
    <w:rsid w:val="00EF0887"/>
    <w:rsid w:val="00EF1C3E"/>
    <w:rsid w:val="00EF1D7D"/>
    <w:rsid w:val="00EF2EC7"/>
    <w:rsid w:val="00F07F99"/>
    <w:rsid w:val="00F11A5F"/>
    <w:rsid w:val="00F1251E"/>
    <w:rsid w:val="00F23426"/>
    <w:rsid w:val="00F2558D"/>
    <w:rsid w:val="00F33B51"/>
    <w:rsid w:val="00F354F7"/>
    <w:rsid w:val="00F43220"/>
    <w:rsid w:val="00F516BD"/>
    <w:rsid w:val="00F62981"/>
    <w:rsid w:val="00F6376D"/>
    <w:rsid w:val="00F63E5C"/>
    <w:rsid w:val="00F65EBC"/>
    <w:rsid w:val="00F7318B"/>
    <w:rsid w:val="00F754E4"/>
    <w:rsid w:val="00F83547"/>
    <w:rsid w:val="00F83DE3"/>
    <w:rsid w:val="00F91716"/>
    <w:rsid w:val="00F91D72"/>
    <w:rsid w:val="00FA4ED2"/>
    <w:rsid w:val="00FB296D"/>
    <w:rsid w:val="00FC0F0E"/>
    <w:rsid w:val="00FD080F"/>
    <w:rsid w:val="00FF01C3"/>
    <w:rsid w:val="00FF72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F47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List Bulle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87"/>
    <w:rPr>
      <w:sz w:val="24"/>
      <w:szCs w:val="24"/>
    </w:rPr>
  </w:style>
  <w:style w:type="paragraph" w:styleId="Heading1">
    <w:name w:val="heading 1"/>
    <w:basedOn w:val="Normal"/>
    <w:next w:val="Normal"/>
    <w:uiPriority w:val="1"/>
    <w:qFormat/>
    <w:rsid w:val="00463F87"/>
    <w:pPr>
      <w:keepNext/>
      <w:outlineLvl w:val="0"/>
    </w:pPr>
    <w:rPr>
      <w:b/>
      <w:bCs/>
      <w:u w:val="single"/>
    </w:rPr>
  </w:style>
  <w:style w:type="paragraph" w:styleId="Heading2">
    <w:name w:val="heading 2"/>
    <w:basedOn w:val="Normal"/>
    <w:next w:val="Normal"/>
    <w:uiPriority w:val="1"/>
    <w:qFormat/>
    <w:rsid w:val="00463F87"/>
    <w:pPr>
      <w:keepNext/>
      <w:outlineLvl w:val="1"/>
    </w:pPr>
    <w:rPr>
      <w:b/>
      <w:bCs/>
    </w:rPr>
  </w:style>
  <w:style w:type="paragraph" w:styleId="Heading3">
    <w:name w:val="heading 3"/>
    <w:basedOn w:val="Normal"/>
    <w:next w:val="Normal"/>
    <w:qFormat/>
    <w:rsid w:val="00463F87"/>
    <w:pPr>
      <w:keepNext/>
      <w:outlineLvl w:val="2"/>
    </w:pPr>
    <w:rPr>
      <w:u w:val="single"/>
    </w:rPr>
  </w:style>
  <w:style w:type="paragraph" w:styleId="Heading4">
    <w:name w:val="heading 4"/>
    <w:basedOn w:val="Normal"/>
    <w:next w:val="Normal"/>
    <w:qFormat/>
    <w:rsid w:val="00463F87"/>
    <w:pPr>
      <w:keepNext/>
      <w:jc w:val="center"/>
      <w:outlineLvl w:val="3"/>
    </w:pPr>
    <w:rPr>
      <w:b/>
      <w:szCs w:val="20"/>
    </w:rPr>
  </w:style>
  <w:style w:type="paragraph" w:styleId="Heading6">
    <w:name w:val="heading 6"/>
    <w:basedOn w:val="Normal"/>
    <w:next w:val="Normal"/>
    <w:qFormat/>
    <w:rsid w:val="00463F87"/>
    <w:pPr>
      <w:keepNext/>
      <w:tabs>
        <w:tab w:val="left" w:pos="720"/>
        <w:tab w:val="left" w:pos="1152"/>
        <w:tab w:val="left" w:pos="1440"/>
        <w:tab w:val="left" w:pos="5580"/>
        <w:tab w:val="left" w:pos="7560"/>
      </w:tabs>
      <w:outlineLvl w:val="5"/>
    </w:pPr>
    <w:rPr>
      <w:bCs/>
      <w:i/>
      <w:iCs/>
      <w:szCs w:val="20"/>
    </w:rPr>
  </w:style>
  <w:style w:type="paragraph" w:styleId="Heading8">
    <w:name w:val="heading 8"/>
    <w:basedOn w:val="Normal"/>
    <w:next w:val="Normal"/>
    <w:qFormat/>
    <w:rsid w:val="00463F87"/>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semiHidden/>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semiHidden/>
    <w:rsid w:val="00463F87"/>
  </w:style>
  <w:style w:type="paragraph" w:styleId="BodyText">
    <w:name w:val="Body Text"/>
    <w:basedOn w:val="Normal"/>
    <w:uiPriority w:val="1"/>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semiHidden/>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semiHidden/>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semiHidden/>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uiPriority w:val="99"/>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rsid w:val="00463F87"/>
    <w:pPr>
      <w:ind w:left="0" w:firstLine="0"/>
      <w:jc w:val="right"/>
    </w:pPr>
  </w:style>
  <w:style w:type="character" w:customStyle="1" w:styleId="TableheadingChar">
    <w:name w:val="Table heading Char"/>
    <w:basedOn w:val="TabletextChar"/>
    <w:locked/>
    <w:rsid w:val="00463F87"/>
    <w:rPr>
      <w:rFonts w:ascii="Arial" w:hAnsi="Arial"/>
      <w:lang w:val="en-US" w:eastAsia="en-US" w:bidi="ar-SA"/>
    </w:rPr>
  </w:style>
  <w:style w:type="paragraph" w:customStyle="1" w:styleId="Tablebody">
    <w:name w:val="Table body"/>
    <w:rsid w:val="00463F87"/>
    <w:pPr>
      <w:keepNext/>
      <w:spacing w:before="40" w:after="40"/>
      <w:jc w:val="right"/>
    </w:pPr>
    <w:rPr>
      <w:rFonts w:ascii="Arial" w:hAnsi="Arial"/>
    </w:rPr>
  </w:style>
  <w:style w:type="character" w:customStyle="1" w:styleId="2enspsubgroup1Char">
    <w:name w:val="2 en sp (subgroup 1) Char"/>
    <w:basedOn w:val="TabletextChar"/>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rsid w:val="00463F87"/>
    <w:pPr>
      <w:spacing w:before="120" w:after="120"/>
      <w:jc w:val="left"/>
    </w:pPr>
    <w:rPr>
      <w:b w:val="0"/>
      <w:bCs w:val="0"/>
      <w:szCs w:val="20"/>
    </w:rPr>
  </w:style>
  <w:style w:type="character" w:customStyle="1" w:styleId="BodytextnoindentChar">
    <w:name w:val="Body text no indent Char"/>
    <w:basedOn w:val="DefaultParagraphFont"/>
    <w:locked/>
    <w:rsid w:val="00463F87"/>
    <w:rPr>
      <w:sz w:val="24"/>
      <w:lang w:val="en-US" w:eastAsia="en-US" w:bidi="ar-SA"/>
    </w:rPr>
  </w:style>
  <w:style w:type="character" w:styleId="CommentReference">
    <w:name w:val="annotation reference"/>
    <w:basedOn w:val="DefaultParagraphFont"/>
    <w:uiPriority w:val="99"/>
    <w:semiHidden/>
    <w:rsid w:val="00463F87"/>
    <w:rPr>
      <w:sz w:val="16"/>
      <w:szCs w:val="16"/>
    </w:rPr>
  </w:style>
  <w:style w:type="paragraph" w:styleId="CommentText">
    <w:name w:val="annotation text"/>
    <w:basedOn w:val="Normal"/>
    <w:link w:val="CommentTextChar"/>
    <w:uiPriority w:val="99"/>
    <w:semiHidden/>
    <w:rsid w:val="00463F87"/>
    <w:rPr>
      <w:sz w:val="20"/>
      <w:szCs w:val="20"/>
    </w:rPr>
  </w:style>
  <w:style w:type="paragraph" w:styleId="CommentSubject">
    <w:name w:val="annotation subject"/>
    <w:basedOn w:val="CommentText"/>
    <w:next w:val="CommentText"/>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
    <w:basedOn w:val="DefaultParagraphFont"/>
    <w:uiPriority w:val="99"/>
    <w:semiHidden/>
    <w:rsid w:val="00463F87"/>
    <w:rPr>
      <w:rFonts w:ascii="Times New Roman" w:hAnsi="Times New Roman" w:cs="Times New Roman"/>
      <w:sz w:val="18"/>
      <w:szCs w:val="18"/>
      <w:vertAlign w:val="superscript"/>
    </w:rPr>
  </w:style>
  <w:style w:type="paragraph" w:styleId="FootnoteText">
    <w:name w:val="footnote text"/>
    <w:aliases w:val="ft,fo,footnote text Char,ft1,fo1"/>
    <w:basedOn w:val="Normal"/>
    <w:uiPriority w:val="99"/>
    <w:semiHidden/>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
    <w:basedOn w:val="DefaultParagraphFont"/>
    <w:uiPriority w:val="99"/>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ocked/>
    <w:rsid w:val="00463F87"/>
    <w:rPr>
      <w:rFonts w:ascii="Arial" w:hAnsi="Arial"/>
      <w:smallCaps/>
      <w:noProof/>
      <w:sz w:val="18"/>
      <w:szCs w:val="18"/>
      <w:lang w:val="en-US" w:eastAsia="en-US" w:bidi="ar-SA"/>
    </w:rPr>
  </w:style>
  <w:style w:type="paragraph" w:customStyle="1" w:styleId="NCESheadereven">
    <w:name w:val="NCES  header even"/>
    <w:basedOn w:val="Normal"/>
    <w:rsid w:val="00463F87"/>
    <w:pPr>
      <w:pBdr>
        <w:bottom w:val="single" w:sz="8" w:space="1" w:color="auto"/>
      </w:pBdr>
    </w:pPr>
    <w:rPr>
      <w:rFonts w:ascii="Arial" w:hAnsi="Arial"/>
      <w:smallCaps/>
      <w:sz w:val="18"/>
      <w:szCs w:val="20"/>
    </w:rPr>
  </w:style>
  <w:style w:type="paragraph" w:customStyle="1" w:styleId="NCESoddfooter">
    <w:name w:val="NCES odd footer"/>
    <w:basedOn w:val="Normal"/>
    <w:rsid w:val="00463F87"/>
    <w:pPr>
      <w:tabs>
        <w:tab w:val="right" w:pos="9360"/>
      </w:tabs>
    </w:pPr>
    <w:rPr>
      <w:rFonts w:ascii="Arial" w:hAnsi="Arial"/>
      <w:smallCaps/>
      <w:sz w:val="18"/>
      <w:szCs w:val="22"/>
    </w:rPr>
  </w:style>
  <w:style w:type="character" w:customStyle="1" w:styleId="NCESoddfooterChar">
    <w:name w:val="NCES odd footer Char"/>
    <w:basedOn w:val="DefaultParagraphFont"/>
    <w:locked/>
    <w:rsid w:val="00463F87"/>
    <w:rPr>
      <w:rFonts w:ascii="Arial" w:hAnsi="Arial"/>
      <w:smallCaps/>
      <w:sz w:val="18"/>
      <w:szCs w:val="22"/>
      <w:lang w:val="en-US" w:eastAsia="en-US" w:bidi="ar-SA"/>
    </w:rPr>
  </w:style>
  <w:style w:type="paragraph" w:customStyle="1" w:styleId="ListBullet21">
    <w:name w:val="List Bullet 21"/>
    <w:basedOn w:val="ListBullet"/>
    <w:rsid w:val="00463F87"/>
    <w:pPr>
      <w:numPr>
        <w:numId w:val="5"/>
      </w:numPr>
      <w:spacing w:before="120"/>
    </w:pPr>
    <w:rPr>
      <w:szCs w:val="20"/>
    </w:rPr>
  </w:style>
  <w:style w:type="character" w:styleId="Strong">
    <w:name w:val="Strong"/>
    <w:basedOn w:val="DefaultParagraphFont"/>
    <w:qFormat/>
    <w:rsid w:val="00463F87"/>
    <w:rPr>
      <w:b/>
      <w:bCs/>
    </w:rPr>
  </w:style>
  <w:style w:type="character" w:styleId="Emphasis">
    <w:name w:val="Emphasis"/>
    <w:basedOn w:val="DefaultParagraphFont"/>
    <w:qFormat/>
    <w:rsid w:val="00463F87"/>
    <w:rPr>
      <w:i/>
      <w:iCs/>
    </w:rPr>
  </w:style>
  <w:style w:type="paragraph" w:styleId="ListParagraph">
    <w:name w:val="List Paragraph"/>
    <w:basedOn w:val="Normal"/>
    <w:link w:val="ListParagraphChar"/>
    <w:uiPriority w:val="34"/>
    <w:qFormat/>
    <w:rsid w:val="00450CC6"/>
    <w:pPr>
      <w:ind w:left="720"/>
    </w:pPr>
    <w:rPr>
      <w:rFonts w:ascii="Calibri" w:eastAsia="Calibri" w:hAnsi="Calibri"/>
      <w:sz w:val="22"/>
      <w:szCs w:val="22"/>
    </w:rPr>
  </w:style>
  <w:style w:type="table" w:styleId="TableGrid">
    <w:name w:val="Table Grid"/>
    <w:basedOn w:val="TableNormal"/>
    <w:uiPriority w:val="3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semiHidden/>
    <w:locked/>
    <w:rsid w:val="004E0012"/>
  </w:style>
  <w:style w:type="paragraph" w:customStyle="1" w:styleId="bodytextpsg">
    <w:name w:val="body text_psg"/>
    <w:basedOn w:val="Normal"/>
    <w:link w:val="bodytextpsgChar"/>
    <w:rsid w:val="004E0012"/>
    <w:pPr>
      <w:spacing w:after="240" w:line="320" w:lineRule="exact"/>
    </w:pPr>
  </w:style>
  <w:style w:type="character" w:customStyle="1" w:styleId="bodytextpsgChar">
    <w:name w:val="body text_psg Char"/>
    <w:basedOn w:val="DefaultParagraphFont"/>
    <w:link w:val="bodytextpsg"/>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semiHidden/>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 w:type="paragraph" w:styleId="NoSpacing">
    <w:name w:val="No Spacing"/>
    <w:uiPriority w:val="1"/>
    <w:qFormat/>
    <w:rsid w:val="006C2929"/>
    <w:rPr>
      <w:sz w:val="24"/>
      <w:szCs w:val="24"/>
    </w:rPr>
  </w:style>
  <w:style w:type="character" w:customStyle="1" w:styleId="ListParagraphChar">
    <w:name w:val="List Paragraph Char"/>
    <w:basedOn w:val="DefaultParagraphFont"/>
    <w:link w:val="ListParagraph"/>
    <w:uiPriority w:val="34"/>
    <w:locked/>
    <w:rsid w:val="00D3014C"/>
    <w:rPr>
      <w:rFonts w:ascii="Calibri" w:eastAsia="Calibri" w:hAnsi="Calibri"/>
      <w:sz w:val="22"/>
      <w:szCs w:val="22"/>
    </w:rPr>
  </w:style>
  <w:style w:type="paragraph" w:customStyle="1" w:styleId="ExhibitTitle">
    <w:name w:val="Exhibit Title"/>
    <w:next w:val="Normal"/>
    <w:link w:val="ExhibitTitleChar"/>
    <w:rsid w:val="00D3014C"/>
    <w:pPr>
      <w:keepNext/>
      <w:spacing w:before="240" w:after="120"/>
      <w:ind w:left="1440" w:hanging="1440"/>
    </w:pPr>
    <w:rPr>
      <w:b/>
      <w:sz w:val="24"/>
    </w:rPr>
  </w:style>
  <w:style w:type="paragraph" w:customStyle="1" w:styleId="Quick1">
    <w:name w:val="Quick 1."/>
    <w:basedOn w:val="Normal"/>
    <w:uiPriority w:val="99"/>
    <w:semiHidden/>
    <w:rsid w:val="00D3014C"/>
    <w:pPr>
      <w:widowControl w:val="0"/>
      <w:numPr>
        <w:numId w:val="14"/>
      </w:numPr>
      <w:tabs>
        <w:tab w:val="num" w:pos="1080"/>
      </w:tabs>
      <w:ind w:left="550" w:hanging="327"/>
    </w:pPr>
  </w:style>
  <w:style w:type="character" w:customStyle="1" w:styleId="ExhibitTitleChar">
    <w:name w:val="Exhibit Title Char"/>
    <w:basedOn w:val="DefaultParagraphFont"/>
    <w:link w:val="ExhibitTitle"/>
    <w:locked/>
    <w:rsid w:val="00D3014C"/>
    <w:rPr>
      <w:b/>
      <w:sz w:val="24"/>
    </w:rPr>
  </w:style>
  <w:style w:type="paragraph" w:customStyle="1" w:styleId="R-Pubs-Pres">
    <w:name w:val="R-Pubs-Pres"/>
    <w:basedOn w:val="Normal"/>
    <w:link w:val="R-Pubs-PresChar"/>
    <w:rsid w:val="00D3014C"/>
    <w:pPr>
      <w:keepLines/>
      <w:spacing w:after="220"/>
      <w:ind w:left="446" w:hanging="446"/>
    </w:pPr>
    <w:rPr>
      <w:sz w:val="22"/>
      <w:szCs w:val="20"/>
    </w:rPr>
  </w:style>
  <w:style w:type="character" w:customStyle="1" w:styleId="apple-converted-space">
    <w:name w:val="apple-converted-space"/>
    <w:rsid w:val="00D3014C"/>
  </w:style>
  <w:style w:type="character" w:customStyle="1" w:styleId="R-Pubs-PresChar">
    <w:name w:val="R-Pubs-Pres Char"/>
    <w:link w:val="R-Pubs-Pres"/>
    <w:rsid w:val="00D3014C"/>
    <w:rPr>
      <w:sz w:val="22"/>
    </w:rPr>
  </w:style>
  <w:style w:type="character" w:styleId="IntenseEmphasis">
    <w:name w:val="Intense Emphasis"/>
    <w:basedOn w:val="DefaultParagraphFont"/>
    <w:uiPriority w:val="21"/>
    <w:qFormat/>
    <w:rsid w:val="00D3014C"/>
    <w:rPr>
      <w:i/>
      <w:iCs/>
      <w:color w:val="4F81BD" w:themeColor="accent1"/>
    </w:rPr>
  </w:style>
  <w:style w:type="paragraph" w:styleId="IntenseQuote">
    <w:name w:val="Intense Quote"/>
    <w:basedOn w:val="Normal"/>
    <w:next w:val="Normal"/>
    <w:link w:val="IntenseQuoteChar"/>
    <w:uiPriority w:val="30"/>
    <w:qFormat/>
    <w:rsid w:val="00D3014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3014C"/>
    <w:rPr>
      <w:i/>
      <w:iCs/>
      <w:color w:val="4F81BD" w:themeColor="accent1"/>
      <w:sz w:val="24"/>
      <w:szCs w:val="24"/>
    </w:rPr>
  </w:style>
  <w:style w:type="character" w:styleId="PlaceholderText">
    <w:name w:val="Placeholder Text"/>
    <w:basedOn w:val="DefaultParagraphFont"/>
    <w:uiPriority w:val="99"/>
    <w:semiHidden/>
    <w:rsid w:val="007B168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List Bulle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87"/>
    <w:rPr>
      <w:sz w:val="24"/>
      <w:szCs w:val="24"/>
    </w:rPr>
  </w:style>
  <w:style w:type="paragraph" w:styleId="Heading1">
    <w:name w:val="heading 1"/>
    <w:basedOn w:val="Normal"/>
    <w:next w:val="Normal"/>
    <w:uiPriority w:val="1"/>
    <w:qFormat/>
    <w:rsid w:val="00463F87"/>
    <w:pPr>
      <w:keepNext/>
      <w:outlineLvl w:val="0"/>
    </w:pPr>
    <w:rPr>
      <w:b/>
      <w:bCs/>
      <w:u w:val="single"/>
    </w:rPr>
  </w:style>
  <w:style w:type="paragraph" w:styleId="Heading2">
    <w:name w:val="heading 2"/>
    <w:basedOn w:val="Normal"/>
    <w:next w:val="Normal"/>
    <w:uiPriority w:val="1"/>
    <w:qFormat/>
    <w:rsid w:val="00463F87"/>
    <w:pPr>
      <w:keepNext/>
      <w:outlineLvl w:val="1"/>
    </w:pPr>
    <w:rPr>
      <w:b/>
      <w:bCs/>
    </w:rPr>
  </w:style>
  <w:style w:type="paragraph" w:styleId="Heading3">
    <w:name w:val="heading 3"/>
    <w:basedOn w:val="Normal"/>
    <w:next w:val="Normal"/>
    <w:qFormat/>
    <w:rsid w:val="00463F87"/>
    <w:pPr>
      <w:keepNext/>
      <w:outlineLvl w:val="2"/>
    </w:pPr>
    <w:rPr>
      <w:u w:val="single"/>
    </w:rPr>
  </w:style>
  <w:style w:type="paragraph" w:styleId="Heading4">
    <w:name w:val="heading 4"/>
    <w:basedOn w:val="Normal"/>
    <w:next w:val="Normal"/>
    <w:qFormat/>
    <w:rsid w:val="00463F87"/>
    <w:pPr>
      <w:keepNext/>
      <w:jc w:val="center"/>
      <w:outlineLvl w:val="3"/>
    </w:pPr>
    <w:rPr>
      <w:b/>
      <w:szCs w:val="20"/>
    </w:rPr>
  </w:style>
  <w:style w:type="paragraph" w:styleId="Heading6">
    <w:name w:val="heading 6"/>
    <w:basedOn w:val="Normal"/>
    <w:next w:val="Normal"/>
    <w:qFormat/>
    <w:rsid w:val="00463F87"/>
    <w:pPr>
      <w:keepNext/>
      <w:tabs>
        <w:tab w:val="left" w:pos="720"/>
        <w:tab w:val="left" w:pos="1152"/>
        <w:tab w:val="left" w:pos="1440"/>
        <w:tab w:val="left" w:pos="5580"/>
        <w:tab w:val="left" w:pos="7560"/>
      </w:tabs>
      <w:outlineLvl w:val="5"/>
    </w:pPr>
    <w:rPr>
      <w:bCs/>
      <w:i/>
      <w:iCs/>
      <w:szCs w:val="20"/>
    </w:rPr>
  </w:style>
  <w:style w:type="paragraph" w:styleId="Heading8">
    <w:name w:val="heading 8"/>
    <w:basedOn w:val="Normal"/>
    <w:next w:val="Normal"/>
    <w:qFormat/>
    <w:rsid w:val="00463F87"/>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semiHidden/>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semiHidden/>
    <w:rsid w:val="00463F87"/>
  </w:style>
  <w:style w:type="paragraph" w:styleId="BodyText">
    <w:name w:val="Body Text"/>
    <w:basedOn w:val="Normal"/>
    <w:uiPriority w:val="1"/>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semiHidden/>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semiHidden/>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semiHidden/>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uiPriority w:val="99"/>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rsid w:val="00463F87"/>
    <w:pPr>
      <w:ind w:left="0" w:firstLine="0"/>
      <w:jc w:val="right"/>
    </w:pPr>
  </w:style>
  <w:style w:type="character" w:customStyle="1" w:styleId="TableheadingChar">
    <w:name w:val="Table heading Char"/>
    <w:basedOn w:val="TabletextChar"/>
    <w:locked/>
    <w:rsid w:val="00463F87"/>
    <w:rPr>
      <w:rFonts w:ascii="Arial" w:hAnsi="Arial"/>
      <w:lang w:val="en-US" w:eastAsia="en-US" w:bidi="ar-SA"/>
    </w:rPr>
  </w:style>
  <w:style w:type="paragraph" w:customStyle="1" w:styleId="Tablebody">
    <w:name w:val="Table body"/>
    <w:rsid w:val="00463F87"/>
    <w:pPr>
      <w:keepNext/>
      <w:spacing w:before="40" w:after="40"/>
      <w:jc w:val="right"/>
    </w:pPr>
    <w:rPr>
      <w:rFonts w:ascii="Arial" w:hAnsi="Arial"/>
    </w:rPr>
  </w:style>
  <w:style w:type="character" w:customStyle="1" w:styleId="2enspsubgroup1Char">
    <w:name w:val="2 en sp (subgroup 1) Char"/>
    <w:basedOn w:val="TabletextChar"/>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rsid w:val="00463F87"/>
    <w:pPr>
      <w:spacing w:before="120" w:after="120"/>
      <w:jc w:val="left"/>
    </w:pPr>
    <w:rPr>
      <w:b w:val="0"/>
      <w:bCs w:val="0"/>
      <w:szCs w:val="20"/>
    </w:rPr>
  </w:style>
  <w:style w:type="character" w:customStyle="1" w:styleId="BodytextnoindentChar">
    <w:name w:val="Body text no indent Char"/>
    <w:basedOn w:val="DefaultParagraphFont"/>
    <w:locked/>
    <w:rsid w:val="00463F87"/>
    <w:rPr>
      <w:sz w:val="24"/>
      <w:lang w:val="en-US" w:eastAsia="en-US" w:bidi="ar-SA"/>
    </w:rPr>
  </w:style>
  <w:style w:type="character" w:styleId="CommentReference">
    <w:name w:val="annotation reference"/>
    <w:basedOn w:val="DefaultParagraphFont"/>
    <w:uiPriority w:val="99"/>
    <w:semiHidden/>
    <w:rsid w:val="00463F87"/>
    <w:rPr>
      <w:sz w:val="16"/>
      <w:szCs w:val="16"/>
    </w:rPr>
  </w:style>
  <w:style w:type="paragraph" w:styleId="CommentText">
    <w:name w:val="annotation text"/>
    <w:basedOn w:val="Normal"/>
    <w:link w:val="CommentTextChar"/>
    <w:uiPriority w:val="99"/>
    <w:semiHidden/>
    <w:rsid w:val="00463F87"/>
    <w:rPr>
      <w:sz w:val="20"/>
      <w:szCs w:val="20"/>
    </w:rPr>
  </w:style>
  <w:style w:type="paragraph" w:styleId="CommentSubject">
    <w:name w:val="annotation subject"/>
    <w:basedOn w:val="CommentText"/>
    <w:next w:val="CommentText"/>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
    <w:basedOn w:val="DefaultParagraphFont"/>
    <w:uiPriority w:val="99"/>
    <w:semiHidden/>
    <w:rsid w:val="00463F87"/>
    <w:rPr>
      <w:rFonts w:ascii="Times New Roman" w:hAnsi="Times New Roman" w:cs="Times New Roman"/>
      <w:sz w:val="18"/>
      <w:szCs w:val="18"/>
      <w:vertAlign w:val="superscript"/>
    </w:rPr>
  </w:style>
  <w:style w:type="paragraph" w:styleId="FootnoteText">
    <w:name w:val="footnote text"/>
    <w:aliases w:val="ft,fo,footnote text Char,ft1,fo1"/>
    <w:basedOn w:val="Normal"/>
    <w:uiPriority w:val="99"/>
    <w:semiHidden/>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
    <w:basedOn w:val="DefaultParagraphFont"/>
    <w:uiPriority w:val="99"/>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ocked/>
    <w:rsid w:val="00463F87"/>
    <w:rPr>
      <w:rFonts w:ascii="Arial" w:hAnsi="Arial"/>
      <w:smallCaps/>
      <w:noProof/>
      <w:sz w:val="18"/>
      <w:szCs w:val="18"/>
      <w:lang w:val="en-US" w:eastAsia="en-US" w:bidi="ar-SA"/>
    </w:rPr>
  </w:style>
  <w:style w:type="paragraph" w:customStyle="1" w:styleId="NCESheadereven">
    <w:name w:val="NCES  header even"/>
    <w:basedOn w:val="Normal"/>
    <w:rsid w:val="00463F87"/>
    <w:pPr>
      <w:pBdr>
        <w:bottom w:val="single" w:sz="8" w:space="1" w:color="auto"/>
      </w:pBdr>
    </w:pPr>
    <w:rPr>
      <w:rFonts w:ascii="Arial" w:hAnsi="Arial"/>
      <w:smallCaps/>
      <w:sz w:val="18"/>
      <w:szCs w:val="20"/>
    </w:rPr>
  </w:style>
  <w:style w:type="paragraph" w:customStyle="1" w:styleId="NCESoddfooter">
    <w:name w:val="NCES odd footer"/>
    <w:basedOn w:val="Normal"/>
    <w:rsid w:val="00463F87"/>
    <w:pPr>
      <w:tabs>
        <w:tab w:val="right" w:pos="9360"/>
      </w:tabs>
    </w:pPr>
    <w:rPr>
      <w:rFonts w:ascii="Arial" w:hAnsi="Arial"/>
      <w:smallCaps/>
      <w:sz w:val="18"/>
      <w:szCs w:val="22"/>
    </w:rPr>
  </w:style>
  <w:style w:type="character" w:customStyle="1" w:styleId="NCESoddfooterChar">
    <w:name w:val="NCES odd footer Char"/>
    <w:basedOn w:val="DefaultParagraphFont"/>
    <w:locked/>
    <w:rsid w:val="00463F87"/>
    <w:rPr>
      <w:rFonts w:ascii="Arial" w:hAnsi="Arial"/>
      <w:smallCaps/>
      <w:sz w:val="18"/>
      <w:szCs w:val="22"/>
      <w:lang w:val="en-US" w:eastAsia="en-US" w:bidi="ar-SA"/>
    </w:rPr>
  </w:style>
  <w:style w:type="paragraph" w:customStyle="1" w:styleId="ListBullet21">
    <w:name w:val="List Bullet 21"/>
    <w:basedOn w:val="ListBullet"/>
    <w:rsid w:val="00463F87"/>
    <w:pPr>
      <w:numPr>
        <w:numId w:val="5"/>
      </w:numPr>
      <w:spacing w:before="120"/>
    </w:pPr>
    <w:rPr>
      <w:szCs w:val="20"/>
    </w:rPr>
  </w:style>
  <w:style w:type="character" w:styleId="Strong">
    <w:name w:val="Strong"/>
    <w:basedOn w:val="DefaultParagraphFont"/>
    <w:qFormat/>
    <w:rsid w:val="00463F87"/>
    <w:rPr>
      <w:b/>
      <w:bCs/>
    </w:rPr>
  </w:style>
  <w:style w:type="character" w:styleId="Emphasis">
    <w:name w:val="Emphasis"/>
    <w:basedOn w:val="DefaultParagraphFont"/>
    <w:qFormat/>
    <w:rsid w:val="00463F87"/>
    <w:rPr>
      <w:i/>
      <w:iCs/>
    </w:rPr>
  </w:style>
  <w:style w:type="paragraph" w:styleId="ListParagraph">
    <w:name w:val="List Paragraph"/>
    <w:basedOn w:val="Normal"/>
    <w:link w:val="ListParagraphChar"/>
    <w:uiPriority w:val="34"/>
    <w:qFormat/>
    <w:rsid w:val="00450CC6"/>
    <w:pPr>
      <w:ind w:left="720"/>
    </w:pPr>
    <w:rPr>
      <w:rFonts w:ascii="Calibri" w:eastAsia="Calibri" w:hAnsi="Calibri"/>
      <w:sz w:val="22"/>
      <w:szCs w:val="22"/>
    </w:rPr>
  </w:style>
  <w:style w:type="table" w:styleId="TableGrid">
    <w:name w:val="Table Grid"/>
    <w:basedOn w:val="TableNormal"/>
    <w:uiPriority w:val="3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semiHidden/>
    <w:locked/>
    <w:rsid w:val="004E0012"/>
  </w:style>
  <w:style w:type="paragraph" w:customStyle="1" w:styleId="bodytextpsg">
    <w:name w:val="body text_psg"/>
    <w:basedOn w:val="Normal"/>
    <w:link w:val="bodytextpsgChar"/>
    <w:rsid w:val="004E0012"/>
    <w:pPr>
      <w:spacing w:after="240" w:line="320" w:lineRule="exact"/>
    </w:pPr>
  </w:style>
  <w:style w:type="character" w:customStyle="1" w:styleId="bodytextpsgChar">
    <w:name w:val="body text_psg Char"/>
    <w:basedOn w:val="DefaultParagraphFont"/>
    <w:link w:val="bodytextpsg"/>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semiHidden/>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 w:type="paragraph" w:styleId="NoSpacing">
    <w:name w:val="No Spacing"/>
    <w:uiPriority w:val="1"/>
    <w:qFormat/>
    <w:rsid w:val="006C2929"/>
    <w:rPr>
      <w:sz w:val="24"/>
      <w:szCs w:val="24"/>
    </w:rPr>
  </w:style>
  <w:style w:type="character" w:customStyle="1" w:styleId="ListParagraphChar">
    <w:name w:val="List Paragraph Char"/>
    <w:basedOn w:val="DefaultParagraphFont"/>
    <w:link w:val="ListParagraph"/>
    <w:uiPriority w:val="34"/>
    <w:locked/>
    <w:rsid w:val="00D3014C"/>
    <w:rPr>
      <w:rFonts w:ascii="Calibri" w:eastAsia="Calibri" w:hAnsi="Calibri"/>
      <w:sz w:val="22"/>
      <w:szCs w:val="22"/>
    </w:rPr>
  </w:style>
  <w:style w:type="paragraph" w:customStyle="1" w:styleId="ExhibitTitle">
    <w:name w:val="Exhibit Title"/>
    <w:next w:val="Normal"/>
    <w:link w:val="ExhibitTitleChar"/>
    <w:rsid w:val="00D3014C"/>
    <w:pPr>
      <w:keepNext/>
      <w:spacing w:before="240" w:after="120"/>
      <w:ind w:left="1440" w:hanging="1440"/>
    </w:pPr>
    <w:rPr>
      <w:b/>
      <w:sz w:val="24"/>
    </w:rPr>
  </w:style>
  <w:style w:type="paragraph" w:customStyle="1" w:styleId="Quick1">
    <w:name w:val="Quick 1."/>
    <w:basedOn w:val="Normal"/>
    <w:uiPriority w:val="99"/>
    <w:semiHidden/>
    <w:rsid w:val="00D3014C"/>
    <w:pPr>
      <w:widowControl w:val="0"/>
      <w:numPr>
        <w:numId w:val="14"/>
      </w:numPr>
      <w:tabs>
        <w:tab w:val="num" w:pos="1080"/>
      </w:tabs>
      <w:ind w:left="550" w:hanging="327"/>
    </w:pPr>
  </w:style>
  <w:style w:type="character" w:customStyle="1" w:styleId="ExhibitTitleChar">
    <w:name w:val="Exhibit Title Char"/>
    <w:basedOn w:val="DefaultParagraphFont"/>
    <w:link w:val="ExhibitTitle"/>
    <w:locked/>
    <w:rsid w:val="00D3014C"/>
    <w:rPr>
      <w:b/>
      <w:sz w:val="24"/>
    </w:rPr>
  </w:style>
  <w:style w:type="paragraph" w:customStyle="1" w:styleId="R-Pubs-Pres">
    <w:name w:val="R-Pubs-Pres"/>
    <w:basedOn w:val="Normal"/>
    <w:link w:val="R-Pubs-PresChar"/>
    <w:rsid w:val="00D3014C"/>
    <w:pPr>
      <w:keepLines/>
      <w:spacing w:after="220"/>
      <w:ind w:left="446" w:hanging="446"/>
    </w:pPr>
    <w:rPr>
      <w:sz w:val="22"/>
      <w:szCs w:val="20"/>
    </w:rPr>
  </w:style>
  <w:style w:type="character" w:customStyle="1" w:styleId="apple-converted-space">
    <w:name w:val="apple-converted-space"/>
    <w:rsid w:val="00D3014C"/>
  </w:style>
  <w:style w:type="character" w:customStyle="1" w:styleId="R-Pubs-PresChar">
    <w:name w:val="R-Pubs-Pres Char"/>
    <w:link w:val="R-Pubs-Pres"/>
    <w:rsid w:val="00D3014C"/>
    <w:rPr>
      <w:sz w:val="22"/>
    </w:rPr>
  </w:style>
  <w:style w:type="character" w:styleId="IntenseEmphasis">
    <w:name w:val="Intense Emphasis"/>
    <w:basedOn w:val="DefaultParagraphFont"/>
    <w:uiPriority w:val="21"/>
    <w:qFormat/>
    <w:rsid w:val="00D3014C"/>
    <w:rPr>
      <w:i/>
      <w:iCs/>
      <w:color w:val="4F81BD" w:themeColor="accent1"/>
    </w:rPr>
  </w:style>
  <w:style w:type="paragraph" w:styleId="IntenseQuote">
    <w:name w:val="Intense Quote"/>
    <w:basedOn w:val="Normal"/>
    <w:next w:val="Normal"/>
    <w:link w:val="IntenseQuoteChar"/>
    <w:uiPriority w:val="30"/>
    <w:qFormat/>
    <w:rsid w:val="00D3014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3014C"/>
    <w:rPr>
      <w:i/>
      <w:iCs/>
      <w:color w:val="4F81BD" w:themeColor="accent1"/>
      <w:sz w:val="24"/>
      <w:szCs w:val="24"/>
    </w:rPr>
  </w:style>
  <w:style w:type="character" w:styleId="PlaceholderText">
    <w:name w:val="Placeholder Text"/>
    <w:basedOn w:val="DefaultParagraphFont"/>
    <w:uiPriority w:val="99"/>
    <w:semiHidden/>
    <w:rsid w:val="007B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74427">
      <w:bodyDiv w:val="1"/>
      <w:marLeft w:val="0"/>
      <w:marRight w:val="0"/>
      <w:marTop w:val="0"/>
      <w:marBottom w:val="0"/>
      <w:divBdr>
        <w:top w:val="none" w:sz="0" w:space="0" w:color="auto"/>
        <w:left w:val="none" w:sz="0" w:space="0" w:color="auto"/>
        <w:bottom w:val="none" w:sz="0" w:space="0" w:color="auto"/>
        <w:right w:val="none" w:sz="0" w:space="0" w:color="auto"/>
      </w:divBdr>
    </w:div>
    <w:div w:id="456338361">
      <w:bodyDiv w:val="1"/>
      <w:marLeft w:val="0"/>
      <w:marRight w:val="0"/>
      <w:marTop w:val="0"/>
      <w:marBottom w:val="0"/>
      <w:divBdr>
        <w:top w:val="none" w:sz="0" w:space="0" w:color="auto"/>
        <w:left w:val="none" w:sz="0" w:space="0" w:color="auto"/>
        <w:bottom w:val="none" w:sz="0" w:space="0" w:color="auto"/>
        <w:right w:val="none" w:sz="0" w:space="0" w:color="auto"/>
      </w:divBdr>
    </w:div>
    <w:div w:id="841702337">
      <w:bodyDiv w:val="1"/>
      <w:marLeft w:val="0"/>
      <w:marRight w:val="0"/>
      <w:marTop w:val="0"/>
      <w:marBottom w:val="0"/>
      <w:divBdr>
        <w:top w:val="none" w:sz="0" w:space="0" w:color="auto"/>
        <w:left w:val="none" w:sz="0" w:space="0" w:color="auto"/>
        <w:bottom w:val="none" w:sz="0" w:space="0" w:color="auto"/>
        <w:right w:val="none" w:sz="0" w:space="0" w:color="auto"/>
      </w:divBdr>
    </w:div>
    <w:div w:id="887453167">
      <w:bodyDiv w:val="1"/>
      <w:marLeft w:val="0"/>
      <w:marRight w:val="0"/>
      <w:marTop w:val="0"/>
      <w:marBottom w:val="0"/>
      <w:divBdr>
        <w:top w:val="none" w:sz="0" w:space="0" w:color="auto"/>
        <w:left w:val="none" w:sz="0" w:space="0" w:color="auto"/>
        <w:bottom w:val="none" w:sz="0" w:space="0" w:color="auto"/>
        <w:right w:val="none" w:sz="0" w:space="0" w:color="auto"/>
      </w:divBdr>
    </w:div>
    <w:div w:id="1212575670">
      <w:bodyDiv w:val="1"/>
      <w:marLeft w:val="0"/>
      <w:marRight w:val="0"/>
      <w:marTop w:val="0"/>
      <w:marBottom w:val="0"/>
      <w:divBdr>
        <w:top w:val="none" w:sz="0" w:space="0" w:color="auto"/>
        <w:left w:val="none" w:sz="0" w:space="0" w:color="auto"/>
        <w:bottom w:val="none" w:sz="0" w:space="0" w:color="auto"/>
        <w:right w:val="none" w:sz="0" w:space="0" w:color="auto"/>
      </w:divBdr>
    </w:div>
    <w:div w:id="1213075318">
      <w:bodyDiv w:val="1"/>
      <w:marLeft w:val="0"/>
      <w:marRight w:val="0"/>
      <w:marTop w:val="0"/>
      <w:marBottom w:val="0"/>
      <w:divBdr>
        <w:top w:val="none" w:sz="0" w:space="0" w:color="auto"/>
        <w:left w:val="none" w:sz="0" w:space="0" w:color="auto"/>
        <w:bottom w:val="none" w:sz="0" w:space="0" w:color="auto"/>
        <w:right w:val="none" w:sz="0" w:space="0" w:color="auto"/>
      </w:divBdr>
    </w:div>
    <w:div w:id="1316911189">
      <w:bodyDiv w:val="1"/>
      <w:marLeft w:val="0"/>
      <w:marRight w:val="0"/>
      <w:marTop w:val="0"/>
      <w:marBottom w:val="0"/>
      <w:divBdr>
        <w:top w:val="none" w:sz="0" w:space="0" w:color="auto"/>
        <w:left w:val="none" w:sz="0" w:space="0" w:color="auto"/>
        <w:bottom w:val="none" w:sz="0" w:space="0" w:color="auto"/>
        <w:right w:val="none" w:sz="0" w:space="0" w:color="auto"/>
      </w:divBdr>
    </w:div>
    <w:div w:id="2069525921">
      <w:bodyDiv w:val="1"/>
      <w:marLeft w:val="0"/>
      <w:marRight w:val="0"/>
      <w:marTop w:val="0"/>
      <w:marBottom w:val="0"/>
      <w:divBdr>
        <w:top w:val="none" w:sz="0" w:space="0" w:color="auto"/>
        <w:left w:val="none" w:sz="0" w:space="0" w:color="auto"/>
        <w:bottom w:val="none" w:sz="0" w:space="0" w:color="auto"/>
        <w:right w:val="none" w:sz="0" w:space="0" w:color="auto"/>
      </w:divBdr>
    </w:div>
    <w:div w:id="2081099758">
      <w:bodyDiv w:val="1"/>
      <w:marLeft w:val="0"/>
      <w:marRight w:val="0"/>
      <w:marTop w:val="0"/>
      <w:marBottom w:val="0"/>
      <w:divBdr>
        <w:top w:val="none" w:sz="0" w:space="0" w:color="auto"/>
        <w:left w:val="none" w:sz="0" w:space="0" w:color="auto"/>
        <w:bottom w:val="none" w:sz="0" w:space="0" w:color="auto"/>
        <w:right w:val="none" w:sz="0" w:space="0" w:color="auto"/>
      </w:divBdr>
    </w:div>
    <w:div w:id="208630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349583475978547"/>
          <c:y val="3.6258760370861974E-2"/>
          <c:w val="0.8052788999201187"/>
          <c:h val="0.82665149515270142"/>
        </c:manualLayout>
      </c:layout>
      <c:barChart>
        <c:barDir val="bar"/>
        <c:grouping val="stacked"/>
        <c:varyColors val="0"/>
        <c:ser>
          <c:idx val="0"/>
          <c:order val="0"/>
          <c:spPr>
            <a:noFill/>
            <a:ln>
              <a:noFill/>
            </a:ln>
            <a:effectLst/>
          </c:spPr>
          <c:invertIfNegative val="0"/>
          <c:cat>
            <c:strRef>
              <c:f>Sheet1!$B$1:$C$1</c:f>
              <c:strCache>
                <c:ptCount val="2"/>
                <c:pt idx="0">
                  <c:v>Main sample</c:v>
                </c:pt>
                <c:pt idx="1">
                  <c:v>Calibration sample</c:v>
                </c:pt>
              </c:strCache>
            </c:strRef>
          </c:cat>
          <c:val>
            <c:numRef>
              <c:f>Sheet1!$B$2:$C$2</c:f>
              <c:numCache>
                <c:formatCode>General</c:formatCode>
                <c:ptCount val="2"/>
                <c:pt idx="0">
                  <c:v>49</c:v>
                </c:pt>
                <c:pt idx="1">
                  <c:v>0</c:v>
                </c:pt>
              </c:numCache>
            </c:numRef>
          </c:val>
        </c:ser>
        <c:ser>
          <c:idx val="1"/>
          <c:order val="1"/>
          <c:tx>
            <c:strRef>
              <c:f>Sheet1!$A$3</c:f>
              <c:strCache>
                <c:ptCount val="1"/>
                <c:pt idx="0">
                  <c:v>Web</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layout/>
                <c15:showLeaderLines val="0"/>
              </c:ext>
            </c:extLst>
          </c:dLbls>
          <c:cat>
            <c:strRef>
              <c:f>Sheet1!$B$1:$C$1</c:f>
              <c:strCache>
                <c:ptCount val="2"/>
                <c:pt idx="0">
                  <c:v>Main sample</c:v>
                </c:pt>
                <c:pt idx="1">
                  <c:v>Calibration sample</c:v>
                </c:pt>
              </c:strCache>
            </c:strRef>
          </c:cat>
          <c:val>
            <c:numRef>
              <c:f>Sheet1!$B$3:$C$3</c:f>
              <c:numCache>
                <c:formatCode>General</c:formatCode>
                <c:ptCount val="2"/>
                <c:pt idx="0">
                  <c:v>21</c:v>
                </c:pt>
                <c:pt idx="1">
                  <c:v>21</c:v>
                </c:pt>
              </c:numCache>
            </c:numRef>
          </c:val>
        </c:ser>
        <c:ser>
          <c:idx val="2"/>
          <c:order val="2"/>
          <c:tx>
            <c:strRef>
              <c:f>Sheet1!$A$4</c:f>
              <c:strCache>
                <c:ptCount val="1"/>
                <c:pt idx="0">
                  <c:v>CATI</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layout/>
                <c15:showLeaderLines val="0"/>
              </c:ext>
            </c:extLst>
          </c:dLbls>
          <c:cat>
            <c:strRef>
              <c:f>Sheet1!$B$1:$C$1</c:f>
              <c:strCache>
                <c:ptCount val="2"/>
                <c:pt idx="0">
                  <c:v>Main sample</c:v>
                </c:pt>
                <c:pt idx="1">
                  <c:v>Calibration sample</c:v>
                </c:pt>
              </c:strCache>
            </c:strRef>
          </c:cat>
          <c:val>
            <c:numRef>
              <c:f>Sheet1!$B$4:$C$4</c:f>
              <c:numCache>
                <c:formatCode>General</c:formatCode>
                <c:ptCount val="2"/>
                <c:pt idx="0">
                  <c:v>21</c:v>
                </c:pt>
                <c:pt idx="1">
                  <c:v>21</c:v>
                </c:pt>
              </c:numCache>
            </c:numRef>
          </c:val>
        </c:ser>
        <c:ser>
          <c:idx val="3"/>
          <c:order val="3"/>
          <c:tx>
            <c:strRef>
              <c:f>Sheet1!$A$5</c:f>
              <c:strCache>
                <c:ptCount val="1"/>
                <c:pt idx="0">
                  <c:v>Boost 1</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layout/>
                <c15:showLeaderLines val="0"/>
              </c:ext>
            </c:extLst>
          </c:dLbls>
          <c:cat>
            <c:strRef>
              <c:f>Sheet1!$B$1:$C$1</c:f>
              <c:strCache>
                <c:ptCount val="2"/>
                <c:pt idx="0">
                  <c:v>Main sample</c:v>
                </c:pt>
                <c:pt idx="1">
                  <c:v>Calibration sample</c:v>
                </c:pt>
              </c:strCache>
            </c:strRef>
          </c:cat>
          <c:val>
            <c:numRef>
              <c:f>Sheet1!$B$5:$C$5</c:f>
              <c:numCache>
                <c:formatCode>General</c:formatCode>
                <c:ptCount val="2"/>
                <c:pt idx="0">
                  <c:v>49</c:v>
                </c:pt>
                <c:pt idx="1">
                  <c:v>49</c:v>
                </c:pt>
              </c:numCache>
            </c:numRef>
          </c:val>
        </c:ser>
        <c:ser>
          <c:idx val="4"/>
          <c:order val="4"/>
          <c:tx>
            <c:strRef>
              <c:f>Sheet1!$A$6</c:f>
              <c:strCache>
                <c:ptCount val="1"/>
                <c:pt idx="0">
                  <c:v>Boost 2</c:v>
                </c:pt>
              </c:strCache>
            </c:strRef>
          </c:tx>
          <c:spPr>
            <a:solidFill>
              <a:schemeClr val="accent5">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5">
                        <a:lumMod val="50000"/>
                      </a:schemeClr>
                    </a:solidFill>
                    <a:latin typeface="+mn-lt"/>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layout/>
                <c15:showLeaderLines val="0"/>
              </c:ext>
            </c:extLst>
          </c:dLbls>
          <c:cat>
            <c:strRef>
              <c:f>Sheet1!$B$1:$C$1</c:f>
              <c:strCache>
                <c:ptCount val="2"/>
                <c:pt idx="0">
                  <c:v>Main sample</c:v>
                </c:pt>
                <c:pt idx="1">
                  <c:v>Calibration sample</c:v>
                </c:pt>
              </c:strCache>
            </c:strRef>
          </c:cat>
          <c:val>
            <c:numRef>
              <c:f>Sheet1!$B$6:$C$6</c:f>
              <c:numCache>
                <c:formatCode>General</c:formatCode>
                <c:ptCount val="2"/>
                <c:pt idx="0">
                  <c:v>49</c:v>
                </c:pt>
                <c:pt idx="1">
                  <c:v>98</c:v>
                </c:pt>
              </c:numCache>
            </c:numRef>
          </c:val>
        </c:ser>
        <c:ser>
          <c:idx val="5"/>
          <c:order val="5"/>
          <c:tx>
            <c:strRef>
              <c:f>Sheet1!$A$7</c:f>
              <c:strCache>
                <c:ptCount val="1"/>
                <c:pt idx="0">
                  <c:v>CAPI</c:v>
                </c:pt>
              </c:strCache>
            </c:strRef>
          </c:tx>
          <c:spPr>
            <a:solidFill>
              <a:schemeClr val="accent5">
                <a:lumMod val="20000"/>
                <a:lumOff val="80000"/>
              </a:schemeClr>
            </a:solidFill>
            <a:ln>
              <a:noFill/>
            </a:ln>
            <a:effectLst/>
          </c:spPr>
          <c:invertIfNegative val="0"/>
          <c:dLbls>
            <c:spPr>
              <a:solidFill>
                <a:schemeClr val="accent5">
                  <a:lumMod val="20000"/>
                  <a:lumOff val="80000"/>
                </a:schemeClr>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5">
                        <a:lumMod val="50000"/>
                      </a:schemeClr>
                    </a:solidFill>
                    <a:latin typeface="+mn-lt"/>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layout/>
                <c15:showLeaderLines val="0"/>
              </c:ext>
            </c:extLst>
          </c:dLbls>
          <c:cat>
            <c:strRef>
              <c:f>Sheet1!$B$1:$C$1</c:f>
              <c:strCache>
                <c:ptCount val="2"/>
                <c:pt idx="0">
                  <c:v>Main sample</c:v>
                </c:pt>
                <c:pt idx="1">
                  <c:v>Calibration sample</c:v>
                </c:pt>
              </c:strCache>
            </c:strRef>
          </c:cat>
          <c:val>
            <c:numRef>
              <c:f>Sheet1!$B$7:$C$7</c:f>
              <c:numCache>
                <c:formatCode>General</c:formatCode>
                <c:ptCount val="2"/>
                <c:pt idx="0">
                  <c:v>58</c:v>
                </c:pt>
                <c:pt idx="1">
                  <c:v>58</c:v>
                </c:pt>
              </c:numCache>
            </c:numRef>
          </c:val>
        </c:ser>
        <c:ser>
          <c:idx val="6"/>
          <c:order val="6"/>
          <c:tx>
            <c:strRef>
              <c:f>Sheet1!$A$8</c:f>
              <c:strCache>
                <c:ptCount val="1"/>
                <c:pt idx="0">
                  <c:v>Extend DC</c:v>
                </c:pt>
              </c:strCache>
            </c:strRef>
          </c:tx>
          <c:spPr>
            <a:solidFill>
              <a:schemeClr val="accent1">
                <a:lumMod val="60000"/>
              </a:schemeClr>
            </a:solidFill>
            <a:ln>
              <a:noFill/>
            </a:ln>
            <a:effectLst/>
          </c:spPr>
          <c:invertIfNegative val="0"/>
          <c:dLbls>
            <c:dLbl>
              <c:idx val="0"/>
              <c:spPr>
                <a:noFill/>
                <a:ln>
                  <a:noFill/>
                </a:ln>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chemeClr val="bg1"/>
                      </a:solidFill>
                      <a:latin typeface="+mn-lt"/>
                      <a:ea typeface="+mn-ea"/>
                      <a:cs typeface="+mn-cs"/>
                    </a:defRPr>
                  </a:pPr>
                  <a:endParaRPr lang="en-US"/>
                </a:p>
              </c:txPr>
              <c:dLblPos val="inBase"/>
              <c:showLegendKey val="0"/>
              <c:showVal val="0"/>
              <c:showCatName val="0"/>
              <c:showSerName val="1"/>
              <c:showPercent val="0"/>
              <c:showBubbleSize val="0"/>
            </c:dLbl>
            <c:dLbl>
              <c:idx val="1"/>
              <c:spPr>
                <a:noFill/>
                <a:ln>
                  <a:noFill/>
                </a:ln>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chemeClr val="bg1"/>
                      </a:solidFill>
                      <a:latin typeface="+mn-lt"/>
                      <a:ea typeface="+mn-ea"/>
                      <a:cs typeface="+mn-cs"/>
                    </a:defRPr>
                  </a:pPr>
                  <a:endParaRPr lang="en-US"/>
                </a:p>
              </c:txPr>
              <c:dLblPos val="inBase"/>
              <c:showLegendKey val="0"/>
              <c:showVal val="0"/>
              <c:showCatName val="0"/>
              <c:showSerName val="1"/>
              <c:showPercent val="0"/>
              <c:showBubbleSize val="0"/>
            </c:dLbl>
            <c:spPr>
              <a:noFill/>
              <a:ln>
                <a:no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inBase"/>
            <c:showLegendKey val="0"/>
            <c:showVal val="0"/>
            <c:showCatName val="0"/>
            <c:showSerName val="1"/>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Sheet1!$B$1:$C$1</c:f>
              <c:strCache>
                <c:ptCount val="2"/>
                <c:pt idx="0">
                  <c:v>Main sample</c:v>
                </c:pt>
                <c:pt idx="1">
                  <c:v>Calibration sample</c:v>
                </c:pt>
              </c:strCache>
            </c:strRef>
          </c:cat>
          <c:val>
            <c:numRef>
              <c:f>Sheet1!$B$8:$C$8</c:f>
              <c:numCache>
                <c:formatCode>General</c:formatCode>
                <c:ptCount val="2"/>
                <c:pt idx="0">
                  <c:v>31</c:v>
                </c:pt>
                <c:pt idx="1">
                  <c:v>31</c:v>
                </c:pt>
              </c:numCache>
            </c:numRef>
          </c:val>
        </c:ser>
        <c:dLbls>
          <c:showLegendKey val="0"/>
          <c:showVal val="0"/>
          <c:showCatName val="0"/>
          <c:showSerName val="0"/>
          <c:showPercent val="0"/>
          <c:showBubbleSize val="0"/>
        </c:dLbls>
        <c:gapWidth val="75"/>
        <c:overlap val="100"/>
        <c:axId val="88153088"/>
        <c:axId val="88163072"/>
      </c:barChart>
      <c:catAx>
        <c:axId val="881530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Arial" panose="020B0604020202020204" pitchFamily="34" charset="0"/>
              </a:defRPr>
            </a:pPr>
            <a:endParaRPr lang="en-US"/>
          </a:p>
        </c:txPr>
        <c:crossAx val="88163072"/>
        <c:crosses val="autoZero"/>
        <c:auto val="1"/>
        <c:lblAlgn val="ctr"/>
        <c:lblOffset val="100"/>
        <c:noMultiLvlLbl val="0"/>
      </c:catAx>
      <c:valAx>
        <c:axId val="88163072"/>
        <c:scaling>
          <c:orientation val="minMax"/>
          <c:max val="300"/>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53088"/>
        <c:crosses val="autoZero"/>
        <c:crossBetween val="between"/>
        <c:majorUnit val="31"/>
        <c:minorUnit val="7"/>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0.17391</cdr:x>
      <cdr:y>0.86954</cdr:y>
    </cdr:from>
    <cdr:to>
      <cdr:x>0.9467</cdr:x>
      <cdr:y>0.98573</cdr:y>
    </cdr:to>
    <cdr:sp macro="" textlink="">
      <cdr:nvSpPr>
        <cdr:cNvPr id="2" name="TextBox 1"/>
        <cdr:cNvSpPr txBox="1"/>
      </cdr:nvSpPr>
      <cdr:spPr>
        <a:xfrm xmlns:a="http://schemas.openxmlformats.org/drawingml/2006/main">
          <a:off x="1524000" y="3288115"/>
          <a:ext cx="6771959" cy="439364"/>
        </a:xfrm>
        <a:prstGeom xmlns:a="http://schemas.openxmlformats.org/drawingml/2006/main" prst="rect">
          <a:avLst/>
        </a:prstGeom>
      </cdr:spPr>
      <cdr:txBody>
        <a:bodyPr xmlns:a="http://schemas.openxmlformats.org/drawingml/2006/main" vertOverflow="clip" wrap="square" rtlCol="0" anchor="t"/>
        <a:lstStyle xmlns:a="http://schemas.openxmlformats.org/drawingml/2006/main"/>
        <a:p xmlns:a="http://schemas.openxmlformats.org/drawingml/2006/main">
          <a:pPr algn="l"/>
          <a:r>
            <a:rPr lang="en-US" sz="1000" baseline="0" dirty="0">
              <a:solidFill>
                <a:schemeClr val="tx1">
                  <a:lumMod val="65000"/>
                  <a:lumOff val="35000"/>
                </a:schemeClr>
              </a:solidFill>
              <a:latin typeface="+mn-lt"/>
              <a:ea typeface="+mn-ea"/>
              <a:cs typeface="+mn-cs"/>
            </a:rPr>
            <a:t> </a:t>
          </a:r>
          <a:r>
            <a:rPr lang="en-US" sz="1000" baseline="0" dirty="0">
              <a:solidFill>
                <a:schemeClr val="tx1">
                  <a:lumMod val="65000"/>
                  <a:lumOff val="35000"/>
                </a:schemeClr>
              </a:solidFill>
            </a:rPr>
            <a:t>Apr</a:t>
          </a:r>
          <a:r>
            <a:rPr lang="en-US" sz="1000" baseline="0" dirty="0">
              <a:solidFill>
                <a:schemeClr val="tx1">
                  <a:lumMod val="65000"/>
                  <a:lumOff val="35000"/>
                </a:schemeClr>
              </a:solidFill>
              <a:latin typeface="+mn-lt"/>
              <a:ea typeface="+mn-ea"/>
              <a:cs typeface="+mn-cs"/>
            </a:rPr>
            <a:t> </a:t>
          </a:r>
          <a:r>
            <a:rPr lang="en-US" sz="1000" baseline="0" dirty="0" smtClean="0">
              <a:solidFill>
                <a:schemeClr val="tx1">
                  <a:lumMod val="65000"/>
                  <a:lumOff val="35000"/>
                </a:schemeClr>
              </a:solidFill>
            </a:rPr>
            <a:t>May</a:t>
          </a:r>
          <a:r>
            <a:rPr lang="en-US" sz="1000" baseline="0" dirty="0" smtClean="0">
              <a:solidFill>
                <a:schemeClr val="tx1">
                  <a:lumMod val="65000"/>
                  <a:lumOff val="35000"/>
                </a:schemeClr>
              </a:solidFill>
              <a:latin typeface="+mn-lt"/>
              <a:ea typeface="+mn-ea"/>
              <a:cs typeface="+mn-cs"/>
            </a:rPr>
            <a:t> </a:t>
          </a:r>
          <a:r>
            <a:rPr lang="en-US" sz="1000" baseline="0" dirty="0" smtClean="0">
              <a:solidFill>
                <a:schemeClr val="tx1">
                  <a:lumMod val="65000"/>
                  <a:lumOff val="35000"/>
                </a:schemeClr>
              </a:solidFill>
            </a:rPr>
            <a:t>June</a:t>
          </a:r>
          <a:r>
            <a:rPr lang="en-US" sz="1000" baseline="0" dirty="0" smtClean="0">
              <a:solidFill>
                <a:schemeClr val="tx1">
                  <a:lumMod val="65000"/>
                  <a:lumOff val="35000"/>
                </a:schemeClr>
              </a:solidFill>
              <a:latin typeface="+mn-lt"/>
              <a:ea typeface="+mn-ea"/>
              <a:cs typeface="+mn-cs"/>
            </a:rPr>
            <a:t> </a:t>
          </a:r>
          <a:r>
            <a:rPr lang="en-US" sz="1000" baseline="0" dirty="0" smtClean="0">
              <a:solidFill>
                <a:schemeClr val="tx1">
                  <a:lumMod val="65000"/>
                  <a:lumOff val="35000"/>
                </a:schemeClr>
              </a:solidFill>
            </a:rPr>
            <a:t>July</a:t>
          </a:r>
          <a:r>
            <a:rPr lang="en-US" sz="1000" baseline="0" dirty="0" smtClean="0">
              <a:solidFill>
                <a:schemeClr val="tx1">
                  <a:lumMod val="65000"/>
                  <a:lumOff val="35000"/>
                </a:schemeClr>
              </a:solidFill>
              <a:latin typeface="+mn-lt"/>
              <a:ea typeface="+mn-ea"/>
              <a:cs typeface="+mn-cs"/>
            </a:rPr>
            <a:t> </a:t>
          </a:r>
          <a:r>
            <a:rPr lang="en-US" sz="1000" baseline="0" dirty="0" smtClean="0">
              <a:solidFill>
                <a:schemeClr val="tx1">
                  <a:lumMod val="65000"/>
                  <a:lumOff val="35000"/>
                </a:schemeClr>
              </a:solidFill>
            </a:rPr>
            <a:t>Aug</a:t>
          </a:r>
          <a:r>
            <a:rPr lang="en-US" sz="1000" baseline="0" dirty="0" smtClean="0">
              <a:solidFill>
                <a:schemeClr val="tx1">
                  <a:lumMod val="65000"/>
                  <a:lumOff val="35000"/>
                </a:schemeClr>
              </a:solidFill>
              <a:latin typeface="+mn-lt"/>
              <a:ea typeface="+mn-ea"/>
              <a:cs typeface="+mn-cs"/>
            </a:rPr>
            <a:t> </a:t>
          </a:r>
          <a:r>
            <a:rPr lang="en-US" sz="1000" baseline="0" dirty="0" smtClean="0">
              <a:solidFill>
                <a:schemeClr val="tx1">
                  <a:lumMod val="65000"/>
                  <a:lumOff val="35000"/>
                </a:schemeClr>
              </a:solidFill>
            </a:rPr>
            <a:t>Sep</a:t>
          </a:r>
          <a:r>
            <a:rPr lang="en-US" sz="1000" baseline="0" dirty="0" smtClean="0">
              <a:solidFill>
                <a:schemeClr val="tx1">
                  <a:lumMod val="65000"/>
                  <a:lumOff val="35000"/>
                </a:schemeClr>
              </a:solidFill>
              <a:latin typeface="+mn-lt"/>
              <a:ea typeface="+mn-ea"/>
              <a:cs typeface="+mn-cs"/>
            </a:rPr>
            <a:t> </a:t>
          </a:r>
          <a:r>
            <a:rPr lang="en-US" sz="1000" baseline="0" dirty="0" smtClean="0">
              <a:solidFill>
                <a:schemeClr val="tx1">
                  <a:lumMod val="65000"/>
                  <a:lumOff val="35000"/>
                </a:schemeClr>
              </a:solidFill>
            </a:rPr>
            <a:t>Oct</a:t>
          </a:r>
          <a:r>
            <a:rPr lang="en-US" sz="1000" baseline="0" dirty="0" smtClean="0">
              <a:solidFill>
                <a:schemeClr val="tx1">
                  <a:lumMod val="65000"/>
                  <a:lumOff val="35000"/>
                </a:schemeClr>
              </a:solidFill>
              <a:latin typeface="+mn-lt"/>
              <a:ea typeface="+mn-ea"/>
              <a:cs typeface="+mn-cs"/>
            </a:rPr>
            <a:t> </a:t>
          </a:r>
          <a:r>
            <a:rPr lang="en-US" sz="1000" baseline="0" dirty="0">
              <a:solidFill>
                <a:schemeClr val="tx1">
                  <a:lumMod val="65000"/>
                  <a:lumOff val="35000"/>
                </a:schemeClr>
              </a:solidFill>
            </a:rPr>
            <a:t>Nov</a:t>
          </a:r>
          <a:r>
            <a:rPr lang="en-US" sz="1000" baseline="0" dirty="0">
              <a:solidFill>
                <a:schemeClr val="tx1">
                  <a:lumMod val="65000"/>
                  <a:lumOff val="35000"/>
                </a:schemeClr>
              </a:solidFill>
              <a:latin typeface="+mn-lt"/>
              <a:ea typeface="+mn-ea"/>
              <a:cs typeface="+mn-cs"/>
            </a:rPr>
            <a:t> </a:t>
          </a:r>
          <a:r>
            <a:rPr lang="en-US" sz="1000" baseline="0" dirty="0" smtClean="0">
              <a:solidFill>
                <a:schemeClr val="tx1">
                  <a:lumMod val="65000"/>
                  <a:lumOff val="35000"/>
                </a:schemeClr>
              </a:solidFill>
            </a:rPr>
            <a:t>Dec</a:t>
          </a:r>
          <a:endParaRPr lang="en-US" sz="1000" dirty="0">
            <a:solidFill>
              <a:schemeClr val="tx1">
                <a:lumMod val="65000"/>
                <a:lumOff val="35000"/>
              </a:schemeClr>
            </a:solidFil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A1D46-3DC2-4397-8365-5E8EB2496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12</Pages>
  <Words>5198</Words>
  <Characters>28565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Memorandum                                           United States Department of Education</vt:lpstr>
    </vt:vector>
  </TitlesOfParts>
  <Company>Department of Education</Company>
  <LinksUpToDate>false</LinksUpToDate>
  <CharactersWithSpaces>33696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United States Department of Education</dc:title>
  <dc:creator>audrey.pendleton</dc:creator>
  <cp:lastModifiedBy>U.S. Department of Education</cp:lastModifiedBy>
  <cp:revision>6</cp:revision>
  <cp:lastPrinted>2016-06-03T21:13:00Z</cp:lastPrinted>
  <dcterms:created xsi:type="dcterms:W3CDTF">2016-06-08T15:10:00Z</dcterms:created>
  <dcterms:modified xsi:type="dcterms:W3CDTF">2016-06-09T13:01:00Z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