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A95C35" w:rsidRDefault="00A01190" w:rsidP="000D740B">
      <w:pPr>
        <w:pStyle w:val="BodyText3"/>
        <w:spacing w:line="276" w:lineRule="auto"/>
        <w:rPr>
          <w:rFonts w:ascii="Times New Roman" w:hAnsi="Times New Roman"/>
          <w:b/>
          <w:bCs/>
          <w:sz w:val="24"/>
          <w:szCs w:val="24"/>
        </w:rPr>
      </w:pPr>
      <w:r w:rsidRPr="00A95C35">
        <w:rPr>
          <w:rFonts w:ascii="Times New Roman" w:hAnsi="Times New Roman"/>
          <w:b/>
          <w:bCs/>
          <w:sz w:val="24"/>
          <w:szCs w:val="24"/>
        </w:rPr>
        <w:t xml:space="preserve">Memorandum </w:t>
      </w:r>
      <w:r w:rsidRPr="00A95C35">
        <w:rPr>
          <w:rFonts w:ascii="Times New Roman" w:hAnsi="Times New Roman"/>
          <w:b/>
          <w:bCs/>
          <w:sz w:val="24"/>
          <w:szCs w:val="24"/>
        </w:rPr>
        <w:tab/>
      </w:r>
      <w:r w:rsidRPr="00A95C35">
        <w:rPr>
          <w:rFonts w:ascii="Times New Roman" w:hAnsi="Times New Roman"/>
          <w:b/>
          <w:bCs/>
          <w:sz w:val="24"/>
          <w:szCs w:val="24"/>
        </w:rPr>
        <w:tab/>
      </w:r>
      <w:r w:rsidRPr="00A95C35">
        <w:rPr>
          <w:rFonts w:ascii="Times New Roman" w:hAnsi="Times New Roman"/>
          <w:b/>
          <w:bCs/>
          <w:sz w:val="24"/>
          <w:szCs w:val="24"/>
        </w:rPr>
        <w:tab/>
      </w:r>
      <w:r w:rsidRPr="00A95C35">
        <w:rPr>
          <w:rFonts w:ascii="Times New Roman" w:hAnsi="Times New Roman"/>
          <w:b/>
          <w:bCs/>
          <w:sz w:val="24"/>
          <w:szCs w:val="24"/>
        </w:rPr>
        <w:tab/>
      </w:r>
      <w:r w:rsidRPr="00A95C35">
        <w:rPr>
          <w:rFonts w:ascii="Times New Roman" w:hAnsi="Times New Roman"/>
          <w:b/>
          <w:bCs/>
          <w:sz w:val="24"/>
          <w:szCs w:val="24"/>
        </w:rPr>
        <w:tab/>
        <w:t>United States Department of Education</w:t>
      </w:r>
    </w:p>
    <w:p w14:paraId="5856B720" w14:textId="77777777" w:rsidR="00C2153D" w:rsidRPr="00A95C35" w:rsidRDefault="00A01190" w:rsidP="000D740B">
      <w:pPr>
        <w:pStyle w:val="BodyText3"/>
        <w:spacing w:line="276" w:lineRule="auto"/>
        <w:ind w:left="3600" w:firstLine="720"/>
        <w:rPr>
          <w:rFonts w:ascii="Times New Roman" w:hAnsi="Times New Roman"/>
          <w:b/>
          <w:bCs/>
          <w:sz w:val="24"/>
          <w:szCs w:val="24"/>
        </w:rPr>
      </w:pPr>
      <w:r w:rsidRPr="00A95C35">
        <w:rPr>
          <w:rFonts w:ascii="Times New Roman" w:hAnsi="Times New Roman"/>
          <w:b/>
          <w:bCs/>
          <w:sz w:val="24"/>
          <w:szCs w:val="24"/>
        </w:rPr>
        <w:tab/>
        <w:t>Institute of Education Sciences</w:t>
      </w:r>
    </w:p>
    <w:p w14:paraId="11BC288F" w14:textId="77777777" w:rsidR="00C2153D" w:rsidRPr="00A95C35" w:rsidRDefault="00A01190" w:rsidP="000D740B">
      <w:pPr>
        <w:pStyle w:val="Heading8"/>
        <w:pBdr>
          <w:bottom w:val="single" w:sz="12" w:space="1" w:color="auto"/>
        </w:pBdr>
        <w:spacing w:line="276" w:lineRule="auto"/>
      </w:pPr>
      <w:r w:rsidRPr="00A95C35">
        <w:tab/>
      </w:r>
      <w:r w:rsidRPr="00A95C35">
        <w:tab/>
      </w:r>
      <w:r w:rsidRPr="00A95C35">
        <w:tab/>
      </w:r>
      <w:r w:rsidRPr="00A95C35">
        <w:tab/>
      </w:r>
      <w:r w:rsidRPr="00A95C35">
        <w:tab/>
      </w:r>
      <w:r w:rsidRPr="00A95C35">
        <w:tab/>
      </w:r>
      <w:r w:rsidRPr="00A95C35">
        <w:tab/>
        <w:t>National Center for Education Statistics</w:t>
      </w:r>
    </w:p>
    <w:p w14:paraId="7A6CB8EF" w14:textId="77777777" w:rsidR="00C2153D" w:rsidRPr="00A95C35" w:rsidRDefault="00C2153D" w:rsidP="000D740B">
      <w:pPr>
        <w:spacing w:line="276" w:lineRule="auto"/>
      </w:pPr>
    </w:p>
    <w:p w14:paraId="6898DA05" w14:textId="3E2534EF" w:rsidR="00D90962" w:rsidRPr="00A95C35" w:rsidRDefault="00C2153D" w:rsidP="000D740B">
      <w:pPr>
        <w:spacing w:line="276" w:lineRule="auto"/>
      </w:pPr>
      <w:r w:rsidRPr="00A95C35">
        <w:t>DATE:</w:t>
      </w:r>
      <w:r w:rsidRPr="00A95C35">
        <w:tab/>
      </w:r>
      <w:r w:rsidR="00A14445" w:rsidRPr="00A95C35">
        <w:tab/>
      </w:r>
      <w:r w:rsidR="00DE39F0" w:rsidRPr="00A95C35">
        <w:t>April 29</w:t>
      </w:r>
      <w:r w:rsidR="001B15CB" w:rsidRPr="00A95C35">
        <w:t>, 2016</w:t>
      </w:r>
      <w:bookmarkStart w:id="0" w:name="_GoBack"/>
      <w:bookmarkEnd w:id="0"/>
    </w:p>
    <w:p w14:paraId="0A386C93" w14:textId="62DA37BB" w:rsidR="00C2153D" w:rsidRPr="00A95C35" w:rsidRDefault="00C2153D" w:rsidP="009B4A44"/>
    <w:p w14:paraId="31AA0AF6" w14:textId="77777777" w:rsidR="00D018C6" w:rsidRPr="00A95C35" w:rsidRDefault="00026D24" w:rsidP="000D740B">
      <w:pPr>
        <w:spacing w:line="276" w:lineRule="auto"/>
      </w:pPr>
      <w:r w:rsidRPr="00A95C35">
        <w:t>TO:</w:t>
      </w:r>
      <w:r w:rsidRPr="00A95C35">
        <w:tab/>
      </w:r>
      <w:r w:rsidRPr="00A95C35">
        <w:tab/>
      </w:r>
      <w:r w:rsidR="00D018C6" w:rsidRPr="00A95C35">
        <w:t xml:space="preserve">Robert </w:t>
      </w:r>
      <w:proofErr w:type="spellStart"/>
      <w:r w:rsidR="00D018C6" w:rsidRPr="00A95C35">
        <w:t>Sivinski</w:t>
      </w:r>
      <w:proofErr w:type="spellEnd"/>
      <w:r w:rsidR="00D018C6" w:rsidRPr="00A95C35">
        <w:t>, OMB</w:t>
      </w:r>
    </w:p>
    <w:p w14:paraId="128F7F3D" w14:textId="77777777" w:rsidR="009B4A44" w:rsidRPr="00A95C35" w:rsidRDefault="009B4A44" w:rsidP="009B4A44"/>
    <w:p w14:paraId="58215B3B" w14:textId="77777777" w:rsidR="00C2153D" w:rsidRPr="00A95C35" w:rsidRDefault="00026D24" w:rsidP="000D740B">
      <w:pPr>
        <w:spacing w:line="276" w:lineRule="auto"/>
      </w:pPr>
      <w:r w:rsidRPr="00A95C35">
        <w:t>THROUGH</w:t>
      </w:r>
      <w:r w:rsidR="00C2153D" w:rsidRPr="00A95C35">
        <w:t>:</w:t>
      </w:r>
      <w:r w:rsidRPr="00A95C35">
        <w:tab/>
      </w:r>
      <w:r w:rsidR="000E3482" w:rsidRPr="00A95C35">
        <w:t>Kashka Kubzdela</w:t>
      </w:r>
      <w:r w:rsidR="007D64A0" w:rsidRPr="00A95C35">
        <w:t xml:space="preserve">, OMB Liaison, </w:t>
      </w:r>
      <w:proofErr w:type="gramStart"/>
      <w:r w:rsidR="00C2153D" w:rsidRPr="00A95C35">
        <w:t>NCES</w:t>
      </w:r>
      <w:proofErr w:type="gramEnd"/>
    </w:p>
    <w:p w14:paraId="26110ECB" w14:textId="77777777" w:rsidR="009B4A44" w:rsidRPr="00A95C35" w:rsidRDefault="009B4A44" w:rsidP="009B4A44"/>
    <w:p w14:paraId="636CDA47" w14:textId="77777777" w:rsidR="00C2153D" w:rsidRPr="00A95C35" w:rsidRDefault="00C2153D" w:rsidP="000D740B">
      <w:pPr>
        <w:spacing w:line="276" w:lineRule="auto"/>
      </w:pPr>
      <w:r w:rsidRPr="00A95C35">
        <w:t>FROM:</w:t>
      </w:r>
      <w:r w:rsidRPr="00A95C35">
        <w:tab/>
      </w:r>
      <w:r w:rsidR="00F65EBC" w:rsidRPr="00A95C35">
        <w:t>Elise Christopher</w:t>
      </w:r>
      <w:r w:rsidR="007D64A0" w:rsidRPr="00A95C35">
        <w:t xml:space="preserve">, </w:t>
      </w:r>
      <w:r w:rsidR="00F65EBC" w:rsidRPr="00A95C35">
        <w:t>HSLS</w:t>
      </w:r>
      <w:proofErr w:type="gramStart"/>
      <w:r w:rsidR="00F65EBC" w:rsidRPr="00A95C35">
        <w:t>:09</w:t>
      </w:r>
      <w:proofErr w:type="gramEnd"/>
      <w:r w:rsidR="00D018C6" w:rsidRPr="00A95C35">
        <w:t xml:space="preserve"> Project Officer</w:t>
      </w:r>
      <w:r w:rsidRPr="00A95C35">
        <w:t>, NCES</w:t>
      </w:r>
    </w:p>
    <w:p w14:paraId="77714E18" w14:textId="77777777" w:rsidR="009B4A44" w:rsidRPr="00A95C35" w:rsidRDefault="009B4A44" w:rsidP="009B4A44"/>
    <w:p w14:paraId="6DEAD108" w14:textId="24413AD6" w:rsidR="009B4A44" w:rsidRPr="00A95C35" w:rsidRDefault="00C2153D" w:rsidP="00FB296D">
      <w:pPr>
        <w:pStyle w:val="Heading1"/>
        <w:spacing w:line="276" w:lineRule="auto"/>
        <w:ind w:left="1440" w:hanging="1440"/>
        <w:rPr>
          <w:b w:val="0"/>
          <w:bCs w:val="0"/>
          <w:u w:val="none"/>
        </w:rPr>
      </w:pPr>
      <w:r w:rsidRPr="00A95C35">
        <w:rPr>
          <w:b w:val="0"/>
          <w:bCs w:val="0"/>
          <w:u w:val="none"/>
        </w:rPr>
        <w:t>SUBJECT:</w:t>
      </w:r>
      <w:r w:rsidRPr="00A95C35">
        <w:rPr>
          <w:b w:val="0"/>
          <w:bCs w:val="0"/>
          <w:u w:val="none"/>
        </w:rPr>
        <w:tab/>
      </w:r>
      <w:r w:rsidR="00FB296D" w:rsidRPr="00A95C35">
        <w:rPr>
          <w:b w:val="0"/>
          <w:bCs w:val="0"/>
          <w:u w:val="none"/>
        </w:rPr>
        <w:t>High School Longitudinal Study of 2009 (HSLS</w:t>
      </w:r>
      <w:proofErr w:type="gramStart"/>
      <w:r w:rsidR="00FB296D" w:rsidRPr="00A95C35">
        <w:rPr>
          <w:b w:val="0"/>
          <w:bCs w:val="0"/>
          <w:u w:val="none"/>
        </w:rPr>
        <w:t>:09</w:t>
      </w:r>
      <w:proofErr w:type="gramEnd"/>
      <w:r w:rsidR="00FB296D" w:rsidRPr="00A95C35">
        <w:rPr>
          <w:b w:val="0"/>
          <w:bCs w:val="0"/>
          <w:u w:val="none"/>
        </w:rPr>
        <w:t xml:space="preserve">) Second Follow-up Main Study </w:t>
      </w:r>
      <w:r w:rsidR="00A95C35">
        <w:rPr>
          <w:b w:val="0"/>
          <w:bCs w:val="0"/>
          <w:u w:val="none"/>
        </w:rPr>
        <w:t xml:space="preserve">Baseline Incentive Change Request </w:t>
      </w:r>
      <w:r w:rsidR="009B4A44" w:rsidRPr="00A95C35">
        <w:rPr>
          <w:b w:val="0"/>
          <w:bCs w:val="0"/>
          <w:u w:val="none"/>
        </w:rPr>
        <w:t>(OMB# 1850-0852 v.1</w:t>
      </w:r>
      <w:r w:rsidR="006C2929" w:rsidRPr="00A95C35">
        <w:rPr>
          <w:b w:val="0"/>
          <w:bCs w:val="0"/>
          <w:u w:val="none"/>
        </w:rPr>
        <w:t>9</w:t>
      </w:r>
      <w:r w:rsidR="009B4A44" w:rsidRPr="00A95C35">
        <w:rPr>
          <w:b w:val="0"/>
          <w:bCs w:val="0"/>
          <w:u w:val="none"/>
        </w:rPr>
        <w:t>)</w:t>
      </w:r>
      <w:r w:rsidR="00A95C35">
        <w:rPr>
          <w:b w:val="0"/>
          <w:bCs w:val="0"/>
          <w:u w:val="none"/>
        </w:rPr>
        <w:t xml:space="preserve"> - </w:t>
      </w:r>
      <w:r w:rsidR="00A95C35" w:rsidRPr="00A95C35">
        <w:rPr>
          <w:b w:val="0"/>
          <w:bCs w:val="0"/>
          <w:u w:val="none"/>
        </w:rPr>
        <w:t>Calibration Sample Results: Phases 1-2</w:t>
      </w:r>
    </w:p>
    <w:p w14:paraId="52FD3891" w14:textId="77777777" w:rsidR="00EA4F96" w:rsidRPr="00A95C35" w:rsidRDefault="00EA4F96" w:rsidP="004F4D11">
      <w:pPr>
        <w:pStyle w:val="Bodytextnoindent"/>
        <w:spacing w:before="0" w:after="0" w:line="276" w:lineRule="auto"/>
        <w:ind w:firstLine="720"/>
        <w:rPr>
          <w:szCs w:val="24"/>
        </w:rPr>
      </w:pPr>
    </w:p>
    <w:p w14:paraId="3277243C" w14:textId="6CDFF528" w:rsidR="001B15CB" w:rsidRPr="00A95C35" w:rsidRDefault="00D90962" w:rsidP="00A95C35">
      <w:pPr>
        <w:pStyle w:val="Bodytextnoindent"/>
        <w:spacing w:before="0" w:line="23" w:lineRule="atLeast"/>
        <w:rPr>
          <w:szCs w:val="24"/>
        </w:rPr>
      </w:pPr>
      <w:r w:rsidRPr="00A95C35">
        <w:rPr>
          <w:szCs w:val="24"/>
        </w:rPr>
        <w:t xml:space="preserve">The High School Longitudinal Study of 2009 (HSLS:09) Second Follow-up Main Study and 2018 Panel Maintenance </w:t>
      </w:r>
      <w:r w:rsidR="00FB296D" w:rsidRPr="00A95C35">
        <w:rPr>
          <w:szCs w:val="24"/>
        </w:rPr>
        <w:t>request was</w:t>
      </w:r>
      <w:r w:rsidRPr="00A95C35">
        <w:rPr>
          <w:szCs w:val="24"/>
        </w:rPr>
        <w:t xml:space="preserve"> approved by OMB in </w:t>
      </w:r>
      <w:r w:rsidR="00A95C35">
        <w:rPr>
          <w:szCs w:val="24"/>
        </w:rPr>
        <w:t>December</w:t>
      </w:r>
      <w:r w:rsidR="001F7E7E" w:rsidRPr="00A95C35">
        <w:rPr>
          <w:szCs w:val="24"/>
        </w:rPr>
        <w:t xml:space="preserve"> 201</w:t>
      </w:r>
      <w:r w:rsidR="00A95C35">
        <w:rPr>
          <w:szCs w:val="24"/>
        </w:rPr>
        <w:t>5</w:t>
      </w:r>
      <w:r w:rsidRPr="00A95C35">
        <w:rPr>
          <w:szCs w:val="24"/>
        </w:rPr>
        <w:t xml:space="preserve"> </w:t>
      </w:r>
      <w:r w:rsidR="00A95C35">
        <w:rPr>
          <w:szCs w:val="24"/>
        </w:rPr>
        <w:t xml:space="preserve">with an update approved in March 2016 </w:t>
      </w:r>
      <w:r w:rsidRPr="00A95C35">
        <w:rPr>
          <w:szCs w:val="24"/>
        </w:rPr>
        <w:t>(OMB# 1850-0852 v.1</w:t>
      </w:r>
      <w:r w:rsidR="00A95C35">
        <w:rPr>
          <w:bCs/>
        </w:rPr>
        <w:t>7 and v.18 respectively</w:t>
      </w:r>
      <w:r w:rsidRPr="00A95C35">
        <w:rPr>
          <w:szCs w:val="24"/>
        </w:rPr>
        <w:t xml:space="preserve">). </w:t>
      </w:r>
      <w:r w:rsidR="001F7E7E" w:rsidRPr="00A95C35">
        <w:rPr>
          <w:szCs w:val="24"/>
        </w:rPr>
        <w:t>This</w:t>
      </w:r>
      <w:r w:rsidR="00450CC6" w:rsidRPr="00A95C35">
        <w:rPr>
          <w:szCs w:val="24"/>
        </w:rPr>
        <w:t xml:space="preserve"> memorandum </w:t>
      </w:r>
      <w:r w:rsidR="004E0012" w:rsidRPr="00A95C35">
        <w:rPr>
          <w:szCs w:val="24"/>
        </w:rPr>
        <w:t xml:space="preserve">provides </w:t>
      </w:r>
      <w:r w:rsidR="00DE39F0" w:rsidRPr="00A95C35">
        <w:rPr>
          <w:szCs w:val="24"/>
        </w:rPr>
        <w:t xml:space="preserve">data collection results from the first two </w:t>
      </w:r>
      <w:r w:rsidR="00A95C35" w:rsidRPr="00A95C35">
        <w:rPr>
          <w:szCs w:val="24"/>
        </w:rPr>
        <w:t>calibration samples</w:t>
      </w:r>
      <w:r w:rsidR="00A95C35">
        <w:rPr>
          <w:szCs w:val="24"/>
        </w:rPr>
        <w:t xml:space="preserve"> recruitment </w:t>
      </w:r>
      <w:r w:rsidR="00DE39F0" w:rsidRPr="00A95C35">
        <w:rPr>
          <w:szCs w:val="24"/>
        </w:rPr>
        <w:t xml:space="preserve">phases, and </w:t>
      </w:r>
      <w:r w:rsidR="003F14B1" w:rsidRPr="00A95C35">
        <w:rPr>
          <w:szCs w:val="24"/>
        </w:rPr>
        <w:t xml:space="preserve">requests approval for recommended </w:t>
      </w:r>
      <w:r w:rsidR="003B1A71" w:rsidRPr="00A95C35">
        <w:rPr>
          <w:szCs w:val="24"/>
        </w:rPr>
        <w:t xml:space="preserve">baseline </w:t>
      </w:r>
      <w:r w:rsidR="00DE39F0" w:rsidRPr="00A95C35">
        <w:rPr>
          <w:szCs w:val="24"/>
        </w:rPr>
        <w:t>incentive plans for the main sample</w:t>
      </w:r>
      <w:r w:rsidRPr="00A95C35">
        <w:rPr>
          <w:szCs w:val="24"/>
        </w:rPr>
        <w:t>.</w:t>
      </w:r>
    </w:p>
    <w:p w14:paraId="0DEB3822" w14:textId="6408F0A7" w:rsidR="001F7E7E" w:rsidRPr="00A95C35" w:rsidRDefault="00FC0F0E" w:rsidP="009F504E">
      <w:pPr>
        <w:pStyle w:val="NoSpacing"/>
        <w:spacing w:before="120" w:after="120" w:line="23" w:lineRule="atLeast"/>
      </w:pPr>
      <w:r w:rsidRPr="00A95C35">
        <w:t xml:space="preserve">For reference, an excerpt from </w:t>
      </w:r>
      <w:r w:rsidR="00120E05" w:rsidRPr="00A95C35">
        <w:t xml:space="preserve">Part B of </w:t>
      </w:r>
      <w:r w:rsidRPr="00A95C35">
        <w:t xml:space="preserve">the </w:t>
      </w:r>
      <w:r w:rsidR="00120E05" w:rsidRPr="00A95C35">
        <w:t xml:space="preserve">second follow-up </w:t>
      </w:r>
      <w:r w:rsidRPr="00A95C35">
        <w:t xml:space="preserve">main study </w:t>
      </w:r>
      <w:r w:rsidR="00120E05" w:rsidRPr="00A95C35">
        <w:t>submission</w:t>
      </w:r>
      <w:r w:rsidRPr="00A95C35">
        <w:t xml:space="preserve"> that describes main study responsive design plans is presented in Attachment 1</w:t>
      </w:r>
      <w:r w:rsidR="00A95C35">
        <w:t xml:space="preserve"> below</w:t>
      </w:r>
      <w:r w:rsidRPr="00A95C35">
        <w:t xml:space="preserve">. </w:t>
      </w:r>
      <w:r w:rsidR="001F7E7E" w:rsidRPr="00A95C35">
        <w:t>In the HSLS</w:t>
      </w:r>
      <w:proofErr w:type="gramStart"/>
      <w:r w:rsidR="001F7E7E" w:rsidRPr="00A95C35">
        <w:t>:09</w:t>
      </w:r>
      <w:proofErr w:type="gramEnd"/>
      <w:r w:rsidR="001F7E7E" w:rsidRPr="00A95C35">
        <w:t xml:space="preserve"> second follow-up main study, there are three subgroups of special interest.</w:t>
      </w:r>
    </w:p>
    <w:p w14:paraId="13D51751" w14:textId="537BD424" w:rsidR="001F7E7E" w:rsidRPr="00A95C35" w:rsidRDefault="001F7E7E" w:rsidP="009F504E">
      <w:pPr>
        <w:pStyle w:val="NoSpacing"/>
        <w:numPr>
          <w:ilvl w:val="0"/>
          <w:numId w:val="11"/>
        </w:numPr>
        <w:spacing w:before="120" w:after="120" w:line="23" w:lineRule="atLeast"/>
      </w:pPr>
      <w:r w:rsidRPr="00A95C35">
        <w:t xml:space="preserve">Subgroup </w:t>
      </w:r>
      <w:r w:rsidR="0089162D" w:rsidRPr="00A95C35">
        <w:t>A</w:t>
      </w:r>
      <w:r w:rsidR="0010095E" w:rsidRPr="00A95C35">
        <w:rPr>
          <w:rStyle w:val="FootnoteReference"/>
          <w:sz w:val="24"/>
          <w:szCs w:val="24"/>
        </w:rPr>
        <w:footnoteReference w:id="2"/>
      </w:r>
      <w:r w:rsidRPr="00A95C35">
        <w:t xml:space="preserve"> (high school late/alternative/non-completers) is the subset of sample members who, as of the 2013 Update, had not completed high school, were still enrolled in high school, received an alternative credential, completed high school late, or experienced a dropout episode with unknown completion status.</w:t>
      </w:r>
    </w:p>
    <w:p w14:paraId="70EC4348" w14:textId="6DF3806F" w:rsidR="001F7E7E" w:rsidRPr="00A95C35" w:rsidRDefault="0089162D" w:rsidP="009F504E">
      <w:pPr>
        <w:pStyle w:val="NoSpacing"/>
        <w:numPr>
          <w:ilvl w:val="0"/>
          <w:numId w:val="11"/>
        </w:numPr>
        <w:spacing w:before="120" w:after="120" w:line="23" w:lineRule="atLeast"/>
      </w:pPr>
      <w:r w:rsidRPr="00A95C35">
        <w:t>Subgroup B</w:t>
      </w:r>
      <w:r w:rsidR="001F7E7E" w:rsidRPr="00A95C35">
        <w:t xml:space="preserve"> (ultra-cooperative respondents) includes sample members who participated in the base year, first follow-up, and 2013 Update without an incentive offer. These cases were also early web respondents in </w:t>
      </w:r>
      <w:r w:rsidR="00120E05" w:rsidRPr="00A95C35">
        <w:t xml:space="preserve">the </w:t>
      </w:r>
      <w:r w:rsidR="001F7E7E" w:rsidRPr="00A95C35">
        <w:t>2013 Update and, by definition, are high school completers.</w:t>
      </w:r>
    </w:p>
    <w:p w14:paraId="32DE1E96" w14:textId="31930395" w:rsidR="001F7E7E" w:rsidRPr="00A95C35" w:rsidRDefault="0089162D" w:rsidP="009F504E">
      <w:pPr>
        <w:pStyle w:val="NoSpacing"/>
        <w:numPr>
          <w:ilvl w:val="0"/>
          <w:numId w:val="11"/>
        </w:numPr>
        <w:spacing w:before="120" w:after="120" w:line="23" w:lineRule="atLeast"/>
      </w:pPr>
      <w:r w:rsidRPr="00A95C35">
        <w:t>Subgroup C</w:t>
      </w:r>
      <w:r w:rsidR="001F7E7E" w:rsidRPr="00A95C35">
        <w:t xml:space="preserve"> (high school completers and unknown high school completion status) include</w:t>
      </w:r>
      <w:r w:rsidR="002A3CB7" w:rsidRPr="00A95C35">
        <w:t>s</w:t>
      </w:r>
      <w:r w:rsidR="001F7E7E" w:rsidRPr="00A95C35">
        <w:t xml:space="preserve"> cases that, as of the 2013 Update, were known </w:t>
      </w:r>
      <w:r w:rsidR="00120E05" w:rsidRPr="00A95C35">
        <w:t xml:space="preserve">to be </w:t>
      </w:r>
      <w:r w:rsidR="001F7E7E" w:rsidRPr="00A95C35">
        <w:t>on-time or early regular diploma completers (and not identified as ultra-cooperative) and cases with unknown high school completion status who were not previously identified as ever having a dropout episode.</w:t>
      </w:r>
    </w:p>
    <w:p w14:paraId="779303D9" w14:textId="38A2571D" w:rsidR="001F7E7E" w:rsidRPr="00A95C35" w:rsidRDefault="001F7E7E" w:rsidP="009F504E">
      <w:pPr>
        <w:pStyle w:val="NoSpacing"/>
        <w:spacing w:before="120" w:after="120" w:line="23" w:lineRule="atLeast"/>
      </w:pPr>
      <w:r w:rsidRPr="00A95C35">
        <w:t xml:space="preserve">To determine </w:t>
      </w:r>
      <w:r w:rsidRPr="00A95C35">
        <w:rPr>
          <w:bCs/>
        </w:rPr>
        <w:t xml:space="preserve">optimal incentive amounts, </w:t>
      </w:r>
      <w:r w:rsidRPr="00A95C35">
        <w:t xml:space="preserve">a calibration subsample </w:t>
      </w:r>
      <w:r w:rsidR="00696340" w:rsidRPr="00A95C35">
        <w:t>has been</w:t>
      </w:r>
      <w:r w:rsidRPr="00A95C35">
        <w:t xml:space="preserve"> selected from each of the aforementioned subgroups to begin data collection ahead of the main sample.</w:t>
      </w:r>
      <w:r w:rsidR="00696340" w:rsidRPr="00A95C35">
        <w:rPr>
          <w:rFonts w:asciiTheme="majorBidi" w:hAnsiTheme="majorBidi" w:cstheme="majorBidi"/>
        </w:rPr>
        <w:t xml:space="preserve"> </w:t>
      </w:r>
      <w:r w:rsidR="00696340" w:rsidRPr="00A95C35">
        <w:t xml:space="preserve">The experimental subsamples </w:t>
      </w:r>
      <w:r w:rsidR="002968A9" w:rsidRPr="00A95C35">
        <w:t>a</w:t>
      </w:r>
      <w:r w:rsidR="00F33B51" w:rsidRPr="00A95C35">
        <w:t>re</w:t>
      </w:r>
      <w:r w:rsidR="00696340" w:rsidRPr="00A95C35">
        <w:t xml:space="preserve"> fielded about six weeks prior to the main sample </w:t>
      </w:r>
      <w:r w:rsidR="00FC0F0E" w:rsidRPr="00A95C35">
        <w:t>to allow time to</w:t>
      </w:r>
      <w:r w:rsidR="00696340" w:rsidRPr="00A95C35">
        <w:t xml:space="preserve"> analyze the results and consult with OMB to determine the baseline incentive amounts </w:t>
      </w:r>
      <w:r w:rsidR="00FC0F0E" w:rsidRPr="00A95C35">
        <w:t xml:space="preserve">to be implemented </w:t>
      </w:r>
      <w:r w:rsidR="00696340" w:rsidRPr="00A95C35">
        <w:t>for each subgroup in the main sample</w:t>
      </w:r>
      <w:r w:rsidR="00E32E16">
        <w:t>.</w:t>
      </w:r>
    </w:p>
    <w:p w14:paraId="09A3F68C" w14:textId="0B6CA662" w:rsidR="006C2929" w:rsidRPr="00A95C35" w:rsidRDefault="00525932" w:rsidP="009F504E">
      <w:pPr>
        <w:pStyle w:val="NoSpacing"/>
        <w:spacing w:before="120" w:after="120" w:line="23" w:lineRule="atLeast"/>
      </w:pPr>
      <w:r w:rsidRPr="00A95C35">
        <w:rPr>
          <w:b/>
          <w:u w:val="single"/>
        </w:rPr>
        <w:t>Calibration sample results</w:t>
      </w:r>
      <w:r w:rsidR="002968A9" w:rsidRPr="00A95C35">
        <w:rPr>
          <w:b/>
          <w:u w:val="single"/>
        </w:rPr>
        <w:t xml:space="preserve"> from phases 1 and 2</w:t>
      </w:r>
      <w:r w:rsidR="00D3014C" w:rsidRPr="00A95C35">
        <w:rPr>
          <w:b/>
          <w:u w:val="single"/>
        </w:rPr>
        <w:t>.</w:t>
      </w:r>
      <w:r w:rsidRPr="00A95C35">
        <w:t xml:space="preserve"> </w:t>
      </w:r>
      <w:r w:rsidR="001F7E7E" w:rsidRPr="00A95C35">
        <w:t xml:space="preserve">As described in </w:t>
      </w:r>
      <w:r w:rsidR="00120E05" w:rsidRPr="00A95C35">
        <w:t>Attachment 1</w:t>
      </w:r>
      <w:r w:rsidR="00F7318B">
        <w:t xml:space="preserve"> below</w:t>
      </w:r>
      <w:r w:rsidR="001F7E7E" w:rsidRPr="00A95C35">
        <w:t xml:space="preserve">, results from the calibration samples </w:t>
      </w:r>
      <w:r w:rsidR="00F7318B">
        <w:t>were</w:t>
      </w:r>
      <w:r w:rsidR="001F7E7E" w:rsidRPr="00A95C35">
        <w:t xml:space="preserve"> presented to OMB prior to main study implementation. </w:t>
      </w:r>
      <w:r w:rsidR="00812345" w:rsidRPr="00A95C35">
        <w:t xml:space="preserve">Attachment 2 provides the detailed results of the calibration experiments and evaluations. </w:t>
      </w:r>
      <w:r w:rsidRPr="00A95C35">
        <w:t>To summarize, key findings are presented below.</w:t>
      </w:r>
    </w:p>
    <w:p w14:paraId="612D0F18" w14:textId="6237A17E" w:rsidR="00DE39F0" w:rsidRPr="00A95C35" w:rsidRDefault="003B1A71" w:rsidP="0084454C">
      <w:pPr>
        <w:rPr>
          <w:b/>
          <w:u w:val="single"/>
        </w:rPr>
      </w:pPr>
      <w:r w:rsidRPr="00A95C35">
        <w:lastRenderedPageBreak/>
        <w:t xml:space="preserve">Summary of </w:t>
      </w:r>
      <w:r w:rsidR="00525932" w:rsidRPr="00A95C35">
        <w:t>calibration sample data collection results</w:t>
      </w:r>
      <w:r w:rsidR="003051F0" w:rsidRPr="00A95C35">
        <w:t xml:space="preserve"> </w:t>
      </w:r>
      <w:r w:rsidR="003051F0" w:rsidRPr="00A95C35">
        <w:rPr>
          <w:b/>
          <w:i/>
        </w:rPr>
        <w:t>as of 4/2</w:t>
      </w:r>
      <w:r w:rsidR="00532594" w:rsidRPr="00A95C35">
        <w:rPr>
          <w:b/>
          <w:i/>
        </w:rPr>
        <w:t>8</w:t>
      </w:r>
      <w:r w:rsidR="003051F0" w:rsidRPr="00A95C35">
        <w:rPr>
          <w:b/>
          <w:i/>
        </w:rPr>
        <w:t>/2016</w:t>
      </w:r>
      <w:r w:rsidR="00EE0269" w:rsidRPr="00A95C35">
        <w:t>:</w:t>
      </w:r>
    </w:p>
    <w:p w14:paraId="31601C16" w14:textId="5677FCD7" w:rsidR="00DB3D44" w:rsidRPr="00A95C35" w:rsidRDefault="00E0786F" w:rsidP="0022784E">
      <w:pPr>
        <w:pStyle w:val="ListParagraph"/>
        <w:numPr>
          <w:ilvl w:val="0"/>
          <w:numId w:val="10"/>
        </w:numPr>
        <w:spacing w:before="120" w:after="120" w:line="23" w:lineRule="atLeast"/>
        <w:rPr>
          <w:rFonts w:ascii="Times New Roman" w:hAnsi="Times New Roman"/>
          <w:sz w:val="24"/>
          <w:szCs w:val="24"/>
        </w:rPr>
      </w:pPr>
      <w:r w:rsidRPr="00A95C35">
        <w:rPr>
          <w:rFonts w:ascii="Times New Roman" w:hAnsi="Times New Roman"/>
          <w:sz w:val="24"/>
          <w:szCs w:val="24"/>
        </w:rPr>
        <w:t>Subgroup A</w:t>
      </w:r>
      <w:r w:rsidR="0022784E" w:rsidRPr="00A95C35">
        <w:rPr>
          <w:rFonts w:ascii="Times New Roman" w:hAnsi="Times New Roman"/>
          <w:sz w:val="24"/>
          <w:szCs w:val="24"/>
        </w:rPr>
        <w:t xml:space="preserve"> (high school late/alternative/non-completers)</w:t>
      </w:r>
      <w:r w:rsidR="00DB3D44" w:rsidRPr="00A95C35">
        <w:rPr>
          <w:rFonts w:ascii="Times New Roman" w:hAnsi="Times New Roman"/>
          <w:sz w:val="24"/>
          <w:szCs w:val="24"/>
        </w:rPr>
        <w:t xml:space="preserve"> – </w:t>
      </w:r>
      <w:r w:rsidR="0048745F" w:rsidRPr="00A95C35">
        <w:rPr>
          <w:rFonts w:ascii="Times New Roman" w:hAnsi="Times New Roman"/>
          <w:sz w:val="24"/>
          <w:szCs w:val="24"/>
        </w:rPr>
        <w:t>Because of the analytical importance of this subgroup</w:t>
      </w:r>
      <w:r w:rsidR="00120E05" w:rsidRPr="00A95C35">
        <w:rPr>
          <w:rFonts w:ascii="Times New Roman" w:hAnsi="Times New Roman"/>
          <w:sz w:val="24"/>
          <w:szCs w:val="24"/>
        </w:rPr>
        <w:t xml:space="preserve"> and the relative difficulty in gaining their cooperation</w:t>
      </w:r>
      <w:r w:rsidR="0048745F" w:rsidRPr="00A95C35">
        <w:rPr>
          <w:rFonts w:ascii="Times New Roman" w:hAnsi="Times New Roman"/>
          <w:sz w:val="24"/>
          <w:szCs w:val="24"/>
        </w:rPr>
        <w:t>, incentive amounts are higher than for the other groups. Subgroup A was randomly assigned to receive a baseline incentive in one of three amounts: $30, $40, or $50. A</w:t>
      </w:r>
      <w:r w:rsidR="00DB3D44" w:rsidRPr="00A95C35">
        <w:rPr>
          <w:rFonts w:ascii="Times New Roman" w:hAnsi="Times New Roman"/>
          <w:sz w:val="24"/>
          <w:szCs w:val="24"/>
        </w:rPr>
        <w:t xml:space="preserve">mong cases in Subgroup A, response rates were highest among cases assigned a baseline incentive of $40. The $40 response rate is </w:t>
      </w:r>
      <w:r w:rsidR="004F4D11" w:rsidRPr="00A95C35">
        <w:rPr>
          <w:rFonts w:ascii="Times New Roman" w:hAnsi="Times New Roman"/>
          <w:sz w:val="24"/>
          <w:szCs w:val="24"/>
        </w:rPr>
        <w:t>more than six</w:t>
      </w:r>
      <w:r w:rsidR="001618B3" w:rsidRPr="00A95C35">
        <w:rPr>
          <w:rFonts w:ascii="Times New Roman" w:hAnsi="Times New Roman"/>
          <w:sz w:val="24"/>
          <w:szCs w:val="24"/>
        </w:rPr>
        <w:t xml:space="preserve"> </w:t>
      </w:r>
      <w:r w:rsidR="00DB3D44" w:rsidRPr="00A95C35">
        <w:rPr>
          <w:rFonts w:ascii="Times New Roman" w:hAnsi="Times New Roman"/>
          <w:sz w:val="24"/>
          <w:szCs w:val="24"/>
        </w:rPr>
        <w:t xml:space="preserve">percentage points higher than the $30 rate. </w:t>
      </w:r>
    </w:p>
    <w:p w14:paraId="20C0A42B" w14:textId="0464D051" w:rsidR="00DD1B66" w:rsidRPr="00A95C35" w:rsidRDefault="00DD1B66" w:rsidP="0048745F">
      <w:pPr>
        <w:pStyle w:val="ListParagraph"/>
        <w:numPr>
          <w:ilvl w:val="0"/>
          <w:numId w:val="10"/>
        </w:numPr>
        <w:spacing w:before="120" w:after="120" w:line="23" w:lineRule="atLeast"/>
        <w:rPr>
          <w:rFonts w:ascii="Times New Roman" w:hAnsi="Times New Roman"/>
          <w:sz w:val="24"/>
          <w:szCs w:val="24"/>
        </w:rPr>
      </w:pPr>
      <w:r w:rsidRPr="00A95C35">
        <w:rPr>
          <w:rFonts w:ascii="Times New Roman" w:hAnsi="Times New Roman"/>
          <w:sz w:val="24"/>
          <w:szCs w:val="24"/>
        </w:rPr>
        <w:t xml:space="preserve">Subgroup </w:t>
      </w:r>
      <w:r w:rsidR="0022784E" w:rsidRPr="00A95C35">
        <w:rPr>
          <w:rFonts w:ascii="Times New Roman" w:hAnsi="Times New Roman"/>
          <w:sz w:val="24"/>
          <w:szCs w:val="24"/>
        </w:rPr>
        <w:t xml:space="preserve">B (ultra-cooperative respondents) </w:t>
      </w:r>
      <w:r w:rsidR="002968A9" w:rsidRPr="00A95C35">
        <w:rPr>
          <w:rFonts w:ascii="Times New Roman" w:hAnsi="Times New Roman"/>
          <w:sz w:val="24"/>
          <w:szCs w:val="24"/>
        </w:rPr>
        <w:t xml:space="preserve">– </w:t>
      </w:r>
      <w:r w:rsidR="00DB3D44" w:rsidRPr="00A95C35">
        <w:rPr>
          <w:rFonts w:ascii="Times New Roman" w:hAnsi="Times New Roman"/>
          <w:sz w:val="24"/>
          <w:szCs w:val="24"/>
        </w:rPr>
        <w:t xml:space="preserve">Subgroup B cases were not offered a baseline incentive, yet this group of “ultra-cooperative” sample members had a response rate of </w:t>
      </w:r>
      <w:r w:rsidR="001618B3" w:rsidRPr="00A95C35">
        <w:rPr>
          <w:rFonts w:ascii="Times New Roman" w:hAnsi="Times New Roman"/>
          <w:sz w:val="24"/>
          <w:szCs w:val="24"/>
        </w:rPr>
        <w:t>6</w:t>
      </w:r>
      <w:r w:rsidR="004F4D11" w:rsidRPr="00A95C35">
        <w:rPr>
          <w:rFonts w:ascii="Times New Roman" w:hAnsi="Times New Roman"/>
          <w:sz w:val="24"/>
          <w:szCs w:val="24"/>
        </w:rPr>
        <w:t>4</w:t>
      </w:r>
      <w:r w:rsidR="001618B3" w:rsidRPr="00A95C35">
        <w:rPr>
          <w:rFonts w:ascii="Times New Roman" w:hAnsi="Times New Roman"/>
          <w:sz w:val="24"/>
          <w:szCs w:val="24"/>
        </w:rPr>
        <w:t xml:space="preserve"> </w:t>
      </w:r>
      <w:r w:rsidR="00DB3D44" w:rsidRPr="00A95C35">
        <w:rPr>
          <w:rFonts w:ascii="Times New Roman" w:hAnsi="Times New Roman"/>
          <w:sz w:val="24"/>
          <w:szCs w:val="24"/>
        </w:rPr>
        <w:t>percent.</w:t>
      </w:r>
      <w:r w:rsidR="0048745F" w:rsidRPr="00A95C35">
        <w:t xml:space="preserve"> </w:t>
      </w:r>
      <w:r w:rsidR="0048745F" w:rsidRPr="00A95C35">
        <w:rPr>
          <w:rFonts w:ascii="Times New Roman" w:hAnsi="Times New Roman"/>
          <w:sz w:val="24"/>
          <w:szCs w:val="24"/>
        </w:rPr>
        <w:t>The Subgroup B calibration sample responded, with no incentive offer, at a rate similar to that seen among BPS</w:t>
      </w:r>
      <w:proofErr w:type="gramStart"/>
      <w:r w:rsidR="0048745F" w:rsidRPr="00A95C35">
        <w:rPr>
          <w:rFonts w:ascii="Times New Roman" w:hAnsi="Times New Roman"/>
          <w:sz w:val="24"/>
          <w:szCs w:val="24"/>
        </w:rPr>
        <w:t>:1</w:t>
      </w:r>
      <w:r w:rsidR="000B0168" w:rsidRPr="00A95C35">
        <w:rPr>
          <w:rFonts w:ascii="Times New Roman" w:hAnsi="Times New Roman"/>
          <w:sz w:val="24"/>
          <w:szCs w:val="24"/>
        </w:rPr>
        <w:t>2</w:t>
      </w:r>
      <w:proofErr w:type="gramEnd"/>
      <w:r w:rsidR="0048745F" w:rsidRPr="00A95C35">
        <w:rPr>
          <w:rFonts w:ascii="Times New Roman" w:hAnsi="Times New Roman"/>
          <w:sz w:val="24"/>
          <w:szCs w:val="24"/>
        </w:rPr>
        <w:t>/14 sample members with high predicted response propensity and with a $</w:t>
      </w:r>
      <w:r w:rsidR="001618B3" w:rsidRPr="00A95C35">
        <w:rPr>
          <w:rFonts w:ascii="Times New Roman" w:hAnsi="Times New Roman"/>
          <w:sz w:val="24"/>
          <w:szCs w:val="24"/>
        </w:rPr>
        <w:t xml:space="preserve">40 </w:t>
      </w:r>
      <w:r w:rsidR="0048745F" w:rsidRPr="00A95C35">
        <w:rPr>
          <w:rFonts w:ascii="Times New Roman" w:hAnsi="Times New Roman"/>
          <w:sz w:val="24"/>
          <w:szCs w:val="24"/>
        </w:rPr>
        <w:t xml:space="preserve">incentive. </w:t>
      </w:r>
      <w:r w:rsidR="00DB3D44" w:rsidRPr="00A95C35">
        <w:rPr>
          <w:rFonts w:ascii="Times New Roman" w:hAnsi="Times New Roman"/>
          <w:sz w:val="24"/>
          <w:szCs w:val="24"/>
        </w:rPr>
        <w:t xml:space="preserve"> </w:t>
      </w:r>
    </w:p>
    <w:p w14:paraId="4CB2DB3B" w14:textId="2A986A6D" w:rsidR="00E0786F" w:rsidRPr="00A95C35" w:rsidRDefault="00E0786F" w:rsidP="0006440F">
      <w:pPr>
        <w:pStyle w:val="ListParagraph"/>
        <w:numPr>
          <w:ilvl w:val="0"/>
          <w:numId w:val="10"/>
        </w:numPr>
        <w:spacing w:before="120" w:after="120" w:line="23" w:lineRule="atLeast"/>
        <w:rPr>
          <w:rFonts w:ascii="Times New Roman" w:hAnsi="Times New Roman"/>
          <w:sz w:val="24"/>
          <w:szCs w:val="24"/>
        </w:rPr>
      </w:pPr>
      <w:r w:rsidRPr="00A95C35">
        <w:rPr>
          <w:rFonts w:ascii="Times New Roman" w:hAnsi="Times New Roman"/>
          <w:sz w:val="24"/>
          <w:szCs w:val="24"/>
        </w:rPr>
        <w:t xml:space="preserve">Subgroup </w:t>
      </w:r>
      <w:r w:rsidR="00120E05" w:rsidRPr="00A95C35">
        <w:rPr>
          <w:rFonts w:ascii="Times New Roman" w:hAnsi="Times New Roman"/>
          <w:sz w:val="24"/>
          <w:szCs w:val="24"/>
        </w:rPr>
        <w:t xml:space="preserve">C </w:t>
      </w:r>
      <w:r w:rsidR="0022784E" w:rsidRPr="00A95C35">
        <w:rPr>
          <w:rFonts w:ascii="Times New Roman" w:hAnsi="Times New Roman"/>
          <w:sz w:val="24"/>
          <w:szCs w:val="24"/>
        </w:rPr>
        <w:t xml:space="preserve">(high school completers and unknown high school completion status) </w:t>
      </w:r>
      <w:r w:rsidR="002968A9" w:rsidRPr="00A95C35">
        <w:rPr>
          <w:rFonts w:ascii="Times New Roman" w:hAnsi="Times New Roman"/>
          <w:sz w:val="24"/>
          <w:szCs w:val="24"/>
        </w:rPr>
        <w:t xml:space="preserve">– </w:t>
      </w:r>
      <w:r w:rsidR="00DB3D44" w:rsidRPr="00A95C35">
        <w:rPr>
          <w:rFonts w:ascii="Times New Roman" w:hAnsi="Times New Roman"/>
          <w:sz w:val="24"/>
          <w:szCs w:val="24"/>
        </w:rPr>
        <w:t xml:space="preserve">Within Subgroup C, the response rate is highest among cases assigned the $30 incentive at </w:t>
      </w:r>
      <w:r w:rsidR="001618B3" w:rsidRPr="00A95C35">
        <w:rPr>
          <w:rFonts w:ascii="Times New Roman" w:hAnsi="Times New Roman"/>
          <w:sz w:val="24"/>
          <w:szCs w:val="24"/>
        </w:rPr>
        <w:t xml:space="preserve">43 </w:t>
      </w:r>
      <w:r w:rsidR="00DB3D44" w:rsidRPr="00A95C35">
        <w:rPr>
          <w:rFonts w:ascii="Times New Roman" w:hAnsi="Times New Roman"/>
          <w:sz w:val="24"/>
          <w:szCs w:val="24"/>
        </w:rPr>
        <w:t>percent.</w:t>
      </w:r>
    </w:p>
    <w:p w14:paraId="12E5A152" w14:textId="53BC541B" w:rsidR="003B1A71" w:rsidRPr="00A95C35" w:rsidRDefault="00AF45BB" w:rsidP="009F504E">
      <w:pPr>
        <w:spacing w:before="120" w:after="120" w:line="23" w:lineRule="atLeast"/>
      </w:pPr>
      <w:r w:rsidRPr="00A95C35">
        <w:rPr>
          <w:b/>
        </w:rPr>
        <w:t>Additional evaluations to broaden the set of cases defined as “ultra-cooperative.”</w:t>
      </w:r>
      <w:r w:rsidRPr="00A95C35">
        <w:t xml:space="preserve"> The original </w:t>
      </w:r>
      <w:r w:rsidR="008559CA" w:rsidRPr="00A95C35">
        <w:t>set</w:t>
      </w:r>
      <w:r w:rsidRPr="00A95C35">
        <w:t xml:space="preserve"> of “ultra-cooperative” </w:t>
      </w:r>
      <w:r w:rsidR="008559CA" w:rsidRPr="00A95C35">
        <w:t>cases included</w:t>
      </w:r>
      <w:r w:rsidR="00433F7B" w:rsidRPr="00A95C35">
        <w:t xml:space="preserve"> </w:t>
      </w:r>
      <w:r w:rsidR="00433F7B" w:rsidRPr="00A95C35">
        <w:rPr>
          <w:b/>
        </w:rPr>
        <w:t>1,027</w:t>
      </w:r>
      <w:r w:rsidR="00433F7B" w:rsidRPr="00A95C35">
        <w:t xml:space="preserve"> </w:t>
      </w:r>
      <w:r w:rsidR="008559CA" w:rsidRPr="00A95C35">
        <w:t>high school completers who participated in</w:t>
      </w:r>
      <w:r w:rsidR="00433F7B" w:rsidRPr="00A95C35">
        <w:t xml:space="preserve"> the </w:t>
      </w:r>
      <w:r w:rsidR="008559CA" w:rsidRPr="00A95C35">
        <w:t>base year and the first follow-up, and completed the 2013 Update in early web period, with no incentive</w:t>
      </w:r>
      <w:r w:rsidR="00433F7B" w:rsidRPr="00A95C35">
        <w:t xml:space="preserve">. </w:t>
      </w:r>
      <w:r w:rsidRPr="00A95C35">
        <w:t xml:space="preserve">As noted above, the response rate for the ultra-cooperative calibration sample at the end of phase 2 was very high at </w:t>
      </w:r>
      <w:r w:rsidR="006A1613" w:rsidRPr="00A95C35">
        <w:t>6</w:t>
      </w:r>
      <w:r w:rsidR="004F4D11" w:rsidRPr="00A95C35">
        <w:t>4</w:t>
      </w:r>
      <w:r w:rsidR="006A1613" w:rsidRPr="00A95C35">
        <w:t xml:space="preserve"> </w:t>
      </w:r>
      <w:r w:rsidRPr="00A95C35">
        <w:t xml:space="preserve">percent. To investigate the possibility that this classification can successfully be broadened to include more cases, </w:t>
      </w:r>
      <w:r w:rsidR="00433F7B" w:rsidRPr="00A95C35">
        <w:t xml:space="preserve">and therefore obtain a larger yield of complete interviews without offering incentives, </w:t>
      </w:r>
      <w:r w:rsidRPr="00A95C35">
        <w:t>the definition was revised to require that the following conditions be met:</w:t>
      </w:r>
    </w:p>
    <w:p w14:paraId="25D4777A" w14:textId="0EA6DD92" w:rsidR="00F754E4" w:rsidRPr="00A95C35" w:rsidRDefault="00F754E4" w:rsidP="009271E1">
      <w:pPr>
        <w:pStyle w:val="ListParagraph"/>
        <w:numPr>
          <w:ilvl w:val="0"/>
          <w:numId w:val="9"/>
        </w:numPr>
        <w:spacing w:line="23" w:lineRule="atLeast"/>
        <w:rPr>
          <w:rFonts w:ascii="Times New Roman" w:hAnsi="Times New Roman"/>
          <w:sz w:val="24"/>
          <w:szCs w:val="24"/>
        </w:rPr>
      </w:pPr>
      <w:r w:rsidRPr="00A95C35">
        <w:rPr>
          <w:rFonts w:ascii="Times New Roman" w:hAnsi="Times New Roman"/>
          <w:sz w:val="24"/>
          <w:szCs w:val="24"/>
        </w:rPr>
        <w:t xml:space="preserve">Must be </w:t>
      </w:r>
      <w:r w:rsidR="008559CA" w:rsidRPr="00A95C35">
        <w:rPr>
          <w:rFonts w:ascii="Times New Roman" w:hAnsi="Times New Roman"/>
          <w:sz w:val="24"/>
          <w:szCs w:val="24"/>
        </w:rPr>
        <w:t>in Subgroup C, and</w:t>
      </w:r>
    </w:p>
    <w:p w14:paraId="03C18F37" w14:textId="339FE8A7" w:rsidR="009271E1" w:rsidRPr="00A95C35" w:rsidRDefault="009271E1" w:rsidP="009271E1">
      <w:pPr>
        <w:pStyle w:val="ListParagraph"/>
        <w:numPr>
          <w:ilvl w:val="0"/>
          <w:numId w:val="9"/>
        </w:numPr>
        <w:spacing w:line="23" w:lineRule="atLeast"/>
        <w:rPr>
          <w:rFonts w:ascii="Times New Roman" w:hAnsi="Times New Roman"/>
          <w:sz w:val="24"/>
          <w:szCs w:val="24"/>
        </w:rPr>
      </w:pPr>
      <w:r w:rsidRPr="00A95C35">
        <w:rPr>
          <w:rFonts w:ascii="Times New Roman" w:hAnsi="Times New Roman"/>
          <w:sz w:val="24"/>
          <w:szCs w:val="24"/>
        </w:rPr>
        <w:t xml:space="preserve">Must have predicted response propensity &gt; 0.90, and </w:t>
      </w:r>
    </w:p>
    <w:p w14:paraId="62F85870" w14:textId="18AD26F0" w:rsidR="00F754E4" w:rsidRPr="00A95C35" w:rsidRDefault="00F754E4" w:rsidP="009271E1">
      <w:pPr>
        <w:pStyle w:val="ListParagraph"/>
        <w:numPr>
          <w:ilvl w:val="0"/>
          <w:numId w:val="9"/>
        </w:numPr>
        <w:spacing w:line="23" w:lineRule="atLeast"/>
        <w:rPr>
          <w:rFonts w:ascii="Times New Roman" w:hAnsi="Times New Roman"/>
          <w:sz w:val="24"/>
          <w:szCs w:val="24"/>
        </w:rPr>
      </w:pPr>
      <w:r w:rsidRPr="00A95C35">
        <w:rPr>
          <w:rFonts w:ascii="Times New Roman" w:hAnsi="Times New Roman"/>
          <w:sz w:val="24"/>
          <w:szCs w:val="24"/>
        </w:rPr>
        <w:t xml:space="preserve">Must have been a 2013 respondent, </w:t>
      </w:r>
      <w:r w:rsidR="009271E1" w:rsidRPr="00A95C35">
        <w:rPr>
          <w:rFonts w:ascii="Times New Roman" w:hAnsi="Times New Roman"/>
          <w:sz w:val="24"/>
          <w:szCs w:val="24"/>
        </w:rPr>
        <w:t>and</w:t>
      </w:r>
    </w:p>
    <w:p w14:paraId="6C65A7B6" w14:textId="01A1AD20" w:rsidR="00F754E4" w:rsidRPr="00A95C35" w:rsidRDefault="00B30CEF" w:rsidP="009271E1">
      <w:pPr>
        <w:pStyle w:val="ListParagraph"/>
        <w:numPr>
          <w:ilvl w:val="1"/>
          <w:numId w:val="9"/>
        </w:numPr>
        <w:spacing w:line="23" w:lineRule="atLeast"/>
        <w:rPr>
          <w:rFonts w:ascii="Times New Roman" w:hAnsi="Times New Roman"/>
          <w:sz w:val="24"/>
          <w:szCs w:val="24"/>
        </w:rPr>
      </w:pPr>
      <w:r w:rsidRPr="00A95C35">
        <w:rPr>
          <w:rFonts w:ascii="Times New Roman" w:hAnsi="Times New Roman"/>
          <w:sz w:val="24"/>
          <w:szCs w:val="24"/>
        </w:rPr>
        <w:t xml:space="preserve">the respondent </w:t>
      </w:r>
      <w:r w:rsidR="00F754E4" w:rsidRPr="00A95C35">
        <w:rPr>
          <w:rFonts w:ascii="Times New Roman" w:hAnsi="Times New Roman"/>
          <w:sz w:val="24"/>
          <w:szCs w:val="24"/>
        </w:rPr>
        <w:t>must have been the student not the parent,</w:t>
      </w:r>
      <w:r w:rsidR="009271E1" w:rsidRPr="00A95C35">
        <w:rPr>
          <w:rFonts w:ascii="Times New Roman" w:hAnsi="Times New Roman"/>
          <w:sz w:val="24"/>
          <w:szCs w:val="24"/>
        </w:rPr>
        <w:t xml:space="preserve"> and</w:t>
      </w:r>
    </w:p>
    <w:p w14:paraId="12DFE7F5" w14:textId="1ACD259E" w:rsidR="00F754E4" w:rsidRPr="00A95C35" w:rsidRDefault="00F754E4" w:rsidP="009271E1">
      <w:pPr>
        <w:pStyle w:val="ListParagraph"/>
        <w:numPr>
          <w:ilvl w:val="1"/>
          <w:numId w:val="9"/>
        </w:numPr>
        <w:spacing w:line="23" w:lineRule="atLeast"/>
        <w:rPr>
          <w:rFonts w:ascii="Times New Roman" w:hAnsi="Times New Roman"/>
          <w:sz w:val="24"/>
          <w:szCs w:val="24"/>
        </w:rPr>
      </w:pPr>
      <w:r w:rsidRPr="00A95C35">
        <w:rPr>
          <w:rFonts w:ascii="Times New Roman" w:hAnsi="Times New Roman"/>
          <w:sz w:val="24"/>
          <w:szCs w:val="24"/>
        </w:rPr>
        <w:t xml:space="preserve">must have responded </w:t>
      </w:r>
      <w:r w:rsidR="006A1613" w:rsidRPr="00A95C35">
        <w:rPr>
          <w:rFonts w:ascii="Times New Roman" w:hAnsi="Times New Roman"/>
          <w:sz w:val="24"/>
          <w:szCs w:val="24"/>
        </w:rPr>
        <w:t>in the first twelve weeks</w:t>
      </w:r>
      <w:r w:rsidR="009271E1" w:rsidRPr="00A95C35">
        <w:rPr>
          <w:rFonts w:ascii="Times New Roman" w:hAnsi="Times New Roman"/>
          <w:sz w:val="24"/>
          <w:szCs w:val="24"/>
        </w:rPr>
        <w:t>, and</w:t>
      </w:r>
      <w:r w:rsidRPr="00A95C35">
        <w:rPr>
          <w:rFonts w:ascii="Times New Roman" w:hAnsi="Times New Roman"/>
          <w:sz w:val="24"/>
          <w:szCs w:val="24"/>
        </w:rPr>
        <w:t xml:space="preserve"> </w:t>
      </w:r>
    </w:p>
    <w:p w14:paraId="6ACC261E" w14:textId="4A1D7007" w:rsidR="00F754E4" w:rsidRPr="00A95C35" w:rsidRDefault="00F754E4" w:rsidP="009271E1">
      <w:pPr>
        <w:pStyle w:val="ListParagraph"/>
        <w:numPr>
          <w:ilvl w:val="1"/>
          <w:numId w:val="9"/>
        </w:numPr>
        <w:spacing w:line="23" w:lineRule="atLeast"/>
        <w:rPr>
          <w:rFonts w:ascii="Times New Roman" w:hAnsi="Times New Roman"/>
          <w:sz w:val="24"/>
          <w:szCs w:val="24"/>
        </w:rPr>
      </w:pPr>
      <w:r w:rsidRPr="00A95C35">
        <w:rPr>
          <w:rFonts w:ascii="Times New Roman" w:hAnsi="Times New Roman"/>
          <w:sz w:val="24"/>
          <w:szCs w:val="24"/>
        </w:rPr>
        <w:t>must not have received $5 prepay</w:t>
      </w:r>
      <w:r w:rsidR="009271E1" w:rsidRPr="00A95C35">
        <w:rPr>
          <w:rFonts w:ascii="Times New Roman" w:hAnsi="Times New Roman"/>
          <w:sz w:val="24"/>
          <w:szCs w:val="24"/>
        </w:rPr>
        <w:t>, and</w:t>
      </w:r>
    </w:p>
    <w:p w14:paraId="32D258C7" w14:textId="58778328" w:rsidR="00F754E4" w:rsidRPr="00A95C35" w:rsidRDefault="00F754E4" w:rsidP="009271E1">
      <w:pPr>
        <w:pStyle w:val="ListParagraph"/>
        <w:numPr>
          <w:ilvl w:val="0"/>
          <w:numId w:val="9"/>
        </w:numPr>
        <w:spacing w:line="23" w:lineRule="atLeast"/>
        <w:rPr>
          <w:rFonts w:ascii="Times New Roman" w:hAnsi="Times New Roman"/>
          <w:sz w:val="24"/>
          <w:szCs w:val="24"/>
        </w:rPr>
      </w:pPr>
      <w:r w:rsidRPr="00A95C35">
        <w:rPr>
          <w:rFonts w:ascii="Times New Roman" w:hAnsi="Times New Roman"/>
          <w:sz w:val="24"/>
          <w:szCs w:val="24"/>
        </w:rPr>
        <w:t>Must have bee</w:t>
      </w:r>
      <w:r w:rsidR="009271E1" w:rsidRPr="00A95C35">
        <w:rPr>
          <w:rFonts w:ascii="Times New Roman" w:hAnsi="Times New Roman"/>
          <w:sz w:val="24"/>
          <w:szCs w:val="24"/>
        </w:rPr>
        <w:t xml:space="preserve">n an early/on-time </w:t>
      </w:r>
      <w:r w:rsidR="008559CA" w:rsidRPr="00A95C35">
        <w:rPr>
          <w:rFonts w:ascii="Times New Roman" w:hAnsi="Times New Roman"/>
          <w:sz w:val="24"/>
          <w:szCs w:val="24"/>
        </w:rPr>
        <w:t>high school</w:t>
      </w:r>
      <w:r w:rsidR="009271E1" w:rsidRPr="00A95C35">
        <w:rPr>
          <w:rFonts w:ascii="Times New Roman" w:hAnsi="Times New Roman"/>
          <w:sz w:val="24"/>
          <w:szCs w:val="24"/>
        </w:rPr>
        <w:t xml:space="preserve"> completer, and</w:t>
      </w:r>
    </w:p>
    <w:p w14:paraId="5C7714C6" w14:textId="7BEF82D9" w:rsidR="00F754E4" w:rsidRPr="00A95C35" w:rsidRDefault="00F754E4" w:rsidP="009271E1">
      <w:pPr>
        <w:pStyle w:val="ListParagraph"/>
        <w:numPr>
          <w:ilvl w:val="0"/>
          <w:numId w:val="12"/>
        </w:numPr>
        <w:spacing w:line="23" w:lineRule="atLeast"/>
        <w:rPr>
          <w:rFonts w:ascii="Times New Roman" w:hAnsi="Times New Roman"/>
          <w:sz w:val="24"/>
          <w:szCs w:val="24"/>
        </w:rPr>
      </w:pPr>
      <w:r w:rsidRPr="00A95C35">
        <w:rPr>
          <w:rFonts w:ascii="Times New Roman" w:hAnsi="Times New Roman"/>
          <w:sz w:val="24"/>
          <w:szCs w:val="24"/>
        </w:rPr>
        <w:t>Must not have ever dropped out</w:t>
      </w:r>
      <w:r w:rsidR="008559CA" w:rsidRPr="00A95C35">
        <w:rPr>
          <w:rFonts w:ascii="Times New Roman" w:hAnsi="Times New Roman"/>
          <w:sz w:val="24"/>
          <w:szCs w:val="24"/>
        </w:rPr>
        <w:t xml:space="preserve"> of high school</w:t>
      </w:r>
      <w:r w:rsidRPr="00A95C35">
        <w:rPr>
          <w:rFonts w:ascii="Times New Roman" w:hAnsi="Times New Roman"/>
          <w:sz w:val="24"/>
          <w:szCs w:val="24"/>
        </w:rPr>
        <w:t>.</w:t>
      </w:r>
    </w:p>
    <w:p w14:paraId="31B492BD" w14:textId="0CE53220" w:rsidR="00E0786F" w:rsidRPr="00A95C35" w:rsidRDefault="009271E1" w:rsidP="0006440F">
      <w:pPr>
        <w:spacing w:before="120" w:after="120" w:line="23" w:lineRule="atLeast"/>
      </w:pPr>
      <w:r w:rsidRPr="00A95C35">
        <w:t>According to t</w:t>
      </w:r>
      <w:r w:rsidR="00B30CEF" w:rsidRPr="00A95C35">
        <w:t>hese criteria</w:t>
      </w:r>
      <w:r w:rsidRPr="00A95C35">
        <w:t xml:space="preserve">, </w:t>
      </w:r>
      <w:r w:rsidR="00E0786F" w:rsidRPr="00A95C35">
        <w:rPr>
          <w:b/>
        </w:rPr>
        <w:t>3,481</w:t>
      </w:r>
      <w:r w:rsidR="00E0786F" w:rsidRPr="00A95C35">
        <w:t xml:space="preserve"> </w:t>
      </w:r>
      <w:r w:rsidRPr="00A95C35">
        <w:t>cases</w:t>
      </w:r>
      <w:r w:rsidR="00E0786F" w:rsidRPr="00A95C35">
        <w:t xml:space="preserve"> </w:t>
      </w:r>
      <w:r w:rsidRPr="00A95C35">
        <w:t xml:space="preserve">have been identified </w:t>
      </w:r>
      <w:r w:rsidR="00E0786F" w:rsidRPr="00A95C35">
        <w:t xml:space="preserve">in </w:t>
      </w:r>
      <w:r w:rsidR="00B30CEF" w:rsidRPr="00A95C35">
        <w:t xml:space="preserve">the </w:t>
      </w:r>
      <w:r w:rsidR="00E0786F" w:rsidRPr="00A95C35">
        <w:t>main sample</w:t>
      </w:r>
      <w:r w:rsidRPr="00A95C35">
        <w:t>.</w:t>
      </w:r>
    </w:p>
    <w:p w14:paraId="66A4C163" w14:textId="6DA4CB77" w:rsidR="00DE39F0" w:rsidRPr="00A95C35" w:rsidRDefault="00DE39F0" w:rsidP="009F504E">
      <w:pPr>
        <w:pStyle w:val="ListParagraph"/>
        <w:spacing w:before="120" w:after="120" w:line="23" w:lineRule="atLeast"/>
        <w:ind w:left="0"/>
        <w:rPr>
          <w:rFonts w:ascii="Times New Roman" w:eastAsia="Times New Roman" w:hAnsi="Times New Roman"/>
          <w:b/>
          <w:sz w:val="24"/>
          <w:szCs w:val="24"/>
          <w:u w:val="single"/>
        </w:rPr>
      </w:pPr>
      <w:r w:rsidRPr="00A95C35">
        <w:rPr>
          <w:rFonts w:ascii="Times New Roman" w:eastAsia="Times New Roman" w:hAnsi="Times New Roman"/>
          <w:b/>
          <w:sz w:val="24"/>
          <w:szCs w:val="24"/>
          <w:u w:val="single"/>
        </w:rPr>
        <w:t xml:space="preserve">Recommended baseline incentives for main sample </w:t>
      </w:r>
    </w:p>
    <w:p w14:paraId="5B86E6CD" w14:textId="0E5C6654" w:rsidR="00DB3D44" w:rsidRPr="00A95C35" w:rsidRDefault="00433F7B" w:rsidP="009F504E">
      <w:pPr>
        <w:pStyle w:val="ListParagraph"/>
        <w:numPr>
          <w:ilvl w:val="0"/>
          <w:numId w:val="10"/>
        </w:numPr>
        <w:spacing w:before="120" w:after="120" w:line="23" w:lineRule="atLeast"/>
        <w:rPr>
          <w:rFonts w:ascii="Times New Roman" w:hAnsi="Times New Roman"/>
          <w:sz w:val="24"/>
          <w:szCs w:val="24"/>
        </w:rPr>
      </w:pPr>
      <w:r w:rsidRPr="00A95C35">
        <w:rPr>
          <w:rFonts w:ascii="Times New Roman" w:hAnsi="Times New Roman"/>
          <w:sz w:val="24"/>
          <w:szCs w:val="24"/>
        </w:rPr>
        <w:t>Subgroup A (high school late/alternative/non-completers)</w:t>
      </w:r>
      <w:r w:rsidR="00DB3D44" w:rsidRPr="00A95C35">
        <w:rPr>
          <w:rFonts w:ascii="Times New Roman" w:hAnsi="Times New Roman"/>
          <w:sz w:val="24"/>
          <w:szCs w:val="24"/>
        </w:rPr>
        <w:t xml:space="preserve"> –</w:t>
      </w:r>
      <w:r w:rsidRPr="00A95C35">
        <w:rPr>
          <w:rFonts w:ascii="Times New Roman" w:hAnsi="Times New Roman"/>
          <w:sz w:val="24"/>
          <w:szCs w:val="24"/>
        </w:rPr>
        <w:t xml:space="preserve"> Based on the experimental comparison of response rates by incentive </w:t>
      </w:r>
      <w:proofErr w:type="gramStart"/>
      <w:r w:rsidRPr="00A95C35">
        <w:rPr>
          <w:rFonts w:ascii="Times New Roman" w:hAnsi="Times New Roman"/>
          <w:sz w:val="24"/>
          <w:szCs w:val="24"/>
        </w:rPr>
        <w:t>levels,</w:t>
      </w:r>
      <w:proofErr w:type="gramEnd"/>
      <w:r w:rsidRPr="00A95C35">
        <w:rPr>
          <w:rFonts w:ascii="Times New Roman" w:hAnsi="Times New Roman"/>
          <w:sz w:val="24"/>
          <w:szCs w:val="24"/>
        </w:rPr>
        <w:t xml:space="preserve"> we recommend that </w:t>
      </w:r>
      <w:r w:rsidR="00DB3D44" w:rsidRPr="00A95C35">
        <w:rPr>
          <w:rFonts w:ascii="Times New Roman" w:hAnsi="Times New Roman"/>
          <w:sz w:val="24"/>
          <w:szCs w:val="24"/>
        </w:rPr>
        <w:t>$40</w:t>
      </w:r>
      <w:r w:rsidRPr="00A95C35">
        <w:rPr>
          <w:rFonts w:ascii="Times New Roman" w:hAnsi="Times New Roman"/>
          <w:sz w:val="24"/>
          <w:szCs w:val="24"/>
        </w:rPr>
        <w:t xml:space="preserve"> be offered to this subgroup</w:t>
      </w:r>
      <w:r w:rsidR="00DB3D44" w:rsidRPr="00A95C35">
        <w:rPr>
          <w:rFonts w:ascii="Times New Roman" w:hAnsi="Times New Roman"/>
          <w:sz w:val="24"/>
          <w:szCs w:val="24"/>
        </w:rPr>
        <w:t xml:space="preserve">. </w:t>
      </w:r>
    </w:p>
    <w:p w14:paraId="61511AB1" w14:textId="6FE3DC90" w:rsidR="00DB3D44" w:rsidRPr="00A95C35" w:rsidRDefault="00DB3D44" w:rsidP="009F504E">
      <w:pPr>
        <w:pStyle w:val="ListParagraph"/>
        <w:numPr>
          <w:ilvl w:val="0"/>
          <w:numId w:val="10"/>
        </w:numPr>
        <w:spacing w:before="120" w:after="120" w:line="23" w:lineRule="atLeast"/>
        <w:rPr>
          <w:rFonts w:ascii="Times New Roman" w:hAnsi="Times New Roman"/>
          <w:sz w:val="24"/>
          <w:szCs w:val="24"/>
        </w:rPr>
      </w:pPr>
      <w:r w:rsidRPr="00A95C35">
        <w:rPr>
          <w:rFonts w:ascii="Times New Roman" w:hAnsi="Times New Roman"/>
          <w:sz w:val="24"/>
          <w:szCs w:val="24"/>
        </w:rPr>
        <w:t xml:space="preserve">Subgroup </w:t>
      </w:r>
      <w:r w:rsidR="00433F7B" w:rsidRPr="00A95C35">
        <w:rPr>
          <w:rFonts w:ascii="Times New Roman" w:hAnsi="Times New Roman"/>
          <w:sz w:val="24"/>
          <w:szCs w:val="24"/>
        </w:rPr>
        <w:t xml:space="preserve">B (ultra-cooperative respondents) – Given the high response rate among this subgroup based upon the more restrictive definition, we recommend expanding the set of cases to be treated as “ultra-cooperative” to include the 3,481 cases; this subgroup will not be offered a baseline incentive. </w:t>
      </w:r>
    </w:p>
    <w:p w14:paraId="7F79D86E" w14:textId="0B3B38D7" w:rsidR="00DB3D44" w:rsidRPr="00A95C35" w:rsidRDefault="00433F7B" w:rsidP="0006440F">
      <w:pPr>
        <w:pStyle w:val="ListParagraph"/>
        <w:numPr>
          <w:ilvl w:val="0"/>
          <w:numId w:val="10"/>
        </w:numPr>
        <w:spacing w:before="120" w:after="120" w:line="23" w:lineRule="atLeast"/>
        <w:rPr>
          <w:rFonts w:ascii="Times New Roman" w:hAnsi="Times New Roman"/>
          <w:sz w:val="24"/>
          <w:szCs w:val="24"/>
        </w:rPr>
      </w:pPr>
      <w:r w:rsidRPr="00A95C35">
        <w:rPr>
          <w:rFonts w:ascii="Times New Roman" w:hAnsi="Times New Roman"/>
          <w:sz w:val="24"/>
          <w:szCs w:val="24"/>
        </w:rPr>
        <w:t xml:space="preserve">Subgroup </w:t>
      </w:r>
      <w:r w:rsidR="00F7318B">
        <w:rPr>
          <w:rFonts w:ascii="Times New Roman" w:hAnsi="Times New Roman"/>
          <w:sz w:val="24"/>
          <w:szCs w:val="24"/>
        </w:rPr>
        <w:t xml:space="preserve">C </w:t>
      </w:r>
      <w:r w:rsidRPr="00A95C35">
        <w:rPr>
          <w:rFonts w:ascii="Times New Roman" w:hAnsi="Times New Roman"/>
          <w:sz w:val="24"/>
          <w:szCs w:val="24"/>
        </w:rPr>
        <w:t xml:space="preserve">(high school completers and unknown high school completion status) – </w:t>
      </w:r>
      <w:r w:rsidR="009757ED" w:rsidRPr="00A95C35">
        <w:rPr>
          <w:rFonts w:ascii="Times New Roman" w:hAnsi="Times New Roman"/>
          <w:sz w:val="24"/>
          <w:szCs w:val="24"/>
        </w:rPr>
        <w:t xml:space="preserve">Based on the experimental comparison of response rates by incentive </w:t>
      </w:r>
      <w:proofErr w:type="gramStart"/>
      <w:r w:rsidR="009757ED" w:rsidRPr="00A95C35">
        <w:rPr>
          <w:rFonts w:ascii="Times New Roman" w:hAnsi="Times New Roman"/>
          <w:sz w:val="24"/>
          <w:szCs w:val="24"/>
        </w:rPr>
        <w:t>levels,</w:t>
      </w:r>
      <w:proofErr w:type="gramEnd"/>
      <w:r w:rsidR="009757ED" w:rsidRPr="00A95C35">
        <w:rPr>
          <w:rFonts w:ascii="Times New Roman" w:hAnsi="Times New Roman"/>
          <w:sz w:val="24"/>
          <w:szCs w:val="24"/>
        </w:rPr>
        <w:t xml:space="preserve"> we recommend that $30 be offered to this subgroup. </w:t>
      </w:r>
    </w:p>
    <w:p w14:paraId="4183935D" w14:textId="3FA3AF8D" w:rsidR="008A023A" w:rsidRPr="00A95C35" w:rsidRDefault="00E56FFB" w:rsidP="009F504E">
      <w:pPr>
        <w:spacing w:before="120" w:after="120" w:line="23" w:lineRule="atLeast"/>
      </w:pPr>
      <w:r w:rsidRPr="00A95C35">
        <w:t xml:space="preserve">NCES </w:t>
      </w:r>
      <w:r w:rsidR="008A023A" w:rsidRPr="00A95C35">
        <w:t xml:space="preserve">thanks </w:t>
      </w:r>
      <w:r w:rsidRPr="00A95C35">
        <w:t>OMB</w:t>
      </w:r>
      <w:r w:rsidR="008A023A" w:rsidRPr="00A95C35">
        <w:t xml:space="preserve"> for considering these changes</w:t>
      </w:r>
      <w:r w:rsidRPr="00A95C35">
        <w:t>. Data collection</w:t>
      </w:r>
      <w:r w:rsidR="00DE39F0" w:rsidRPr="00A95C35">
        <w:t xml:space="preserve"> for the main sample</w:t>
      </w:r>
      <w:r w:rsidRPr="00A95C35">
        <w:t xml:space="preserve"> is scheduled to begin on Ma</w:t>
      </w:r>
      <w:r w:rsidR="00DE39F0" w:rsidRPr="00A95C35">
        <w:t>y</w:t>
      </w:r>
      <w:r w:rsidRPr="00A95C35">
        <w:t xml:space="preserve"> </w:t>
      </w:r>
      <w:r w:rsidR="003051F0" w:rsidRPr="00A95C35">
        <w:t>9</w:t>
      </w:r>
      <w:r w:rsidRPr="00A95C35">
        <w:t>, 2016.</w:t>
      </w:r>
    </w:p>
    <w:p w14:paraId="1D8BA8CA" w14:textId="6879F833" w:rsidR="00D3014C" w:rsidRPr="00A95C35" w:rsidRDefault="00D3014C" w:rsidP="00B30CEF">
      <w:pPr>
        <w:rPr>
          <w:rFonts w:asciiTheme="majorBidi" w:hAnsiTheme="majorBidi" w:cstheme="majorBidi"/>
          <w:b/>
          <w:sz w:val="28"/>
        </w:rPr>
      </w:pPr>
      <w:r w:rsidRPr="00A95C35">
        <w:br w:type="page"/>
      </w:r>
      <w:r w:rsidRPr="00A95C35">
        <w:rPr>
          <w:rFonts w:asciiTheme="majorBidi" w:hAnsiTheme="majorBidi" w:cstheme="majorBidi"/>
          <w:b/>
          <w:sz w:val="28"/>
        </w:rPr>
        <w:lastRenderedPageBreak/>
        <w:t xml:space="preserve">Attachment 1 – Description of main study responsive design plans (excerpt from </w:t>
      </w:r>
      <w:r w:rsidR="00F7318B">
        <w:rPr>
          <w:rFonts w:asciiTheme="majorBidi" w:hAnsiTheme="majorBidi" w:cstheme="majorBidi"/>
          <w:b/>
          <w:sz w:val="28"/>
        </w:rPr>
        <w:t>Supporting Statement Part B</w:t>
      </w:r>
      <w:r w:rsidRPr="00A95C35">
        <w:rPr>
          <w:rFonts w:asciiTheme="majorBidi" w:hAnsiTheme="majorBidi" w:cstheme="majorBidi"/>
          <w:b/>
          <w:sz w:val="28"/>
        </w:rPr>
        <w:t xml:space="preserve"> approved </w:t>
      </w:r>
      <w:r w:rsidR="00F7318B">
        <w:rPr>
          <w:rFonts w:asciiTheme="majorBidi" w:hAnsiTheme="majorBidi" w:cstheme="majorBidi"/>
          <w:b/>
          <w:sz w:val="28"/>
        </w:rPr>
        <w:t>on 12</w:t>
      </w:r>
      <w:r w:rsidRPr="00A95C35">
        <w:rPr>
          <w:rFonts w:asciiTheme="majorBidi" w:hAnsiTheme="majorBidi" w:cstheme="majorBidi"/>
          <w:b/>
          <w:sz w:val="28"/>
        </w:rPr>
        <w:t>/</w:t>
      </w:r>
      <w:r w:rsidR="00F7318B">
        <w:rPr>
          <w:rFonts w:asciiTheme="majorBidi" w:hAnsiTheme="majorBidi" w:cstheme="majorBidi"/>
          <w:b/>
          <w:sz w:val="28"/>
        </w:rPr>
        <w:t>15</w:t>
      </w:r>
      <w:r w:rsidRPr="00A95C35">
        <w:rPr>
          <w:rFonts w:asciiTheme="majorBidi" w:hAnsiTheme="majorBidi" w:cstheme="majorBidi"/>
          <w:b/>
          <w:sz w:val="28"/>
        </w:rPr>
        <w:t>/201</w:t>
      </w:r>
      <w:r w:rsidR="00F7318B">
        <w:rPr>
          <w:rFonts w:asciiTheme="majorBidi" w:hAnsiTheme="majorBidi" w:cstheme="majorBidi"/>
          <w:b/>
          <w:sz w:val="28"/>
        </w:rPr>
        <w:t>5</w:t>
      </w:r>
      <w:r w:rsidRPr="00A95C35">
        <w:rPr>
          <w:rFonts w:asciiTheme="majorBidi" w:hAnsiTheme="majorBidi" w:cstheme="majorBidi"/>
          <w:b/>
          <w:sz w:val="28"/>
        </w:rPr>
        <w:t>)</w:t>
      </w:r>
    </w:p>
    <w:p w14:paraId="03F4487B" w14:textId="77777777" w:rsidR="00344A28" w:rsidRPr="00A95C35" w:rsidRDefault="00344A28" w:rsidP="00D3014C">
      <w:pPr>
        <w:pStyle w:val="ListParagraph"/>
        <w:spacing w:line="23" w:lineRule="atLeast"/>
        <w:ind w:left="0"/>
        <w:rPr>
          <w:rFonts w:asciiTheme="majorBidi" w:hAnsiTheme="majorBidi" w:cstheme="majorBidi"/>
          <w:b/>
          <w:sz w:val="28"/>
          <w:szCs w:val="24"/>
        </w:rPr>
      </w:pPr>
    </w:p>
    <w:p w14:paraId="11D70A14" w14:textId="77777777" w:rsidR="00D3014C" w:rsidRPr="00A95C35" w:rsidRDefault="00D3014C" w:rsidP="00D3014C">
      <w:pPr>
        <w:pStyle w:val="bodytextpsg"/>
        <w:spacing w:after="120" w:line="23" w:lineRule="atLeast"/>
        <w:rPr>
          <w:rFonts w:asciiTheme="majorBidi" w:hAnsiTheme="majorBidi" w:cstheme="majorBidi"/>
          <w:b/>
          <w:bCs/>
          <w:i/>
        </w:rPr>
      </w:pPr>
      <w:r w:rsidRPr="00A95C35">
        <w:rPr>
          <w:rFonts w:asciiTheme="majorBidi" w:hAnsiTheme="majorBidi" w:cstheme="majorBidi"/>
          <w:b/>
          <w:bCs/>
          <w:i/>
        </w:rPr>
        <w:t>B.4.d</w:t>
      </w:r>
      <w:r w:rsidRPr="00A95C35">
        <w:rPr>
          <w:rFonts w:asciiTheme="majorBidi" w:hAnsiTheme="majorBidi" w:cstheme="majorBidi"/>
          <w:b/>
          <w:bCs/>
          <w:i/>
        </w:rPr>
        <w:tab/>
        <w:t>Main Study Plans</w:t>
      </w:r>
    </w:p>
    <w:p w14:paraId="01AA59B1" w14:textId="77777777" w:rsidR="00D3014C" w:rsidRPr="00A95C35" w:rsidRDefault="00D3014C" w:rsidP="00D3014C">
      <w:pPr>
        <w:pStyle w:val="bodytextpsg"/>
        <w:spacing w:after="120" w:line="23" w:lineRule="atLeast"/>
        <w:rPr>
          <w:rFonts w:asciiTheme="majorBidi" w:hAnsiTheme="majorBidi" w:cstheme="majorBidi"/>
        </w:rPr>
      </w:pPr>
      <w:r w:rsidRPr="00A95C35">
        <w:rPr>
          <w:rFonts w:asciiTheme="majorBidi" w:hAnsiTheme="majorBidi" w:cstheme="majorBidi"/>
        </w:rPr>
        <w:t>NCES and RTI are working closely together to design a data collection approach that makes use of evaluations from prior interventions that were used to improve sample representativeness by ensuring that the responding sample is as similar as possible to the total sample. In previous rounds of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and in other NCES studies (such as BPS:12/14, B&amp;B:08/12, and ELS:2002 third follow-up), responsive designs have been used to improve sample representativeness in key survey variables. The proposed main study data collection plan has been designed to maximize data quality through a responsive design approach in which variance between the responding sample and the overall sample is estimated at several points during data collection. An advantage of the proposed responsive design is that it allows us to determine, during data collection, how representative the responding sample is of the total sample, so that we can focus efforts and resources on bringing in the cases that are most needed to achieve balance in the responding sample.</w:t>
      </w:r>
    </w:p>
    <w:p w14:paraId="7F3F8628" w14:textId="77777777" w:rsidR="00D3014C" w:rsidRPr="00A95C35" w:rsidRDefault="00D3014C" w:rsidP="00736CA1">
      <w:pPr>
        <w:pStyle w:val="bodytextpsg"/>
        <w:spacing w:after="120" w:line="23" w:lineRule="atLeast"/>
        <w:rPr>
          <w:rFonts w:asciiTheme="majorBidi" w:hAnsiTheme="majorBidi" w:cstheme="majorBidi"/>
        </w:rPr>
      </w:pPr>
      <w:r w:rsidRPr="00A95C35">
        <w:rPr>
          <w:rFonts w:asciiTheme="majorBidi" w:hAnsiTheme="majorBidi" w:cstheme="majorBidi"/>
        </w:rPr>
        <w:t>Plans for the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second follow-up main study are based upon 1) results of incentive experiments and responsive design modeling simulations from the HSLS:09 second follow-up field test, 2) results from related longitudinal studies, and 3) prior experience with the HSLS:09 cohort. This section describes plans for responsive design in the main study data collection. In particular, there are three subgroups of interest that will be handled differently. This section describes the phases of data collection and how and when interventions will be implemented and evaluated. Finally, we discuss the development of the response likelihood and bias likelihood models that will be used to identify cases for targeted treatments.</w:t>
      </w:r>
    </w:p>
    <w:p w14:paraId="430AA8D7" w14:textId="77777777" w:rsidR="00D3014C" w:rsidRPr="00A95C35" w:rsidRDefault="00D3014C" w:rsidP="00D3014C">
      <w:pPr>
        <w:pStyle w:val="bodytextpsg"/>
        <w:spacing w:after="120" w:line="23" w:lineRule="atLeast"/>
        <w:rPr>
          <w:rFonts w:asciiTheme="majorBidi" w:hAnsiTheme="majorBidi" w:cstheme="majorBidi"/>
        </w:rPr>
      </w:pPr>
      <w:proofErr w:type="gramStart"/>
      <w:r w:rsidRPr="00A95C35">
        <w:rPr>
          <w:rStyle w:val="IntenseQuoteChar"/>
          <w:rFonts w:asciiTheme="majorBidi" w:hAnsiTheme="majorBidi" w:cstheme="majorBidi"/>
          <w:b/>
          <w:bCs/>
          <w:color w:val="auto"/>
        </w:rPr>
        <w:t>Sample subgroup classification</w:t>
      </w:r>
      <w:r w:rsidRPr="00A95C35">
        <w:rPr>
          <w:rFonts w:asciiTheme="majorBidi" w:hAnsiTheme="majorBidi" w:cstheme="majorBidi"/>
        </w:rPr>
        <w:t>.</w:t>
      </w:r>
      <w:proofErr w:type="gramEnd"/>
      <w:r w:rsidRPr="00A95C35">
        <w:rPr>
          <w:rFonts w:asciiTheme="majorBidi" w:hAnsiTheme="majorBidi" w:cstheme="majorBidi"/>
        </w:rPr>
        <w:t xml:space="preserve"> In the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second follow-up main study, there will be three subgroups of special interest.</w:t>
      </w:r>
    </w:p>
    <w:p w14:paraId="0AFC0C50" w14:textId="77777777" w:rsidR="00D3014C" w:rsidRPr="00A95C35" w:rsidRDefault="00D3014C" w:rsidP="00867CAE">
      <w:pPr>
        <w:pStyle w:val="bodytextpsg"/>
        <w:numPr>
          <w:ilvl w:val="0"/>
          <w:numId w:val="19"/>
        </w:numPr>
        <w:spacing w:after="120" w:line="23" w:lineRule="atLeast"/>
        <w:rPr>
          <w:rFonts w:asciiTheme="majorBidi" w:hAnsiTheme="majorBidi" w:cstheme="majorBidi"/>
        </w:rPr>
      </w:pPr>
      <w:r w:rsidRPr="00A95C35">
        <w:rPr>
          <w:rFonts w:asciiTheme="majorBidi" w:hAnsiTheme="majorBidi" w:cstheme="majorBidi"/>
        </w:rPr>
        <w:t>Subgroup 1 (high school late/alternative/non-completers) will be the subset of sample members who, as of the 2013 Update, had not completed high school, were still enrolled in high school, received an alternative credential, completed high school late, or experienced a dropout episode with unknown completion status.</w:t>
      </w:r>
    </w:p>
    <w:p w14:paraId="02710221" w14:textId="77777777" w:rsidR="00D3014C" w:rsidRPr="00A95C35" w:rsidRDefault="00D3014C" w:rsidP="00867CAE">
      <w:pPr>
        <w:pStyle w:val="bodytextpsg"/>
        <w:numPr>
          <w:ilvl w:val="0"/>
          <w:numId w:val="19"/>
        </w:numPr>
        <w:spacing w:after="120" w:line="23" w:lineRule="atLeast"/>
        <w:rPr>
          <w:rFonts w:asciiTheme="majorBidi" w:hAnsiTheme="majorBidi" w:cstheme="majorBidi"/>
        </w:rPr>
      </w:pPr>
      <w:r w:rsidRPr="00A95C35">
        <w:rPr>
          <w:rFonts w:asciiTheme="majorBidi" w:hAnsiTheme="majorBidi" w:cstheme="majorBidi"/>
        </w:rPr>
        <w:t>Subgroup 2 (ultra-cooperative respondents) includes sample members who participated in the base year, first follow-up, and 2013 Update without an incentive offer. These cases were also early web respondents in 2013 Update and, by definition, are high school completers.</w:t>
      </w:r>
    </w:p>
    <w:p w14:paraId="446B4DC8" w14:textId="77777777" w:rsidR="00D3014C" w:rsidRPr="00A95C35" w:rsidRDefault="00D3014C" w:rsidP="00867CAE">
      <w:pPr>
        <w:pStyle w:val="bodytextpsg"/>
        <w:numPr>
          <w:ilvl w:val="0"/>
          <w:numId w:val="19"/>
        </w:numPr>
        <w:spacing w:after="120" w:line="23" w:lineRule="atLeast"/>
        <w:rPr>
          <w:rFonts w:asciiTheme="majorBidi" w:hAnsiTheme="majorBidi" w:cstheme="majorBidi"/>
        </w:rPr>
      </w:pPr>
      <w:r w:rsidRPr="00A95C35">
        <w:rPr>
          <w:rFonts w:asciiTheme="majorBidi" w:hAnsiTheme="majorBidi" w:cstheme="majorBidi"/>
        </w:rPr>
        <w:t>Subgroup 3 (high school completers and unknown high school completion status) will include cases that, as of the 2013 Update, were known on-time or early regular diploma completers (and not identified as ultra-cooperative) and cases with unknown high school completion status who were not previously identified as ever having a dropout episode.</w:t>
      </w:r>
    </w:p>
    <w:p w14:paraId="6393C86C" w14:textId="77777777" w:rsidR="00D3014C" w:rsidRPr="00A95C35" w:rsidRDefault="00D3014C" w:rsidP="00D3014C">
      <w:pPr>
        <w:pStyle w:val="bodytextpsg"/>
        <w:spacing w:after="120" w:line="23" w:lineRule="atLeast"/>
        <w:rPr>
          <w:rFonts w:asciiTheme="majorBidi" w:hAnsiTheme="majorBidi" w:cstheme="majorBidi"/>
        </w:rPr>
      </w:pPr>
      <w:r w:rsidRPr="00A95C35">
        <w:rPr>
          <w:rStyle w:val="IntenseQuoteChar"/>
          <w:b/>
          <w:color w:val="auto"/>
        </w:rPr>
        <w:t>Calibration subsamples</w:t>
      </w:r>
      <w:r w:rsidRPr="00A95C35">
        <w:rPr>
          <w:rStyle w:val="IntenseQuoteChar"/>
          <w:b/>
          <w:bCs/>
          <w:color w:val="auto"/>
        </w:rPr>
        <w:t>.</w:t>
      </w:r>
      <w:r w:rsidRPr="00A95C35">
        <w:rPr>
          <w:rFonts w:asciiTheme="majorBidi" w:hAnsiTheme="majorBidi" w:cstheme="majorBidi"/>
        </w:rPr>
        <w:t xml:space="preserve"> To determine </w:t>
      </w:r>
      <w:r w:rsidRPr="00A95C35">
        <w:rPr>
          <w:rStyle w:val="IntenseQuoteChar"/>
          <w:rFonts w:asciiTheme="majorBidi" w:hAnsiTheme="majorBidi" w:cstheme="majorBidi"/>
          <w:bCs/>
          <w:color w:val="auto"/>
        </w:rPr>
        <w:t xml:space="preserve">optimal incentive amounts, </w:t>
      </w:r>
      <w:r w:rsidRPr="00A95C35">
        <w:rPr>
          <w:rFonts w:asciiTheme="majorBidi" w:hAnsiTheme="majorBidi" w:cstheme="majorBidi"/>
        </w:rPr>
        <w:t>a calibration subsample will be selected from each of the aforementioned subgroups to begin data collection ahead of the main sample. A similar approach was used successfully in BPS:12/14, where</w:t>
      </w:r>
      <w:r w:rsidRPr="00A95C35" w:rsidDel="00BB66DD">
        <w:rPr>
          <w:rFonts w:asciiTheme="majorBidi" w:hAnsiTheme="majorBidi" w:cstheme="majorBidi"/>
        </w:rPr>
        <w:t xml:space="preserve"> </w:t>
      </w:r>
      <w:r w:rsidRPr="00A95C35">
        <w:rPr>
          <w:rFonts w:asciiTheme="majorBidi" w:hAnsiTheme="majorBidi" w:cstheme="majorBidi"/>
        </w:rPr>
        <w:t>approximately 10 percent of that sample (3,700 cases) was selected and fielded seven weeks prior to the rest of the BPS:12/14 sample. The experimental subsample was treated in advance of the remaining cases, and after analyzing the results for the experimental sample and consultation with OMB, the successful treatment was implemented with the remaining sample. In the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second follow-up main study, a similar approach is proposed with the HSLS:09 calibration subsamples fielded six weeks prior to the rest of the HSLS:09 sample. Exhibit B-7 shows the estimated size of each subgroup, the percentage of cases to be selected for the calibration subsample, and the estimated number of cases in the calibration sample.</w:t>
      </w:r>
    </w:p>
    <w:p w14:paraId="377CD51D" w14:textId="77777777" w:rsidR="00D3014C" w:rsidRPr="00A95C35" w:rsidRDefault="00D3014C" w:rsidP="00D3014C">
      <w:pPr>
        <w:pStyle w:val="ExhibitTitle"/>
        <w:spacing w:line="23" w:lineRule="atLeast"/>
      </w:pPr>
      <w:bookmarkStart w:id="1" w:name="_Toc430965867"/>
      <w:bookmarkStart w:id="2" w:name="_Toc433779238"/>
      <w:proofErr w:type="gramStart"/>
      <w:r w:rsidRPr="00A95C35">
        <w:lastRenderedPageBreak/>
        <w:t>Exhibit B-7.</w:t>
      </w:r>
      <w:proofErr w:type="gramEnd"/>
      <w:r w:rsidRPr="00A95C35">
        <w:t xml:space="preserve"> Calibration Sample Sizes</w:t>
      </w:r>
      <w:bookmarkEnd w:id="1"/>
      <w:r w:rsidRPr="00A95C35">
        <w:t>, by Subgroup</w:t>
      </w:r>
      <w:bookmarkEnd w:id="2"/>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175"/>
        <w:gridCol w:w="5614"/>
        <w:gridCol w:w="1237"/>
        <w:gridCol w:w="1290"/>
        <w:gridCol w:w="1290"/>
      </w:tblGrid>
      <w:tr w:rsidR="00F11A5F" w:rsidRPr="00A95C35" w14:paraId="4BBBCD65" w14:textId="77777777" w:rsidTr="00C55CAB">
        <w:trPr>
          <w:trHeight w:val="144"/>
        </w:trPr>
        <w:tc>
          <w:tcPr>
            <w:tcW w:w="450" w:type="pct"/>
            <w:shd w:val="clear" w:color="auto" w:fill="D9D9D9" w:themeFill="background1" w:themeFillShade="D9"/>
            <w:tcMar>
              <w:top w:w="0" w:type="dxa"/>
              <w:left w:w="115" w:type="dxa"/>
              <w:bottom w:w="0" w:type="dxa"/>
              <w:right w:w="115" w:type="dxa"/>
            </w:tcMar>
            <w:vAlign w:val="center"/>
            <w:hideMark/>
          </w:tcPr>
          <w:p w14:paraId="4B08995E" w14:textId="77777777" w:rsidR="00D3014C" w:rsidRPr="00A95C35" w:rsidRDefault="00D3014C" w:rsidP="00C55CAB">
            <w:pPr>
              <w:pStyle w:val="Tabletext"/>
              <w:spacing w:before="0" w:after="0" w:line="23" w:lineRule="atLeast"/>
              <w:ind w:left="0" w:firstLine="0"/>
              <w:rPr>
                <w:rFonts w:cs="Arial"/>
                <w:b/>
                <w:bCs/>
              </w:rPr>
            </w:pPr>
            <w:r w:rsidRPr="00A95C35">
              <w:rPr>
                <w:rFonts w:cs="Arial"/>
                <w:b/>
                <w:bCs/>
              </w:rPr>
              <w:t>Subgroup Number</w:t>
            </w:r>
          </w:p>
        </w:tc>
        <w:tc>
          <w:tcPr>
            <w:tcW w:w="2673" w:type="pct"/>
            <w:shd w:val="clear" w:color="auto" w:fill="D9D9D9" w:themeFill="background1" w:themeFillShade="D9"/>
            <w:tcMar>
              <w:top w:w="0" w:type="dxa"/>
              <w:left w:w="115" w:type="dxa"/>
              <w:bottom w:w="0" w:type="dxa"/>
              <w:right w:w="115" w:type="dxa"/>
            </w:tcMar>
            <w:vAlign w:val="center"/>
            <w:hideMark/>
          </w:tcPr>
          <w:p w14:paraId="23F09134"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Subgroup Description</w:t>
            </w:r>
          </w:p>
        </w:tc>
        <w:tc>
          <w:tcPr>
            <w:tcW w:w="609" w:type="pct"/>
            <w:shd w:val="clear" w:color="auto" w:fill="D9D9D9" w:themeFill="background1" w:themeFillShade="D9"/>
            <w:tcMar>
              <w:top w:w="0" w:type="dxa"/>
              <w:left w:w="115" w:type="dxa"/>
              <w:bottom w:w="0" w:type="dxa"/>
              <w:right w:w="115" w:type="dxa"/>
            </w:tcMar>
            <w:vAlign w:val="center"/>
            <w:hideMark/>
          </w:tcPr>
          <w:p w14:paraId="5EFF3A80"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b/>
                <w:bCs/>
                <w:sz w:val="20"/>
                <w:szCs w:val="20"/>
              </w:rPr>
              <w:t>Main Sample</w:t>
            </w:r>
          </w:p>
        </w:tc>
        <w:tc>
          <w:tcPr>
            <w:tcW w:w="634" w:type="pct"/>
            <w:shd w:val="clear" w:color="auto" w:fill="D9D9D9" w:themeFill="background1" w:themeFillShade="D9"/>
            <w:tcMar>
              <w:top w:w="0" w:type="dxa"/>
              <w:left w:w="115" w:type="dxa"/>
              <w:bottom w:w="0" w:type="dxa"/>
              <w:right w:w="115" w:type="dxa"/>
            </w:tcMar>
            <w:vAlign w:val="center"/>
            <w:hideMark/>
          </w:tcPr>
          <w:p w14:paraId="00742CB3"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b/>
                <w:bCs/>
                <w:sz w:val="20"/>
                <w:szCs w:val="20"/>
              </w:rPr>
              <w:t>Calibration Sample</w:t>
            </w:r>
          </w:p>
        </w:tc>
        <w:tc>
          <w:tcPr>
            <w:tcW w:w="634" w:type="pct"/>
            <w:shd w:val="clear" w:color="auto" w:fill="D9D9D9" w:themeFill="background1" w:themeFillShade="D9"/>
            <w:tcMar>
              <w:top w:w="0" w:type="dxa"/>
              <w:left w:w="115" w:type="dxa"/>
              <w:bottom w:w="0" w:type="dxa"/>
              <w:right w:w="115" w:type="dxa"/>
            </w:tcMar>
            <w:vAlign w:val="center"/>
            <w:hideMark/>
          </w:tcPr>
          <w:p w14:paraId="03E38D99"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b/>
                <w:bCs/>
                <w:sz w:val="20"/>
                <w:szCs w:val="20"/>
              </w:rPr>
              <w:t>Calibration Percent</w:t>
            </w:r>
          </w:p>
        </w:tc>
      </w:tr>
      <w:tr w:rsidR="00F11A5F" w:rsidRPr="00A95C35" w14:paraId="1F78ECC3" w14:textId="77777777" w:rsidTr="00C55CAB">
        <w:trPr>
          <w:trHeight w:val="144"/>
        </w:trPr>
        <w:tc>
          <w:tcPr>
            <w:tcW w:w="450" w:type="pct"/>
            <w:shd w:val="clear" w:color="auto" w:fill="FFFFFF" w:themeFill="background1"/>
            <w:tcMar>
              <w:top w:w="0" w:type="dxa"/>
              <w:left w:w="115" w:type="dxa"/>
              <w:bottom w:w="0" w:type="dxa"/>
              <w:right w:w="115" w:type="dxa"/>
            </w:tcMar>
            <w:hideMark/>
          </w:tcPr>
          <w:p w14:paraId="7EC38478"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sz w:val="20"/>
                <w:szCs w:val="20"/>
              </w:rPr>
              <w:t>1</w:t>
            </w:r>
          </w:p>
        </w:tc>
        <w:tc>
          <w:tcPr>
            <w:tcW w:w="2673" w:type="pct"/>
            <w:shd w:val="clear" w:color="auto" w:fill="FFFFFF" w:themeFill="background1"/>
            <w:tcMar>
              <w:top w:w="0" w:type="dxa"/>
              <w:left w:w="115" w:type="dxa"/>
              <w:bottom w:w="0" w:type="dxa"/>
              <w:right w:w="115" w:type="dxa"/>
            </w:tcMar>
            <w:hideMark/>
          </w:tcPr>
          <w:p w14:paraId="2DBDFC4F"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High School Late/Alternative/ Non-Completers</w:t>
            </w:r>
          </w:p>
          <w:p w14:paraId="6C854155"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i/>
                <w:iCs/>
                <w:sz w:val="20"/>
                <w:szCs w:val="20"/>
              </w:rPr>
              <w:t>Non-completers, late completers, still enrolled, and alternative credential as of the 2013 Update as well as ever dropouts with no completion status,</w:t>
            </w:r>
          </w:p>
        </w:tc>
        <w:tc>
          <w:tcPr>
            <w:tcW w:w="609" w:type="pct"/>
            <w:shd w:val="clear" w:color="auto" w:fill="FFFFFF" w:themeFill="background1"/>
            <w:tcMar>
              <w:top w:w="0" w:type="dxa"/>
              <w:left w:w="115" w:type="dxa"/>
              <w:bottom w:w="0" w:type="dxa"/>
              <w:right w:w="115" w:type="dxa"/>
            </w:tcMar>
            <w:hideMark/>
          </w:tcPr>
          <w:p w14:paraId="4F284387"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2,545</w:t>
            </w:r>
          </w:p>
        </w:tc>
        <w:tc>
          <w:tcPr>
            <w:tcW w:w="634" w:type="pct"/>
            <w:shd w:val="clear" w:color="auto" w:fill="FFFFFF" w:themeFill="background1"/>
            <w:tcMar>
              <w:top w:w="0" w:type="dxa"/>
              <w:left w:w="115" w:type="dxa"/>
              <w:bottom w:w="0" w:type="dxa"/>
              <w:right w:w="115" w:type="dxa"/>
            </w:tcMar>
            <w:hideMark/>
          </w:tcPr>
          <w:p w14:paraId="56B37060"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509</w:t>
            </w:r>
          </w:p>
        </w:tc>
        <w:tc>
          <w:tcPr>
            <w:tcW w:w="634" w:type="pct"/>
            <w:shd w:val="clear" w:color="auto" w:fill="FFFFFF" w:themeFill="background1"/>
            <w:tcMar>
              <w:top w:w="0" w:type="dxa"/>
              <w:left w:w="115" w:type="dxa"/>
              <w:bottom w:w="0" w:type="dxa"/>
              <w:right w:w="115" w:type="dxa"/>
            </w:tcMar>
            <w:hideMark/>
          </w:tcPr>
          <w:p w14:paraId="3CEB0704"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20%</w:t>
            </w:r>
          </w:p>
        </w:tc>
      </w:tr>
      <w:tr w:rsidR="00F11A5F" w:rsidRPr="00A95C35" w14:paraId="5822F5EB" w14:textId="77777777" w:rsidTr="00C55CAB">
        <w:trPr>
          <w:trHeight w:val="144"/>
        </w:trPr>
        <w:tc>
          <w:tcPr>
            <w:tcW w:w="450" w:type="pct"/>
            <w:shd w:val="clear" w:color="auto" w:fill="FFFFFF" w:themeFill="background1"/>
            <w:tcMar>
              <w:top w:w="0" w:type="dxa"/>
              <w:left w:w="115" w:type="dxa"/>
              <w:bottom w:w="0" w:type="dxa"/>
              <w:right w:w="115" w:type="dxa"/>
            </w:tcMar>
            <w:hideMark/>
          </w:tcPr>
          <w:p w14:paraId="7D1FB32D"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sz w:val="20"/>
                <w:szCs w:val="20"/>
              </w:rPr>
              <w:t>2</w:t>
            </w:r>
          </w:p>
        </w:tc>
        <w:tc>
          <w:tcPr>
            <w:tcW w:w="2673" w:type="pct"/>
            <w:shd w:val="clear" w:color="auto" w:fill="FFFFFF" w:themeFill="background1"/>
            <w:tcMar>
              <w:top w:w="0" w:type="dxa"/>
              <w:left w:w="115" w:type="dxa"/>
              <w:bottom w:w="0" w:type="dxa"/>
              <w:right w:w="115" w:type="dxa"/>
            </w:tcMar>
            <w:hideMark/>
          </w:tcPr>
          <w:p w14:paraId="4429CA58"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Ultra-Cooperative Respondents</w:t>
            </w:r>
          </w:p>
          <w:p w14:paraId="12447BB2"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i/>
                <w:iCs/>
                <w:sz w:val="20"/>
                <w:szCs w:val="20"/>
              </w:rPr>
              <w:t>High school completers who participated in base year and the first follow-up, and completed the 2013 Update in early web period, with no incentive</w:t>
            </w:r>
          </w:p>
        </w:tc>
        <w:tc>
          <w:tcPr>
            <w:tcW w:w="609" w:type="pct"/>
            <w:shd w:val="clear" w:color="auto" w:fill="FFFFFF" w:themeFill="background1"/>
            <w:tcMar>
              <w:top w:w="0" w:type="dxa"/>
              <w:left w:w="115" w:type="dxa"/>
              <w:bottom w:w="0" w:type="dxa"/>
              <w:right w:w="115" w:type="dxa"/>
            </w:tcMar>
            <w:hideMark/>
          </w:tcPr>
          <w:p w14:paraId="684A1A74"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1,027</w:t>
            </w:r>
          </w:p>
        </w:tc>
        <w:tc>
          <w:tcPr>
            <w:tcW w:w="634" w:type="pct"/>
            <w:shd w:val="clear" w:color="auto" w:fill="FFFFFF" w:themeFill="background1"/>
            <w:tcMar>
              <w:top w:w="0" w:type="dxa"/>
              <w:left w:w="115" w:type="dxa"/>
              <w:bottom w:w="0" w:type="dxa"/>
              <w:right w:w="115" w:type="dxa"/>
            </w:tcMar>
            <w:hideMark/>
          </w:tcPr>
          <w:p w14:paraId="7DE5B638"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154</w:t>
            </w:r>
          </w:p>
        </w:tc>
        <w:tc>
          <w:tcPr>
            <w:tcW w:w="634" w:type="pct"/>
            <w:shd w:val="clear" w:color="auto" w:fill="FFFFFF" w:themeFill="background1"/>
            <w:tcMar>
              <w:top w:w="0" w:type="dxa"/>
              <w:left w:w="115" w:type="dxa"/>
              <w:bottom w:w="0" w:type="dxa"/>
              <w:right w:w="115" w:type="dxa"/>
            </w:tcMar>
            <w:hideMark/>
          </w:tcPr>
          <w:p w14:paraId="708C79A0"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 xml:space="preserve">15% </w:t>
            </w:r>
          </w:p>
        </w:tc>
      </w:tr>
      <w:tr w:rsidR="00F11A5F" w:rsidRPr="00A95C35" w14:paraId="466D3CE3" w14:textId="77777777" w:rsidTr="00C55CAB">
        <w:trPr>
          <w:trHeight w:val="144"/>
        </w:trPr>
        <w:tc>
          <w:tcPr>
            <w:tcW w:w="450" w:type="pct"/>
            <w:shd w:val="clear" w:color="auto" w:fill="FFFFFF" w:themeFill="background1"/>
            <w:tcMar>
              <w:top w:w="0" w:type="dxa"/>
              <w:left w:w="115" w:type="dxa"/>
              <w:bottom w:w="0" w:type="dxa"/>
              <w:right w:w="115" w:type="dxa"/>
            </w:tcMar>
            <w:hideMark/>
          </w:tcPr>
          <w:p w14:paraId="50412FE2"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sz w:val="20"/>
                <w:szCs w:val="20"/>
              </w:rPr>
              <w:t>3</w:t>
            </w:r>
          </w:p>
        </w:tc>
        <w:tc>
          <w:tcPr>
            <w:tcW w:w="2673" w:type="pct"/>
            <w:shd w:val="clear" w:color="auto" w:fill="FFFFFF" w:themeFill="background1"/>
            <w:tcMar>
              <w:top w:w="0" w:type="dxa"/>
              <w:left w:w="115" w:type="dxa"/>
              <w:bottom w:w="0" w:type="dxa"/>
              <w:right w:w="115" w:type="dxa"/>
            </w:tcMar>
            <w:hideMark/>
          </w:tcPr>
          <w:p w14:paraId="6FD6C013"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b/>
                <w:bCs/>
                <w:sz w:val="20"/>
                <w:szCs w:val="20"/>
              </w:rPr>
              <w:t xml:space="preserve">All Other High School </w:t>
            </w:r>
            <w:r w:rsidRPr="00A95C35">
              <w:rPr>
                <w:rFonts w:ascii="Arial" w:hAnsi="Arial" w:cs="Arial"/>
                <w:b/>
                <w:sz w:val="20"/>
                <w:szCs w:val="20"/>
              </w:rPr>
              <w:t>Completers and Unknown Cases</w:t>
            </w:r>
          </w:p>
          <w:p w14:paraId="1C9383FA" w14:textId="77777777" w:rsidR="00D3014C" w:rsidRPr="00A95C35" w:rsidRDefault="00D3014C" w:rsidP="00C55CAB">
            <w:pPr>
              <w:pStyle w:val="bodytextpsg"/>
              <w:spacing w:after="0" w:line="23" w:lineRule="atLeast"/>
              <w:rPr>
                <w:rFonts w:ascii="Arial" w:hAnsi="Arial" w:cs="Arial"/>
                <w:sz w:val="20"/>
                <w:szCs w:val="20"/>
              </w:rPr>
            </w:pPr>
            <w:r w:rsidRPr="00A95C35">
              <w:rPr>
                <w:rFonts w:ascii="Arial" w:hAnsi="Arial" w:cs="Arial"/>
                <w:i/>
                <w:iCs/>
                <w:sz w:val="20"/>
                <w:szCs w:val="20"/>
              </w:rPr>
              <w:t>HS Diploma completed early/on-time unknown or unknown completion status with no known dropout episode</w:t>
            </w:r>
          </w:p>
        </w:tc>
        <w:tc>
          <w:tcPr>
            <w:tcW w:w="609" w:type="pct"/>
            <w:shd w:val="clear" w:color="auto" w:fill="FFFFFF" w:themeFill="background1"/>
            <w:tcMar>
              <w:top w:w="0" w:type="dxa"/>
              <w:left w:w="115" w:type="dxa"/>
              <w:bottom w:w="0" w:type="dxa"/>
              <w:right w:w="115" w:type="dxa"/>
            </w:tcMar>
            <w:hideMark/>
          </w:tcPr>
          <w:p w14:paraId="623AD706"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19,747</w:t>
            </w:r>
          </w:p>
        </w:tc>
        <w:tc>
          <w:tcPr>
            <w:tcW w:w="634" w:type="pct"/>
            <w:shd w:val="clear" w:color="auto" w:fill="FFFFFF" w:themeFill="background1"/>
            <w:tcMar>
              <w:top w:w="0" w:type="dxa"/>
              <w:left w:w="115" w:type="dxa"/>
              <w:bottom w:w="0" w:type="dxa"/>
              <w:right w:w="115" w:type="dxa"/>
            </w:tcMar>
            <w:hideMark/>
          </w:tcPr>
          <w:p w14:paraId="0657ECC8"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1,975</w:t>
            </w:r>
          </w:p>
        </w:tc>
        <w:tc>
          <w:tcPr>
            <w:tcW w:w="634" w:type="pct"/>
            <w:shd w:val="clear" w:color="auto" w:fill="FFFFFF" w:themeFill="background1"/>
            <w:tcMar>
              <w:top w:w="0" w:type="dxa"/>
              <w:left w:w="115" w:type="dxa"/>
              <w:bottom w:w="0" w:type="dxa"/>
              <w:right w:w="115" w:type="dxa"/>
            </w:tcMar>
            <w:hideMark/>
          </w:tcPr>
          <w:p w14:paraId="762361D6" w14:textId="77777777" w:rsidR="00D3014C" w:rsidRPr="00A95C35" w:rsidRDefault="00D3014C" w:rsidP="00C55CAB">
            <w:pPr>
              <w:pStyle w:val="bodytextpsg"/>
              <w:spacing w:after="0" w:line="23" w:lineRule="atLeast"/>
              <w:jc w:val="right"/>
              <w:rPr>
                <w:rFonts w:ascii="Arial" w:hAnsi="Arial" w:cs="Arial"/>
                <w:sz w:val="20"/>
                <w:szCs w:val="20"/>
              </w:rPr>
            </w:pPr>
            <w:r w:rsidRPr="00A95C35">
              <w:rPr>
                <w:rFonts w:ascii="Arial" w:hAnsi="Arial" w:cs="Arial"/>
                <w:sz w:val="20"/>
                <w:szCs w:val="20"/>
              </w:rPr>
              <w:t>10%</w:t>
            </w:r>
          </w:p>
        </w:tc>
      </w:tr>
    </w:tbl>
    <w:p w14:paraId="67C5AAE7" w14:textId="77777777" w:rsidR="00D3014C" w:rsidRPr="00A95C35" w:rsidRDefault="00D3014C" w:rsidP="00D3014C">
      <w:pPr>
        <w:pStyle w:val="bodytextpsg"/>
        <w:spacing w:after="120" w:line="23" w:lineRule="atLeast"/>
        <w:rPr>
          <w:rFonts w:asciiTheme="majorBidi" w:hAnsiTheme="majorBidi" w:cstheme="majorBidi"/>
        </w:rPr>
      </w:pPr>
    </w:p>
    <w:p w14:paraId="253A42FA" w14:textId="77777777" w:rsidR="00D3014C" w:rsidRPr="00A95C35" w:rsidRDefault="00D3014C" w:rsidP="00D3014C">
      <w:pPr>
        <w:pStyle w:val="bodytextpsg"/>
        <w:spacing w:after="120" w:line="23" w:lineRule="atLeast"/>
        <w:rPr>
          <w:rFonts w:asciiTheme="majorBidi" w:hAnsiTheme="majorBidi" w:cstheme="majorBidi"/>
        </w:rPr>
      </w:pPr>
      <w:r w:rsidRPr="00A95C35">
        <w:rPr>
          <w:rStyle w:val="IntenseEmphasis"/>
          <w:rFonts w:asciiTheme="majorBidi" w:hAnsiTheme="majorBidi" w:cstheme="majorBidi"/>
          <w:b/>
          <w:bCs/>
          <w:color w:val="auto"/>
        </w:rPr>
        <w:t>Data collection phases, treatments, and evaluations.</w:t>
      </w:r>
      <w:r w:rsidRPr="00A95C35">
        <w:rPr>
          <w:rFonts w:asciiTheme="majorBidi" w:hAnsiTheme="majorBidi" w:cstheme="majorBidi"/>
        </w:rPr>
        <w:t xml:space="preserve"> For the second follow-up main study, the data collection plan includes a phased responsive design strategy specifically aimed at improving sample representativeness in the final survey participants. Exhibit B-8 presents the schedule for the planned phases of data collection for both the calibration samples and the main samples. Exhibit B-9 summarizes the baseline and boost incentives to be tested for each subgroup.</w:t>
      </w:r>
      <w:r w:rsidRPr="00A95C35" w:rsidDel="00D15542">
        <w:rPr>
          <w:rFonts w:asciiTheme="majorBidi" w:hAnsiTheme="majorBidi" w:cstheme="majorBidi"/>
        </w:rPr>
        <w:t xml:space="preserve"> </w:t>
      </w:r>
      <w:r w:rsidRPr="00A95C35">
        <w:rPr>
          <w:rFonts w:asciiTheme="majorBidi" w:hAnsiTheme="majorBidi" w:cstheme="majorBidi"/>
        </w:rPr>
        <w:t>The phases will proceed as follows:</w:t>
      </w:r>
    </w:p>
    <w:p w14:paraId="4728293E" w14:textId="77777777" w:rsidR="00D3014C" w:rsidRPr="00A95C35" w:rsidRDefault="00D3014C" w:rsidP="00C2639F">
      <w:pPr>
        <w:pStyle w:val="bodytextpsg"/>
        <w:spacing w:after="120" w:line="23" w:lineRule="atLeast"/>
        <w:rPr>
          <w:rStyle w:val="IntenseQuoteChar"/>
          <w:rFonts w:asciiTheme="majorBidi" w:hAnsiTheme="majorBidi" w:cstheme="majorBidi"/>
          <w:bCs/>
          <w:i w:val="0"/>
          <w:iCs w:val="0"/>
          <w:color w:val="auto"/>
        </w:rPr>
      </w:pPr>
      <w:proofErr w:type="gramStart"/>
      <w:r w:rsidRPr="00A95C35">
        <w:rPr>
          <w:rStyle w:val="IntenseQuoteChar"/>
          <w:rFonts w:asciiTheme="majorBidi" w:hAnsiTheme="majorBidi" w:cstheme="majorBidi"/>
          <w:b/>
          <w:bCs/>
          <w:color w:val="auto"/>
        </w:rPr>
        <w:t>Baseline incentive (phase 1).</w:t>
      </w:r>
      <w:proofErr w:type="gramEnd"/>
      <w:r w:rsidRPr="00A95C35">
        <w:rPr>
          <w:rStyle w:val="IntenseQuoteChar"/>
          <w:rFonts w:asciiTheme="majorBidi" w:hAnsiTheme="majorBidi" w:cstheme="majorBidi"/>
          <w:bCs/>
          <w:color w:val="auto"/>
        </w:rPr>
        <w:t xml:space="preserve"> </w:t>
      </w:r>
      <w:r w:rsidRPr="00A95C35">
        <w:t xml:space="preserve">During this beginning phase of data collection, the survey will be open exclusively for self-administered interviews via the web. Web response will remain open throughout the entire data collection. </w:t>
      </w:r>
      <w:r w:rsidRPr="00A95C35">
        <w:rPr>
          <w:rStyle w:val="IntenseQuoteChar"/>
          <w:rFonts w:asciiTheme="majorBidi" w:hAnsiTheme="majorBidi" w:cstheme="majorBidi"/>
          <w:bCs/>
          <w:color w:val="auto"/>
        </w:rPr>
        <w:t>As described above, the calibration samples will allow for testing of incentive amounts on a subset of cases, and the results will inform the implementation plan for the main samples. Prior to the start of the main sample data collection for phase 1, calibration sample response rates will be evaluated. An ANOVA-based model will be used to perform pairwise contrasts between the different incentive amounts offered to the treatment and control groups in each phase. NCES and OMB will meet to review the results of the calibration experiment and determine the optimal incentive amount for each of the subgroups.</w:t>
      </w:r>
    </w:p>
    <w:p w14:paraId="6AC300BE" w14:textId="77777777" w:rsidR="00D3014C" w:rsidRPr="00A95C35" w:rsidRDefault="00D3014C" w:rsidP="00D3014C">
      <w:pPr>
        <w:pStyle w:val="bodytextpsg"/>
        <w:numPr>
          <w:ilvl w:val="0"/>
          <w:numId w:val="15"/>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Subgroup 1 (high school late/alternative/non-completers) will be offered 3 different baseline incentive amounts ($30, $40, or $50). The optimal amount (to be determined in consultation with OMB) will be offered to all cases in the subgroup 1 main sample.</w:t>
      </w:r>
    </w:p>
    <w:p w14:paraId="56007554" w14:textId="77777777" w:rsidR="00D3014C" w:rsidRPr="00A95C35" w:rsidRDefault="00D3014C" w:rsidP="00D3014C">
      <w:pPr>
        <w:pStyle w:val="bodytextpsg"/>
        <w:numPr>
          <w:ilvl w:val="0"/>
          <w:numId w:val="15"/>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Subgroup 2 (ultra-cooperative respondents) will not be offered a baseline incentive. The subgroup 2 calibration sample response rate will be evaluated against early response rates for other cohorts (such as BPS</w:t>
      </w:r>
      <w:proofErr w:type="gramStart"/>
      <w:r w:rsidRPr="00A95C35">
        <w:rPr>
          <w:rStyle w:val="IntenseQuoteChar"/>
          <w:rFonts w:asciiTheme="majorBidi" w:hAnsiTheme="majorBidi" w:cstheme="majorBidi"/>
          <w:bCs/>
          <w:color w:val="auto"/>
        </w:rPr>
        <w:t>:12</w:t>
      </w:r>
      <w:proofErr w:type="gramEnd"/>
      <w:r w:rsidRPr="00A95C35">
        <w:rPr>
          <w:rStyle w:val="IntenseQuoteChar"/>
          <w:rFonts w:asciiTheme="majorBidi" w:hAnsiTheme="majorBidi" w:cstheme="majorBidi"/>
          <w:bCs/>
          <w:color w:val="auto"/>
        </w:rPr>
        <w:t>/14 and ELS:2002 third follow-up) to estimate a “successful” response benchmark for HSLS:09. If it is determined that the subgroup 2 calibration sample response rate is not successful, we will discuss with OMB the possibility of offering a baseline incentive (amount to be determined in consultation with OMB) to the subgroup 2 main sample.</w:t>
      </w:r>
    </w:p>
    <w:p w14:paraId="6AA1FE77" w14:textId="77777777" w:rsidR="00D3014C" w:rsidRPr="00A95C35" w:rsidRDefault="00D3014C" w:rsidP="00D3014C">
      <w:pPr>
        <w:pStyle w:val="bodytextpsg"/>
        <w:numPr>
          <w:ilvl w:val="0"/>
          <w:numId w:val="15"/>
        </w:numPr>
        <w:spacing w:after="120" w:line="23" w:lineRule="atLeast"/>
        <w:ind w:left="450"/>
        <w:rPr>
          <w:rStyle w:val="IntenseQuoteChar"/>
          <w:i w:val="0"/>
          <w:iCs w:val="0"/>
          <w:color w:val="auto"/>
        </w:rPr>
      </w:pPr>
      <w:r w:rsidRPr="00A95C35">
        <w:rPr>
          <w:rStyle w:val="IntenseQuoteChar"/>
          <w:rFonts w:asciiTheme="majorBidi" w:hAnsiTheme="majorBidi" w:cstheme="majorBidi"/>
          <w:bCs/>
          <w:color w:val="auto"/>
        </w:rPr>
        <w:t>Subgroup 3 (high school completers and unknowns) will be offered 6 different incentive amounts, ranging from $15 to $40 ($15, $20, $25, $30, $35, or $40). The $15 starting point for this baseline incentive calibration experiment is based on the results of the HSLS</w:t>
      </w:r>
      <w:proofErr w:type="gramStart"/>
      <w:r w:rsidRPr="00A95C35">
        <w:rPr>
          <w:rStyle w:val="IntenseQuoteChar"/>
          <w:rFonts w:asciiTheme="majorBidi" w:hAnsiTheme="majorBidi" w:cstheme="majorBidi"/>
          <w:bCs/>
          <w:color w:val="auto"/>
        </w:rPr>
        <w:t>:09</w:t>
      </w:r>
      <w:proofErr w:type="gramEnd"/>
      <w:r w:rsidRPr="00A95C35">
        <w:rPr>
          <w:rStyle w:val="IntenseQuoteChar"/>
          <w:rFonts w:asciiTheme="majorBidi" w:hAnsiTheme="majorBidi" w:cstheme="majorBidi"/>
          <w:bCs/>
          <w:color w:val="auto"/>
        </w:rPr>
        <w:t xml:space="preserve"> second follow-up field test experiment. The optimal amount (to be determined in consultation with OMB) will be offered to all cases in the subgroup 3 main sample.</w:t>
      </w:r>
    </w:p>
    <w:p w14:paraId="6D3A38C3" w14:textId="77777777" w:rsidR="00AE4148" w:rsidRPr="00A95C35" w:rsidRDefault="00AE4148" w:rsidP="0006440F">
      <w:pPr>
        <w:pStyle w:val="bodytextpsg"/>
        <w:spacing w:after="120" w:line="23" w:lineRule="atLeast"/>
        <w:rPr>
          <w:rStyle w:val="IntenseQuoteChar"/>
          <w:rFonts w:asciiTheme="majorBidi" w:hAnsiTheme="majorBidi" w:cstheme="majorBidi"/>
          <w:bCs/>
          <w:color w:val="auto"/>
        </w:rPr>
      </w:pPr>
    </w:p>
    <w:p w14:paraId="796713A3" w14:textId="77777777" w:rsidR="00AE4148" w:rsidRPr="00A95C35" w:rsidRDefault="00AE4148" w:rsidP="0006440F">
      <w:pPr>
        <w:pStyle w:val="bodytextpsg"/>
        <w:spacing w:after="120" w:line="23" w:lineRule="atLeast"/>
      </w:pPr>
    </w:p>
    <w:p w14:paraId="63AC0B19" w14:textId="77777777" w:rsidR="00D3014C" w:rsidRPr="00A95C35" w:rsidRDefault="00D3014C" w:rsidP="00D3014C">
      <w:pPr>
        <w:pStyle w:val="ExhibitTitle"/>
        <w:spacing w:line="23" w:lineRule="atLeast"/>
      </w:pPr>
      <w:bookmarkStart w:id="3" w:name="_Toc433779239"/>
      <w:bookmarkStart w:id="4" w:name="_Toc430965868"/>
      <w:proofErr w:type="gramStart"/>
      <w:r w:rsidRPr="00A95C35">
        <w:lastRenderedPageBreak/>
        <w:t>Exhibit B-8.</w:t>
      </w:r>
      <w:proofErr w:type="gramEnd"/>
      <w:r w:rsidRPr="00A95C35">
        <w:t xml:space="preserve"> </w:t>
      </w:r>
      <w:proofErr w:type="gramStart"/>
      <w:r w:rsidRPr="00A95C35">
        <w:t>Data Collection Schedule and Phases.</w:t>
      </w:r>
      <w:bookmarkEnd w:id="3"/>
      <w:bookmarkEnd w:id="4"/>
      <w:proofErr w:type="gramEnd"/>
    </w:p>
    <w:p w14:paraId="6311DDDC" w14:textId="77777777" w:rsidR="00D3014C" w:rsidRPr="00A95C35" w:rsidRDefault="00D3014C" w:rsidP="00D3014C">
      <w:pPr>
        <w:spacing w:line="23" w:lineRule="atLeast"/>
      </w:pPr>
      <w:r w:rsidRPr="00A95C35">
        <w:rPr>
          <w:rFonts w:asciiTheme="majorBidi" w:hAnsiTheme="majorBidi" w:cstheme="majorBidi"/>
          <w:b/>
          <w:noProof/>
        </w:rPr>
        <w:drawing>
          <wp:inline distT="0" distB="0" distL="0" distR="0" wp14:anchorId="344F6236" wp14:editId="64778E74">
            <wp:extent cx="6185139" cy="244990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793091" w14:textId="66557D2D" w:rsidR="00D3014C" w:rsidRPr="00A95C35" w:rsidRDefault="00C2639F" w:rsidP="00D3014C">
      <w:pPr>
        <w:pStyle w:val="bodytextpsg"/>
        <w:spacing w:after="120" w:line="23" w:lineRule="atLeast"/>
        <w:rPr>
          <w:rFonts w:asciiTheme="majorBidi" w:hAnsiTheme="majorBidi" w:cstheme="majorBidi"/>
          <w:iCs/>
        </w:rPr>
      </w:pPr>
      <w:r w:rsidRPr="00A95C35">
        <w:rPr>
          <w:rFonts w:asciiTheme="majorBidi" w:hAnsiTheme="majorBidi" w:cstheme="majorBidi"/>
          <w:b/>
          <w:i/>
          <w:iCs/>
        </w:rPr>
        <w:br/>
      </w:r>
      <w:proofErr w:type="gramStart"/>
      <w:r w:rsidR="00D3014C" w:rsidRPr="00A95C35">
        <w:rPr>
          <w:rFonts w:asciiTheme="majorBidi" w:hAnsiTheme="majorBidi" w:cstheme="majorBidi"/>
          <w:b/>
          <w:i/>
          <w:iCs/>
        </w:rPr>
        <w:t>Outbound CATI prompting (phase 2).</w:t>
      </w:r>
      <w:proofErr w:type="gramEnd"/>
      <w:r w:rsidR="00D3014C" w:rsidRPr="00A95C35">
        <w:rPr>
          <w:rFonts w:asciiTheme="majorBidi" w:hAnsiTheme="majorBidi" w:cstheme="majorBidi"/>
          <w:iCs/>
        </w:rPr>
        <w:t xml:space="preserve"> After phase 1 data collection which is self-administered via the web (except for instances when sample members call in to the help desk), phase 2 will initiate another mode of data collection. Telephone interviewers will begin making outbound calls to prompt for self-administration or to conduct telephone interviews. No additional incentives will be offered during phase 2.</w:t>
      </w:r>
    </w:p>
    <w:p w14:paraId="2748F6E1" w14:textId="77777777" w:rsidR="00D3014C" w:rsidRPr="00A95C35" w:rsidRDefault="00D3014C" w:rsidP="00D3014C">
      <w:pPr>
        <w:pStyle w:val="bodytextpsg"/>
        <w:numPr>
          <w:ilvl w:val="0"/>
          <w:numId w:val="17"/>
        </w:numPr>
        <w:spacing w:after="120" w:line="23" w:lineRule="atLeast"/>
        <w:ind w:left="648"/>
        <w:rPr>
          <w:rFonts w:asciiTheme="majorBidi" w:hAnsiTheme="majorBidi" w:cstheme="majorBidi"/>
          <w:iCs/>
        </w:rPr>
      </w:pPr>
      <w:r w:rsidRPr="00A95C35">
        <w:rPr>
          <w:rFonts w:asciiTheme="majorBidi" w:hAnsiTheme="majorBidi" w:cstheme="majorBidi"/>
          <w:iCs/>
        </w:rPr>
        <w:t>Subgroup 1 will begin outbound CATI earlier than the other subgroups, to allow additional time for telephone interviewers to work these high priority cases.</w:t>
      </w:r>
    </w:p>
    <w:p w14:paraId="3533E52A" w14:textId="77777777" w:rsidR="00D3014C" w:rsidRPr="00A95C35" w:rsidRDefault="00D3014C" w:rsidP="00D3014C">
      <w:pPr>
        <w:pStyle w:val="bodytextpsg"/>
        <w:spacing w:after="120" w:line="23" w:lineRule="atLeast"/>
        <w:rPr>
          <w:rStyle w:val="IntenseQuoteChar"/>
          <w:rFonts w:asciiTheme="majorBidi" w:hAnsiTheme="majorBidi" w:cstheme="majorBidi"/>
          <w:bCs/>
          <w:i w:val="0"/>
          <w:iCs w:val="0"/>
          <w:color w:val="auto"/>
        </w:rPr>
      </w:pPr>
      <w:r w:rsidRPr="00A95C35">
        <w:rPr>
          <w:rStyle w:val="IntenseQuoteChar"/>
          <w:rFonts w:asciiTheme="majorBidi" w:hAnsiTheme="majorBidi" w:cstheme="majorBidi"/>
          <w:b/>
          <w:bCs/>
          <w:color w:val="auto"/>
        </w:rPr>
        <w:t>Incentive boosts (phases 3 and 4).</w:t>
      </w:r>
      <w:r w:rsidRPr="00A95C35">
        <w:rPr>
          <w:rStyle w:val="IntenseQuoteChar"/>
          <w:rFonts w:asciiTheme="majorBidi" w:hAnsiTheme="majorBidi" w:cstheme="majorBidi"/>
          <w:bCs/>
          <w:color w:val="auto"/>
        </w:rPr>
        <w:t xml:space="preserve"> P</w:t>
      </w:r>
      <w:r w:rsidRPr="00A95C35">
        <w:rPr>
          <w:rFonts w:asciiTheme="majorBidi" w:hAnsiTheme="majorBidi" w:cstheme="majorBidi"/>
          <w:bCs/>
        </w:rPr>
        <w:t xml:space="preserve">hases 3 and 4 introduce the use of responsive design with the bias likelihood model. Targeted cases will be offered an incentive boost in addition to the baseline incentive offer. </w:t>
      </w:r>
      <w:r w:rsidRPr="00A95C35">
        <w:rPr>
          <w:rStyle w:val="IntenseQuoteChar"/>
          <w:rFonts w:asciiTheme="majorBidi" w:hAnsiTheme="majorBidi" w:cstheme="majorBidi"/>
          <w:bCs/>
          <w:color w:val="auto"/>
        </w:rPr>
        <w:t xml:space="preserve">The calibration samples will allow for testing of incentive boost amounts on a subset of the remaining </w:t>
      </w:r>
      <w:proofErr w:type="spellStart"/>
      <w:r w:rsidRPr="00A95C35">
        <w:rPr>
          <w:rStyle w:val="IntenseQuoteChar"/>
          <w:rFonts w:asciiTheme="majorBidi" w:hAnsiTheme="majorBidi" w:cstheme="majorBidi"/>
          <w:bCs/>
          <w:color w:val="auto"/>
        </w:rPr>
        <w:t>nonrespondents</w:t>
      </w:r>
      <w:proofErr w:type="spellEnd"/>
      <w:r w:rsidRPr="00A95C35">
        <w:rPr>
          <w:rStyle w:val="IntenseQuoteChar"/>
          <w:rFonts w:asciiTheme="majorBidi" w:hAnsiTheme="majorBidi" w:cstheme="majorBidi"/>
          <w:bCs/>
          <w:color w:val="auto"/>
        </w:rPr>
        <w:t xml:space="preserve"> in phases 3 and 4, and the results will inform the incentive boost implementation plan for the main samples. Prior to the start of the main sample data collection for phases 3 and 4, calibration sample response rates will be evaluated. An ANOVA-based model will be used to perform pairwise contrasts between the different incentive boost amounts offered to the treatment and control groups in each phase. NCES and OMB will meet to review the results of the calibration experiment and determine the optimal incentive boost amount for each of the subgroups.</w:t>
      </w:r>
    </w:p>
    <w:p w14:paraId="22EB446A" w14:textId="77777777" w:rsidR="00D3014C" w:rsidRPr="00A95C35" w:rsidRDefault="00D3014C" w:rsidP="00D3014C">
      <w:pPr>
        <w:pStyle w:val="bodytextpsg"/>
        <w:numPr>
          <w:ilvl w:val="0"/>
          <w:numId w:val="16"/>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 xml:space="preserve">Subgroup 1 (high school late/alternative/non-completers) will be offered an incentive boost of either $15 or $25, on top of the baseline incentive they were offered in phase 1. The optimal amount (to be determined in consultation with OMB) based on the calibration sample results, will be offered to all remaining </w:t>
      </w:r>
      <w:proofErr w:type="spellStart"/>
      <w:r w:rsidRPr="00A95C35">
        <w:rPr>
          <w:rStyle w:val="IntenseQuoteChar"/>
          <w:rFonts w:asciiTheme="majorBidi" w:hAnsiTheme="majorBidi" w:cstheme="majorBidi"/>
          <w:bCs/>
          <w:color w:val="auto"/>
        </w:rPr>
        <w:t>nonrespondents</w:t>
      </w:r>
      <w:proofErr w:type="spellEnd"/>
      <w:r w:rsidRPr="00A95C35">
        <w:rPr>
          <w:rStyle w:val="IntenseQuoteChar"/>
          <w:rFonts w:asciiTheme="majorBidi" w:hAnsiTheme="majorBidi" w:cstheme="majorBidi"/>
          <w:bCs/>
          <w:color w:val="auto"/>
        </w:rPr>
        <w:t xml:space="preserve"> in subgroup 1.</w:t>
      </w:r>
    </w:p>
    <w:p w14:paraId="36AC6D47" w14:textId="77777777" w:rsidR="00D3014C" w:rsidRPr="00A95C35" w:rsidRDefault="00D3014C" w:rsidP="00D3014C">
      <w:pPr>
        <w:pStyle w:val="bodytextpsg"/>
        <w:numPr>
          <w:ilvl w:val="0"/>
          <w:numId w:val="16"/>
        </w:numPr>
        <w:spacing w:after="120" w:line="23" w:lineRule="atLeast"/>
        <w:ind w:left="450"/>
        <w:rPr>
          <w:rStyle w:val="IntenseQuoteChar"/>
          <w:rFonts w:asciiTheme="majorBidi" w:hAnsiTheme="majorBidi" w:cstheme="majorBidi"/>
          <w:bCs/>
          <w:i w:val="0"/>
          <w:iCs w:val="0"/>
          <w:color w:val="auto"/>
        </w:rPr>
      </w:pPr>
      <w:r w:rsidRPr="00A95C35">
        <w:rPr>
          <w:rStyle w:val="IntenseQuoteChar"/>
          <w:rFonts w:asciiTheme="majorBidi" w:hAnsiTheme="majorBidi" w:cstheme="majorBidi"/>
          <w:bCs/>
          <w:color w:val="auto"/>
        </w:rPr>
        <w:t xml:space="preserve">The subset of subgroup 2 (ultra-cooperative respondents) cases that are targeted for intervention, based on bias likelihood modeling, will be offered an incentive boost of either $10 or $20, and the optimal amount (to be determined in consultation with OMB) will be offered only to targeted cases among the remaining subgroup 2 </w:t>
      </w:r>
      <w:proofErr w:type="spellStart"/>
      <w:r w:rsidRPr="00A95C35">
        <w:rPr>
          <w:rStyle w:val="IntenseQuoteChar"/>
          <w:rFonts w:asciiTheme="majorBidi" w:hAnsiTheme="majorBidi" w:cstheme="majorBidi"/>
          <w:bCs/>
          <w:color w:val="auto"/>
        </w:rPr>
        <w:t>nonrespondents</w:t>
      </w:r>
      <w:proofErr w:type="spellEnd"/>
      <w:r w:rsidRPr="00A95C35">
        <w:rPr>
          <w:rStyle w:val="IntenseQuoteChar"/>
          <w:rFonts w:asciiTheme="majorBidi" w:hAnsiTheme="majorBidi" w:cstheme="majorBidi"/>
          <w:bCs/>
          <w:color w:val="auto"/>
        </w:rPr>
        <w:t>.</w:t>
      </w:r>
    </w:p>
    <w:p w14:paraId="0FE8FD4F" w14:textId="77777777" w:rsidR="00D3014C" w:rsidRPr="00A95C35" w:rsidRDefault="00D3014C" w:rsidP="00D3014C">
      <w:pPr>
        <w:pStyle w:val="bodytextpsg"/>
        <w:numPr>
          <w:ilvl w:val="0"/>
          <w:numId w:val="16"/>
        </w:numPr>
        <w:spacing w:after="120" w:line="23" w:lineRule="atLeast"/>
        <w:ind w:left="450"/>
      </w:pPr>
      <w:r w:rsidRPr="00A95C35">
        <w:rPr>
          <w:rStyle w:val="IntenseQuoteChar"/>
          <w:rFonts w:asciiTheme="majorBidi" w:hAnsiTheme="majorBidi" w:cstheme="majorBidi"/>
          <w:bCs/>
          <w:color w:val="auto"/>
        </w:rPr>
        <w:t xml:space="preserve">The subset of subgroup 3 (high school completers and unknowns) cases that are targeted for intervention, based on bias likelihood modeling, will be offered an incentive boost of either $10 or $20, and the optimal amount (to be determined in consultation with OMB) will be offered only to targeted cases among the remaining subgroup 3 </w:t>
      </w:r>
      <w:proofErr w:type="spellStart"/>
      <w:r w:rsidRPr="00A95C35">
        <w:rPr>
          <w:rStyle w:val="IntenseQuoteChar"/>
          <w:rFonts w:asciiTheme="majorBidi" w:hAnsiTheme="majorBidi" w:cstheme="majorBidi"/>
          <w:bCs/>
          <w:color w:val="auto"/>
        </w:rPr>
        <w:t>nonrespondents</w:t>
      </w:r>
      <w:proofErr w:type="spellEnd"/>
      <w:r w:rsidRPr="00A95C35">
        <w:rPr>
          <w:rStyle w:val="IntenseQuoteChar"/>
          <w:rFonts w:asciiTheme="majorBidi" w:hAnsiTheme="majorBidi" w:cstheme="majorBidi"/>
          <w:bCs/>
          <w:color w:val="auto"/>
        </w:rPr>
        <w:t>.</w:t>
      </w:r>
    </w:p>
    <w:p w14:paraId="0AA0F78D" w14:textId="77777777" w:rsidR="00AE4148" w:rsidRPr="00A95C35" w:rsidRDefault="00AE4148">
      <w:pPr>
        <w:rPr>
          <w:b/>
          <w:szCs w:val="20"/>
        </w:rPr>
      </w:pPr>
      <w:bookmarkStart w:id="5" w:name="_Toc433779240"/>
      <w:r w:rsidRPr="00A95C35">
        <w:br w:type="page"/>
      </w:r>
    </w:p>
    <w:p w14:paraId="784A823C" w14:textId="7C98BD3E" w:rsidR="00D3014C" w:rsidRPr="00A95C35" w:rsidRDefault="00D3014C" w:rsidP="00D3014C">
      <w:pPr>
        <w:pStyle w:val="ExhibitTitle"/>
        <w:spacing w:line="23" w:lineRule="atLeast"/>
      </w:pPr>
      <w:proofErr w:type="gramStart"/>
      <w:r w:rsidRPr="00A95C35">
        <w:lastRenderedPageBreak/>
        <w:t>Exhibit B-9.</w:t>
      </w:r>
      <w:proofErr w:type="gramEnd"/>
      <w:r w:rsidRPr="00A95C35">
        <w:t xml:space="preserve"> Main study baseline and incentive boost experiments</w:t>
      </w:r>
      <w:bookmarkEnd w:id="5"/>
    </w:p>
    <w:tbl>
      <w:tblPr>
        <w:tblStyle w:val="TableGrid"/>
        <w:tblW w:w="5000" w:type="pct"/>
        <w:tblLayout w:type="fixed"/>
        <w:tblLook w:val="04A0" w:firstRow="1" w:lastRow="0" w:firstColumn="1" w:lastColumn="0" w:noHBand="0" w:noVBand="1"/>
      </w:tblPr>
      <w:tblGrid>
        <w:gridCol w:w="2027"/>
        <w:gridCol w:w="3649"/>
        <w:gridCol w:w="1094"/>
        <w:gridCol w:w="1907"/>
        <w:gridCol w:w="1907"/>
      </w:tblGrid>
      <w:tr w:rsidR="00F11A5F" w:rsidRPr="00A95C35" w14:paraId="44FC6DED" w14:textId="77777777" w:rsidTr="00C55CAB">
        <w:trPr>
          <w:trHeight w:val="300"/>
          <w:tblHeader/>
        </w:trPr>
        <w:tc>
          <w:tcPr>
            <w:tcW w:w="957" w:type="pct"/>
            <w:shd w:val="clear" w:color="auto" w:fill="D9D9D9" w:themeFill="background1" w:themeFillShade="D9"/>
            <w:hideMark/>
          </w:tcPr>
          <w:p w14:paraId="5D731D06" w14:textId="77777777" w:rsidR="00D3014C" w:rsidRPr="00A95C35" w:rsidRDefault="00D3014C" w:rsidP="00C55CAB">
            <w:pPr>
              <w:pStyle w:val="bodytextpsg"/>
              <w:spacing w:after="0" w:line="23" w:lineRule="atLeast"/>
              <w:rPr>
                <w:rFonts w:ascii="Arial" w:hAnsi="Arial"/>
                <w:b/>
                <w:bCs/>
                <w:sz w:val="20"/>
                <w:szCs w:val="20"/>
              </w:rPr>
            </w:pPr>
          </w:p>
        </w:tc>
        <w:tc>
          <w:tcPr>
            <w:tcW w:w="1724" w:type="pct"/>
            <w:shd w:val="clear" w:color="auto" w:fill="D9D9D9" w:themeFill="background1" w:themeFillShade="D9"/>
            <w:vAlign w:val="center"/>
            <w:hideMark/>
          </w:tcPr>
          <w:p w14:paraId="242D584E"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Incentive Phase</w:t>
            </w:r>
          </w:p>
        </w:tc>
        <w:tc>
          <w:tcPr>
            <w:tcW w:w="517" w:type="pct"/>
            <w:shd w:val="clear" w:color="auto" w:fill="D9D9D9" w:themeFill="background1" w:themeFillShade="D9"/>
            <w:vAlign w:val="center"/>
            <w:hideMark/>
          </w:tcPr>
          <w:p w14:paraId="7AA17C1A" w14:textId="77777777" w:rsidR="00D3014C" w:rsidRPr="00A95C35" w:rsidRDefault="00D3014C" w:rsidP="00C55CAB">
            <w:pPr>
              <w:pStyle w:val="bodytextpsg"/>
              <w:spacing w:after="0" w:line="23" w:lineRule="atLeast"/>
              <w:jc w:val="right"/>
              <w:rPr>
                <w:rFonts w:ascii="Arial" w:hAnsi="Arial"/>
                <w:b/>
                <w:bCs/>
                <w:sz w:val="20"/>
                <w:szCs w:val="20"/>
              </w:rPr>
            </w:pPr>
            <w:r w:rsidRPr="00A95C35">
              <w:rPr>
                <w:rFonts w:ascii="Arial" w:hAnsi="Arial"/>
                <w:b/>
                <w:bCs/>
                <w:sz w:val="20"/>
                <w:szCs w:val="20"/>
              </w:rPr>
              <w:t>Amount</w:t>
            </w:r>
          </w:p>
        </w:tc>
        <w:tc>
          <w:tcPr>
            <w:tcW w:w="901" w:type="pct"/>
            <w:shd w:val="clear" w:color="auto" w:fill="D9D9D9" w:themeFill="background1" w:themeFillShade="D9"/>
            <w:vAlign w:val="center"/>
            <w:hideMark/>
          </w:tcPr>
          <w:p w14:paraId="2022F47F" w14:textId="77777777" w:rsidR="00D3014C" w:rsidRPr="00A95C35" w:rsidRDefault="00D3014C" w:rsidP="00C55CAB">
            <w:pPr>
              <w:pStyle w:val="bodytextpsg"/>
              <w:spacing w:after="0" w:line="23" w:lineRule="atLeast"/>
              <w:jc w:val="right"/>
              <w:rPr>
                <w:rFonts w:ascii="Arial" w:hAnsi="Arial"/>
                <w:b/>
                <w:bCs/>
                <w:sz w:val="20"/>
                <w:szCs w:val="20"/>
              </w:rPr>
            </w:pPr>
            <w:r w:rsidRPr="00A95C35">
              <w:rPr>
                <w:rFonts w:ascii="Arial" w:hAnsi="Arial"/>
                <w:b/>
                <w:bCs/>
                <w:sz w:val="20"/>
                <w:szCs w:val="20"/>
              </w:rPr>
              <w:t>Total Cumulative Incentives Offered</w:t>
            </w:r>
          </w:p>
        </w:tc>
        <w:tc>
          <w:tcPr>
            <w:tcW w:w="901" w:type="pct"/>
            <w:shd w:val="clear" w:color="auto" w:fill="D9D9D9" w:themeFill="background1" w:themeFillShade="D9"/>
            <w:vAlign w:val="center"/>
            <w:hideMark/>
          </w:tcPr>
          <w:p w14:paraId="780A7A22" w14:textId="77777777" w:rsidR="00D3014C" w:rsidRPr="00A95C35" w:rsidRDefault="00D3014C" w:rsidP="00C55CAB">
            <w:pPr>
              <w:pStyle w:val="bodytextpsg"/>
              <w:spacing w:after="0" w:line="23" w:lineRule="atLeast"/>
              <w:jc w:val="right"/>
              <w:rPr>
                <w:rFonts w:ascii="Arial" w:hAnsi="Arial"/>
                <w:b/>
                <w:bCs/>
                <w:sz w:val="20"/>
                <w:szCs w:val="20"/>
              </w:rPr>
            </w:pPr>
            <w:r w:rsidRPr="00A95C35">
              <w:rPr>
                <w:rFonts w:ascii="Arial" w:hAnsi="Arial"/>
                <w:b/>
                <w:bCs/>
                <w:sz w:val="20"/>
                <w:szCs w:val="20"/>
              </w:rPr>
              <w:t>Estimated Number of Cases to be Worked</w:t>
            </w:r>
          </w:p>
        </w:tc>
      </w:tr>
      <w:tr w:rsidR="00F11A5F" w:rsidRPr="00A95C35" w14:paraId="28EDEF3C" w14:textId="77777777" w:rsidTr="00C55CAB">
        <w:trPr>
          <w:trHeight w:val="300"/>
        </w:trPr>
        <w:tc>
          <w:tcPr>
            <w:tcW w:w="957" w:type="pct"/>
            <w:vMerge w:val="restart"/>
            <w:vAlign w:val="center"/>
            <w:hideMark/>
          </w:tcPr>
          <w:p w14:paraId="2311F571"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High School Late/Alternative/Non-Completers</w:t>
            </w:r>
          </w:p>
        </w:tc>
        <w:tc>
          <w:tcPr>
            <w:tcW w:w="1724" w:type="pct"/>
            <w:hideMark/>
          </w:tcPr>
          <w:p w14:paraId="0301A973"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xml:space="preserve">Base Incentive </w:t>
            </w:r>
          </w:p>
        </w:tc>
        <w:tc>
          <w:tcPr>
            <w:tcW w:w="517" w:type="pct"/>
            <w:hideMark/>
          </w:tcPr>
          <w:p w14:paraId="71CE597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$30 </w:t>
            </w:r>
          </w:p>
        </w:tc>
        <w:tc>
          <w:tcPr>
            <w:tcW w:w="901" w:type="pct"/>
            <w:vMerge w:val="restart"/>
            <w:hideMark/>
          </w:tcPr>
          <w:p w14:paraId="144C4A3D"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$30 to $50</w:t>
            </w:r>
          </w:p>
        </w:tc>
        <w:tc>
          <w:tcPr>
            <w:tcW w:w="901" w:type="pct"/>
            <w:hideMark/>
          </w:tcPr>
          <w:p w14:paraId="4DC8BC55"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170</w:t>
            </w:r>
          </w:p>
        </w:tc>
      </w:tr>
      <w:tr w:rsidR="00F11A5F" w:rsidRPr="00A95C35" w14:paraId="27650603" w14:textId="77777777" w:rsidTr="00C55CAB">
        <w:trPr>
          <w:trHeight w:val="300"/>
        </w:trPr>
        <w:tc>
          <w:tcPr>
            <w:tcW w:w="957" w:type="pct"/>
            <w:vMerge/>
            <w:vAlign w:val="center"/>
            <w:hideMark/>
          </w:tcPr>
          <w:p w14:paraId="4AFF88EB"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48347B15"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(all calibration sample cases)</w:t>
            </w:r>
          </w:p>
        </w:tc>
        <w:tc>
          <w:tcPr>
            <w:tcW w:w="517" w:type="pct"/>
            <w:hideMark/>
          </w:tcPr>
          <w:p w14:paraId="2062BB0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$40 </w:t>
            </w:r>
          </w:p>
        </w:tc>
        <w:tc>
          <w:tcPr>
            <w:tcW w:w="901" w:type="pct"/>
            <w:vMerge/>
            <w:hideMark/>
          </w:tcPr>
          <w:p w14:paraId="06AEED8B"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7FDB9EB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170</w:t>
            </w:r>
          </w:p>
        </w:tc>
      </w:tr>
      <w:tr w:rsidR="00F11A5F" w:rsidRPr="00A95C35" w14:paraId="2F4AF524" w14:textId="77777777" w:rsidTr="00C55CAB">
        <w:trPr>
          <w:trHeight w:val="300"/>
        </w:trPr>
        <w:tc>
          <w:tcPr>
            <w:tcW w:w="957" w:type="pct"/>
            <w:vMerge/>
            <w:vAlign w:val="center"/>
            <w:hideMark/>
          </w:tcPr>
          <w:p w14:paraId="69A45CA8"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61838261"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0D2DABEB"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$50 </w:t>
            </w:r>
          </w:p>
        </w:tc>
        <w:tc>
          <w:tcPr>
            <w:tcW w:w="901" w:type="pct"/>
            <w:vMerge/>
            <w:hideMark/>
          </w:tcPr>
          <w:p w14:paraId="2C290055"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3BFE8BEE"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169</w:t>
            </w:r>
          </w:p>
        </w:tc>
      </w:tr>
      <w:tr w:rsidR="00F11A5F" w:rsidRPr="00A95C35" w14:paraId="71840D92" w14:textId="77777777" w:rsidTr="00C55CAB">
        <w:trPr>
          <w:trHeight w:val="300"/>
        </w:trPr>
        <w:tc>
          <w:tcPr>
            <w:tcW w:w="957" w:type="pct"/>
            <w:vMerge/>
            <w:vAlign w:val="center"/>
            <w:hideMark/>
          </w:tcPr>
          <w:p w14:paraId="69AB2B16"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66A0CFFE"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xml:space="preserve">Boost 1 (all remaining calibration sample </w:t>
            </w:r>
            <w:proofErr w:type="spellStart"/>
            <w:r w:rsidRPr="00A95C35">
              <w:rPr>
                <w:rFonts w:ascii="Arial" w:hAnsi="Arial"/>
                <w:sz w:val="20"/>
                <w:szCs w:val="20"/>
              </w:rPr>
              <w:t>nonrespondents</w:t>
            </w:r>
            <w:proofErr w:type="spellEnd"/>
            <w:r w:rsidRPr="00A95C35">
              <w:rPr>
                <w:rFonts w:ascii="Arial" w:hAnsi="Arial"/>
                <w:sz w:val="20"/>
                <w:szCs w:val="20"/>
              </w:rPr>
              <w:t>)</w:t>
            </w:r>
          </w:p>
        </w:tc>
        <w:tc>
          <w:tcPr>
            <w:tcW w:w="517" w:type="pct"/>
            <w:hideMark/>
          </w:tcPr>
          <w:p w14:paraId="42583DC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$15 </w:t>
            </w:r>
          </w:p>
        </w:tc>
        <w:tc>
          <w:tcPr>
            <w:tcW w:w="901" w:type="pct"/>
            <w:vMerge w:val="restart"/>
            <w:hideMark/>
          </w:tcPr>
          <w:p w14:paraId="4E46FAD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$45 to $75</w:t>
            </w:r>
          </w:p>
        </w:tc>
        <w:tc>
          <w:tcPr>
            <w:tcW w:w="901" w:type="pct"/>
            <w:hideMark/>
          </w:tcPr>
          <w:p w14:paraId="141129F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158</w:t>
            </w:r>
          </w:p>
        </w:tc>
      </w:tr>
      <w:tr w:rsidR="00F11A5F" w:rsidRPr="00A95C35" w14:paraId="79F894B9" w14:textId="77777777" w:rsidTr="00C55CAB">
        <w:trPr>
          <w:trHeight w:val="300"/>
        </w:trPr>
        <w:tc>
          <w:tcPr>
            <w:tcW w:w="957" w:type="pct"/>
            <w:vMerge/>
            <w:vAlign w:val="center"/>
            <w:hideMark/>
          </w:tcPr>
          <w:p w14:paraId="72098B41"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73302822"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1980935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$25 </w:t>
            </w:r>
          </w:p>
        </w:tc>
        <w:tc>
          <w:tcPr>
            <w:tcW w:w="901" w:type="pct"/>
            <w:vMerge/>
            <w:hideMark/>
          </w:tcPr>
          <w:p w14:paraId="74A25017"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11E7857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158</w:t>
            </w:r>
          </w:p>
        </w:tc>
      </w:tr>
      <w:tr w:rsidR="00F11A5F" w:rsidRPr="00A95C35" w14:paraId="64896B21" w14:textId="77777777" w:rsidTr="00C55CAB">
        <w:trPr>
          <w:trHeight w:val="300"/>
        </w:trPr>
        <w:tc>
          <w:tcPr>
            <w:tcW w:w="957" w:type="pct"/>
            <w:vMerge/>
            <w:vAlign w:val="center"/>
            <w:hideMark/>
          </w:tcPr>
          <w:p w14:paraId="506E83A1"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3ABC8C3C"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xml:space="preserve">Boost 2 (all remaining calibration sample </w:t>
            </w:r>
            <w:proofErr w:type="spellStart"/>
            <w:r w:rsidRPr="00A95C35">
              <w:rPr>
                <w:rFonts w:ascii="Arial" w:hAnsi="Arial"/>
                <w:sz w:val="20"/>
                <w:szCs w:val="20"/>
              </w:rPr>
              <w:t>nonrespondents</w:t>
            </w:r>
            <w:proofErr w:type="spellEnd"/>
            <w:r w:rsidRPr="00A95C35">
              <w:rPr>
                <w:rFonts w:ascii="Arial" w:hAnsi="Arial"/>
                <w:sz w:val="20"/>
                <w:szCs w:val="20"/>
              </w:rPr>
              <w:t>)</w:t>
            </w:r>
          </w:p>
        </w:tc>
        <w:tc>
          <w:tcPr>
            <w:tcW w:w="517" w:type="pct"/>
            <w:hideMark/>
          </w:tcPr>
          <w:p w14:paraId="6E5C9DFB"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72258B4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$55 to $95</w:t>
            </w:r>
          </w:p>
        </w:tc>
        <w:tc>
          <w:tcPr>
            <w:tcW w:w="901" w:type="pct"/>
            <w:hideMark/>
          </w:tcPr>
          <w:p w14:paraId="255C648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102</w:t>
            </w:r>
          </w:p>
        </w:tc>
      </w:tr>
      <w:tr w:rsidR="00F11A5F" w:rsidRPr="00A95C35" w14:paraId="244E6AF4" w14:textId="77777777" w:rsidTr="00C55CAB">
        <w:trPr>
          <w:trHeight w:val="300"/>
        </w:trPr>
        <w:tc>
          <w:tcPr>
            <w:tcW w:w="957" w:type="pct"/>
            <w:vMerge/>
            <w:vAlign w:val="center"/>
            <w:hideMark/>
          </w:tcPr>
          <w:p w14:paraId="06DFB3E6"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4F05290A"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14043E1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01CF1A48"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012FDD6E"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102</w:t>
            </w:r>
          </w:p>
        </w:tc>
      </w:tr>
      <w:tr w:rsidR="00F11A5F" w:rsidRPr="00A95C35" w14:paraId="794FB441" w14:textId="77777777" w:rsidTr="00C55CAB">
        <w:trPr>
          <w:trHeight w:val="300"/>
        </w:trPr>
        <w:tc>
          <w:tcPr>
            <w:tcW w:w="957" w:type="pct"/>
            <w:vMerge w:val="restart"/>
            <w:vAlign w:val="center"/>
            <w:hideMark/>
          </w:tcPr>
          <w:p w14:paraId="6F69E0A2"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Ultra-Cooperative Respondents</w:t>
            </w:r>
          </w:p>
        </w:tc>
        <w:tc>
          <w:tcPr>
            <w:tcW w:w="1724" w:type="pct"/>
            <w:hideMark/>
          </w:tcPr>
          <w:p w14:paraId="4BDB9748"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Base Incentive (all calibration sample cases)</w:t>
            </w:r>
          </w:p>
        </w:tc>
        <w:tc>
          <w:tcPr>
            <w:tcW w:w="517" w:type="pct"/>
            <w:vMerge w:val="restart"/>
            <w:hideMark/>
          </w:tcPr>
          <w:p w14:paraId="4247811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$0</w:t>
            </w:r>
          </w:p>
        </w:tc>
        <w:tc>
          <w:tcPr>
            <w:tcW w:w="901" w:type="pct"/>
            <w:vMerge w:val="restart"/>
            <w:hideMark/>
          </w:tcPr>
          <w:p w14:paraId="4C304AB0"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$0</w:t>
            </w:r>
          </w:p>
        </w:tc>
        <w:tc>
          <w:tcPr>
            <w:tcW w:w="901" w:type="pct"/>
            <w:vMerge w:val="restart"/>
            <w:hideMark/>
          </w:tcPr>
          <w:p w14:paraId="73AE1B06"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154</w:t>
            </w:r>
          </w:p>
        </w:tc>
      </w:tr>
      <w:tr w:rsidR="00F11A5F" w:rsidRPr="00A95C35" w14:paraId="2ABFF04E" w14:textId="77777777" w:rsidTr="00C55CAB">
        <w:trPr>
          <w:trHeight w:val="300"/>
        </w:trPr>
        <w:tc>
          <w:tcPr>
            <w:tcW w:w="957" w:type="pct"/>
            <w:vMerge/>
            <w:vAlign w:val="center"/>
            <w:hideMark/>
          </w:tcPr>
          <w:p w14:paraId="01C32438" w14:textId="77777777" w:rsidR="00D3014C" w:rsidRPr="00A95C35" w:rsidRDefault="00D3014C" w:rsidP="00C55CAB">
            <w:pPr>
              <w:pStyle w:val="bodytextpsg"/>
              <w:spacing w:after="0" w:line="23" w:lineRule="atLeast"/>
              <w:rPr>
                <w:rFonts w:ascii="Arial" w:hAnsi="Arial"/>
                <w:b/>
                <w:bCs/>
                <w:sz w:val="20"/>
                <w:szCs w:val="20"/>
              </w:rPr>
            </w:pPr>
          </w:p>
        </w:tc>
        <w:tc>
          <w:tcPr>
            <w:tcW w:w="1724" w:type="pct"/>
          </w:tcPr>
          <w:p w14:paraId="36511C89" w14:textId="77777777" w:rsidR="00D3014C" w:rsidRPr="00A95C35" w:rsidRDefault="00D3014C" w:rsidP="00C55CAB">
            <w:pPr>
              <w:pStyle w:val="bodytextpsg"/>
              <w:spacing w:after="0" w:line="23" w:lineRule="atLeast"/>
              <w:rPr>
                <w:rFonts w:ascii="Arial" w:hAnsi="Arial"/>
                <w:sz w:val="20"/>
                <w:szCs w:val="20"/>
              </w:rPr>
            </w:pPr>
          </w:p>
        </w:tc>
        <w:tc>
          <w:tcPr>
            <w:tcW w:w="517" w:type="pct"/>
            <w:vMerge/>
            <w:hideMark/>
          </w:tcPr>
          <w:p w14:paraId="60C08358"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547BB410"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28B7B5A3" w14:textId="77777777" w:rsidR="00D3014C" w:rsidRPr="00A95C35" w:rsidRDefault="00D3014C" w:rsidP="00C55CAB">
            <w:pPr>
              <w:pStyle w:val="bodytextpsg"/>
              <w:spacing w:after="0" w:line="23" w:lineRule="atLeast"/>
              <w:jc w:val="right"/>
              <w:rPr>
                <w:rFonts w:ascii="Arial" w:hAnsi="Arial"/>
                <w:sz w:val="20"/>
                <w:szCs w:val="20"/>
              </w:rPr>
            </w:pPr>
          </w:p>
        </w:tc>
      </w:tr>
      <w:tr w:rsidR="00F11A5F" w:rsidRPr="00A95C35" w14:paraId="4DB340B9" w14:textId="77777777" w:rsidTr="00C55CAB">
        <w:trPr>
          <w:trHeight w:val="300"/>
        </w:trPr>
        <w:tc>
          <w:tcPr>
            <w:tcW w:w="957" w:type="pct"/>
            <w:vMerge/>
            <w:vAlign w:val="center"/>
            <w:hideMark/>
          </w:tcPr>
          <w:p w14:paraId="20729BC2"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67CE1686"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1 (for targeted cases only: combined with subsample 3)</w:t>
            </w:r>
          </w:p>
        </w:tc>
        <w:tc>
          <w:tcPr>
            <w:tcW w:w="517" w:type="pct"/>
            <w:hideMark/>
          </w:tcPr>
          <w:p w14:paraId="68430398"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6DEDD42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 to $20 targeted; $0 otherwise</w:t>
            </w:r>
          </w:p>
        </w:tc>
        <w:tc>
          <w:tcPr>
            <w:tcW w:w="901" w:type="pct"/>
            <w:vMerge w:val="restart"/>
            <w:hideMark/>
          </w:tcPr>
          <w:p w14:paraId="57F0D89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(very few if any cases expected to be selected)</w:t>
            </w:r>
          </w:p>
        </w:tc>
      </w:tr>
      <w:tr w:rsidR="00F11A5F" w:rsidRPr="00A95C35" w14:paraId="2084DC7A" w14:textId="77777777" w:rsidTr="00C55CAB">
        <w:trPr>
          <w:trHeight w:val="300"/>
        </w:trPr>
        <w:tc>
          <w:tcPr>
            <w:tcW w:w="957" w:type="pct"/>
            <w:vMerge/>
            <w:vAlign w:val="center"/>
            <w:hideMark/>
          </w:tcPr>
          <w:p w14:paraId="70C6E7CC"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19B78136"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2FE4B116"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736A62DE"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535FE299" w14:textId="77777777" w:rsidR="00D3014C" w:rsidRPr="00A95C35" w:rsidRDefault="00D3014C" w:rsidP="00C55CAB">
            <w:pPr>
              <w:pStyle w:val="bodytextpsg"/>
              <w:spacing w:after="0" w:line="23" w:lineRule="atLeast"/>
              <w:jc w:val="right"/>
              <w:rPr>
                <w:rFonts w:ascii="Arial" w:hAnsi="Arial"/>
                <w:sz w:val="20"/>
                <w:szCs w:val="20"/>
              </w:rPr>
            </w:pPr>
          </w:p>
        </w:tc>
      </w:tr>
      <w:tr w:rsidR="00F11A5F" w:rsidRPr="00A95C35" w14:paraId="41B74199" w14:textId="77777777" w:rsidTr="00C55CAB">
        <w:trPr>
          <w:trHeight w:val="300"/>
        </w:trPr>
        <w:tc>
          <w:tcPr>
            <w:tcW w:w="957" w:type="pct"/>
            <w:vMerge/>
            <w:vAlign w:val="center"/>
            <w:hideMark/>
          </w:tcPr>
          <w:p w14:paraId="240B0672"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5602F9E3"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2 (for targeted cases only: combined with subsample 3)</w:t>
            </w:r>
          </w:p>
        </w:tc>
        <w:tc>
          <w:tcPr>
            <w:tcW w:w="517" w:type="pct"/>
            <w:hideMark/>
          </w:tcPr>
          <w:p w14:paraId="4B395554"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718B4583"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$10 to $40 targeted; $0 to $20 otherwise</w:t>
            </w:r>
          </w:p>
        </w:tc>
        <w:tc>
          <w:tcPr>
            <w:tcW w:w="901" w:type="pct"/>
            <w:vMerge w:val="restart"/>
            <w:hideMark/>
          </w:tcPr>
          <w:p w14:paraId="06F6B62B"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(very few if any cases expected to be selected)</w:t>
            </w:r>
          </w:p>
        </w:tc>
      </w:tr>
      <w:tr w:rsidR="00F11A5F" w:rsidRPr="00A95C35" w14:paraId="279AF99A" w14:textId="77777777" w:rsidTr="00C55CAB">
        <w:trPr>
          <w:trHeight w:val="300"/>
        </w:trPr>
        <w:tc>
          <w:tcPr>
            <w:tcW w:w="957" w:type="pct"/>
            <w:vMerge/>
            <w:vAlign w:val="center"/>
            <w:hideMark/>
          </w:tcPr>
          <w:p w14:paraId="2E5C6A57"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2A686AB1"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02D1CF0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460051BA"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vMerge/>
            <w:hideMark/>
          </w:tcPr>
          <w:p w14:paraId="154C3507" w14:textId="77777777" w:rsidR="00D3014C" w:rsidRPr="00A95C35" w:rsidRDefault="00D3014C" w:rsidP="00C55CAB">
            <w:pPr>
              <w:pStyle w:val="bodytextpsg"/>
              <w:spacing w:after="0" w:line="23" w:lineRule="atLeast"/>
              <w:jc w:val="right"/>
              <w:rPr>
                <w:rFonts w:ascii="Arial" w:hAnsi="Arial"/>
                <w:sz w:val="20"/>
                <w:szCs w:val="20"/>
              </w:rPr>
            </w:pPr>
          </w:p>
        </w:tc>
      </w:tr>
      <w:tr w:rsidR="00F11A5F" w:rsidRPr="00A95C35" w14:paraId="6BF58E4F" w14:textId="77777777" w:rsidTr="00C55CAB">
        <w:trPr>
          <w:trHeight w:val="300"/>
        </w:trPr>
        <w:tc>
          <w:tcPr>
            <w:tcW w:w="957" w:type="pct"/>
            <w:vMerge w:val="restart"/>
            <w:vAlign w:val="center"/>
            <w:hideMark/>
          </w:tcPr>
          <w:p w14:paraId="7F665B4A" w14:textId="77777777" w:rsidR="00D3014C" w:rsidRPr="00A95C35" w:rsidRDefault="00D3014C" w:rsidP="00C55CAB">
            <w:pPr>
              <w:pStyle w:val="bodytextpsg"/>
              <w:spacing w:after="0" w:line="23" w:lineRule="atLeast"/>
              <w:rPr>
                <w:rFonts w:ascii="Arial" w:hAnsi="Arial"/>
                <w:b/>
                <w:bCs/>
                <w:sz w:val="20"/>
                <w:szCs w:val="20"/>
              </w:rPr>
            </w:pPr>
            <w:r w:rsidRPr="00A95C35">
              <w:rPr>
                <w:rFonts w:ascii="Arial" w:hAnsi="Arial"/>
                <w:b/>
                <w:bCs/>
                <w:sz w:val="20"/>
                <w:szCs w:val="20"/>
              </w:rPr>
              <w:t>High School Completers and Unknowns</w:t>
            </w:r>
          </w:p>
        </w:tc>
        <w:tc>
          <w:tcPr>
            <w:tcW w:w="1724" w:type="pct"/>
            <w:hideMark/>
          </w:tcPr>
          <w:p w14:paraId="14C917A0"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xml:space="preserve">Base Incentive </w:t>
            </w:r>
          </w:p>
        </w:tc>
        <w:tc>
          <w:tcPr>
            <w:tcW w:w="517" w:type="pct"/>
            <w:hideMark/>
          </w:tcPr>
          <w:p w14:paraId="019C24C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$15 </w:t>
            </w:r>
          </w:p>
        </w:tc>
        <w:tc>
          <w:tcPr>
            <w:tcW w:w="901" w:type="pct"/>
            <w:vMerge w:val="restart"/>
            <w:hideMark/>
          </w:tcPr>
          <w:p w14:paraId="5E3B9CFD"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$15 to $40</w:t>
            </w:r>
          </w:p>
        </w:tc>
        <w:tc>
          <w:tcPr>
            <w:tcW w:w="901" w:type="pct"/>
            <w:hideMark/>
          </w:tcPr>
          <w:p w14:paraId="300286AE"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330</w:t>
            </w:r>
          </w:p>
        </w:tc>
      </w:tr>
      <w:tr w:rsidR="00F11A5F" w:rsidRPr="00A95C35" w14:paraId="72C32241" w14:textId="77777777" w:rsidTr="00C55CAB">
        <w:trPr>
          <w:trHeight w:val="300"/>
        </w:trPr>
        <w:tc>
          <w:tcPr>
            <w:tcW w:w="957" w:type="pct"/>
            <w:vMerge/>
            <w:hideMark/>
          </w:tcPr>
          <w:p w14:paraId="46616961"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221491AC"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(all calibration sample cases)</w:t>
            </w:r>
          </w:p>
        </w:tc>
        <w:tc>
          <w:tcPr>
            <w:tcW w:w="517" w:type="pct"/>
            <w:hideMark/>
          </w:tcPr>
          <w:p w14:paraId="0A252863"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4E8B1A95"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49879DF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13084691" w14:textId="77777777" w:rsidTr="00C55CAB">
        <w:trPr>
          <w:trHeight w:val="300"/>
        </w:trPr>
        <w:tc>
          <w:tcPr>
            <w:tcW w:w="957" w:type="pct"/>
            <w:vMerge/>
            <w:hideMark/>
          </w:tcPr>
          <w:p w14:paraId="4306138B"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5B28A61E"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4179B8F2"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$25 </w:t>
            </w:r>
          </w:p>
        </w:tc>
        <w:tc>
          <w:tcPr>
            <w:tcW w:w="901" w:type="pct"/>
            <w:vMerge/>
            <w:hideMark/>
          </w:tcPr>
          <w:p w14:paraId="75B8F2E7"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534B83B3"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3809EE5B" w14:textId="77777777" w:rsidTr="00C55CAB">
        <w:trPr>
          <w:trHeight w:val="300"/>
        </w:trPr>
        <w:tc>
          <w:tcPr>
            <w:tcW w:w="957" w:type="pct"/>
            <w:vMerge/>
            <w:hideMark/>
          </w:tcPr>
          <w:p w14:paraId="3F87E8AA"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5BF5A03E"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7911463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$30 </w:t>
            </w:r>
          </w:p>
        </w:tc>
        <w:tc>
          <w:tcPr>
            <w:tcW w:w="901" w:type="pct"/>
            <w:vMerge/>
            <w:hideMark/>
          </w:tcPr>
          <w:p w14:paraId="26C0523A"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3B1F3A3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426992E5" w14:textId="77777777" w:rsidTr="00C55CAB">
        <w:trPr>
          <w:trHeight w:val="300"/>
        </w:trPr>
        <w:tc>
          <w:tcPr>
            <w:tcW w:w="957" w:type="pct"/>
            <w:vMerge/>
            <w:hideMark/>
          </w:tcPr>
          <w:p w14:paraId="7009FBBD"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4A0B63F7"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3206E08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$35 </w:t>
            </w:r>
          </w:p>
        </w:tc>
        <w:tc>
          <w:tcPr>
            <w:tcW w:w="901" w:type="pct"/>
            <w:vMerge/>
            <w:hideMark/>
          </w:tcPr>
          <w:p w14:paraId="4CE1A205"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07116C04"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131705ED" w14:textId="77777777" w:rsidTr="00C55CAB">
        <w:trPr>
          <w:trHeight w:val="300"/>
        </w:trPr>
        <w:tc>
          <w:tcPr>
            <w:tcW w:w="957" w:type="pct"/>
            <w:vMerge/>
            <w:hideMark/>
          </w:tcPr>
          <w:p w14:paraId="673532EE" w14:textId="77777777" w:rsidR="00D3014C" w:rsidRPr="00A95C35" w:rsidRDefault="00D3014C" w:rsidP="00C55CAB">
            <w:pPr>
              <w:pStyle w:val="bodytextpsg"/>
              <w:spacing w:after="0" w:line="23" w:lineRule="atLeast"/>
              <w:rPr>
                <w:rFonts w:ascii="Arial" w:hAnsi="Arial"/>
                <w:b/>
                <w:bCs/>
                <w:sz w:val="20"/>
                <w:szCs w:val="20"/>
              </w:rPr>
            </w:pPr>
          </w:p>
        </w:tc>
        <w:tc>
          <w:tcPr>
            <w:tcW w:w="1724" w:type="pct"/>
            <w:hideMark/>
          </w:tcPr>
          <w:p w14:paraId="7EEFC932"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 </w:t>
            </w:r>
          </w:p>
        </w:tc>
        <w:tc>
          <w:tcPr>
            <w:tcW w:w="517" w:type="pct"/>
            <w:hideMark/>
          </w:tcPr>
          <w:p w14:paraId="5006833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$40 </w:t>
            </w:r>
          </w:p>
        </w:tc>
        <w:tc>
          <w:tcPr>
            <w:tcW w:w="901" w:type="pct"/>
            <w:vMerge/>
            <w:hideMark/>
          </w:tcPr>
          <w:p w14:paraId="24E4BF28"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768623C4"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329</w:t>
            </w:r>
          </w:p>
        </w:tc>
      </w:tr>
      <w:tr w:rsidR="00F11A5F" w:rsidRPr="00A95C35" w14:paraId="587A79BB" w14:textId="77777777" w:rsidTr="00C55CAB">
        <w:trPr>
          <w:trHeight w:val="300"/>
        </w:trPr>
        <w:tc>
          <w:tcPr>
            <w:tcW w:w="957" w:type="pct"/>
            <w:vMerge/>
            <w:hideMark/>
          </w:tcPr>
          <w:p w14:paraId="754B01FA"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5997CC74"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1 (for targeted cases: 1/2 of non-respondents)</w:t>
            </w:r>
          </w:p>
        </w:tc>
        <w:tc>
          <w:tcPr>
            <w:tcW w:w="517" w:type="pct"/>
            <w:hideMark/>
          </w:tcPr>
          <w:p w14:paraId="2F8B6911"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124A6C5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 to $60 targeted; $15 to $40 otherwise</w:t>
            </w:r>
          </w:p>
        </w:tc>
        <w:tc>
          <w:tcPr>
            <w:tcW w:w="901" w:type="pct"/>
            <w:hideMark/>
          </w:tcPr>
          <w:p w14:paraId="4C2C3F05"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250</w:t>
            </w:r>
          </w:p>
        </w:tc>
      </w:tr>
      <w:tr w:rsidR="00F11A5F" w:rsidRPr="00A95C35" w14:paraId="3EC90F09" w14:textId="77777777" w:rsidTr="00C55CAB">
        <w:trPr>
          <w:trHeight w:val="300"/>
        </w:trPr>
        <w:tc>
          <w:tcPr>
            <w:tcW w:w="957" w:type="pct"/>
            <w:vMerge/>
            <w:hideMark/>
          </w:tcPr>
          <w:p w14:paraId="6D9CEFBF"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38A6530C"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5FCCB31F"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4B009C34"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71755EF7"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250</w:t>
            </w:r>
          </w:p>
        </w:tc>
      </w:tr>
      <w:tr w:rsidR="00F11A5F" w:rsidRPr="00A95C35" w14:paraId="50E24306" w14:textId="77777777" w:rsidTr="00C55CAB">
        <w:trPr>
          <w:trHeight w:val="300"/>
        </w:trPr>
        <w:tc>
          <w:tcPr>
            <w:tcW w:w="957" w:type="pct"/>
            <w:vMerge/>
            <w:hideMark/>
          </w:tcPr>
          <w:p w14:paraId="425295ED"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val="restart"/>
            <w:hideMark/>
          </w:tcPr>
          <w:p w14:paraId="754E6DC6" w14:textId="77777777" w:rsidR="00D3014C" w:rsidRPr="00A95C35" w:rsidRDefault="00D3014C" w:rsidP="00C55CAB">
            <w:pPr>
              <w:pStyle w:val="bodytextpsg"/>
              <w:spacing w:after="0" w:line="23" w:lineRule="atLeast"/>
              <w:rPr>
                <w:rFonts w:ascii="Arial" w:hAnsi="Arial"/>
                <w:sz w:val="20"/>
                <w:szCs w:val="20"/>
              </w:rPr>
            </w:pPr>
            <w:r w:rsidRPr="00A95C35">
              <w:rPr>
                <w:rFonts w:ascii="Arial" w:hAnsi="Arial"/>
                <w:sz w:val="20"/>
                <w:szCs w:val="20"/>
              </w:rPr>
              <w:t>Boost 2 (for targeted cases: 1/2 of non-respondents)</w:t>
            </w:r>
          </w:p>
        </w:tc>
        <w:tc>
          <w:tcPr>
            <w:tcW w:w="517" w:type="pct"/>
            <w:hideMark/>
          </w:tcPr>
          <w:p w14:paraId="5CD64C79"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$10 </w:t>
            </w:r>
          </w:p>
        </w:tc>
        <w:tc>
          <w:tcPr>
            <w:tcW w:w="901" w:type="pct"/>
            <w:vMerge w:val="restart"/>
            <w:hideMark/>
          </w:tcPr>
          <w:p w14:paraId="2440AE6D"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$25 to $80 targeted; $15 to $60 otherwise</w:t>
            </w:r>
          </w:p>
        </w:tc>
        <w:tc>
          <w:tcPr>
            <w:tcW w:w="901" w:type="pct"/>
            <w:hideMark/>
          </w:tcPr>
          <w:p w14:paraId="607057B9"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175</w:t>
            </w:r>
          </w:p>
        </w:tc>
      </w:tr>
      <w:tr w:rsidR="007E68D0" w:rsidRPr="00A95C35" w14:paraId="724172AA" w14:textId="77777777" w:rsidTr="00C55CAB">
        <w:trPr>
          <w:trHeight w:val="116"/>
        </w:trPr>
        <w:tc>
          <w:tcPr>
            <w:tcW w:w="957" w:type="pct"/>
            <w:vMerge/>
            <w:hideMark/>
          </w:tcPr>
          <w:p w14:paraId="13322FD3" w14:textId="77777777" w:rsidR="00D3014C" w:rsidRPr="00A95C35" w:rsidRDefault="00D3014C" w:rsidP="00C55CAB">
            <w:pPr>
              <w:pStyle w:val="bodytextpsg"/>
              <w:spacing w:after="0" w:line="23" w:lineRule="atLeast"/>
              <w:rPr>
                <w:rFonts w:ascii="Arial" w:hAnsi="Arial"/>
                <w:b/>
                <w:bCs/>
                <w:sz w:val="20"/>
                <w:szCs w:val="20"/>
              </w:rPr>
            </w:pPr>
          </w:p>
        </w:tc>
        <w:tc>
          <w:tcPr>
            <w:tcW w:w="1724" w:type="pct"/>
            <w:vMerge/>
            <w:hideMark/>
          </w:tcPr>
          <w:p w14:paraId="076161AF" w14:textId="77777777" w:rsidR="00D3014C" w:rsidRPr="00A95C35" w:rsidRDefault="00D3014C" w:rsidP="00C55CAB">
            <w:pPr>
              <w:pStyle w:val="bodytextpsg"/>
              <w:spacing w:after="0" w:line="23" w:lineRule="atLeast"/>
              <w:rPr>
                <w:rFonts w:ascii="Arial" w:hAnsi="Arial"/>
                <w:sz w:val="20"/>
                <w:szCs w:val="20"/>
              </w:rPr>
            </w:pPr>
          </w:p>
        </w:tc>
        <w:tc>
          <w:tcPr>
            <w:tcW w:w="517" w:type="pct"/>
            <w:hideMark/>
          </w:tcPr>
          <w:p w14:paraId="3DED3A9C"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 xml:space="preserve">$20 </w:t>
            </w:r>
          </w:p>
        </w:tc>
        <w:tc>
          <w:tcPr>
            <w:tcW w:w="901" w:type="pct"/>
            <w:vMerge/>
            <w:hideMark/>
          </w:tcPr>
          <w:p w14:paraId="50EE49D0" w14:textId="77777777" w:rsidR="00D3014C" w:rsidRPr="00A95C35" w:rsidRDefault="00D3014C" w:rsidP="00C55CAB">
            <w:pPr>
              <w:pStyle w:val="bodytextpsg"/>
              <w:spacing w:after="0" w:line="23" w:lineRule="atLeast"/>
              <w:jc w:val="right"/>
              <w:rPr>
                <w:rFonts w:ascii="Arial" w:hAnsi="Arial"/>
                <w:sz w:val="20"/>
                <w:szCs w:val="20"/>
              </w:rPr>
            </w:pPr>
          </w:p>
        </w:tc>
        <w:tc>
          <w:tcPr>
            <w:tcW w:w="901" w:type="pct"/>
            <w:hideMark/>
          </w:tcPr>
          <w:p w14:paraId="609293EA" w14:textId="77777777" w:rsidR="00D3014C" w:rsidRPr="00A95C35" w:rsidRDefault="00D3014C" w:rsidP="00C55CAB">
            <w:pPr>
              <w:pStyle w:val="bodytextpsg"/>
              <w:spacing w:after="0" w:line="23" w:lineRule="atLeast"/>
              <w:jc w:val="right"/>
              <w:rPr>
                <w:rFonts w:ascii="Arial" w:hAnsi="Arial"/>
                <w:sz w:val="20"/>
                <w:szCs w:val="20"/>
              </w:rPr>
            </w:pPr>
            <w:r w:rsidRPr="00A95C35">
              <w:rPr>
                <w:rFonts w:ascii="Arial" w:hAnsi="Arial"/>
                <w:sz w:val="20"/>
                <w:szCs w:val="20"/>
              </w:rPr>
              <w:t>175</w:t>
            </w:r>
          </w:p>
        </w:tc>
      </w:tr>
    </w:tbl>
    <w:p w14:paraId="53D8CADC" w14:textId="77777777" w:rsidR="00D3014C" w:rsidRPr="00A95C35" w:rsidRDefault="00D3014C" w:rsidP="00D3014C">
      <w:pPr>
        <w:pStyle w:val="bodytextpsg"/>
        <w:spacing w:after="120" w:line="23" w:lineRule="atLeast"/>
        <w:rPr>
          <w:rFonts w:asciiTheme="majorBidi" w:hAnsiTheme="majorBidi"/>
          <w:b/>
          <w:i/>
        </w:rPr>
      </w:pPr>
    </w:p>
    <w:p w14:paraId="3EEB315D" w14:textId="77777777" w:rsidR="00D3014C" w:rsidRPr="00A95C35" w:rsidRDefault="00D3014C" w:rsidP="00D3014C">
      <w:pPr>
        <w:pStyle w:val="bodytextpsg"/>
        <w:spacing w:after="120" w:line="23" w:lineRule="atLeast"/>
        <w:rPr>
          <w:rFonts w:asciiTheme="majorBidi" w:hAnsiTheme="majorBidi" w:cstheme="majorBidi"/>
          <w:i/>
          <w:iCs/>
        </w:rPr>
      </w:pPr>
      <w:proofErr w:type="gramStart"/>
      <w:r w:rsidRPr="00A95C35">
        <w:rPr>
          <w:rStyle w:val="IntenseEmphasis"/>
          <w:rFonts w:asciiTheme="majorBidi" w:hAnsiTheme="majorBidi" w:cstheme="majorBidi"/>
          <w:b/>
          <w:bCs/>
          <w:color w:val="auto"/>
        </w:rPr>
        <w:t>Additional treatments for targeted cases.</w:t>
      </w:r>
      <w:proofErr w:type="gramEnd"/>
      <w:r w:rsidRPr="00A95C35">
        <w:rPr>
          <w:rFonts w:asciiTheme="majorBidi" w:hAnsiTheme="majorBidi" w:cstheme="majorBidi"/>
        </w:rPr>
        <w:t xml:space="preserve"> In addition to the monetary interventions described above, the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second follow-up main study design includes non-monetary treatments to be used with targeted cases.</w:t>
      </w:r>
    </w:p>
    <w:p w14:paraId="5FD195A6" w14:textId="77777777" w:rsidR="00D3014C" w:rsidRPr="00A95C35" w:rsidRDefault="00D3014C" w:rsidP="00D3014C">
      <w:pPr>
        <w:pStyle w:val="bodytextpsg"/>
        <w:spacing w:after="120" w:line="23" w:lineRule="atLeast"/>
        <w:rPr>
          <w:rFonts w:asciiTheme="majorBidi" w:hAnsiTheme="majorBidi" w:cstheme="majorBidi"/>
        </w:rPr>
      </w:pPr>
      <w:proofErr w:type="gramStart"/>
      <w:r w:rsidRPr="00A95C35">
        <w:rPr>
          <w:rFonts w:asciiTheme="majorBidi" w:hAnsiTheme="majorBidi" w:cstheme="majorBidi"/>
          <w:b/>
          <w:i/>
          <w:iCs/>
        </w:rPr>
        <w:t>Field interviewing (phase 5).</w:t>
      </w:r>
      <w:proofErr w:type="gramEnd"/>
      <w:r w:rsidRPr="00A95C35">
        <w:rPr>
          <w:rFonts w:eastAsiaTheme="minorHAnsi"/>
        </w:rPr>
        <w:t xml:space="preserve"> </w:t>
      </w:r>
      <w:r w:rsidRPr="00A95C35">
        <w:rPr>
          <w:rFonts w:asciiTheme="majorBidi" w:hAnsiTheme="majorBidi" w:cstheme="majorBidi"/>
          <w:iCs/>
        </w:rPr>
        <w:t xml:space="preserve">Field interviewing will be conducted for all targeted </w:t>
      </w:r>
      <w:proofErr w:type="spellStart"/>
      <w:r w:rsidRPr="00A95C35">
        <w:rPr>
          <w:rFonts w:asciiTheme="majorBidi" w:hAnsiTheme="majorBidi" w:cstheme="majorBidi"/>
          <w:iCs/>
        </w:rPr>
        <w:t>nonrespondents</w:t>
      </w:r>
      <w:proofErr w:type="spellEnd"/>
      <w:r w:rsidRPr="00A95C35">
        <w:rPr>
          <w:rFonts w:asciiTheme="majorBidi" w:hAnsiTheme="majorBidi" w:cstheme="majorBidi"/>
          <w:iCs/>
        </w:rPr>
        <w:t xml:space="preserve"> at the same time; there will be no time lag between the calibration and main samples. </w:t>
      </w:r>
      <w:r w:rsidRPr="00A95C35">
        <w:rPr>
          <w:rFonts w:asciiTheme="majorBidi" w:hAnsiTheme="majorBidi" w:cstheme="majorBidi"/>
        </w:rPr>
        <w:t xml:space="preserve">Cases identified for targeted treatment (all high school late/alternative/non-completers, and sample members with high bias likelihood scores) will be considered for field interviewing. The decision to conduct field interviewing for a case may also be determined by other factors, such as the location of a case and its proximity to other likely field cases. </w:t>
      </w:r>
      <w:proofErr w:type="spellStart"/>
      <w:r w:rsidRPr="00A95C35">
        <w:rPr>
          <w:rFonts w:asciiTheme="majorBidi" w:hAnsiTheme="majorBidi" w:cstheme="majorBidi"/>
        </w:rPr>
        <w:t>Nontargeted</w:t>
      </w:r>
      <w:proofErr w:type="spellEnd"/>
      <w:r w:rsidRPr="00A95C35">
        <w:rPr>
          <w:rFonts w:asciiTheme="majorBidi" w:hAnsiTheme="majorBidi" w:cstheme="majorBidi"/>
        </w:rPr>
        <w:t xml:space="preserve"> cases may potentially be included in field interviewing if it is cost effective to do so. Conversely, given the expense of field interviewing, cases with </w:t>
      </w:r>
      <w:proofErr w:type="gramStart"/>
      <w:r w:rsidRPr="00A95C35">
        <w:rPr>
          <w:rFonts w:asciiTheme="majorBidi" w:hAnsiTheme="majorBidi" w:cstheme="majorBidi"/>
        </w:rPr>
        <w:t>a very</w:t>
      </w:r>
      <w:proofErr w:type="gramEnd"/>
      <w:r w:rsidRPr="00A95C35">
        <w:rPr>
          <w:rFonts w:asciiTheme="majorBidi" w:hAnsiTheme="majorBidi" w:cstheme="majorBidi"/>
        </w:rPr>
        <w:t xml:space="preserve"> low response likelihood may not be pursued.</w:t>
      </w:r>
    </w:p>
    <w:p w14:paraId="0666EB7B" w14:textId="77777777" w:rsidR="00D3014C" w:rsidRPr="00A95C35" w:rsidRDefault="00D3014C" w:rsidP="00D3014C">
      <w:pPr>
        <w:pStyle w:val="bodytextpsg"/>
        <w:spacing w:after="120" w:line="23" w:lineRule="atLeast"/>
        <w:rPr>
          <w:rFonts w:asciiTheme="majorBidi" w:hAnsiTheme="majorBidi" w:cstheme="majorBidi"/>
        </w:rPr>
      </w:pPr>
      <w:r w:rsidRPr="00A95C35">
        <w:rPr>
          <w:rFonts w:asciiTheme="majorBidi" w:hAnsiTheme="majorBidi" w:cstheme="majorBidi"/>
          <w:b/>
          <w:i/>
          <w:iCs/>
        </w:rPr>
        <w:t>Extended data collection (phase 6).</w:t>
      </w:r>
      <w:r w:rsidRPr="00A95C35">
        <w:rPr>
          <w:rFonts w:asciiTheme="majorBidi" w:hAnsiTheme="majorBidi" w:cstheme="majorBidi"/>
          <w:i/>
          <w:iCs/>
        </w:rPr>
        <w:t xml:space="preserve"> </w:t>
      </w:r>
      <w:r w:rsidRPr="00A95C35">
        <w:rPr>
          <w:rFonts w:asciiTheme="majorBidi" w:hAnsiTheme="majorBidi" w:cstheme="majorBidi"/>
        </w:rPr>
        <w:t>Cases identified for targeted treatment (all high school late/alternative/non-completers, and sample members with high bias likelihood scores) will be part of an extended data collection period. During this period (the last month of data collection), only targeted cases will be actively prompted to participate. Data collection will remain open for all other cases if they choose to participate, but effort to pursue those cases will be suspended.</w:t>
      </w:r>
    </w:p>
    <w:p w14:paraId="35648FEC" w14:textId="77777777" w:rsidR="00D3014C" w:rsidRPr="00A95C35" w:rsidRDefault="00D3014C" w:rsidP="0006440F">
      <w:pPr>
        <w:pStyle w:val="bodytextpsg"/>
        <w:spacing w:after="120" w:line="23" w:lineRule="atLeast"/>
        <w:rPr>
          <w:rStyle w:val="IntenseQuoteChar"/>
          <w:rFonts w:asciiTheme="majorBidi" w:hAnsiTheme="majorBidi"/>
          <w:color w:val="auto"/>
        </w:rPr>
      </w:pPr>
      <w:proofErr w:type="gramStart"/>
      <w:r w:rsidRPr="00A95C35">
        <w:rPr>
          <w:rStyle w:val="IntenseQuoteChar"/>
          <w:rFonts w:asciiTheme="majorBidi" w:hAnsiTheme="majorBidi" w:cstheme="majorBidi"/>
          <w:b/>
          <w:bCs/>
          <w:color w:val="auto"/>
        </w:rPr>
        <w:lastRenderedPageBreak/>
        <w:t>Model development.</w:t>
      </w:r>
      <w:proofErr w:type="gramEnd"/>
      <w:r w:rsidRPr="00A95C35">
        <w:rPr>
          <w:rStyle w:val="IntenseQuoteChar"/>
          <w:rFonts w:asciiTheme="majorBidi" w:hAnsiTheme="majorBidi" w:cstheme="majorBidi"/>
          <w:color w:val="auto"/>
        </w:rPr>
        <w:t xml:space="preserve"> A critical element of any responsive design is the method used to identify cases that will receive special treatment. As described above, the primary goal of this approach is to improve sample representativeness. The bias likelihood model will help determine which cases are most needed to balance the responding sample, and the response likelihood model will help determine which cases may not be optimal for pursuing with targeted interventions so that project resources can be most effectively allocated. In this section, we describe our modeling approach and the variables to be considered for use as predictor variables for both the bias likelihood and the response likelihood models. Variables</w:t>
      </w:r>
      <w:r w:rsidRPr="00A95C35">
        <w:t xml:space="preserve"> will be drawn from data obtained in prior waves of data collection with this cohort (base-year, first follow-up, and 2013 Update survey data; high school transcripts; school characteristics; sampling frame information; and </w:t>
      </w:r>
      <w:proofErr w:type="spellStart"/>
      <w:r w:rsidRPr="00A95C35">
        <w:t>paradata</w:t>
      </w:r>
      <w:proofErr w:type="spellEnd"/>
      <w:r w:rsidRPr="00A95C35">
        <w:t xml:space="preserve">). </w:t>
      </w:r>
      <w:r w:rsidRPr="00A95C35">
        <w:rPr>
          <w:rFonts w:asciiTheme="majorBidi" w:hAnsiTheme="majorBidi" w:cstheme="majorBidi"/>
        </w:rPr>
        <w:t>The models for the HSLS</w:t>
      </w:r>
      <w:proofErr w:type="gramStart"/>
      <w:r w:rsidRPr="00A95C35">
        <w:rPr>
          <w:rFonts w:asciiTheme="majorBidi" w:hAnsiTheme="majorBidi" w:cstheme="majorBidi"/>
        </w:rPr>
        <w:t>:09</w:t>
      </w:r>
      <w:proofErr w:type="gramEnd"/>
      <w:r w:rsidRPr="00A95C35">
        <w:rPr>
          <w:rFonts w:asciiTheme="majorBidi" w:hAnsiTheme="majorBidi" w:cstheme="majorBidi"/>
        </w:rPr>
        <w:t xml:space="preserve"> second follow-up main study have been developed and will be refined from models for previous rounds of HSLS:09, ELS:2002, and other NCES studies, including BPS:12/14.</w:t>
      </w:r>
    </w:p>
    <w:p w14:paraId="6DF21A16" w14:textId="77777777" w:rsidR="00D3014C" w:rsidRPr="00A95C35" w:rsidRDefault="00D3014C" w:rsidP="0006440F">
      <w:pPr>
        <w:pStyle w:val="bodytextpsg"/>
        <w:spacing w:after="120" w:line="23" w:lineRule="atLeast"/>
        <w:rPr>
          <w:rFonts w:asciiTheme="majorBidi" w:hAnsiTheme="majorBidi" w:cstheme="majorBidi"/>
        </w:rPr>
      </w:pPr>
      <w:proofErr w:type="gramStart"/>
      <w:r w:rsidRPr="00A95C35">
        <w:rPr>
          <w:b/>
          <w:i/>
        </w:rPr>
        <w:t>Response Likelihood Model</w:t>
      </w:r>
      <w:r w:rsidRPr="00A95C35">
        <w:rPr>
          <w:b/>
          <w:i/>
          <w:sz w:val="20"/>
          <w:szCs w:val="20"/>
        </w:rPr>
        <w:t>.</w:t>
      </w:r>
      <w:proofErr w:type="gramEnd"/>
      <w:r w:rsidRPr="00A95C35">
        <w:rPr>
          <w:i/>
          <w:sz w:val="20"/>
          <w:szCs w:val="20"/>
        </w:rPr>
        <w:t xml:space="preserve"> </w:t>
      </w:r>
      <w:r w:rsidRPr="00A95C35">
        <w:rPr>
          <w:rFonts w:asciiTheme="majorBidi" w:hAnsiTheme="majorBidi" w:cstheme="majorBidi"/>
        </w:rPr>
        <w:t xml:space="preserve">The response likelihood model will be run only once, before data collection begins. Using data obtained in prior waves that are correlated with response outcome (primarily </w:t>
      </w:r>
      <w:proofErr w:type="spellStart"/>
      <w:r w:rsidRPr="00A95C35">
        <w:rPr>
          <w:rFonts w:asciiTheme="majorBidi" w:hAnsiTheme="majorBidi" w:cstheme="majorBidi"/>
        </w:rPr>
        <w:t>paradata</w:t>
      </w:r>
      <w:proofErr w:type="spellEnd"/>
      <w:r w:rsidRPr="00A95C35">
        <w:rPr>
          <w:rFonts w:asciiTheme="majorBidi" w:hAnsiTheme="majorBidi" w:cstheme="majorBidi"/>
        </w:rPr>
        <w:t xml:space="preserve"> variables), we will fit a model predicting response outcome in the 2013 Update. We will then use the coefficients associated with the significant predictors to estimate the likelihood of response in the second follow-up main study, and each sample member will be assigned a likelihood score prior to the start of data collection. Exhibit B-10 lists the universe of predictor variables that will be considered for the response likelihood model.</w:t>
      </w:r>
    </w:p>
    <w:p w14:paraId="7BDFB786" w14:textId="77777777" w:rsidR="00D3014C" w:rsidRPr="00A95C35" w:rsidRDefault="00D3014C" w:rsidP="001C2531">
      <w:pPr>
        <w:pStyle w:val="bodytextpsg"/>
        <w:spacing w:after="120" w:line="23" w:lineRule="atLeast"/>
        <w:rPr>
          <w:rFonts w:asciiTheme="majorBidi" w:hAnsiTheme="majorBidi" w:cstheme="majorBidi"/>
        </w:rPr>
      </w:pPr>
      <w:r w:rsidRPr="00A95C35">
        <w:rPr>
          <w:rFonts w:asciiTheme="majorBidi" w:hAnsiTheme="majorBidi" w:cstheme="majorBidi"/>
        </w:rPr>
        <w:t>During data collection, the response likelihood scores will be used as a “filter” to assist in determining intervention resource allocation. For example, cases that have a very high likelihood of participation may not be offered an incentive boost, since they are likely to participate without it. The response likelihood score can also be used to exclude cases with very low likelihood from the field interviewing intervention. We will also consider using the response likelihood score to adjust the classification of cases in the subgroups. For example, cases with very high response likelihood scores could potentially be treated as “ultra-cooperative” cases. The primary objective of the response likelihood model is to provide information that will inform decisions about inclusion or exclusion of targeted cases for interventions, thereby controlling costs.</w:t>
      </w:r>
    </w:p>
    <w:p w14:paraId="5090817F" w14:textId="77777777" w:rsidR="00D3014C" w:rsidRPr="00A95C35" w:rsidRDefault="00D3014C" w:rsidP="00D3014C">
      <w:pPr>
        <w:pStyle w:val="bodytextpsg"/>
        <w:spacing w:after="120" w:line="23" w:lineRule="atLeast"/>
        <w:rPr>
          <w:rFonts w:asciiTheme="majorBidi" w:hAnsiTheme="majorBidi" w:cstheme="majorBidi"/>
        </w:rPr>
      </w:pPr>
      <w:proofErr w:type="gramStart"/>
      <w:r w:rsidRPr="00A95C35">
        <w:rPr>
          <w:rFonts w:asciiTheme="majorBidi" w:hAnsiTheme="majorBidi" w:cstheme="majorBidi"/>
          <w:b/>
          <w:i/>
        </w:rPr>
        <w:t>Bias Likelihood Model</w:t>
      </w:r>
      <w:r w:rsidRPr="00A95C35">
        <w:rPr>
          <w:rFonts w:asciiTheme="majorBidi" w:hAnsiTheme="majorBidi" w:cstheme="majorBidi"/>
          <w:b/>
        </w:rPr>
        <w:t>.</w:t>
      </w:r>
      <w:proofErr w:type="gramEnd"/>
      <w:r w:rsidRPr="00A95C35">
        <w:rPr>
          <w:rFonts w:asciiTheme="majorBidi" w:hAnsiTheme="majorBidi" w:cstheme="majorBidi"/>
        </w:rPr>
        <w:t xml:space="preserve"> The bias likelihood model will be used to identify cases that are most unlike the set of sample members that have responded. As was done in the responsive design approach for the 2013 Update, the bias likelihood model will use only key survey and frame variables as predictors to identify </w:t>
      </w:r>
      <w:proofErr w:type="spellStart"/>
      <w:r w:rsidRPr="00A95C35">
        <w:rPr>
          <w:rFonts w:asciiTheme="majorBidi" w:hAnsiTheme="majorBidi" w:cstheme="majorBidi"/>
        </w:rPr>
        <w:t>nonrespondents</w:t>
      </w:r>
      <w:proofErr w:type="spellEnd"/>
      <w:r w:rsidRPr="00A95C35">
        <w:rPr>
          <w:rFonts w:asciiTheme="majorBidi" w:hAnsiTheme="majorBidi" w:cstheme="majorBidi"/>
        </w:rPr>
        <w:t xml:space="preserve"> most likely to reduce bias in key survey variables if converted to respondents. To calculate bias likelihood, we will run a logistic regression with the second follow-up response outcome as the dependent variable. The bias likelihood model will be run at the beginning of phases 3, 4, 5, and 6 for the calibration samples and at the beginning of phases 3, 4, 5, and 6 for the rest of the cases. (Modeling will be done on the combined sample [calibration cases and rest of cases] prior to phases 5 and 6.) We will then use the coefficients associated with the significant predictors to assign a bias likelihood score for each case. Because the set of respondents and </w:t>
      </w:r>
      <w:proofErr w:type="spellStart"/>
      <w:r w:rsidRPr="00A95C35">
        <w:rPr>
          <w:rFonts w:asciiTheme="majorBidi" w:hAnsiTheme="majorBidi" w:cstheme="majorBidi"/>
        </w:rPr>
        <w:t>nonrespondents</w:t>
      </w:r>
      <w:proofErr w:type="spellEnd"/>
      <w:r w:rsidRPr="00A95C35">
        <w:rPr>
          <w:rFonts w:asciiTheme="majorBidi" w:hAnsiTheme="majorBidi" w:cstheme="majorBidi"/>
        </w:rPr>
        <w:t xml:space="preserve"> is dynamic, the bias likelihood score for an individual case may change across the phases. The universe of candidate predictor variables have been selected due to their analytic importance for the study, and are presented in Exhibit B-11.</w:t>
      </w:r>
    </w:p>
    <w:p w14:paraId="7EED66B8" w14:textId="77777777" w:rsidR="001C2531" w:rsidRPr="00A95C35" w:rsidRDefault="001C2531">
      <w:pPr>
        <w:rPr>
          <w:b/>
          <w:szCs w:val="20"/>
        </w:rPr>
      </w:pPr>
      <w:bookmarkStart w:id="6" w:name="_Toc433779241"/>
      <w:bookmarkStart w:id="7" w:name="_Toc430965871"/>
      <w:r w:rsidRPr="00A95C35">
        <w:br w:type="page"/>
      </w:r>
    </w:p>
    <w:p w14:paraId="52C4BBAE" w14:textId="369EA359" w:rsidR="00D3014C" w:rsidRPr="00A95C35" w:rsidRDefault="00D3014C" w:rsidP="00D3014C">
      <w:pPr>
        <w:pStyle w:val="ExhibitTitle"/>
        <w:spacing w:line="23" w:lineRule="atLeast"/>
      </w:pPr>
      <w:proofErr w:type="gramStart"/>
      <w:r w:rsidRPr="00A95C35">
        <w:lastRenderedPageBreak/>
        <w:t>Exhibit B-10.</w:t>
      </w:r>
      <w:proofErr w:type="gramEnd"/>
      <w:r w:rsidRPr="00A95C35">
        <w:t xml:space="preserve"> Candidate Variables for the Main Study Response Likelihood Model</w:t>
      </w:r>
      <w:bookmarkEnd w:id="6"/>
      <w:r w:rsidRPr="00A95C3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220"/>
        <w:gridCol w:w="7378"/>
      </w:tblGrid>
      <w:tr w:rsidR="00F11A5F" w:rsidRPr="00A95C35" w14:paraId="38287D90" w14:textId="77777777" w:rsidTr="00C55CAB">
        <w:trPr>
          <w:trHeight w:val="144"/>
        </w:trPr>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0D42E"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Data collection wave</w:t>
            </w:r>
          </w:p>
        </w:tc>
        <w:tc>
          <w:tcPr>
            <w:tcW w:w="3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B8DDF8"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Variables</w:t>
            </w:r>
          </w:p>
        </w:tc>
      </w:tr>
      <w:tr w:rsidR="00F11A5F" w:rsidRPr="00A95C35" w14:paraId="77DC508B" w14:textId="77777777" w:rsidTr="00C55CAB">
        <w:trPr>
          <w:trHeight w:val="144"/>
        </w:trPr>
        <w:tc>
          <w:tcPr>
            <w:tcW w:w="1519" w:type="pct"/>
            <w:tcBorders>
              <w:top w:val="single" w:sz="4" w:space="0" w:color="auto"/>
              <w:left w:val="single" w:sz="4" w:space="0" w:color="auto"/>
              <w:bottom w:val="single" w:sz="4" w:space="0" w:color="auto"/>
              <w:right w:val="single" w:sz="4" w:space="0" w:color="auto"/>
            </w:tcBorders>
            <w:vAlign w:val="center"/>
          </w:tcPr>
          <w:p w14:paraId="0465CA91"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 xml:space="preserve">Base year </w:t>
            </w:r>
          </w:p>
        </w:tc>
        <w:tc>
          <w:tcPr>
            <w:tcW w:w="3481" w:type="pct"/>
            <w:tcBorders>
              <w:top w:val="single" w:sz="4" w:space="0" w:color="auto"/>
              <w:left w:val="single" w:sz="4" w:space="0" w:color="auto"/>
              <w:bottom w:val="single" w:sz="4" w:space="0" w:color="auto"/>
              <w:right w:val="single" w:sz="4" w:space="0" w:color="auto"/>
            </w:tcBorders>
            <w:vAlign w:val="center"/>
          </w:tcPr>
          <w:p w14:paraId="5018DA91"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outcome</w:t>
            </w:r>
          </w:p>
          <w:p w14:paraId="6485C7DD"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mode</w:t>
            </w:r>
          </w:p>
          <w:p w14:paraId="7B51454B"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Early phase response status</w:t>
            </w:r>
          </w:p>
        </w:tc>
      </w:tr>
      <w:tr w:rsidR="00F11A5F" w:rsidRPr="00A95C35" w14:paraId="1839422A" w14:textId="77777777" w:rsidTr="00C55CAB">
        <w:trPr>
          <w:trHeight w:val="144"/>
        </w:trPr>
        <w:tc>
          <w:tcPr>
            <w:tcW w:w="1519" w:type="pct"/>
            <w:tcBorders>
              <w:top w:val="single" w:sz="4" w:space="0" w:color="auto"/>
              <w:left w:val="single" w:sz="4" w:space="0" w:color="auto"/>
              <w:bottom w:val="single" w:sz="4" w:space="0" w:color="auto"/>
              <w:right w:val="single" w:sz="4" w:space="0" w:color="auto"/>
            </w:tcBorders>
            <w:vAlign w:val="center"/>
          </w:tcPr>
          <w:p w14:paraId="5A0ADFE7"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 xml:space="preserve">First follow-up </w:t>
            </w:r>
          </w:p>
        </w:tc>
        <w:tc>
          <w:tcPr>
            <w:tcW w:w="3481" w:type="pct"/>
            <w:tcBorders>
              <w:top w:val="single" w:sz="4" w:space="0" w:color="auto"/>
              <w:left w:val="single" w:sz="4" w:space="0" w:color="auto"/>
              <w:bottom w:val="single" w:sz="4" w:space="0" w:color="auto"/>
              <w:right w:val="single" w:sz="4" w:space="0" w:color="auto"/>
            </w:tcBorders>
            <w:vAlign w:val="center"/>
          </w:tcPr>
          <w:p w14:paraId="6E3C810C"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outcome</w:t>
            </w:r>
          </w:p>
          <w:p w14:paraId="222FAB4A"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mode</w:t>
            </w:r>
          </w:p>
          <w:p w14:paraId="19CAE82A"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Early phase response status</w:t>
            </w:r>
          </w:p>
        </w:tc>
      </w:tr>
      <w:tr w:rsidR="00F11A5F" w:rsidRPr="00A95C35" w14:paraId="33B960AD" w14:textId="77777777" w:rsidTr="00C55CAB">
        <w:trPr>
          <w:trHeight w:val="144"/>
        </w:trPr>
        <w:tc>
          <w:tcPr>
            <w:tcW w:w="1519" w:type="pct"/>
            <w:tcBorders>
              <w:top w:val="single" w:sz="4" w:space="0" w:color="auto"/>
              <w:left w:val="single" w:sz="4" w:space="0" w:color="auto"/>
              <w:bottom w:val="nil"/>
              <w:right w:val="single" w:sz="4" w:space="0" w:color="auto"/>
            </w:tcBorders>
            <w:vAlign w:val="center"/>
          </w:tcPr>
          <w:p w14:paraId="67AC13DB"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Panel Maintenance and Address Updates</w:t>
            </w:r>
          </w:p>
        </w:tc>
        <w:tc>
          <w:tcPr>
            <w:tcW w:w="3481" w:type="pct"/>
            <w:tcBorders>
              <w:top w:val="single" w:sz="4" w:space="0" w:color="auto"/>
              <w:left w:val="single" w:sz="4" w:space="0" w:color="auto"/>
              <w:bottom w:val="nil"/>
              <w:right w:val="single" w:sz="4" w:space="0" w:color="auto"/>
            </w:tcBorders>
            <w:vAlign w:val="center"/>
          </w:tcPr>
          <w:p w14:paraId="4F82A727"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Panel maintenance response status</w:t>
            </w:r>
          </w:p>
          <w:p w14:paraId="625360E7"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Address update response status</w:t>
            </w:r>
          </w:p>
        </w:tc>
      </w:tr>
      <w:tr w:rsidR="00F11A5F" w:rsidRPr="00A95C35" w14:paraId="591CA75F" w14:textId="77777777" w:rsidTr="00C55CAB">
        <w:trPr>
          <w:trHeight w:val="144"/>
        </w:trPr>
        <w:tc>
          <w:tcPr>
            <w:tcW w:w="1519" w:type="pct"/>
            <w:tcBorders>
              <w:top w:val="single" w:sz="4" w:space="0" w:color="auto"/>
              <w:left w:val="single" w:sz="4" w:space="0" w:color="auto"/>
              <w:bottom w:val="nil"/>
              <w:right w:val="single" w:sz="4" w:space="0" w:color="auto"/>
            </w:tcBorders>
            <w:vAlign w:val="center"/>
          </w:tcPr>
          <w:p w14:paraId="69BE8FC2"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 xml:space="preserve">2013 Update Survey </w:t>
            </w:r>
          </w:p>
        </w:tc>
        <w:tc>
          <w:tcPr>
            <w:tcW w:w="3481" w:type="pct"/>
            <w:tcBorders>
              <w:top w:val="single" w:sz="4" w:space="0" w:color="auto"/>
              <w:left w:val="single" w:sz="4" w:space="0" w:color="auto"/>
              <w:bottom w:val="nil"/>
              <w:right w:val="single" w:sz="4" w:space="0" w:color="auto"/>
            </w:tcBorders>
            <w:vAlign w:val="center"/>
          </w:tcPr>
          <w:p w14:paraId="4E9DE72F"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2013 Update response by student (not parent)</w:t>
            </w:r>
          </w:p>
          <w:p w14:paraId="1ABACA85"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Early phase response status</w:t>
            </w:r>
          </w:p>
          <w:p w14:paraId="0AF81EFF"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Response mode</w:t>
            </w:r>
          </w:p>
          <w:p w14:paraId="6BC9C578"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Incentive amount (to control for the effect of incentives on response outcomes)</w:t>
            </w:r>
          </w:p>
          <w:p w14:paraId="36A98C92"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called in to the help desk</w:t>
            </w:r>
          </w:p>
          <w:p w14:paraId="2182A02C"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refused (sample member)</w:t>
            </w:r>
          </w:p>
          <w:p w14:paraId="2B477760"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refused (other contact)</w:t>
            </w:r>
          </w:p>
          <w:p w14:paraId="6FBB6AF9"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Ever agreed to complete web interview</w:t>
            </w:r>
          </w:p>
          <w:p w14:paraId="0403CF24"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Dual language speaker</w:t>
            </w:r>
          </w:p>
          <w:p w14:paraId="212E5526"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HS completion status indicator</w:t>
            </w:r>
          </w:p>
          <w:p w14:paraId="098547B5"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Gender</w:t>
            </w:r>
          </w:p>
        </w:tc>
      </w:tr>
      <w:tr w:rsidR="007E68D0" w:rsidRPr="00A95C35" w14:paraId="68E3A836" w14:textId="77777777" w:rsidTr="00C55CAB">
        <w:trPr>
          <w:trHeight w:val="144"/>
        </w:trPr>
        <w:tc>
          <w:tcPr>
            <w:tcW w:w="1519" w:type="pct"/>
            <w:tcBorders>
              <w:top w:val="nil"/>
              <w:left w:val="single" w:sz="4" w:space="0" w:color="auto"/>
              <w:bottom w:val="single" w:sz="4" w:space="0" w:color="auto"/>
              <w:right w:val="single" w:sz="4" w:space="0" w:color="auto"/>
            </w:tcBorders>
            <w:vAlign w:val="center"/>
          </w:tcPr>
          <w:p w14:paraId="3B4DBF54"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p>
        </w:tc>
        <w:tc>
          <w:tcPr>
            <w:tcW w:w="3481" w:type="pct"/>
            <w:tcBorders>
              <w:top w:val="nil"/>
              <w:left w:val="single" w:sz="4" w:space="0" w:color="auto"/>
              <w:bottom w:val="single" w:sz="4" w:space="0" w:color="auto"/>
              <w:right w:val="single" w:sz="4" w:space="0" w:color="auto"/>
            </w:tcBorders>
            <w:vAlign w:val="center"/>
          </w:tcPr>
          <w:p w14:paraId="30B1CEDC"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Count of email addresses</w:t>
            </w:r>
          </w:p>
          <w:p w14:paraId="3059A37E"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Count of phone numbers</w:t>
            </w:r>
          </w:p>
          <w:p w14:paraId="79E1DCE1" w14:textId="77777777" w:rsidR="00D3014C" w:rsidRPr="00A95C35" w:rsidRDefault="00D3014C" w:rsidP="00C55CAB">
            <w:pPr>
              <w:autoSpaceDE w:val="0"/>
              <w:autoSpaceDN w:val="0"/>
              <w:adjustRightInd w:val="0"/>
              <w:spacing w:line="23" w:lineRule="atLeast"/>
              <w:rPr>
                <w:rFonts w:ascii="Arial" w:eastAsiaTheme="minorHAnsi" w:hAnsi="Arial" w:cs="Arial"/>
                <w:bCs/>
                <w:sz w:val="20"/>
                <w:szCs w:val="18"/>
              </w:rPr>
            </w:pPr>
            <w:r w:rsidRPr="00A95C35">
              <w:rPr>
                <w:rFonts w:ascii="Arial" w:eastAsiaTheme="minorHAnsi" w:hAnsi="Arial" w:cs="Arial"/>
                <w:bCs/>
                <w:sz w:val="20"/>
                <w:szCs w:val="18"/>
              </w:rPr>
              <w:t>Count of addresses</w:t>
            </w:r>
          </w:p>
        </w:tc>
      </w:tr>
    </w:tbl>
    <w:p w14:paraId="00B8FEDB" w14:textId="77777777" w:rsidR="00D3014C" w:rsidRPr="00A95C35" w:rsidRDefault="00D3014C" w:rsidP="00D3014C">
      <w:pPr>
        <w:pStyle w:val="bodytextpsg"/>
        <w:spacing w:after="120" w:line="23" w:lineRule="atLeast"/>
        <w:rPr>
          <w:rFonts w:asciiTheme="majorBidi" w:hAnsiTheme="majorBidi" w:cstheme="majorBidi"/>
        </w:rPr>
      </w:pPr>
    </w:p>
    <w:p w14:paraId="5415C5DD" w14:textId="77777777" w:rsidR="00D3014C" w:rsidRPr="00A95C35" w:rsidRDefault="00D3014C" w:rsidP="00D3014C">
      <w:pPr>
        <w:pStyle w:val="ExhibitTitle"/>
        <w:spacing w:before="0" w:after="0" w:line="23" w:lineRule="atLeast"/>
        <w:ind w:left="0" w:firstLine="0"/>
      </w:pPr>
      <w:bookmarkStart w:id="8" w:name="_Toc433779242"/>
      <w:proofErr w:type="gramStart"/>
      <w:r w:rsidRPr="00A95C35">
        <w:t>Exhibit B-11.</w:t>
      </w:r>
      <w:proofErr w:type="gramEnd"/>
      <w:r w:rsidRPr="00A95C35">
        <w:t xml:space="preserve"> Candidate Variables for the Main Study Bias Likelihood Model</w:t>
      </w:r>
      <w:bookmarkEnd w:id="7"/>
      <w:bookmarkEnd w:id="8"/>
      <w:r w:rsidRPr="00A95C3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2652"/>
        <w:gridCol w:w="7946"/>
      </w:tblGrid>
      <w:tr w:rsidR="00F11A5F" w:rsidRPr="00A95C35" w14:paraId="63CA68FF" w14:textId="77777777" w:rsidTr="0006440F">
        <w:trPr>
          <w:trHeight w:val="20"/>
          <w:tblHeader/>
        </w:trPr>
        <w:tc>
          <w:tcPr>
            <w:tcW w:w="1251" w:type="pct"/>
            <w:shd w:val="clear" w:color="auto" w:fill="D9D9D9" w:themeFill="background1" w:themeFillShade="D9"/>
            <w:tcMar>
              <w:top w:w="0" w:type="dxa"/>
              <w:left w:w="115" w:type="dxa"/>
              <w:bottom w:w="0" w:type="dxa"/>
              <w:right w:w="115" w:type="dxa"/>
            </w:tcMar>
            <w:vAlign w:val="center"/>
          </w:tcPr>
          <w:p w14:paraId="625492DD"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Data collection wave</w:t>
            </w:r>
          </w:p>
        </w:tc>
        <w:tc>
          <w:tcPr>
            <w:tcW w:w="3749" w:type="pct"/>
            <w:shd w:val="clear" w:color="auto" w:fill="D9D9D9" w:themeFill="background1" w:themeFillShade="D9"/>
            <w:tcMar>
              <w:top w:w="0" w:type="dxa"/>
              <w:left w:w="115" w:type="dxa"/>
              <w:bottom w:w="0" w:type="dxa"/>
              <w:right w:w="115" w:type="dxa"/>
            </w:tcMar>
            <w:vAlign w:val="center"/>
          </w:tcPr>
          <w:p w14:paraId="61931CF2" w14:textId="77777777" w:rsidR="00D3014C" w:rsidRPr="00A95C35" w:rsidRDefault="00D3014C" w:rsidP="00C55CAB">
            <w:pPr>
              <w:autoSpaceDE w:val="0"/>
              <w:autoSpaceDN w:val="0"/>
              <w:adjustRightInd w:val="0"/>
              <w:spacing w:line="23" w:lineRule="atLeast"/>
              <w:rPr>
                <w:rFonts w:ascii="Arial" w:eastAsiaTheme="minorHAnsi" w:hAnsi="Arial" w:cs="Arial"/>
                <w:b/>
                <w:bCs/>
                <w:sz w:val="20"/>
                <w:szCs w:val="18"/>
              </w:rPr>
            </w:pPr>
            <w:r w:rsidRPr="00A95C35">
              <w:rPr>
                <w:rFonts w:ascii="Arial" w:eastAsiaTheme="minorHAnsi" w:hAnsi="Arial" w:cs="Arial"/>
                <w:b/>
                <w:bCs/>
                <w:sz w:val="20"/>
                <w:szCs w:val="18"/>
              </w:rPr>
              <w:t>Variables</w:t>
            </w:r>
          </w:p>
        </w:tc>
      </w:tr>
      <w:tr w:rsidR="00F11A5F" w:rsidRPr="00A95C35" w14:paraId="082118ED" w14:textId="77777777" w:rsidTr="00C55CAB">
        <w:trPr>
          <w:trHeight w:val="144"/>
        </w:trPr>
        <w:tc>
          <w:tcPr>
            <w:tcW w:w="1251" w:type="pct"/>
            <w:tcMar>
              <w:top w:w="0" w:type="dxa"/>
              <w:left w:w="115" w:type="dxa"/>
              <w:bottom w:w="0" w:type="dxa"/>
              <w:right w:w="115" w:type="dxa"/>
            </w:tcMar>
            <w:vAlign w:val="center"/>
          </w:tcPr>
          <w:p w14:paraId="672AECDB"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r w:rsidRPr="00A95C35">
              <w:rPr>
                <w:rFonts w:ascii="Arial" w:eastAsiaTheme="minorHAnsi" w:hAnsi="Arial" w:cs="Arial"/>
                <w:b/>
                <w:sz w:val="20"/>
                <w:szCs w:val="20"/>
              </w:rPr>
              <w:t>Sampling frame</w:t>
            </w:r>
          </w:p>
        </w:tc>
        <w:tc>
          <w:tcPr>
            <w:tcW w:w="3749" w:type="pct"/>
            <w:tcMar>
              <w:top w:w="0" w:type="dxa"/>
              <w:left w:w="115" w:type="dxa"/>
              <w:bottom w:w="0" w:type="dxa"/>
              <w:right w:w="115" w:type="dxa"/>
            </w:tcMar>
            <w:vAlign w:val="center"/>
          </w:tcPr>
          <w:p w14:paraId="74CD6ED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Race</w:t>
            </w:r>
          </w:p>
        </w:tc>
      </w:tr>
      <w:tr w:rsidR="00F11A5F" w:rsidRPr="00A95C35" w14:paraId="4ED97664" w14:textId="77777777" w:rsidTr="00C55CAB">
        <w:trPr>
          <w:trHeight w:val="144"/>
        </w:trPr>
        <w:tc>
          <w:tcPr>
            <w:tcW w:w="1251" w:type="pct"/>
            <w:tcMar>
              <w:top w:w="0" w:type="dxa"/>
              <w:left w:w="115" w:type="dxa"/>
              <w:bottom w:w="0" w:type="dxa"/>
              <w:right w:w="115" w:type="dxa"/>
            </w:tcMar>
            <w:vAlign w:val="center"/>
          </w:tcPr>
          <w:p w14:paraId="78C5FD35"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5E8FD48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Gender</w:t>
            </w:r>
          </w:p>
        </w:tc>
      </w:tr>
      <w:tr w:rsidR="00F11A5F" w:rsidRPr="00A95C35" w14:paraId="2A284511" w14:textId="77777777" w:rsidTr="00C55CAB">
        <w:trPr>
          <w:trHeight w:val="144"/>
        </w:trPr>
        <w:tc>
          <w:tcPr>
            <w:tcW w:w="1251" w:type="pct"/>
            <w:tcMar>
              <w:top w:w="0" w:type="dxa"/>
              <w:left w:w="115" w:type="dxa"/>
              <w:bottom w:w="0" w:type="dxa"/>
              <w:right w:w="115" w:type="dxa"/>
            </w:tcMar>
            <w:vAlign w:val="center"/>
          </w:tcPr>
          <w:p w14:paraId="079FC661"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178A27D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School type</w:t>
            </w:r>
          </w:p>
        </w:tc>
      </w:tr>
      <w:tr w:rsidR="00F11A5F" w:rsidRPr="00A95C35" w14:paraId="4DD0D714" w14:textId="77777777" w:rsidTr="00C55CAB">
        <w:trPr>
          <w:trHeight w:val="144"/>
        </w:trPr>
        <w:tc>
          <w:tcPr>
            <w:tcW w:w="1251" w:type="pct"/>
            <w:tcMar>
              <w:top w:w="0" w:type="dxa"/>
              <w:left w:w="115" w:type="dxa"/>
              <w:bottom w:w="0" w:type="dxa"/>
              <w:right w:w="115" w:type="dxa"/>
            </w:tcMar>
            <w:vAlign w:val="center"/>
          </w:tcPr>
          <w:p w14:paraId="65EE79B6"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08C0217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Metropolitan area</w:t>
            </w:r>
          </w:p>
        </w:tc>
      </w:tr>
      <w:tr w:rsidR="00F11A5F" w:rsidRPr="00A95C35" w14:paraId="71A07C56" w14:textId="77777777" w:rsidTr="00C55CAB">
        <w:trPr>
          <w:trHeight w:val="144"/>
        </w:trPr>
        <w:tc>
          <w:tcPr>
            <w:tcW w:w="1251" w:type="pct"/>
            <w:tcMar>
              <w:top w:w="0" w:type="dxa"/>
              <w:left w:w="115" w:type="dxa"/>
              <w:bottom w:w="0" w:type="dxa"/>
              <w:right w:w="115" w:type="dxa"/>
            </w:tcMar>
            <w:vAlign w:val="center"/>
          </w:tcPr>
          <w:p w14:paraId="5FD7F5FA" w14:textId="77777777" w:rsidR="00D3014C" w:rsidRPr="00A95C35" w:rsidRDefault="00D3014C" w:rsidP="00C55CAB">
            <w:pPr>
              <w:autoSpaceDE w:val="0"/>
              <w:autoSpaceDN w:val="0"/>
              <w:adjustRightInd w:val="0"/>
              <w:spacing w:line="23" w:lineRule="atLeast"/>
              <w:rPr>
                <w:rFonts w:ascii="Arial" w:eastAsiaTheme="minorHAnsi" w:hAnsi="Arial" w:cs="Arial"/>
                <w:b/>
                <w:sz w:val="20"/>
                <w:szCs w:val="20"/>
              </w:rPr>
            </w:pPr>
          </w:p>
        </w:tc>
        <w:tc>
          <w:tcPr>
            <w:tcW w:w="3749" w:type="pct"/>
            <w:tcMar>
              <w:top w:w="0" w:type="dxa"/>
              <w:left w:w="115" w:type="dxa"/>
              <w:bottom w:w="0" w:type="dxa"/>
              <w:right w:w="115" w:type="dxa"/>
            </w:tcMar>
            <w:vAlign w:val="center"/>
          </w:tcPr>
          <w:p w14:paraId="7B045E3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Geographic region</w:t>
            </w:r>
          </w:p>
        </w:tc>
      </w:tr>
      <w:tr w:rsidR="00F11A5F" w:rsidRPr="00A95C35" w14:paraId="6F05923B" w14:textId="77777777" w:rsidTr="00C55CAB">
        <w:trPr>
          <w:trHeight w:val="144"/>
        </w:trPr>
        <w:tc>
          <w:tcPr>
            <w:tcW w:w="1251" w:type="pct"/>
            <w:tcMar>
              <w:top w:w="0" w:type="dxa"/>
              <w:left w:w="115" w:type="dxa"/>
              <w:bottom w:w="0" w:type="dxa"/>
              <w:right w:w="115" w:type="dxa"/>
            </w:tcMar>
            <w:vAlign w:val="center"/>
          </w:tcPr>
          <w:p w14:paraId="34CEED5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b/>
                <w:sz w:val="20"/>
                <w:szCs w:val="20"/>
              </w:rPr>
              <w:t>Base Year</w:t>
            </w:r>
            <w:r w:rsidRPr="00A95C35">
              <w:rPr>
                <w:rFonts w:ascii="Arial" w:eastAsiaTheme="minorHAnsi" w:hAnsi="Arial" w:cs="Arial"/>
                <w:sz w:val="20"/>
                <w:szCs w:val="20"/>
              </w:rPr>
              <w:t xml:space="preserve"> </w:t>
            </w:r>
          </w:p>
        </w:tc>
        <w:tc>
          <w:tcPr>
            <w:tcW w:w="3749" w:type="pct"/>
            <w:tcMar>
              <w:top w:w="0" w:type="dxa"/>
              <w:left w:w="115" w:type="dxa"/>
              <w:bottom w:w="0" w:type="dxa"/>
              <w:right w:w="115" w:type="dxa"/>
            </w:tcMar>
            <w:vAlign w:val="center"/>
          </w:tcPr>
          <w:p w14:paraId="01743DC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Student’s educational expectations</w:t>
            </w:r>
          </w:p>
          <w:p w14:paraId="6373025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Parent’s education expectations</w:t>
            </w:r>
          </w:p>
          <w:p w14:paraId="4E2C9D0A"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Taking a Fall 09 math course</w:t>
            </w:r>
          </w:p>
          <w:p w14:paraId="2091761B"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Taking a Fall 09 science course</w:t>
            </w:r>
          </w:p>
          <w:p w14:paraId="076CABC0"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Base year math assessment score</w:t>
            </w:r>
          </w:p>
        </w:tc>
      </w:tr>
      <w:tr w:rsidR="00F11A5F" w:rsidRPr="00A95C35" w14:paraId="6BFFB821" w14:textId="77777777" w:rsidTr="00C55CAB">
        <w:trPr>
          <w:trHeight w:val="144"/>
        </w:trPr>
        <w:tc>
          <w:tcPr>
            <w:tcW w:w="1251" w:type="pct"/>
            <w:tcMar>
              <w:top w:w="0" w:type="dxa"/>
              <w:left w:w="115" w:type="dxa"/>
              <w:bottom w:w="0" w:type="dxa"/>
              <w:right w:w="115" w:type="dxa"/>
            </w:tcMar>
            <w:vAlign w:val="center"/>
          </w:tcPr>
          <w:p w14:paraId="43C7C51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b/>
                <w:sz w:val="20"/>
                <w:szCs w:val="20"/>
              </w:rPr>
              <w:t>First Follow up</w:t>
            </w:r>
          </w:p>
        </w:tc>
        <w:tc>
          <w:tcPr>
            <w:tcW w:w="3749" w:type="pct"/>
            <w:tcMar>
              <w:top w:w="0" w:type="dxa"/>
              <w:left w:w="115" w:type="dxa"/>
              <w:bottom w:w="0" w:type="dxa"/>
              <w:right w:w="115" w:type="dxa"/>
            </w:tcMar>
            <w:vAlign w:val="center"/>
          </w:tcPr>
          <w:p w14:paraId="61E0CD4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When Algebra 1 was taken</w:t>
            </w:r>
          </w:p>
          <w:p w14:paraId="0831344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Grade in Algebra 1</w:t>
            </w:r>
          </w:p>
          <w:p w14:paraId="62AE724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Student’s educational expectations</w:t>
            </w:r>
          </w:p>
          <w:p w14:paraId="5964329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Parent’s education expectations</w:t>
            </w:r>
          </w:p>
          <w:p w14:paraId="73F5A84A"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Grade in 2011-12</w:t>
            </w:r>
          </w:p>
          <w:p w14:paraId="32460C21"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Location</w:t>
            </w:r>
          </w:p>
          <w:p w14:paraId="444C2189"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Dual language indicator</w:t>
            </w:r>
          </w:p>
          <w:p w14:paraId="37AF4C8D"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Socioeconomic status indicator</w:t>
            </w:r>
          </w:p>
          <w:p w14:paraId="5B189783"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Repeated a grade?</w:t>
            </w:r>
          </w:p>
          <w:p w14:paraId="597951B5"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F1 math assessment score</w:t>
            </w:r>
          </w:p>
          <w:p w14:paraId="1E4073C8"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Attended a job fair?</w:t>
            </w:r>
          </w:p>
          <w:p w14:paraId="29A6902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Toured a college?</w:t>
            </w:r>
          </w:p>
          <w:p w14:paraId="75F41EF9"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Taken a college class?</w:t>
            </w:r>
          </w:p>
          <w:p w14:paraId="3155204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Completed an internship?</w:t>
            </w:r>
          </w:p>
          <w:p w14:paraId="29C349BD"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Performed work in job related to career goals?</w:t>
            </w:r>
          </w:p>
          <w:p w14:paraId="43F08F42"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Searched internet/college guides for college options?</w:t>
            </w:r>
          </w:p>
          <w:p w14:paraId="7EB4A845"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Talked to HS counselor about after high school options?</w:t>
            </w:r>
          </w:p>
          <w:p w14:paraId="73A86257"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Talked with college admission counselor?</w:t>
            </w:r>
          </w:p>
          <w:p w14:paraId="1DD18670"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Taken a college entrance exam prep course?</w:t>
            </w:r>
          </w:p>
          <w:p w14:paraId="0A1F40A5" w14:textId="77777777" w:rsidR="00D3014C" w:rsidRPr="00A95C35" w:rsidRDefault="00D3014C" w:rsidP="00C55CAB">
            <w:pPr>
              <w:spacing w:line="23" w:lineRule="atLeast"/>
              <w:rPr>
                <w:rFonts w:ascii="Arial" w:eastAsiaTheme="minorHAnsi" w:hAnsi="Arial" w:cs="Arial"/>
                <w:sz w:val="20"/>
                <w:szCs w:val="20"/>
              </w:rPr>
            </w:pPr>
            <w:r w:rsidRPr="00A95C35">
              <w:rPr>
                <w:rFonts w:ascii="Arial" w:eastAsiaTheme="minorHAnsi" w:hAnsi="Arial" w:cs="Arial"/>
                <w:sz w:val="20"/>
                <w:szCs w:val="20"/>
              </w:rPr>
              <w:t>Taking math classes in spring 2012?</w:t>
            </w:r>
          </w:p>
        </w:tc>
      </w:tr>
      <w:tr w:rsidR="00F11A5F" w:rsidRPr="00A95C35" w14:paraId="1883F506" w14:textId="77777777" w:rsidTr="0006440F">
        <w:tblPrEx>
          <w:tblCellMar>
            <w:top w:w="0" w:type="dxa"/>
            <w:bottom w:w="0" w:type="dxa"/>
          </w:tblCellMar>
        </w:tblPrEx>
        <w:trPr>
          <w:cantSplit/>
          <w:trHeight w:val="206"/>
        </w:trPr>
        <w:tc>
          <w:tcPr>
            <w:tcW w:w="1251" w:type="pct"/>
            <w:vMerge w:val="restart"/>
            <w:tcMar>
              <w:top w:w="0" w:type="dxa"/>
              <w:left w:w="115" w:type="dxa"/>
              <w:bottom w:w="0" w:type="dxa"/>
              <w:right w:w="115" w:type="dxa"/>
            </w:tcMar>
            <w:vAlign w:val="center"/>
          </w:tcPr>
          <w:p w14:paraId="4C47C10D"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b/>
                <w:bCs/>
                <w:sz w:val="20"/>
                <w:szCs w:val="18"/>
              </w:rPr>
              <w:lastRenderedPageBreak/>
              <w:t>2013 Update Survey and High School Transcript Collection</w:t>
            </w:r>
          </w:p>
        </w:tc>
        <w:tc>
          <w:tcPr>
            <w:tcW w:w="3749" w:type="pct"/>
            <w:tcMar>
              <w:top w:w="0" w:type="dxa"/>
              <w:left w:w="115" w:type="dxa"/>
              <w:bottom w:w="0" w:type="dxa"/>
              <w:right w:w="115" w:type="dxa"/>
            </w:tcMar>
          </w:tcPr>
          <w:p w14:paraId="77C5DB52"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Sample member has high school credential</w:t>
            </w:r>
          </w:p>
          <w:p w14:paraId="7C7BE38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Date of high school credential</w:t>
            </w:r>
          </w:p>
          <w:p w14:paraId="37D5A7B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School characteristics of last-attended high school</w:t>
            </w:r>
          </w:p>
          <w:p w14:paraId="1A8FC4F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Dual-enrollment status/information</w:t>
            </w:r>
          </w:p>
        </w:tc>
      </w:tr>
      <w:tr w:rsidR="00F11A5F" w:rsidRPr="00A95C35" w14:paraId="1517DD6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95BB0FD"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DA18A2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Taking postsecondary classes as of Nov 1 2013</w:t>
            </w:r>
          </w:p>
          <w:p w14:paraId="693E4632"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Sector of postsecondary institution as of Nov 1 2013</w:t>
            </w:r>
          </w:p>
        </w:tc>
      </w:tr>
      <w:tr w:rsidR="00F11A5F" w:rsidRPr="00A95C35" w14:paraId="1629A0E3"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F94BDA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83DCE8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Apprenticing as of Nov 1 2013</w:t>
            </w:r>
          </w:p>
        </w:tc>
      </w:tr>
      <w:tr w:rsidR="00F11A5F" w:rsidRPr="00A95C35" w14:paraId="37D55E89"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60DD7A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C168ABD"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Working for pay as of Nov 1 2013</w:t>
            </w:r>
          </w:p>
        </w:tc>
      </w:tr>
      <w:tr w:rsidR="00F11A5F" w:rsidRPr="00A95C35" w14:paraId="763D3961" w14:textId="77777777" w:rsidTr="00C55CAB">
        <w:tblPrEx>
          <w:tblCellMar>
            <w:top w:w="0" w:type="dxa"/>
            <w:bottom w:w="0" w:type="dxa"/>
          </w:tblCellMar>
        </w:tblPrEx>
        <w:trPr>
          <w:trHeight w:val="95"/>
        </w:trPr>
        <w:tc>
          <w:tcPr>
            <w:tcW w:w="1251" w:type="pct"/>
            <w:vMerge/>
            <w:tcMar>
              <w:top w:w="0" w:type="dxa"/>
              <w:left w:w="115" w:type="dxa"/>
              <w:bottom w:w="0" w:type="dxa"/>
              <w:right w:w="115" w:type="dxa"/>
            </w:tcMar>
            <w:vAlign w:val="center"/>
          </w:tcPr>
          <w:p w14:paraId="0F987A9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7A313D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Serving in the military as of Nov 1 2013</w:t>
            </w:r>
          </w:p>
        </w:tc>
      </w:tr>
      <w:tr w:rsidR="00F11A5F" w:rsidRPr="00A95C35" w14:paraId="63B4567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5CF3E5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A98670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Starting family/taking care of children as of Nov 1 2013</w:t>
            </w:r>
          </w:p>
        </w:tc>
      </w:tr>
      <w:tr w:rsidR="00F11A5F" w:rsidRPr="00A95C35" w14:paraId="76BD2B7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8653F6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F3D88F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Attending high school or homeschool as of Nov 1 2013</w:t>
            </w:r>
          </w:p>
        </w:tc>
      </w:tr>
      <w:tr w:rsidR="00F11A5F" w:rsidRPr="00A95C35" w14:paraId="5C6EA310"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238B70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4D1DF0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In a course to prepare for GED as of Nov 1 2013</w:t>
            </w:r>
          </w:p>
          <w:p w14:paraId="62651F4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Number of postsecondary institutions applied to</w:t>
            </w:r>
          </w:p>
        </w:tc>
      </w:tr>
      <w:tr w:rsidR="00F11A5F" w:rsidRPr="00A95C35" w14:paraId="2F315387"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B7291B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54C67A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Completed a FAFSA for teenager's education</w:t>
            </w:r>
          </w:p>
        </w:tc>
      </w:tr>
      <w:tr w:rsidR="00F11A5F" w:rsidRPr="00A95C35" w14:paraId="7A2CCAD5"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25E1E1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FB4123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did not want to go into debt</w:t>
            </w:r>
          </w:p>
        </w:tc>
      </w:tr>
      <w:tr w:rsidR="00F11A5F" w:rsidRPr="00A95C35" w14:paraId="19391836"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236E465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88C4B7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can afford college without financial aid</w:t>
            </w:r>
          </w:p>
        </w:tc>
      </w:tr>
      <w:tr w:rsidR="00F11A5F" w:rsidRPr="00A95C35" w14:paraId="5A3B88C2"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E6297A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75F9DF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thought ineligible or unqualified</w:t>
            </w:r>
          </w:p>
        </w:tc>
      </w:tr>
      <w:tr w:rsidR="00F11A5F" w:rsidRPr="00A95C35" w14:paraId="26988E97"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38FA62A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78A68065"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did not know how</w:t>
            </w:r>
          </w:p>
        </w:tc>
      </w:tr>
      <w:tr w:rsidR="00F11A5F" w:rsidRPr="00A95C35" w14:paraId="57616B1F"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5A2FFE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9406B4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forms were too time-consuming/too much work</w:t>
            </w:r>
          </w:p>
        </w:tc>
      </w:tr>
      <w:tr w:rsidR="00F11A5F" w:rsidRPr="00A95C35" w14:paraId="471696C0"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F5771A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68B01B5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did not know could</w:t>
            </w:r>
          </w:p>
        </w:tc>
      </w:tr>
      <w:tr w:rsidR="00F11A5F" w:rsidRPr="00A95C35" w14:paraId="5A4761A8"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8A2270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0FC02B3C"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Did not complete FAFSA because teen does not plan to continue education</w:t>
            </w:r>
          </w:p>
        </w:tc>
      </w:tr>
      <w:tr w:rsidR="00F11A5F" w:rsidRPr="00A95C35" w14:paraId="3F232C16" w14:textId="77777777" w:rsidTr="00C55CAB">
        <w:trPr>
          <w:trHeight w:val="20"/>
        </w:trPr>
        <w:tc>
          <w:tcPr>
            <w:tcW w:w="1251" w:type="pct"/>
            <w:vMerge/>
            <w:tcMar>
              <w:top w:w="0" w:type="dxa"/>
              <w:left w:w="115" w:type="dxa"/>
              <w:bottom w:w="0" w:type="dxa"/>
              <w:right w:w="115" w:type="dxa"/>
            </w:tcMar>
            <w:vAlign w:val="center"/>
          </w:tcPr>
          <w:p w14:paraId="7F7A411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020387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Currently working for pay</w:t>
            </w:r>
          </w:p>
        </w:tc>
      </w:tr>
      <w:tr w:rsidR="00F11A5F" w:rsidRPr="00A95C35" w14:paraId="787B331D"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35F0F5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30DBB9FF"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Number of high schools attended</w:t>
            </w:r>
          </w:p>
        </w:tc>
      </w:tr>
      <w:tr w:rsidR="00F11A5F" w:rsidRPr="00A95C35" w14:paraId="5265052D" w14:textId="77777777" w:rsidTr="00C55CAB">
        <w:trPr>
          <w:trHeight w:val="20"/>
        </w:trPr>
        <w:tc>
          <w:tcPr>
            <w:tcW w:w="1251" w:type="pct"/>
            <w:vMerge/>
            <w:tcMar>
              <w:top w:w="0" w:type="dxa"/>
              <w:left w:w="115" w:type="dxa"/>
              <w:bottom w:w="0" w:type="dxa"/>
              <w:right w:w="115" w:type="dxa"/>
            </w:tcMar>
            <w:vAlign w:val="center"/>
          </w:tcPr>
          <w:p w14:paraId="2964EAAE"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1F8BD487"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Attended CTE center (flag)</w:t>
            </w:r>
          </w:p>
        </w:tc>
      </w:tr>
      <w:tr w:rsidR="00F11A5F" w:rsidRPr="00A95C35" w14:paraId="2476E2B0" w14:textId="77777777" w:rsidTr="00C55CAB">
        <w:trPr>
          <w:trHeight w:val="20"/>
        </w:trPr>
        <w:tc>
          <w:tcPr>
            <w:tcW w:w="1251" w:type="pct"/>
            <w:vMerge/>
            <w:tcMar>
              <w:top w:w="0" w:type="dxa"/>
              <w:left w:w="115" w:type="dxa"/>
              <w:bottom w:w="0" w:type="dxa"/>
              <w:right w:w="115" w:type="dxa"/>
            </w:tcMar>
            <w:vAlign w:val="center"/>
          </w:tcPr>
          <w:p w14:paraId="088469CA"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ADB271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English language learner status</w:t>
            </w:r>
          </w:p>
        </w:tc>
      </w:tr>
      <w:tr w:rsidR="00F11A5F" w:rsidRPr="00A95C35" w14:paraId="54D12F0A" w14:textId="77777777" w:rsidTr="00C55CAB">
        <w:trPr>
          <w:trHeight w:val="20"/>
        </w:trPr>
        <w:tc>
          <w:tcPr>
            <w:tcW w:w="1251" w:type="pct"/>
            <w:vMerge/>
            <w:tcMar>
              <w:top w:w="0" w:type="dxa"/>
              <w:left w:w="115" w:type="dxa"/>
              <w:bottom w:w="0" w:type="dxa"/>
              <w:right w:w="115" w:type="dxa"/>
            </w:tcMar>
            <w:vAlign w:val="center"/>
          </w:tcPr>
          <w:p w14:paraId="7FE34B28"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4DC739D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overall</w:t>
            </w:r>
          </w:p>
          <w:p w14:paraId="6F02ADC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English</w:t>
            </w:r>
          </w:p>
        </w:tc>
      </w:tr>
      <w:tr w:rsidR="00F11A5F" w:rsidRPr="00A95C35" w14:paraId="10564038"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78066FC4"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29FAA9F1"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mathematics</w:t>
            </w:r>
          </w:p>
        </w:tc>
      </w:tr>
      <w:tr w:rsidR="00F11A5F" w:rsidRPr="00A95C35" w14:paraId="1E615D51"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57EA6AA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5709648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GPA: science</w:t>
            </w:r>
          </w:p>
        </w:tc>
      </w:tr>
      <w:tr w:rsidR="00F11A5F" w:rsidRPr="00A95C35" w14:paraId="58CD13EF"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1845A599"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42EEA8C3"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Total credits earned</w:t>
            </w:r>
          </w:p>
        </w:tc>
      </w:tr>
      <w:tr w:rsidR="007E68D0" w:rsidRPr="00A95C35" w14:paraId="4DB7618B" w14:textId="77777777" w:rsidTr="00C55CAB">
        <w:tblPrEx>
          <w:tblCellMar>
            <w:top w:w="0" w:type="dxa"/>
            <w:bottom w:w="0" w:type="dxa"/>
          </w:tblCellMar>
        </w:tblPrEx>
        <w:trPr>
          <w:trHeight w:val="20"/>
        </w:trPr>
        <w:tc>
          <w:tcPr>
            <w:tcW w:w="1251" w:type="pct"/>
            <w:vMerge/>
            <w:tcMar>
              <w:top w:w="0" w:type="dxa"/>
              <w:left w:w="115" w:type="dxa"/>
              <w:bottom w:w="0" w:type="dxa"/>
              <w:right w:w="115" w:type="dxa"/>
            </w:tcMar>
            <w:vAlign w:val="center"/>
          </w:tcPr>
          <w:p w14:paraId="4E82A28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p>
        </w:tc>
        <w:tc>
          <w:tcPr>
            <w:tcW w:w="3749" w:type="pct"/>
            <w:tcMar>
              <w:top w:w="0" w:type="dxa"/>
              <w:left w:w="115" w:type="dxa"/>
              <w:bottom w:w="0" w:type="dxa"/>
              <w:right w:w="115" w:type="dxa"/>
            </w:tcMar>
            <w:vAlign w:val="center"/>
          </w:tcPr>
          <w:p w14:paraId="04A1BB56"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Credits earned in academic courses</w:t>
            </w:r>
          </w:p>
          <w:p w14:paraId="4B9C7EC0" w14:textId="77777777" w:rsidR="00D3014C" w:rsidRPr="00A95C35" w:rsidRDefault="00D3014C" w:rsidP="00C55CAB">
            <w:pPr>
              <w:autoSpaceDE w:val="0"/>
              <w:autoSpaceDN w:val="0"/>
              <w:adjustRightInd w:val="0"/>
              <w:spacing w:line="23" w:lineRule="atLeast"/>
              <w:rPr>
                <w:rFonts w:ascii="Arial" w:eastAsiaTheme="minorHAnsi" w:hAnsi="Arial" w:cs="Arial"/>
                <w:sz w:val="20"/>
                <w:szCs w:val="20"/>
              </w:rPr>
            </w:pPr>
            <w:r w:rsidRPr="00A95C35">
              <w:rPr>
                <w:rFonts w:ascii="Arial" w:eastAsiaTheme="minorHAnsi" w:hAnsi="Arial" w:cs="Arial"/>
                <w:sz w:val="20"/>
                <w:szCs w:val="20"/>
              </w:rPr>
              <w:t>Ever had a dropout episode</w:t>
            </w:r>
          </w:p>
        </w:tc>
      </w:tr>
    </w:tbl>
    <w:p w14:paraId="0F25EA84" w14:textId="77777777" w:rsidR="00D3014C" w:rsidRPr="00A95C35" w:rsidRDefault="00D3014C" w:rsidP="00D3014C">
      <w:pPr>
        <w:rPr>
          <w:sz w:val="20"/>
          <w:szCs w:val="18"/>
        </w:rPr>
      </w:pPr>
    </w:p>
    <w:p w14:paraId="3CA27556" w14:textId="77777777" w:rsidR="00D3014C" w:rsidRPr="00A95C35" w:rsidRDefault="00D3014C" w:rsidP="0006440F">
      <w:pPr>
        <w:pStyle w:val="bodytextpsg"/>
        <w:spacing w:after="120" w:line="23" w:lineRule="atLeast"/>
      </w:pPr>
      <w:r w:rsidRPr="00A95C35">
        <w:t>The goal of the bias likelihood model is not to accurately predict response, but to classify sample members’ current response rates along the dimensions represented by the predictor variables. As such, statistical significance should not be a determining factor in which variables are included in the model, rather the criterion should be that variable’s importance for HSLS</w:t>
      </w:r>
      <w:proofErr w:type="gramStart"/>
      <w:r w:rsidRPr="00A95C35">
        <w:t>:09</w:t>
      </w:r>
      <w:proofErr w:type="gramEnd"/>
      <w:r w:rsidRPr="00A95C35">
        <w:t>. The threshold for identifying cases for targeted treatment will be based on an assessment of the bias likelihood score, the response likelihood score, and available project resources.</w:t>
      </w:r>
    </w:p>
    <w:p w14:paraId="3F7C449A" w14:textId="77777777" w:rsidR="00D3014C" w:rsidRPr="00A95C35" w:rsidRDefault="00D3014C" w:rsidP="00D3014C">
      <w:pPr>
        <w:spacing w:after="120" w:line="23" w:lineRule="atLeast"/>
        <w:rPr>
          <w:rFonts w:asciiTheme="majorBidi" w:hAnsiTheme="majorBidi"/>
        </w:rPr>
      </w:pPr>
      <w:proofErr w:type="gramStart"/>
      <w:r w:rsidRPr="00A95C35">
        <w:rPr>
          <w:rFonts w:asciiTheme="majorBidi" w:hAnsiTheme="majorBidi" w:cstheme="majorBidi"/>
          <w:b/>
        </w:rPr>
        <w:t>Evaluation of responsive design approach.</w:t>
      </w:r>
      <w:proofErr w:type="gramEnd"/>
    </w:p>
    <w:p w14:paraId="1D60920D" w14:textId="77777777" w:rsidR="00D3014C" w:rsidRPr="00A95C35" w:rsidRDefault="00D3014C" w:rsidP="00D3014C">
      <w:pPr>
        <w:spacing w:after="120" w:line="23" w:lineRule="atLeast"/>
      </w:pPr>
      <w:r w:rsidRPr="00A95C35">
        <w:t>There are three elements to be evaluated in the proposed responsive design approach: (1) that sample cases that contribute to sample representativeness can be identified at the beginning of the third and subsequent data collection phases, (2) that interventions used during each phase of the data collection design are effective in increasing participation, and (3) that increasing response rates among the targeted cases will improve sample representativeness. We intend to examine these three aspects of the responsive design and its implementation for the HSLS</w:t>
      </w:r>
      <w:proofErr w:type="gramStart"/>
      <w:r w:rsidRPr="00A95C35">
        <w:t>:09</w:t>
      </w:r>
      <w:proofErr w:type="gramEnd"/>
      <w:r w:rsidRPr="00A95C35">
        <w:t xml:space="preserve"> second follow up as follows:</w:t>
      </w:r>
    </w:p>
    <w:p w14:paraId="1CCFC8DA" w14:textId="77777777" w:rsidR="00D3014C" w:rsidRPr="00A95C35" w:rsidRDefault="00D3014C" w:rsidP="00D3014C">
      <w:pPr>
        <w:pStyle w:val="ListParagraph"/>
        <w:numPr>
          <w:ilvl w:val="0"/>
          <w:numId w:val="18"/>
        </w:numPr>
        <w:spacing w:after="120" w:line="23" w:lineRule="atLeast"/>
        <w:ind w:left="450"/>
        <w:rPr>
          <w:rFonts w:ascii="Times New Roman" w:hAnsi="Times New Roman"/>
          <w:sz w:val="24"/>
        </w:rPr>
      </w:pPr>
      <w:r w:rsidRPr="00A95C35">
        <w:rPr>
          <w:rFonts w:ascii="Times New Roman" w:hAnsi="Times New Roman"/>
          <w:i/>
          <w:iCs/>
          <w:sz w:val="24"/>
          <w:szCs w:val="24"/>
        </w:rPr>
        <w:t xml:space="preserve">Evaluate the bias likelihood model used to identify targeted cases. </w:t>
      </w:r>
      <w:r w:rsidRPr="00A95C35">
        <w:rPr>
          <w:rFonts w:ascii="Times New Roman" w:hAnsi="Times New Roman"/>
          <w:sz w:val="24"/>
          <w:szCs w:val="24"/>
        </w:rPr>
        <w:t xml:space="preserve">To assess whether the bias likelihood model successfully identifies nonresponding cases that are underrepresented on key survey variables, we will compare estimates within the categories of each model variable for respondents and </w:t>
      </w:r>
      <w:proofErr w:type="spellStart"/>
      <w:r w:rsidRPr="00A95C35">
        <w:rPr>
          <w:rFonts w:ascii="Times New Roman" w:hAnsi="Times New Roman"/>
          <w:sz w:val="24"/>
          <w:szCs w:val="24"/>
        </w:rPr>
        <w:t>nonrespondents</w:t>
      </w:r>
      <w:proofErr w:type="spellEnd"/>
      <w:r w:rsidRPr="00A95C35">
        <w:rPr>
          <w:rFonts w:ascii="Times New Roman" w:hAnsi="Times New Roman"/>
          <w:sz w:val="24"/>
          <w:szCs w:val="24"/>
        </w:rPr>
        <w:t xml:space="preserve"> at each phase. This comparison will highlight the model variables that exhibit bias at each phase and the relative size of the imbalance that remains to be reduced through the intervention.</w:t>
      </w:r>
    </w:p>
    <w:p w14:paraId="6A591BA6" w14:textId="77777777" w:rsidR="00D3014C" w:rsidRPr="00A95C35" w:rsidRDefault="00D3014C" w:rsidP="00D3014C">
      <w:pPr>
        <w:pStyle w:val="ListParagraph"/>
        <w:numPr>
          <w:ilvl w:val="0"/>
          <w:numId w:val="18"/>
        </w:numPr>
        <w:spacing w:after="120" w:line="23" w:lineRule="atLeast"/>
        <w:ind w:left="450"/>
        <w:rPr>
          <w:rFonts w:ascii="Times New Roman" w:hAnsi="Times New Roman"/>
          <w:sz w:val="24"/>
        </w:rPr>
      </w:pPr>
      <w:r w:rsidRPr="00A95C35">
        <w:rPr>
          <w:rFonts w:ascii="Times New Roman" w:hAnsi="Times New Roman"/>
          <w:i/>
          <w:iCs/>
          <w:sz w:val="24"/>
          <w:szCs w:val="24"/>
        </w:rPr>
        <w:t xml:space="preserve">Evaluate the effectiveness of each intervention in increasing survey participation. </w:t>
      </w:r>
      <w:r w:rsidRPr="00A95C35">
        <w:rPr>
          <w:rFonts w:ascii="Times New Roman" w:hAnsi="Times New Roman"/>
          <w:sz w:val="24"/>
          <w:szCs w:val="24"/>
        </w:rPr>
        <w:t xml:space="preserve">The second key component of this responsive design is the effectiveness of the targeted treatments in increasing </w:t>
      </w:r>
      <w:r w:rsidRPr="00A95C35">
        <w:rPr>
          <w:rFonts w:ascii="Times New Roman" w:hAnsi="Times New Roman"/>
          <w:sz w:val="24"/>
          <w:szCs w:val="24"/>
        </w:rPr>
        <w:lastRenderedPageBreak/>
        <w:t>participation. Experiments conducted with the calibration samples will allow us to assess the efficacy of the various treatments.</w:t>
      </w:r>
    </w:p>
    <w:p w14:paraId="7786A1F1" w14:textId="77777777" w:rsidR="00D3014C" w:rsidRPr="00A95C35" w:rsidRDefault="00D3014C" w:rsidP="00D3014C">
      <w:pPr>
        <w:pStyle w:val="ListParagraph"/>
        <w:numPr>
          <w:ilvl w:val="0"/>
          <w:numId w:val="18"/>
        </w:numPr>
        <w:spacing w:after="120" w:line="23" w:lineRule="atLeast"/>
        <w:ind w:left="450"/>
      </w:pPr>
      <w:r w:rsidRPr="00A95C35">
        <w:rPr>
          <w:rFonts w:ascii="Times New Roman" w:hAnsi="Times New Roman"/>
          <w:i/>
          <w:iCs/>
          <w:sz w:val="24"/>
          <w:szCs w:val="24"/>
        </w:rPr>
        <w:t xml:space="preserve">Evaluate the ability to increase sample representativeness, by identifying cases for targeted treatment. </w:t>
      </w:r>
      <w:r w:rsidRPr="00A95C35">
        <w:rPr>
          <w:rFonts w:ascii="Times New Roman" w:hAnsi="Times New Roman"/>
          <w:sz w:val="24"/>
          <w:szCs w:val="24"/>
        </w:rPr>
        <w:t xml:space="preserve">We will measure sample representativeness by comparing estimates on key variables for respondents and </w:t>
      </w:r>
      <w:proofErr w:type="spellStart"/>
      <w:r w:rsidRPr="00A95C35">
        <w:rPr>
          <w:rFonts w:ascii="Times New Roman" w:hAnsi="Times New Roman"/>
          <w:sz w:val="24"/>
          <w:szCs w:val="24"/>
        </w:rPr>
        <w:t>nonrespondents</w:t>
      </w:r>
      <w:proofErr w:type="spellEnd"/>
      <w:r w:rsidRPr="00A95C35">
        <w:rPr>
          <w:rFonts w:ascii="Times New Roman" w:hAnsi="Times New Roman"/>
          <w:sz w:val="24"/>
          <w:szCs w:val="24"/>
        </w:rPr>
        <w:t>, at each phase of data collection and at the end of data collection. We will then be able to assess whether sample representativeness is improved over the course of data collection through the use of the targeted interventions for cases identified with the bias likelihood model.</w:t>
      </w:r>
    </w:p>
    <w:p w14:paraId="02FF974F" w14:textId="2D2256C7" w:rsidR="00D3014C" w:rsidRPr="00A95C35" w:rsidRDefault="00D3014C" w:rsidP="00D3014C">
      <w:pPr>
        <w:spacing w:after="120" w:line="23" w:lineRule="atLeast"/>
        <w:rPr>
          <w:rFonts w:ascii="Times New Roman Bold" w:hAnsi="Times New Roman Bold"/>
          <w:b/>
          <w:bCs/>
          <w:caps/>
          <w:sz w:val="22"/>
          <w:szCs w:val="22"/>
        </w:rPr>
      </w:pPr>
    </w:p>
    <w:p w14:paraId="225C75D0" w14:textId="77777777" w:rsidR="00D3014C" w:rsidRPr="00A95C35" w:rsidRDefault="00D3014C" w:rsidP="00D3014C">
      <w:pPr>
        <w:pStyle w:val="Heading1"/>
        <w:spacing w:line="23" w:lineRule="atLeast"/>
        <w:rPr>
          <w:sz w:val="22"/>
          <w:szCs w:val="22"/>
        </w:rPr>
      </w:pPr>
      <w:bookmarkStart w:id="9" w:name="_Toc433779232"/>
      <w:bookmarkStart w:id="10" w:name="_Toc430962815"/>
      <w:r w:rsidRPr="00A95C35">
        <w:rPr>
          <w:sz w:val="22"/>
          <w:szCs w:val="22"/>
        </w:rPr>
        <w:t>References</w:t>
      </w:r>
      <w:bookmarkEnd w:id="9"/>
      <w:bookmarkEnd w:id="10"/>
    </w:p>
    <w:p w14:paraId="50206450" w14:textId="77777777" w:rsidR="00D3014C" w:rsidRPr="00A95C35" w:rsidRDefault="00D3014C" w:rsidP="00D3014C">
      <w:pPr>
        <w:pStyle w:val="R-Pubs-Pres"/>
        <w:spacing w:after="120" w:line="23" w:lineRule="atLeast"/>
        <w:rPr>
          <w:szCs w:val="22"/>
        </w:rPr>
      </w:pPr>
      <w:r w:rsidRPr="00A95C35">
        <w:rPr>
          <w:szCs w:val="22"/>
        </w:rPr>
        <w:t>Rosen, J. A.,</w:t>
      </w:r>
      <w:r w:rsidRPr="00A95C35">
        <w:rPr>
          <w:rStyle w:val="apple-converted-space"/>
          <w:szCs w:val="22"/>
        </w:rPr>
        <w:t> </w:t>
      </w:r>
      <w:r w:rsidRPr="00A95C35">
        <w:rPr>
          <w:szCs w:val="22"/>
        </w:rPr>
        <w:t>Murphy, J. J.,</w:t>
      </w:r>
      <w:r w:rsidRPr="00A95C35">
        <w:rPr>
          <w:rStyle w:val="apple-converted-space"/>
          <w:szCs w:val="22"/>
        </w:rPr>
        <w:t> </w:t>
      </w:r>
      <w:r w:rsidRPr="00A95C35">
        <w:rPr>
          <w:szCs w:val="22"/>
        </w:rPr>
        <w:t>Peytchev, A.,</w:t>
      </w:r>
      <w:r w:rsidRPr="00A95C35">
        <w:rPr>
          <w:rStyle w:val="apple-converted-space"/>
          <w:szCs w:val="22"/>
        </w:rPr>
        <w:t> </w:t>
      </w:r>
      <w:r w:rsidRPr="00A95C35">
        <w:rPr>
          <w:szCs w:val="22"/>
        </w:rPr>
        <w:t>Holder, T. E.,</w:t>
      </w:r>
      <w:r w:rsidRPr="00A95C35">
        <w:rPr>
          <w:rStyle w:val="apple-converted-space"/>
          <w:szCs w:val="22"/>
        </w:rPr>
        <w:t> </w:t>
      </w:r>
      <w:proofErr w:type="spellStart"/>
      <w:r w:rsidRPr="00A95C35">
        <w:rPr>
          <w:szCs w:val="22"/>
        </w:rPr>
        <w:t>Dever</w:t>
      </w:r>
      <w:proofErr w:type="spellEnd"/>
      <w:r w:rsidRPr="00A95C35">
        <w:rPr>
          <w:szCs w:val="22"/>
        </w:rPr>
        <w:t xml:space="preserve">, J. A., </w:t>
      </w:r>
      <w:proofErr w:type="spellStart"/>
      <w:r w:rsidRPr="00A95C35">
        <w:rPr>
          <w:szCs w:val="22"/>
        </w:rPr>
        <w:t>Herget</w:t>
      </w:r>
      <w:proofErr w:type="spellEnd"/>
      <w:r w:rsidRPr="00A95C35">
        <w:rPr>
          <w:szCs w:val="22"/>
        </w:rPr>
        <w:t>, D. R., &amp;</w:t>
      </w:r>
      <w:r w:rsidRPr="00A95C35">
        <w:rPr>
          <w:rStyle w:val="apple-converted-space"/>
          <w:szCs w:val="22"/>
        </w:rPr>
        <w:t> </w:t>
      </w:r>
      <w:r w:rsidRPr="00A95C35">
        <w:rPr>
          <w:szCs w:val="22"/>
        </w:rPr>
        <w:t>Pratt, D. J.</w:t>
      </w:r>
      <w:r w:rsidRPr="00A95C35">
        <w:rPr>
          <w:rStyle w:val="apple-converted-space"/>
          <w:szCs w:val="22"/>
        </w:rPr>
        <w:t> </w:t>
      </w:r>
      <w:r w:rsidRPr="00A95C35">
        <w:rPr>
          <w:szCs w:val="22"/>
        </w:rPr>
        <w:t xml:space="preserve">(2014). </w:t>
      </w:r>
      <w:proofErr w:type="gramStart"/>
      <w:r w:rsidRPr="00A95C35">
        <w:rPr>
          <w:szCs w:val="22"/>
        </w:rPr>
        <w:t>Prioritizing low-propensity sample members in a survey: Implications for nonresponse bias.</w:t>
      </w:r>
      <w:proofErr w:type="gramEnd"/>
      <w:r w:rsidRPr="00A95C35">
        <w:rPr>
          <w:rStyle w:val="apple-converted-space"/>
          <w:szCs w:val="22"/>
        </w:rPr>
        <w:t> </w:t>
      </w:r>
      <w:r w:rsidRPr="00A95C35">
        <w:rPr>
          <w:i/>
          <w:szCs w:val="22"/>
        </w:rPr>
        <w:t>Survey Practice, 7</w:t>
      </w:r>
      <w:r w:rsidRPr="00A95C35">
        <w:rPr>
          <w:szCs w:val="22"/>
        </w:rPr>
        <w:t>(1), 1–8.</w:t>
      </w:r>
    </w:p>
    <w:p w14:paraId="05B520F1" w14:textId="77777777" w:rsidR="00D3014C" w:rsidRPr="00A95C35" w:rsidRDefault="00D3014C" w:rsidP="00D3014C">
      <w:pPr>
        <w:pStyle w:val="R-Pubs-Pres"/>
        <w:spacing w:after="120" w:line="23" w:lineRule="atLeast"/>
        <w:rPr>
          <w:szCs w:val="22"/>
        </w:rPr>
      </w:pPr>
      <w:proofErr w:type="gramStart"/>
      <w:r w:rsidRPr="00A95C35">
        <w:rPr>
          <w:bCs/>
          <w:szCs w:val="22"/>
        </w:rPr>
        <w:t>Pratt, D. J.</w:t>
      </w:r>
      <w:r w:rsidRPr="00A95C35">
        <w:rPr>
          <w:szCs w:val="22"/>
        </w:rPr>
        <w:t xml:space="preserve"> (Invited Speaker).</w:t>
      </w:r>
      <w:proofErr w:type="gramEnd"/>
      <w:r w:rsidRPr="00A95C35">
        <w:rPr>
          <w:szCs w:val="22"/>
        </w:rPr>
        <w:t xml:space="preserve"> (2014, March). </w:t>
      </w:r>
      <w:r w:rsidRPr="00A95C35">
        <w:rPr>
          <w:i/>
          <w:iCs/>
          <w:szCs w:val="22"/>
        </w:rPr>
        <w:t xml:space="preserve">What is adaptive design in practice? </w:t>
      </w:r>
      <w:proofErr w:type="gramStart"/>
      <w:r w:rsidRPr="00A95C35">
        <w:rPr>
          <w:i/>
          <w:iCs/>
          <w:szCs w:val="22"/>
        </w:rPr>
        <w:t>Approaches, experiences, and perspectives</w:t>
      </w:r>
      <w:r w:rsidRPr="00A95C35">
        <w:rPr>
          <w:szCs w:val="22"/>
        </w:rPr>
        <w:t>.</w:t>
      </w:r>
      <w:proofErr w:type="gramEnd"/>
      <w:r w:rsidRPr="00A95C35">
        <w:rPr>
          <w:szCs w:val="22"/>
        </w:rPr>
        <w:t xml:space="preserve"> </w:t>
      </w:r>
      <w:proofErr w:type="gramStart"/>
      <w:r w:rsidRPr="00A95C35">
        <w:rPr>
          <w:szCs w:val="22"/>
        </w:rPr>
        <w:t xml:space="preserve">Presented at </w:t>
      </w:r>
      <w:proofErr w:type="spellStart"/>
      <w:r w:rsidRPr="00A95C35">
        <w:rPr>
          <w:szCs w:val="22"/>
        </w:rPr>
        <w:t>FedCASIC</w:t>
      </w:r>
      <w:proofErr w:type="spellEnd"/>
      <w:r w:rsidRPr="00A95C35">
        <w:rPr>
          <w:szCs w:val="22"/>
        </w:rPr>
        <w:t xml:space="preserve"> 2014 Workshop Plenary Panel Session, Washington, DC.</w:t>
      </w:r>
      <w:proofErr w:type="gramEnd"/>
    </w:p>
    <w:p w14:paraId="10BD62CB" w14:textId="77777777" w:rsidR="00D3014C" w:rsidRPr="00A95C35" w:rsidRDefault="00D3014C" w:rsidP="00D3014C">
      <w:pPr>
        <w:pStyle w:val="R-Pubs-Pres"/>
        <w:spacing w:after="240" w:line="23" w:lineRule="atLeast"/>
        <w:rPr>
          <w:szCs w:val="22"/>
        </w:rPr>
      </w:pPr>
      <w:proofErr w:type="gramStart"/>
      <w:r w:rsidRPr="00A95C35">
        <w:rPr>
          <w:szCs w:val="22"/>
        </w:rPr>
        <w:t>Pratt, D. J. (2013, December).</w:t>
      </w:r>
      <w:proofErr w:type="gramEnd"/>
      <w:r w:rsidRPr="00A95C35">
        <w:rPr>
          <w:szCs w:val="22"/>
        </w:rPr>
        <w:t xml:space="preserve"> </w:t>
      </w:r>
      <w:proofErr w:type="gramStart"/>
      <w:r w:rsidRPr="00A95C35">
        <w:rPr>
          <w:i/>
          <w:szCs w:val="22"/>
        </w:rPr>
        <w:t>Modeling, prioritization, and phased interventions to reduce potential nonresponse bias</w:t>
      </w:r>
      <w:r w:rsidRPr="00A95C35">
        <w:rPr>
          <w:szCs w:val="22"/>
        </w:rPr>
        <w:t>.</w:t>
      </w:r>
      <w:proofErr w:type="gramEnd"/>
      <w:r w:rsidRPr="00A95C35">
        <w:rPr>
          <w:szCs w:val="22"/>
        </w:rPr>
        <w:t xml:space="preserve"> </w:t>
      </w:r>
      <w:proofErr w:type="gramStart"/>
      <w:r w:rsidRPr="00A95C35">
        <w:rPr>
          <w:szCs w:val="22"/>
        </w:rPr>
        <w:t>Presented at Workshop on Advances in Adaptive and Responsive Survey Design, Heerlen, Netherlands.</w:t>
      </w:r>
      <w:proofErr w:type="gramEnd"/>
    </w:p>
    <w:p w14:paraId="4C83C3C9" w14:textId="77777777" w:rsidR="00D3014C" w:rsidRPr="00A95C35" w:rsidRDefault="00D3014C" w:rsidP="00D3014C">
      <w:pPr>
        <w:pStyle w:val="R-Pubs-Pres"/>
        <w:spacing w:after="120" w:line="23" w:lineRule="atLeast"/>
        <w:rPr>
          <w:szCs w:val="22"/>
        </w:rPr>
      </w:pPr>
    </w:p>
    <w:p w14:paraId="75FADF24" w14:textId="77777777" w:rsidR="00D3014C" w:rsidRPr="00A95C35" w:rsidRDefault="00D3014C" w:rsidP="00D3014C"/>
    <w:p w14:paraId="721C8951" w14:textId="77777777" w:rsidR="00D3014C" w:rsidRPr="00A95C35" w:rsidRDefault="00D3014C">
      <w:pPr>
        <w:rPr>
          <w:rFonts w:asciiTheme="majorBidi" w:eastAsia="Calibri" w:hAnsiTheme="majorBidi" w:cstheme="majorBidi"/>
          <w:b/>
          <w:sz w:val="36"/>
        </w:rPr>
      </w:pPr>
      <w:r w:rsidRPr="00A95C35">
        <w:rPr>
          <w:rFonts w:asciiTheme="majorBidi" w:hAnsiTheme="majorBidi" w:cstheme="majorBidi"/>
          <w:b/>
          <w:sz w:val="36"/>
        </w:rPr>
        <w:br w:type="page"/>
      </w:r>
    </w:p>
    <w:p w14:paraId="03FECA8D" w14:textId="094B0973" w:rsidR="00D3014C" w:rsidRPr="00A95C35" w:rsidRDefault="00D3014C" w:rsidP="00AE4148">
      <w:pPr>
        <w:pStyle w:val="ListParagraph"/>
        <w:spacing w:line="23" w:lineRule="atLeast"/>
        <w:ind w:left="0"/>
        <w:jc w:val="center"/>
        <w:rPr>
          <w:rFonts w:asciiTheme="majorBidi" w:hAnsiTheme="majorBidi"/>
          <w:b/>
          <w:sz w:val="36"/>
        </w:rPr>
      </w:pPr>
      <w:r w:rsidRPr="00A95C35">
        <w:rPr>
          <w:rFonts w:asciiTheme="majorBidi" w:hAnsiTheme="majorBidi"/>
          <w:b/>
          <w:sz w:val="36"/>
        </w:rPr>
        <w:lastRenderedPageBreak/>
        <w:t>Attachment 2 – Calibration sample results for phases 1 and 2</w:t>
      </w:r>
      <w:r w:rsidR="005A6173" w:rsidRPr="00A95C35">
        <w:rPr>
          <w:rFonts w:asciiTheme="majorBidi" w:hAnsiTheme="majorBidi"/>
          <w:b/>
          <w:sz w:val="36"/>
        </w:rPr>
        <w:t>, as of 4/28/2016</w:t>
      </w:r>
    </w:p>
    <w:p w14:paraId="7BEB2200" w14:textId="77777777" w:rsidR="005A6173" w:rsidRPr="00A95C35" w:rsidRDefault="005A6173" w:rsidP="00D3014C">
      <w:pPr>
        <w:rPr>
          <w:rFonts w:ascii="Garamond" w:hAnsi="Garamond"/>
          <w:b/>
          <w:sz w:val="28"/>
        </w:rPr>
      </w:pPr>
    </w:p>
    <w:p w14:paraId="60AD2B28" w14:textId="77777777" w:rsidR="00D3014C" w:rsidRPr="00A95C35" w:rsidRDefault="00D3014C" w:rsidP="00D3014C">
      <w:pPr>
        <w:rPr>
          <w:rFonts w:ascii="Garamond" w:hAnsi="Garamond"/>
          <w:b/>
          <w:sz w:val="28"/>
        </w:rPr>
      </w:pPr>
      <w:r w:rsidRPr="00A95C35">
        <w:rPr>
          <w:rFonts w:ascii="Garamond" w:hAnsi="Garamond"/>
          <w:b/>
          <w:sz w:val="28"/>
        </w:rPr>
        <w:t>HSLS</w:t>
      </w:r>
      <w:proofErr w:type="gramStart"/>
      <w:r w:rsidRPr="00A95C35">
        <w:rPr>
          <w:rFonts w:ascii="Garamond" w:hAnsi="Garamond"/>
          <w:b/>
          <w:sz w:val="28"/>
        </w:rPr>
        <w:t>:09</w:t>
      </w:r>
      <w:proofErr w:type="gramEnd"/>
      <w:r w:rsidRPr="00A95C35">
        <w:rPr>
          <w:rFonts w:ascii="Garamond" w:hAnsi="Garamond"/>
          <w:b/>
          <w:sz w:val="28"/>
        </w:rPr>
        <w:t xml:space="preserve"> calibration study analysis: Phase 1 (baseline incentive) and 2 (CATI)</w:t>
      </w:r>
    </w:p>
    <w:p w14:paraId="219AC4A1" w14:textId="77777777" w:rsidR="005A6173" w:rsidRPr="00A95C35" w:rsidRDefault="005A6173" w:rsidP="00D3014C">
      <w:pPr>
        <w:rPr>
          <w:rFonts w:ascii="Garamond" w:hAnsi="Garamond"/>
          <w:b/>
          <w:sz w:val="28"/>
        </w:rPr>
      </w:pPr>
    </w:p>
    <w:p w14:paraId="6E5D969D" w14:textId="73AC3EA8" w:rsidR="00D3014C" w:rsidRPr="00A95C35" w:rsidRDefault="00D3014C" w:rsidP="0006440F">
      <w:pPr>
        <w:spacing w:after="120"/>
        <w:rPr>
          <w:rFonts w:ascii="Garamond" w:hAnsi="Garamond"/>
          <w:b/>
        </w:rPr>
      </w:pPr>
      <w:proofErr w:type="gramStart"/>
      <w:r w:rsidRPr="00A95C35">
        <w:rPr>
          <w:rFonts w:ascii="Garamond" w:hAnsi="Garamond"/>
          <w:i/>
        </w:rPr>
        <w:t>Baseline incentive (Phase 1 and 2).</w:t>
      </w:r>
      <w:proofErr w:type="gramEnd"/>
      <w:r w:rsidRPr="00A95C35">
        <w:rPr>
          <w:rFonts w:ascii="Garamond" w:hAnsi="Garamond"/>
        </w:rPr>
        <w:t xml:space="preserve"> To assess the efficacy of the baseline incentive within the three subgroups defined below, chi-square tests were used to perform pairwise contrasts between the </w:t>
      </w:r>
      <w:proofErr w:type="gramStart"/>
      <w:r w:rsidRPr="00A95C35">
        <w:rPr>
          <w:rFonts w:ascii="Garamond" w:hAnsi="Garamond"/>
        </w:rPr>
        <w:t>incentive</w:t>
      </w:r>
      <w:proofErr w:type="gramEnd"/>
      <w:r w:rsidRPr="00A95C35">
        <w:rPr>
          <w:rFonts w:ascii="Garamond" w:hAnsi="Garamond"/>
        </w:rPr>
        <w:t xml:space="preserve"> amounts offered to cases selected for the calibration study. Note that partially complete cases are excluded from this analysis. Included in this analysis are the following:</w:t>
      </w:r>
    </w:p>
    <w:p w14:paraId="1767F342" w14:textId="77777777" w:rsidR="00D3014C" w:rsidRPr="00A95C35" w:rsidRDefault="00D3014C" w:rsidP="0006440F">
      <w:pPr>
        <w:pStyle w:val="ListParagraph"/>
        <w:numPr>
          <w:ilvl w:val="0"/>
          <w:numId w:val="13"/>
        </w:numPr>
        <w:spacing w:after="120" w:line="259" w:lineRule="auto"/>
        <w:contextualSpacing/>
        <w:rPr>
          <w:rFonts w:ascii="Garamond" w:hAnsi="Garamond"/>
          <w:sz w:val="24"/>
        </w:rPr>
      </w:pPr>
      <w:r w:rsidRPr="00A95C35">
        <w:rPr>
          <w:rFonts w:ascii="Garamond" w:hAnsi="Garamond"/>
          <w:sz w:val="24"/>
        </w:rPr>
        <w:t xml:space="preserve">Subgroup </w:t>
      </w:r>
      <w:proofErr w:type="gramStart"/>
      <w:r w:rsidRPr="00A95C35">
        <w:rPr>
          <w:rFonts w:ascii="Garamond" w:hAnsi="Garamond"/>
          <w:sz w:val="24"/>
        </w:rPr>
        <w:t>A</w:t>
      </w:r>
      <w:proofErr w:type="gramEnd"/>
      <w:r w:rsidRPr="00A95C35">
        <w:rPr>
          <w:rFonts w:ascii="Garamond" w:hAnsi="Garamond"/>
          <w:sz w:val="24"/>
        </w:rPr>
        <w:t xml:space="preserve"> (High School Late/Alternative/ Non-Completers) cases randomly assigned to baseline incentive amounts of $30, $40, or $50.</w:t>
      </w:r>
    </w:p>
    <w:p w14:paraId="09EBE5F3" w14:textId="076DA6CF" w:rsidR="00D3014C" w:rsidRPr="00A95C35" w:rsidRDefault="00D3014C" w:rsidP="0006440F">
      <w:pPr>
        <w:pStyle w:val="ListParagraph"/>
        <w:numPr>
          <w:ilvl w:val="0"/>
          <w:numId w:val="13"/>
        </w:numPr>
        <w:spacing w:after="120" w:line="259" w:lineRule="auto"/>
        <w:contextualSpacing/>
        <w:rPr>
          <w:rFonts w:ascii="Garamond" w:hAnsi="Garamond"/>
          <w:sz w:val="24"/>
        </w:rPr>
      </w:pPr>
      <w:r w:rsidRPr="00A95C35">
        <w:rPr>
          <w:rFonts w:ascii="Garamond" w:hAnsi="Garamond"/>
          <w:sz w:val="24"/>
        </w:rPr>
        <w:t>Subgroup B (Ultra-Cooperative Respondents) cases not offered a baseline incentive. While not an experimental comparison, the Subgroup B response rate is presented along with response rates from other studies. We compare with BPS</w:t>
      </w:r>
      <w:proofErr w:type="gramStart"/>
      <w:r w:rsidRPr="00A95C35">
        <w:rPr>
          <w:rFonts w:ascii="Garamond" w:hAnsi="Garamond"/>
          <w:sz w:val="24"/>
        </w:rPr>
        <w:t>:12</w:t>
      </w:r>
      <w:proofErr w:type="gramEnd"/>
      <w:r w:rsidRPr="00A95C35">
        <w:rPr>
          <w:rFonts w:ascii="Garamond" w:hAnsi="Garamond"/>
          <w:sz w:val="24"/>
        </w:rPr>
        <w:t>/14 because the BPS:12/14 and HSLS:09 second follow-up samples are similar in age. We also include results from the B&amp;B</w:t>
      </w:r>
      <w:proofErr w:type="gramStart"/>
      <w:r w:rsidRPr="00A95C35">
        <w:rPr>
          <w:rFonts w:ascii="Garamond" w:hAnsi="Garamond"/>
          <w:sz w:val="24"/>
        </w:rPr>
        <w:t>:08</w:t>
      </w:r>
      <w:proofErr w:type="gramEnd"/>
      <w:r w:rsidRPr="00A95C35">
        <w:rPr>
          <w:rFonts w:ascii="Garamond" w:hAnsi="Garamond"/>
          <w:sz w:val="24"/>
        </w:rPr>
        <w:t xml:space="preserve">/12, another highly cooperative population. </w:t>
      </w:r>
    </w:p>
    <w:p w14:paraId="39E14CE1" w14:textId="77777777" w:rsidR="00D3014C" w:rsidRPr="00A95C35" w:rsidRDefault="00D3014C" w:rsidP="0006440F">
      <w:pPr>
        <w:pStyle w:val="ListParagraph"/>
        <w:numPr>
          <w:ilvl w:val="0"/>
          <w:numId w:val="13"/>
        </w:numPr>
        <w:spacing w:after="120" w:line="259" w:lineRule="auto"/>
        <w:contextualSpacing/>
        <w:rPr>
          <w:rFonts w:ascii="Garamond" w:hAnsi="Garamond"/>
          <w:sz w:val="24"/>
        </w:rPr>
      </w:pPr>
      <w:r w:rsidRPr="00A95C35">
        <w:rPr>
          <w:rFonts w:ascii="Garamond" w:hAnsi="Garamond"/>
          <w:sz w:val="24"/>
        </w:rPr>
        <w:t>Subgroup C (All Other High School Completers and Unknown Cases) cases randomly assigned to six different incentive amounts, ranging from $15 to $40 ($15, $20, $25, $30, $35, or $40). The $15 starting point for this baseline incentive calibration experiment is based on the results of the HSLS</w:t>
      </w:r>
      <w:proofErr w:type="gramStart"/>
      <w:r w:rsidRPr="00A95C35">
        <w:rPr>
          <w:rFonts w:ascii="Garamond" w:hAnsi="Garamond"/>
          <w:sz w:val="24"/>
        </w:rPr>
        <w:t>:09</w:t>
      </w:r>
      <w:proofErr w:type="gramEnd"/>
      <w:r w:rsidRPr="00A95C35">
        <w:rPr>
          <w:rFonts w:ascii="Garamond" w:hAnsi="Garamond"/>
          <w:sz w:val="24"/>
        </w:rPr>
        <w:t xml:space="preserve"> second follow-up field test experiment.</w:t>
      </w:r>
    </w:p>
    <w:p w14:paraId="61276290" w14:textId="77777777" w:rsidR="00867CAE" w:rsidRDefault="00867CAE" w:rsidP="00867CAE">
      <w:pPr>
        <w:spacing w:before="120" w:after="120"/>
        <w:rPr>
          <w:rFonts w:ascii="Garamond" w:hAnsi="Garamond"/>
          <w:b/>
          <w:i/>
        </w:rPr>
      </w:pPr>
    </w:p>
    <w:p w14:paraId="60FE8824" w14:textId="666B6C37" w:rsidR="00D3014C" w:rsidRPr="00867CAE" w:rsidRDefault="00D3014C" w:rsidP="00867CAE">
      <w:pPr>
        <w:spacing w:before="120" w:after="120"/>
        <w:rPr>
          <w:rFonts w:ascii="Garamond" w:hAnsi="Garamond"/>
        </w:rPr>
      </w:pPr>
      <w:proofErr w:type="gramStart"/>
      <w:r w:rsidRPr="00A95C35">
        <w:rPr>
          <w:rFonts w:ascii="Garamond" w:hAnsi="Garamond"/>
          <w:b/>
          <w:i/>
        </w:rPr>
        <w:t>Subgroup A (High School Late/Alternative/ Non-Completers).</w:t>
      </w:r>
      <w:proofErr w:type="gramEnd"/>
      <w:r w:rsidRPr="00A95C35">
        <w:rPr>
          <w:rFonts w:ascii="Garamond" w:hAnsi="Garamond"/>
        </w:rPr>
        <w:t xml:space="preserve"> Exhibit 1 displays Subgroup </w:t>
      </w:r>
      <w:proofErr w:type="gramStart"/>
      <w:r w:rsidRPr="00A95C35">
        <w:rPr>
          <w:rFonts w:ascii="Garamond" w:hAnsi="Garamond"/>
        </w:rPr>
        <w:t>A</w:t>
      </w:r>
      <w:proofErr w:type="gramEnd"/>
      <w:r w:rsidRPr="00A95C35">
        <w:rPr>
          <w:rFonts w:ascii="Garamond" w:hAnsi="Garamond"/>
        </w:rPr>
        <w:t xml:space="preserve"> response rates by incentive level; Exhibit </w:t>
      </w:r>
      <w:r w:rsidR="00CA712C" w:rsidRPr="00A95C35">
        <w:rPr>
          <w:rFonts w:ascii="Garamond" w:hAnsi="Garamond"/>
        </w:rPr>
        <w:t>2</w:t>
      </w:r>
      <w:r w:rsidRPr="00A95C35">
        <w:rPr>
          <w:rFonts w:ascii="Garamond" w:hAnsi="Garamond"/>
        </w:rPr>
        <w:t xml:space="preserve"> displays the results of the pair-wise chi-square tests. Exhibit 1 shows that the highest response rate was achieved with the $40 incentive. Exhibit </w:t>
      </w:r>
      <w:r w:rsidR="00CA712C" w:rsidRPr="00A95C35">
        <w:rPr>
          <w:rFonts w:ascii="Garamond" w:hAnsi="Garamond"/>
        </w:rPr>
        <w:t>2</w:t>
      </w:r>
      <w:r w:rsidRPr="00A95C35">
        <w:rPr>
          <w:rFonts w:ascii="Garamond" w:hAnsi="Garamond"/>
        </w:rPr>
        <w:t xml:space="preserve"> presents statistical tests of differences; among cases in Subgroup A, response rates were highest among cases assigned a baseline incentive of $40. The $40 response rate is </w:t>
      </w:r>
      <w:r w:rsidR="00EB0F89" w:rsidRPr="00A95C35">
        <w:rPr>
          <w:rFonts w:ascii="Garamond" w:hAnsi="Garamond"/>
        </w:rPr>
        <w:t>about 6.5</w:t>
      </w:r>
      <w:r w:rsidRPr="00A95C35">
        <w:rPr>
          <w:rFonts w:ascii="Garamond" w:hAnsi="Garamond"/>
        </w:rPr>
        <w:t xml:space="preserve"> percentage points higher than the $30 rate</w:t>
      </w:r>
      <w:r w:rsidR="00F62981" w:rsidRPr="00A95C35">
        <w:rPr>
          <w:rFonts w:ascii="Garamond" w:hAnsi="Garamond"/>
        </w:rPr>
        <w:t xml:space="preserve">, though </w:t>
      </w:r>
      <w:r w:rsidRPr="00A95C35">
        <w:rPr>
          <w:rFonts w:ascii="Garamond" w:hAnsi="Garamond"/>
        </w:rPr>
        <w:t>the response rate associated with the $40 incentive is not significantly higher than with the $30 incentive at the 0.05 level, (</w:t>
      </w:r>
      <w:r w:rsidRPr="00A95C35">
        <w:rPr>
          <w:rFonts w:ascii="Garamond" w:hAnsi="Garamond"/>
          <w:i/>
        </w:rPr>
        <w:t>χ2</w:t>
      </w:r>
      <w:r w:rsidRPr="00A95C35">
        <w:rPr>
          <w:rFonts w:ascii="Garamond" w:hAnsi="Garamond"/>
        </w:rPr>
        <w:t xml:space="preserve"> (1, N = 1) = </w:t>
      </w:r>
      <w:r w:rsidR="00087219" w:rsidRPr="00A95C35">
        <w:rPr>
          <w:rFonts w:ascii="Garamond" w:hAnsi="Garamond"/>
        </w:rPr>
        <w:t>1</w:t>
      </w:r>
      <w:r w:rsidRPr="00A95C35">
        <w:rPr>
          <w:rFonts w:ascii="Garamond" w:hAnsi="Garamond"/>
        </w:rPr>
        <w:t>.</w:t>
      </w:r>
      <w:r w:rsidR="00087219" w:rsidRPr="00A95C35">
        <w:rPr>
          <w:rFonts w:ascii="Garamond" w:hAnsi="Garamond"/>
        </w:rPr>
        <w:t>84</w:t>
      </w:r>
      <w:r w:rsidRPr="00A95C35">
        <w:rPr>
          <w:rFonts w:ascii="Garamond" w:hAnsi="Garamond"/>
        </w:rPr>
        <w:t xml:space="preserve">, </w:t>
      </w:r>
      <w:r w:rsidRPr="00A95C35">
        <w:rPr>
          <w:rFonts w:ascii="Garamond" w:hAnsi="Garamond"/>
          <w:i/>
        </w:rPr>
        <w:t>p</w:t>
      </w:r>
      <w:r w:rsidRPr="00A95C35">
        <w:rPr>
          <w:rFonts w:ascii="Garamond" w:hAnsi="Garamond"/>
        </w:rPr>
        <w:t xml:space="preserve"> </w:t>
      </w:r>
      <w:r w:rsidR="00C55CAB" w:rsidRPr="00A95C35">
        <w:rPr>
          <w:rFonts w:ascii="Garamond" w:hAnsi="Garamond"/>
        </w:rPr>
        <w:t>=</w:t>
      </w:r>
      <w:r w:rsidRPr="00A95C35">
        <w:rPr>
          <w:rFonts w:ascii="Garamond" w:hAnsi="Garamond"/>
        </w:rPr>
        <w:t xml:space="preserve"> 0.</w:t>
      </w:r>
      <w:r w:rsidR="00CA712C" w:rsidRPr="00A95C35">
        <w:rPr>
          <w:rFonts w:ascii="Garamond" w:hAnsi="Garamond"/>
        </w:rPr>
        <w:t>17</w:t>
      </w:r>
      <w:r w:rsidRPr="00A95C35">
        <w:rPr>
          <w:rFonts w:ascii="Garamond" w:hAnsi="Garamond"/>
        </w:rPr>
        <w:t>).</w:t>
      </w:r>
      <w:r w:rsidR="00F62981" w:rsidRPr="00A95C35">
        <w:rPr>
          <w:rFonts w:ascii="Garamond" w:hAnsi="Garamond"/>
        </w:rPr>
        <w:t xml:space="preserve"> </w:t>
      </w:r>
      <w:r w:rsidR="00867CAE">
        <w:rPr>
          <w:rFonts w:ascii="Garamond" w:hAnsi="Garamond"/>
        </w:rPr>
        <w:t>T</w:t>
      </w:r>
      <w:r w:rsidRPr="00A95C35">
        <w:rPr>
          <w:rFonts w:ascii="Garamond" w:hAnsi="Garamond"/>
        </w:rPr>
        <w:t>he</w:t>
      </w:r>
      <w:r w:rsidR="00F62981" w:rsidRPr="00A95C35">
        <w:rPr>
          <w:rFonts w:ascii="Garamond" w:hAnsi="Garamond"/>
        </w:rPr>
        <w:t>re is virtually no difference in response rates between</w:t>
      </w:r>
      <w:r w:rsidRPr="00A95C35">
        <w:rPr>
          <w:rFonts w:ascii="Garamond" w:hAnsi="Garamond"/>
        </w:rPr>
        <w:t xml:space="preserve"> </w:t>
      </w:r>
      <w:r w:rsidR="00F62981" w:rsidRPr="00A95C35">
        <w:rPr>
          <w:rFonts w:ascii="Garamond" w:hAnsi="Garamond"/>
        </w:rPr>
        <w:t xml:space="preserve">the </w:t>
      </w:r>
      <w:r w:rsidRPr="00A95C35">
        <w:rPr>
          <w:rFonts w:ascii="Garamond" w:hAnsi="Garamond"/>
        </w:rPr>
        <w:t>$40 incentive</w:t>
      </w:r>
      <w:r w:rsidR="00F62981" w:rsidRPr="00A95C35">
        <w:rPr>
          <w:rFonts w:ascii="Garamond" w:hAnsi="Garamond"/>
        </w:rPr>
        <w:t xml:space="preserve"> group and </w:t>
      </w:r>
      <w:r w:rsidRPr="00A95C35">
        <w:rPr>
          <w:rFonts w:ascii="Garamond" w:hAnsi="Garamond"/>
        </w:rPr>
        <w:t xml:space="preserve">the $50 </w:t>
      </w:r>
      <w:r w:rsidR="00F62981" w:rsidRPr="00A95C35">
        <w:rPr>
          <w:rFonts w:ascii="Garamond" w:hAnsi="Garamond"/>
        </w:rPr>
        <w:t xml:space="preserve">group </w:t>
      </w:r>
      <w:r w:rsidRPr="00A95C35">
        <w:rPr>
          <w:rFonts w:ascii="Garamond" w:hAnsi="Garamond"/>
        </w:rPr>
        <w:t>(</w:t>
      </w:r>
      <w:r w:rsidRPr="00A95C35">
        <w:rPr>
          <w:rFonts w:ascii="Garamond" w:hAnsi="Garamond"/>
          <w:i/>
        </w:rPr>
        <w:t>χ2</w:t>
      </w:r>
      <w:r w:rsidRPr="00A95C35">
        <w:rPr>
          <w:rFonts w:ascii="Garamond" w:hAnsi="Garamond"/>
        </w:rPr>
        <w:t xml:space="preserve"> (1, N = 1) = 0.</w:t>
      </w:r>
      <w:r w:rsidR="00087219" w:rsidRPr="00A95C35">
        <w:rPr>
          <w:rFonts w:ascii="Garamond" w:hAnsi="Garamond"/>
        </w:rPr>
        <w:t>0</w:t>
      </w:r>
      <w:r w:rsidRPr="00A95C35">
        <w:rPr>
          <w:rFonts w:ascii="Garamond" w:hAnsi="Garamond"/>
        </w:rPr>
        <w:t xml:space="preserve">1, </w:t>
      </w:r>
      <w:r w:rsidRPr="00A95C35">
        <w:rPr>
          <w:rFonts w:ascii="Garamond" w:hAnsi="Garamond"/>
          <w:i/>
        </w:rPr>
        <w:t>p</w:t>
      </w:r>
      <w:r w:rsidRPr="00A95C35">
        <w:rPr>
          <w:rFonts w:ascii="Garamond" w:hAnsi="Garamond"/>
        </w:rPr>
        <w:t xml:space="preserve"> </w:t>
      </w:r>
      <w:r w:rsidR="00087219" w:rsidRPr="00A95C35">
        <w:rPr>
          <w:rFonts w:ascii="Garamond" w:hAnsi="Garamond"/>
        </w:rPr>
        <w:t>= 0.93</w:t>
      </w:r>
      <w:r w:rsidRPr="00A95C35">
        <w:rPr>
          <w:rFonts w:ascii="Garamond" w:hAnsi="Garamond"/>
        </w:rPr>
        <w:t xml:space="preserve">). Given the size of the observed difference between $30 and $40, we recommend a baseline incentive of $40 be offered to all cases </w:t>
      </w:r>
      <w:r w:rsidR="00867CAE">
        <w:rPr>
          <w:rFonts w:ascii="Garamond" w:hAnsi="Garamond"/>
        </w:rPr>
        <w:t xml:space="preserve">in the Subgroup </w:t>
      </w:r>
      <w:proofErr w:type="gramStart"/>
      <w:r w:rsidR="00867CAE">
        <w:rPr>
          <w:rFonts w:ascii="Garamond" w:hAnsi="Garamond"/>
        </w:rPr>
        <w:t>A</w:t>
      </w:r>
      <w:proofErr w:type="gramEnd"/>
      <w:r w:rsidR="00867CAE">
        <w:rPr>
          <w:rFonts w:ascii="Garamond" w:hAnsi="Garamond"/>
        </w:rPr>
        <w:t xml:space="preserve"> main sample.</w:t>
      </w:r>
    </w:p>
    <w:p w14:paraId="1FB9B84E" w14:textId="77777777" w:rsidR="00D3014C" w:rsidRPr="00A95C35" w:rsidRDefault="00D3014C" w:rsidP="0006440F">
      <w:pPr>
        <w:pStyle w:val="ExhibitTitle"/>
        <w:ind w:left="990" w:hanging="1080"/>
      </w:pPr>
      <w:proofErr w:type="gramStart"/>
      <w:r w:rsidRPr="00A95C35">
        <w:t>Exhibit 1.</w:t>
      </w:r>
      <w:proofErr w:type="gramEnd"/>
      <w:r w:rsidRPr="00A95C35">
        <w:t xml:space="preserve"> Subgroup </w:t>
      </w:r>
      <w:proofErr w:type="gramStart"/>
      <w:r w:rsidRPr="00A95C35">
        <w:t>A</w:t>
      </w:r>
      <w:proofErr w:type="gramEnd"/>
      <w:r w:rsidRPr="00A95C35">
        <w:t xml:space="preserve"> (High School Late/Alternative/ Non-Completers) response rates by baseline incentive amount</w:t>
      </w:r>
    </w:p>
    <w:tbl>
      <w:tblPr>
        <w:tblW w:w="5000" w:type="pct"/>
        <w:tblLook w:val="04A0" w:firstRow="1" w:lastRow="0" w:firstColumn="1" w:lastColumn="0" w:noHBand="0" w:noVBand="1"/>
      </w:tblPr>
      <w:tblGrid>
        <w:gridCol w:w="1225"/>
        <w:gridCol w:w="887"/>
        <w:gridCol w:w="2113"/>
        <w:gridCol w:w="2665"/>
        <w:gridCol w:w="3694"/>
      </w:tblGrid>
      <w:tr w:rsidR="00D3527D" w:rsidRPr="00A95C35" w14:paraId="4E36B2DB" w14:textId="77777777" w:rsidTr="00A74B90">
        <w:trPr>
          <w:trHeight w:val="630"/>
        </w:trPr>
        <w:tc>
          <w:tcPr>
            <w:tcW w:w="998" w:type="pct"/>
            <w:gridSpan w:val="2"/>
            <w:tcBorders>
              <w:top w:val="single" w:sz="12" w:space="0" w:color="auto"/>
              <w:left w:val="nil"/>
              <w:bottom w:val="single" w:sz="4" w:space="0" w:color="auto"/>
              <w:right w:val="nil"/>
            </w:tcBorders>
            <w:shd w:val="clear" w:color="auto" w:fill="auto"/>
            <w:vAlign w:val="center"/>
            <w:hideMark/>
          </w:tcPr>
          <w:p w14:paraId="32E0390A" w14:textId="77777777" w:rsidR="00D3014C" w:rsidRPr="00A95C35" w:rsidRDefault="00D3014C" w:rsidP="00C55CAB">
            <w:pPr>
              <w:keepNext/>
              <w:keepLines/>
              <w:jc w:val="right"/>
              <w:rPr>
                <w:rFonts w:ascii="Arial" w:hAnsi="Arial"/>
                <w:sz w:val="20"/>
              </w:rPr>
            </w:pPr>
            <w:r w:rsidRPr="00A95C35">
              <w:rPr>
                <w:rFonts w:ascii="Arial" w:hAnsi="Arial"/>
                <w:sz w:val="20"/>
              </w:rPr>
              <w:t>Baseline incentive</w:t>
            </w:r>
          </w:p>
        </w:tc>
        <w:tc>
          <w:tcPr>
            <w:tcW w:w="998" w:type="pct"/>
            <w:tcBorders>
              <w:top w:val="single" w:sz="12" w:space="0" w:color="auto"/>
              <w:left w:val="nil"/>
              <w:bottom w:val="single" w:sz="4" w:space="0" w:color="auto"/>
              <w:right w:val="nil"/>
            </w:tcBorders>
            <w:shd w:val="clear" w:color="auto" w:fill="auto"/>
            <w:vAlign w:val="center"/>
            <w:hideMark/>
          </w:tcPr>
          <w:p w14:paraId="5EF91105" w14:textId="77777777" w:rsidR="00D3014C" w:rsidRPr="00A95C35" w:rsidRDefault="00D3014C" w:rsidP="00C55CAB">
            <w:pPr>
              <w:keepNext/>
              <w:keepLines/>
              <w:jc w:val="right"/>
              <w:rPr>
                <w:rFonts w:ascii="Arial" w:hAnsi="Arial"/>
                <w:sz w:val="20"/>
              </w:rPr>
            </w:pPr>
            <w:r w:rsidRPr="00A95C35">
              <w:rPr>
                <w:rFonts w:ascii="Arial" w:hAnsi="Arial"/>
                <w:sz w:val="20"/>
              </w:rPr>
              <w:t>Sample members</w:t>
            </w:r>
            <w:r w:rsidRPr="00A95C35">
              <w:rPr>
                <w:rFonts w:ascii="Arial" w:hAnsi="Arial"/>
                <w:sz w:val="20"/>
              </w:rPr>
              <w:br/>
              <w:t>(n)</w:t>
            </w:r>
          </w:p>
        </w:tc>
        <w:tc>
          <w:tcPr>
            <w:tcW w:w="1259" w:type="pct"/>
            <w:tcBorders>
              <w:top w:val="single" w:sz="12" w:space="0" w:color="auto"/>
              <w:left w:val="nil"/>
              <w:bottom w:val="single" w:sz="8" w:space="0" w:color="auto"/>
              <w:right w:val="nil"/>
            </w:tcBorders>
            <w:vAlign w:val="center"/>
          </w:tcPr>
          <w:p w14:paraId="140EC53C" w14:textId="77777777" w:rsidR="00D3014C" w:rsidRPr="00A95C35" w:rsidRDefault="00D3014C" w:rsidP="00C55CAB">
            <w:pPr>
              <w:keepNext/>
              <w:keepLines/>
              <w:jc w:val="right"/>
              <w:rPr>
                <w:rFonts w:ascii="Arial" w:hAnsi="Arial"/>
                <w:sz w:val="20"/>
              </w:rPr>
            </w:pPr>
            <w:r w:rsidRPr="00A95C35">
              <w:rPr>
                <w:rFonts w:ascii="Arial" w:hAnsi="Arial"/>
                <w:sz w:val="20"/>
              </w:rPr>
              <w:t>Phase 1 and 2 response</w:t>
            </w:r>
            <w:r w:rsidRPr="00A95C35">
              <w:rPr>
                <w:rFonts w:ascii="Arial" w:hAnsi="Arial"/>
                <w:sz w:val="20"/>
              </w:rPr>
              <w:br/>
              <w:t>(n)</w:t>
            </w:r>
          </w:p>
        </w:tc>
        <w:tc>
          <w:tcPr>
            <w:tcW w:w="1745" w:type="pct"/>
            <w:tcBorders>
              <w:top w:val="single" w:sz="12" w:space="0" w:color="auto"/>
              <w:left w:val="nil"/>
              <w:bottom w:val="single" w:sz="4" w:space="0" w:color="auto"/>
              <w:right w:val="nil"/>
            </w:tcBorders>
            <w:shd w:val="clear" w:color="auto" w:fill="auto"/>
            <w:vAlign w:val="center"/>
            <w:hideMark/>
          </w:tcPr>
          <w:p w14:paraId="15B14F2A" w14:textId="77777777" w:rsidR="00D3014C" w:rsidRPr="00A95C35" w:rsidRDefault="00D3014C" w:rsidP="00C55CAB">
            <w:pPr>
              <w:keepNext/>
              <w:keepLines/>
              <w:jc w:val="right"/>
              <w:rPr>
                <w:rFonts w:ascii="Arial" w:hAnsi="Arial"/>
                <w:sz w:val="20"/>
              </w:rPr>
            </w:pPr>
            <w:r w:rsidRPr="00A95C35">
              <w:rPr>
                <w:rFonts w:ascii="Arial" w:hAnsi="Arial"/>
                <w:sz w:val="20"/>
              </w:rPr>
              <w:t>Phase 1 and 2 response rate (percent)</w:t>
            </w:r>
          </w:p>
        </w:tc>
      </w:tr>
      <w:tr w:rsidR="00D3527D" w:rsidRPr="00A95C35" w14:paraId="384A7BA6" w14:textId="77777777" w:rsidTr="00A74B90">
        <w:trPr>
          <w:trHeight w:val="151"/>
        </w:trPr>
        <w:tc>
          <w:tcPr>
            <w:tcW w:w="579" w:type="pct"/>
            <w:tcBorders>
              <w:top w:val="single" w:sz="4" w:space="0" w:color="auto"/>
              <w:left w:val="nil"/>
              <w:bottom w:val="nil"/>
              <w:right w:val="nil"/>
            </w:tcBorders>
            <w:shd w:val="clear" w:color="auto" w:fill="auto"/>
            <w:noWrap/>
            <w:vAlign w:val="center"/>
            <w:hideMark/>
          </w:tcPr>
          <w:p w14:paraId="23786908" w14:textId="77777777" w:rsidR="00D3014C" w:rsidRPr="00A95C35" w:rsidRDefault="00D3014C" w:rsidP="00C55CAB">
            <w:pPr>
              <w:keepNext/>
              <w:keepLines/>
              <w:rPr>
                <w:rFonts w:ascii="Arial" w:hAnsi="Arial"/>
                <w:sz w:val="20"/>
              </w:rPr>
            </w:pPr>
          </w:p>
        </w:tc>
        <w:tc>
          <w:tcPr>
            <w:tcW w:w="1417" w:type="pct"/>
            <w:gridSpan w:val="2"/>
            <w:tcBorders>
              <w:top w:val="single" w:sz="4" w:space="0" w:color="auto"/>
              <w:left w:val="nil"/>
              <w:bottom w:val="nil"/>
              <w:right w:val="nil"/>
            </w:tcBorders>
            <w:shd w:val="clear" w:color="auto" w:fill="auto"/>
            <w:noWrap/>
            <w:vAlign w:val="center"/>
            <w:hideMark/>
          </w:tcPr>
          <w:p w14:paraId="5D6219D7" w14:textId="77777777" w:rsidR="00D3014C" w:rsidRPr="00A95C35" w:rsidRDefault="00D3014C" w:rsidP="00C55CAB">
            <w:pPr>
              <w:keepNext/>
              <w:keepLines/>
              <w:rPr>
                <w:rFonts w:ascii="Arial" w:hAnsi="Arial"/>
                <w:sz w:val="20"/>
              </w:rPr>
            </w:pPr>
          </w:p>
        </w:tc>
        <w:tc>
          <w:tcPr>
            <w:tcW w:w="1259" w:type="pct"/>
            <w:tcBorders>
              <w:top w:val="nil"/>
              <w:left w:val="nil"/>
              <w:bottom w:val="nil"/>
              <w:right w:val="nil"/>
            </w:tcBorders>
          </w:tcPr>
          <w:p w14:paraId="17864751" w14:textId="77777777" w:rsidR="00D3014C" w:rsidRPr="00A95C35" w:rsidRDefault="00D3014C" w:rsidP="00C55CAB">
            <w:pPr>
              <w:keepNext/>
              <w:keepLines/>
              <w:rPr>
                <w:rFonts w:ascii="Arial" w:hAnsi="Arial"/>
                <w:sz w:val="20"/>
              </w:rPr>
            </w:pPr>
          </w:p>
        </w:tc>
        <w:tc>
          <w:tcPr>
            <w:tcW w:w="1745" w:type="pct"/>
            <w:tcBorders>
              <w:top w:val="single" w:sz="4" w:space="0" w:color="auto"/>
              <w:left w:val="nil"/>
              <w:bottom w:val="nil"/>
              <w:right w:val="nil"/>
            </w:tcBorders>
            <w:shd w:val="clear" w:color="auto" w:fill="auto"/>
            <w:noWrap/>
            <w:vAlign w:val="center"/>
            <w:hideMark/>
          </w:tcPr>
          <w:p w14:paraId="156AABB8" w14:textId="77777777" w:rsidR="00D3014C" w:rsidRPr="00A95C35" w:rsidRDefault="00D3014C" w:rsidP="00C55CAB">
            <w:pPr>
              <w:keepNext/>
              <w:keepLines/>
              <w:rPr>
                <w:rFonts w:ascii="Arial" w:hAnsi="Arial"/>
                <w:sz w:val="20"/>
              </w:rPr>
            </w:pPr>
          </w:p>
        </w:tc>
      </w:tr>
      <w:tr w:rsidR="00D3527D" w:rsidRPr="00A95C35" w14:paraId="1369DC0B" w14:textId="77777777" w:rsidTr="00A74B90">
        <w:trPr>
          <w:trHeight w:val="300"/>
        </w:trPr>
        <w:tc>
          <w:tcPr>
            <w:tcW w:w="998" w:type="pct"/>
            <w:gridSpan w:val="2"/>
            <w:tcBorders>
              <w:top w:val="nil"/>
              <w:left w:val="nil"/>
              <w:bottom w:val="nil"/>
              <w:right w:val="nil"/>
            </w:tcBorders>
            <w:shd w:val="clear" w:color="auto" w:fill="auto"/>
            <w:noWrap/>
            <w:vAlign w:val="center"/>
            <w:hideMark/>
          </w:tcPr>
          <w:p w14:paraId="1C7665ED" w14:textId="77777777" w:rsidR="00D3014C" w:rsidRPr="00A95C35" w:rsidRDefault="00D3014C" w:rsidP="00C55CAB">
            <w:pPr>
              <w:keepNext/>
              <w:keepLines/>
              <w:jc w:val="right"/>
              <w:rPr>
                <w:rFonts w:ascii="Arial" w:hAnsi="Arial"/>
                <w:sz w:val="20"/>
              </w:rPr>
            </w:pPr>
            <w:r w:rsidRPr="00A95C35">
              <w:rPr>
                <w:rFonts w:ascii="Arial" w:hAnsi="Arial"/>
                <w:sz w:val="20"/>
              </w:rPr>
              <w:t xml:space="preserve">$30 </w:t>
            </w:r>
          </w:p>
        </w:tc>
        <w:tc>
          <w:tcPr>
            <w:tcW w:w="998" w:type="pct"/>
            <w:tcBorders>
              <w:top w:val="nil"/>
              <w:left w:val="nil"/>
              <w:bottom w:val="nil"/>
              <w:right w:val="nil"/>
            </w:tcBorders>
            <w:shd w:val="clear" w:color="auto" w:fill="auto"/>
            <w:noWrap/>
            <w:vAlign w:val="center"/>
            <w:hideMark/>
          </w:tcPr>
          <w:p w14:paraId="0530E7AE" w14:textId="77777777" w:rsidR="00D3014C" w:rsidRPr="00A95C35" w:rsidRDefault="00D3014C" w:rsidP="00C55CAB">
            <w:pPr>
              <w:keepNext/>
              <w:keepLines/>
              <w:jc w:val="right"/>
              <w:rPr>
                <w:rFonts w:ascii="Arial" w:hAnsi="Arial"/>
                <w:sz w:val="20"/>
              </w:rPr>
            </w:pPr>
            <w:r w:rsidRPr="00A95C35">
              <w:rPr>
                <w:rFonts w:ascii="Arial" w:hAnsi="Arial"/>
                <w:sz w:val="20"/>
              </w:rPr>
              <w:t>170</w:t>
            </w:r>
          </w:p>
        </w:tc>
        <w:tc>
          <w:tcPr>
            <w:tcW w:w="1259" w:type="pct"/>
            <w:tcBorders>
              <w:top w:val="nil"/>
              <w:left w:val="nil"/>
              <w:bottom w:val="nil"/>
              <w:right w:val="nil"/>
            </w:tcBorders>
            <w:vAlign w:val="center"/>
          </w:tcPr>
          <w:p w14:paraId="4034A2A0" w14:textId="7B7BD45D" w:rsidR="00D3014C" w:rsidRPr="00A95C35" w:rsidRDefault="00A74B90" w:rsidP="00C55CAB">
            <w:pPr>
              <w:keepNext/>
              <w:keepLines/>
              <w:jc w:val="right"/>
              <w:rPr>
                <w:rFonts w:ascii="Arial" w:hAnsi="Arial"/>
                <w:sz w:val="20"/>
              </w:rPr>
            </w:pPr>
            <w:r w:rsidRPr="00A95C35">
              <w:rPr>
                <w:rFonts w:ascii="Arial" w:hAnsi="Arial" w:cs="Arial"/>
                <w:sz w:val="20"/>
              </w:rPr>
              <w:t>39</w:t>
            </w:r>
          </w:p>
        </w:tc>
        <w:tc>
          <w:tcPr>
            <w:tcW w:w="1745" w:type="pct"/>
            <w:tcBorders>
              <w:top w:val="nil"/>
              <w:left w:val="nil"/>
              <w:bottom w:val="nil"/>
              <w:right w:val="nil"/>
            </w:tcBorders>
            <w:shd w:val="clear" w:color="auto" w:fill="auto"/>
            <w:noWrap/>
            <w:vAlign w:val="center"/>
            <w:hideMark/>
          </w:tcPr>
          <w:p w14:paraId="3E4FB89B" w14:textId="588EE3F4" w:rsidR="00D3014C" w:rsidRPr="00A95C35" w:rsidRDefault="00A74B90" w:rsidP="0020523C">
            <w:pPr>
              <w:keepNext/>
              <w:keepLines/>
              <w:jc w:val="right"/>
              <w:rPr>
                <w:rFonts w:ascii="Arial" w:hAnsi="Arial"/>
                <w:sz w:val="20"/>
              </w:rPr>
            </w:pPr>
            <w:r w:rsidRPr="00A95C35">
              <w:rPr>
                <w:rFonts w:ascii="Arial" w:hAnsi="Arial" w:cs="Arial"/>
                <w:sz w:val="20"/>
              </w:rPr>
              <w:t>22.9</w:t>
            </w:r>
          </w:p>
        </w:tc>
      </w:tr>
      <w:tr w:rsidR="00D3527D" w:rsidRPr="00A95C35" w14:paraId="79C94B4C" w14:textId="77777777" w:rsidTr="00A74B90">
        <w:trPr>
          <w:trHeight w:val="300"/>
        </w:trPr>
        <w:tc>
          <w:tcPr>
            <w:tcW w:w="998" w:type="pct"/>
            <w:gridSpan w:val="2"/>
            <w:tcBorders>
              <w:top w:val="nil"/>
              <w:left w:val="nil"/>
              <w:bottom w:val="nil"/>
              <w:right w:val="nil"/>
            </w:tcBorders>
            <w:shd w:val="clear" w:color="auto" w:fill="auto"/>
            <w:noWrap/>
            <w:vAlign w:val="center"/>
            <w:hideMark/>
          </w:tcPr>
          <w:p w14:paraId="5F2B3B48" w14:textId="77777777" w:rsidR="00D3014C" w:rsidRPr="00A95C35" w:rsidRDefault="00D3014C" w:rsidP="00C55CAB">
            <w:pPr>
              <w:keepNext/>
              <w:keepLines/>
              <w:jc w:val="right"/>
              <w:rPr>
                <w:rFonts w:ascii="Arial" w:hAnsi="Arial"/>
                <w:sz w:val="20"/>
              </w:rPr>
            </w:pPr>
            <w:r w:rsidRPr="00A95C35">
              <w:rPr>
                <w:rFonts w:ascii="Arial" w:hAnsi="Arial"/>
                <w:sz w:val="20"/>
              </w:rPr>
              <w:t xml:space="preserve">$40 </w:t>
            </w:r>
          </w:p>
        </w:tc>
        <w:tc>
          <w:tcPr>
            <w:tcW w:w="998" w:type="pct"/>
            <w:tcBorders>
              <w:top w:val="nil"/>
              <w:left w:val="nil"/>
              <w:bottom w:val="nil"/>
              <w:right w:val="nil"/>
            </w:tcBorders>
            <w:shd w:val="clear" w:color="auto" w:fill="auto"/>
            <w:noWrap/>
            <w:vAlign w:val="center"/>
            <w:hideMark/>
          </w:tcPr>
          <w:p w14:paraId="188E1638" w14:textId="77777777" w:rsidR="00D3014C" w:rsidRPr="00A95C35" w:rsidRDefault="00D3014C" w:rsidP="00C55CAB">
            <w:pPr>
              <w:keepNext/>
              <w:keepLines/>
              <w:jc w:val="right"/>
              <w:rPr>
                <w:rFonts w:ascii="Arial" w:hAnsi="Arial"/>
                <w:sz w:val="20"/>
              </w:rPr>
            </w:pPr>
            <w:r w:rsidRPr="00A95C35">
              <w:rPr>
                <w:rFonts w:ascii="Arial" w:hAnsi="Arial"/>
                <w:sz w:val="20"/>
              </w:rPr>
              <w:t>170</w:t>
            </w:r>
          </w:p>
        </w:tc>
        <w:tc>
          <w:tcPr>
            <w:tcW w:w="1259" w:type="pct"/>
            <w:tcBorders>
              <w:top w:val="nil"/>
              <w:left w:val="nil"/>
              <w:bottom w:val="nil"/>
              <w:right w:val="nil"/>
            </w:tcBorders>
            <w:vAlign w:val="center"/>
          </w:tcPr>
          <w:p w14:paraId="1DF72CC0" w14:textId="7CCBDE54" w:rsidR="00D3014C" w:rsidRPr="00A95C35" w:rsidRDefault="00A74B90" w:rsidP="00C55CAB">
            <w:pPr>
              <w:keepNext/>
              <w:keepLines/>
              <w:jc w:val="right"/>
              <w:rPr>
                <w:rFonts w:ascii="Arial" w:hAnsi="Arial"/>
                <w:sz w:val="20"/>
              </w:rPr>
            </w:pPr>
            <w:r w:rsidRPr="00A95C35">
              <w:rPr>
                <w:rFonts w:ascii="Arial" w:hAnsi="Arial" w:cs="Arial"/>
                <w:sz w:val="20"/>
              </w:rPr>
              <w:t>50</w:t>
            </w:r>
          </w:p>
        </w:tc>
        <w:tc>
          <w:tcPr>
            <w:tcW w:w="1745" w:type="pct"/>
            <w:tcBorders>
              <w:top w:val="nil"/>
              <w:left w:val="nil"/>
              <w:bottom w:val="nil"/>
              <w:right w:val="nil"/>
            </w:tcBorders>
            <w:shd w:val="clear" w:color="auto" w:fill="auto"/>
            <w:noWrap/>
            <w:vAlign w:val="center"/>
            <w:hideMark/>
          </w:tcPr>
          <w:p w14:paraId="2E7C8363" w14:textId="341D42CA" w:rsidR="00D3014C" w:rsidRPr="00A95C35" w:rsidRDefault="00A74B90" w:rsidP="00C55CAB">
            <w:pPr>
              <w:keepNext/>
              <w:keepLines/>
              <w:jc w:val="right"/>
              <w:rPr>
                <w:rFonts w:ascii="Arial" w:hAnsi="Arial"/>
                <w:sz w:val="20"/>
              </w:rPr>
            </w:pPr>
            <w:r w:rsidRPr="00A95C35">
              <w:rPr>
                <w:rFonts w:ascii="Arial" w:hAnsi="Arial" w:cs="Arial"/>
                <w:sz w:val="20"/>
              </w:rPr>
              <w:t>29.4</w:t>
            </w:r>
          </w:p>
        </w:tc>
      </w:tr>
      <w:tr w:rsidR="00D3527D" w:rsidRPr="00A95C35" w14:paraId="59461882" w14:textId="77777777" w:rsidTr="00A74B90">
        <w:trPr>
          <w:trHeight w:val="300"/>
        </w:trPr>
        <w:tc>
          <w:tcPr>
            <w:tcW w:w="998" w:type="pct"/>
            <w:gridSpan w:val="2"/>
            <w:tcBorders>
              <w:top w:val="nil"/>
              <w:left w:val="nil"/>
              <w:bottom w:val="nil"/>
              <w:right w:val="nil"/>
            </w:tcBorders>
            <w:shd w:val="clear" w:color="auto" w:fill="auto"/>
            <w:noWrap/>
            <w:vAlign w:val="center"/>
            <w:hideMark/>
          </w:tcPr>
          <w:p w14:paraId="3A5A96C0" w14:textId="77777777" w:rsidR="00D3014C" w:rsidRPr="00A95C35" w:rsidRDefault="00D3014C" w:rsidP="00C55CAB">
            <w:pPr>
              <w:keepNext/>
              <w:keepLines/>
              <w:jc w:val="right"/>
              <w:rPr>
                <w:rFonts w:ascii="Arial" w:hAnsi="Arial"/>
                <w:sz w:val="20"/>
              </w:rPr>
            </w:pPr>
            <w:r w:rsidRPr="00A95C35">
              <w:rPr>
                <w:rFonts w:ascii="Arial" w:hAnsi="Arial"/>
                <w:sz w:val="20"/>
              </w:rPr>
              <w:t xml:space="preserve">$50 </w:t>
            </w:r>
          </w:p>
        </w:tc>
        <w:tc>
          <w:tcPr>
            <w:tcW w:w="998" w:type="pct"/>
            <w:tcBorders>
              <w:top w:val="nil"/>
              <w:left w:val="nil"/>
              <w:bottom w:val="nil"/>
              <w:right w:val="nil"/>
            </w:tcBorders>
            <w:shd w:val="clear" w:color="auto" w:fill="auto"/>
            <w:noWrap/>
            <w:vAlign w:val="center"/>
            <w:hideMark/>
          </w:tcPr>
          <w:p w14:paraId="40560C35" w14:textId="77777777" w:rsidR="00D3014C" w:rsidRPr="00A95C35" w:rsidRDefault="00D3014C" w:rsidP="00C55CAB">
            <w:pPr>
              <w:keepNext/>
              <w:keepLines/>
              <w:jc w:val="right"/>
              <w:rPr>
                <w:rFonts w:ascii="Arial" w:hAnsi="Arial"/>
                <w:sz w:val="20"/>
              </w:rPr>
            </w:pPr>
            <w:r w:rsidRPr="00A95C35">
              <w:rPr>
                <w:rFonts w:ascii="Arial" w:hAnsi="Arial"/>
                <w:sz w:val="20"/>
              </w:rPr>
              <w:t>169</w:t>
            </w:r>
          </w:p>
        </w:tc>
        <w:tc>
          <w:tcPr>
            <w:tcW w:w="1259" w:type="pct"/>
            <w:tcBorders>
              <w:top w:val="nil"/>
              <w:left w:val="nil"/>
              <w:bottom w:val="nil"/>
              <w:right w:val="nil"/>
            </w:tcBorders>
            <w:vAlign w:val="center"/>
          </w:tcPr>
          <w:p w14:paraId="401F1988" w14:textId="6198060A" w:rsidR="00D3014C" w:rsidRPr="00A95C35" w:rsidRDefault="00A74B90" w:rsidP="00C55CAB">
            <w:pPr>
              <w:keepNext/>
              <w:keepLines/>
              <w:jc w:val="right"/>
              <w:rPr>
                <w:rFonts w:ascii="Arial" w:hAnsi="Arial"/>
                <w:sz w:val="20"/>
              </w:rPr>
            </w:pPr>
            <w:r w:rsidRPr="00A95C35">
              <w:rPr>
                <w:rFonts w:ascii="Arial" w:hAnsi="Arial" w:cs="Arial"/>
                <w:sz w:val="20"/>
              </w:rPr>
              <w:t>49</w:t>
            </w:r>
          </w:p>
        </w:tc>
        <w:tc>
          <w:tcPr>
            <w:tcW w:w="1745" w:type="pct"/>
            <w:tcBorders>
              <w:top w:val="nil"/>
              <w:left w:val="nil"/>
              <w:bottom w:val="nil"/>
              <w:right w:val="nil"/>
            </w:tcBorders>
            <w:shd w:val="clear" w:color="auto" w:fill="auto"/>
            <w:noWrap/>
            <w:vAlign w:val="center"/>
            <w:hideMark/>
          </w:tcPr>
          <w:p w14:paraId="04234CCD" w14:textId="202C927D" w:rsidR="00D3014C" w:rsidRPr="00A95C35" w:rsidRDefault="0020523C" w:rsidP="00C55CAB">
            <w:pPr>
              <w:keepNext/>
              <w:keepLines/>
              <w:jc w:val="right"/>
              <w:rPr>
                <w:rFonts w:ascii="Arial" w:hAnsi="Arial"/>
                <w:sz w:val="20"/>
              </w:rPr>
            </w:pPr>
            <w:r w:rsidRPr="00A95C35">
              <w:rPr>
                <w:rFonts w:ascii="Arial" w:hAnsi="Arial" w:cs="Arial"/>
                <w:sz w:val="20"/>
              </w:rPr>
              <w:t>29.0</w:t>
            </w:r>
          </w:p>
        </w:tc>
      </w:tr>
      <w:tr w:rsidR="00D3527D" w:rsidRPr="00A95C35" w14:paraId="2145A2FD" w14:textId="77777777" w:rsidTr="00A74B90">
        <w:trPr>
          <w:trHeight w:val="315"/>
        </w:trPr>
        <w:tc>
          <w:tcPr>
            <w:tcW w:w="998" w:type="pct"/>
            <w:gridSpan w:val="2"/>
            <w:tcBorders>
              <w:top w:val="nil"/>
              <w:left w:val="nil"/>
              <w:bottom w:val="single" w:sz="12" w:space="0" w:color="auto"/>
              <w:right w:val="nil"/>
            </w:tcBorders>
            <w:shd w:val="clear" w:color="auto" w:fill="auto"/>
            <w:noWrap/>
            <w:vAlign w:val="center"/>
            <w:hideMark/>
          </w:tcPr>
          <w:p w14:paraId="5A5339D0" w14:textId="77777777" w:rsidR="00D3014C" w:rsidRPr="00A95C35" w:rsidRDefault="00D3014C" w:rsidP="00C55CAB">
            <w:pPr>
              <w:keepNext/>
              <w:keepLines/>
              <w:jc w:val="right"/>
              <w:rPr>
                <w:rFonts w:ascii="Arial" w:hAnsi="Arial"/>
                <w:sz w:val="20"/>
              </w:rPr>
            </w:pPr>
            <w:r w:rsidRPr="00A95C35">
              <w:rPr>
                <w:rFonts w:ascii="Arial" w:hAnsi="Arial"/>
                <w:sz w:val="20"/>
              </w:rPr>
              <w:t>Total</w:t>
            </w:r>
          </w:p>
        </w:tc>
        <w:tc>
          <w:tcPr>
            <w:tcW w:w="998" w:type="pct"/>
            <w:tcBorders>
              <w:top w:val="nil"/>
              <w:left w:val="nil"/>
              <w:bottom w:val="single" w:sz="12" w:space="0" w:color="auto"/>
              <w:right w:val="nil"/>
            </w:tcBorders>
            <w:shd w:val="clear" w:color="auto" w:fill="auto"/>
            <w:noWrap/>
            <w:vAlign w:val="center"/>
            <w:hideMark/>
          </w:tcPr>
          <w:p w14:paraId="45DDC484" w14:textId="77777777" w:rsidR="00D3014C" w:rsidRPr="00A95C35" w:rsidRDefault="00D3014C" w:rsidP="00C55CAB">
            <w:pPr>
              <w:keepNext/>
              <w:keepLines/>
              <w:jc w:val="right"/>
              <w:rPr>
                <w:rFonts w:ascii="Arial" w:hAnsi="Arial"/>
                <w:sz w:val="20"/>
              </w:rPr>
            </w:pPr>
            <w:r w:rsidRPr="00A95C35">
              <w:rPr>
                <w:rFonts w:ascii="Arial" w:hAnsi="Arial"/>
                <w:sz w:val="20"/>
              </w:rPr>
              <w:t>509</w:t>
            </w:r>
          </w:p>
        </w:tc>
        <w:tc>
          <w:tcPr>
            <w:tcW w:w="1259" w:type="pct"/>
            <w:tcBorders>
              <w:top w:val="nil"/>
              <w:left w:val="nil"/>
              <w:bottom w:val="single" w:sz="12" w:space="0" w:color="auto"/>
              <w:right w:val="nil"/>
            </w:tcBorders>
            <w:vAlign w:val="center"/>
          </w:tcPr>
          <w:p w14:paraId="67C8E1A1" w14:textId="68FC8B9E" w:rsidR="00D3014C" w:rsidRPr="00A95C35" w:rsidRDefault="00A74B90" w:rsidP="00C55CAB">
            <w:pPr>
              <w:keepNext/>
              <w:keepLines/>
              <w:jc w:val="right"/>
              <w:rPr>
                <w:rFonts w:ascii="Arial" w:hAnsi="Arial"/>
                <w:sz w:val="20"/>
              </w:rPr>
            </w:pPr>
            <w:r w:rsidRPr="00A95C35">
              <w:rPr>
                <w:rFonts w:ascii="Arial" w:hAnsi="Arial" w:cs="Arial"/>
                <w:sz w:val="20"/>
              </w:rPr>
              <w:t>138</w:t>
            </w:r>
          </w:p>
        </w:tc>
        <w:tc>
          <w:tcPr>
            <w:tcW w:w="1745" w:type="pct"/>
            <w:tcBorders>
              <w:top w:val="nil"/>
              <w:left w:val="nil"/>
              <w:bottom w:val="single" w:sz="12" w:space="0" w:color="auto"/>
              <w:right w:val="nil"/>
            </w:tcBorders>
            <w:shd w:val="clear" w:color="auto" w:fill="auto"/>
            <w:noWrap/>
            <w:vAlign w:val="center"/>
            <w:hideMark/>
          </w:tcPr>
          <w:p w14:paraId="2084C9FD" w14:textId="3B850DCE" w:rsidR="00D3014C" w:rsidRPr="00A95C35" w:rsidRDefault="00A74B90" w:rsidP="00C55CAB">
            <w:pPr>
              <w:keepNext/>
              <w:keepLines/>
              <w:jc w:val="right"/>
              <w:rPr>
                <w:rFonts w:ascii="Arial" w:hAnsi="Arial"/>
                <w:sz w:val="20"/>
              </w:rPr>
            </w:pPr>
            <w:r w:rsidRPr="00A95C35">
              <w:rPr>
                <w:rFonts w:ascii="Arial" w:hAnsi="Arial" w:cs="Arial"/>
                <w:sz w:val="20"/>
              </w:rPr>
              <w:t>27.</w:t>
            </w:r>
            <w:r w:rsidR="0020523C" w:rsidRPr="00A95C35">
              <w:rPr>
                <w:rFonts w:ascii="Arial" w:hAnsi="Arial" w:cs="Arial"/>
                <w:sz w:val="20"/>
              </w:rPr>
              <w:t>1</w:t>
            </w:r>
          </w:p>
        </w:tc>
      </w:tr>
    </w:tbl>
    <w:p w14:paraId="66333B49" w14:textId="77777777" w:rsidR="002A32B5" w:rsidRPr="00A95C35" w:rsidRDefault="002A32B5" w:rsidP="002A32B5">
      <w:pPr>
        <w:rPr>
          <w:rFonts w:ascii="Arial" w:hAnsi="Arial"/>
          <w:sz w:val="18"/>
        </w:rPr>
      </w:pPr>
      <w:r w:rsidRPr="00A95C35">
        <w:rPr>
          <w:rFonts w:ascii="Arial" w:hAnsi="Arial"/>
          <w:sz w:val="18"/>
        </w:rPr>
        <w:t>SOURCE: U.S. Department of Education, National Center for Education Statistics. High School Longitudinal Study of 2009 (HSLS</w:t>
      </w:r>
      <w:proofErr w:type="gramStart"/>
      <w:r w:rsidRPr="00A95C35">
        <w:rPr>
          <w:rFonts w:ascii="Arial" w:hAnsi="Arial"/>
          <w:sz w:val="18"/>
        </w:rPr>
        <w:t>:09</w:t>
      </w:r>
      <w:proofErr w:type="gramEnd"/>
      <w:r w:rsidRPr="00A95C35">
        <w:rPr>
          <w:rFonts w:ascii="Arial" w:hAnsi="Arial"/>
          <w:sz w:val="18"/>
        </w:rPr>
        <w:t xml:space="preserve">) Second Follow-up Main Study. </w:t>
      </w:r>
    </w:p>
    <w:p w14:paraId="50479BDD" w14:textId="77777777" w:rsidR="002A32B5" w:rsidRPr="00A95C35" w:rsidRDefault="002A32B5" w:rsidP="00D3014C">
      <w:pPr>
        <w:spacing w:before="240"/>
        <w:rPr>
          <w:rFonts w:ascii="Arial" w:hAnsi="Arial" w:cs="Arial"/>
          <w:b/>
          <w:sz w:val="18"/>
        </w:rPr>
      </w:pPr>
    </w:p>
    <w:p w14:paraId="42013B3E" w14:textId="790BA981" w:rsidR="00A74B90" w:rsidRPr="00A95C35" w:rsidRDefault="008562D9" w:rsidP="00D3014C">
      <w:pPr>
        <w:spacing w:before="240"/>
        <w:rPr>
          <w:rFonts w:ascii="Arial" w:hAnsi="Arial" w:cs="Arial"/>
          <w:b/>
          <w:sz w:val="18"/>
        </w:rPr>
      </w:pPr>
      <w:r w:rsidRPr="00A95C35">
        <w:rPr>
          <w:noProof/>
        </w:rPr>
        <w:lastRenderedPageBreak/>
        <w:drawing>
          <wp:inline distT="0" distB="0" distL="0" distR="0" wp14:anchorId="7CAF344A" wp14:editId="205111DF">
            <wp:extent cx="6639339" cy="3061252"/>
            <wp:effectExtent l="0" t="0" r="9525"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9BFB18" w14:textId="60532360" w:rsidR="00D3014C" w:rsidRPr="00A95C35" w:rsidRDefault="00D3014C" w:rsidP="00F354F7">
      <w:pPr>
        <w:spacing w:before="240"/>
        <w:rPr>
          <w:b/>
        </w:rPr>
      </w:pPr>
      <w:proofErr w:type="gramStart"/>
      <w:r w:rsidRPr="00A95C35">
        <w:rPr>
          <w:rFonts w:cs="Arial"/>
          <w:b/>
        </w:rPr>
        <w:t xml:space="preserve">Exhibit </w:t>
      </w:r>
      <w:r w:rsidR="00F354F7" w:rsidRPr="00A95C35">
        <w:rPr>
          <w:rStyle w:val="CommentReference"/>
          <w:b/>
          <w:sz w:val="24"/>
          <w:szCs w:val="24"/>
        </w:rPr>
        <w:t>2</w:t>
      </w:r>
      <w:r w:rsidRPr="00A95C35">
        <w:rPr>
          <w:rFonts w:cs="Arial"/>
          <w:b/>
        </w:rPr>
        <w:t>.</w:t>
      </w:r>
      <w:proofErr w:type="gramEnd"/>
      <w:r w:rsidRPr="00A95C35">
        <w:rPr>
          <w:rFonts w:cs="Arial"/>
          <w:b/>
        </w:rPr>
        <w:t xml:space="preserve"> Subgroup A</w:t>
      </w:r>
      <w:r w:rsidRPr="00A95C35">
        <w:rPr>
          <w:b/>
        </w:rPr>
        <w:t xml:space="preserve"> response rate chi-square tests</w:t>
      </w:r>
      <w:r w:rsidR="00CA712C" w:rsidRPr="00A95C35">
        <w:rPr>
          <w:b/>
        </w:rPr>
        <w:t xml:space="preserve"> and p-values</w:t>
      </w:r>
    </w:p>
    <w:tbl>
      <w:tblPr>
        <w:tblW w:w="5000" w:type="pct"/>
        <w:jc w:val="center"/>
        <w:tblLook w:val="04A0" w:firstRow="1" w:lastRow="0" w:firstColumn="1" w:lastColumn="0" w:noHBand="0" w:noVBand="1"/>
      </w:tblPr>
      <w:tblGrid>
        <w:gridCol w:w="1886"/>
        <w:gridCol w:w="1981"/>
        <w:gridCol w:w="2240"/>
        <w:gridCol w:w="2242"/>
        <w:gridCol w:w="2235"/>
      </w:tblGrid>
      <w:tr w:rsidR="00263498" w:rsidRPr="00A95C35" w14:paraId="799BC99A" w14:textId="77777777" w:rsidTr="002D7F37">
        <w:trPr>
          <w:trHeight w:val="315"/>
          <w:jc w:val="center"/>
        </w:trPr>
        <w:tc>
          <w:tcPr>
            <w:tcW w:w="891" w:type="pct"/>
            <w:tcBorders>
              <w:top w:val="single" w:sz="12" w:space="0" w:color="auto"/>
              <w:left w:val="nil"/>
              <w:bottom w:val="nil"/>
              <w:right w:val="nil"/>
            </w:tcBorders>
            <w:vAlign w:val="center"/>
          </w:tcPr>
          <w:p w14:paraId="310DE631" w14:textId="54934601" w:rsidR="00263498" w:rsidRPr="00A95C35" w:rsidRDefault="00263498" w:rsidP="00263498">
            <w:pPr>
              <w:rPr>
                <w:rFonts w:ascii="Arial" w:hAnsi="Arial" w:cs="Arial"/>
                <w:sz w:val="20"/>
              </w:rPr>
            </w:pPr>
            <w:r w:rsidRPr="00A95C35">
              <w:rPr>
                <w:rFonts w:ascii="Arial" w:hAnsi="Arial" w:cs="Arial"/>
                <w:sz w:val="20"/>
              </w:rPr>
              <w:t> Baseline incentive</w:t>
            </w:r>
          </w:p>
        </w:tc>
        <w:tc>
          <w:tcPr>
            <w:tcW w:w="936" w:type="pct"/>
            <w:tcBorders>
              <w:top w:val="single" w:sz="12" w:space="0" w:color="auto"/>
              <w:left w:val="nil"/>
              <w:bottom w:val="single" w:sz="4" w:space="0" w:color="auto"/>
              <w:right w:val="nil"/>
            </w:tcBorders>
            <w:shd w:val="clear" w:color="auto" w:fill="auto"/>
            <w:vAlign w:val="center"/>
            <w:hideMark/>
          </w:tcPr>
          <w:p w14:paraId="78FC8741" w14:textId="7080F6DC" w:rsidR="00263498" w:rsidRPr="00A95C35" w:rsidRDefault="00263498" w:rsidP="00263498">
            <w:pPr>
              <w:rPr>
                <w:rFonts w:ascii="Arial" w:hAnsi="Arial"/>
                <w:sz w:val="20"/>
              </w:rPr>
            </w:pPr>
          </w:p>
        </w:tc>
        <w:tc>
          <w:tcPr>
            <w:tcW w:w="3173" w:type="pct"/>
            <w:gridSpan w:val="3"/>
            <w:tcBorders>
              <w:top w:val="single" w:sz="12" w:space="0" w:color="auto"/>
              <w:left w:val="nil"/>
              <w:bottom w:val="single" w:sz="4" w:space="0" w:color="auto"/>
              <w:right w:val="nil"/>
            </w:tcBorders>
            <w:shd w:val="clear" w:color="auto" w:fill="auto"/>
            <w:vAlign w:val="center"/>
            <w:hideMark/>
          </w:tcPr>
          <w:p w14:paraId="0ADDCA05" w14:textId="77777777" w:rsidR="00263498" w:rsidRPr="00A95C35" w:rsidRDefault="00263498" w:rsidP="00263498">
            <w:pPr>
              <w:jc w:val="center"/>
              <w:rPr>
                <w:rFonts w:ascii="Arial" w:hAnsi="Arial"/>
                <w:sz w:val="20"/>
              </w:rPr>
            </w:pPr>
            <w:r w:rsidRPr="00A95C35">
              <w:rPr>
                <w:rFonts w:ascii="Arial" w:hAnsi="Arial"/>
                <w:sz w:val="20"/>
              </w:rPr>
              <w:t>Comparison group</w:t>
            </w:r>
          </w:p>
        </w:tc>
      </w:tr>
      <w:tr w:rsidR="00263498" w:rsidRPr="00A95C35" w14:paraId="4F855A70" w14:textId="77777777" w:rsidTr="002D7F37">
        <w:trPr>
          <w:trHeight w:val="315"/>
          <w:jc w:val="center"/>
        </w:trPr>
        <w:tc>
          <w:tcPr>
            <w:tcW w:w="891" w:type="pct"/>
            <w:tcBorders>
              <w:top w:val="nil"/>
              <w:left w:val="nil"/>
              <w:bottom w:val="single" w:sz="8" w:space="0" w:color="auto"/>
              <w:right w:val="nil"/>
            </w:tcBorders>
          </w:tcPr>
          <w:p w14:paraId="4FACDCF1" w14:textId="77777777" w:rsidR="00263498" w:rsidRPr="00A95C35" w:rsidRDefault="00263498" w:rsidP="00263498">
            <w:pPr>
              <w:rPr>
                <w:rFonts w:ascii="Arial" w:hAnsi="Arial" w:cs="Arial"/>
                <w:sz w:val="20"/>
              </w:rPr>
            </w:pPr>
          </w:p>
        </w:tc>
        <w:tc>
          <w:tcPr>
            <w:tcW w:w="936" w:type="pct"/>
            <w:tcBorders>
              <w:top w:val="single" w:sz="4" w:space="0" w:color="auto"/>
              <w:left w:val="nil"/>
              <w:bottom w:val="single" w:sz="8" w:space="0" w:color="auto"/>
              <w:right w:val="nil"/>
            </w:tcBorders>
            <w:shd w:val="clear" w:color="auto" w:fill="auto"/>
            <w:noWrap/>
            <w:vAlign w:val="center"/>
          </w:tcPr>
          <w:p w14:paraId="68920417" w14:textId="5F1861F7" w:rsidR="00263498" w:rsidRPr="00A95C35" w:rsidRDefault="00263498" w:rsidP="00263498">
            <w:pPr>
              <w:rPr>
                <w:rFonts w:ascii="Arial" w:hAnsi="Arial"/>
                <w:sz w:val="20"/>
              </w:rPr>
            </w:pPr>
          </w:p>
        </w:tc>
        <w:tc>
          <w:tcPr>
            <w:tcW w:w="1058" w:type="pct"/>
            <w:tcBorders>
              <w:top w:val="nil"/>
              <w:left w:val="nil"/>
              <w:bottom w:val="single" w:sz="8" w:space="0" w:color="auto"/>
              <w:right w:val="nil"/>
            </w:tcBorders>
            <w:shd w:val="clear" w:color="auto" w:fill="auto"/>
            <w:noWrap/>
            <w:vAlign w:val="center"/>
            <w:hideMark/>
          </w:tcPr>
          <w:p w14:paraId="44B3DCF8" w14:textId="417D7CB9" w:rsidR="00263498" w:rsidRPr="00A95C35" w:rsidRDefault="00263498" w:rsidP="002D7F37">
            <w:pPr>
              <w:jc w:val="right"/>
              <w:rPr>
                <w:rFonts w:ascii="Arial" w:hAnsi="Arial"/>
                <w:sz w:val="20"/>
              </w:rPr>
            </w:pPr>
            <w:r w:rsidRPr="00A95C35">
              <w:rPr>
                <w:rFonts w:ascii="Arial" w:hAnsi="Arial"/>
                <w:sz w:val="20"/>
              </w:rPr>
              <w:t>$30</w:t>
            </w:r>
          </w:p>
        </w:tc>
        <w:tc>
          <w:tcPr>
            <w:tcW w:w="1059" w:type="pct"/>
            <w:tcBorders>
              <w:top w:val="nil"/>
              <w:left w:val="nil"/>
              <w:bottom w:val="single" w:sz="8" w:space="0" w:color="auto"/>
              <w:right w:val="nil"/>
            </w:tcBorders>
            <w:shd w:val="clear" w:color="auto" w:fill="auto"/>
            <w:noWrap/>
            <w:vAlign w:val="center"/>
            <w:hideMark/>
          </w:tcPr>
          <w:p w14:paraId="4330DE2D" w14:textId="0626A0C6" w:rsidR="00263498" w:rsidRPr="00A95C35" w:rsidRDefault="00263498" w:rsidP="002D7F37">
            <w:pPr>
              <w:jc w:val="right"/>
              <w:rPr>
                <w:rFonts w:ascii="Arial" w:hAnsi="Arial"/>
                <w:sz w:val="20"/>
              </w:rPr>
            </w:pPr>
            <w:r w:rsidRPr="00A95C35">
              <w:rPr>
                <w:rFonts w:ascii="Arial" w:hAnsi="Arial"/>
                <w:sz w:val="20"/>
              </w:rPr>
              <w:t>$40</w:t>
            </w:r>
          </w:p>
        </w:tc>
        <w:tc>
          <w:tcPr>
            <w:tcW w:w="1056" w:type="pct"/>
            <w:tcBorders>
              <w:top w:val="nil"/>
              <w:left w:val="nil"/>
              <w:bottom w:val="single" w:sz="8" w:space="0" w:color="auto"/>
              <w:right w:val="nil"/>
            </w:tcBorders>
            <w:shd w:val="clear" w:color="auto" w:fill="auto"/>
            <w:noWrap/>
            <w:vAlign w:val="center"/>
            <w:hideMark/>
          </w:tcPr>
          <w:p w14:paraId="44C83425" w14:textId="12F27E0F" w:rsidR="00263498" w:rsidRPr="00A95C35" w:rsidRDefault="00263498" w:rsidP="002D7F37">
            <w:pPr>
              <w:jc w:val="right"/>
              <w:rPr>
                <w:rFonts w:ascii="Arial" w:hAnsi="Arial"/>
                <w:sz w:val="20"/>
              </w:rPr>
            </w:pPr>
            <w:r w:rsidRPr="00A95C35">
              <w:rPr>
                <w:rFonts w:ascii="Arial" w:hAnsi="Arial"/>
                <w:sz w:val="20"/>
              </w:rPr>
              <w:t>$50</w:t>
            </w:r>
          </w:p>
        </w:tc>
      </w:tr>
      <w:tr w:rsidR="00A7338B" w:rsidRPr="00A95C35" w14:paraId="37FB863D" w14:textId="77777777" w:rsidTr="002D7F37">
        <w:trPr>
          <w:trHeight w:val="300"/>
          <w:jc w:val="center"/>
        </w:trPr>
        <w:tc>
          <w:tcPr>
            <w:tcW w:w="891" w:type="pct"/>
            <w:vMerge w:val="restart"/>
            <w:tcBorders>
              <w:top w:val="nil"/>
              <w:left w:val="nil"/>
              <w:right w:val="nil"/>
            </w:tcBorders>
            <w:vAlign w:val="center"/>
          </w:tcPr>
          <w:p w14:paraId="12BCB91B" w14:textId="1138A06D" w:rsidR="00A7338B" w:rsidRPr="00A95C35" w:rsidRDefault="00A7338B" w:rsidP="002D7F37">
            <w:pPr>
              <w:jc w:val="right"/>
              <w:rPr>
                <w:rFonts w:ascii="Arial" w:hAnsi="Arial"/>
                <w:sz w:val="20"/>
              </w:rPr>
            </w:pPr>
            <w:r w:rsidRPr="00A95C35">
              <w:rPr>
                <w:rFonts w:ascii="Arial" w:hAnsi="Arial" w:cs="Arial"/>
                <w:sz w:val="20"/>
              </w:rPr>
              <w:t xml:space="preserve">$30 </w:t>
            </w:r>
          </w:p>
        </w:tc>
        <w:tc>
          <w:tcPr>
            <w:tcW w:w="936" w:type="pct"/>
            <w:tcBorders>
              <w:top w:val="nil"/>
              <w:left w:val="nil"/>
              <w:right w:val="nil"/>
            </w:tcBorders>
            <w:shd w:val="clear" w:color="auto" w:fill="auto"/>
            <w:noWrap/>
            <w:vAlign w:val="center"/>
            <w:hideMark/>
          </w:tcPr>
          <w:p w14:paraId="49EB6336" w14:textId="25ECBE31" w:rsidR="00A7338B" w:rsidRPr="00A95C35" w:rsidRDefault="00041DBD" w:rsidP="00A7338B">
            <w:pPr>
              <w:rPr>
                <w:rFonts w:ascii="Arial" w:hAnsi="Arial"/>
                <w:sz w:val="20"/>
              </w:rPr>
            </w:pPr>
            <w:r w:rsidRPr="00A95C35">
              <w:rPr>
                <w:rFonts w:ascii="Arial" w:hAnsi="Arial"/>
                <w:sz w:val="20"/>
              </w:rPr>
              <w:t>Chi-Square</w:t>
            </w:r>
          </w:p>
        </w:tc>
        <w:tc>
          <w:tcPr>
            <w:tcW w:w="1058" w:type="pct"/>
            <w:tcBorders>
              <w:top w:val="nil"/>
              <w:left w:val="nil"/>
              <w:right w:val="nil"/>
            </w:tcBorders>
            <w:shd w:val="clear" w:color="auto" w:fill="auto"/>
            <w:noWrap/>
            <w:vAlign w:val="center"/>
            <w:hideMark/>
          </w:tcPr>
          <w:p w14:paraId="6649F75D" w14:textId="596176CD" w:rsidR="00A7338B" w:rsidRPr="00A95C35" w:rsidRDefault="00A7338B" w:rsidP="002D7F37">
            <w:pPr>
              <w:jc w:val="right"/>
              <w:rPr>
                <w:rFonts w:ascii="Arial" w:hAnsi="Arial"/>
                <w:sz w:val="18"/>
                <w:szCs w:val="18"/>
              </w:rPr>
            </w:pPr>
            <w:r w:rsidRPr="00A95C35">
              <w:rPr>
                <w:rFonts w:ascii="Arial" w:hAnsi="Arial" w:cs="Arial"/>
                <w:sz w:val="18"/>
                <w:szCs w:val="18"/>
              </w:rPr>
              <w:t>†</w:t>
            </w:r>
          </w:p>
        </w:tc>
        <w:tc>
          <w:tcPr>
            <w:tcW w:w="1059" w:type="pct"/>
            <w:tcBorders>
              <w:top w:val="nil"/>
              <w:left w:val="nil"/>
              <w:right w:val="nil"/>
            </w:tcBorders>
            <w:shd w:val="clear" w:color="auto" w:fill="auto"/>
            <w:noWrap/>
            <w:vAlign w:val="center"/>
            <w:hideMark/>
          </w:tcPr>
          <w:p w14:paraId="3EA3A871" w14:textId="6B866D7B" w:rsidR="00A7338B" w:rsidRPr="00A95C35" w:rsidRDefault="00A7338B" w:rsidP="002D7F37">
            <w:pPr>
              <w:jc w:val="right"/>
              <w:rPr>
                <w:rFonts w:ascii="Arial" w:hAnsi="Arial"/>
                <w:sz w:val="18"/>
                <w:szCs w:val="18"/>
              </w:rPr>
            </w:pPr>
            <w:r w:rsidRPr="00A95C35">
              <w:rPr>
                <w:rFonts w:ascii="Arial" w:hAnsi="Arial"/>
                <w:sz w:val="18"/>
                <w:szCs w:val="18"/>
              </w:rPr>
              <w:t>1.84</w:t>
            </w:r>
          </w:p>
        </w:tc>
        <w:tc>
          <w:tcPr>
            <w:tcW w:w="1056" w:type="pct"/>
            <w:tcBorders>
              <w:top w:val="nil"/>
              <w:left w:val="nil"/>
              <w:right w:val="nil"/>
            </w:tcBorders>
            <w:shd w:val="clear" w:color="auto" w:fill="auto"/>
            <w:noWrap/>
            <w:vAlign w:val="center"/>
            <w:hideMark/>
          </w:tcPr>
          <w:p w14:paraId="2781C1FB" w14:textId="5B4E3144" w:rsidR="00A7338B" w:rsidRPr="00A95C35" w:rsidRDefault="00A7338B" w:rsidP="002D7F37">
            <w:pPr>
              <w:jc w:val="right"/>
              <w:rPr>
                <w:rFonts w:ascii="Arial" w:hAnsi="Arial"/>
                <w:sz w:val="18"/>
                <w:szCs w:val="18"/>
              </w:rPr>
            </w:pPr>
            <w:r w:rsidRPr="00A95C35">
              <w:rPr>
                <w:rFonts w:ascii="Arial" w:hAnsi="Arial"/>
                <w:sz w:val="18"/>
                <w:szCs w:val="18"/>
              </w:rPr>
              <w:t>1.62</w:t>
            </w:r>
          </w:p>
        </w:tc>
      </w:tr>
      <w:tr w:rsidR="00A7338B" w:rsidRPr="00A95C35" w14:paraId="0A8C4FC7" w14:textId="77777777" w:rsidTr="002D7F37">
        <w:trPr>
          <w:trHeight w:val="302"/>
          <w:jc w:val="center"/>
        </w:trPr>
        <w:tc>
          <w:tcPr>
            <w:tcW w:w="891" w:type="pct"/>
            <w:vMerge/>
            <w:tcBorders>
              <w:left w:val="nil"/>
              <w:right w:val="nil"/>
            </w:tcBorders>
          </w:tcPr>
          <w:p w14:paraId="7EE49F34" w14:textId="77777777" w:rsidR="00A7338B" w:rsidRPr="00A95C35" w:rsidRDefault="00A7338B" w:rsidP="00A7338B">
            <w:pPr>
              <w:rPr>
                <w:rFonts w:ascii="Arial" w:hAnsi="Arial" w:cs="Arial"/>
                <w:sz w:val="20"/>
              </w:rPr>
            </w:pPr>
          </w:p>
        </w:tc>
        <w:tc>
          <w:tcPr>
            <w:tcW w:w="936" w:type="pct"/>
            <w:tcBorders>
              <w:top w:val="nil"/>
              <w:left w:val="nil"/>
              <w:right w:val="nil"/>
            </w:tcBorders>
            <w:shd w:val="clear" w:color="auto" w:fill="auto"/>
            <w:noWrap/>
            <w:vAlign w:val="center"/>
          </w:tcPr>
          <w:p w14:paraId="475993A6" w14:textId="45731EB1" w:rsidR="00A7338B" w:rsidRPr="00A95C35" w:rsidRDefault="00041DBD" w:rsidP="00A7338B">
            <w:pPr>
              <w:rPr>
                <w:rFonts w:ascii="Arial" w:hAnsi="Arial" w:cs="Arial"/>
                <w:sz w:val="20"/>
              </w:rPr>
            </w:pPr>
            <w:r w:rsidRPr="00A95C35">
              <w:rPr>
                <w:rFonts w:ascii="Arial" w:hAnsi="Arial" w:cs="Arial"/>
                <w:sz w:val="20"/>
              </w:rPr>
              <w:t>Probability</w:t>
            </w:r>
          </w:p>
        </w:tc>
        <w:tc>
          <w:tcPr>
            <w:tcW w:w="1058" w:type="pct"/>
            <w:tcBorders>
              <w:top w:val="nil"/>
              <w:left w:val="nil"/>
              <w:right w:val="nil"/>
            </w:tcBorders>
            <w:shd w:val="clear" w:color="auto" w:fill="auto"/>
            <w:noWrap/>
            <w:vAlign w:val="center"/>
            <w:hideMark/>
          </w:tcPr>
          <w:p w14:paraId="528217B4" w14:textId="77777777" w:rsidR="00A7338B" w:rsidRPr="00A95C35" w:rsidRDefault="00A7338B" w:rsidP="002D7F37">
            <w:pPr>
              <w:jc w:val="right"/>
              <w:rPr>
                <w:rFonts w:ascii="Arial" w:hAnsi="Arial" w:cs="Arial"/>
                <w:sz w:val="18"/>
                <w:szCs w:val="18"/>
              </w:rPr>
            </w:pPr>
            <w:r w:rsidRPr="00A95C35">
              <w:rPr>
                <w:rFonts w:ascii="Arial" w:hAnsi="Arial" w:cs="Arial"/>
                <w:sz w:val="18"/>
                <w:szCs w:val="18"/>
              </w:rPr>
              <w:t>†</w:t>
            </w:r>
          </w:p>
        </w:tc>
        <w:tc>
          <w:tcPr>
            <w:tcW w:w="1059" w:type="pct"/>
            <w:tcBorders>
              <w:top w:val="nil"/>
              <w:left w:val="nil"/>
              <w:right w:val="nil"/>
            </w:tcBorders>
            <w:shd w:val="clear" w:color="auto" w:fill="auto"/>
            <w:noWrap/>
            <w:vAlign w:val="center"/>
            <w:hideMark/>
          </w:tcPr>
          <w:p w14:paraId="63D42A68" w14:textId="35E0F37E" w:rsidR="00A7338B" w:rsidRPr="00A95C35" w:rsidRDefault="00A7338B" w:rsidP="002D7F37">
            <w:pPr>
              <w:jc w:val="right"/>
              <w:rPr>
                <w:rFonts w:ascii="Arial" w:hAnsi="Arial" w:cs="Arial"/>
                <w:sz w:val="18"/>
                <w:szCs w:val="18"/>
              </w:rPr>
            </w:pPr>
            <w:r w:rsidRPr="00A95C35">
              <w:rPr>
                <w:rFonts w:ascii="Arial" w:hAnsi="Arial" w:cs="Arial"/>
                <w:i/>
                <w:iCs/>
                <w:sz w:val="18"/>
                <w:szCs w:val="18"/>
              </w:rPr>
              <w:t>p</w:t>
            </w:r>
            <w:r w:rsidRPr="00A95C35">
              <w:rPr>
                <w:rFonts w:ascii="Arial" w:hAnsi="Arial" w:cs="Arial"/>
                <w:sz w:val="18"/>
                <w:szCs w:val="18"/>
              </w:rPr>
              <w:t xml:space="preserve"> =0.1748</w:t>
            </w:r>
          </w:p>
        </w:tc>
        <w:tc>
          <w:tcPr>
            <w:tcW w:w="1056" w:type="pct"/>
            <w:tcBorders>
              <w:top w:val="nil"/>
              <w:left w:val="nil"/>
              <w:right w:val="nil"/>
            </w:tcBorders>
            <w:shd w:val="clear" w:color="auto" w:fill="auto"/>
            <w:noWrap/>
            <w:vAlign w:val="center"/>
            <w:hideMark/>
          </w:tcPr>
          <w:p w14:paraId="5D6BC5B3" w14:textId="5FA32605" w:rsidR="00A7338B" w:rsidRPr="00A95C35" w:rsidRDefault="00A7338B" w:rsidP="002D7F37">
            <w:pPr>
              <w:jc w:val="right"/>
              <w:rPr>
                <w:rFonts w:ascii="Arial" w:hAnsi="Arial" w:cs="Arial"/>
                <w:sz w:val="18"/>
                <w:szCs w:val="18"/>
              </w:rPr>
            </w:pPr>
            <w:r w:rsidRPr="00A95C35">
              <w:rPr>
                <w:rFonts w:ascii="Arial" w:hAnsi="Arial" w:cs="Arial"/>
                <w:i/>
                <w:iCs/>
                <w:sz w:val="18"/>
                <w:szCs w:val="18"/>
              </w:rPr>
              <w:t>p</w:t>
            </w:r>
            <w:r w:rsidRPr="00A95C35">
              <w:rPr>
                <w:rFonts w:ascii="Arial" w:hAnsi="Arial" w:cs="Arial"/>
                <w:sz w:val="18"/>
                <w:szCs w:val="18"/>
              </w:rPr>
              <w:t xml:space="preserve"> = 0.2037</w:t>
            </w:r>
          </w:p>
        </w:tc>
      </w:tr>
      <w:tr w:rsidR="00D2509B" w:rsidRPr="00A95C35" w14:paraId="6A9EB7C1" w14:textId="77777777" w:rsidTr="002D7F37">
        <w:trPr>
          <w:trHeight w:val="302"/>
          <w:jc w:val="center"/>
        </w:trPr>
        <w:tc>
          <w:tcPr>
            <w:tcW w:w="891" w:type="pct"/>
            <w:vMerge w:val="restart"/>
            <w:tcBorders>
              <w:top w:val="nil"/>
              <w:left w:val="nil"/>
              <w:right w:val="nil"/>
            </w:tcBorders>
            <w:vAlign w:val="center"/>
          </w:tcPr>
          <w:p w14:paraId="47B837A4" w14:textId="639F8AB0" w:rsidR="00D2509B" w:rsidRPr="00A95C35" w:rsidRDefault="00D2509B" w:rsidP="002D7F37">
            <w:pPr>
              <w:jc w:val="right"/>
              <w:rPr>
                <w:rFonts w:ascii="Arial" w:hAnsi="Arial" w:cs="Arial"/>
                <w:sz w:val="20"/>
              </w:rPr>
            </w:pPr>
            <w:r w:rsidRPr="00A95C35">
              <w:rPr>
                <w:rFonts w:ascii="Arial" w:hAnsi="Arial" w:cs="Arial"/>
                <w:sz w:val="20"/>
              </w:rPr>
              <w:t>$40</w:t>
            </w:r>
          </w:p>
        </w:tc>
        <w:tc>
          <w:tcPr>
            <w:tcW w:w="936" w:type="pct"/>
            <w:tcBorders>
              <w:top w:val="nil"/>
              <w:left w:val="nil"/>
              <w:right w:val="nil"/>
            </w:tcBorders>
            <w:shd w:val="clear" w:color="auto" w:fill="auto"/>
            <w:noWrap/>
            <w:vAlign w:val="center"/>
          </w:tcPr>
          <w:p w14:paraId="013B674C" w14:textId="7DD492C6" w:rsidR="00D2509B" w:rsidRPr="00A95C35" w:rsidRDefault="00D2509B" w:rsidP="00D2509B">
            <w:pPr>
              <w:rPr>
                <w:rFonts w:ascii="Arial" w:hAnsi="Arial"/>
                <w:sz w:val="20"/>
              </w:rPr>
            </w:pPr>
            <w:r w:rsidRPr="00A95C35">
              <w:rPr>
                <w:rFonts w:ascii="Arial" w:hAnsi="Arial"/>
                <w:sz w:val="20"/>
              </w:rPr>
              <w:t>Chi-Square</w:t>
            </w:r>
          </w:p>
        </w:tc>
        <w:tc>
          <w:tcPr>
            <w:tcW w:w="1058" w:type="pct"/>
            <w:tcBorders>
              <w:top w:val="nil"/>
              <w:left w:val="nil"/>
              <w:right w:val="nil"/>
            </w:tcBorders>
            <w:shd w:val="clear" w:color="auto" w:fill="auto"/>
            <w:noWrap/>
            <w:vAlign w:val="center"/>
          </w:tcPr>
          <w:p w14:paraId="5EF68FF2" w14:textId="6F8E8344" w:rsidR="00D2509B" w:rsidRPr="00A95C35" w:rsidRDefault="00D2509B" w:rsidP="00D2509B">
            <w:pPr>
              <w:jc w:val="right"/>
              <w:rPr>
                <w:rFonts w:ascii="Arial" w:hAnsi="Arial" w:cs="Arial"/>
                <w:sz w:val="18"/>
                <w:szCs w:val="18"/>
              </w:rPr>
            </w:pPr>
            <w:r w:rsidRPr="00A95C35">
              <w:rPr>
                <w:rFonts w:ascii="Arial" w:hAnsi="Arial" w:cs="Arial"/>
                <w:sz w:val="18"/>
                <w:szCs w:val="18"/>
              </w:rPr>
              <w:t>1.84</w:t>
            </w:r>
          </w:p>
        </w:tc>
        <w:tc>
          <w:tcPr>
            <w:tcW w:w="1059" w:type="pct"/>
            <w:tcBorders>
              <w:top w:val="nil"/>
              <w:left w:val="nil"/>
              <w:right w:val="nil"/>
            </w:tcBorders>
            <w:shd w:val="clear" w:color="auto" w:fill="auto"/>
            <w:noWrap/>
            <w:vAlign w:val="center"/>
          </w:tcPr>
          <w:p w14:paraId="33FD1FBE" w14:textId="0F3D4171" w:rsidR="00D2509B" w:rsidRPr="00A95C35" w:rsidRDefault="00D2509B" w:rsidP="00D2509B">
            <w:pPr>
              <w:jc w:val="right"/>
              <w:rPr>
                <w:rFonts w:ascii="Arial" w:hAnsi="Arial"/>
                <w:sz w:val="18"/>
                <w:szCs w:val="18"/>
              </w:rPr>
            </w:pPr>
            <w:r w:rsidRPr="00A95C35">
              <w:rPr>
                <w:rFonts w:ascii="Arial" w:hAnsi="Arial"/>
                <w:sz w:val="18"/>
                <w:szCs w:val="18"/>
              </w:rPr>
              <w:t>†</w:t>
            </w:r>
          </w:p>
        </w:tc>
        <w:tc>
          <w:tcPr>
            <w:tcW w:w="1056" w:type="pct"/>
            <w:tcBorders>
              <w:top w:val="nil"/>
              <w:left w:val="nil"/>
              <w:right w:val="nil"/>
            </w:tcBorders>
            <w:shd w:val="clear" w:color="auto" w:fill="auto"/>
            <w:noWrap/>
            <w:vAlign w:val="center"/>
          </w:tcPr>
          <w:p w14:paraId="10B77F63" w14:textId="687F3AAC" w:rsidR="00D2509B" w:rsidRPr="00A95C35" w:rsidRDefault="00D2509B" w:rsidP="00D2509B">
            <w:pPr>
              <w:jc w:val="right"/>
              <w:rPr>
                <w:rFonts w:ascii="Arial" w:hAnsi="Arial"/>
                <w:sz w:val="18"/>
                <w:szCs w:val="18"/>
              </w:rPr>
            </w:pPr>
            <w:r w:rsidRPr="00A95C35">
              <w:rPr>
                <w:rFonts w:ascii="Arial" w:hAnsi="Arial"/>
                <w:sz w:val="18"/>
                <w:szCs w:val="18"/>
              </w:rPr>
              <w:t>0.0072</w:t>
            </w:r>
          </w:p>
        </w:tc>
      </w:tr>
      <w:tr w:rsidR="00D2509B" w:rsidRPr="00A95C35" w14:paraId="20FCBA2B" w14:textId="77777777" w:rsidTr="002D7F37">
        <w:trPr>
          <w:trHeight w:val="302"/>
          <w:jc w:val="center"/>
        </w:trPr>
        <w:tc>
          <w:tcPr>
            <w:tcW w:w="891" w:type="pct"/>
            <w:vMerge/>
            <w:tcBorders>
              <w:left w:val="nil"/>
              <w:right w:val="nil"/>
            </w:tcBorders>
          </w:tcPr>
          <w:p w14:paraId="14B7F40E" w14:textId="77777777" w:rsidR="00D2509B" w:rsidRPr="00A95C35" w:rsidRDefault="00D2509B" w:rsidP="00D2509B">
            <w:pPr>
              <w:rPr>
                <w:rFonts w:ascii="Arial" w:hAnsi="Arial"/>
                <w:sz w:val="20"/>
              </w:rPr>
            </w:pPr>
          </w:p>
        </w:tc>
        <w:tc>
          <w:tcPr>
            <w:tcW w:w="936" w:type="pct"/>
            <w:tcBorders>
              <w:top w:val="nil"/>
              <w:left w:val="nil"/>
              <w:right w:val="nil"/>
            </w:tcBorders>
            <w:shd w:val="clear" w:color="auto" w:fill="auto"/>
            <w:noWrap/>
            <w:vAlign w:val="center"/>
            <w:hideMark/>
          </w:tcPr>
          <w:p w14:paraId="43DD4069" w14:textId="10F68900" w:rsidR="00D2509B" w:rsidRPr="00A95C35" w:rsidRDefault="00D2509B" w:rsidP="00D2509B">
            <w:pPr>
              <w:rPr>
                <w:rFonts w:ascii="Arial" w:hAnsi="Arial"/>
                <w:sz w:val="20"/>
              </w:rPr>
            </w:pPr>
            <w:r w:rsidRPr="00A95C35">
              <w:rPr>
                <w:rFonts w:ascii="Arial" w:hAnsi="Arial" w:cs="Arial"/>
                <w:sz w:val="20"/>
              </w:rPr>
              <w:t>Probability</w:t>
            </w:r>
          </w:p>
        </w:tc>
        <w:tc>
          <w:tcPr>
            <w:tcW w:w="1058" w:type="pct"/>
            <w:tcBorders>
              <w:top w:val="nil"/>
              <w:left w:val="nil"/>
              <w:right w:val="nil"/>
            </w:tcBorders>
            <w:shd w:val="clear" w:color="auto" w:fill="auto"/>
            <w:noWrap/>
            <w:vAlign w:val="center"/>
            <w:hideMark/>
          </w:tcPr>
          <w:p w14:paraId="19FCE20D" w14:textId="3575AC63" w:rsidR="00D2509B" w:rsidRPr="00A95C35" w:rsidRDefault="00D2509B" w:rsidP="002D7F37">
            <w:pPr>
              <w:jc w:val="right"/>
              <w:rPr>
                <w:rFonts w:ascii="Arial" w:hAnsi="Arial"/>
                <w:sz w:val="18"/>
                <w:szCs w:val="18"/>
              </w:rPr>
            </w:pPr>
            <w:r w:rsidRPr="00A95C35">
              <w:rPr>
                <w:rFonts w:ascii="Arial" w:hAnsi="Arial" w:cs="Arial"/>
                <w:i/>
                <w:iCs/>
                <w:sz w:val="18"/>
                <w:szCs w:val="18"/>
              </w:rPr>
              <w:t>p</w:t>
            </w:r>
            <w:r w:rsidRPr="00A95C35">
              <w:rPr>
                <w:rFonts w:ascii="Arial" w:hAnsi="Arial" w:cs="Arial"/>
                <w:sz w:val="18"/>
                <w:szCs w:val="18"/>
              </w:rPr>
              <w:t xml:space="preserve"> =0.1748</w:t>
            </w:r>
          </w:p>
        </w:tc>
        <w:tc>
          <w:tcPr>
            <w:tcW w:w="1059" w:type="pct"/>
            <w:tcBorders>
              <w:top w:val="nil"/>
              <w:left w:val="nil"/>
              <w:right w:val="nil"/>
            </w:tcBorders>
            <w:shd w:val="clear" w:color="auto" w:fill="auto"/>
            <w:noWrap/>
            <w:vAlign w:val="center"/>
            <w:hideMark/>
          </w:tcPr>
          <w:p w14:paraId="1578C166" w14:textId="77777777" w:rsidR="00D2509B" w:rsidRPr="00A95C35" w:rsidRDefault="00D2509B" w:rsidP="002D7F37">
            <w:pPr>
              <w:jc w:val="right"/>
              <w:rPr>
                <w:rFonts w:ascii="Arial" w:hAnsi="Arial"/>
                <w:sz w:val="18"/>
                <w:szCs w:val="18"/>
              </w:rPr>
            </w:pPr>
            <w:r w:rsidRPr="00A95C35">
              <w:rPr>
                <w:rFonts w:ascii="Arial" w:hAnsi="Arial"/>
                <w:sz w:val="18"/>
                <w:szCs w:val="18"/>
              </w:rPr>
              <w:t>†</w:t>
            </w:r>
          </w:p>
        </w:tc>
        <w:tc>
          <w:tcPr>
            <w:tcW w:w="1056" w:type="pct"/>
            <w:tcBorders>
              <w:top w:val="nil"/>
              <w:left w:val="nil"/>
              <w:right w:val="nil"/>
            </w:tcBorders>
            <w:shd w:val="clear" w:color="auto" w:fill="auto"/>
            <w:noWrap/>
            <w:vAlign w:val="center"/>
            <w:hideMark/>
          </w:tcPr>
          <w:p w14:paraId="54A03421" w14:textId="5FA83175" w:rsidR="00D2509B" w:rsidRPr="00A95C35" w:rsidRDefault="00D2509B" w:rsidP="002D7F37">
            <w:pPr>
              <w:jc w:val="right"/>
              <w:rPr>
                <w:rFonts w:ascii="Arial" w:hAnsi="Arial"/>
                <w:sz w:val="18"/>
                <w:szCs w:val="18"/>
              </w:rPr>
            </w:pPr>
            <w:r w:rsidRPr="00A95C35">
              <w:rPr>
                <w:rFonts w:ascii="Arial" w:hAnsi="Arial"/>
                <w:sz w:val="18"/>
                <w:szCs w:val="18"/>
              </w:rPr>
              <w:t>p = 0.9326</w:t>
            </w:r>
          </w:p>
        </w:tc>
      </w:tr>
      <w:tr w:rsidR="00D2509B" w:rsidRPr="00A95C35" w14:paraId="413BE8C2" w14:textId="77777777" w:rsidTr="002D7F37">
        <w:trPr>
          <w:trHeight w:val="302"/>
          <w:jc w:val="center"/>
        </w:trPr>
        <w:tc>
          <w:tcPr>
            <w:tcW w:w="891" w:type="pct"/>
            <w:vMerge w:val="restart"/>
            <w:tcBorders>
              <w:top w:val="nil"/>
              <w:left w:val="nil"/>
              <w:right w:val="nil"/>
            </w:tcBorders>
            <w:vAlign w:val="center"/>
          </w:tcPr>
          <w:p w14:paraId="5D25A6CE" w14:textId="0D600F45" w:rsidR="00D2509B" w:rsidRPr="00A95C35" w:rsidRDefault="00D2509B" w:rsidP="002D7F37">
            <w:pPr>
              <w:jc w:val="right"/>
              <w:rPr>
                <w:rFonts w:ascii="Arial" w:hAnsi="Arial" w:cs="Arial"/>
                <w:sz w:val="20"/>
              </w:rPr>
            </w:pPr>
            <w:r w:rsidRPr="00A95C35">
              <w:rPr>
                <w:rFonts w:ascii="Arial" w:hAnsi="Arial" w:cs="Arial"/>
                <w:sz w:val="20"/>
              </w:rPr>
              <w:t>$50</w:t>
            </w:r>
          </w:p>
        </w:tc>
        <w:tc>
          <w:tcPr>
            <w:tcW w:w="936" w:type="pct"/>
            <w:tcBorders>
              <w:top w:val="nil"/>
              <w:left w:val="nil"/>
              <w:right w:val="nil"/>
            </w:tcBorders>
            <w:shd w:val="clear" w:color="auto" w:fill="auto"/>
            <w:noWrap/>
            <w:vAlign w:val="center"/>
          </w:tcPr>
          <w:p w14:paraId="087D2686" w14:textId="6AB7108F" w:rsidR="00D2509B" w:rsidRPr="00A95C35" w:rsidRDefault="00D2509B" w:rsidP="00D2509B">
            <w:pPr>
              <w:rPr>
                <w:rFonts w:ascii="Arial" w:hAnsi="Arial" w:cs="Arial"/>
                <w:sz w:val="20"/>
              </w:rPr>
            </w:pPr>
            <w:r w:rsidRPr="00A95C35">
              <w:rPr>
                <w:rFonts w:ascii="Arial" w:hAnsi="Arial"/>
                <w:sz w:val="20"/>
              </w:rPr>
              <w:t>Chi-Square</w:t>
            </w:r>
          </w:p>
        </w:tc>
        <w:tc>
          <w:tcPr>
            <w:tcW w:w="1058" w:type="pct"/>
            <w:tcBorders>
              <w:top w:val="nil"/>
              <w:left w:val="nil"/>
              <w:right w:val="nil"/>
            </w:tcBorders>
            <w:shd w:val="clear" w:color="auto" w:fill="auto"/>
            <w:noWrap/>
            <w:vAlign w:val="center"/>
          </w:tcPr>
          <w:p w14:paraId="443B958E" w14:textId="54292884" w:rsidR="00D2509B" w:rsidRPr="00A95C35" w:rsidRDefault="00D2509B" w:rsidP="00D2509B">
            <w:pPr>
              <w:jc w:val="right"/>
              <w:rPr>
                <w:rFonts w:ascii="Arial" w:hAnsi="Arial" w:cs="Arial"/>
                <w:sz w:val="18"/>
                <w:szCs w:val="18"/>
              </w:rPr>
            </w:pPr>
            <w:r w:rsidRPr="00A95C35">
              <w:rPr>
                <w:rFonts w:ascii="Arial" w:hAnsi="Arial" w:cs="Arial"/>
                <w:sz w:val="18"/>
                <w:szCs w:val="18"/>
              </w:rPr>
              <w:t>1.62</w:t>
            </w:r>
          </w:p>
        </w:tc>
        <w:tc>
          <w:tcPr>
            <w:tcW w:w="1059" w:type="pct"/>
            <w:tcBorders>
              <w:top w:val="nil"/>
              <w:left w:val="nil"/>
              <w:right w:val="nil"/>
            </w:tcBorders>
            <w:shd w:val="clear" w:color="auto" w:fill="auto"/>
            <w:noWrap/>
            <w:vAlign w:val="center"/>
          </w:tcPr>
          <w:p w14:paraId="3CE54F3D" w14:textId="74A6A2E3" w:rsidR="00D2509B" w:rsidRPr="00A95C35" w:rsidRDefault="00D2509B" w:rsidP="00D2509B">
            <w:pPr>
              <w:jc w:val="right"/>
              <w:rPr>
                <w:rFonts w:ascii="Arial" w:hAnsi="Arial" w:cs="Arial"/>
                <w:sz w:val="18"/>
                <w:szCs w:val="18"/>
              </w:rPr>
            </w:pPr>
            <w:r w:rsidRPr="00A95C35">
              <w:rPr>
                <w:rFonts w:ascii="Arial" w:hAnsi="Arial" w:cs="Arial"/>
                <w:sz w:val="18"/>
                <w:szCs w:val="18"/>
              </w:rPr>
              <w:t>0.0072</w:t>
            </w:r>
          </w:p>
        </w:tc>
        <w:tc>
          <w:tcPr>
            <w:tcW w:w="1056" w:type="pct"/>
            <w:tcBorders>
              <w:top w:val="nil"/>
              <w:left w:val="nil"/>
              <w:right w:val="nil"/>
            </w:tcBorders>
            <w:shd w:val="clear" w:color="auto" w:fill="auto"/>
            <w:noWrap/>
            <w:vAlign w:val="center"/>
          </w:tcPr>
          <w:p w14:paraId="441DAB28" w14:textId="43B953B0" w:rsidR="00D2509B" w:rsidRPr="00A95C35" w:rsidRDefault="00D2509B" w:rsidP="00D2509B">
            <w:pPr>
              <w:jc w:val="right"/>
              <w:rPr>
                <w:rFonts w:ascii="Arial" w:hAnsi="Arial" w:cs="Arial"/>
                <w:sz w:val="18"/>
                <w:szCs w:val="18"/>
              </w:rPr>
            </w:pPr>
            <w:r w:rsidRPr="00A95C35">
              <w:rPr>
                <w:rFonts w:ascii="Arial" w:hAnsi="Arial" w:cs="Arial"/>
                <w:sz w:val="18"/>
                <w:szCs w:val="18"/>
              </w:rPr>
              <w:t>†</w:t>
            </w:r>
          </w:p>
        </w:tc>
      </w:tr>
      <w:tr w:rsidR="00D2509B" w:rsidRPr="00A95C35" w14:paraId="55A27D5C" w14:textId="77777777" w:rsidTr="00EE0269">
        <w:trPr>
          <w:trHeight w:val="302"/>
          <w:jc w:val="center"/>
        </w:trPr>
        <w:tc>
          <w:tcPr>
            <w:tcW w:w="891" w:type="pct"/>
            <w:vMerge/>
            <w:tcBorders>
              <w:left w:val="nil"/>
              <w:bottom w:val="single" w:sz="4" w:space="0" w:color="auto"/>
              <w:right w:val="nil"/>
            </w:tcBorders>
          </w:tcPr>
          <w:p w14:paraId="408B3F6D" w14:textId="77777777" w:rsidR="00D2509B" w:rsidRPr="00A95C35" w:rsidRDefault="00D2509B" w:rsidP="00D2509B">
            <w:pPr>
              <w:rPr>
                <w:rFonts w:ascii="Arial" w:hAnsi="Arial" w:cs="Arial"/>
                <w:sz w:val="20"/>
              </w:rPr>
            </w:pPr>
          </w:p>
        </w:tc>
        <w:tc>
          <w:tcPr>
            <w:tcW w:w="936" w:type="pct"/>
            <w:tcBorders>
              <w:left w:val="nil"/>
              <w:bottom w:val="single" w:sz="4" w:space="0" w:color="auto"/>
              <w:right w:val="nil"/>
            </w:tcBorders>
            <w:shd w:val="clear" w:color="auto" w:fill="auto"/>
            <w:noWrap/>
            <w:vAlign w:val="center"/>
            <w:hideMark/>
          </w:tcPr>
          <w:p w14:paraId="1A7ED7D8" w14:textId="527E3FD4" w:rsidR="00D2509B" w:rsidRPr="00A95C35" w:rsidRDefault="00D2509B" w:rsidP="00D2509B">
            <w:pPr>
              <w:rPr>
                <w:rFonts w:ascii="Arial" w:hAnsi="Arial" w:cs="Arial"/>
                <w:sz w:val="20"/>
              </w:rPr>
            </w:pPr>
            <w:r w:rsidRPr="00A95C35">
              <w:rPr>
                <w:rFonts w:ascii="Arial" w:hAnsi="Arial" w:cs="Arial"/>
                <w:sz w:val="20"/>
              </w:rPr>
              <w:t>Probability</w:t>
            </w:r>
          </w:p>
        </w:tc>
        <w:tc>
          <w:tcPr>
            <w:tcW w:w="1058" w:type="pct"/>
            <w:tcBorders>
              <w:left w:val="nil"/>
              <w:bottom w:val="single" w:sz="4" w:space="0" w:color="auto"/>
              <w:right w:val="nil"/>
            </w:tcBorders>
            <w:shd w:val="clear" w:color="auto" w:fill="auto"/>
            <w:noWrap/>
            <w:vAlign w:val="center"/>
            <w:hideMark/>
          </w:tcPr>
          <w:p w14:paraId="0F2B333E" w14:textId="50637830" w:rsidR="00D2509B" w:rsidRPr="00A95C35" w:rsidRDefault="00D2509B" w:rsidP="002D7F37">
            <w:pPr>
              <w:jc w:val="right"/>
              <w:rPr>
                <w:rFonts w:ascii="Arial" w:hAnsi="Arial" w:cs="Arial"/>
                <w:sz w:val="18"/>
                <w:szCs w:val="18"/>
              </w:rPr>
            </w:pPr>
            <w:r w:rsidRPr="00A95C35">
              <w:rPr>
                <w:rFonts w:ascii="Arial" w:hAnsi="Arial" w:cs="Arial"/>
                <w:i/>
                <w:iCs/>
                <w:sz w:val="18"/>
                <w:szCs w:val="18"/>
              </w:rPr>
              <w:t>p</w:t>
            </w:r>
            <w:r w:rsidRPr="00A95C35">
              <w:rPr>
                <w:rFonts w:ascii="Arial" w:hAnsi="Arial" w:cs="Arial"/>
                <w:sz w:val="18"/>
                <w:szCs w:val="18"/>
              </w:rPr>
              <w:t xml:space="preserve"> = 0.2037</w:t>
            </w:r>
          </w:p>
        </w:tc>
        <w:tc>
          <w:tcPr>
            <w:tcW w:w="1059" w:type="pct"/>
            <w:tcBorders>
              <w:left w:val="nil"/>
              <w:bottom w:val="single" w:sz="4" w:space="0" w:color="auto"/>
              <w:right w:val="nil"/>
            </w:tcBorders>
            <w:shd w:val="clear" w:color="auto" w:fill="auto"/>
            <w:noWrap/>
            <w:vAlign w:val="center"/>
            <w:hideMark/>
          </w:tcPr>
          <w:p w14:paraId="075986BA" w14:textId="479E72B8" w:rsidR="00D2509B" w:rsidRPr="00A95C35" w:rsidRDefault="00D2509B" w:rsidP="002D7F37">
            <w:pPr>
              <w:jc w:val="right"/>
              <w:rPr>
                <w:rFonts w:ascii="Arial" w:hAnsi="Arial" w:cs="Arial"/>
                <w:sz w:val="18"/>
                <w:szCs w:val="18"/>
              </w:rPr>
            </w:pPr>
            <w:r w:rsidRPr="00A95C35">
              <w:rPr>
                <w:rFonts w:ascii="Arial" w:hAnsi="Arial" w:cs="Arial"/>
                <w:i/>
                <w:iCs/>
                <w:sz w:val="18"/>
                <w:szCs w:val="18"/>
              </w:rPr>
              <w:t>p</w:t>
            </w:r>
            <w:r w:rsidRPr="00A95C35">
              <w:rPr>
                <w:rFonts w:ascii="Arial" w:hAnsi="Arial" w:cs="Arial"/>
                <w:sz w:val="18"/>
                <w:szCs w:val="18"/>
              </w:rPr>
              <w:t xml:space="preserve"> = 0.9326</w:t>
            </w:r>
          </w:p>
        </w:tc>
        <w:tc>
          <w:tcPr>
            <w:tcW w:w="1056" w:type="pct"/>
            <w:tcBorders>
              <w:left w:val="nil"/>
              <w:bottom w:val="single" w:sz="4" w:space="0" w:color="auto"/>
              <w:right w:val="nil"/>
            </w:tcBorders>
            <w:shd w:val="clear" w:color="auto" w:fill="auto"/>
            <w:noWrap/>
            <w:vAlign w:val="center"/>
            <w:hideMark/>
          </w:tcPr>
          <w:p w14:paraId="10923FB3" w14:textId="77777777" w:rsidR="00D2509B" w:rsidRPr="00A95C35" w:rsidRDefault="00D2509B" w:rsidP="002D7F37">
            <w:pPr>
              <w:jc w:val="right"/>
              <w:rPr>
                <w:rFonts w:ascii="Arial" w:hAnsi="Arial" w:cs="Arial"/>
                <w:sz w:val="18"/>
                <w:szCs w:val="18"/>
              </w:rPr>
            </w:pPr>
            <w:r w:rsidRPr="00A95C35">
              <w:rPr>
                <w:rFonts w:ascii="Arial" w:hAnsi="Arial" w:cs="Arial"/>
                <w:sz w:val="18"/>
                <w:szCs w:val="18"/>
              </w:rPr>
              <w:t>†</w:t>
            </w:r>
          </w:p>
        </w:tc>
      </w:tr>
    </w:tbl>
    <w:p w14:paraId="55B00943" w14:textId="77777777" w:rsidR="00D3014C" w:rsidRPr="00A95C35" w:rsidRDefault="00D3014C" w:rsidP="00D3014C">
      <w:pPr>
        <w:rPr>
          <w:rFonts w:ascii="Arial" w:hAnsi="Arial"/>
          <w:sz w:val="16"/>
        </w:rPr>
      </w:pPr>
      <w:r w:rsidRPr="00A95C35">
        <w:rPr>
          <w:rFonts w:ascii="Arial" w:hAnsi="Arial"/>
          <w:sz w:val="16"/>
        </w:rPr>
        <w:sym w:font="Wingdings 2" w:char="F085"/>
      </w:r>
      <w:r w:rsidRPr="00A95C35">
        <w:rPr>
          <w:rFonts w:ascii="Arial" w:hAnsi="Arial"/>
          <w:sz w:val="16"/>
        </w:rPr>
        <w:t xml:space="preserve"> Not applicable.</w:t>
      </w:r>
      <w:r w:rsidRPr="00A95C35">
        <w:rPr>
          <w:rFonts w:ascii="Arial" w:hAnsi="Arial"/>
          <w:sz w:val="16"/>
        </w:rPr>
        <w:br/>
        <w:t>SOURCE: U.S. Department of Education, National Center for Education Statistics. High School Longitudinal Study of 2009 (HSLS</w:t>
      </w:r>
      <w:proofErr w:type="gramStart"/>
      <w:r w:rsidRPr="00A95C35">
        <w:rPr>
          <w:rFonts w:ascii="Arial" w:hAnsi="Arial"/>
          <w:sz w:val="16"/>
        </w:rPr>
        <w:t>:09</w:t>
      </w:r>
      <w:proofErr w:type="gramEnd"/>
      <w:r w:rsidRPr="00A95C35">
        <w:rPr>
          <w:rFonts w:ascii="Arial" w:hAnsi="Arial"/>
          <w:sz w:val="16"/>
        </w:rPr>
        <w:t>) Second Follow-up Main Study.</w:t>
      </w:r>
    </w:p>
    <w:p w14:paraId="5D603D2F" w14:textId="77777777" w:rsidR="00D3014C" w:rsidRPr="00A95C35" w:rsidRDefault="00D3014C" w:rsidP="00D3014C">
      <w:pPr>
        <w:rPr>
          <w:rFonts w:ascii="Garamond" w:hAnsi="Garamond"/>
        </w:rPr>
      </w:pPr>
    </w:p>
    <w:p w14:paraId="3EFD2440" w14:textId="77777777" w:rsidR="00867CAE" w:rsidRDefault="00867CAE" w:rsidP="00D3014C">
      <w:pPr>
        <w:rPr>
          <w:rFonts w:ascii="Garamond" w:hAnsi="Garamond"/>
          <w:b/>
          <w:i/>
        </w:rPr>
      </w:pPr>
    </w:p>
    <w:p w14:paraId="501818DA" w14:textId="20980191" w:rsidR="00D3014C" w:rsidRPr="00A95C35" w:rsidRDefault="00D3014C" w:rsidP="00D3014C">
      <w:pPr>
        <w:rPr>
          <w:rFonts w:ascii="Garamond" w:hAnsi="Garamond"/>
        </w:rPr>
      </w:pPr>
      <w:proofErr w:type="gramStart"/>
      <w:r w:rsidRPr="00A95C35">
        <w:rPr>
          <w:rFonts w:ascii="Garamond" w:hAnsi="Garamond"/>
          <w:b/>
          <w:i/>
        </w:rPr>
        <w:t>Subgroup B (Ultra-Cooperative Respondents).</w:t>
      </w:r>
      <w:proofErr w:type="gramEnd"/>
      <w:r w:rsidRPr="00A95C35">
        <w:rPr>
          <w:rFonts w:ascii="Garamond" w:hAnsi="Garamond"/>
        </w:rPr>
        <w:t xml:space="preserve"> Subgroup B cases were not offered a baseline incentive, yet this group of “ultra-cooperative” sample members had a response rate of </w:t>
      </w:r>
      <w:r w:rsidR="00B909A2" w:rsidRPr="00A95C35">
        <w:rPr>
          <w:rFonts w:ascii="Garamond" w:hAnsi="Garamond"/>
        </w:rPr>
        <w:t>63.</w:t>
      </w:r>
      <w:r w:rsidR="0006440F" w:rsidRPr="00A95C35">
        <w:rPr>
          <w:rFonts w:ascii="Garamond" w:hAnsi="Garamond"/>
        </w:rPr>
        <w:t>6</w:t>
      </w:r>
      <w:r w:rsidR="00B909A2" w:rsidRPr="00A95C35">
        <w:rPr>
          <w:rFonts w:ascii="Garamond" w:hAnsi="Garamond"/>
        </w:rPr>
        <w:t xml:space="preserve"> percent (98 completes out of 154 sampled.)</w:t>
      </w:r>
      <w:r w:rsidRPr="00A95C35">
        <w:rPr>
          <w:rFonts w:ascii="Garamond" w:hAnsi="Garamond"/>
        </w:rPr>
        <w:t xml:space="preserve"> For context, exhibit </w:t>
      </w:r>
      <w:r w:rsidR="00087219" w:rsidRPr="00A95C35">
        <w:rPr>
          <w:rFonts w:ascii="Garamond" w:hAnsi="Garamond"/>
        </w:rPr>
        <w:t>3</w:t>
      </w:r>
      <w:r w:rsidRPr="00A95C35">
        <w:rPr>
          <w:rFonts w:ascii="Garamond" w:hAnsi="Garamond"/>
        </w:rPr>
        <w:t xml:space="preserve"> provides the Subgroup B response rates as well as response rates for selected other studies (BPS</w:t>
      </w:r>
      <w:proofErr w:type="gramStart"/>
      <w:r w:rsidRPr="00A95C35">
        <w:rPr>
          <w:rFonts w:ascii="Garamond" w:hAnsi="Garamond"/>
        </w:rPr>
        <w:t>:12</w:t>
      </w:r>
      <w:proofErr w:type="gramEnd"/>
      <w:r w:rsidRPr="00A95C35">
        <w:rPr>
          <w:rFonts w:ascii="Garamond" w:hAnsi="Garamond"/>
        </w:rPr>
        <w:t>/14 and B&amp;B:08/12.) The Subgroup B calibration response rate performs above what might be expected given other comparable cohorts. These results show that the HSLS</w:t>
      </w:r>
      <w:proofErr w:type="gramStart"/>
      <w:r w:rsidRPr="00A95C35">
        <w:rPr>
          <w:rFonts w:ascii="Garamond" w:hAnsi="Garamond"/>
        </w:rPr>
        <w:t>:09</w:t>
      </w:r>
      <w:proofErr w:type="gramEnd"/>
      <w:r w:rsidRPr="00A95C35">
        <w:rPr>
          <w:rFonts w:ascii="Garamond" w:hAnsi="Garamond"/>
        </w:rPr>
        <w:t xml:space="preserve"> second follow-up ultra-cooperative calibration sample responded, </w:t>
      </w:r>
      <w:r w:rsidRPr="00A95C35">
        <w:rPr>
          <w:rFonts w:ascii="Garamond" w:hAnsi="Garamond"/>
          <w:i/>
        </w:rPr>
        <w:t>with no incentive off</w:t>
      </w:r>
      <w:r w:rsidRPr="00A95C35">
        <w:rPr>
          <w:rFonts w:ascii="Garamond" w:hAnsi="Garamond"/>
        </w:rPr>
        <w:t>er, at a rate similar to that seen among BPS:14/14 sample members with high predicted response propensity and with a $20 incentive. The HSLS</w:t>
      </w:r>
      <w:proofErr w:type="gramStart"/>
      <w:r w:rsidRPr="00A95C35">
        <w:rPr>
          <w:rFonts w:ascii="Garamond" w:hAnsi="Garamond"/>
        </w:rPr>
        <w:t>:09</w:t>
      </w:r>
      <w:proofErr w:type="gramEnd"/>
      <w:r w:rsidRPr="00A95C35">
        <w:rPr>
          <w:rFonts w:ascii="Garamond" w:hAnsi="Garamond"/>
        </w:rPr>
        <w:t xml:space="preserve"> second follow-up ultra-cooperative calibration sample response rate of 50 percent is also similar to that seen among B&amp;B:08/12 sample members who had responded to the two earlier waves of the study with at least a $20 incentive offer.  Given the strong response rate for this group, our recommendation is to maintain a $0 baseline incentive among Subgroup B cases in the main sample.</w:t>
      </w:r>
    </w:p>
    <w:p w14:paraId="7AC2DB7E" w14:textId="77777777" w:rsidR="00867CAE" w:rsidRDefault="00867CAE">
      <w:pPr>
        <w:rPr>
          <w:b/>
          <w:szCs w:val="20"/>
        </w:rPr>
      </w:pPr>
      <w:r>
        <w:br w:type="page"/>
      </w:r>
    </w:p>
    <w:p w14:paraId="52BB9FA3" w14:textId="10648159" w:rsidR="00D3014C" w:rsidRPr="00A95C35" w:rsidRDefault="00D3014C" w:rsidP="002D7F37">
      <w:pPr>
        <w:pStyle w:val="ExhibitTitle"/>
      </w:pPr>
      <w:proofErr w:type="gramStart"/>
      <w:r w:rsidRPr="00A95C35">
        <w:lastRenderedPageBreak/>
        <w:t xml:space="preserve">Exhibit </w:t>
      </w:r>
      <w:r w:rsidR="00CA712C" w:rsidRPr="00A95C35">
        <w:t>3</w:t>
      </w:r>
      <w:r w:rsidRPr="00A95C35">
        <w:t>.</w:t>
      </w:r>
      <w:proofErr w:type="gramEnd"/>
      <w:r w:rsidRPr="00A95C35">
        <w:t xml:space="preserve"> Comparison of Subgroup B response rates with response rates from selected studies</w:t>
      </w:r>
    </w:p>
    <w:tbl>
      <w:tblPr>
        <w:tblW w:w="5000" w:type="pct"/>
        <w:tblLook w:val="04A0" w:firstRow="1" w:lastRow="0" w:firstColumn="1" w:lastColumn="0" w:noHBand="0" w:noVBand="1"/>
      </w:tblPr>
      <w:tblGrid>
        <w:gridCol w:w="8023"/>
        <w:gridCol w:w="2561"/>
      </w:tblGrid>
      <w:tr w:rsidR="00D3527D" w:rsidRPr="00A95C35" w14:paraId="5736D6FB" w14:textId="77777777" w:rsidTr="00C55CAB">
        <w:trPr>
          <w:trHeight w:val="288"/>
        </w:trPr>
        <w:tc>
          <w:tcPr>
            <w:tcW w:w="3966" w:type="pct"/>
            <w:tcBorders>
              <w:top w:val="single" w:sz="12" w:space="0" w:color="auto"/>
              <w:left w:val="nil"/>
              <w:bottom w:val="single" w:sz="4" w:space="0" w:color="auto"/>
              <w:right w:val="nil"/>
            </w:tcBorders>
            <w:shd w:val="clear" w:color="auto" w:fill="auto"/>
            <w:noWrap/>
            <w:vAlign w:val="center"/>
            <w:hideMark/>
          </w:tcPr>
          <w:p w14:paraId="02E80EC7" w14:textId="77777777" w:rsidR="00D3014C" w:rsidRPr="00A95C35" w:rsidRDefault="00D3014C" w:rsidP="00C55CAB">
            <w:pPr>
              <w:rPr>
                <w:rFonts w:ascii="Calibri" w:hAnsi="Calibri"/>
              </w:rPr>
            </w:pPr>
            <w:r w:rsidRPr="00A95C35">
              <w:rPr>
                <w:rFonts w:ascii="Calibri" w:hAnsi="Calibri"/>
              </w:rPr>
              <w:t>Study</w:t>
            </w:r>
          </w:p>
        </w:tc>
        <w:tc>
          <w:tcPr>
            <w:tcW w:w="1034" w:type="pct"/>
            <w:tcBorders>
              <w:top w:val="single" w:sz="12" w:space="0" w:color="auto"/>
              <w:left w:val="nil"/>
              <w:bottom w:val="single" w:sz="4" w:space="0" w:color="auto"/>
              <w:right w:val="nil"/>
            </w:tcBorders>
            <w:shd w:val="clear" w:color="auto" w:fill="auto"/>
            <w:noWrap/>
            <w:vAlign w:val="center"/>
            <w:hideMark/>
          </w:tcPr>
          <w:p w14:paraId="1B8BA49D" w14:textId="77777777" w:rsidR="00D3014C" w:rsidRPr="00A95C35" w:rsidRDefault="00D3014C" w:rsidP="00C55CAB">
            <w:pPr>
              <w:jc w:val="right"/>
              <w:rPr>
                <w:rFonts w:ascii="Calibri" w:hAnsi="Calibri"/>
              </w:rPr>
            </w:pPr>
            <w:r w:rsidRPr="00A95C35">
              <w:rPr>
                <w:rFonts w:ascii="Calibri" w:hAnsi="Calibri"/>
              </w:rPr>
              <w:t>Response rate (percent)</w:t>
            </w:r>
          </w:p>
        </w:tc>
      </w:tr>
      <w:tr w:rsidR="00D3527D" w:rsidRPr="00A95C35" w14:paraId="68AEFF94" w14:textId="77777777" w:rsidTr="00C55CAB">
        <w:trPr>
          <w:trHeight w:val="288"/>
        </w:trPr>
        <w:tc>
          <w:tcPr>
            <w:tcW w:w="3966" w:type="pct"/>
            <w:tcBorders>
              <w:top w:val="single" w:sz="4" w:space="0" w:color="auto"/>
              <w:left w:val="nil"/>
              <w:bottom w:val="nil"/>
              <w:right w:val="nil"/>
            </w:tcBorders>
            <w:shd w:val="clear" w:color="auto" w:fill="auto"/>
            <w:noWrap/>
            <w:vAlign w:val="center"/>
            <w:hideMark/>
          </w:tcPr>
          <w:p w14:paraId="6DE231A6" w14:textId="77777777" w:rsidR="00D3014C" w:rsidRPr="00A95C35" w:rsidRDefault="00D3014C" w:rsidP="00C55CAB">
            <w:pPr>
              <w:rPr>
                <w:rFonts w:ascii="Arial" w:hAnsi="Arial"/>
                <w:sz w:val="20"/>
              </w:rPr>
            </w:pPr>
            <w:r w:rsidRPr="00A95C35">
              <w:rPr>
                <w:rFonts w:ascii="Arial" w:hAnsi="Arial"/>
                <w:sz w:val="20"/>
              </w:rPr>
              <w:t>HSLS:09 second follow-up calibration sample</w:t>
            </w:r>
          </w:p>
        </w:tc>
        <w:tc>
          <w:tcPr>
            <w:tcW w:w="1034" w:type="pct"/>
            <w:tcBorders>
              <w:top w:val="single" w:sz="4" w:space="0" w:color="auto"/>
              <w:left w:val="nil"/>
              <w:bottom w:val="nil"/>
              <w:right w:val="nil"/>
            </w:tcBorders>
            <w:shd w:val="clear" w:color="auto" w:fill="auto"/>
            <w:noWrap/>
            <w:vAlign w:val="center"/>
            <w:hideMark/>
          </w:tcPr>
          <w:p w14:paraId="19979EAD" w14:textId="77777777" w:rsidR="00D3014C" w:rsidRPr="00A95C35" w:rsidRDefault="00D3014C" w:rsidP="00C55CAB">
            <w:pPr>
              <w:rPr>
                <w:rFonts w:ascii="Arial" w:hAnsi="Arial"/>
                <w:sz w:val="20"/>
              </w:rPr>
            </w:pPr>
          </w:p>
        </w:tc>
      </w:tr>
      <w:tr w:rsidR="00D3527D" w:rsidRPr="00A95C35" w14:paraId="101E00FA" w14:textId="77777777" w:rsidTr="00C55CAB">
        <w:trPr>
          <w:trHeight w:val="288"/>
        </w:trPr>
        <w:tc>
          <w:tcPr>
            <w:tcW w:w="3966" w:type="pct"/>
            <w:tcBorders>
              <w:top w:val="nil"/>
              <w:left w:val="nil"/>
              <w:bottom w:val="nil"/>
              <w:right w:val="nil"/>
            </w:tcBorders>
            <w:shd w:val="clear" w:color="auto" w:fill="auto"/>
            <w:noWrap/>
            <w:vAlign w:val="center"/>
            <w:hideMark/>
          </w:tcPr>
          <w:p w14:paraId="1C8FBB77" w14:textId="77777777" w:rsidR="00D3014C" w:rsidRPr="00A95C35" w:rsidRDefault="00D3014C" w:rsidP="00C55CAB">
            <w:pPr>
              <w:ind w:firstLineChars="200" w:firstLine="400"/>
              <w:rPr>
                <w:rFonts w:ascii="Arial" w:hAnsi="Arial"/>
                <w:sz w:val="20"/>
              </w:rPr>
            </w:pPr>
            <w:r w:rsidRPr="00A95C35">
              <w:rPr>
                <w:rFonts w:ascii="Arial" w:hAnsi="Arial"/>
                <w:sz w:val="20"/>
              </w:rPr>
              <w:t>Subgroup B Phase 1 and 2 (Ultra-cooperative, $0)</w:t>
            </w:r>
          </w:p>
        </w:tc>
        <w:tc>
          <w:tcPr>
            <w:tcW w:w="1034" w:type="pct"/>
            <w:tcBorders>
              <w:top w:val="nil"/>
              <w:left w:val="nil"/>
              <w:bottom w:val="nil"/>
              <w:right w:val="nil"/>
            </w:tcBorders>
            <w:shd w:val="clear" w:color="auto" w:fill="auto"/>
            <w:vAlign w:val="center"/>
            <w:hideMark/>
          </w:tcPr>
          <w:p w14:paraId="511790E2" w14:textId="4E65D296" w:rsidR="00D3014C" w:rsidRPr="00A95C35" w:rsidRDefault="007E69AE" w:rsidP="004F4D11">
            <w:pPr>
              <w:jc w:val="right"/>
              <w:rPr>
                <w:rFonts w:ascii="Arial" w:hAnsi="Arial"/>
                <w:sz w:val="20"/>
              </w:rPr>
            </w:pPr>
            <w:r w:rsidRPr="00A95C35">
              <w:rPr>
                <w:rFonts w:ascii="Arial" w:hAnsi="Arial" w:cs="Arial"/>
                <w:sz w:val="20"/>
                <w:szCs w:val="20"/>
              </w:rPr>
              <w:t>63.</w:t>
            </w:r>
            <w:r w:rsidR="004F4D11" w:rsidRPr="00A95C35">
              <w:rPr>
                <w:rFonts w:ascii="Arial" w:hAnsi="Arial" w:cs="Arial"/>
                <w:sz w:val="20"/>
                <w:szCs w:val="20"/>
              </w:rPr>
              <w:t>6</w:t>
            </w:r>
          </w:p>
        </w:tc>
      </w:tr>
      <w:tr w:rsidR="00D3527D" w:rsidRPr="00A95C35" w14:paraId="41E18873" w14:textId="77777777" w:rsidTr="00C55CAB">
        <w:trPr>
          <w:trHeight w:val="180"/>
        </w:trPr>
        <w:tc>
          <w:tcPr>
            <w:tcW w:w="3966" w:type="pct"/>
            <w:tcBorders>
              <w:top w:val="nil"/>
              <w:left w:val="nil"/>
              <w:bottom w:val="nil"/>
              <w:right w:val="nil"/>
            </w:tcBorders>
            <w:shd w:val="clear" w:color="auto" w:fill="auto"/>
            <w:noWrap/>
            <w:vAlign w:val="center"/>
            <w:hideMark/>
          </w:tcPr>
          <w:p w14:paraId="6A18263F" w14:textId="77777777" w:rsidR="00D3014C" w:rsidRPr="00A95C35" w:rsidRDefault="00D3014C" w:rsidP="00C55CAB">
            <w:pPr>
              <w:rPr>
                <w:rFonts w:ascii="Arial" w:hAnsi="Arial"/>
                <w:sz w:val="20"/>
              </w:rPr>
            </w:pPr>
          </w:p>
        </w:tc>
        <w:tc>
          <w:tcPr>
            <w:tcW w:w="1034" w:type="pct"/>
            <w:tcBorders>
              <w:top w:val="nil"/>
              <w:left w:val="nil"/>
              <w:bottom w:val="nil"/>
              <w:right w:val="nil"/>
            </w:tcBorders>
            <w:shd w:val="clear" w:color="auto" w:fill="auto"/>
            <w:vAlign w:val="center"/>
            <w:hideMark/>
          </w:tcPr>
          <w:p w14:paraId="3B803E44" w14:textId="77777777" w:rsidR="00D3014C" w:rsidRPr="00A95C35" w:rsidRDefault="00D3014C" w:rsidP="00C55CAB">
            <w:pPr>
              <w:jc w:val="right"/>
              <w:rPr>
                <w:sz w:val="20"/>
              </w:rPr>
            </w:pPr>
          </w:p>
        </w:tc>
      </w:tr>
      <w:tr w:rsidR="00D3527D" w:rsidRPr="00A95C35" w14:paraId="1AE0D06B" w14:textId="77777777" w:rsidTr="00C55CAB">
        <w:trPr>
          <w:trHeight w:val="288"/>
        </w:trPr>
        <w:tc>
          <w:tcPr>
            <w:tcW w:w="3966" w:type="pct"/>
            <w:tcBorders>
              <w:top w:val="nil"/>
              <w:left w:val="nil"/>
              <w:bottom w:val="nil"/>
              <w:right w:val="nil"/>
            </w:tcBorders>
            <w:shd w:val="clear" w:color="auto" w:fill="auto"/>
            <w:noWrap/>
            <w:vAlign w:val="center"/>
            <w:hideMark/>
          </w:tcPr>
          <w:p w14:paraId="043C8424" w14:textId="77777777" w:rsidR="00D3014C" w:rsidRPr="00A95C35" w:rsidRDefault="00D3014C" w:rsidP="00C55CAB">
            <w:pPr>
              <w:rPr>
                <w:rFonts w:ascii="Arial" w:hAnsi="Arial"/>
                <w:sz w:val="20"/>
              </w:rPr>
            </w:pPr>
            <w:r w:rsidRPr="00A95C35">
              <w:rPr>
                <w:rFonts w:ascii="Arial" w:hAnsi="Arial"/>
                <w:sz w:val="20"/>
              </w:rPr>
              <w:t xml:space="preserve">BPS:12/14 calibration sample </w:t>
            </w:r>
          </w:p>
        </w:tc>
        <w:tc>
          <w:tcPr>
            <w:tcW w:w="1034" w:type="pct"/>
            <w:tcBorders>
              <w:top w:val="nil"/>
              <w:left w:val="nil"/>
              <w:bottom w:val="nil"/>
              <w:right w:val="nil"/>
            </w:tcBorders>
            <w:shd w:val="clear" w:color="auto" w:fill="auto"/>
            <w:vAlign w:val="center"/>
            <w:hideMark/>
          </w:tcPr>
          <w:p w14:paraId="20A5FCD2" w14:textId="77777777" w:rsidR="00D3014C" w:rsidRPr="00A95C35" w:rsidRDefault="00D3014C" w:rsidP="00C55CAB">
            <w:pPr>
              <w:jc w:val="right"/>
              <w:rPr>
                <w:rFonts w:ascii="Arial" w:hAnsi="Arial"/>
                <w:sz w:val="20"/>
              </w:rPr>
            </w:pPr>
          </w:p>
        </w:tc>
      </w:tr>
      <w:tr w:rsidR="00D3527D" w:rsidRPr="00A95C35" w14:paraId="4FC10523" w14:textId="77777777" w:rsidTr="00C55CAB">
        <w:trPr>
          <w:trHeight w:val="288"/>
        </w:trPr>
        <w:tc>
          <w:tcPr>
            <w:tcW w:w="3966" w:type="pct"/>
            <w:tcBorders>
              <w:top w:val="nil"/>
              <w:left w:val="nil"/>
              <w:bottom w:val="nil"/>
              <w:right w:val="nil"/>
            </w:tcBorders>
            <w:shd w:val="clear" w:color="auto" w:fill="auto"/>
            <w:vAlign w:val="center"/>
            <w:hideMark/>
          </w:tcPr>
          <w:p w14:paraId="3DA86154" w14:textId="77777777" w:rsidR="00D3014C" w:rsidRPr="00A95C35" w:rsidRDefault="00D3014C" w:rsidP="00C55CAB">
            <w:pPr>
              <w:ind w:firstLineChars="200" w:firstLine="400"/>
              <w:rPr>
                <w:rFonts w:ascii="Arial" w:hAnsi="Arial"/>
                <w:sz w:val="20"/>
              </w:rPr>
            </w:pPr>
            <w:r w:rsidRPr="00A95C35">
              <w:rPr>
                <w:rFonts w:ascii="Arial" w:hAnsi="Arial"/>
                <w:sz w:val="20"/>
              </w:rPr>
              <w:t>High response propensity (&gt;0.9), $0 incentive</w:t>
            </w:r>
          </w:p>
        </w:tc>
        <w:tc>
          <w:tcPr>
            <w:tcW w:w="1034" w:type="pct"/>
            <w:tcBorders>
              <w:top w:val="nil"/>
              <w:left w:val="nil"/>
              <w:bottom w:val="nil"/>
              <w:right w:val="nil"/>
            </w:tcBorders>
            <w:shd w:val="clear" w:color="auto" w:fill="auto"/>
            <w:vAlign w:val="center"/>
            <w:hideMark/>
          </w:tcPr>
          <w:p w14:paraId="7FAA9FCA" w14:textId="77777777" w:rsidR="00D3014C" w:rsidRPr="00A95C35" w:rsidRDefault="00D3014C" w:rsidP="00C55CAB">
            <w:pPr>
              <w:jc w:val="right"/>
              <w:rPr>
                <w:rFonts w:ascii="Arial" w:hAnsi="Arial"/>
                <w:sz w:val="20"/>
              </w:rPr>
            </w:pPr>
            <w:r w:rsidRPr="00A95C35">
              <w:rPr>
                <w:rFonts w:ascii="Arial" w:hAnsi="Arial"/>
                <w:sz w:val="20"/>
              </w:rPr>
              <w:t>23.0</w:t>
            </w:r>
          </w:p>
        </w:tc>
      </w:tr>
      <w:tr w:rsidR="00D3527D" w:rsidRPr="00A95C35" w14:paraId="25D99718" w14:textId="77777777" w:rsidTr="00C55CAB">
        <w:trPr>
          <w:trHeight w:val="288"/>
        </w:trPr>
        <w:tc>
          <w:tcPr>
            <w:tcW w:w="3966" w:type="pct"/>
            <w:tcBorders>
              <w:top w:val="nil"/>
              <w:left w:val="nil"/>
              <w:bottom w:val="nil"/>
              <w:right w:val="nil"/>
            </w:tcBorders>
            <w:shd w:val="clear" w:color="auto" w:fill="auto"/>
            <w:vAlign w:val="center"/>
            <w:hideMark/>
          </w:tcPr>
          <w:p w14:paraId="3AEEFA30" w14:textId="77777777" w:rsidR="00D3014C" w:rsidRPr="00A95C35" w:rsidRDefault="00D3014C" w:rsidP="00C55CAB">
            <w:pPr>
              <w:ind w:firstLineChars="200" w:firstLine="400"/>
              <w:rPr>
                <w:rFonts w:ascii="Arial" w:hAnsi="Arial"/>
                <w:sz w:val="20"/>
              </w:rPr>
            </w:pPr>
            <w:r w:rsidRPr="00A95C35">
              <w:rPr>
                <w:rFonts w:ascii="Arial" w:hAnsi="Arial"/>
                <w:sz w:val="20"/>
              </w:rPr>
              <w:t>High response propensity (&gt;0.9), $10 incentive</w:t>
            </w:r>
          </w:p>
        </w:tc>
        <w:tc>
          <w:tcPr>
            <w:tcW w:w="1034" w:type="pct"/>
            <w:tcBorders>
              <w:top w:val="nil"/>
              <w:left w:val="nil"/>
              <w:bottom w:val="nil"/>
              <w:right w:val="nil"/>
            </w:tcBorders>
            <w:shd w:val="clear" w:color="auto" w:fill="auto"/>
            <w:vAlign w:val="center"/>
            <w:hideMark/>
          </w:tcPr>
          <w:p w14:paraId="7D00E18B" w14:textId="77777777" w:rsidR="00D3014C" w:rsidRPr="00A95C35" w:rsidRDefault="00D3014C" w:rsidP="00C55CAB">
            <w:pPr>
              <w:jc w:val="right"/>
              <w:rPr>
                <w:rFonts w:ascii="Arial" w:hAnsi="Arial"/>
                <w:sz w:val="20"/>
              </w:rPr>
            </w:pPr>
            <w:r w:rsidRPr="00A95C35">
              <w:rPr>
                <w:rFonts w:ascii="Arial" w:hAnsi="Arial"/>
                <w:sz w:val="20"/>
              </w:rPr>
              <w:t>30.0</w:t>
            </w:r>
          </w:p>
        </w:tc>
      </w:tr>
      <w:tr w:rsidR="00D3527D" w:rsidRPr="00A95C35" w14:paraId="6386E496" w14:textId="77777777" w:rsidTr="00C55CAB">
        <w:trPr>
          <w:trHeight w:val="288"/>
        </w:trPr>
        <w:tc>
          <w:tcPr>
            <w:tcW w:w="3966" w:type="pct"/>
            <w:tcBorders>
              <w:top w:val="nil"/>
              <w:left w:val="nil"/>
              <w:bottom w:val="nil"/>
              <w:right w:val="nil"/>
            </w:tcBorders>
            <w:shd w:val="clear" w:color="auto" w:fill="auto"/>
            <w:vAlign w:val="center"/>
            <w:hideMark/>
          </w:tcPr>
          <w:p w14:paraId="27864877" w14:textId="77777777" w:rsidR="00D3014C" w:rsidRPr="00A95C35" w:rsidRDefault="00D3014C" w:rsidP="00C55CAB">
            <w:pPr>
              <w:ind w:firstLineChars="200" w:firstLine="400"/>
              <w:rPr>
                <w:rFonts w:ascii="Arial" w:hAnsi="Arial"/>
                <w:sz w:val="20"/>
              </w:rPr>
            </w:pPr>
            <w:r w:rsidRPr="00A95C35">
              <w:rPr>
                <w:rFonts w:ascii="Arial" w:hAnsi="Arial"/>
                <w:sz w:val="20"/>
              </w:rPr>
              <w:t>High response propensity (&gt;0.9), $20 incentive</w:t>
            </w:r>
          </w:p>
        </w:tc>
        <w:tc>
          <w:tcPr>
            <w:tcW w:w="1034" w:type="pct"/>
            <w:tcBorders>
              <w:top w:val="nil"/>
              <w:left w:val="nil"/>
              <w:bottom w:val="nil"/>
              <w:right w:val="nil"/>
            </w:tcBorders>
            <w:shd w:val="clear" w:color="auto" w:fill="auto"/>
            <w:vAlign w:val="center"/>
            <w:hideMark/>
          </w:tcPr>
          <w:p w14:paraId="6596C16A" w14:textId="77777777" w:rsidR="00D3014C" w:rsidRPr="00A95C35" w:rsidRDefault="00D3014C" w:rsidP="00C55CAB">
            <w:pPr>
              <w:jc w:val="right"/>
              <w:rPr>
                <w:rFonts w:ascii="Arial" w:hAnsi="Arial"/>
                <w:sz w:val="20"/>
              </w:rPr>
            </w:pPr>
            <w:r w:rsidRPr="00A95C35">
              <w:rPr>
                <w:rFonts w:ascii="Arial" w:hAnsi="Arial"/>
                <w:sz w:val="20"/>
              </w:rPr>
              <w:t>44.0</w:t>
            </w:r>
          </w:p>
        </w:tc>
      </w:tr>
      <w:tr w:rsidR="00D3527D" w:rsidRPr="00A95C35" w14:paraId="60AF00C0" w14:textId="77777777" w:rsidTr="00C55CAB">
        <w:trPr>
          <w:trHeight w:val="288"/>
        </w:trPr>
        <w:tc>
          <w:tcPr>
            <w:tcW w:w="3966" w:type="pct"/>
            <w:tcBorders>
              <w:top w:val="nil"/>
              <w:left w:val="nil"/>
              <w:bottom w:val="nil"/>
              <w:right w:val="nil"/>
            </w:tcBorders>
            <w:shd w:val="clear" w:color="auto" w:fill="auto"/>
            <w:vAlign w:val="center"/>
            <w:hideMark/>
          </w:tcPr>
          <w:p w14:paraId="48FC299B" w14:textId="77777777" w:rsidR="00D3014C" w:rsidRPr="00A95C35" w:rsidRDefault="00D3014C" w:rsidP="00C55CAB">
            <w:pPr>
              <w:ind w:firstLineChars="200" w:firstLine="400"/>
              <w:rPr>
                <w:rFonts w:ascii="Arial" w:hAnsi="Arial"/>
                <w:sz w:val="20"/>
              </w:rPr>
            </w:pPr>
            <w:r w:rsidRPr="00A95C35">
              <w:rPr>
                <w:rFonts w:ascii="Arial" w:hAnsi="Arial"/>
                <w:sz w:val="20"/>
              </w:rPr>
              <w:t>High response propensity (&gt;0.9), $30 incentive</w:t>
            </w:r>
          </w:p>
        </w:tc>
        <w:tc>
          <w:tcPr>
            <w:tcW w:w="1034" w:type="pct"/>
            <w:tcBorders>
              <w:top w:val="nil"/>
              <w:left w:val="nil"/>
              <w:bottom w:val="nil"/>
              <w:right w:val="nil"/>
            </w:tcBorders>
            <w:shd w:val="clear" w:color="auto" w:fill="auto"/>
            <w:vAlign w:val="center"/>
            <w:hideMark/>
          </w:tcPr>
          <w:p w14:paraId="0CD4F45B" w14:textId="77777777" w:rsidR="00D3014C" w:rsidRPr="00A95C35" w:rsidRDefault="00D3014C" w:rsidP="00C55CAB">
            <w:pPr>
              <w:jc w:val="right"/>
              <w:rPr>
                <w:rFonts w:ascii="Arial" w:hAnsi="Arial"/>
                <w:sz w:val="20"/>
              </w:rPr>
            </w:pPr>
            <w:r w:rsidRPr="00A95C35">
              <w:rPr>
                <w:rFonts w:ascii="Arial" w:hAnsi="Arial"/>
                <w:sz w:val="20"/>
              </w:rPr>
              <w:t>59.0</w:t>
            </w:r>
          </w:p>
        </w:tc>
      </w:tr>
      <w:tr w:rsidR="00D3527D" w:rsidRPr="00A95C35" w14:paraId="69FC291A" w14:textId="77777777" w:rsidTr="00C55CAB">
        <w:trPr>
          <w:trHeight w:val="288"/>
        </w:trPr>
        <w:tc>
          <w:tcPr>
            <w:tcW w:w="3966" w:type="pct"/>
            <w:tcBorders>
              <w:top w:val="nil"/>
              <w:left w:val="nil"/>
              <w:bottom w:val="nil"/>
              <w:right w:val="nil"/>
            </w:tcBorders>
            <w:shd w:val="clear" w:color="auto" w:fill="auto"/>
            <w:vAlign w:val="center"/>
            <w:hideMark/>
          </w:tcPr>
          <w:p w14:paraId="34BCC0B5" w14:textId="77777777" w:rsidR="00D3014C" w:rsidRPr="00A95C35" w:rsidRDefault="00D3014C" w:rsidP="00C55CAB">
            <w:pPr>
              <w:ind w:firstLineChars="200" w:firstLine="400"/>
              <w:rPr>
                <w:rFonts w:ascii="Arial" w:hAnsi="Arial"/>
                <w:sz w:val="20"/>
              </w:rPr>
            </w:pPr>
            <w:r w:rsidRPr="00A95C35">
              <w:rPr>
                <w:rFonts w:ascii="Arial" w:hAnsi="Arial"/>
                <w:sz w:val="20"/>
              </w:rPr>
              <w:t>High response propensity (&gt;0.9), $40 incentive</w:t>
            </w:r>
          </w:p>
        </w:tc>
        <w:tc>
          <w:tcPr>
            <w:tcW w:w="1034" w:type="pct"/>
            <w:tcBorders>
              <w:top w:val="nil"/>
              <w:left w:val="nil"/>
              <w:bottom w:val="nil"/>
              <w:right w:val="nil"/>
            </w:tcBorders>
            <w:shd w:val="clear" w:color="auto" w:fill="auto"/>
            <w:vAlign w:val="center"/>
            <w:hideMark/>
          </w:tcPr>
          <w:p w14:paraId="4839BC5D" w14:textId="77777777" w:rsidR="00D3014C" w:rsidRPr="00A95C35" w:rsidRDefault="00D3014C" w:rsidP="00C55CAB">
            <w:pPr>
              <w:jc w:val="right"/>
              <w:rPr>
                <w:rFonts w:ascii="Arial" w:hAnsi="Arial"/>
                <w:sz w:val="20"/>
              </w:rPr>
            </w:pPr>
            <w:r w:rsidRPr="00A95C35">
              <w:rPr>
                <w:rFonts w:ascii="Arial" w:hAnsi="Arial"/>
                <w:sz w:val="20"/>
              </w:rPr>
              <w:t>62.0</w:t>
            </w:r>
          </w:p>
        </w:tc>
      </w:tr>
      <w:tr w:rsidR="00D3527D" w:rsidRPr="00A95C35" w14:paraId="05601C73" w14:textId="77777777" w:rsidTr="00C55CAB">
        <w:trPr>
          <w:trHeight w:val="288"/>
        </w:trPr>
        <w:tc>
          <w:tcPr>
            <w:tcW w:w="3966" w:type="pct"/>
            <w:tcBorders>
              <w:top w:val="nil"/>
              <w:left w:val="nil"/>
              <w:bottom w:val="nil"/>
              <w:right w:val="nil"/>
            </w:tcBorders>
            <w:shd w:val="clear" w:color="auto" w:fill="auto"/>
            <w:vAlign w:val="center"/>
            <w:hideMark/>
          </w:tcPr>
          <w:p w14:paraId="09C1CB2D" w14:textId="77777777" w:rsidR="00D3014C" w:rsidRPr="00A95C35" w:rsidRDefault="00D3014C" w:rsidP="00C55CAB">
            <w:pPr>
              <w:ind w:firstLineChars="200" w:firstLine="400"/>
              <w:rPr>
                <w:rFonts w:ascii="Arial" w:hAnsi="Arial"/>
                <w:sz w:val="20"/>
              </w:rPr>
            </w:pPr>
            <w:r w:rsidRPr="00A95C35">
              <w:rPr>
                <w:rFonts w:ascii="Arial" w:hAnsi="Arial"/>
                <w:sz w:val="20"/>
              </w:rPr>
              <w:t>High response propensity (&gt;0.9), $50 incentive</w:t>
            </w:r>
          </w:p>
        </w:tc>
        <w:tc>
          <w:tcPr>
            <w:tcW w:w="1034" w:type="pct"/>
            <w:tcBorders>
              <w:top w:val="nil"/>
              <w:left w:val="nil"/>
              <w:bottom w:val="nil"/>
              <w:right w:val="nil"/>
            </w:tcBorders>
            <w:shd w:val="clear" w:color="auto" w:fill="auto"/>
            <w:vAlign w:val="center"/>
            <w:hideMark/>
          </w:tcPr>
          <w:p w14:paraId="6A9C3312" w14:textId="77777777" w:rsidR="00D3014C" w:rsidRPr="00A95C35" w:rsidRDefault="00D3014C" w:rsidP="00C55CAB">
            <w:pPr>
              <w:jc w:val="right"/>
              <w:rPr>
                <w:rFonts w:ascii="Arial" w:hAnsi="Arial"/>
                <w:sz w:val="20"/>
              </w:rPr>
            </w:pPr>
            <w:r w:rsidRPr="00A95C35">
              <w:rPr>
                <w:rFonts w:ascii="Arial" w:hAnsi="Arial"/>
                <w:sz w:val="20"/>
              </w:rPr>
              <w:t>66.0</w:t>
            </w:r>
          </w:p>
        </w:tc>
      </w:tr>
      <w:tr w:rsidR="00D3527D" w:rsidRPr="00A95C35" w14:paraId="14364D08" w14:textId="77777777" w:rsidTr="00C55CAB">
        <w:trPr>
          <w:trHeight w:val="90"/>
        </w:trPr>
        <w:tc>
          <w:tcPr>
            <w:tcW w:w="3966" w:type="pct"/>
            <w:tcBorders>
              <w:top w:val="nil"/>
              <w:left w:val="nil"/>
              <w:bottom w:val="nil"/>
              <w:right w:val="nil"/>
            </w:tcBorders>
            <w:shd w:val="clear" w:color="auto" w:fill="auto"/>
            <w:noWrap/>
            <w:vAlign w:val="center"/>
            <w:hideMark/>
          </w:tcPr>
          <w:p w14:paraId="53301243" w14:textId="77777777" w:rsidR="00D3014C" w:rsidRPr="00A95C35" w:rsidRDefault="00D3014C" w:rsidP="00C55CAB">
            <w:pPr>
              <w:rPr>
                <w:rFonts w:ascii="Arial" w:hAnsi="Arial"/>
                <w:sz w:val="20"/>
              </w:rPr>
            </w:pPr>
          </w:p>
        </w:tc>
        <w:tc>
          <w:tcPr>
            <w:tcW w:w="1034" w:type="pct"/>
            <w:tcBorders>
              <w:top w:val="nil"/>
              <w:left w:val="nil"/>
              <w:bottom w:val="nil"/>
              <w:right w:val="nil"/>
            </w:tcBorders>
            <w:shd w:val="clear" w:color="auto" w:fill="auto"/>
            <w:vAlign w:val="center"/>
            <w:hideMark/>
          </w:tcPr>
          <w:p w14:paraId="76396DCD" w14:textId="77777777" w:rsidR="00D3014C" w:rsidRPr="00A95C35" w:rsidRDefault="00D3014C" w:rsidP="00C55CAB">
            <w:pPr>
              <w:jc w:val="right"/>
              <w:rPr>
                <w:sz w:val="20"/>
              </w:rPr>
            </w:pPr>
          </w:p>
        </w:tc>
      </w:tr>
      <w:tr w:rsidR="00D3527D" w:rsidRPr="00A95C35" w14:paraId="3A6DF94D" w14:textId="77777777" w:rsidTr="00C55CAB">
        <w:trPr>
          <w:trHeight w:val="288"/>
        </w:trPr>
        <w:tc>
          <w:tcPr>
            <w:tcW w:w="3966" w:type="pct"/>
            <w:tcBorders>
              <w:top w:val="nil"/>
              <w:left w:val="nil"/>
              <w:bottom w:val="nil"/>
              <w:right w:val="nil"/>
            </w:tcBorders>
            <w:shd w:val="clear" w:color="auto" w:fill="auto"/>
            <w:vAlign w:val="center"/>
          </w:tcPr>
          <w:p w14:paraId="0235F39E" w14:textId="175A79EF" w:rsidR="00D3014C" w:rsidRPr="00A95C35" w:rsidRDefault="00D3014C" w:rsidP="00867CAE">
            <w:pPr>
              <w:rPr>
                <w:rFonts w:ascii="Arial" w:hAnsi="Arial"/>
                <w:sz w:val="20"/>
              </w:rPr>
            </w:pPr>
            <w:r w:rsidRPr="00A95C35">
              <w:rPr>
                <w:rFonts w:ascii="Arial" w:hAnsi="Arial"/>
                <w:sz w:val="20"/>
              </w:rPr>
              <w:t>B&amp;B:08/12 final response rates by subgroup (baseline incentives o</w:t>
            </w:r>
            <w:r w:rsidR="00867CAE">
              <w:rPr>
                <w:rFonts w:ascii="Arial" w:hAnsi="Arial"/>
                <w:sz w:val="20"/>
              </w:rPr>
              <w:t>f $20, $45, or $55)</w:t>
            </w:r>
          </w:p>
        </w:tc>
        <w:tc>
          <w:tcPr>
            <w:tcW w:w="1034" w:type="pct"/>
            <w:tcBorders>
              <w:top w:val="nil"/>
              <w:left w:val="nil"/>
              <w:bottom w:val="nil"/>
              <w:right w:val="nil"/>
            </w:tcBorders>
            <w:shd w:val="clear" w:color="auto" w:fill="auto"/>
            <w:vAlign w:val="center"/>
          </w:tcPr>
          <w:p w14:paraId="6ACFA15A" w14:textId="77777777" w:rsidR="00D3014C" w:rsidRPr="00A95C35" w:rsidRDefault="00D3014C" w:rsidP="00867CAE">
            <w:pPr>
              <w:jc w:val="right"/>
              <w:rPr>
                <w:rFonts w:ascii="Arial" w:hAnsi="Arial"/>
                <w:sz w:val="20"/>
              </w:rPr>
            </w:pPr>
          </w:p>
        </w:tc>
      </w:tr>
      <w:tr w:rsidR="00D3527D" w:rsidRPr="00867CAE" w14:paraId="4A2F47E7" w14:textId="77777777" w:rsidTr="00C55CAB">
        <w:trPr>
          <w:trHeight w:val="288"/>
        </w:trPr>
        <w:tc>
          <w:tcPr>
            <w:tcW w:w="3966" w:type="pct"/>
            <w:tcBorders>
              <w:top w:val="nil"/>
              <w:left w:val="nil"/>
              <w:bottom w:val="nil"/>
              <w:right w:val="nil"/>
            </w:tcBorders>
            <w:shd w:val="clear" w:color="auto" w:fill="auto"/>
            <w:vAlign w:val="center"/>
            <w:hideMark/>
          </w:tcPr>
          <w:p w14:paraId="2801D644" w14:textId="4EAB1B9E" w:rsidR="00D3014C" w:rsidRPr="00A95C35" w:rsidRDefault="00D3014C" w:rsidP="00867CAE">
            <w:pPr>
              <w:ind w:firstLineChars="200" w:firstLine="400"/>
              <w:rPr>
                <w:rFonts w:ascii="Arial" w:hAnsi="Arial"/>
                <w:sz w:val="20"/>
              </w:rPr>
            </w:pPr>
            <w:r w:rsidRPr="00A95C35">
              <w:rPr>
                <w:rFonts w:ascii="Arial" w:hAnsi="Arial"/>
                <w:sz w:val="20"/>
              </w:rPr>
              <w:t>B&amp;B:08/09 respondents</w:t>
            </w:r>
          </w:p>
        </w:tc>
        <w:tc>
          <w:tcPr>
            <w:tcW w:w="1034" w:type="pct"/>
            <w:tcBorders>
              <w:top w:val="nil"/>
              <w:left w:val="nil"/>
              <w:bottom w:val="nil"/>
              <w:right w:val="nil"/>
            </w:tcBorders>
            <w:shd w:val="clear" w:color="auto" w:fill="auto"/>
            <w:vAlign w:val="center"/>
            <w:hideMark/>
          </w:tcPr>
          <w:p w14:paraId="6985B9A1" w14:textId="77777777" w:rsidR="00D3014C" w:rsidRPr="00A95C35" w:rsidRDefault="00D3014C" w:rsidP="00867CAE">
            <w:pPr>
              <w:ind w:firstLineChars="200" w:firstLine="400"/>
              <w:jc w:val="right"/>
              <w:rPr>
                <w:rFonts w:ascii="Arial" w:hAnsi="Arial"/>
                <w:sz w:val="20"/>
              </w:rPr>
            </w:pPr>
            <w:r w:rsidRPr="00A95C35">
              <w:rPr>
                <w:rFonts w:ascii="Arial" w:hAnsi="Arial"/>
                <w:sz w:val="20"/>
              </w:rPr>
              <w:t>47.3</w:t>
            </w:r>
          </w:p>
        </w:tc>
      </w:tr>
      <w:tr w:rsidR="00D3527D" w:rsidRPr="00A95C35" w14:paraId="52158ABF" w14:textId="77777777" w:rsidTr="00C55CAB">
        <w:trPr>
          <w:trHeight w:val="288"/>
        </w:trPr>
        <w:tc>
          <w:tcPr>
            <w:tcW w:w="3966" w:type="pct"/>
            <w:tcBorders>
              <w:top w:val="nil"/>
              <w:left w:val="nil"/>
              <w:bottom w:val="nil"/>
              <w:right w:val="nil"/>
            </w:tcBorders>
            <w:shd w:val="clear" w:color="auto" w:fill="auto"/>
            <w:vAlign w:val="center"/>
            <w:hideMark/>
          </w:tcPr>
          <w:p w14:paraId="12E650C6" w14:textId="77777777" w:rsidR="00D3014C" w:rsidRPr="00A95C35" w:rsidRDefault="00D3014C" w:rsidP="00C55CAB">
            <w:pPr>
              <w:ind w:firstLineChars="200" w:firstLine="400"/>
              <w:rPr>
                <w:rFonts w:ascii="Arial" w:hAnsi="Arial"/>
                <w:sz w:val="20"/>
              </w:rPr>
            </w:pPr>
            <w:r w:rsidRPr="00A95C35">
              <w:rPr>
                <w:rFonts w:ascii="Arial" w:hAnsi="Arial"/>
                <w:sz w:val="20"/>
              </w:rPr>
              <w:t>NPSAS:08 &amp; B&amp;B:08/09 respondents</w:t>
            </w:r>
          </w:p>
        </w:tc>
        <w:tc>
          <w:tcPr>
            <w:tcW w:w="1034" w:type="pct"/>
            <w:tcBorders>
              <w:top w:val="nil"/>
              <w:left w:val="nil"/>
              <w:bottom w:val="nil"/>
              <w:right w:val="nil"/>
            </w:tcBorders>
            <w:shd w:val="clear" w:color="auto" w:fill="auto"/>
            <w:vAlign w:val="center"/>
            <w:hideMark/>
          </w:tcPr>
          <w:p w14:paraId="28B565F7" w14:textId="77777777" w:rsidR="00D3014C" w:rsidRPr="00A95C35" w:rsidRDefault="00D3014C" w:rsidP="00C55CAB">
            <w:pPr>
              <w:jc w:val="right"/>
              <w:rPr>
                <w:rFonts w:ascii="Arial" w:hAnsi="Arial"/>
                <w:sz w:val="20"/>
              </w:rPr>
            </w:pPr>
            <w:r w:rsidRPr="00A95C35">
              <w:rPr>
                <w:rFonts w:ascii="Arial" w:hAnsi="Arial"/>
                <w:sz w:val="20"/>
              </w:rPr>
              <w:t>48.1</w:t>
            </w:r>
          </w:p>
        </w:tc>
      </w:tr>
      <w:tr w:rsidR="00D3527D" w:rsidRPr="00A95C35" w14:paraId="7A1D1A1B" w14:textId="77777777" w:rsidTr="00C55CAB">
        <w:trPr>
          <w:trHeight w:val="288"/>
        </w:trPr>
        <w:tc>
          <w:tcPr>
            <w:tcW w:w="3966" w:type="pct"/>
            <w:tcBorders>
              <w:top w:val="nil"/>
              <w:left w:val="nil"/>
              <w:bottom w:val="nil"/>
              <w:right w:val="nil"/>
            </w:tcBorders>
            <w:shd w:val="clear" w:color="auto" w:fill="auto"/>
            <w:vAlign w:val="center"/>
            <w:hideMark/>
          </w:tcPr>
          <w:p w14:paraId="1F78AF4F" w14:textId="77777777" w:rsidR="00D3014C" w:rsidRPr="00A95C35" w:rsidRDefault="00D3014C" w:rsidP="00C55CAB">
            <w:pPr>
              <w:ind w:firstLineChars="200" w:firstLine="400"/>
              <w:rPr>
                <w:rFonts w:ascii="Arial" w:hAnsi="Arial"/>
                <w:sz w:val="20"/>
              </w:rPr>
            </w:pPr>
            <w:r w:rsidRPr="00A95C35">
              <w:rPr>
                <w:rFonts w:ascii="Arial" w:hAnsi="Arial"/>
                <w:sz w:val="20"/>
              </w:rPr>
              <w:t>B&amp;B:08/09 early respondents</w:t>
            </w:r>
          </w:p>
        </w:tc>
        <w:tc>
          <w:tcPr>
            <w:tcW w:w="1034" w:type="pct"/>
            <w:tcBorders>
              <w:top w:val="nil"/>
              <w:left w:val="nil"/>
              <w:bottom w:val="nil"/>
              <w:right w:val="nil"/>
            </w:tcBorders>
            <w:shd w:val="clear" w:color="auto" w:fill="auto"/>
            <w:vAlign w:val="center"/>
            <w:hideMark/>
          </w:tcPr>
          <w:p w14:paraId="73EA2F14" w14:textId="77777777" w:rsidR="00D3014C" w:rsidRPr="00A95C35" w:rsidRDefault="00D3014C" w:rsidP="00C55CAB">
            <w:pPr>
              <w:jc w:val="right"/>
              <w:rPr>
                <w:rFonts w:ascii="Arial" w:hAnsi="Arial"/>
                <w:sz w:val="20"/>
              </w:rPr>
            </w:pPr>
            <w:r w:rsidRPr="00A95C35">
              <w:rPr>
                <w:rFonts w:ascii="Arial" w:hAnsi="Arial"/>
                <w:sz w:val="20"/>
              </w:rPr>
              <w:t>64.5</w:t>
            </w:r>
          </w:p>
        </w:tc>
      </w:tr>
      <w:tr w:rsidR="00D3527D" w:rsidRPr="00A95C35" w14:paraId="06C59664" w14:textId="77777777" w:rsidTr="00C55CAB">
        <w:trPr>
          <w:trHeight w:val="288"/>
        </w:trPr>
        <w:tc>
          <w:tcPr>
            <w:tcW w:w="3966" w:type="pct"/>
            <w:tcBorders>
              <w:top w:val="nil"/>
              <w:left w:val="nil"/>
              <w:bottom w:val="single" w:sz="12" w:space="0" w:color="auto"/>
              <w:right w:val="nil"/>
            </w:tcBorders>
            <w:shd w:val="clear" w:color="auto" w:fill="auto"/>
            <w:vAlign w:val="center"/>
            <w:hideMark/>
          </w:tcPr>
          <w:p w14:paraId="497F8A26" w14:textId="77777777" w:rsidR="00D3014C" w:rsidRPr="00A95C35" w:rsidRDefault="00D3014C" w:rsidP="00C55CAB">
            <w:pPr>
              <w:ind w:firstLineChars="200" w:firstLine="400"/>
              <w:rPr>
                <w:rFonts w:ascii="Arial" w:hAnsi="Arial"/>
                <w:sz w:val="20"/>
              </w:rPr>
            </w:pPr>
            <w:r w:rsidRPr="00A95C35">
              <w:rPr>
                <w:rFonts w:ascii="Arial" w:hAnsi="Arial"/>
                <w:sz w:val="20"/>
              </w:rPr>
              <w:t>NPSAS:08 &amp; B&amp;B:08/09 early respondents</w:t>
            </w:r>
          </w:p>
        </w:tc>
        <w:tc>
          <w:tcPr>
            <w:tcW w:w="1034" w:type="pct"/>
            <w:tcBorders>
              <w:top w:val="nil"/>
              <w:left w:val="nil"/>
              <w:bottom w:val="single" w:sz="12" w:space="0" w:color="auto"/>
              <w:right w:val="nil"/>
            </w:tcBorders>
            <w:shd w:val="clear" w:color="auto" w:fill="auto"/>
            <w:vAlign w:val="center"/>
            <w:hideMark/>
          </w:tcPr>
          <w:p w14:paraId="3CE3B5E3" w14:textId="77777777" w:rsidR="00D3014C" w:rsidRPr="00A95C35" w:rsidRDefault="00D3014C" w:rsidP="00C55CAB">
            <w:pPr>
              <w:jc w:val="right"/>
              <w:rPr>
                <w:rFonts w:ascii="Arial" w:hAnsi="Arial"/>
                <w:sz w:val="20"/>
              </w:rPr>
            </w:pPr>
            <w:r w:rsidRPr="00A95C35">
              <w:rPr>
                <w:rFonts w:ascii="Arial" w:hAnsi="Arial"/>
                <w:sz w:val="20"/>
              </w:rPr>
              <w:t>69.9</w:t>
            </w:r>
          </w:p>
        </w:tc>
      </w:tr>
    </w:tbl>
    <w:p w14:paraId="65273465" w14:textId="77777777" w:rsidR="00D3014C" w:rsidRPr="00A95C35" w:rsidRDefault="00D3014C" w:rsidP="00D3014C">
      <w:pPr>
        <w:rPr>
          <w:rFonts w:ascii="Arial" w:hAnsi="Arial"/>
          <w:sz w:val="16"/>
        </w:rPr>
      </w:pPr>
      <w:r w:rsidRPr="00A95C35">
        <w:rPr>
          <w:rFonts w:ascii="Arial" w:hAnsi="Arial"/>
          <w:sz w:val="16"/>
        </w:rPr>
        <w:t>SOURCE: U.S. Department of Education, National Center for Education Statistics. High School Longitudinal Study of 2009 (HSLS:09) Second Follow-up Main Study; U.S. Department of Education, National Center for Education Statistics, 2012/14 Beginning Postsecondary Students Longitudinal Study (BPS:12/14);</w:t>
      </w:r>
      <w:r w:rsidRPr="00A95C35">
        <w:rPr>
          <w:rFonts w:ascii="Arial" w:hAnsi="Arial"/>
          <w:sz w:val="13"/>
        </w:rPr>
        <w:t xml:space="preserve"> </w:t>
      </w:r>
      <w:r w:rsidRPr="00A95C35">
        <w:rPr>
          <w:rFonts w:ascii="Arial" w:hAnsi="Arial"/>
          <w:sz w:val="16"/>
        </w:rPr>
        <w:t xml:space="preserve">U.S. Department of Education, National Center for Education Statistics, 2008/12 Baccalaureate and Beyond Longitudinal Study (B&amp;B:08/12).  </w:t>
      </w:r>
    </w:p>
    <w:p w14:paraId="2C11FE21" w14:textId="29D12CE8" w:rsidR="00D3014C" w:rsidRPr="00A95C35" w:rsidRDefault="00D3014C" w:rsidP="00D3014C">
      <w:pPr>
        <w:spacing w:before="240"/>
        <w:rPr>
          <w:rFonts w:ascii="Garamond" w:hAnsi="Garamond"/>
        </w:rPr>
      </w:pPr>
      <w:proofErr w:type="gramStart"/>
      <w:r w:rsidRPr="00A95C35">
        <w:rPr>
          <w:rFonts w:ascii="Garamond" w:hAnsi="Garamond"/>
          <w:b/>
          <w:i/>
        </w:rPr>
        <w:t>Subgroup C (All Other High School Completers and Unknown Cases).</w:t>
      </w:r>
      <w:proofErr w:type="gramEnd"/>
      <w:r w:rsidRPr="00A95C35">
        <w:rPr>
          <w:rFonts w:ascii="Garamond" w:hAnsi="Garamond"/>
        </w:rPr>
        <w:t xml:space="preserve"> Exhibit </w:t>
      </w:r>
      <w:r w:rsidR="00087219" w:rsidRPr="00A95C35">
        <w:rPr>
          <w:rFonts w:ascii="Garamond" w:hAnsi="Garamond"/>
        </w:rPr>
        <w:t>4</w:t>
      </w:r>
      <w:r w:rsidRPr="00A95C35">
        <w:rPr>
          <w:rFonts w:ascii="Garamond" w:hAnsi="Garamond"/>
        </w:rPr>
        <w:t xml:space="preserve"> displays Subgroup C response rates by incentive level; Exhibit </w:t>
      </w:r>
      <w:r w:rsidR="00087219" w:rsidRPr="00A95C35">
        <w:rPr>
          <w:rFonts w:ascii="Garamond" w:hAnsi="Garamond"/>
        </w:rPr>
        <w:t>5</w:t>
      </w:r>
      <w:r w:rsidRPr="00A95C35">
        <w:rPr>
          <w:rFonts w:ascii="Garamond" w:hAnsi="Garamond"/>
        </w:rPr>
        <w:t xml:space="preserve"> displays the results of pair-wise chi-square tests. Within Subgroup C, the response rate is highest among cases assigned the $30 incentive at 4</w:t>
      </w:r>
      <w:r w:rsidR="0020523C" w:rsidRPr="00A95C35">
        <w:rPr>
          <w:rFonts w:ascii="Garamond" w:hAnsi="Garamond"/>
        </w:rPr>
        <w:t>3</w:t>
      </w:r>
      <w:r w:rsidRPr="00A95C35">
        <w:rPr>
          <w:rFonts w:ascii="Garamond" w:hAnsi="Garamond"/>
        </w:rPr>
        <w:t xml:space="preserve"> percent. The $30 response rate is not significantly lower than $35 (</w:t>
      </w:r>
      <w:r w:rsidRPr="00A95C35">
        <w:rPr>
          <w:rFonts w:ascii="Garamond" w:hAnsi="Garamond"/>
          <w:i/>
        </w:rPr>
        <w:t>χ2</w:t>
      </w:r>
      <w:r w:rsidRPr="00A95C35">
        <w:rPr>
          <w:rFonts w:ascii="Garamond" w:hAnsi="Garamond"/>
        </w:rPr>
        <w:t xml:space="preserve"> (1, N = 1) = </w:t>
      </w:r>
      <w:r w:rsidR="00087219" w:rsidRPr="00A95C35">
        <w:rPr>
          <w:rFonts w:ascii="Garamond" w:hAnsi="Garamond"/>
        </w:rPr>
        <w:t>0.90</w:t>
      </w:r>
      <w:r w:rsidRPr="00A95C35">
        <w:rPr>
          <w:rFonts w:ascii="Garamond" w:hAnsi="Garamond"/>
        </w:rPr>
        <w:t xml:space="preserve">, </w:t>
      </w:r>
      <w:r w:rsidRPr="00A95C35">
        <w:rPr>
          <w:rFonts w:ascii="Garamond" w:hAnsi="Garamond"/>
          <w:i/>
        </w:rPr>
        <w:t>p</w:t>
      </w:r>
      <w:r w:rsidRPr="00A95C35">
        <w:rPr>
          <w:rFonts w:ascii="Garamond" w:hAnsi="Garamond"/>
        </w:rPr>
        <w:t xml:space="preserve"> </w:t>
      </w:r>
      <w:r w:rsidR="00087219" w:rsidRPr="00A95C35">
        <w:rPr>
          <w:rFonts w:ascii="Garamond" w:hAnsi="Garamond"/>
        </w:rPr>
        <w:t>= 0.34</w:t>
      </w:r>
      <w:r w:rsidRPr="00A95C35">
        <w:rPr>
          <w:rFonts w:ascii="Garamond" w:hAnsi="Garamond"/>
        </w:rPr>
        <w:t>) or $40 (</w:t>
      </w:r>
      <w:r w:rsidRPr="00A95C35">
        <w:rPr>
          <w:rFonts w:ascii="Garamond" w:hAnsi="Garamond"/>
          <w:i/>
        </w:rPr>
        <w:t>χ2</w:t>
      </w:r>
      <w:r w:rsidRPr="00A95C35">
        <w:rPr>
          <w:rFonts w:ascii="Garamond" w:hAnsi="Garamond"/>
        </w:rPr>
        <w:t xml:space="preserve"> (1, N = 1) = 0.</w:t>
      </w:r>
      <w:r w:rsidR="00087219" w:rsidRPr="00A95C35">
        <w:rPr>
          <w:rFonts w:ascii="Garamond" w:hAnsi="Garamond"/>
        </w:rPr>
        <w:t>0</w:t>
      </w:r>
      <w:r w:rsidRPr="00A95C35">
        <w:rPr>
          <w:rFonts w:ascii="Garamond" w:hAnsi="Garamond"/>
        </w:rPr>
        <w:t xml:space="preserve">1, </w:t>
      </w:r>
      <w:r w:rsidRPr="00A95C35">
        <w:rPr>
          <w:rFonts w:ascii="Garamond" w:hAnsi="Garamond"/>
          <w:i/>
        </w:rPr>
        <w:t>p</w:t>
      </w:r>
      <w:r w:rsidRPr="00A95C35">
        <w:rPr>
          <w:rFonts w:ascii="Garamond" w:hAnsi="Garamond"/>
        </w:rPr>
        <w:t xml:space="preserve"> </w:t>
      </w:r>
      <w:r w:rsidR="00087219" w:rsidRPr="00A95C35">
        <w:rPr>
          <w:rFonts w:ascii="Garamond" w:hAnsi="Garamond"/>
        </w:rPr>
        <w:t>= 0.75</w:t>
      </w:r>
      <w:r w:rsidRPr="00A95C35">
        <w:rPr>
          <w:rFonts w:ascii="Garamond" w:hAnsi="Garamond"/>
        </w:rPr>
        <w:t>). Response rates for the $30 incentive group were significantly higher than the $15 and $20 incentives (</w:t>
      </w:r>
      <w:r w:rsidRPr="00A95C35">
        <w:rPr>
          <w:rFonts w:ascii="Garamond" w:hAnsi="Garamond"/>
          <w:i/>
        </w:rPr>
        <w:t>χ2</w:t>
      </w:r>
      <w:r w:rsidRPr="00A95C35">
        <w:rPr>
          <w:rFonts w:ascii="Garamond" w:hAnsi="Garamond"/>
        </w:rPr>
        <w:t xml:space="preserve"> (1, N = 1) = 1</w:t>
      </w:r>
      <w:r w:rsidR="00087219" w:rsidRPr="00A95C35">
        <w:rPr>
          <w:rFonts w:ascii="Garamond" w:hAnsi="Garamond"/>
        </w:rPr>
        <w:t>7</w:t>
      </w:r>
      <w:r w:rsidRPr="00A95C35">
        <w:rPr>
          <w:rFonts w:ascii="Garamond" w:hAnsi="Garamond"/>
        </w:rPr>
        <w:t>.</w:t>
      </w:r>
      <w:r w:rsidR="00087219" w:rsidRPr="00A95C35">
        <w:rPr>
          <w:rFonts w:ascii="Garamond" w:hAnsi="Garamond"/>
        </w:rPr>
        <w:t>28</w:t>
      </w:r>
      <w:r w:rsidRPr="00A95C35">
        <w:rPr>
          <w:rFonts w:ascii="Garamond" w:hAnsi="Garamond"/>
        </w:rPr>
        <w:t xml:space="preserve">, </w:t>
      </w:r>
      <w:r w:rsidRPr="00A95C35">
        <w:rPr>
          <w:rFonts w:ascii="Garamond" w:hAnsi="Garamond"/>
          <w:i/>
        </w:rPr>
        <w:t>p</w:t>
      </w:r>
      <w:r w:rsidRPr="00A95C35">
        <w:rPr>
          <w:rFonts w:ascii="Garamond" w:hAnsi="Garamond"/>
        </w:rPr>
        <w:t xml:space="preserve"> &lt; 0.0</w:t>
      </w:r>
      <w:r w:rsidR="00087219" w:rsidRPr="00A95C35">
        <w:rPr>
          <w:rFonts w:ascii="Garamond" w:hAnsi="Garamond"/>
        </w:rPr>
        <w:t>001 and</w:t>
      </w:r>
      <w:r w:rsidRPr="00A95C35">
        <w:rPr>
          <w:rFonts w:ascii="Garamond" w:hAnsi="Garamond"/>
        </w:rPr>
        <w:t xml:space="preserve"> </w:t>
      </w:r>
      <w:r w:rsidRPr="00A95C35">
        <w:rPr>
          <w:rFonts w:ascii="Garamond" w:hAnsi="Garamond"/>
          <w:i/>
        </w:rPr>
        <w:t>χ2</w:t>
      </w:r>
      <w:r w:rsidRPr="00A95C35">
        <w:rPr>
          <w:rFonts w:ascii="Garamond" w:hAnsi="Garamond"/>
        </w:rPr>
        <w:t xml:space="preserve"> (1, N = 1) = 6.</w:t>
      </w:r>
      <w:r w:rsidR="00087219" w:rsidRPr="00A95C35">
        <w:rPr>
          <w:rFonts w:ascii="Garamond" w:hAnsi="Garamond"/>
        </w:rPr>
        <w:t>59</w:t>
      </w:r>
      <w:r w:rsidRPr="00A95C35">
        <w:rPr>
          <w:rFonts w:ascii="Garamond" w:hAnsi="Garamond"/>
        </w:rPr>
        <w:t xml:space="preserve">, </w:t>
      </w:r>
      <w:r w:rsidRPr="00A95C35">
        <w:rPr>
          <w:rFonts w:ascii="Garamond" w:hAnsi="Garamond"/>
          <w:i/>
        </w:rPr>
        <w:t>p</w:t>
      </w:r>
      <w:r w:rsidRPr="00A95C35">
        <w:rPr>
          <w:rFonts w:ascii="Garamond" w:hAnsi="Garamond"/>
        </w:rPr>
        <w:t xml:space="preserve"> </w:t>
      </w:r>
      <w:r w:rsidR="00087219" w:rsidRPr="00A95C35">
        <w:rPr>
          <w:rFonts w:ascii="Garamond" w:hAnsi="Garamond"/>
        </w:rPr>
        <w:t>=</w:t>
      </w:r>
      <w:r w:rsidRPr="00A95C35">
        <w:rPr>
          <w:rFonts w:ascii="Garamond" w:hAnsi="Garamond"/>
        </w:rPr>
        <w:t xml:space="preserve"> 0.0</w:t>
      </w:r>
      <w:r w:rsidR="00087219" w:rsidRPr="00A95C35">
        <w:rPr>
          <w:rFonts w:ascii="Garamond" w:hAnsi="Garamond"/>
        </w:rPr>
        <w:t>1</w:t>
      </w:r>
      <w:r w:rsidR="00E2062A" w:rsidRPr="00A95C35">
        <w:rPr>
          <w:rFonts w:ascii="Garamond" w:hAnsi="Garamond"/>
        </w:rPr>
        <w:t>03</w:t>
      </w:r>
      <w:r w:rsidR="00087219" w:rsidRPr="00A95C35">
        <w:rPr>
          <w:rFonts w:ascii="Garamond" w:hAnsi="Garamond"/>
        </w:rPr>
        <w:t xml:space="preserve"> respectively</w:t>
      </w:r>
      <w:r w:rsidRPr="00A95C35">
        <w:rPr>
          <w:rFonts w:ascii="Garamond" w:hAnsi="Garamond"/>
        </w:rPr>
        <w:t xml:space="preserve">). </w:t>
      </w:r>
    </w:p>
    <w:p w14:paraId="494EFFFE" w14:textId="413B3550" w:rsidR="00D3014C" w:rsidRPr="00A95C35" w:rsidRDefault="00D3014C" w:rsidP="00867CAE">
      <w:pPr>
        <w:spacing w:before="120"/>
        <w:rPr>
          <w:rFonts w:ascii="Garamond" w:hAnsi="Garamond"/>
        </w:rPr>
      </w:pPr>
      <w:r w:rsidRPr="00A95C35">
        <w:rPr>
          <w:rFonts w:ascii="Garamond" w:hAnsi="Garamond"/>
        </w:rPr>
        <w:t>Note that the comparison of response rates between $30 and $25 (4</w:t>
      </w:r>
      <w:r w:rsidR="00087219" w:rsidRPr="00A95C35">
        <w:rPr>
          <w:rFonts w:ascii="Garamond" w:hAnsi="Garamond"/>
        </w:rPr>
        <w:t>3</w:t>
      </w:r>
      <w:r w:rsidRPr="00A95C35">
        <w:rPr>
          <w:rFonts w:ascii="Garamond" w:hAnsi="Garamond"/>
        </w:rPr>
        <w:t>.</w:t>
      </w:r>
      <w:r w:rsidR="0064599C" w:rsidRPr="00A95C35">
        <w:rPr>
          <w:rFonts w:ascii="Garamond" w:hAnsi="Garamond"/>
        </w:rPr>
        <w:t>2</w:t>
      </w:r>
      <w:r w:rsidRPr="00A95C35">
        <w:rPr>
          <w:rFonts w:ascii="Garamond" w:hAnsi="Garamond"/>
        </w:rPr>
        <w:t xml:space="preserve"> and 3</w:t>
      </w:r>
      <w:r w:rsidR="00087219" w:rsidRPr="00A95C35">
        <w:rPr>
          <w:rFonts w:ascii="Garamond" w:hAnsi="Garamond"/>
        </w:rPr>
        <w:t>7</w:t>
      </w:r>
      <w:r w:rsidRPr="00A95C35">
        <w:rPr>
          <w:rFonts w:ascii="Garamond" w:hAnsi="Garamond"/>
        </w:rPr>
        <w:t>.</w:t>
      </w:r>
      <w:r w:rsidR="0064599C" w:rsidRPr="00A95C35">
        <w:rPr>
          <w:rFonts w:ascii="Garamond" w:hAnsi="Garamond"/>
        </w:rPr>
        <w:t>1</w:t>
      </w:r>
      <w:r w:rsidRPr="00A95C35">
        <w:rPr>
          <w:rFonts w:ascii="Garamond" w:hAnsi="Garamond"/>
        </w:rPr>
        <w:t xml:space="preserve"> percent, respectively) is not statistically significant (</w:t>
      </w:r>
      <w:r w:rsidRPr="00A95C35">
        <w:rPr>
          <w:rFonts w:ascii="Garamond" w:hAnsi="Garamond"/>
          <w:i/>
        </w:rPr>
        <w:t>χ2</w:t>
      </w:r>
      <w:r w:rsidRPr="00A95C35">
        <w:rPr>
          <w:rFonts w:ascii="Garamond" w:hAnsi="Garamond"/>
        </w:rPr>
        <w:t xml:space="preserve"> (1, N = 1) = </w:t>
      </w:r>
      <w:r w:rsidR="00087219" w:rsidRPr="00A95C35">
        <w:rPr>
          <w:rFonts w:ascii="Garamond" w:hAnsi="Garamond"/>
        </w:rPr>
        <w:t>2</w:t>
      </w:r>
      <w:r w:rsidRPr="00A95C35">
        <w:rPr>
          <w:rFonts w:ascii="Garamond" w:hAnsi="Garamond"/>
        </w:rPr>
        <w:t>.</w:t>
      </w:r>
      <w:r w:rsidR="00087219" w:rsidRPr="00A95C35">
        <w:rPr>
          <w:rFonts w:ascii="Garamond" w:hAnsi="Garamond"/>
        </w:rPr>
        <w:t>53</w:t>
      </w:r>
      <w:r w:rsidRPr="00A95C35">
        <w:rPr>
          <w:rFonts w:ascii="Garamond" w:hAnsi="Garamond"/>
        </w:rPr>
        <w:t xml:space="preserve">, </w:t>
      </w:r>
      <w:r w:rsidRPr="00A95C35">
        <w:rPr>
          <w:rFonts w:ascii="Garamond" w:hAnsi="Garamond"/>
          <w:i/>
        </w:rPr>
        <w:t>p</w:t>
      </w:r>
      <w:r w:rsidRPr="00A95C35">
        <w:rPr>
          <w:rFonts w:ascii="Garamond" w:hAnsi="Garamond"/>
        </w:rPr>
        <w:t xml:space="preserve"> </w:t>
      </w:r>
      <w:r w:rsidR="00087219" w:rsidRPr="00A95C35">
        <w:rPr>
          <w:rFonts w:ascii="Garamond" w:hAnsi="Garamond"/>
        </w:rPr>
        <w:t>= 0.11</w:t>
      </w:r>
      <w:r w:rsidR="0064599C" w:rsidRPr="00A95C35">
        <w:rPr>
          <w:rFonts w:ascii="Garamond" w:hAnsi="Garamond"/>
        </w:rPr>
        <w:t>17</w:t>
      </w:r>
      <w:r w:rsidRPr="00A95C35">
        <w:rPr>
          <w:rFonts w:ascii="Garamond" w:hAnsi="Garamond"/>
        </w:rPr>
        <w:t xml:space="preserve">). However, we are concerned that there is not enough power to detect a statistical difference of </w:t>
      </w:r>
      <w:r w:rsidR="004F4D11" w:rsidRPr="00A95C35">
        <w:rPr>
          <w:rFonts w:ascii="Garamond" w:hAnsi="Garamond"/>
        </w:rPr>
        <w:t>6</w:t>
      </w:r>
      <w:r w:rsidRPr="00A95C35">
        <w:rPr>
          <w:rFonts w:ascii="Garamond" w:hAnsi="Garamond"/>
        </w:rPr>
        <w:t xml:space="preserve"> percent with the available sample size. Experience in many other studies of similar populations has shown that, among college-age young adults, at least a $30 incentive is needed to achieve an adequate response rate. Subgroup C constitutes the largest subgroup in the sample (nearly 18,000 sample members), and a </w:t>
      </w:r>
      <w:r w:rsidR="004F4D11" w:rsidRPr="00A95C35">
        <w:rPr>
          <w:rFonts w:ascii="Garamond" w:hAnsi="Garamond"/>
        </w:rPr>
        <w:t xml:space="preserve">6 </w:t>
      </w:r>
      <w:r w:rsidRPr="00A95C35">
        <w:rPr>
          <w:rFonts w:ascii="Garamond" w:hAnsi="Garamond"/>
        </w:rPr>
        <w:t>percent response rate difference for this group is non-trivial. While the statistical results indicate that a minimum of $25 is needed, we recommend that a baseline incentive of $30 be offered to al</w:t>
      </w:r>
      <w:r w:rsidR="00FD080F">
        <w:rPr>
          <w:rFonts w:ascii="Garamond" w:hAnsi="Garamond"/>
        </w:rPr>
        <w:t>l Subgroup C main sample cases.</w:t>
      </w:r>
    </w:p>
    <w:p w14:paraId="2508CED4" w14:textId="0D8AECEA" w:rsidR="00D3014C" w:rsidRPr="00A95C35" w:rsidRDefault="00D3014C" w:rsidP="002D7F37">
      <w:pPr>
        <w:pStyle w:val="ExhibitTitle"/>
        <w:ind w:left="1080" w:hanging="1080"/>
      </w:pPr>
      <w:proofErr w:type="gramStart"/>
      <w:r w:rsidRPr="00A95C35">
        <w:rPr>
          <w:szCs w:val="24"/>
        </w:rPr>
        <w:t xml:space="preserve">Exhibit </w:t>
      </w:r>
      <w:r w:rsidR="00CA712C" w:rsidRPr="00A95C35">
        <w:rPr>
          <w:szCs w:val="24"/>
        </w:rPr>
        <w:t>4</w:t>
      </w:r>
      <w:r w:rsidRPr="00A95C35">
        <w:rPr>
          <w:szCs w:val="24"/>
        </w:rPr>
        <w:t>.</w:t>
      </w:r>
      <w:proofErr w:type="gramEnd"/>
      <w:r w:rsidRPr="00A95C35">
        <w:rPr>
          <w:szCs w:val="24"/>
        </w:rPr>
        <w:t xml:space="preserve"> Subgroup C (All Other High School Completers and Unknown Cases) response rates by baseline incentive amount</w:t>
      </w:r>
    </w:p>
    <w:tbl>
      <w:tblPr>
        <w:tblW w:w="5000" w:type="pct"/>
        <w:tblLook w:val="04A0" w:firstRow="1" w:lastRow="0" w:firstColumn="1" w:lastColumn="0" w:noHBand="0" w:noVBand="1"/>
      </w:tblPr>
      <w:tblGrid>
        <w:gridCol w:w="1908"/>
        <w:gridCol w:w="2340"/>
        <w:gridCol w:w="2695"/>
        <w:gridCol w:w="3641"/>
      </w:tblGrid>
      <w:tr w:rsidR="00D3527D" w:rsidRPr="00A95C35" w14:paraId="68289032" w14:textId="77777777" w:rsidTr="00FD080F">
        <w:trPr>
          <w:trHeight w:val="285"/>
        </w:trPr>
        <w:tc>
          <w:tcPr>
            <w:tcW w:w="901" w:type="pct"/>
            <w:tcBorders>
              <w:top w:val="single" w:sz="12" w:space="0" w:color="auto"/>
              <w:left w:val="nil"/>
              <w:bottom w:val="single" w:sz="4" w:space="0" w:color="auto"/>
              <w:right w:val="nil"/>
            </w:tcBorders>
            <w:shd w:val="clear" w:color="auto" w:fill="auto"/>
            <w:noWrap/>
            <w:vAlign w:val="center"/>
          </w:tcPr>
          <w:p w14:paraId="5DF35C6D" w14:textId="77777777" w:rsidR="00D3014C" w:rsidRPr="00A95C35" w:rsidRDefault="00D3014C" w:rsidP="00C55CAB">
            <w:pPr>
              <w:jc w:val="right"/>
              <w:rPr>
                <w:rFonts w:ascii="Arial" w:hAnsi="Arial"/>
                <w:sz w:val="20"/>
              </w:rPr>
            </w:pPr>
            <w:r w:rsidRPr="00A95C35">
              <w:rPr>
                <w:rFonts w:ascii="Arial" w:hAnsi="Arial"/>
                <w:sz w:val="20"/>
              </w:rPr>
              <w:t>Baseline incentive</w:t>
            </w:r>
          </w:p>
        </w:tc>
        <w:tc>
          <w:tcPr>
            <w:tcW w:w="1105" w:type="pct"/>
            <w:tcBorders>
              <w:top w:val="single" w:sz="12" w:space="0" w:color="auto"/>
              <w:left w:val="nil"/>
              <w:bottom w:val="single" w:sz="4" w:space="0" w:color="auto"/>
              <w:right w:val="nil"/>
            </w:tcBorders>
            <w:shd w:val="clear" w:color="auto" w:fill="auto"/>
            <w:noWrap/>
            <w:vAlign w:val="center"/>
          </w:tcPr>
          <w:p w14:paraId="5C2DB164" w14:textId="6A7B9F56" w:rsidR="00D3014C" w:rsidRPr="00A95C35" w:rsidRDefault="00D3014C" w:rsidP="00FD080F">
            <w:pPr>
              <w:jc w:val="right"/>
              <w:rPr>
                <w:rFonts w:ascii="Arial" w:hAnsi="Arial"/>
                <w:sz w:val="20"/>
              </w:rPr>
            </w:pPr>
            <w:r w:rsidRPr="00A95C35">
              <w:rPr>
                <w:rFonts w:ascii="Arial" w:hAnsi="Arial"/>
                <w:sz w:val="20"/>
              </w:rPr>
              <w:t>Sample members</w:t>
            </w:r>
            <w:r w:rsidR="00FD080F">
              <w:rPr>
                <w:rFonts w:ascii="Arial" w:hAnsi="Arial"/>
                <w:sz w:val="20"/>
              </w:rPr>
              <w:t xml:space="preserve"> </w:t>
            </w:r>
            <w:r w:rsidRPr="00A95C35">
              <w:rPr>
                <w:rFonts w:ascii="Arial" w:hAnsi="Arial"/>
                <w:sz w:val="20"/>
              </w:rPr>
              <w:t>(n)</w:t>
            </w:r>
          </w:p>
        </w:tc>
        <w:tc>
          <w:tcPr>
            <w:tcW w:w="1273" w:type="pct"/>
            <w:tcBorders>
              <w:top w:val="single" w:sz="12" w:space="0" w:color="auto"/>
              <w:left w:val="nil"/>
              <w:bottom w:val="single" w:sz="4" w:space="0" w:color="auto"/>
              <w:right w:val="nil"/>
            </w:tcBorders>
            <w:vAlign w:val="center"/>
          </w:tcPr>
          <w:p w14:paraId="5FFB2377" w14:textId="77777777" w:rsidR="00D3014C" w:rsidRPr="00A95C35" w:rsidRDefault="00D3014C" w:rsidP="00C55CAB">
            <w:pPr>
              <w:jc w:val="right"/>
              <w:rPr>
                <w:rFonts w:ascii="Arial" w:hAnsi="Arial"/>
                <w:sz w:val="20"/>
              </w:rPr>
            </w:pPr>
            <w:r w:rsidRPr="00A95C35">
              <w:rPr>
                <w:rFonts w:ascii="Arial" w:hAnsi="Arial"/>
                <w:sz w:val="20"/>
              </w:rPr>
              <w:t>Phase 1 and 2 response (n)</w:t>
            </w:r>
          </w:p>
        </w:tc>
        <w:tc>
          <w:tcPr>
            <w:tcW w:w="1720" w:type="pct"/>
            <w:tcBorders>
              <w:top w:val="single" w:sz="12" w:space="0" w:color="auto"/>
              <w:left w:val="nil"/>
              <w:bottom w:val="single" w:sz="4" w:space="0" w:color="auto"/>
              <w:right w:val="nil"/>
            </w:tcBorders>
            <w:shd w:val="clear" w:color="auto" w:fill="auto"/>
            <w:noWrap/>
            <w:vAlign w:val="center"/>
          </w:tcPr>
          <w:p w14:paraId="408C79C7" w14:textId="77777777" w:rsidR="00D3014C" w:rsidRPr="00A95C35" w:rsidRDefault="00D3014C" w:rsidP="00C55CAB">
            <w:pPr>
              <w:jc w:val="right"/>
              <w:rPr>
                <w:rFonts w:ascii="Arial" w:hAnsi="Arial"/>
                <w:sz w:val="20"/>
              </w:rPr>
            </w:pPr>
            <w:r w:rsidRPr="00A95C35">
              <w:rPr>
                <w:rFonts w:ascii="Arial" w:hAnsi="Arial"/>
                <w:sz w:val="20"/>
              </w:rPr>
              <w:t>Phase 1 and 2 response rate (percent)</w:t>
            </w:r>
          </w:p>
        </w:tc>
      </w:tr>
      <w:tr w:rsidR="00D3527D" w:rsidRPr="00A95C35" w14:paraId="4C697284" w14:textId="77777777" w:rsidTr="00FD080F">
        <w:trPr>
          <w:trHeight w:val="300"/>
        </w:trPr>
        <w:tc>
          <w:tcPr>
            <w:tcW w:w="901" w:type="pct"/>
            <w:tcBorders>
              <w:top w:val="single" w:sz="4" w:space="0" w:color="auto"/>
              <w:left w:val="nil"/>
              <w:bottom w:val="nil"/>
              <w:right w:val="nil"/>
            </w:tcBorders>
            <w:shd w:val="clear" w:color="auto" w:fill="auto"/>
            <w:noWrap/>
            <w:vAlign w:val="center"/>
            <w:hideMark/>
          </w:tcPr>
          <w:p w14:paraId="7730C43F" w14:textId="77777777" w:rsidR="00D3014C" w:rsidRPr="00A95C35" w:rsidRDefault="00D3014C" w:rsidP="00C55CAB">
            <w:pPr>
              <w:jc w:val="right"/>
              <w:rPr>
                <w:rFonts w:ascii="Arial" w:hAnsi="Arial"/>
                <w:sz w:val="20"/>
              </w:rPr>
            </w:pPr>
            <w:r w:rsidRPr="00A95C35">
              <w:rPr>
                <w:rFonts w:ascii="Arial" w:hAnsi="Arial"/>
                <w:sz w:val="20"/>
              </w:rPr>
              <w:t xml:space="preserve">$15 </w:t>
            </w:r>
          </w:p>
        </w:tc>
        <w:tc>
          <w:tcPr>
            <w:tcW w:w="1105" w:type="pct"/>
            <w:tcBorders>
              <w:top w:val="single" w:sz="4" w:space="0" w:color="auto"/>
              <w:left w:val="nil"/>
              <w:bottom w:val="nil"/>
              <w:right w:val="nil"/>
            </w:tcBorders>
            <w:shd w:val="clear" w:color="auto" w:fill="auto"/>
            <w:noWrap/>
            <w:vAlign w:val="center"/>
            <w:hideMark/>
          </w:tcPr>
          <w:p w14:paraId="24E5AF48" w14:textId="77777777" w:rsidR="00D3014C" w:rsidRPr="00A95C35" w:rsidRDefault="00D3014C" w:rsidP="00C55CAB">
            <w:pPr>
              <w:jc w:val="right"/>
              <w:rPr>
                <w:rFonts w:ascii="Arial" w:hAnsi="Arial"/>
                <w:sz w:val="20"/>
              </w:rPr>
            </w:pPr>
            <w:r w:rsidRPr="00A95C35">
              <w:rPr>
                <w:rFonts w:ascii="Arial" w:hAnsi="Arial"/>
                <w:sz w:val="20"/>
              </w:rPr>
              <w:t>329</w:t>
            </w:r>
          </w:p>
        </w:tc>
        <w:tc>
          <w:tcPr>
            <w:tcW w:w="1273" w:type="pct"/>
            <w:tcBorders>
              <w:top w:val="single" w:sz="4" w:space="0" w:color="auto"/>
              <w:left w:val="nil"/>
              <w:bottom w:val="nil"/>
              <w:right w:val="nil"/>
            </w:tcBorders>
            <w:vAlign w:val="center"/>
          </w:tcPr>
          <w:p w14:paraId="1A822384" w14:textId="25AF83B5" w:rsidR="00D3014C" w:rsidRPr="00A95C35" w:rsidRDefault="00E12822" w:rsidP="00C55CAB">
            <w:pPr>
              <w:jc w:val="right"/>
              <w:rPr>
                <w:rFonts w:ascii="Arial" w:hAnsi="Arial"/>
                <w:sz w:val="20"/>
              </w:rPr>
            </w:pPr>
            <w:r w:rsidRPr="00A95C35">
              <w:rPr>
                <w:rFonts w:ascii="Arial" w:hAnsi="Arial" w:cs="Arial"/>
                <w:sz w:val="20"/>
                <w:szCs w:val="20"/>
              </w:rPr>
              <w:t>91</w:t>
            </w:r>
          </w:p>
        </w:tc>
        <w:tc>
          <w:tcPr>
            <w:tcW w:w="1720" w:type="pct"/>
            <w:tcBorders>
              <w:top w:val="single" w:sz="4" w:space="0" w:color="auto"/>
              <w:left w:val="nil"/>
              <w:bottom w:val="nil"/>
              <w:right w:val="nil"/>
            </w:tcBorders>
            <w:shd w:val="clear" w:color="auto" w:fill="auto"/>
            <w:noWrap/>
            <w:vAlign w:val="center"/>
            <w:hideMark/>
          </w:tcPr>
          <w:p w14:paraId="0D9947F0" w14:textId="595C8128" w:rsidR="00D3014C" w:rsidRPr="00A95C35" w:rsidRDefault="00E12822" w:rsidP="00B909A2">
            <w:pPr>
              <w:jc w:val="right"/>
              <w:rPr>
                <w:rFonts w:ascii="Arial" w:hAnsi="Arial"/>
                <w:sz w:val="20"/>
              </w:rPr>
            </w:pPr>
            <w:r w:rsidRPr="00A95C35">
              <w:rPr>
                <w:rFonts w:ascii="Arial" w:hAnsi="Arial" w:cs="Arial"/>
                <w:sz w:val="20"/>
                <w:szCs w:val="20"/>
              </w:rPr>
              <w:t>27</w:t>
            </w:r>
            <w:r w:rsidR="00B909A2" w:rsidRPr="00A95C35">
              <w:rPr>
                <w:rFonts w:ascii="Arial" w:hAnsi="Arial" w:cs="Arial"/>
                <w:sz w:val="20"/>
                <w:szCs w:val="20"/>
              </w:rPr>
              <w:t>.7</w:t>
            </w:r>
          </w:p>
        </w:tc>
      </w:tr>
      <w:tr w:rsidR="00D3527D" w:rsidRPr="00A95C35" w14:paraId="502BC151" w14:textId="77777777" w:rsidTr="00FD080F">
        <w:trPr>
          <w:trHeight w:val="300"/>
        </w:trPr>
        <w:tc>
          <w:tcPr>
            <w:tcW w:w="901" w:type="pct"/>
            <w:tcBorders>
              <w:top w:val="nil"/>
              <w:left w:val="nil"/>
              <w:bottom w:val="nil"/>
              <w:right w:val="nil"/>
            </w:tcBorders>
            <w:shd w:val="clear" w:color="auto" w:fill="auto"/>
            <w:noWrap/>
            <w:vAlign w:val="center"/>
            <w:hideMark/>
          </w:tcPr>
          <w:p w14:paraId="045B11DE" w14:textId="77777777" w:rsidR="00D3014C" w:rsidRPr="00A95C35" w:rsidRDefault="00D3014C" w:rsidP="00C55CAB">
            <w:pPr>
              <w:jc w:val="right"/>
              <w:rPr>
                <w:rFonts w:ascii="Arial" w:hAnsi="Arial"/>
                <w:sz w:val="20"/>
              </w:rPr>
            </w:pPr>
            <w:r w:rsidRPr="00A95C35">
              <w:rPr>
                <w:rFonts w:ascii="Arial" w:hAnsi="Arial"/>
                <w:sz w:val="20"/>
              </w:rPr>
              <w:t xml:space="preserve">$20 </w:t>
            </w:r>
          </w:p>
        </w:tc>
        <w:tc>
          <w:tcPr>
            <w:tcW w:w="1105" w:type="pct"/>
            <w:tcBorders>
              <w:top w:val="nil"/>
              <w:left w:val="nil"/>
              <w:bottom w:val="nil"/>
              <w:right w:val="nil"/>
            </w:tcBorders>
            <w:shd w:val="clear" w:color="auto" w:fill="auto"/>
            <w:noWrap/>
            <w:vAlign w:val="center"/>
            <w:hideMark/>
          </w:tcPr>
          <w:p w14:paraId="34C911F2" w14:textId="77777777" w:rsidR="00D3014C" w:rsidRPr="00A95C35" w:rsidRDefault="00D3014C" w:rsidP="00C55CAB">
            <w:pPr>
              <w:jc w:val="right"/>
              <w:rPr>
                <w:rFonts w:ascii="Arial" w:hAnsi="Arial"/>
                <w:sz w:val="20"/>
              </w:rPr>
            </w:pPr>
            <w:r w:rsidRPr="00A95C35">
              <w:rPr>
                <w:rFonts w:ascii="Arial" w:hAnsi="Arial"/>
                <w:sz w:val="20"/>
              </w:rPr>
              <w:t>329</w:t>
            </w:r>
          </w:p>
        </w:tc>
        <w:tc>
          <w:tcPr>
            <w:tcW w:w="1273" w:type="pct"/>
            <w:tcBorders>
              <w:top w:val="nil"/>
              <w:left w:val="nil"/>
              <w:bottom w:val="nil"/>
              <w:right w:val="nil"/>
            </w:tcBorders>
            <w:vAlign w:val="center"/>
          </w:tcPr>
          <w:p w14:paraId="20C22F68" w14:textId="4CD3C388" w:rsidR="00D3014C" w:rsidRPr="00A95C35" w:rsidRDefault="00E12822" w:rsidP="00C55CAB">
            <w:pPr>
              <w:jc w:val="right"/>
              <w:rPr>
                <w:rFonts w:ascii="Arial" w:hAnsi="Arial"/>
                <w:sz w:val="20"/>
              </w:rPr>
            </w:pPr>
            <w:r w:rsidRPr="00A95C35">
              <w:rPr>
                <w:rFonts w:ascii="Arial" w:hAnsi="Arial" w:cs="Arial"/>
                <w:sz w:val="20"/>
                <w:szCs w:val="20"/>
              </w:rPr>
              <w:t>110</w:t>
            </w:r>
          </w:p>
        </w:tc>
        <w:tc>
          <w:tcPr>
            <w:tcW w:w="1720" w:type="pct"/>
            <w:tcBorders>
              <w:top w:val="nil"/>
              <w:left w:val="nil"/>
              <w:bottom w:val="nil"/>
              <w:right w:val="nil"/>
            </w:tcBorders>
            <w:shd w:val="clear" w:color="auto" w:fill="auto"/>
            <w:noWrap/>
            <w:vAlign w:val="center"/>
            <w:hideMark/>
          </w:tcPr>
          <w:p w14:paraId="54A16EFD" w14:textId="730116BD" w:rsidR="00D3014C" w:rsidRPr="00A95C35" w:rsidRDefault="00D3014C" w:rsidP="00C55CAB">
            <w:pPr>
              <w:jc w:val="right"/>
              <w:rPr>
                <w:rFonts w:ascii="Arial" w:hAnsi="Arial"/>
                <w:sz w:val="20"/>
              </w:rPr>
            </w:pPr>
            <w:r w:rsidRPr="00A95C35">
              <w:rPr>
                <w:rFonts w:ascii="Arial" w:hAnsi="Arial" w:cs="Arial"/>
                <w:sz w:val="20"/>
                <w:szCs w:val="20"/>
              </w:rPr>
              <w:t>3</w:t>
            </w:r>
            <w:r w:rsidR="00E12822" w:rsidRPr="00A95C35">
              <w:rPr>
                <w:rFonts w:ascii="Arial" w:hAnsi="Arial" w:cs="Arial"/>
                <w:sz w:val="20"/>
                <w:szCs w:val="20"/>
              </w:rPr>
              <w:t>3.4</w:t>
            </w:r>
          </w:p>
        </w:tc>
      </w:tr>
      <w:tr w:rsidR="00D3527D" w:rsidRPr="00A95C35" w14:paraId="4318514E" w14:textId="77777777" w:rsidTr="00FD080F">
        <w:trPr>
          <w:trHeight w:val="300"/>
        </w:trPr>
        <w:tc>
          <w:tcPr>
            <w:tcW w:w="901" w:type="pct"/>
            <w:tcBorders>
              <w:top w:val="nil"/>
              <w:left w:val="nil"/>
              <w:bottom w:val="nil"/>
              <w:right w:val="nil"/>
            </w:tcBorders>
            <w:shd w:val="clear" w:color="auto" w:fill="auto"/>
            <w:noWrap/>
            <w:vAlign w:val="center"/>
            <w:hideMark/>
          </w:tcPr>
          <w:p w14:paraId="39A41F5C" w14:textId="77777777" w:rsidR="00D3014C" w:rsidRPr="00A95C35" w:rsidRDefault="00D3014C" w:rsidP="00C55CAB">
            <w:pPr>
              <w:jc w:val="right"/>
              <w:rPr>
                <w:rFonts w:ascii="Arial" w:hAnsi="Arial"/>
                <w:sz w:val="20"/>
              </w:rPr>
            </w:pPr>
            <w:r w:rsidRPr="00A95C35">
              <w:rPr>
                <w:rFonts w:ascii="Arial" w:hAnsi="Arial"/>
                <w:sz w:val="20"/>
              </w:rPr>
              <w:t xml:space="preserve">$25 </w:t>
            </w:r>
          </w:p>
        </w:tc>
        <w:tc>
          <w:tcPr>
            <w:tcW w:w="1105" w:type="pct"/>
            <w:tcBorders>
              <w:top w:val="nil"/>
              <w:left w:val="nil"/>
              <w:bottom w:val="nil"/>
              <w:right w:val="nil"/>
            </w:tcBorders>
            <w:shd w:val="clear" w:color="auto" w:fill="auto"/>
            <w:noWrap/>
            <w:vAlign w:val="center"/>
            <w:hideMark/>
          </w:tcPr>
          <w:p w14:paraId="6853EB94" w14:textId="77777777" w:rsidR="00D3014C" w:rsidRPr="00A95C35" w:rsidRDefault="00D3014C" w:rsidP="00C55CAB">
            <w:pPr>
              <w:jc w:val="right"/>
              <w:rPr>
                <w:rFonts w:ascii="Arial" w:hAnsi="Arial"/>
                <w:sz w:val="20"/>
              </w:rPr>
            </w:pPr>
            <w:r w:rsidRPr="00A95C35">
              <w:rPr>
                <w:rFonts w:ascii="Arial" w:hAnsi="Arial"/>
                <w:sz w:val="20"/>
              </w:rPr>
              <w:t>329</w:t>
            </w:r>
          </w:p>
        </w:tc>
        <w:tc>
          <w:tcPr>
            <w:tcW w:w="1273" w:type="pct"/>
            <w:tcBorders>
              <w:top w:val="nil"/>
              <w:left w:val="nil"/>
              <w:bottom w:val="nil"/>
              <w:right w:val="nil"/>
            </w:tcBorders>
            <w:vAlign w:val="center"/>
          </w:tcPr>
          <w:p w14:paraId="768180D4" w14:textId="0BD244CD" w:rsidR="00D3014C" w:rsidRPr="00A95C35" w:rsidRDefault="00E12822" w:rsidP="00C55CAB">
            <w:pPr>
              <w:jc w:val="right"/>
              <w:rPr>
                <w:rFonts w:ascii="Arial" w:hAnsi="Arial"/>
                <w:sz w:val="20"/>
              </w:rPr>
            </w:pPr>
            <w:r w:rsidRPr="00A95C35">
              <w:rPr>
                <w:rFonts w:ascii="Arial" w:hAnsi="Arial" w:cs="Arial"/>
                <w:sz w:val="20"/>
                <w:szCs w:val="20"/>
              </w:rPr>
              <w:t>122</w:t>
            </w:r>
          </w:p>
        </w:tc>
        <w:tc>
          <w:tcPr>
            <w:tcW w:w="1720" w:type="pct"/>
            <w:tcBorders>
              <w:top w:val="nil"/>
              <w:left w:val="nil"/>
              <w:bottom w:val="nil"/>
              <w:right w:val="nil"/>
            </w:tcBorders>
            <w:shd w:val="clear" w:color="auto" w:fill="auto"/>
            <w:noWrap/>
            <w:vAlign w:val="center"/>
            <w:hideMark/>
          </w:tcPr>
          <w:p w14:paraId="61382CB7" w14:textId="1CA634EE" w:rsidR="00D3014C" w:rsidRPr="00A95C35" w:rsidRDefault="00E12822" w:rsidP="00C55CAB">
            <w:pPr>
              <w:jc w:val="right"/>
              <w:rPr>
                <w:rFonts w:ascii="Arial" w:hAnsi="Arial"/>
                <w:sz w:val="20"/>
              </w:rPr>
            </w:pPr>
            <w:r w:rsidRPr="00A95C35">
              <w:rPr>
                <w:rFonts w:ascii="Arial" w:hAnsi="Arial" w:cs="Arial"/>
                <w:sz w:val="20"/>
                <w:szCs w:val="20"/>
              </w:rPr>
              <w:t>37.</w:t>
            </w:r>
            <w:r w:rsidR="00B909A2" w:rsidRPr="00A95C35">
              <w:rPr>
                <w:rFonts w:ascii="Arial" w:hAnsi="Arial" w:cs="Arial"/>
                <w:sz w:val="20"/>
                <w:szCs w:val="20"/>
              </w:rPr>
              <w:t>1</w:t>
            </w:r>
          </w:p>
        </w:tc>
      </w:tr>
      <w:tr w:rsidR="00D3527D" w:rsidRPr="00A95C35" w14:paraId="4125D835" w14:textId="77777777" w:rsidTr="00FD080F">
        <w:trPr>
          <w:trHeight w:val="300"/>
        </w:trPr>
        <w:tc>
          <w:tcPr>
            <w:tcW w:w="901" w:type="pct"/>
            <w:tcBorders>
              <w:top w:val="nil"/>
              <w:left w:val="nil"/>
              <w:bottom w:val="nil"/>
              <w:right w:val="nil"/>
            </w:tcBorders>
            <w:shd w:val="clear" w:color="auto" w:fill="auto"/>
            <w:noWrap/>
            <w:vAlign w:val="center"/>
            <w:hideMark/>
          </w:tcPr>
          <w:p w14:paraId="16F3FB99" w14:textId="77777777" w:rsidR="00D3014C" w:rsidRPr="00A95C35" w:rsidRDefault="00D3014C" w:rsidP="00C55CAB">
            <w:pPr>
              <w:jc w:val="right"/>
              <w:rPr>
                <w:rFonts w:ascii="Arial" w:hAnsi="Arial"/>
                <w:sz w:val="20"/>
              </w:rPr>
            </w:pPr>
            <w:r w:rsidRPr="00A95C35">
              <w:rPr>
                <w:rFonts w:ascii="Arial" w:hAnsi="Arial"/>
                <w:sz w:val="20"/>
              </w:rPr>
              <w:t xml:space="preserve">$30 </w:t>
            </w:r>
          </w:p>
        </w:tc>
        <w:tc>
          <w:tcPr>
            <w:tcW w:w="1105" w:type="pct"/>
            <w:tcBorders>
              <w:top w:val="nil"/>
              <w:left w:val="nil"/>
              <w:bottom w:val="nil"/>
              <w:right w:val="nil"/>
            </w:tcBorders>
            <w:shd w:val="clear" w:color="auto" w:fill="auto"/>
            <w:noWrap/>
            <w:vAlign w:val="center"/>
            <w:hideMark/>
          </w:tcPr>
          <w:p w14:paraId="2907E364" w14:textId="77777777" w:rsidR="00D3014C" w:rsidRPr="00A95C35" w:rsidRDefault="00D3014C" w:rsidP="00C55CAB">
            <w:pPr>
              <w:jc w:val="right"/>
              <w:rPr>
                <w:rFonts w:ascii="Arial" w:hAnsi="Arial"/>
                <w:sz w:val="20"/>
              </w:rPr>
            </w:pPr>
            <w:r w:rsidRPr="00A95C35">
              <w:rPr>
                <w:rFonts w:ascii="Arial" w:hAnsi="Arial"/>
                <w:sz w:val="20"/>
              </w:rPr>
              <w:t>329</w:t>
            </w:r>
          </w:p>
        </w:tc>
        <w:tc>
          <w:tcPr>
            <w:tcW w:w="1273" w:type="pct"/>
            <w:tcBorders>
              <w:top w:val="nil"/>
              <w:left w:val="nil"/>
              <w:bottom w:val="nil"/>
              <w:right w:val="nil"/>
            </w:tcBorders>
            <w:vAlign w:val="center"/>
          </w:tcPr>
          <w:p w14:paraId="2EAB3FC2" w14:textId="2F495ABD" w:rsidR="00D3014C" w:rsidRPr="00A95C35" w:rsidRDefault="00E12822" w:rsidP="00C55CAB">
            <w:pPr>
              <w:jc w:val="right"/>
              <w:rPr>
                <w:rFonts w:ascii="Arial" w:hAnsi="Arial"/>
                <w:sz w:val="20"/>
              </w:rPr>
            </w:pPr>
            <w:r w:rsidRPr="00A95C35">
              <w:rPr>
                <w:rFonts w:ascii="Arial" w:hAnsi="Arial" w:cs="Arial"/>
                <w:sz w:val="20"/>
                <w:szCs w:val="20"/>
              </w:rPr>
              <w:t>142</w:t>
            </w:r>
          </w:p>
        </w:tc>
        <w:tc>
          <w:tcPr>
            <w:tcW w:w="1720" w:type="pct"/>
            <w:tcBorders>
              <w:top w:val="nil"/>
              <w:left w:val="nil"/>
              <w:bottom w:val="nil"/>
              <w:right w:val="nil"/>
            </w:tcBorders>
            <w:shd w:val="clear" w:color="auto" w:fill="auto"/>
            <w:noWrap/>
            <w:vAlign w:val="center"/>
            <w:hideMark/>
          </w:tcPr>
          <w:p w14:paraId="7AB9B370" w14:textId="2C2ADB0E" w:rsidR="00D3014C" w:rsidRPr="00A95C35" w:rsidRDefault="00D3014C" w:rsidP="00C55CAB">
            <w:pPr>
              <w:jc w:val="right"/>
              <w:rPr>
                <w:rFonts w:ascii="Arial" w:hAnsi="Arial"/>
                <w:sz w:val="20"/>
              </w:rPr>
            </w:pPr>
            <w:r w:rsidRPr="00A95C35">
              <w:rPr>
                <w:rFonts w:ascii="Arial" w:hAnsi="Arial"/>
                <w:sz w:val="20"/>
              </w:rPr>
              <w:t>43</w:t>
            </w:r>
            <w:r w:rsidR="00B909A2" w:rsidRPr="00A95C35">
              <w:rPr>
                <w:rFonts w:ascii="Arial" w:hAnsi="Arial" w:cs="Arial"/>
                <w:sz w:val="20"/>
                <w:szCs w:val="20"/>
              </w:rPr>
              <w:t>.2</w:t>
            </w:r>
          </w:p>
        </w:tc>
      </w:tr>
      <w:tr w:rsidR="00D3527D" w:rsidRPr="00A95C35" w14:paraId="14998C70" w14:textId="77777777" w:rsidTr="00FD080F">
        <w:trPr>
          <w:trHeight w:val="300"/>
        </w:trPr>
        <w:tc>
          <w:tcPr>
            <w:tcW w:w="901" w:type="pct"/>
            <w:tcBorders>
              <w:top w:val="nil"/>
              <w:left w:val="nil"/>
              <w:bottom w:val="nil"/>
              <w:right w:val="nil"/>
            </w:tcBorders>
            <w:shd w:val="clear" w:color="auto" w:fill="auto"/>
            <w:noWrap/>
            <w:vAlign w:val="center"/>
            <w:hideMark/>
          </w:tcPr>
          <w:p w14:paraId="63E4414B" w14:textId="77777777" w:rsidR="00D3014C" w:rsidRPr="00A95C35" w:rsidRDefault="00D3014C" w:rsidP="00C55CAB">
            <w:pPr>
              <w:jc w:val="right"/>
              <w:rPr>
                <w:rFonts w:ascii="Arial" w:hAnsi="Arial"/>
                <w:sz w:val="20"/>
              </w:rPr>
            </w:pPr>
            <w:r w:rsidRPr="00A95C35">
              <w:rPr>
                <w:rFonts w:ascii="Arial" w:hAnsi="Arial"/>
                <w:sz w:val="20"/>
              </w:rPr>
              <w:t xml:space="preserve">$35 </w:t>
            </w:r>
          </w:p>
        </w:tc>
        <w:tc>
          <w:tcPr>
            <w:tcW w:w="1105" w:type="pct"/>
            <w:tcBorders>
              <w:top w:val="nil"/>
              <w:left w:val="nil"/>
              <w:bottom w:val="nil"/>
              <w:right w:val="nil"/>
            </w:tcBorders>
            <w:shd w:val="clear" w:color="auto" w:fill="auto"/>
            <w:noWrap/>
            <w:vAlign w:val="center"/>
            <w:hideMark/>
          </w:tcPr>
          <w:p w14:paraId="46A9C47F" w14:textId="77777777" w:rsidR="00D3014C" w:rsidRPr="00A95C35" w:rsidRDefault="00D3014C" w:rsidP="00C55CAB">
            <w:pPr>
              <w:jc w:val="right"/>
              <w:rPr>
                <w:rFonts w:ascii="Arial" w:hAnsi="Arial"/>
                <w:sz w:val="20"/>
              </w:rPr>
            </w:pPr>
            <w:r w:rsidRPr="00A95C35">
              <w:rPr>
                <w:rFonts w:ascii="Arial" w:hAnsi="Arial"/>
                <w:sz w:val="20"/>
              </w:rPr>
              <w:t>329</w:t>
            </w:r>
          </w:p>
        </w:tc>
        <w:tc>
          <w:tcPr>
            <w:tcW w:w="1273" w:type="pct"/>
            <w:tcBorders>
              <w:top w:val="nil"/>
              <w:left w:val="nil"/>
              <w:bottom w:val="nil"/>
              <w:right w:val="nil"/>
            </w:tcBorders>
            <w:vAlign w:val="center"/>
          </w:tcPr>
          <w:p w14:paraId="79E40557" w14:textId="03226C20" w:rsidR="00D3014C" w:rsidRPr="00A95C35" w:rsidRDefault="00E12822" w:rsidP="00C55CAB">
            <w:pPr>
              <w:jc w:val="right"/>
              <w:rPr>
                <w:rFonts w:ascii="Arial" w:hAnsi="Arial"/>
                <w:sz w:val="20"/>
              </w:rPr>
            </w:pPr>
            <w:r w:rsidRPr="00A95C35">
              <w:rPr>
                <w:rFonts w:ascii="Arial" w:hAnsi="Arial" w:cs="Arial"/>
                <w:sz w:val="20"/>
                <w:szCs w:val="20"/>
              </w:rPr>
              <w:t>130</w:t>
            </w:r>
          </w:p>
        </w:tc>
        <w:tc>
          <w:tcPr>
            <w:tcW w:w="1720" w:type="pct"/>
            <w:tcBorders>
              <w:top w:val="nil"/>
              <w:left w:val="nil"/>
              <w:bottom w:val="nil"/>
              <w:right w:val="nil"/>
            </w:tcBorders>
            <w:shd w:val="clear" w:color="auto" w:fill="auto"/>
            <w:noWrap/>
            <w:vAlign w:val="center"/>
            <w:hideMark/>
          </w:tcPr>
          <w:p w14:paraId="3BADC634" w14:textId="5A9AB867" w:rsidR="00D3014C" w:rsidRPr="00A95C35" w:rsidRDefault="00E12822" w:rsidP="00C55CAB">
            <w:pPr>
              <w:jc w:val="right"/>
              <w:rPr>
                <w:rFonts w:ascii="Arial" w:hAnsi="Arial"/>
                <w:sz w:val="20"/>
              </w:rPr>
            </w:pPr>
            <w:r w:rsidRPr="00A95C35">
              <w:rPr>
                <w:rFonts w:ascii="Arial" w:hAnsi="Arial" w:cs="Arial"/>
                <w:sz w:val="20"/>
                <w:szCs w:val="20"/>
              </w:rPr>
              <w:t>39.5</w:t>
            </w:r>
          </w:p>
        </w:tc>
      </w:tr>
      <w:tr w:rsidR="00D3527D" w:rsidRPr="00A95C35" w14:paraId="2BD62BFC" w14:textId="77777777" w:rsidTr="00FD080F">
        <w:trPr>
          <w:trHeight w:val="300"/>
        </w:trPr>
        <w:tc>
          <w:tcPr>
            <w:tcW w:w="901" w:type="pct"/>
            <w:tcBorders>
              <w:top w:val="nil"/>
              <w:left w:val="nil"/>
              <w:bottom w:val="nil"/>
              <w:right w:val="nil"/>
            </w:tcBorders>
            <w:shd w:val="clear" w:color="auto" w:fill="auto"/>
            <w:noWrap/>
            <w:vAlign w:val="center"/>
            <w:hideMark/>
          </w:tcPr>
          <w:p w14:paraId="61AD6C78" w14:textId="77777777" w:rsidR="00D3014C" w:rsidRPr="00A95C35" w:rsidRDefault="00D3014C" w:rsidP="00C55CAB">
            <w:pPr>
              <w:jc w:val="right"/>
              <w:rPr>
                <w:rFonts w:ascii="Arial" w:hAnsi="Arial"/>
                <w:sz w:val="20"/>
              </w:rPr>
            </w:pPr>
            <w:r w:rsidRPr="00A95C35">
              <w:rPr>
                <w:rFonts w:ascii="Arial" w:hAnsi="Arial"/>
                <w:sz w:val="20"/>
              </w:rPr>
              <w:t xml:space="preserve">$40 </w:t>
            </w:r>
          </w:p>
        </w:tc>
        <w:tc>
          <w:tcPr>
            <w:tcW w:w="1105" w:type="pct"/>
            <w:tcBorders>
              <w:top w:val="nil"/>
              <w:left w:val="nil"/>
              <w:bottom w:val="nil"/>
              <w:right w:val="nil"/>
            </w:tcBorders>
            <w:shd w:val="clear" w:color="auto" w:fill="auto"/>
            <w:noWrap/>
            <w:vAlign w:val="center"/>
            <w:hideMark/>
          </w:tcPr>
          <w:p w14:paraId="552711E2" w14:textId="77777777" w:rsidR="00D3014C" w:rsidRPr="00A95C35" w:rsidRDefault="00D3014C" w:rsidP="00C55CAB">
            <w:pPr>
              <w:jc w:val="right"/>
              <w:rPr>
                <w:rFonts w:ascii="Arial" w:hAnsi="Arial"/>
                <w:sz w:val="20"/>
              </w:rPr>
            </w:pPr>
            <w:r w:rsidRPr="00A95C35">
              <w:rPr>
                <w:rFonts w:ascii="Arial" w:hAnsi="Arial"/>
                <w:sz w:val="20"/>
              </w:rPr>
              <w:t>329</w:t>
            </w:r>
          </w:p>
        </w:tc>
        <w:tc>
          <w:tcPr>
            <w:tcW w:w="1273" w:type="pct"/>
            <w:tcBorders>
              <w:top w:val="nil"/>
              <w:left w:val="nil"/>
              <w:bottom w:val="nil"/>
              <w:right w:val="nil"/>
            </w:tcBorders>
            <w:vAlign w:val="center"/>
          </w:tcPr>
          <w:p w14:paraId="56E5E038" w14:textId="7CA12AC6" w:rsidR="00D3014C" w:rsidRPr="00A95C35" w:rsidRDefault="00E12822" w:rsidP="00C55CAB">
            <w:pPr>
              <w:jc w:val="right"/>
              <w:rPr>
                <w:rFonts w:ascii="Arial" w:hAnsi="Arial"/>
                <w:sz w:val="20"/>
              </w:rPr>
            </w:pPr>
            <w:r w:rsidRPr="00A95C35">
              <w:rPr>
                <w:rFonts w:ascii="Arial" w:hAnsi="Arial" w:cs="Arial"/>
                <w:sz w:val="20"/>
                <w:szCs w:val="20"/>
              </w:rPr>
              <w:t>138</w:t>
            </w:r>
          </w:p>
        </w:tc>
        <w:tc>
          <w:tcPr>
            <w:tcW w:w="1720" w:type="pct"/>
            <w:tcBorders>
              <w:top w:val="nil"/>
              <w:left w:val="nil"/>
              <w:bottom w:val="nil"/>
              <w:right w:val="nil"/>
            </w:tcBorders>
            <w:shd w:val="clear" w:color="auto" w:fill="auto"/>
            <w:noWrap/>
            <w:vAlign w:val="center"/>
            <w:hideMark/>
          </w:tcPr>
          <w:p w14:paraId="4BD7AB5F" w14:textId="4DF2D93A" w:rsidR="00D3014C" w:rsidRPr="00A95C35" w:rsidRDefault="00E12822" w:rsidP="00C55CAB">
            <w:pPr>
              <w:jc w:val="right"/>
              <w:rPr>
                <w:rFonts w:ascii="Arial" w:hAnsi="Arial"/>
                <w:sz w:val="20"/>
              </w:rPr>
            </w:pPr>
            <w:r w:rsidRPr="00A95C35">
              <w:rPr>
                <w:rFonts w:ascii="Arial" w:hAnsi="Arial" w:cs="Arial"/>
                <w:sz w:val="20"/>
                <w:szCs w:val="20"/>
              </w:rPr>
              <w:t>41.9</w:t>
            </w:r>
          </w:p>
        </w:tc>
      </w:tr>
      <w:tr w:rsidR="00D3527D" w:rsidRPr="00FD080F" w14:paraId="0B86E4BA" w14:textId="77777777" w:rsidTr="00FD080F">
        <w:trPr>
          <w:trHeight w:val="315"/>
        </w:trPr>
        <w:tc>
          <w:tcPr>
            <w:tcW w:w="901" w:type="pct"/>
            <w:tcBorders>
              <w:top w:val="nil"/>
              <w:left w:val="nil"/>
              <w:bottom w:val="single" w:sz="12" w:space="0" w:color="auto"/>
              <w:right w:val="nil"/>
            </w:tcBorders>
            <w:shd w:val="clear" w:color="auto" w:fill="auto"/>
            <w:noWrap/>
            <w:vAlign w:val="center"/>
            <w:hideMark/>
          </w:tcPr>
          <w:p w14:paraId="55B78ABA" w14:textId="77777777" w:rsidR="00D3014C" w:rsidRPr="00FD080F" w:rsidRDefault="00D3014C" w:rsidP="00C55CAB">
            <w:pPr>
              <w:jc w:val="right"/>
              <w:rPr>
                <w:rFonts w:ascii="Arial" w:hAnsi="Arial"/>
                <w:b/>
                <w:sz w:val="20"/>
              </w:rPr>
            </w:pPr>
            <w:r w:rsidRPr="00FD080F">
              <w:rPr>
                <w:rFonts w:ascii="Arial" w:hAnsi="Arial"/>
                <w:b/>
                <w:sz w:val="20"/>
              </w:rPr>
              <w:t>Total</w:t>
            </w:r>
          </w:p>
        </w:tc>
        <w:tc>
          <w:tcPr>
            <w:tcW w:w="1105" w:type="pct"/>
            <w:tcBorders>
              <w:top w:val="nil"/>
              <w:left w:val="nil"/>
              <w:bottom w:val="single" w:sz="12" w:space="0" w:color="auto"/>
              <w:right w:val="nil"/>
            </w:tcBorders>
            <w:shd w:val="clear" w:color="auto" w:fill="auto"/>
            <w:noWrap/>
            <w:vAlign w:val="center"/>
            <w:hideMark/>
          </w:tcPr>
          <w:p w14:paraId="7D51E466" w14:textId="77777777" w:rsidR="00D3014C" w:rsidRPr="00FD080F" w:rsidRDefault="00D3014C" w:rsidP="00C55CAB">
            <w:pPr>
              <w:jc w:val="right"/>
              <w:rPr>
                <w:rFonts w:ascii="Arial" w:hAnsi="Arial"/>
                <w:b/>
                <w:sz w:val="20"/>
              </w:rPr>
            </w:pPr>
            <w:r w:rsidRPr="00FD080F">
              <w:rPr>
                <w:rFonts w:ascii="Arial" w:hAnsi="Arial"/>
                <w:b/>
                <w:sz w:val="20"/>
              </w:rPr>
              <w:t>1974</w:t>
            </w:r>
          </w:p>
        </w:tc>
        <w:tc>
          <w:tcPr>
            <w:tcW w:w="1273" w:type="pct"/>
            <w:tcBorders>
              <w:top w:val="nil"/>
              <w:left w:val="nil"/>
              <w:bottom w:val="single" w:sz="12" w:space="0" w:color="auto"/>
              <w:right w:val="nil"/>
            </w:tcBorders>
            <w:vAlign w:val="center"/>
          </w:tcPr>
          <w:p w14:paraId="49B40D4C" w14:textId="7884641A" w:rsidR="00D3014C" w:rsidRPr="00FD080F" w:rsidRDefault="00B909A2" w:rsidP="00C55CAB">
            <w:pPr>
              <w:jc w:val="right"/>
              <w:rPr>
                <w:rFonts w:ascii="Arial" w:hAnsi="Arial"/>
                <w:b/>
                <w:sz w:val="20"/>
              </w:rPr>
            </w:pPr>
            <w:r w:rsidRPr="00FD080F">
              <w:rPr>
                <w:rFonts w:ascii="Arial" w:hAnsi="Arial"/>
                <w:b/>
                <w:sz w:val="20"/>
              </w:rPr>
              <w:t>733</w:t>
            </w:r>
          </w:p>
        </w:tc>
        <w:tc>
          <w:tcPr>
            <w:tcW w:w="1720" w:type="pct"/>
            <w:tcBorders>
              <w:top w:val="nil"/>
              <w:left w:val="nil"/>
              <w:bottom w:val="single" w:sz="12" w:space="0" w:color="auto"/>
              <w:right w:val="nil"/>
            </w:tcBorders>
            <w:shd w:val="clear" w:color="auto" w:fill="auto"/>
            <w:noWrap/>
            <w:vAlign w:val="center"/>
            <w:hideMark/>
          </w:tcPr>
          <w:p w14:paraId="1B6EFA59" w14:textId="0A013814" w:rsidR="00D3014C" w:rsidRPr="00FD080F" w:rsidRDefault="00B909A2" w:rsidP="00C55CAB">
            <w:pPr>
              <w:jc w:val="right"/>
              <w:rPr>
                <w:rFonts w:ascii="Arial" w:hAnsi="Arial"/>
                <w:b/>
                <w:sz w:val="20"/>
              </w:rPr>
            </w:pPr>
            <w:r w:rsidRPr="00FD080F">
              <w:rPr>
                <w:rFonts w:ascii="Arial" w:hAnsi="Arial"/>
                <w:b/>
                <w:sz w:val="20"/>
              </w:rPr>
              <w:t>3</w:t>
            </w:r>
            <w:r w:rsidR="002007C9" w:rsidRPr="00FD080F">
              <w:rPr>
                <w:rFonts w:ascii="Arial" w:hAnsi="Arial"/>
                <w:b/>
                <w:sz w:val="20"/>
              </w:rPr>
              <w:t>7.1</w:t>
            </w:r>
          </w:p>
        </w:tc>
      </w:tr>
    </w:tbl>
    <w:p w14:paraId="5101767B" w14:textId="77777777" w:rsidR="00D3014C" w:rsidRPr="00A95C35" w:rsidRDefault="00D3014C" w:rsidP="00D3014C">
      <w:pPr>
        <w:rPr>
          <w:rFonts w:ascii="Arial" w:hAnsi="Arial"/>
          <w:sz w:val="18"/>
        </w:rPr>
      </w:pPr>
      <w:r w:rsidRPr="00A95C35">
        <w:rPr>
          <w:rFonts w:ascii="Arial" w:hAnsi="Arial"/>
          <w:sz w:val="18"/>
        </w:rPr>
        <w:t>SOURCE: U.S. Department of Education, National Center for Education Statistics. High School Longitudinal Study of 2009 (HSLS</w:t>
      </w:r>
      <w:proofErr w:type="gramStart"/>
      <w:r w:rsidRPr="00A95C35">
        <w:rPr>
          <w:rFonts w:ascii="Arial" w:hAnsi="Arial"/>
          <w:sz w:val="18"/>
        </w:rPr>
        <w:t>:09</w:t>
      </w:r>
      <w:proofErr w:type="gramEnd"/>
      <w:r w:rsidRPr="00A95C35">
        <w:rPr>
          <w:rFonts w:ascii="Arial" w:hAnsi="Arial"/>
          <w:sz w:val="18"/>
        </w:rPr>
        <w:t xml:space="preserve">) Second Follow-up Main Study. </w:t>
      </w:r>
    </w:p>
    <w:p w14:paraId="6A4F7970" w14:textId="77777777" w:rsidR="00B909A2" w:rsidRPr="00A95C35" w:rsidRDefault="00B909A2" w:rsidP="00D3014C">
      <w:pPr>
        <w:rPr>
          <w:rFonts w:ascii="Arial" w:hAnsi="Arial"/>
          <w:sz w:val="18"/>
        </w:rPr>
      </w:pPr>
    </w:p>
    <w:p w14:paraId="40B2633A" w14:textId="6BD109D7" w:rsidR="00BE400B" w:rsidRPr="00A95C35" w:rsidRDefault="00B33C7F" w:rsidP="00D3014C">
      <w:pPr>
        <w:rPr>
          <w:rFonts w:ascii="Arial" w:hAnsi="Arial" w:cs="Arial"/>
          <w:sz w:val="18"/>
        </w:rPr>
      </w:pPr>
      <w:r w:rsidRPr="00A95C35">
        <w:rPr>
          <w:noProof/>
        </w:rPr>
        <w:lastRenderedPageBreak/>
        <w:drawing>
          <wp:inline distT="0" distB="0" distL="0" distR="0" wp14:anchorId="075845C0" wp14:editId="73EC5752">
            <wp:extent cx="6504317" cy="3424686"/>
            <wp:effectExtent l="0" t="0" r="10795" b="234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DC8E69" w14:textId="2D6F90A7" w:rsidR="00D3014C" w:rsidRPr="00A95C35" w:rsidRDefault="00D3014C" w:rsidP="00D3014C">
      <w:pPr>
        <w:rPr>
          <w:rFonts w:ascii="Calibri" w:hAnsi="Calibri"/>
          <w:b/>
        </w:rPr>
      </w:pPr>
    </w:p>
    <w:p w14:paraId="418DE842" w14:textId="77777777" w:rsidR="00EA52D5" w:rsidRPr="00A95C35" w:rsidRDefault="00EA52D5" w:rsidP="00D3014C">
      <w:pPr>
        <w:rPr>
          <w:rFonts w:ascii="Arial" w:hAnsi="Arial" w:cs="Arial"/>
          <w:sz w:val="16"/>
        </w:rPr>
      </w:pPr>
    </w:p>
    <w:p w14:paraId="1E503A99" w14:textId="2C0D2798" w:rsidR="00D3014C" w:rsidRPr="00A95C35" w:rsidRDefault="00D3014C" w:rsidP="002D7F37">
      <w:pPr>
        <w:pStyle w:val="ExhibitTitle"/>
        <w:ind w:left="1080" w:hanging="1080"/>
      </w:pPr>
      <w:proofErr w:type="gramStart"/>
      <w:r w:rsidRPr="00A95C35">
        <w:t xml:space="preserve">Exhibit </w:t>
      </w:r>
      <w:r w:rsidR="00263498" w:rsidRPr="00A95C35">
        <w:t>5</w:t>
      </w:r>
      <w:r w:rsidRPr="00A95C35">
        <w:t>.</w:t>
      </w:r>
      <w:proofErr w:type="gramEnd"/>
      <w:r w:rsidRPr="00A95C35">
        <w:t xml:space="preserve"> Subgroup C (All Other High School Completers and Unknown Cases) response rate chi-square tests</w:t>
      </w:r>
      <w:r w:rsidR="002E1919" w:rsidRPr="00A95C35">
        <w:t xml:space="preserve"> and p-values</w:t>
      </w:r>
    </w:p>
    <w:tbl>
      <w:tblPr>
        <w:tblW w:w="4303" w:type="pct"/>
        <w:tblLayout w:type="fixed"/>
        <w:tblLook w:val="04A0" w:firstRow="1" w:lastRow="0" w:firstColumn="1" w:lastColumn="0" w:noHBand="0" w:noVBand="1"/>
      </w:tblPr>
      <w:tblGrid>
        <w:gridCol w:w="1148"/>
        <w:gridCol w:w="1884"/>
        <w:gridCol w:w="918"/>
        <w:gridCol w:w="1026"/>
        <w:gridCol w:w="1197"/>
        <w:gridCol w:w="1140"/>
        <w:gridCol w:w="1796"/>
      </w:tblGrid>
      <w:tr w:rsidR="00263498" w:rsidRPr="00A95C35" w14:paraId="007CE2D9" w14:textId="77777777" w:rsidTr="002D7F37">
        <w:trPr>
          <w:trHeight w:val="315"/>
        </w:trPr>
        <w:tc>
          <w:tcPr>
            <w:tcW w:w="630" w:type="pct"/>
            <w:tcBorders>
              <w:top w:val="single" w:sz="12" w:space="0" w:color="auto"/>
              <w:left w:val="nil"/>
              <w:bottom w:val="nil"/>
              <w:right w:val="nil"/>
            </w:tcBorders>
            <w:shd w:val="clear" w:color="auto" w:fill="auto"/>
            <w:vAlign w:val="center"/>
            <w:hideMark/>
          </w:tcPr>
          <w:p w14:paraId="06E4BB27" w14:textId="77777777" w:rsidR="00263498" w:rsidRPr="00A95C35" w:rsidRDefault="00263498" w:rsidP="00C55CAB">
            <w:pPr>
              <w:rPr>
                <w:rFonts w:ascii="Arial" w:hAnsi="Arial"/>
                <w:sz w:val="20"/>
              </w:rPr>
            </w:pPr>
            <w:r w:rsidRPr="00A95C35">
              <w:rPr>
                <w:rFonts w:ascii="Arial" w:hAnsi="Arial"/>
                <w:sz w:val="20"/>
              </w:rPr>
              <w:t>Baseline incentive</w:t>
            </w:r>
          </w:p>
        </w:tc>
        <w:tc>
          <w:tcPr>
            <w:tcW w:w="1034" w:type="pct"/>
            <w:tcBorders>
              <w:top w:val="single" w:sz="12" w:space="0" w:color="auto"/>
              <w:left w:val="nil"/>
              <w:bottom w:val="single" w:sz="4" w:space="0" w:color="auto"/>
              <w:right w:val="nil"/>
            </w:tcBorders>
          </w:tcPr>
          <w:p w14:paraId="235BD114" w14:textId="77777777" w:rsidR="00263498" w:rsidRPr="00A95C35" w:rsidRDefault="00263498" w:rsidP="00C55CAB">
            <w:pPr>
              <w:jc w:val="center"/>
              <w:rPr>
                <w:rFonts w:ascii="Arial" w:hAnsi="Arial"/>
                <w:sz w:val="20"/>
              </w:rPr>
            </w:pPr>
          </w:p>
        </w:tc>
        <w:tc>
          <w:tcPr>
            <w:tcW w:w="3336" w:type="pct"/>
            <w:gridSpan w:val="5"/>
            <w:tcBorders>
              <w:top w:val="single" w:sz="12" w:space="0" w:color="auto"/>
              <w:left w:val="nil"/>
              <w:bottom w:val="single" w:sz="4" w:space="0" w:color="auto"/>
              <w:right w:val="nil"/>
            </w:tcBorders>
            <w:shd w:val="clear" w:color="auto" w:fill="auto"/>
            <w:vAlign w:val="center"/>
            <w:hideMark/>
          </w:tcPr>
          <w:p w14:paraId="0FEC8A28" w14:textId="1699BFB2" w:rsidR="00263498" w:rsidRPr="00A95C35" w:rsidRDefault="00263498" w:rsidP="00C55CAB">
            <w:pPr>
              <w:jc w:val="center"/>
              <w:rPr>
                <w:rFonts w:ascii="Arial" w:hAnsi="Arial"/>
                <w:sz w:val="20"/>
              </w:rPr>
            </w:pPr>
            <w:r w:rsidRPr="00A95C35">
              <w:rPr>
                <w:rFonts w:ascii="Arial" w:hAnsi="Arial"/>
                <w:sz w:val="20"/>
              </w:rPr>
              <w:t>Comparison group</w:t>
            </w:r>
          </w:p>
        </w:tc>
      </w:tr>
      <w:tr w:rsidR="00263498" w:rsidRPr="00A95C35" w14:paraId="63F0076A" w14:textId="77777777" w:rsidTr="002D7F37">
        <w:trPr>
          <w:trHeight w:val="315"/>
        </w:trPr>
        <w:tc>
          <w:tcPr>
            <w:tcW w:w="630" w:type="pct"/>
            <w:tcBorders>
              <w:top w:val="nil"/>
              <w:left w:val="nil"/>
              <w:bottom w:val="single" w:sz="8" w:space="0" w:color="auto"/>
              <w:right w:val="single" w:sz="4" w:space="0" w:color="auto"/>
            </w:tcBorders>
            <w:shd w:val="clear" w:color="auto" w:fill="auto"/>
            <w:noWrap/>
            <w:vAlign w:val="center"/>
            <w:hideMark/>
          </w:tcPr>
          <w:p w14:paraId="521748CB" w14:textId="77777777" w:rsidR="00263498" w:rsidRPr="00A95C35" w:rsidRDefault="00263498" w:rsidP="00C55CAB">
            <w:pPr>
              <w:rPr>
                <w:rFonts w:ascii="Arial" w:hAnsi="Arial"/>
                <w:sz w:val="20"/>
              </w:rPr>
            </w:pPr>
            <w:r w:rsidRPr="00A95C35">
              <w:rPr>
                <w:rFonts w:ascii="Arial" w:hAnsi="Arial"/>
                <w:sz w:val="20"/>
              </w:rPr>
              <w:t> </w:t>
            </w:r>
          </w:p>
        </w:tc>
        <w:tc>
          <w:tcPr>
            <w:tcW w:w="1034" w:type="pct"/>
            <w:tcBorders>
              <w:top w:val="single" w:sz="4" w:space="0" w:color="auto"/>
              <w:left w:val="single" w:sz="4" w:space="0" w:color="auto"/>
              <w:bottom w:val="single" w:sz="4" w:space="0" w:color="auto"/>
              <w:right w:val="single" w:sz="4" w:space="0" w:color="auto"/>
            </w:tcBorders>
          </w:tcPr>
          <w:p w14:paraId="42F747CE" w14:textId="77777777" w:rsidR="00263498" w:rsidRPr="00A95C35" w:rsidRDefault="00263498" w:rsidP="00EA52D5">
            <w:pPr>
              <w:rPr>
                <w:rFonts w:ascii="Arial" w:hAnsi="Arial"/>
                <w:sz w:val="20"/>
              </w:rPr>
            </w:pP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062CB" w14:textId="1470B5B3" w:rsidR="00263498" w:rsidRPr="00A95C35" w:rsidRDefault="00263498" w:rsidP="002D7F37">
            <w:pPr>
              <w:rPr>
                <w:rFonts w:ascii="Arial" w:hAnsi="Arial"/>
                <w:sz w:val="20"/>
              </w:rPr>
            </w:pPr>
            <w:r w:rsidRPr="00A95C35">
              <w:rPr>
                <w:rFonts w:ascii="Arial" w:hAnsi="Arial"/>
                <w:sz w:val="20"/>
              </w:rPr>
              <w:t>$15</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B0340" w14:textId="0C6D609B" w:rsidR="00263498" w:rsidRPr="00A95C35" w:rsidRDefault="00263498" w:rsidP="002D7F37">
            <w:pPr>
              <w:rPr>
                <w:rFonts w:ascii="Arial" w:hAnsi="Arial"/>
                <w:sz w:val="20"/>
              </w:rPr>
            </w:pPr>
            <w:r w:rsidRPr="00A95C35">
              <w:rPr>
                <w:rFonts w:ascii="Arial" w:hAnsi="Arial"/>
                <w:sz w:val="20"/>
              </w:rPr>
              <w:t>$20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8919C" w14:textId="5B1FE2C3" w:rsidR="00263498" w:rsidRPr="00A95C35" w:rsidRDefault="00263498" w:rsidP="002D7F37">
            <w:pPr>
              <w:rPr>
                <w:rFonts w:ascii="Arial" w:hAnsi="Arial"/>
                <w:sz w:val="20"/>
              </w:rPr>
            </w:pPr>
            <w:r w:rsidRPr="00A95C35">
              <w:rPr>
                <w:rFonts w:ascii="Arial" w:hAnsi="Arial"/>
                <w:sz w:val="20"/>
              </w:rPr>
              <w:t>$25</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BB99" w14:textId="714B457A" w:rsidR="00263498" w:rsidRPr="00A95C35" w:rsidRDefault="00263498" w:rsidP="002D7F37">
            <w:pPr>
              <w:rPr>
                <w:rFonts w:ascii="Arial" w:hAnsi="Arial"/>
                <w:sz w:val="20"/>
              </w:rPr>
            </w:pPr>
            <w:r w:rsidRPr="00A95C35">
              <w:rPr>
                <w:rFonts w:ascii="Arial" w:hAnsi="Arial"/>
                <w:sz w:val="20"/>
              </w:rPr>
              <w:t>$35</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7EA0D" w14:textId="6FB55613" w:rsidR="00263498" w:rsidRPr="00A95C35" w:rsidRDefault="00263498" w:rsidP="002D7F37">
            <w:pPr>
              <w:rPr>
                <w:rFonts w:ascii="Arial" w:hAnsi="Arial"/>
                <w:sz w:val="20"/>
              </w:rPr>
            </w:pPr>
            <w:r w:rsidRPr="00A95C35">
              <w:rPr>
                <w:rFonts w:ascii="Arial" w:hAnsi="Arial"/>
                <w:sz w:val="20"/>
              </w:rPr>
              <w:t>$40</w:t>
            </w:r>
          </w:p>
        </w:tc>
      </w:tr>
      <w:tr w:rsidR="00263498" w:rsidRPr="00A95C35" w14:paraId="18D191A6" w14:textId="77777777" w:rsidTr="002D7F37">
        <w:trPr>
          <w:trHeight w:val="300"/>
        </w:trPr>
        <w:tc>
          <w:tcPr>
            <w:tcW w:w="630" w:type="pct"/>
            <w:vMerge w:val="restart"/>
            <w:tcBorders>
              <w:top w:val="nil"/>
              <w:left w:val="nil"/>
              <w:right w:val="single" w:sz="4" w:space="0" w:color="auto"/>
            </w:tcBorders>
            <w:shd w:val="clear" w:color="auto" w:fill="auto"/>
            <w:noWrap/>
            <w:vAlign w:val="center"/>
            <w:hideMark/>
          </w:tcPr>
          <w:p w14:paraId="0A59561C" w14:textId="2AB64F5E" w:rsidR="00263498" w:rsidRPr="00A95C35" w:rsidRDefault="00263498" w:rsidP="00C55CAB">
            <w:pPr>
              <w:jc w:val="right"/>
              <w:rPr>
                <w:rFonts w:ascii="Arial" w:hAnsi="Arial"/>
                <w:sz w:val="20"/>
              </w:rPr>
            </w:pPr>
            <w:r w:rsidRPr="00A95C35">
              <w:rPr>
                <w:rFonts w:ascii="Arial" w:hAnsi="Arial"/>
                <w:sz w:val="20"/>
              </w:rPr>
              <w:t xml:space="preserve">$30 </w:t>
            </w:r>
          </w:p>
        </w:tc>
        <w:tc>
          <w:tcPr>
            <w:tcW w:w="1034" w:type="pct"/>
            <w:tcBorders>
              <w:top w:val="single" w:sz="4" w:space="0" w:color="auto"/>
              <w:left w:val="single" w:sz="4" w:space="0" w:color="auto"/>
              <w:bottom w:val="single" w:sz="4" w:space="0" w:color="auto"/>
              <w:right w:val="single" w:sz="4" w:space="0" w:color="auto"/>
            </w:tcBorders>
          </w:tcPr>
          <w:p w14:paraId="111E95BA" w14:textId="79B9F4D3" w:rsidR="00263498" w:rsidRPr="00A95C35" w:rsidRDefault="00263498" w:rsidP="00EA52D5">
            <w:pPr>
              <w:rPr>
                <w:rFonts w:ascii="Arial" w:hAnsi="Arial"/>
                <w:sz w:val="18"/>
                <w:szCs w:val="18"/>
              </w:rPr>
            </w:pPr>
            <w:r w:rsidRPr="00A95C35">
              <w:rPr>
                <w:rFonts w:ascii="Arial" w:hAnsi="Arial"/>
                <w:sz w:val="18"/>
                <w:szCs w:val="18"/>
              </w:rPr>
              <w:t>Chi-Square</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93987" w14:textId="238A7105" w:rsidR="00263498" w:rsidRPr="00A95C35" w:rsidRDefault="00263498" w:rsidP="002D7F37">
            <w:pPr>
              <w:rPr>
                <w:rFonts w:ascii="Arial" w:hAnsi="Arial"/>
                <w:sz w:val="18"/>
                <w:szCs w:val="18"/>
              </w:rPr>
            </w:pPr>
            <w:r w:rsidRPr="00A95C35">
              <w:rPr>
                <w:rFonts w:ascii="Arial" w:hAnsi="Arial"/>
                <w:sz w:val="18"/>
                <w:szCs w:val="18"/>
              </w:rPr>
              <w:t>17.28</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0C337" w14:textId="7455069A" w:rsidR="00263498" w:rsidRPr="00A95C35" w:rsidRDefault="00263498" w:rsidP="002D7F37">
            <w:pPr>
              <w:rPr>
                <w:rFonts w:ascii="Arial" w:hAnsi="Arial"/>
                <w:sz w:val="18"/>
                <w:szCs w:val="18"/>
              </w:rPr>
            </w:pPr>
            <w:r w:rsidRPr="00A95C35">
              <w:rPr>
                <w:rFonts w:ascii="Arial" w:hAnsi="Arial"/>
                <w:sz w:val="18"/>
                <w:szCs w:val="18"/>
              </w:rPr>
              <w:t>6.59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DE048" w14:textId="17BE3085" w:rsidR="00263498" w:rsidRPr="00A95C35" w:rsidRDefault="00263498" w:rsidP="002D7F37">
            <w:pPr>
              <w:rPr>
                <w:rFonts w:ascii="Arial" w:hAnsi="Arial"/>
                <w:sz w:val="18"/>
                <w:szCs w:val="18"/>
              </w:rPr>
            </w:pPr>
            <w:r w:rsidRPr="00A95C35">
              <w:rPr>
                <w:rFonts w:ascii="Arial" w:hAnsi="Arial"/>
                <w:sz w:val="18"/>
                <w:szCs w:val="18"/>
              </w:rPr>
              <w:t>2.53</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2190E" w14:textId="1C491238" w:rsidR="00263498" w:rsidRPr="00A95C35" w:rsidRDefault="00263498" w:rsidP="002D7F37">
            <w:pPr>
              <w:rPr>
                <w:rFonts w:ascii="Arial" w:hAnsi="Arial"/>
                <w:sz w:val="18"/>
                <w:szCs w:val="18"/>
              </w:rPr>
            </w:pPr>
            <w:r w:rsidRPr="00A95C35">
              <w:rPr>
                <w:rFonts w:ascii="Arial" w:hAnsi="Arial"/>
                <w:sz w:val="18"/>
                <w:szCs w:val="18"/>
              </w:rPr>
              <w:t>0.90</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7DAF8" w14:textId="087DA0A7" w:rsidR="00263498" w:rsidRPr="00A95C35" w:rsidRDefault="00263498" w:rsidP="002D7F37">
            <w:pPr>
              <w:rPr>
                <w:rFonts w:ascii="Arial" w:hAnsi="Arial"/>
                <w:sz w:val="18"/>
                <w:szCs w:val="18"/>
              </w:rPr>
            </w:pPr>
            <w:r w:rsidRPr="00A95C35">
              <w:rPr>
                <w:rFonts w:ascii="Arial" w:hAnsi="Arial"/>
                <w:sz w:val="18"/>
                <w:szCs w:val="18"/>
              </w:rPr>
              <w:t>0.10</w:t>
            </w:r>
          </w:p>
        </w:tc>
      </w:tr>
      <w:tr w:rsidR="00D3527D" w:rsidRPr="00A95C35" w14:paraId="7A1F177D" w14:textId="77777777" w:rsidTr="002D7F37">
        <w:trPr>
          <w:trHeight w:val="300"/>
        </w:trPr>
        <w:tc>
          <w:tcPr>
            <w:tcW w:w="630" w:type="pct"/>
            <w:vMerge/>
            <w:tcBorders>
              <w:left w:val="nil"/>
              <w:bottom w:val="single" w:sz="12" w:space="0" w:color="auto"/>
              <w:right w:val="single" w:sz="4" w:space="0" w:color="auto"/>
            </w:tcBorders>
            <w:shd w:val="clear" w:color="auto" w:fill="auto"/>
            <w:noWrap/>
            <w:vAlign w:val="center"/>
            <w:hideMark/>
          </w:tcPr>
          <w:p w14:paraId="3ACD3CBC" w14:textId="398E7F4C" w:rsidR="0064599C" w:rsidRPr="00A95C35" w:rsidRDefault="0064599C" w:rsidP="00C55CAB">
            <w:pPr>
              <w:jc w:val="right"/>
              <w:rPr>
                <w:rFonts w:ascii="Arial" w:hAnsi="Arial"/>
                <w:sz w:val="20"/>
              </w:rPr>
            </w:pPr>
          </w:p>
        </w:tc>
        <w:tc>
          <w:tcPr>
            <w:tcW w:w="1034" w:type="pct"/>
            <w:tcBorders>
              <w:top w:val="single" w:sz="4" w:space="0" w:color="auto"/>
              <w:left w:val="single" w:sz="4" w:space="0" w:color="auto"/>
              <w:bottom w:val="single" w:sz="4" w:space="0" w:color="auto"/>
              <w:right w:val="single" w:sz="4" w:space="0" w:color="auto"/>
            </w:tcBorders>
          </w:tcPr>
          <w:p w14:paraId="2D1DF37E" w14:textId="115E8B09" w:rsidR="0064599C" w:rsidRPr="00A95C35" w:rsidRDefault="0064599C" w:rsidP="00EA52D5">
            <w:pPr>
              <w:rPr>
                <w:rFonts w:ascii="Arial" w:hAnsi="Arial" w:cs="Arial"/>
                <w:sz w:val="18"/>
                <w:szCs w:val="18"/>
              </w:rPr>
            </w:pPr>
            <w:r w:rsidRPr="00A95C35">
              <w:rPr>
                <w:rFonts w:ascii="Arial" w:hAnsi="Arial" w:cs="Arial"/>
                <w:sz w:val="18"/>
                <w:szCs w:val="18"/>
              </w:rPr>
              <w:t>Probability</w:t>
            </w:r>
          </w:p>
        </w:tc>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FD14F" w14:textId="521919EB" w:rsidR="0064599C" w:rsidRPr="00A95C35" w:rsidRDefault="0064599C" w:rsidP="002D7F37">
            <w:pPr>
              <w:rPr>
                <w:rFonts w:ascii="Arial" w:hAnsi="Arial"/>
                <w:sz w:val="18"/>
                <w:szCs w:val="18"/>
              </w:rPr>
            </w:pPr>
            <w:r w:rsidRPr="00A95C35">
              <w:rPr>
                <w:rFonts w:ascii="Arial" w:hAnsi="Arial" w:cs="Arial"/>
                <w:iCs/>
                <w:sz w:val="18"/>
                <w:szCs w:val="18"/>
              </w:rPr>
              <w:t>&lt;</w:t>
            </w:r>
            <w:r w:rsidRPr="00A95C35">
              <w:rPr>
                <w:rFonts w:ascii="Arial" w:hAnsi="Arial"/>
                <w:sz w:val="18"/>
                <w:szCs w:val="18"/>
              </w:rPr>
              <w:t>0.</w:t>
            </w:r>
            <w:r w:rsidRPr="00A95C35">
              <w:rPr>
                <w:rFonts w:ascii="Arial" w:hAnsi="Arial" w:cs="Arial"/>
                <w:iCs/>
                <w:sz w:val="18"/>
                <w:szCs w:val="18"/>
              </w:rPr>
              <w:t>0001</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DBBD0" w14:textId="3A8E8E9C" w:rsidR="0064599C" w:rsidRPr="00A95C35" w:rsidRDefault="0064599C" w:rsidP="002D7F37">
            <w:pPr>
              <w:rPr>
                <w:rFonts w:ascii="Arial" w:hAnsi="Arial"/>
                <w:sz w:val="18"/>
                <w:szCs w:val="18"/>
              </w:rPr>
            </w:pPr>
            <w:r w:rsidRPr="00A95C35">
              <w:rPr>
                <w:rFonts w:ascii="Arial" w:hAnsi="Arial"/>
                <w:sz w:val="18"/>
                <w:szCs w:val="18"/>
              </w:rPr>
              <w:t>0.</w:t>
            </w:r>
            <w:r w:rsidRPr="00A95C35">
              <w:rPr>
                <w:rFonts w:ascii="Arial" w:hAnsi="Arial" w:cs="Arial"/>
                <w:iCs/>
                <w:sz w:val="18"/>
                <w:szCs w:val="18"/>
              </w:rPr>
              <w:t>01</w:t>
            </w:r>
            <w:r w:rsidR="00E83A8D" w:rsidRPr="00A95C35">
              <w:rPr>
                <w:rFonts w:ascii="Arial" w:hAnsi="Arial" w:cs="Arial"/>
                <w:iCs/>
                <w:sz w:val="18"/>
                <w:szCs w:val="18"/>
              </w:rPr>
              <w:t>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AD4A1" w14:textId="72BC2AD6" w:rsidR="0064599C" w:rsidRPr="00A95C35" w:rsidRDefault="0064599C" w:rsidP="002D7F37">
            <w:pPr>
              <w:rPr>
                <w:rFonts w:ascii="Arial" w:hAnsi="Arial"/>
                <w:sz w:val="18"/>
                <w:szCs w:val="18"/>
              </w:rPr>
            </w:pPr>
            <w:r w:rsidRPr="00A95C35">
              <w:rPr>
                <w:rFonts w:ascii="Arial" w:hAnsi="Arial"/>
                <w:sz w:val="18"/>
                <w:szCs w:val="18"/>
              </w:rPr>
              <w:t>0.</w:t>
            </w:r>
            <w:r w:rsidRPr="00A95C35">
              <w:rPr>
                <w:rFonts w:ascii="Arial" w:hAnsi="Arial" w:cs="Arial"/>
                <w:iCs/>
                <w:sz w:val="18"/>
                <w:szCs w:val="18"/>
              </w:rPr>
              <w:t>1117</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C1BED" w14:textId="7683E87F" w:rsidR="0064599C" w:rsidRPr="00A95C35" w:rsidRDefault="0064599C" w:rsidP="002D7F37">
            <w:pPr>
              <w:rPr>
                <w:rFonts w:ascii="Arial" w:hAnsi="Arial" w:cs="Arial"/>
                <w:sz w:val="18"/>
                <w:szCs w:val="18"/>
              </w:rPr>
            </w:pPr>
            <w:r w:rsidRPr="00A95C35">
              <w:rPr>
                <w:rFonts w:ascii="Arial" w:hAnsi="Arial" w:cs="Arial"/>
                <w:sz w:val="18"/>
                <w:szCs w:val="18"/>
              </w:rPr>
              <w:t>0.3421</w:t>
            </w:r>
          </w:p>
        </w:tc>
        <w:tc>
          <w:tcPr>
            <w:tcW w:w="9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4A3A4" w14:textId="435603FE" w:rsidR="0064599C" w:rsidRPr="00A95C35" w:rsidRDefault="0064599C" w:rsidP="002D7F37">
            <w:pPr>
              <w:rPr>
                <w:rFonts w:ascii="Arial" w:hAnsi="Arial"/>
                <w:sz w:val="18"/>
                <w:szCs w:val="18"/>
              </w:rPr>
            </w:pPr>
            <w:r w:rsidRPr="00A95C35">
              <w:rPr>
                <w:rFonts w:ascii="Arial" w:hAnsi="Arial" w:cs="Arial"/>
                <w:iCs/>
                <w:sz w:val="18"/>
                <w:szCs w:val="18"/>
              </w:rPr>
              <w:t>0.7525</w:t>
            </w:r>
          </w:p>
        </w:tc>
      </w:tr>
    </w:tbl>
    <w:p w14:paraId="15D52108" w14:textId="3FBE90F0" w:rsidR="00D3014C" w:rsidRPr="00D3527D" w:rsidRDefault="00D3014C" w:rsidP="002D7F37">
      <w:pPr>
        <w:spacing w:before="60"/>
        <w:rPr>
          <w:rFonts w:ascii="Arial" w:hAnsi="Arial"/>
          <w:sz w:val="16"/>
        </w:rPr>
      </w:pPr>
      <w:r w:rsidRPr="00A95C35">
        <w:rPr>
          <w:rFonts w:ascii="Arial" w:hAnsi="Arial"/>
          <w:sz w:val="16"/>
        </w:rPr>
        <w:t>SOURCE: U.S. Department of Education, National Center for Education Statistics. High School Longitudinal Study of 2009 (HSLS</w:t>
      </w:r>
      <w:proofErr w:type="gramStart"/>
      <w:r w:rsidRPr="00A95C35">
        <w:rPr>
          <w:rFonts w:ascii="Arial" w:hAnsi="Arial"/>
          <w:sz w:val="16"/>
        </w:rPr>
        <w:t>:09</w:t>
      </w:r>
      <w:proofErr w:type="gramEnd"/>
      <w:r w:rsidRPr="00A95C35">
        <w:rPr>
          <w:rFonts w:ascii="Arial" w:hAnsi="Arial"/>
          <w:sz w:val="16"/>
        </w:rPr>
        <w:t>) Second Follow-up Main Study.</w:t>
      </w:r>
    </w:p>
    <w:p w14:paraId="2D67530B" w14:textId="0A6AAF43" w:rsidR="00D3014C" w:rsidRPr="00D3527D" w:rsidRDefault="00D3014C" w:rsidP="00D3014C">
      <w:pPr>
        <w:rPr>
          <w:rFonts w:ascii="Arial" w:hAnsi="Arial"/>
          <w:sz w:val="16"/>
        </w:rPr>
      </w:pPr>
    </w:p>
    <w:sectPr w:rsidR="00D3014C" w:rsidRPr="00D3527D" w:rsidSect="00FD080F">
      <w:headerReference w:type="even" r:id="rId12"/>
      <w:footerReference w:type="default" r:id="rId13"/>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F813D" w14:textId="77777777" w:rsidR="00A95C35" w:rsidRDefault="00A95C35">
      <w:r>
        <w:separator/>
      </w:r>
    </w:p>
  </w:endnote>
  <w:endnote w:type="continuationSeparator" w:id="0">
    <w:p w14:paraId="09D082D1" w14:textId="77777777" w:rsidR="00A95C35" w:rsidRDefault="00A95C35">
      <w:r>
        <w:continuationSeparator/>
      </w:r>
    </w:p>
  </w:endnote>
  <w:endnote w:type="continuationNotice" w:id="1">
    <w:p w14:paraId="355889DE" w14:textId="77777777" w:rsidR="00A95C35" w:rsidRDefault="00A95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A95C35" w:rsidRDefault="00A95C35">
        <w:pPr>
          <w:pStyle w:val="Footer"/>
          <w:jc w:val="center"/>
        </w:pPr>
        <w:r>
          <w:fldChar w:fldCharType="begin"/>
        </w:r>
        <w:r>
          <w:instrText xml:space="preserve"> PAGE   \* MERGEFORMAT </w:instrText>
        </w:r>
        <w:r>
          <w:fldChar w:fldCharType="separate"/>
        </w:r>
        <w:r w:rsidR="00FD080F">
          <w:rPr>
            <w:noProof/>
          </w:rPr>
          <w:t>2</w:t>
        </w:r>
        <w:r>
          <w:rPr>
            <w:noProof/>
          </w:rPr>
          <w:fldChar w:fldCharType="end"/>
        </w:r>
      </w:p>
    </w:sdtContent>
  </w:sdt>
  <w:p w14:paraId="4E522FBF" w14:textId="5858BCA6" w:rsidR="00A95C35" w:rsidRDefault="00A95C3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4C5ED" w14:textId="77777777" w:rsidR="00A95C35" w:rsidRDefault="00A95C35">
      <w:r>
        <w:separator/>
      </w:r>
    </w:p>
  </w:footnote>
  <w:footnote w:type="continuationSeparator" w:id="0">
    <w:p w14:paraId="10D2009E" w14:textId="77777777" w:rsidR="00A95C35" w:rsidRDefault="00A95C35">
      <w:r>
        <w:continuationSeparator/>
      </w:r>
    </w:p>
  </w:footnote>
  <w:footnote w:type="continuationNotice" w:id="1">
    <w:p w14:paraId="26722398" w14:textId="77777777" w:rsidR="00A95C35" w:rsidRDefault="00A95C35"/>
  </w:footnote>
  <w:footnote w:id="2">
    <w:p w14:paraId="32044633" w14:textId="4FB9B53E" w:rsidR="00A95C35" w:rsidRDefault="00A95C35">
      <w:pPr>
        <w:pStyle w:val="FootnoteText"/>
      </w:pPr>
      <w:r>
        <w:rPr>
          <w:rStyle w:val="FootnoteReference"/>
        </w:rPr>
        <w:footnoteRef/>
      </w:r>
      <w:r>
        <w:t xml:space="preserve"> Note that in Attachment 1, the subgroups are labeled as 1, 2, and 3 rather than A, B, and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A95C35" w:rsidRDefault="00A95C35">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F15"/>
    <w:multiLevelType w:val="hybridMultilevel"/>
    <w:tmpl w:val="28C6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52F13"/>
    <w:multiLevelType w:val="hybridMultilevel"/>
    <w:tmpl w:val="4B86B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41AEA"/>
    <w:multiLevelType w:val="hybridMultilevel"/>
    <w:tmpl w:val="A6A22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6F6557"/>
    <w:multiLevelType w:val="hybridMultilevel"/>
    <w:tmpl w:val="122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DB6B6A"/>
    <w:multiLevelType w:val="hybridMultilevel"/>
    <w:tmpl w:val="36C8EF50"/>
    <w:lvl w:ilvl="0" w:tplc="60F61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0">
    <w:nsid w:val="39703200"/>
    <w:multiLevelType w:val="hybridMultilevel"/>
    <w:tmpl w:val="B958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D53CE"/>
    <w:multiLevelType w:val="hybridMultilevel"/>
    <w:tmpl w:val="B442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10566FC"/>
    <w:multiLevelType w:val="hybridMultilevel"/>
    <w:tmpl w:val="44B2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5C340915"/>
    <w:multiLevelType w:val="hybridMultilevel"/>
    <w:tmpl w:val="244A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EA79E1"/>
    <w:multiLevelType w:val="hybridMultilevel"/>
    <w:tmpl w:val="F1E0CA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2"/>
  </w:num>
  <w:num w:numId="3">
    <w:abstractNumId w:val="4"/>
  </w:num>
  <w:num w:numId="4">
    <w:abstractNumId w:val="16"/>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15"/>
  </w:num>
  <w:num w:numId="10">
    <w:abstractNumId w:val="0"/>
  </w:num>
  <w:num w:numId="11">
    <w:abstractNumId w:val="1"/>
  </w:num>
  <w:num w:numId="12">
    <w:abstractNumId w:val="2"/>
  </w:num>
  <w:num w:numId="13">
    <w:abstractNumId w:val="13"/>
  </w:num>
  <w:num w:numId="14">
    <w:abstractNumId w:val="9"/>
  </w:num>
  <w:num w:numId="15">
    <w:abstractNumId w:val="11"/>
  </w:num>
  <w:num w:numId="16">
    <w:abstractNumId w:val="10"/>
  </w:num>
  <w:num w:numId="17">
    <w:abstractNumId w:val="5"/>
  </w:num>
  <w:num w:numId="18">
    <w:abstractNumId w:val="18"/>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237B6"/>
    <w:rsid w:val="00026D24"/>
    <w:rsid w:val="00034BCE"/>
    <w:rsid w:val="00041DBD"/>
    <w:rsid w:val="00043BAF"/>
    <w:rsid w:val="000520EB"/>
    <w:rsid w:val="0005249A"/>
    <w:rsid w:val="00054505"/>
    <w:rsid w:val="0005595A"/>
    <w:rsid w:val="0006440F"/>
    <w:rsid w:val="000650B2"/>
    <w:rsid w:val="00071633"/>
    <w:rsid w:val="00075654"/>
    <w:rsid w:val="0007600F"/>
    <w:rsid w:val="00081A1A"/>
    <w:rsid w:val="0008530A"/>
    <w:rsid w:val="00085D18"/>
    <w:rsid w:val="00086510"/>
    <w:rsid w:val="00087219"/>
    <w:rsid w:val="000A2EB9"/>
    <w:rsid w:val="000A64CB"/>
    <w:rsid w:val="000A65A0"/>
    <w:rsid w:val="000B0168"/>
    <w:rsid w:val="000B3F93"/>
    <w:rsid w:val="000D00E3"/>
    <w:rsid w:val="000D2D03"/>
    <w:rsid w:val="000D740B"/>
    <w:rsid w:val="000E3482"/>
    <w:rsid w:val="000E3EE7"/>
    <w:rsid w:val="000E6B74"/>
    <w:rsid w:val="000F1D53"/>
    <w:rsid w:val="0010095E"/>
    <w:rsid w:val="001022E0"/>
    <w:rsid w:val="0011040D"/>
    <w:rsid w:val="001107AC"/>
    <w:rsid w:val="00120E05"/>
    <w:rsid w:val="00134806"/>
    <w:rsid w:val="00146B69"/>
    <w:rsid w:val="001502A3"/>
    <w:rsid w:val="00150A36"/>
    <w:rsid w:val="00156F2C"/>
    <w:rsid w:val="001618B3"/>
    <w:rsid w:val="00164B62"/>
    <w:rsid w:val="00174A49"/>
    <w:rsid w:val="0019187E"/>
    <w:rsid w:val="001A0238"/>
    <w:rsid w:val="001A269D"/>
    <w:rsid w:val="001A60C7"/>
    <w:rsid w:val="001A7C89"/>
    <w:rsid w:val="001B15CB"/>
    <w:rsid w:val="001B6BD2"/>
    <w:rsid w:val="001B7ECC"/>
    <w:rsid w:val="001C2531"/>
    <w:rsid w:val="001C443B"/>
    <w:rsid w:val="001C4FA2"/>
    <w:rsid w:val="001D0B88"/>
    <w:rsid w:val="001D48CF"/>
    <w:rsid w:val="001D5696"/>
    <w:rsid w:val="001E3C6D"/>
    <w:rsid w:val="001F4030"/>
    <w:rsid w:val="001F7E7E"/>
    <w:rsid w:val="002007C9"/>
    <w:rsid w:val="002008EF"/>
    <w:rsid w:val="00201B4E"/>
    <w:rsid w:val="00204DC8"/>
    <w:rsid w:val="00204EC3"/>
    <w:rsid w:val="0020523C"/>
    <w:rsid w:val="00215302"/>
    <w:rsid w:val="002265C8"/>
    <w:rsid w:val="0022784E"/>
    <w:rsid w:val="002305F8"/>
    <w:rsid w:val="002312D7"/>
    <w:rsid w:val="00241713"/>
    <w:rsid w:val="0025009B"/>
    <w:rsid w:val="002526C7"/>
    <w:rsid w:val="00263498"/>
    <w:rsid w:val="00267F0C"/>
    <w:rsid w:val="002717E7"/>
    <w:rsid w:val="00276F00"/>
    <w:rsid w:val="002968A9"/>
    <w:rsid w:val="00296BF9"/>
    <w:rsid w:val="002A32B5"/>
    <w:rsid w:val="002A3CB7"/>
    <w:rsid w:val="002B3840"/>
    <w:rsid w:val="002B665B"/>
    <w:rsid w:val="002C18AE"/>
    <w:rsid w:val="002C3312"/>
    <w:rsid w:val="002D7224"/>
    <w:rsid w:val="002D7F37"/>
    <w:rsid w:val="002E1919"/>
    <w:rsid w:val="002E5E18"/>
    <w:rsid w:val="002E6593"/>
    <w:rsid w:val="002F059C"/>
    <w:rsid w:val="002F4659"/>
    <w:rsid w:val="003029B7"/>
    <w:rsid w:val="003051F0"/>
    <w:rsid w:val="003200C7"/>
    <w:rsid w:val="00324044"/>
    <w:rsid w:val="003308B7"/>
    <w:rsid w:val="00332A11"/>
    <w:rsid w:val="00335504"/>
    <w:rsid w:val="00344A28"/>
    <w:rsid w:val="003479C8"/>
    <w:rsid w:val="00355F38"/>
    <w:rsid w:val="00363842"/>
    <w:rsid w:val="003805C1"/>
    <w:rsid w:val="00383320"/>
    <w:rsid w:val="00384346"/>
    <w:rsid w:val="00386497"/>
    <w:rsid w:val="003A2D62"/>
    <w:rsid w:val="003A797A"/>
    <w:rsid w:val="003B1A71"/>
    <w:rsid w:val="003B36CE"/>
    <w:rsid w:val="003C6FF3"/>
    <w:rsid w:val="003D0EE1"/>
    <w:rsid w:val="003D4730"/>
    <w:rsid w:val="003D5E60"/>
    <w:rsid w:val="003D737C"/>
    <w:rsid w:val="003E7348"/>
    <w:rsid w:val="003F14B1"/>
    <w:rsid w:val="003F4077"/>
    <w:rsid w:val="003F4DB8"/>
    <w:rsid w:val="003F6EF4"/>
    <w:rsid w:val="00404267"/>
    <w:rsid w:val="00410846"/>
    <w:rsid w:val="00416CCB"/>
    <w:rsid w:val="00421D9B"/>
    <w:rsid w:val="00423961"/>
    <w:rsid w:val="00426EBB"/>
    <w:rsid w:val="00433F7B"/>
    <w:rsid w:val="00450CC6"/>
    <w:rsid w:val="00463F87"/>
    <w:rsid w:val="00464456"/>
    <w:rsid w:val="00473DB3"/>
    <w:rsid w:val="004770ED"/>
    <w:rsid w:val="00482476"/>
    <w:rsid w:val="004862BB"/>
    <w:rsid w:val="0048745F"/>
    <w:rsid w:val="0048758A"/>
    <w:rsid w:val="004961A0"/>
    <w:rsid w:val="004974C5"/>
    <w:rsid w:val="004A25B4"/>
    <w:rsid w:val="004C1457"/>
    <w:rsid w:val="004C4CBD"/>
    <w:rsid w:val="004C730D"/>
    <w:rsid w:val="004D2FA4"/>
    <w:rsid w:val="004E0012"/>
    <w:rsid w:val="004E366D"/>
    <w:rsid w:val="004F3308"/>
    <w:rsid w:val="004F373B"/>
    <w:rsid w:val="004F4D11"/>
    <w:rsid w:val="004F6A0B"/>
    <w:rsid w:val="00510645"/>
    <w:rsid w:val="00524287"/>
    <w:rsid w:val="00524385"/>
    <w:rsid w:val="00525932"/>
    <w:rsid w:val="00532594"/>
    <w:rsid w:val="00532758"/>
    <w:rsid w:val="00534700"/>
    <w:rsid w:val="00536DEA"/>
    <w:rsid w:val="00540294"/>
    <w:rsid w:val="005472FC"/>
    <w:rsid w:val="00562224"/>
    <w:rsid w:val="005703D8"/>
    <w:rsid w:val="005742B4"/>
    <w:rsid w:val="0057478E"/>
    <w:rsid w:val="005767ED"/>
    <w:rsid w:val="005779C8"/>
    <w:rsid w:val="00584B04"/>
    <w:rsid w:val="00591368"/>
    <w:rsid w:val="005966E0"/>
    <w:rsid w:val="005A04EC"/>
    <w:rsid w:val="005A13AF"/>
    <w:rsid w:val="005A6173"/>
    <w:rsid w:val="005B0D6F"/>
    <w:rsid w:val="005C2E26"/>
    <w:rsid w:val="005F499A"/>
    <w:rsid w:val="005F7402"/>
    <w:rsid w:val="00602EA4"/>
    <w:rsid w:val="006056BC"/>
    <w:rsid w:val="00606621"/>
    <w:rsid w:val="00606EDA"/>
    <w:rsid w:val="00611991"/>
    <w:rsid w:val="006219D2"/>
    <w:rsid w:val="0062790F"/>
    <w:rsid w:val="00627E50"/>
    <w:rsid w:val="00633C76"/>
    <w:rsid w:val="00642580"/>
    <w:rsid w:val="0064599C"/>
    <w:rsid w:val="00650E68"/>
    <w:rsid w:val="00656B8E"/>
    <w:rsid w:val="006852AD"/>
    <w:rsid w:val="00687548"/>
    <w:rsid w:val="00696340"/>
    <w:rsid w:val="006A1613"/>
    <w:rsid w:val="006A3425"/>
    <w:rsid w:val="006B1269"/>
    <w:rsid w:val="006B787D"/>
    <w:rsid w:val="006C2929"/>
    <w:rsid w:val="006C4B87"/>
    <w:rsid w:val="006C6733"/>
    <w:rsid w:val="006E02B4"/>
    <w:rsid w:val="006E0A9E"/>
    <w:rsid w:val="006E292A"/>
    <w:rsid w:val="006F605E"/>
    <w:rsid w:val="007054CC"/>
    <w:rsid w:val="00706349"/>
    <w:rsid w:val="00711D1A"/>
    <w:rsid w:val="00713704"/>
    <w:rsid w:val="00715D8F"/>
    <w:rsid w:val="00717268"/>
    <w:rsid w:val="00724ADF"/>
    <w:rsid w:val="00726185"/>
    <w:rsid w:val="00735F3E"/>
    <w:rsid w:val="00736CA1"/>
    <w:rsid w:val="00737E25"/>
    <w:rsid w:val="007451A6"/>
    <w:rsid w:val="007517A3"/>
    <w:rsid w:val="00760990"/>
    <w:rsid w:val="00760CD9"/>
    <w:rsid w:val="0076259A"/>
    <w:rsid w:val="00763E2A"/>
    <w:rsid w:val="007664E6"/>
    <w:rsid w:val="00770A91"/>
    <w:rsid w:val="0077427A"/>
    <w:rsid w:val="00781B23"/>
    <w:rsid w:val="00783191"/>
    <w:rsid w:val="007978E6"/>
    <w:rsid w:val="007A035A"/>
    <w:rsid w:val="007A10B5"/>
    <w:rsid w:val="007A2F9B"/>
    <w:rsid w:val="007B1682"/>
    <w:rsid w:val="007B22AF"/>
    <w:rsid w:val="007B541A"/>
    <w:rsid w:val="007B7257"/>
    <w:rsid w:val="007C4E0F"/>
    <w:rsid w:val="007C6FC7"/>
    <w:rsid w:val="007C73ED"/>
    <w:rsid w:val="007D2586"/>
    <w:rsid w:val="007D517B"/>
    <w:rsid w:val="007D637B"/>
    <w:rsid w:val="007D64A0"/>
    <w:rsid w:val="007E68D0"/>
    <w:rsid w:val="007E69AE"/>
    <w:rsid w:val="008027A9"/>
    <w:rsid w:val="00805799"/>
    <w:rsid w:val="008111EC"/>
    <w:rsid w:val="00812345"/>
    <w:rsid w:val="00812778"/>
    <w:rsid w:val="0081647D"/>
    <w:rsid w:val="008210EE"/>
    <w:rsid w:val="008251CC"/>
    <w:rsid w:val="00833193"/>
    <w:rsid w:val="008412D6"/>
    <w:rsid w:val="00841D7F"/>
    <w:rsid w:val="0084372C"/>
    <w:rsid w:val="0084454C"/>
    <w:rsid w:val="00850AAE"/>
    <w:rsid w:val="008559CA"/>
    <w:rsid w:val="008562D9"/>
    <w:rsid w:val="00860449"/>
    <w:rsid w:val="00867CAE"/>
    <w:rsid w:val="0087130D"/>
    <w:rsid w:val="00876579"/>
    <w:rsid w:val="00881396"/>
    <w:rsid w:val="00883F68"/>
    <w:rsid w:val="0089162D"/>
    <w:rsid w:val="0089658D"/>
    <w:rsid w:val="00897DF7"/>
    <w:rsid w:val="008A023A"/>
    <w:rsid w:val="008A7CE5"/>
    <w:rsid w:val="008E34D2"/>
    <w:rsid w:val="008F3E6E"/>
    <w:rsid w:val="008F77D6"/>
    <w:rsid w:val="00900196"/>
    <w:rsid w:val="00900919"/>
    <w:rsid w:val="009051BA"/>
    <w:rsid w:val="00905A84"/>
    <w:rsid w:val="00905C1F"/>
    <w:rsid w:val="009104AD"/>
    <w:rsid w:val="0091161A"/>
    <w:rsid w:val="00920369"/>
    <w:rsid w:val="00921113"/>
    <w:rsid w:val="009271E1"/>
    <w:rsid w:val="009329EC"/>
    <w:rsid w:val="0094072D"/>
    <w:rsid w:val="00954A86"/>
    <w:rsid w:val="00955759"/>
    <w:rsid w:val="00961E2D"/>
    <w:rsid w:val="00970A9E"/>
    <w:rsid w:val="00973AEC"/>
    <w:rsid w:val="009757ED"/>
    <w:rsid w:val="009A16A9"/>
    <w:rsid w:val="009A1FEF"/>
    <w:rsid w:val="009A5A10"/>
    <w:rsid w:val="009A6863"/>
    <w:rsid w:val="009A6F75"/>
    <w:rsid w:val="009B0AEC"/>
    <w:rsid w:val="009B4A44"/>
    <w:rsid w:val="009C4893"/>
    <w:rsid w:val="009D23A9"/>
    <w:rsid w:val="009D5B14"/>
    <w:rsid w:val="009E06C0"/>
    <w:rsid w:val="009E7F49"/>
    <w:rsid w:val="009F504E"/>
    <w:rsid w:val="00A01190"/>
    <w:rsid w:val="00A104D5"/>
    <w:rsid w:val="00A14445"/>
    <w:rsid w:val="00A20F68"/>
    <w:rsid w:val="00A24A66"/>
    <w:rsid w:val="00A27030"/>
    <w:rsid w:val="00A47692"/>
    <w:rsid w:val="00A47FD7"/>
    <w:rsid w:val="00A54EBE"/>
    <w:rsid w:val="00A5639F"/>
    <w:rsid w:val="00A7338B"/>
    <w:rsid w:val="00A74B90"/>
    <w:rsid w:val="00A75303"/>
    <w:rsid w:val="00A7716F"/>
    <w:rsid w:val="00A77AFB"/>
    <w:rsid w:val="00A857B6"/>
    <w:rsid w:val="00A95C35"/>
    <w:rsid w:val="00A963BC"/>
    <w:rsid w:val="00AB165B"/>
    <w:rsid w:val="00AB72F9"/>
    <w:rsid w:val="00AC1706"/>
    <w:rsid w:val="00AC42BD"/>
    <w:rsid w:val="00AD6427"/>
    <w:rsid w:val="00AE20C8"/>
    <w:rsid w:val="00AE4148"/>
    <w:rsid w:val="00AE47B5"/>
    <w:rsid w:val="00AE7E1E"/>
    <w:rsid w:val="00AF45BB"/>
    <w:rsid w:val="00B034B6"/>
    <w:rsid w:val="00B2664A"/>
    <w:rsid w:val="00B26977"/>
    <w:rsid w:val="00B30CEF"/>
    <w:rsid w:val="00B33C7F"/>
    <w:rsid w:val="00B42518"/>
    <w:rsid w:val="00B43076"/>
    <w:rsid w:val="00B452EF"/>
    <w:rsid w:val="00B52FB6"/>
    <w:rsid w:val="00B6159B"/>
    <w:rsid w:val="00B70610"/>
    <w:rsid w:val="00B909A2"/>
    <w:rsid w:val="00B93AB5"/>
    <w:rsid w:val="00B95A8E"/>
    <w:rsid w:val="00B9753D"/>
    <w:rsid w:val="00BA21ED"/>
    <w:rsid w:val="00BA4CD1"/>
    <w:rsid w:val="00BB2467"/>
    <w:rsid w:val="00BD2A45"/>
    <w:rsid w:val="00BD7A89"/>
    <w:rsid w:val="00BE11F5"/>
    <w:rsid w:val="00BE14C6"/>
    <w:rsid w:val="00BE400B"/>
    <w:rsid w:val="00BE526A"/>
    <w:rsid w:val="00C037FF"/>
    <w:rsid w:val="00C1044C"/>
    <w:rsid w:val="00C2153D"/>
    <w:rsid w:val="00C24AAB"/>
    <w:rsid w:val="00C2639F"/>
    <w:rsid w:val="00C311CF"/>
    <w:rsid w:val="00C32AF0"/>
    <w:rsid w:val="00C36A1E"/>
    <w:rsid w:val="00C40B43"/>
    <w:rsid w:val="00C436F5"/>
    <w:rsid w:val="00C46BC0"/>
    <w:rsid w:val="00C55CAB"/>
    <w:rsid w:val="00C56A4A"/>
    <w:rsid w:val="00C64734"/>
    <w:rsid w:val="00C707D1"/>
    <w:rsid w:val="00C729FA"/>
    <w:rsid w:val="00C749F7"/>
    <w:rsid w:val="00C8430A"/>
    <w:rsid w:val="00CA190D"/>
    <w:rsid w:val="00CA712C"/>
    <w:rsid w:val="00CA754B"/>
    <w:rsid w:val="00CA7D9A"/>
    <w:rsid w:val="00CC5C68"/>
    <w:rsid w:val="00CD4E94"/>
    <w:rsid w:val="00CD513B"/>
    <w:rsid w:val="00CE19E9"/>
    <w:rsid w:val="00CE7988"/>
    <w:rsid w:val="00CF140A"/>
    <w:rsid w:val="00CF418E"/>
    <w:rsid w:val="00CF7CCF"/>
    <w:rsid w:val="00D011E4"/>
    <w:rsid w:val="00D018C6"/>
    <w:rsid w:val="00D07FA6"/>
    <w:rsid w:val="00D10131"/>
    <w:rsid w:val="00D1192E"/>
    <w:rsid w:val="00D24D0D"/>
    <w:rsid w:val="00D2509B"/>
    <w:rsid w:val="00D3014C"/>
    <w:rsid w:val="00D323D0"/>
    <w:rsid w:val="00D3527D"/>
    <w:rsid w:val="00D41CAA"/>
    <w:rsid w:val="00D46398"/>
    <w:rsid w:val="00D51340"/>
    <w:rsid w:val="00D55096"/>
    <w:rsid w:val="00D5570C"/>
    <w:rsid w:val="00D574CE"/>
    <w:rsid w:val="00D615B8"/>
    <w:rsid w:val="00D7644A"/>
    <w:rsid w:val="00D81FC1"/>
    <w:rsid w:val="00D8492D"/>
    <w:rsid w:val="00D90962"/>
    <w:rsid w:val="00D964E4"/>
    <w:rsid w:val="00D96B2D"/>
    <w:rsid w:val="00DA1673"/>
    <w:rsid w:val="00DB0B39"/>
    <w:rsid w:val="00DB3D44"/>
    <w:rsid w:val="00DB6394"/>
    <w:rsid w:val="00DB7C18"/>
    <w:rsid w:val="00DC738C"/>
    <w:rsid w:val="00DC77AA"/>
    <w:rsid w:val="00DD1B66"/>
    <w:rsid w:val="00DD2458"/>
    <w:rsid w:val="00DD3FFC"/>
    <w:rsid w:val="00DE39F0"/>
    <w:rsid w:val="00DE55BC"/>
    <w:rsid w:val="00DF4952"/>
    <w:rsid w:val="00DF6873"/>
    <w:rsid w:val="00E047BE"/>
    <w:rsid w:val="00E06602"/>
    <w:rsid w:val="00E07688"/>
    <w:rsid w:val="00E0786F"/>
    <w:rsid w:val="00E12822"/>
    <w:rsid w:val="00E1424D"/>
    <w:rsid w:val="00E1456F"/>
    <w:rsid w:val="00E2062A"/>
    <w:rsid w:val="00E20802"/>
    <w:rsid w:val="00E237BA"/>
    <w:rsid w:val="00E2391B"/>
    <w:rsid w:val="00E32E16"/>
    <w:rsid w:val="00E54656"/>
    <w:rsid w:val="00E56FFB"/>
    <w:rsid w:val="00E77498"/>
    <w:rsid w:val="00E82959"/>
    <w:rsid w:val="00E83A8D"/>
    <w:rsid w:val="00E852AF"/>
    <w:rsid w:val="00E92D07"/>
    <w:rsid w:val="00E95109"/>
    <w:rsid w:val="00EA4F96"/>
    <w:rsid w:val="00EA52D5"/>
    <w:rsid w:val="00EB0F89"/>
    <w:rsid w:val="00EB1D0F"/>
    <w:rsid w:val="00EB7058"/>
    <w:rsid w:val="00EC0068"/>
    <w:rsid w:val="00EC312D"/>
    <w:rsid w:val="00EC4172"/>
    <w:rsid w:val="00EC7658"/>
    <w:rsid w:val="00EE0269"/>
    <w:rsid w:val="00EF0525"/>
    <w:rsid w:val="00EF0887"/>
    <w:rsid w:val="00EF1C3E"/>
    <w:rsid w:val="00EF1D7D"/>
    <w:rsid w:val="00EF2EC7"/>
    <w:rsid w:val="00F07F99"/>
    <w:rsid w:val="00F11A5F"/>
    <w:rsid w:val="00F1251E"/>
    <w:rsid w:val="00F23426"/>
    <w:rsid w:val="00F2558D"/>
    <w:rsid w:val="00F33B51"/>
    <w:rsid w:val="00F354F7"/>
    <w:rsid w:val="00F43220"/>
    <w:rsid w:val="00F516BD"/>
    <w:rsid w:val="00F62981"/>
    <w:rsid w:val="00F6376D"/>
    <w:rsid w:val="00F63E5C"/>
    <w:rsid w:val="00F65EBC"/>
    <w:rsid w:val="00F7318B"/>
    <w:rsid w:val="00F754E4"/>
    <w:rsid w:val="00F83547"/>
    <w:rsid w:val="00F83DE3"/>
    <w:rsid w:val="00F91716"/>
    <w:rsid w:val="00F91D72"/>
    <w:rsid w:val="00FA4ED2"/>
    <w:rsid w:val="00FB296D"/>
    <w:rsid w:val="00FC0F0E"/>
    <w:rsid w:val="00FD080F"/>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semiHidden/>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uiPriority w:val="99"/>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uiPriority w:val="99"/>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rsid w:val="004E0012"/>
    <w:pPr>
      <w:spacing w:after="240" w:line="320" w:lineRule="exact"/>
    </w:pPr>
  </w:style>
  <w:style w:type="character" w:customStyle="1" w:styleId="bodytextpsgChar">
    <w:name w:val="body text_psg Char"/>
    <w:basedOn w:val="DefaultParagraphFont"/>
    <w:link w:val="bodytextpsg"/>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styleId="NoSpacing">
    <w:name w:val="No Spacing"/>
    <w:uiPriority w:val="1"/>
    <w:qFormat/>
    <w:rsid w:val="006C2929"/>
    <w:rPr>
      <w:sz w:val="24"/>
      <w:szCs w:val="24"/>
    </w:rPr>
  </w:style>
  <w:style w:type="character" w:customStyle="1" w:styleId="ListParagraphChar">
    <w:name w:val="List Paragraph Char"/>
    <w:basedOn w:val="DefaultParagraphFont"/>
    <w:link w:val="ListParagraph"/>
    <w:uiPriority w:val="34"/>
    <w:locked/>
    <w:rsid w:val="00D3014C"/>
    <w:rPr>
      <w:rFonts w:ascii="Calibri" w:eastAsia="Calibri" w:hAnsi="Calibri"/>
      <w:sz w:val="22"/>
      <w:szCs w:val="22"/>
    </w:rPr>
  </w:style>
  <w:style w:type="paragraph" w:customStyle="1" w:styleId="ExhibitTitle">
    <w:name w:val="Exhibit Title"/>
    <w:next w:val="Normal"/>
    <w:link w:val="ExhibitTitleChar"/>
    <w:rsid w:val="00D3014C"/>
    <w:pPr>
      <w:keepNext/>
      <w:spacing w:before="240" w:after="120"/>
      <w:ind w:left="1440" w:hanging="1440"/>
    </w:pPr>
    <w:rPr>
      <w:b/>
      <w:sz w:val="24"/>
    </w:rPr>
  </w:style>
  <w:style w:type="paragraph" w:customStyle="1" w:styleId="Quick1">
    <w:name w:val="Quick 1."/>
    <w:basedOn w:val="Normal"/>
    <w:uiPriority w:val="99"/>
    <w:semiHidden/>
    <w:rsid w:val="00D3014C"/>
    <w:pPr>
      <w:widowControl w:val="0"/>
      <w:numPr>
        <w:numId w:val="14"/>
      </w:numPr>
      <w:tabs>
        <w:tab w:val="num" w:pos="1080"/>
      </w:tabs>
      <w:ind w:left="550" w:hanging="327"/>
    </w:pPr>
  </w:style>
  <w:style w:type="character" w:customStyle="1" w:styleId="ExhibitTitleChar">
    <w:name w:val="Exhibit Title Char"/>
    <w:basedOn w:val="DefaultParagraphFont"/>
    <w:link w:val="ExhibitTitle"/>
    <w:locked/>
    <w:rsid w:val="00D3014C"/>
    <w:rPr>
      <w:b/>
      <w:sz w:val="24"/>
    </w:rPr>
  </w:style>
  <w:style w:type="paragraph" w:customStyle="1" w:styleId="R-Pubs-Pres">
    <w:name w:val="R-Pubs-Pres"/>
    <w:basedOn w:val="Normal"/>
    <w:link w:val="R-Pubs-PresChar"/>
    <w:rsid w:val="00D3014C"/>
    <w:pPr>
      <w:keepLines/>
      <w:spacing w:after="220"/>
      <w:ind w:left="446" w:hanging="446"/>
    </w:pPr>
    <w:rPr>
      <w:sz w:val="22"/>
      <w:szCs w:val="20"/>
    </w:rPr>
  </w:style>
  <w:style w:type="character" w:customStyle="1" w:styleId="apple-converted-space">
    <w:name w:val="apple-converted-space"/>
    <w:rsid w:val="00D3014C"/>
  </w:style>
  <w:style w:type="character" w:customStyle="1" w:styleId="R-Pubs-PresChar">
    <w:name w:val="R-Pubs-Pres Char"/>
    <w:link w:val="R-Pubs-Pres"/>
    <w:rsid w:val="00D3014C"/>
    <w:rPr>
      <w:sz w:val="22"/>
    </w:rPr>
  </w:style>
  <w:style w:type="character" w:styleId="IntenseEmphasis">
    <w:name w:val="Intense Emphasis"/>
    <w:basedOn w:val="DefaultParagraphFont"/>
    <w:uiPriority w:val="21"/>
    <w:qFormat/>
    <w:rsid w:val="00D3014C"/>
    <w:rPr>
      <w:i/>
      <w:iCs/>
      <w:color w:val="4F81BD" w:themeColor="accent1"/>
    </w:rPr>
  </w:style>
  <w:style w:type="paragraph" w:styleId="IntenseQuote">
    <w:name w:val="Intense Quote"/>
    <w:basedOn w:val="Normal"/>
    <w:next w:val="Normal"/>
    <w:link w:val="IntenseQuoteChar"/>
    <w:uiPriority w:val="30"/>
    <w:qFormat/>
    <w:rsid w:val="00D3014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3014C"/>
    <w:rPr>
      <w:i/>
      <w:iCs/>
      <w:color w:val="4F81BD" w:themeColor="accent1"/>
      <w:sz w:val="24"/>
      <w:szCs w:val="24"/>
    </w:rPr>
  </w:style>
  <w:style w:type="character" w:styleId="PlaceholderText">
    <w:name w:val="Placeholder Text"/>
    <w:basedOn w:val="DefaultParagraphFont"/>
    <w:uiPriority w:val="99"/>
    <w:semiHidden/>
    <w:rsid w:val="007B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rtints14.rcc_nt.rti.org\hsls09\OMB\F2_OMB\F2_FS_DataCollectionPackage\Change-request-April-2016\Apr_28_charts_mb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49583475978547"/>
          <c:y val="3.6258760370861974E-2"/>
          <c:w val="0.8052788999201187"/>
          <c:h val="0.82665149515270142"/>
        </c:manualLayout>
      </c:layout>
      <c:barChart>
        <c:barDir val="bar"/>
        <c:grouping val="stacked"/>
        <c:varyColors val="0"/>
        <c:ser>
          <c:idx val="0"/>
          <c:order val="0"/>
          <c:spPr>
            <a:noFill/>
            <a:ln>
              <a:noFill/>
            </a:ln>
            <a:effectLst/>
          </c:spPr>
          <c:invertIfNegative val="0"/>
          <c:cat>
            <c:strRef>
              <c:f>Sheet1!$B$1:$C$1</c:f>
              <c:strCache>
                <c:ptCount val="2"/>
                <c:pt idx="0">
                  <c:v>Main sample</c:v>
                </c:pt>
                <c:pt idx="1">
                  <c:v>Calibration sample</c:v>
                </c:pt>
              </c:strCache>
            </c:strRef>
          </c:cat>
          <c:val>
            <c:numRef>
              <c:f>Sheet1!$B$2:$C$2</c:f>
              <c:numCache>
                <c:formatCode>General</c:formatCode>
                <c:ptCount val="2"/>
                <c:pt idx="0">
                  <c:v>49</c:v>
                </c:pt>
                <c:pt idx="1">
                  <c:v>0</c:v>
                </c:pt>
              </c:numCache>
            </c:numRef>
          </c:val>
        </c:ser>
        <c:ser>
          <c:idx val="1"/>
          <c:order val="1"/>
          <c:tx>
            <c:strRef>
              <c:f>Sheet1!$A$3</c:f>
              <c:strCache>
                <c:ptCount val="1"/>
                <c:pt idx="0">
                  <c:v>Web</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Sheet1!$B$3:$C$3</c:f>
              <c:numCache>
                <c:formatCode>General</c:formatCode>
                <c:ptCount val="2"/>
                <c:pt idx="0">
                  <c:v>21</c:v>
                </c:pt>
                <c:pt idx="1">
                  <c:v>21</c:v>
                </c:pt>
              </c:numCache>
            </c:numRef>
          </c:val>
        </c:ser>
        <c:ser>
          <c:idx val="2"/>
          <c:order val="2"/>
          <c:tx>
            <c:strRef>
              <c:f>Sheet1!$A$4</c:f>
              <c:strCache>
                <c:ptCount val="1"/>
                <c:pt idx="0">
                  <c:v>CATI</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Sheet1!$B$4:$C$4</c:f>
              <c:numCache>
                <c:formatCode>General</c:formatCode>
                <c:ptCount val="2"/>
                <c:pt idx="0">
                  <c:v>21</c:v>
                </c:pt>
                <c:pt idx="1">
                  <c:v>21</c:v>
                </c:pt>
              </c:numCache>
            </c:numRef>
          </c:val>
        </c:ser>
        <c:ser>
          <c:idx val="3"/>
          <c:order val="3"/>
          <c:tx>
            <c:strRef>
              <c:f>Sheet1!$A$5</c:f>
              <c:strCache>
                <c:ptCount val="1"/>
                <c:pt idx="0">
                  <c:v>Boost 1</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Sheet1!$B$5:$C$5</c:f>
              <c:numCache>
                <c:formatCode>General</c:formatCode>
                <c:ptCount val="2"/>
                <c:pt idx="0">
                  <c:v>49</c:v>
                </c:pt>
                <c:pt idx="1">
                  <c:v>49</c:v>
                </c:pt>
              </c:numCache>
            </c:numRef>
          </c:val>
        </c:ser>
        <c:ser>
          <c:idx val="4"/>
          <c:order val="4"/>
          <c:tx>
            <c:strRef>
              <c:f>Sheet1!$A$6</c:f>
              <c:strCache>
                <c:ptCount val="1"/>
                <c:pt idx="0">
                  <c:v>Boost 2</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Sheet1!$B$6:$C$6</c:f>
              <c:numCache>
                <c:formatCode>General</c:formatCode>
                <c:ptCount val="2"/>
                <c:pt idx="0">
                  <c:v>49</c:v>
                </c:pt>
                <c:pt idx="1">
                  <c:v>98</c:v>
                </c:pt>
              </c:numCache>
            </c:numRef>
          </c:val>
        </c:ser>
        <c:ser>
          <c:idx val="5"/>
          <c:order val="5"/>
          <c:tx>
            <c:strRef>
              <c:f>Sheet1!$A$7</c:f>
              <c:strCache>
                <c:ptCount val="1"/>
                <c:pt idx="0">
                  <c:v>CAPI</c:v>
                </c:pt>
              </c:strCache>
            </c:strRef>
          </c:tx>
          <c:spPr>
            <a:solidFill>
              <a:schemeClr val="accent5">
                <a:lumMod val="20000"/>
                <a:lumOff val="80000"/>
              </a:schemeClr>
            </a:solidFill>
            <a:ln>
              <a:noFill/>
            </a:ln>
            <a:effectLst/>
          </c:spPr>
          <c:invertIfNegative val="0"/>
          <c:dLbls>
            <c:spPr>
              <a:solidFill>
                <a:schemeClr val="accent5">
                  <a:lumMod val="20000"/>
                  <a:lumOff val="80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layout/>
                <c15:showLeaderLines val="0"/>
              </c:ext>
            </c:extLst>
          </c:dLbls>
          <c:cat>
            <c:strRef>
              <c:f>Sheet1!$B$1:$C$1</c:f>
              <c:strCache>
                <c:ptCount val="2"/>
                <c:pt idx="0">
                  <c:v>Main sample</c:v>
                </c:pt>
                <c:pt idx="1">
                  <c:v>Calibration sample</c:v>
                </c:pt>
              </c:strCache>
            </c:strRef>
          </c:cat>
          <c:val>
            <c:numRef>
              <c:f>Sheet1!$B$7:$C$7</c:f>
              <c:numCache>
                <c:formatCode>General</c:formatCode>
                <c:ptCount val="2"/>
                <c:pt idx="0">
                  <c:v>58</c:v>
                </c:pt>
                <c:pt idx="1">
                  <c:v>58</c:v>
                </c:pt>
              </c:numCache>
            </c:numRef>
          </c:val>
        </c:ser>
        <c:ser>
          <c:idx val="6"/>
          <c:order val="6"/>
          <c:tx>
            <c:strRef>
              <c:f>Sheet1!$A$8</c:f>
              <c:strCache>
                <c:ptCount val="1"/>
                <c:pt idx="0">
                  <c:v>Extend DC</c:v>
                </c:pt>
              </c:strCache>
            </c:strRef>
          </c:tx>
          <c:spPr>
            <a:solidFill>
              <a:schemeClr val="accent1">
                <a:lumMod val="60000"/>
              </a:schemeClr>
            </a:solidFill>
            <a:ln>
              <a:noFill/>
            </a:ln>
            <a:effectLst/>
          </c:spPr>
          <c:invertIfNegative val="0"/>
          <c:dLbls>
            <c:dLbl>
              <c:idx val="0"/>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dLbl>
            <c:dLbl>
              <c:idx val="1"/>
              <c:spPr>
                <a:noFill/>
                <a:ln>
                  <a:noFill/>
                </a:ln>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dLbl>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Base"/>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Sheet1!$B$1:$C$1</c:f>
              <c:strCache>
                <c:ptCount val="2"/>
                <c:pt idx="0">
                  <c:v>Main sample</c:v>
                </c:pt>
                <c:pt idx="1">
                  <c:v>Calibration sample</c:v>
                </c:pt>
              </c:strCache>
            </c:strRef>
          </c:cat>
          <c:val>
            <c:numRef>
              <c:f>Sheet1!$B$8:$C$8</c:f>
              <c:numCache>
                <c:formatCode>General</c:formatCode>
                <c:ptCount val="2"/>
                <c:pt idx="0">
                  <c:v>31</c:v>
                </c:pt>
                <c:pt idx="1">
                  <c:v>31</c:v>
                </c:pt>
              </c:numCache>
            </c:numRef>
          </c:val>
        </c:ser>
        <c:dLbls>
          <c:showLegendKey val="0"/>
          <c:showVal val="0"/>
          <c:showCatName val="0"/>
          <c:showSerName val="0"/>
          <c:showPercent val="0"/>
          <c:showBubbleSize val="0"/>
        </c:dLbls>
        <c:gapWidth val="75"/>
        <c:overlap val="100"/>
        <c:axId val="118452992"/>
        <c:axId val="118454528"/>
      </c:barChart>
      <c:catAx>
        <c:axId val="118452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Arial" panose="020B0604020202020204" pitchFamily="34" charset="0"/>
              </a:defRPr>
            </a:pPr>
            <a:endParaRPr lang="en-US"/>
          </a:p>
        </c:txPr>
        <c:crossAx val="118454528"/>
        <c:crosses val="autoZero"/>
        <c:auto val="1"/>
        <c:lblAlgn val="ctr"/>
        <c:lblOffset val="100"/>
        <c:noMultiLvlLbl val="0"/>
      </c:catAx>
      <c:valAx>
        <c:axId val="118454528"/>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452992"/>
        <c:crosses val="autoZero"/>
        <c:crossBetween val="between"/>
        <c:majorUnit val="31"/>
        <c:minorUnit val="7"/>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effectLst/>
              </a:rPr>
              <a:t>Subgroup A (High School Late/Alternative/Non-Completers) response rates by baseline incentive amount </a:t>
            </a:r>
            <a:r>
              <a:rPr lang="en-US" sz="1200" b="0" i="0" u="none" strike="noStrike" baseline="0"/>
              <a:t> </a:t>
            </a:r>
            <a:br>
              <a:rPr lang="en-US" sz="1200" b="0" i="0" u="none" strike="noStrike" baseline="0"/>
            </a:br>
            <a:r>
              <a:rPr lang="en-US" sz="1200" b="0" i="0" u="none" strike="noStrike" baseline="0">
                <a:effectLst/>
              </a:rPr>
              <a:t>Phase 1 and 2 response rate (percent)</a:t>
            </a:r>
            <a:r>
              <a:rPr lang="en-US" sz="1200" b="0" i="0" u="none" strike="noStrike" baseline="0"/>
              <a:t> </a:t>
            </a:r>
            <a:br>
              <a:rPr lang="en-US" sz="1200" b="0" i="0" u="none" strike="noStrike" baseline="0"/>
            </a:br>
            <a:r>
              <a:rPr lang="en-US" sz="1200" b="0" i="0" u="none" strike="noStrike" baseline="0"/>
              <a:t>As of 4/28/2016</a:t>
            </a:r>
            <a:endParaRPr lang="en-US" sz="1200"/>
          </a:p>
        </c:rich>
      </c:tx>
      <c:layout/>
      <c:overlay val="0"/>
      <c:spPr>
        <a:noFill/>
        <a:ln>
          <a:noFill/>
        </a:ln>
        <a:effectLst/>
      </c:spPr>
    </c:title>
    <c:autoTitleDeleted val="0"/>
    <c:plotArea>
      <c:layout/>
      <c:barChart>
        <c:barDir val="col"/>
        <c:grouping val="clustered"/>
        <c:varyColors val="0"/>
        <c:ser>
          <c:idx val="1"/>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'[Chart in Microsoft Word]Sheet1'!$B$4:$B$6</c:f>
              <c:numCache>
                <c:formatCode>"$"#,##0_);\("$"#,##0\)</c:formatCode>
                <c:ptCount val="3"/>
                <c:pt idx="0">
                  <c:v>30</c:v>
                </c:pt>
                <c:pt idx="1">
                  <c:v>40</c:v>
                </c:pt>
                <c:pt idx="2">
                  <c:v>50</c:v>
                </c:pt>
              </c:numCache>
            </c:numRef>
          </c:cat>
          <c:val>
            <c:numRef>
              <c:f>'[Chart in Microsoft Word]Sheet1'!$C$4:$C$6</c:f>
              <c:numCache>
                <c:formatCode>0.0%</c:formatCode>
                <c:ptCount val="3"/>
                <c:pt idx="0">
                  <c:v>0.22941176470588234</c:v>
                </c:pt>
                <c:pt idx="1">
                  <c:v>0.29411764705882354</c:v>
                </c:pt>
                <c:pt idx="2">
                  <c:v>0.28994082840236685</c:v>
                </c:pt>
              </c:numCache>
              <c:extLst xmlns:c15="http://schemas.microsoft.com/office/drawing/2012/chart"/>
            </c:numRef>
          </c:val>
        </c:ser>
        <c:dLbls>
          <c:showLegendKey val="0"/>
          <c:showVal val="0"/>
          <c:showCatName val="0"/>
          <c:showSerName val="0"/>
          <c:showPercent val="0"/>
          <c:showBubbleSize val="0"/>
        </c:dLbls>
        <c:gapWidth val="219"/>
        <c:overlap val="-27"/>
        <c:axId val="164722944"/>
        <c:axId val="168960768"/>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'[Chart in Microsoft Word]Sheet1'!$B$4:$B$6</c15:sqref>
                        </c15:formulaRef>
                      </c:ext>
                    </c:extLst>
                    <c:numCache>
                      <c:formatCode>"$"#,##0_);\("$"#,##0\)</c:formatCode>
                      <c:ptCount val="3"/>
                      <c:pt idx="0">
                        <c:v>30</c:v>
                      </c:pt>
                      <c:pt idx="1">
                        <c:v>40</c:v>
                      </c:pt>
                      <c:pt idx="2">
                        <c:v>50</c:v>
                      </c:pt>
                    </c:numCache>
                  </c:numRef>
                </c:cat>
                <c:val>
                  <c:numRef>
                    <c:extLst>
                      <c:ext uri="{02D57815-91ED-43cb-92C2-25804820EDAC}">
                        <c15:formulaRef>
                          <c15:sqref>'[Chart in Microsoft Word]Sheet1'!$B$4:$B$6</c15:sqref>
                        </c15:formulaRef>
                      </c:ext>
                    </c:extLst>
                    <c:numCache>
                      <c:formatCode>"$"#,##0_);\("$"#,##0\)</c:formatCode>
                      <c:ptCount val="3"/>
                      <c:pt idx="0">
                        <c:v>30</c:v>
                      </c:pt>
                      <c:pt idx="1">
                        <c:v>40</c:v>
                      </c:pt>
                      <c:pt idx="2">
                        <c:v>50</c:v>
                      </c:pt>
                    </c:numCache>
                  </c:numRef>
                </c:val>
              </c15:ser>
            </c15:filteredBarSeries>
          </c:ext>
        </c:extLst>
      </c:barChart>
      <c:catAx>
        <c:axId val="164722944"/>
        <c:scaling>
          <c:orientation val="minMax"/>
        </c:scaling>
        <c:delete val="0"/>
        <c:axPos val="b"/>
        <c:numFmt formatCode="&quot;$&quot;#,##0_);\(&quot;$&quot;#,##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960768"/>
        <c:crosses val="autoZero"/>
        <c:auto val="1"/>
        <c:lblAlgn val="ctr"/>
        <c:lblOffset val="100"/>
        <c:noMultiLvlLbl val="0"/>
      </c:catAx>
      <c:valAx>
        <c:axId val="168960768"/>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72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Subgroup C (All Other High School Completers and Unknown Cases) response rates by baseline incentive amount </a:t>
            </a:r>
            <a:endParaRPr lang="en-US" sz="1050">
              <a:effectLst/>
            </a:endParaRPr>
          </a:p>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Phase 1 and 2 response rate (percent)</a:t>
            </a:r>
          </a:p>
          <a:p>
            <a:pPr>
              <a:defRPr sz="1400" b="0" i="0" u="none" strike="noStrike" kern="1200" spc="0" baseline="0">
                <a:solidFill>
                  <a:schemeClr val="tx1">
                    <a:lumMod val="65000"/>
                    <a:lumOff val="35000"/>
                  </a:schemeClr>
                </a:solidFill>
                <a:latin typeface="+mn-lt"/>
                <a:ea typeface="+mn-ea"/>
                <a:cs typeface="+mn-cs"/>
              </a:defRPr>
            </a:pPr>
            <a:r>
              <a:rPr lang="en-US" sz="1100" b="0" i="0" baseline="0">
                <a:effectLst/>
              </a:rPr>
              <a:t>As of 4/28/2016</a:t>
            </a:r>
            <a:endParaRPr lang="en-US">
              <a:effectLst/>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Sheet2!$A$27:$A$32</c:f>
              <c:numCache>
                <c:formatCode>_("$"* #,##0_);_("$"* \(#,##0\);_("$"* "-"??_);_(@_)</c:formatCode>
                <c:ptCount val="6"/>
                <c:pt idx="0">
                  <c:v>15</c:v>
                </c:pt>
                <c:pt idx="1">
                  <c:v>20</c:v>
                </c:pt>
                <c:pt idx="2">
                  <c:v>25</c:v>
                </c:pt>
                <c:pt idx="3">
                  <c:v>30</c:v>
                </c:pt>
                <c:pt idx="4">
                  <c:v>35</c:v>
                </c:pt>
                <c:pt idx="5">
                  <c:v>40</c:v>
                </c:pt>
              </c:numCache>
            </c:numRef>
          </c:cat>
          <c:val>
            <c:numRef>
              <c:f>Sheet2!$B$27:$B$32</c:f>
              <c:numCache>
                <c:formatCode>0.0%</c:formatCode>
                <c:ptCount val="6"/>
                <c:pt idx="0">
                  <c:v>0.27659574468085107</c:v>
                </c:pt>
                <c:pt idx="1">
                  <c:v>0.33434650455927051</c:v>
                </c:pt>
                <c:pt idx="2">
                  <c:v>0.37082066869300911</c:v>
                </c:pt>
                <c:pt idx="3">
                  <c:v>0.43161094224924013</c:v>
                </c:pt>
                <c:pt idx="4">
                  <c:v>0.39513677811550152</c:v>
                </c:pt>
                <c:pt idx="5">
                  <c:v>0.41945288753799392</c:v>
                </c:pt>
              </c:numCache>
            </c:numRef>
          </c:val>
        </c:ser>
        <c:dLbls>
          <c:showLegendKey val="0"/>
          <c:showVal val="0"/>
          <c:showCatName val="0"/>
          <c:showSerName val="0"/>
          <c:showPercent val="0"/>
          <c:showBubbleSize val="0"/>
        </c:dLbls>
        <c:gapWidth val="219"/>
        <c:overlap val="-27"/>
        <c:axId val="171916288"/>
        <c:axId val="180151424"/>
      </c:barChart>
      <c:catAx>
        <c:axId val="171916288"/>
        <c:scaling>
          <c:orientation val="minMax"/>
        </c:scaling>
        <c:delete val="0"/>
        <c:axPos val="b"/>
        <c:numFmt formatCode="_(&quot;$&quot;* #,##0_);_(&quot;$&quot;* \(#,##0\);_(&quot;$&quot;* &quot;-&quot;??_);_(@_)"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51424"/>
        <c:crosses val="autoZero"/>
        <c:auto val="1"/>
        <c:lblAlgn val="ctr"/>
        <c:lblOffset val="100"/>
        <c:noMultiLvlLbl val="0"/>
      </c:catAx>
      <c:valAx>
        <c:axId val="1801514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916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0.17391</cdr:x>
      <cdr:y>0.86954</cdr:y>
    </cdr:from>
    <cdr:to>
      <cdr:x>0.9467</cdr:x>
      <cdr:y>0.98573</cdr:y>
    </cdr:to>
    <cdr:sp macro="" textlink="">
      <cdr:nvSpPr>
        <cdr:cNvPr id="2" name="TextBox 1"/>
        <cdr:cNvSpPr txBox="1"/>
      </cdr:nvSpPr>
      <cdr:spPr>
        <a:xfrm xmlns:a="http://schemas.openxmlformats.org/drawingml/2006/main">
          <a:off x="1524000" y="3288115"/>
          <a:ext cx="6771959" cy="439364"/>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pPr algn="l"/>
          <a:r>
            <a:rPr lang="en-US" sz="1000" baseline="0" dirty="0">
              <a:solidFill>
                <a:schemeClr val="tx1">
                  <a:lumMod val="65000"/>
                  <a:lumOff val="35000"/>
                </a:schemeClr>
              </a:solidFill>
              <a:latin typeface="+mn-lt"/>
              <a:ea typeface="+mn-ea"/>
              <a:cs typeface="+mn-cs"/>
            </a:rPr>
            <a:t> </a:t>
          </a:r>
          <a:r>
            <a:rPr lang="en-US" sz="1000" baseline="0" dirty="0">
              <a:solidFill>
                <a:schemeClr val="tx1">
                  <a:lumMod val="65000"/>
                  <a:lumOff val="35000"/>
                </a:schemeClr>
              </a:solidFill>
            </a:rPr>
            <a:t>Apr</a:t>
          </a:r>
          <a:r>
            <a:rPr lang="en-US" sz="1000" baseline="0" dirty="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May</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June</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July</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Aug</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Sep</a:t>
          </a:r>
          <a:r>
            <a:rPr lang="en-US" sz="1000" baseline="0" dirty="0" smtClean="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Oct</a:t>
          </a:r>
          <a:r>
            <a:rPr lang="en-US" sz="1000" baseline="0" dirty="0" smtClean="0">
              <a:solidFill>
                <a:schemeClr val="tx1">
                  <a:lumMod val="65000"/>
                  <a:lumOff val="35000"/>
                </a:schemeClr>
              </a:solidFill>
              <a:latin typeface="+mn-lt"/>
              <a:ea typeface="+mn-ea"/>
              <a:cs typeface="+mn-cs"/>
            </a:rPr>
            <a:t> </a:t>
          </a:r>
          <a:r>
            <a:rPr lang="en-US" sz="1000" baseline="0" dirty="0">
              <a:solidFill>
                <a:schemeClr val="tx1">
                  <a:lumMod val="65000"/>
                  <a:lumOff val="35000"/>
                </a:schemeClr>
              </a:solidFill>
            </a:rPr>
            <a:t>Nov</a:t>
          </a:r>
          <a:r>
            <a:rPr lang="en-US" sz="1000" baseline="0" dirty="0">
              <a:solidFill>
                <a:schemeClr val="tx1">
                  <a:lumMod val="65000"/>
                  <a:lumOff val="35000"/>
                </a:schemeClr>
              </a:solidFill>
              <a:latin typeface="+mn-lt"/>
              <a:ea typeface="+mn-ea"/>
              <a:cs typeface="+mn-cs"/>
            </a:rPr>
            <a:t> </a:t>
          </a:r>
          <a:r>
            <a:rPr lang="en-US" sz="1000" baseline="0" dirty="0" smtClean="0">
              <a:solidFill>
                <a:schemeClr val="tx1">
                  <a:lumMod val="65000"/>
                  <a:lumOff val="35000"/>
                </a:schemeClr>
              </a:solidFill>
            </a:rPr>
            <a:t>Dec</a:t>
          </a:r>
          <a:endParaRPr lang="en-US" sz="1000" dirty="0">
            <a:solidFill>
              <a:schemeClr val="tx1">
                <a:lumMod val="65000"/>
                <a:lumOff val="3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0FB88-C62D-441F-A7A2-B5F6747E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5648</Words>
  <Characters>31394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U.S. Department of Education</cp:lastModifiedBy>
  <cp:revision>4</cp:revision>
  <cp:lastPrinted>2016-04-27T21:12:00Z</cp:lastPrinted>
  <dcterms:created xsi:type="dcterms:W3CDTF">2016-04-29T20:27:00Z</dcterms:created>
  <dcterms:modified xsi:type="dcterms:W3CDTF">2016-05-05T18:39:00Z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