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FF1802" w14:textId="77777777" w:rsidR="00FA5243" w:rsidRDefault="0025093A" w:rsidP="00203FA0">
      <w:pPr>
        <w:jc w:val="center"/>
        <w:rPr>
          <w:b/>
        </w:rPr>
      </w:pPr>
      <w:bookmarkStart w:id="0" w:name="_GoBack"/>
      <w:bookmarkEnd w:id="0"/>
      <w:r>
        <w:rPr>
          <w:b/>
        </w:rPr>
        <w:t>NARRATIVE SUPPORTING STATEMENT</w:t>
      </w:r>
      <w:r w:rsidR="005B407D">
        <w:rPr>
          <w:b/>
        </w:rPr>
        <w:t xml:space="preserve"> FOR</w:t>
      </w:r>
    </w:p>
    <w:p w14:paraId="4F48DDAA" w14:textId="77777777" w:rsidR="005B407D" w:rsidRDefault="0025093A" w:rsidP="00203FA0">
      <w:pPr>
        <w:jc w:val="center"/>
        <w:rPr>
          <w:b/>
        </w:rPr>
      </w:pPr>
      <w:r>
        <w:rPr>
          <w:b/>
        </w:rPr>
        <w:t xml:space="preserve">46 CFR </w:t>
      </w:r>
      <w:r w:rsidR="008331C3">
        <w:rPr>
          <w:b/>
        </w:rPr>
        <w:t xml:space="preserve">PART </w:t>
      </w:r>
      <w:r>
        <w:rPr>
          <w:b/>
        </w:rPr>
        <w:t>5</w:t>
      </w:r>
      <w:r w:rsidR="005B407D">
        <w:rPr>
          <w:b/>
        </w:rPr>
        <w:t>2</w:t>
      </w:r>
      <w:r w:rsidR="00794389">
        <w:rPr>
          <w:b/>
        </w:rPr>
        <w:t>0</w:t>
      </w:r>
      <w:r w:rsidR="005B407D">
        <w:rPr>
          <w:b/>
        </w:rPr>
        <w:t xml:space="preserve"> </w:t>
      </w:r>
      <w:r w:rsidR="00794389">
        <w:rPr>
          <w:b/>
        </w:rPr>
        <w:t>–</w:t>
      </w:r>
      <w:r w:rsidR="005B407D">
        <w:rPr>
          <w:b/>
        </w:rPr>
        <w:t xml:space="preserve"> </w:t>
      </w:r>
      <w:r w:rsidR="00794389">
        <w:rPr>
          <w:b/>
        </w:rPr>
        <w:t>CARRIER AUTOMATED TARIFF SYSTEMS</w:t>
      </w:r>
    </w:p>
    <w:p w14:paraId="396CB3E6" w14:textId="77777777" w:rsidR="0025093A" w:rsidRDefault="005B407D" w:rsidP="00203FA0">
      <w:pPr>
        <w:jc w:val="center"/>
        <w:rPr>
          <w:b/>
        </w:rPr>
      </w:pPr>
      <w:r>
        <w:rPr>
          <w:b/>
        </w:rPr>
        <w:t>AND RELATED FORM FMC-1</w:t>
      </w:r>
    </w:p>
    <w:p w14:paraId="1A3E6309" w14:textId="77777777" w:rsidR="0025093A" w:rsidRDefault="0025093A" w:rsidP="00203FA0"/>
    <w:p w14:paraId="666A19FF" w14:textId="77777777" w:rsidR="0025093A" w:rsidRDefault="0025093A" w:rsidP="00203FA0"/>
    <w:p w14:paraId="0F7441A7" w14:textId="77777777" w:rsidR="0025093A" w:rsidRPr="001D5B6E" w:rsidRDefault="0025093A" w:rsidP="00203FA0">
      <w:pPr>
        <w:rPr>
          <w:b/>
        </w:rPr>
      </w:pPr>
      <w:r w:rsidRPr="001D5B6E">
        <w:rPr>
          <w:b/>
        </w:rPr>
        <w:t>A.</w:t>
      </w:r>
      <w:r w:rsidRPr="001D5B6E">
        <w:rPr>
          <w:b/>
        </w:rPr>
        <w:tab/>
        <w:t>Justification</w:t>
      </w:r>
    </w:p>
    <w:p w14:paraId="7A075A5D" w14:textId="77777777" w:rsidR="00650CCA" w:rsidRDefault="00650CCA" w:rsidP="00203FA0"/>
    <w:p w14:paraId="0722928E" w14:textId="77777777" w:rsidR="00D42071" w:rsidRDefault="00D42071" w:rsidP="00203FA0">
      <w:pPr>
        <w:pStyle w:val="Default"/>
        <w:rPr>
          <w:b/>
          <w:bCs/>
        </w:rPr>
      </w:pPr>
      <w:r w:rsidRPr="00295298">
        <w:rPr>
          <w:b/>
          <w:bCs/>
        </w:rPr>
        <w:t xml:space="preserve">1. </w:t>
      </w:r>
      <w:r>
        <w:rPr>
          <w:b/>
          <w:bCs/>
        </w:rPr>
        <w:tab/>
      </w:r>
      <w:r w:rsidRPr="00295298">
        <w:rPr>
          <w:b/>
          <w:bCs/>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information collection. </w:t>
      </w:r>
    </w:p>
    <w:p w14:paraId="545D134C" w14:textId="77777777" w:rsidR="00D42071" w:rsidRDefault="00D42071" w:rsidP="00203FA0"/>
    <w:p w14:paraId="11BA2FEA" w14:textId="542BD793" w:rsidR="0025093A" w:rsidRDefault="0025093A" w:rsidP="00203FA0">
      <w:r>
        <w:tab/>
      </w:r>
      <w:r w:rsidR="00B82390">
        <w:t>Section 8(</w:t>
      </w:r>
      <w:r w:rsidR="00657432">
        <w:t>a)</w:t>
      </w:r>
      <w:r w:rsidR="00B82390">
        <w:t xml:space="preserve"> of t</w:t>
      </w:r>
      <w:r w:rsidR="00795906">
        <w:t>he Shipping Act of 1984</w:t>
      </w:r>
      <w:r w:rsidR="003267C7">
        <w:t xml:space="preserve"> (1984 Act</w:t>
      </w:r>
      <w:r w:rsidR="00657432">
        <w:t>)</w:t>
      </w:r>
      <w:r w:rsidR="00795906">
        <w:t>, as amended by the Ocean Shipping Reform Act of 1998</w:t>
      </w:r>
      <w:r w:rsidR="003267C7">
        <w:t xml:space="preserve"> (</w:t>
      </w:r>
      <w:r w:rsidR="00657432">
        <w:t>OSRA)</w:t>
      </w:r>
      <w:r w:rsidR="00795906">
        <w:t xml:space="preserve">, </w:t>
      </w:r>
      <w:r w:rsidR="00203FA0">
        <w:t>July</w:t>
      </w:r>
      <w:r w:rsidR="005763D1">
        <w:t xml:space="preserve"> U.S.C. 40501(a)-(</w:t>
      </w:r>
      <w:r w:rsidR="00083EA6">
        <w:t>c</w:t>
      </w:r>
      <w:r w:rsidR="005763D1">
        <w:t>)</w:t>
      </w:r>
      <w:r w:rsidR="00657432">
        <w:t>, requires common carriers and conferences of such common carriers to publish and keep open to publi</w:t>
      </w:r>
      <w:r w:rsidR="001408CC">
        <w:t xml:space="preserve">c </w:t>
      </w:r>
      <w:r w:rsidR="00657432">
        <w:t xml:space="preserve">inspection in automated tariff systems, tariffs showing all rates, charges, classifications, rules and practices between all points or ports on their own routes for transportation of cargo between the U.S. and foreign ports, and on any through transportation route that has been established.  These tariffs are made available electronically to any person through appropriate access from remote locations, and a reasonable charge may be assessed for such access, except for Federal agencies.  Prior to the implementation of OSRA on May 1, 1999, common carriers and conferences had to file their tariffs with the Commission in its Automated Tariff Filing </w:t>
      </w:r>
      <w:r w:rsidR="00813B33">
        <w:t>and Information System (</w:t>
      </w:r>
      <w:r w:rsidR="00657432">
        <w:t>ATFI).  The ATFI system was discontinued on April 30, 1999, at OSRA’s implementation.  46 CFR 520 established the requirements of the Commission’s current rules pertaining to the publishing of common carriers</w:t>
      </w:r>
      <w:r w:rsidR="001408CC">
        <w:t>’</w:t>
      </w:r>
      <w:r w:rsidR="00657432">
        <w:t xml:space="preserve"> and conferences’ tariffs in private automated systems under OSRA.</w:t>
      </w:r>
    </w:p>
    <w:p w14:paraId="2ECCEDAA" w14:textId="77777777" w:rsidR="001408CC" w:rsidRDefault="001408CC" w:rsidP="00203FA0"/>
    <w:p w14:paraId="06C65B71" w14:textId="77777777" w:rsidR="001408CC" w:rsidRDefault="001408CC" w:rsidP="00203FA0">
      <w:r>
        <w:tab/>
        <w:t xml:space="preserve">Each common carrier and conference is required to notify the Bureau of Trade Analysis, prior to the commencement of common carrier service pursuant to a published tariff, of its organization name, organization number, home office address, name and telephone number of firm’s representative, the location of its tariffs, and the publisher, if any, used to maintain its tariffs, by electronically submitting Form FMC-1 via the Commission’s website.  </w:t>
      </w:r>
    </w:p>
    <w:p w14:paraId="02AEB8E0" w14:textId="77777777" w:rsidR="00657432" w:rsidRDefault="00657432" w:rsidP="00203FA0"/>
    <w:p w14:paraId="03F70D0B" w14:textId="77777777" w:rsidR="00657432" w:rsidRDefault="00657432" w:rsidP="00203FA0">
      <w:r>
        <w:tab/>
        <w:t xml:space="preserve">The purpose of these regulations is to permit shippers and other members of the public to obtain reliable and accurate information concerning the rates and charges that will be assessed by common carriers and conferences for their transportation services and to help carriers and conferences meet their publication requirements under section 8(a) of the 1984 Act.  </w:t>
      </w:r>
    </w:p>
    <w:p w14:paraId="37BC2428" w14:textId="77777777" w:rsidR="00B82390" w:rsidRDefault="00B82390" w:rsidP="00203FA0">
      <w:pPr>
        <w:ind w:left="720" w:right="720" w:hanging="720"/>
      </w:pPr>
    </w:p>
    <w:p w14:paraId="47C3F61A" w14:textId="77777777" w:rsidR="001D5B6E" w:rsidRDefault="001D5B6E" w:rsidP="00203FA0"/>
    <w:p w14:paraId="43C51D5C" w14:textId="77777777" w:rsidR="00D42071" w:rsidRPr="00B772FD" w:rsidRDefault="00D42071" w:rsidP="00203FA0">
      <w:pPr>
        <w:autoSpaceDE w:val="0"/>
        <w:autoSpaceDN w:val="0"/>
        <w:adjustRightInd w:val="0"/>
        <w:rPr>
          <w:rFonts w:eastAsia="Calibri"/>
          <w:color w:val="000000"/>
        </w:rPr>
      </w:pPr>
      <w:r w:rsidRPr="00B772FD">
        <w:rPr>
          <w:rFonts w:eastAsia="Calibri"/>
          <w:b/>
          <w:bCs/>
          <w:color w:val="000000"/>
        </w:rPr>
        <w:t xml:space="preserve">2. </w:t>
      </w:r>
      <w:r w:rsidRPr="00B772FD">
        <w:rPr>
          <w:rFonts w:eastAsia="Calibri"/>
          <w:b/>
          <w:bCs/>
          <w:color w:val="000000"/>
        </w:rPr>
        <w:tab/>
        <w:t>Indicate how, by whom, and for what purpose the information is to be used. Except for a new collection, indicate the actual use the agency has made of the information received from the current collection.</w:t>
      </w:r>
    </w:p>
    <w:p w14:paraId="7C042B0F" w14:textId="77777777" w:rsidR="00D42071" w:rsidRDefault="00D42071" w:rsidP="00203FA0"/>
    <w:p w14:paraId="46F4DA15" w14:textId="77777777" w:rsidR="001D5B6E" w:rsidRDefault="001D5B6E" w:rsidP="00203FA0">
      <w:r>
        <w:tab/>
      </w:r>
      <w:r w:rsidR="000E473A">
        <w:t>The Commission</w:t>
      </w:r>
      <w:r w:rsidR="00657432">
        <w:t>’s Bureau of Trade Analysis use</w:t>
      </w:r>
      <w:r w:rsidR="00F0475E">
        <w:t>s</w:t>
      </w:r>
      <w:r w:rsidR="00657432">
        <w:t xml:space="preserve"> the information published in tariffs of common carriers and conferences to monitor their activities and to ensure the accessibility and accuracy of automated tariff systems as required by section 8(g) of the 1984 Act.  In order to effectively carry out its duties, the Commission will use the information to protect the public </w:t>
      </w:r>
      <w:r w:rsidR="00657432">
        <w:lastRenderedPageBreak/>
        <w:t xml:space="preserve">from violations by carriers of section 10 of the 1984 Act.  It </w:t>
      </w:r>
      <w:r w:rsidR="00F0475E">
        <w:t>also will</w:t>
      </w:r>
      <w:r w:rsidR="00657432">
        <w:t xml:space="preserve"> allow the Commission to review and monitor the activities of controlled carriers pursuant to section 9 of the 1984 Act.  If such information were not collected, the Commission would be precluded from carrying out its statutory and regulatory responsibilities.      </w:t>
      </w:r>
    </w:p>
    <w:p w14:paraId="3A5F2661" w14:textId="77777777" w:rsidR="001D5B6E" w:rsidRDefault="001D5B6E" w:rsidP="00203FA0"/>
    <w:p w14:paraId="6F502D67" w14:textId="77777777" w:rsidR="001D5B6E" w:rsidRDefault="001D5B6E" w:rsidP="00203FA0"/>
    <w:p w14:paraId="71EAC446" w14:textId="77777777" w:rsidR="00D42071" w:rsidRPr="00B772FD" w:rsidRDefault="00D42071" w:rsidP="00203FA0">
      <w:pPr>
        <w:autoSpaceDE w:val="0"/>
        <w:autoSpaceDN w:val="0"/>
        <w:adjustRightInd w:val="0"/>
        <w:rPr>
          <w:rFonts w:eastAsia="Calibri"/>
          <w:color w:val="000000"/>
        </w:rPr>
      </w:pPr>
      <w:r w:rsidRPr="00B772FD">
        <w:rPr>
          <w:rFonts w:eastAsia="Calibri"/>
          <w:b/>
          <w:bCs/>
          <w:color w:val="000000"/>
        </w:rPr>
        <w:t xml:space="preserve">3. </w:t>
      </w:r>
      <w:r w:rsidRPr="00B772FD">
        <w:rPr>
          <w:rFonts w:eastAsia="Calibri"/>
          <w:b/>
          <w:bCs/>
          <w:color w:val="000000"/>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14:paraId="56789502" w14:textId="77777777" w:rsidR="00D42071" w:rsidRDefault="00D42071" w:rsidP="00203FA0"/>
    <w:p w14:paraId="6AF95700" w14:textId="77777777" w:rsidR="001D5B6E" w:rsidRDefault="00043E4B" w:rsidP="00203FA0">
      <w:r>
        <w:tab/>
      </w:r>
      <w:r w:rsidR="00F0475E">
        <w:t xml:space="preserve">When the Commission’s ATFI system was discontinued on April 30, 1999, carriers and conferences began publishing tariff data in private automated systems.  It is intended that the shipping industry will continue to have access to accurate tariff information.   </w:t>
      </w:r>
      <w:r w:rsidR="001408CC">
        <w:t xml:space="preserve">Form FMC-1 is filed electronically with the agency.  </w:t>
      </w:r>
    </w:p>
    <w:p w14:paraId="7A8B7CB4" w14:textId="77777777" w:rsidR="00E326E3" w:rsidRDefault="00E326E3" w:rsidP="00203FA0"/>
    <w:p w14:paraId="543C0032" w14:textId="77777777" w:rsidR="00E326E3" w:rsidRDefault="00E326E3" w:rsidP="00203FA0"/>
    <w:p w14:paraId="1CE07348" w14:textId="77777777" w:rsidR="00D42071" w:rsidRDefault="00D42071" w:rsidP="00203FA0">
      <w:r w:rsidRPr="006B6A52">
        <w:rPr>
          <w:b/>
          <w:bCs/>
        </w:rPr>
        <w:t xml:space="preserve">4. </w:t>
      </w:r>
      <w:r>
        <w:rPr>
          <w:b/>
          <w:bCs/>
        </w:rPr>
        <w:tab/>
      </w:r>
      <w:r w:rsidRPr="006B6A52">
        <w:rPr>
          <w:b/>
          <w:bCs/>
        </w:rPr>
        <w:t>Describe efforts to identify duplication</w:t>
      </w:r>
      <w:r>
        <w:t>.</w:t>
      </w:r>
    </w:p>
    <w:p w14:paraId="69B340F5" w14:textId="77777777" w:rsidR="00D42071" w:rsidRDefault="00D42071" w:rsidP="00203FA0"/>
    <w:p w14:paraId="1CCFF2DD" w14:textId="77777777" w:rsidR="00E326E3" w:rsidRDefault="00E326E3" w:rsidP="00203FA0">
      <w:r>
        <w:tab/>
      </w:r>
      <w:r w:rsidR="00F0475E">
        <w:t>Carriers and conferences, as part of their business practice, are required to keep tariff information available in their private publications.  Since this information is no longer collected by the Commission, their systems are the only public repository where a complete copy of each carrier’s and conference’s tariff containing historical rates may be found.</w:t>
      </w:r>
    </w:p>
    <w:p w14:paraId="70A4C56D" w14:textId="77777777" w:rsidR="00E326E3" w:rsidRDefault="00E326E3" w:rsidP="00203FA0"/>
    <w:p w14:paraId="7C36C8D3" w14:textId="77777777" w:rsidR="00E326E3" w:rsidRDefault="00E326E3" w:rsidP="00203FA0"/>
    <w:p w14:paraId="5CC34BF3" w14:textId="77777777" w:rsidR="00D42071" w:rsidRPr="00B772FD" w:rsidRDefault="00D42071" w:rsidP="00203FA0">
      <w:pPr>
        <w:autoSpaceDE w:val="0"/>
        <w:autoSpaceDN w:val="0"/>
        <w:adjustRightInd w:val="0"/>
        <w:rPr>
          <w:rFonts w:eastAsia="Calibri"/>
          <w:b/>
          <w:bCs/>
          <w:color w:val="000000"/>
        </w:rPr>
      </w:pPr>
      <w:r w:rsidRPr="00B772FD">
        <w:rPr>
          <w:rFonts w:eastAsia="Calibri"/>
          <w:b/>
          <w:bCs/>
          <w:color w:val="000000"/>
        </w:rPr>
        <w:t xml:space="preserve">5. </w:t>
      </w:r>
      <w:r w:rsidRPr="00B772FD">
        <w:rPr>
          <w:rFonts w:eastAsia="Calibri"/>
          <w:b/>
          <w:bCs/>
          <w:color w:val="000000"/>
        </w:rPr>
        <w:tab/>
        <w:t xml:space="preserve">If the collection of information impacts small businesses or other small entities, describe any methods used to minimize burden. </w:t>
      </w:r>
    </w:p>
    <w:p w14:paraId="4B458883" w14:textId="77777777" w:rsidR="00D42071" w:rsidRDefault="00D42071" w:rsidP="00203FA0"/>
    <w:p w14:paraId="4592DE42" w14:textId="77777777" w:rsidR="00E326E3" w:rsidRDefault="00E326E3" w:rsidP="00203FA0">
      <w:r>
        <w:tab/>
      </w:r>
      <w:r w:rsidR="00A13F5B">
        <w:t xml:space="preserve">This collection of information does not have a significant impact on small businesses or other small entities.  </w:t>
      </w:r>
    </w:p>
    <w:p w14:paraId="2E656D8F" w14:textId="77777777" w:rsidR="00E326E3" w:rsidRDefault="00E326E3" w:rsidP="00203FA0"/>
    <w:p w14:paraId="0428C9CA" w14:textId="77777777" w:rsidR="00E326E3" w:rsidRDefault="00E326E3" w:rsidP="00203FA0"/>
    <w:p w14:paraId="2BD1FEC2" w14:textId="77777777" w:rsidR="00D42071" w:rsidRPr="00B772FD" w:rsidRDefault="00D42071" w:rsidP="00203FA0">
      <w:pPr>
        <w:autoSpaceDE w:val="0"/>
        <w:autoSpaceDN w:val="0"/>
        <w:adjustRightInd w:val="0"/>
        <w:rPr>
          <w:rFonts w:eastAsia="Calibri"/>
          <w:b/>
          <w:bCs/>
          <w:color w:val="000000"/>
        </w:rPr>
      </w:pPr>
      <w:r w:rsidRPr="00B772FD">
        <w:rPr>
          <w:rFonts w:eastAsia="Calibri"/>
          <w:b/>
          <w:bCs/>
          <w:color w:val="000000"/>
        </w:rPr>
        <w:t xml:space="preserve">6. </w:t>
      </w:r>
      <w:r w:rsidRPr="00B772FD">
        <w:rPr>
          <w:rFonts w:eastAsia="Calibri"/>
          <w:b/>
          <w:bCs/>
          <w:color w:val="000000"/>
        </w:rPr>
        <w:tab/>
        <w:t xml:space="preserve">Describe the consequence to Federal program or policy activities if the collection is not conducted or is conducted less frequently, as well as any technical or legal obstacles to reducing burden. </w:t>
      </w:r>
    </w:p>
    <w:p w14:paraId="3227310B" w14:textId="77777777" w:rsidR="00D42071" w:rsidRDefault="00D42071" w:rsidP="00203FA0"/>
    <w:p w14:paraId="2491414C" w14:textId="77777777" w:rsidR="00E326E3" w:rsidRDefault="00E326E3" w:rsidP="00203FA0">
      <w:r>
        <w:tab/>
      </w:r>
      <w:r w:rsidR="00F0475E">
        <w:t>The publishing of tariffs is assigned a specific time frame by the agency; they are published on a continuing basis.  If this information were not published as specified, the Commission would not be able to determine compliance with the statute and the Commission’s regulations, and the shipping public using the data would not have reliable data.</w:t>
      </w:r>
    </w:p>
    <w:p w14:paraId="7382D354" w14:textId="77777777" w:rsidR="00E326E3" w:rsidRDefault="00E326E3" w:rsidP="00203FA0"/>
    <w:p w14:paraId="7CF22BBB" w14:textId="77777777" w:rsidR="00E326E3" w:rsidRDefault="00E326E3" w:rsidP="00203FA0"/>
    <w:p w14:paraId="7184ACA0" w14:textId="77777777" w:rsidR="00D42071" w:rsidRDefault="00D42071" w:rsidP="00203FA0">
      <w:pPr>
        <w:rPr>
          <w:b/>
          <w:bCs/>
        </w:rPr>
      </w:pPr>
      <w:r w:rsidRPr="006B6A52">
        <w:rPr>
          <w:b/>
          <w:bCs/>
        </w:rPr>
        <w:t xml:space="preserve">7. </w:t>
      </w:r>
      <w:r>
        <w:rPr>
          <w:b/>
          <w:bCs/>
        </w:rPr>
        <w:tab/>
      </w:r>
      <w:r w:rsidRPr="006B6A52">
        <w:rPr>
          <w:b/>
          <w:bCs/>
        </w:rPr>
        <w:t xml:space="preserve">Explain any special circumstances that require the collection to be conducted in a manner inconsistent with OMB guidelines. (a)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w:t>
      </w:r>
      <w:r w:rsidRPr="006B6A52">
        <w:rPr>
          <w:b/>
          <w:bCs/>
        </w:rPr>
        <w:lastRenderedPageBreak/>
        <w:t xml:space="preserve">(d) requiring respondents to retain records, other than health, medical government contract, grant-in-aid, or tax records, for more than three years; (e) in connection with a statistical survey, that is not designed to product valid and reliable results that can be generalized to the universe of study; (f) requiring the use of statistical data classification that has not been reviewed and approved by OMB; (g)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(h) requiring respondents to submit proprietary trade secrets, or other confidential information unless the agency can demonstrate that it has instituted procedures to protect the information’s confidentiality to the extent permitted by law. </w:t>
      </w:r>
    </w:p>
    <w:p w14:paraId="09DF7488" w14:textId="77777777" w:rsidR="00D42071" w:rsidRDefault="00D42071" w:rsidP="00203FA0"/>
    <w:p w14:paraId="5C86495D" w14:textId="77777777" w:rsidR="00E326E3" w:rsidRDefault="003267C7" w:rsidP="00203FA0">
      <w:r>
        <w:tab/>
        <w:t xml:space="preserve">This information collection does not (1) require respondents to report information to the agency more often than quarterly; (2) require written responses in fewer than 30 days; (3) require respondents to submit more than an original and two copies of any document; (4) include confidentiality pledges that are not supported by established statutory authority; or (5) require respondents to submit proprietary information without protecting such information to the full extent of the law.  There is a five-year recordkeeping requirement that is consistent with the statute of limitation provisions in section 13(f) of the Shipping Act of 1984, 46 U.S.C. 41109.  </w:t>
      </w:r>
      <w:r w:rsidR="00F0475E">
        <w:t xml:space="preserve">  </w:t>
      </w:r>
    </w:p>
    <w:p w14:paraId="26B96B53" w14:textId="77777777" w:rsidR="00E326E3" w:rsidRDefault="00E326E3" w:rsidP="00203FA0"/>
    <w:p w14:paraId="32571044" w14:textId="77777777" w:rsidR="00E326E3" w:rsidRDefault="00E326E3" w:rsidP="00203FA0"/>
    <w:p w14:paraId="5117D49F" w14:textId="77777777" w:rsidR="00D42071" w:rsidRPr="00B772FD" w:rsidRDefault="00D42071" w:rsidP="00203FA0">
      <w:pPr>
        <w:autoSpaceDE w:val="0"/>
        <w:autoSpaceDN w:val="0"/>
        <w:adjustRightInd w:val="0"/>
        <w:rPr>
          <w:rFonts w:eastAsia="Calibri"/>
          <w:b/>
          <w:bCs/>
          <w:color w:val="000000"/>
        </w:rPr>
      </w:pPr>
      <w:r w:rsidRPr="00B772FD">
        <w:rPr>
          <w:rFonts w:eastAsia="Calibri"/>
          <w:b/>
          <w:bCs/>
          <w:color w:val="000000"/>
        </w:rPr>
        <w:t xml:space="preserve">8. </w:t>
      </w:r>
      <w:r w:rsidRPr="00B772FD">
        <w:rPr>
          <w:rFonts w:eastAsia="Calibri"/>
          <w:b/>
          <w:bCs/>
          <w:color w:val="000000"/>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FMC to obtain their views on the availability of data, frequency of collection, the clarity of instructions and recordkeeping, disclosure, or reporting format (if any), and on the data elements to be recorded, disclosed, or report.</w:t>
      </w:r>
    </w:p>
    <w:p w14:paraId="1A44C263" w14:textId="77777777" w:rsidR="00D42071" w:rsidRDefault="00D42071" w:rsidP="00203FA0"/>
    <w:p w14:paraId="5AE215A6" w14:textId="77777777" w:rsidR="0018639B" w:rsidRDefault="00E326E3" w:rsidP="00203FA0">
      <w:r>
        <w:tab/>
      </w:r>
      <w:r w:rsidR="0018639B">
        <w:t xml:space="preserve">The 60-day </w:t>
      </w:r>
      <w:r w:rsidR="0018639B" w:rsidRPr="00FF1DB3">
        <w:t>Federal Register</w:t>
      </w:r>
      <w:r w:rsidR="0018639B">
        <w:t xml:space="preserve"> Notice regarding this extension was published</w:t>
      </w:r>
      <w:r w:rsidR="00A07E36">
        <w:t xml:space="preserve"> July 6, 2017</w:t>
      </w:r>
      <w:r w:rsidR="0018639B" w:rsidRPr="00BC6040">
        <w:rPr>
          <w:b/>
        </w:rPr>
        <w:t xml:space="preserve">, </w:t>
      </w:r>
      <w:r w:rsidR="0018639B" w:rsidRPr="00AB3478">
        <w:t>at</w:t>
      </w:r>
      <w:r w:rsidR="00A07E36">
        <w:t xml:space="preserve"> 82 FR 31972</w:t>
      </w:r>
      <w:r w:rsidR="0018639B">
        <w:t xml:space="preserve">.  Respondents had 60 days to respond with their views regarding the collection of information; </w:t>
      </w:r>
      <w:r w:rsidR="0018639B" w:rsidRPr="00026FE7">
        <w:t>no comments were received</w:t>
      </w:r>
      <w:r w:rsidR="0018639B">
        <w:t xml:space="preserve">.  </w:t>
      </w:r>
    </w:p>
    <w:p w14:paraId="2E65584C" w14:textId="77777777" w:rsidR="00EF1F56" w:rsidRDefault="00EF1F56" w:rsidP="00203FA0"/>
    <w:p w14:paraId="00F93108" w14:textId="77777777" w:rsidR="004A298D" w:rsidRDefault="004A298D" w:rsidP="00203FA0"/>
    <w:p w14:paraId="72DAB614" w14:textId="77777777" w:rsidR="00D42071" w:rsidRPr="00B772FD" w:rsidRDefault="00D42071" w:rsidP="00203FA0">
      <w:pPr>
        <w:pStyle w:val="Default"/>
        <w:rPr>
          <w:b/>
          <w:bCs/>
        </w:rPr>
      </w:pPr>
      <w:r w:rsidRPr="00B772FD">
        <w:rPr>
          <w:b/>
          <w:bCs/>
        </w:rPr>
        <w:t xml:space="preserve">9. </w:t>
      </w:r>
      <w:r w:rsidRPr="00B772FD">
        <w:rPr>
          <w:b/>
          <w:bCs/>
        </w:rPr>
        <w:tab/>
        <w:t xml:space="preserve">Explain any decision to provide any payment or gift to respondents, other than remuneration of contractors or grantees. </w:t>
      </w:r>
    </w:p>
    <w:p w14:paraId="4B88039E" w14:textId="77777777" w:rsidR="00D42071" w:rsidRDefault="00D42071" w:rsidP="00203FA0"/>
    <w:p w14:paraId="3BFFAE6C" w14:textId="77777777" w:rsidR="00E326E3" w:rsidRDefault="00E326E3" w:rsidP="00203FA0">
      <w:r>
        <w:tab/>
        <w:t>Not applicable</w:t>
      </w:r>
      <w:r w:rsidR="00A13F5B">
        <w:t xml:space="preserve"> – The Commission does not provide any payments or gifts to respondents.  </w:t>
      </w:r>
    </w:p>
    <w:p w14:paraId="5AD33FE5" w14:textId="77777777" w:rsidR="00E326E3" w:rsidRDefault="00E326E3" w:rsidP="00203FA0"/>
    <w:p w14:paraId="75472C26" w14:textId="77777777" w:rsidR="00E326E3" w:rsidRDefault="00E326E3" w:rsidP="00203FA0"/>
    <w:p w14:paraId="4675A697" w14:textId="77777777" w:rsidR="00D42071" w:rsidRPr="00B772FD" w:rsidRDefault="00D42071" w:rsidP="00203FA0">
      <w:pPr>
        <w:autoSpaceDE w:val="0"/>
        <w:autoSpaceDN w:val="0"/>
        <w:adjustRightInd w:val="0"/>
        <w:rPr>
          <w:rFonts w:eastAsia="Calibri"/>
          <w:color w:val="000000"/>
        </w:rPr>
      </w:pPr>
      <w:r w:rsidRPr="00B772FD">
        <w:rPr>
          <w:rFonts w:eastAsia="Calibri"/>
          <w:b/>
          <w:bCs/>
          <w:color w:val="000000"/>
        </w:rPr>
        <w:t xml:space="preserve">10. </w:t>
      </w:r>
      <w:r w:rsidRPr="00B772FD">
        <w:rPr>
          <w:rFonts w:eastAsia="Calibri"/>
          <w:b/>
          <w:bCs/>
          <w:color w:val="000000"/>
        </w:rPr>
        <w:tab/>
        <w:t xml:space="preserve">Describe any assurance of confidentiality provided to respondents and the basis for the assurance in statute, regulation, or agency policy. </w:t>
      </w:r>
    </w:p>
    <w:p w14:paraId="2A84C134" w14:textId="77777777" w:rsidR="00D42071" w:rsidRDefault="00D42071" w:rsidP="00203FA0"/>
    <w:p w14:paraId="41F4B345" w14:textId="77777777" w:rsidR="00E326E3" w:rsidRDefault="00E326E3" w:rsidP="00203FA0">
      <w:r>
        <w:tab/>
      </w:r>
      <w:r w:rsidR="00FA3CA4">
        <w:t>Tariff information is available to anyone who requests it, and there are no provisions for con</w:t>
      </w:r>
      <w:r w:rsidR="00A07E36">
        <w:t>f</w:t>
      </w:r>
      <w:r w:rsidR="00FA3CA4">
        <w:t>identiality.</w:t>
      </w:r>
    </w:p>
    <w:p w14:paraId="638E2D90" w14:textId="77777777" w:rsidR="00D42071" w:rsidRPr="00B772FD" w:rsidRDefault="00D42071" w:rsidP="00203FA0">
      <w:pPr>
        <w:autoSpaceDE w:val="0"/>
        <w:autoSpaceDN w:val="0"/>
        <w:adjustRightInd w:val="0"/>
        <w:rPr>
          <w:rFonts w:eastAsia="Calibri"/>
          <w:b/>
          <w:bCs/>
          <w:color w:val="000000"/>
        </w:rPr>
      </w:pPr>
      <w:r w:rsidRPr="00B772FD">
        <w:rPr>
          <w:rFonts w:eastAsia="Calibri"/>
          <w:b/>
          <w:bCs/>
          <w:color w:val="000000"/>
        </w:rPr>
        <w:t xml:space="preserve">11. </w:t>
      </w:r>
      <w:r w:rsidRPr="00B772FD">
        <w:rPr>
          <w:rFonts w:eastAsia="Calibri"/>
          <w:b/>
          <w:bCs/>
          <w:color w:val="000000"/>
        </w:rPr>
        <w:tab/>
        <w:t xml:space="preserve">Provide additional justification for any questions of a sensitive nature, such as sexual behavior and attitudes, religious beliefs, and other matters that are commonly considered private. This justification should include the reasons why FMC considers the questions necessary, the specific uses to be made of the information, the explanation to be given to persons from whom the information is requested, and any steps to be taken to obtain their consent. </w:t>
      </w:r>
    </w:p>
    <w:p w14:paraId="6076E2CC" w14:textId="77777777" w:rsidR="00D42071" w:rsidRDefault="00D42071" w:rsidP="00203FA0"/>
    <w:p w14:paraId="4BE7A51E" w14:textId="77777777" w:rsidR="00E326E3" w:rsidRDefault="00E326E3" w:rsidP="00203FA0">
      <w:r>
        <w:tab/>
      </w:r>
      <w:r w:rsidR="00A13F5B">
        <w:t xml:space="preserve">There are no questions of a sensitive nature.  </w:t>
      </w:r>
    </w:p>
    <w:p w14:paraId="10B65727" w14:textId="77777777" w:rsidR="00EF1F56" w:rsidRDefault="00EF1F56" w:rsidP="00203FA0"/>
    <w:p w14:paraId="3E3A322F" w14:textId="77777777" w:rsidR="00EF1F56" w:rsidRDefault="00EF1F56" w:rsidP="00203FA0"/>
    <w:p w14:paraId="59A405B2" w14:textId="77777777" w:rsidR="00D42071" w:rsidRPr="00B772FD" w:rsidRDefault="00D42071" w:rsidP="00203FA0">
      <w:pPr>
        <w:autoSpaceDE w:val="0"/>
        <w:autoSpaceDN w:val="0"/>
        <w:adjustRightInd w:val="0"/>
        <w:rPr>
          <w:rFonts w:eastAsia="Calibri"/>
          <w:b/>
          <w:bCs/>
          <w:color w:val="000000"/>
        </w:rPr>
      </w:pPr>
      <w:r w:rsidRPr="00B772FD">
        <w:rPr>
          <w:rFonts w:eastAsia="Calibri"/>
          <w:b/>
          <w:bCs/>
          <w:color w:val="000000"/>
        </w:rPr>
        <w:t xml:space="preserve">12. </w:t>
      </w:r>
      <w:r w:rsidRPr="00B772FD">
        <w:rPr>
          <w:rFonts w:eastAsia="Calibri"/>
          <w:b/>
          <w:bCs/>
          <w:color w:val="000000"/>
        </w:rPr>
        <w:tab/>
        <w:t xml:space="preserve">Provide estimates of the hour burden of the collection of information. The statement should indicate the number of respondents, frequency of response, annual hour burden, and an explanation of how the burden was estimated. Unless directed to do so, FMC should not conduct special surveys to obtain information on which to base hour burden estimates. Consultation with a sample fewer than 10 potential respondents is desirable. </w:t>
      </w:r>
    </w:p>
    <w:p w14:paraId="047B6897" w14:textId="77777777" w:rsidR="00D42071" w:rsidRDefault="00D42071" w:rsidP="00203FA0"/>
    <w:p w14:paraId="0D68240D" w14:textId="77777777" w:rsidR="00D12FC9" w:rsidRDefault="00311174" w:rsidP="00203FA0">
      <w:r>
        <w:tab/>
        <w:t xml:space="preserve">The </w:t>
      </w:r>
      <w:r w:rsidR="00FA3CA4">
        <w:t xml:space="preserve">Commission estimates the total respondent universe to be </w:t>
      </w:r>
      <w:r w:rsidR="00547E99">
        <w:t>5,365</w:t>
      </w:r>
      <w:r w:rsidR="00FA3CA4">
        <w:t xml:space="preserve"> and the total hour burden for the publication of tariffs, notification/filing requirements, and recordkeeping requirements to be </w:t>
      </w:r>
      <w:r w:rsidR="00676D29">
        <w:t>2,200</w:t>
      </w:r>
      <w:r w:rsidR="008331C3" w:rsidRPr="001435C1">
        <w:t xml:space="preserve"> hours</w:t>
      </w:r>
      <w:r w:rsidR="00FA3CA4">
        <w:t xml:space="preserve"> (see below).  The Form FMC-1 is required before </w:t>
      </w:r>
      <w:r w:rsidR="00B97A8E">
        <w:t xml:space="preserve">tariffs </w:t>
      </w:r>
      <w:r w:rsidR="00FA3CA4">
        <w:t xml:space="preserve">may be </w:t>
      </w:r>
      <w:r w:rsidR="00B97A8E">
        <w:t>published</w:t>
      </w:r>
      <w:r w:rsidR="00676D29">
        <w:t xml:space="preserve"> (208</w:t>
      </w:r>
      <w:r w:rsidR="00547E99">
        <w:t xml:space="preserve"> hours)</w:t>
      </w:r>
      <w:r w:rsidR="00FA3CA4">
        <w:t xml:space="preserve">.  </w:t>
      </w:r>
      <w:r w:rsidR="008331C3">
        <w:t>This results i</w:t>
      </w:r>
      <w:r w:rsidR="00855306">
        <w:t>n an annual hour burden of</w:t>
      </w:r>
      <w:r w:rsidR="00A3452B">
        <w:rPr>
          <w:color w:val="FF0000"/>
        </w:rPr>
        <w:t xml:space="preserve"> </w:t>
      </w:r>
      <w:r w:rsidR="00A3452B">
        <w:t xml:space="preserve">2,408 </w:t>
      </w:r>
      <w:r w:rsidR="008331C3">
        <w:t xml:space="preserve">hours.  </w:t>
      </w:r>
      <w:r w:rsidR="00FA3CA4">
        <w:t xml:space="preserve">The Commission estimates an annualized cost to respondents for information collection as </w:t>
      </w:r>
      <w:r w:rsidR="00A3452B">
        <w:t>$159,490</w:t>
      </w:r>
      <w:r w:rsidR="00FA3CA4">
        <w:t>.  This includes overhead and benefits.</w:t>
      </w:r>
      <w:r w:rsidR="005763D1">
        <w:t xml:space="preserve">  (See Attachment 1.)</w:t>
      </w:r>
    </w:p>
    <w:p w14:paraId="6F3BCD3A" w14:textId="77777777" w:rsidR="00300764" w:rsidRDefault="00300764" w:rsidP="00203FA0"/>
    <w:p w14:paraId="643D2759" w14:textId="77777777" w:rsidR="00300764" w:rsidRDefault="00300764" w:rsidP="00203FA0">
      <w:pPr>
        <w:rPr>
          <w:b/>
        </w:rPr>
      </w:pPr>
      <w:r>
        <w:rPr>
          <w:b/>
        </w:rPr>
        <w:t>TARIFF CONTENT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8"/>
        <w:gridCol w:w="1710"/>
        <w:gridCol w:w="1530"/>
        <w:gridCol w:w="1800"/>
        <w:gridCol w:w="1098"/>
      </w:tblGrid>
      <w:tr w:rsidR="009A01E0" w14:paraId="2659C30F" w14:textId="77777777" w:rsidTr="00E43355">
        <w:tc>
          <w:tcPr>
            <w:tcW w:w="3438" w:type="dxa"/>
          </w:tcPr>
          <w:p w14:paraId="191B7626" w14:textId="77777777" w:rsidR="009A01E0" w:rsidRPr="00796A0C" w:rsidRDefault="009A01E0" w:rsidP="00203FA0">
            <w:pPr>
              <w:rPr>
                <w:b/>
              </w:rPr>
            </w:pPr>
            <w:r w:rsidRPr="00796A0C">
              <w:rPr>
                <w:b/>
              </w:rPr>
              <w:t>Requirement</w:t>
            </w:r>
          </w:p>
        </w:tc>
        <w:tc>
          <w:tcPr>
            <w:tcW w:w="1710" w:type="dxa"/>
          </w:tcPr>
          <w:p w14:paraId="4D904A19" w14:textId="77777777" w:rsidR="009A01E0" w:rsidRPr="00796A0C" w:rsidRDefault="009A01E0" w:rsidP="00203FA0">
            <w:pPr>
              <w:rPr>
                <w:b/>
              </w:rPr>
            </w:pPr>
            <w:r w:rsidRPr="00796A0C">
              <w:rPr>
                <w:b/>
              </w:rPr>
              <w:t>Annual Respondents</w:t>
            </w:r>
          </w:p>
        </w:tc>
        <w:tc>
          <w:tcPr>
            <w:tcW w:w="1530" w:type="dxa"/>
          </w:tcPr>
          <w:p w14:paraId="3377870F" w14:textId="77777777" w:rsidR="009A01E0" w:rsidRPr="00796A0C" w:rsidRDefault="009A01E0" w:rsidP="00203FA0">
            <w:pPr>
              <w:rPr>
                <w:b/>
              </w:rPr>
            </w:pPr>
            <w:r w:rsidRPr="00796A0C">
              <w:rPr>
                <w:b/>
              </w:rPr>
              <w:t>Annual Instances</w:t>
            </w:r>
          </w:p>
        </w:tc>
        <w:tc>
          <w:tcPr>
            <w:tcW w:w="1800" w:type="dxa"/>
          </w:tcPr>
          <w:p w14:paraId="0B852C75" w14:textId="77777777" w:rsidR="009A01E0" w:rsidRPr="00796A0C" w:rsidRDefault="009A01E0" w:rsidP="00203FA0">
            <w:pPr>
              <w:rPr>
                <w:b/>
              </w:rPr>
            </w:pPr>
            <w:r w:rsidRPr="00796A0C">
              <w:rPr>
                <w:b/>
              </w:rPr>
              <w:t>Average Hour Per Response</w:t>
            </w:r>
          </w:p>
        </w:tc>
        <w:tc>
          <w:tcPr>
            <w:tcW w:w="1098" w:type="dxa"/>
          </w:tcPr>
          <w:p w14:paraId="0F074E76" w14:textId="77777777" w:rsidR="009A01E0" w:rsidRPr="00796A0C" w:rsidRDefault="009A01E0" w:rsidP="00203FA0">
            <w:pPr>
              <w:rPr>
                <w:b/>
              </w:rPr>
            </w:pPr>
            <w:r w:rsidRPr="00796A0C">
              <w:rPr>
                <w:b/>
              </w:rPr>
              <w:t>Total Hours</w:t>
            </w:r>
          </w:p>
        </w:tc>
      </w:tr>
      <w:tr w:rsidR="009A01E0" w14:paraId="76ACDEEC" w14:textId="77777777" w:rsidTr="00E43355">
        <w:tc>
          <w:tcPr>
            <w:tcW w:w="3438" w:type="dxa"/>
          </w:tcPr>
          <w:p w14:paraId="5C9CE725" w14:textId="77777777" w:rsidR="009A01E0" w:rsidRDefault="00300764" w:rsidP="00203FA0">
            <w:r>
              <w:t>Publish tariffs &amp; keep open for public inspection</w:t>
            </w:r>
            <w:r w:rsidR="0021346A">
              <w:rPr>
                <w:rStyle w:val="FootnoteReference"/>
              </w:rPr>
              <w:footnoteReference w:id="1"/>
            </w:r>
          </w:p>
        </w:tc>
        <w:tc>
          <w:tcPr>
            <w:tcW w:w="1710" w:type="dxa"/>
          </w:tcPr>
          <w:p w14:paraId="0A5C6856" w14:textId="77777777" w:rsidR="009A01E0" w:rsidRPr="00796A0C" w:rsidRDefault="00CE6F0E" w:rsidP="00203FA0">
            <w:pPr>
              <w:rPr>
                <w:vertAlign w:val="superscript"/>
              </w:rPr>
            </w:pPr>
            <w:r>
              <w:t>1,425</w:t>
            </w:r>
          </w:p>
        </w:tc>
        <w:tc>
          <w:tcPr>
            <w:tcW w:w="1530" w:type="dxa"/>
          </w:tcPr>
          <w:p w14:paraId="161B6251" w14:textId="77777777" w:rsidR="009A01E0" w:rsidRDefault="00003072" w:rsidP="00203FA0">
            <w:r>
              <w:t>   </w:t>
            </w:r>
            <w:r w:rsidR="00805A61">
              <w:t>    </w:t>
            </w:r>
            <w:r w:rsidR="00B30532">
              <w:t>415</w:t>
            </w:r>
          </w:p>
        </w:tc>
        <w:tc>
          <w:tcPr>
            <w:tcW w:w="1800" w:type="dxa"/>
          </w:tcPr>
          <w:p w14:paraId="3397844F" w14:textId="77777777" w:rsidR="009A01E0" w:rsidRDefault="00964E68" w:rsidP="00203FA0">
            <w:r>
              <w:t>  </w:t>
            </w:r>
            <w:r w:rsidR="00300764">
              <w:t>.1</w:t>
            </w:r>
          </w:p>
        </w:tc>
        <w:tc>
          <w:tcPr>
            <w:tcW w:w="1098" w:type="dxa"/>
          </w:tcPr>
          <w:p w14:paraId="56BB9E18" w14:textId="77777777" w:rsidR="009A01E0" w:rsidRDefault="00003072" w:rsidP="00203FA0">
            <w:r>
              <w:t>  </w:t>
            </w:r>
            <w:r w:rsidR="00A3452B">
              <w:t>   </w:t>
            </w:r>
            <w:r w:rsidR="00C20D0C">
              <w:t xml:space="preserve"> 4</w:t>
            </w:r>
            <w:r w:rsidR="00540EA5">
              <w:t>2</w:t>
            </w:r>
          </w:p>
        </w:tc>
      </w:tr>
    </w:tbl>
    <w:p w14:paraId="60F10CA0" w14:textId="77777777" w:rsidR="009A01E0" w:rsidRDefault="009A01E0" w:rsidP="00203FA0"/>
    <w:p w14:paraId="1A7E50EF" w14:textId="77777777" w:rsidR="00300764" w:rsidRDefault="00300764" w:rsidP="00A07E36">
      <w:pPr>
        <w:jc w:val="center"/>
      </w:pPr>
      <w:r>
        <w:t>[Disclosure/Third-party Requirements (included in above calculations)]</w:t>
      </w:r>
    </w:p>
    <w:p w14:paraId="7AF3AF7F" w14:textId="77777777" w:rsidR="00300764" w:rsidRDefault="00300764" w:rsidP="00203FA0"/>
    <w:p w14:paraId="71A090B2" w14:textId="77777777" w:rsidR="00300764" w:rsidRDefault="00300764" w:rsidP="00203FA0">
      <w:pPr>
        <w:rPr>
          <w:b/>
        </w:rPr>
      </w:pPr>
      <w:r>
        <w:rPr>
          <w:b/>
        </w:rPr>
        <w:t>NOTIFICATION/FILING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8"/>
        <w:gridCol w:w="1710"/>
        <w:gridCol w:w="1530"/>
        <w:gridCol w:w="1800"/>
        <w:gridCol w:w="1098"/>
      </w:tblGrid>
      <w:tr w:rsidR="00964E68" w14:paraId="54706815" w14:textId="77777777" w:rsidTr="00E43355">
        <w:tc>
          <w:tcPr>
            <w:tcW w:w="3438" w:type="dxa"/>
          </w:tcPr>
          <w:p w14:paraId="37DBFCB8" w14:textId="77777777" w:rsidR="00964E68" w:rsidRPr="00796A0C" w:rsidRDefault="00964E68" w:rsidP="00203FA0">
            <w:pPr>
              <w:rPr>
                <w:b/>
              </w:rPr>
            </w:pPr>
            <w:r w:rsidRPr="00796A0C">
              <w:rPr>
                <w:b/>
              </w:rPr>
              <w:t>Requirement</w:t>
            </w:r>
          </w:p>
        </w:tc>
        <w:tc>
          <w:tcPr>
            <w:tcW w:w="1710" w:type="dxa"/>
          </w:tcPr>
          <w:p w14:paraId="0D7AE2A8" w14:textId="77777777" w:rsidR="00964E68" w:rsidRPr="00796A0C" w:rsidRDefault="00964E68" w:rsidP="00203FA0">
            <w:pPr>
              <w:rPr>
                <w:b/>
              </w:rPr>
            </w:pPr>
            <w:r w:rsidRPr="00796A0C">
              <w:rPr>
                <w:b/>
              </w:rPr>
              <w:t>Annual Respondents</w:t>
            </w:r>
          </w:p>
        </w:tc>
        <w:tc>
          <w:tcPr>
            <w:tcW w:w="1530" w:type="dxa"/>
          </w:tcPr>
          <w:p w14:paraId="3E560945" w14:textId="77777777" w:rsidR="00964E68" w:rsidRPr="00796A0C" w:rsidRDefault="00964E68" w:rsidP="00203FA0">
            <w:pPr>
              <w:rPr>
                <w:b/>
              </w:rPr>
            </w:pPr>
            <w:r w:rsidRPr="00796A0C">
              <w:rPr>
                <w:b/>
              </w:rPr>
              <w:t>Annual Instances</w:t>
            </w:r>
          </w:p>
        </w:tc>
        <w:tc>
          <w:tcPr>
            <w:tcW w:w="1800" w:type="dxa"/>
          </w:tcPr>
          <w:p w14:paraId="05AE656D" w14:textId="77777777" w:rsidR="00964E68" w:rsidRPr="00796A0C" w:rsidRDefault="00964E68" w:rsidP="00203FA0">
            <w:pPr>
              <w:rPr>
                <w:b/>
              </w:rPr>
            </w:pPr>
            <w:r w:rsidRPr="00796A0C">
              <w:rPr>
                <w:b/>
              </w:rPr>
              <w:t>Average Hour Per Response</w:t>
            </w:r>
          </w:p>
        </w:tc>
        <w:tc>
          <w:tcPr>
            <w:tcW w:w="1098" w:type="dxa"/>
          </w:tcPr>
          <w:p w14:paraId="0E75B368" w14:textId="77777777" w:rsidR="00964E68" w:rsidRPr="00796A0C" w:rsidRDefault="00964E68" w:rsidP="00203FA0">
            <w:pPr>
              <w:rPr>
                <w:b/>
              </w:rPr>
            </w:pPr>
            <w:r w:rsidRPr="00796A0C">
              <w:rPr>
                <w:b/>
              </w:rPr>
              <w:t>Total Hours</w:t>
            </w:r>
          </w:p>
        </w:tc>
      </w:tr>
      <w:tr w:rsidR="00964E68" w14:paraId="5D5D8002" w14:textId="77777777" w:rsidTr="00E43355">
        <w:tc>
          <w:tcPr>
            <w:tcW w:w="3438" w:type="dxa"/>
          </w:tcPr>
          <w:p w14:paraId="7755DC85" w14:textId="77777777" w:rsidR="00964E68" w:rsidRPr="0021346A" w:rsidRDefault="00964E68" w:rsidP="00203FA0">
            <w:r w:rsidRPr="0021346A">
              <w:t>Related Forms (Form FMC-1)</w:t>
            </w:r>
          </w:p>
        </w:tc>
        <w:tc>
          <w:tcPr>
            <w:tcW w:w="1710" w:type="dxa"/>
          </w:tcPr>
          <w:p w14:paraId="33F9D3ED" w14:textId="77777777" w:rsidR="00964E68" w:rsidRDefault="00B30532" w:rsidP="00203FA0">
            <w:r>
              <w:t>415</w:t>
            </w:r>
          </w:p>
        </w:tc>
        <w:tc>
          <w:tcPr>
            <w:tcW w:w="1530" w:type="dxa"/>
          </w:tcPr>
          <w:p w14:paraId="1243FD72" w14:textId="77777777" w:rsidR="00964E68" w:rsidRDefault="00805A61" w:rsidP="00203FA0">
            <w:r>
              <w:t>    </w:t>
            </w:r>
            <w:r w:rsidR="00B30532">
              <w:t>415</w:t>
            </w:r>
          </w:p>
        </w:tc>
        <w:tc>
          <w:tcPr>
            <w:tcW w:w="1800" w:type="dxa"/>
          </w:tcPr>
          <w:p w14:paraId="555EC9CA" w14:textId="77777777" w:rsidR="00964E68" w:rsidRDefault="00964E68" w:rsidP="00203FA0">
            <w:r>
              <w:t>  .5</w:t>
            </w:r>
          </w:p>
        </w:tc>
        <w:tc>
          <w:tcPr>
            <w:tcW w:w="1098" w:type="dxa"/>
          </w:tcPr>
          <w:p w14:paraId="3070403F" w14:textId="77777777" w:rsidR="00964E68" w:rsidRDefault="00805A61" w:rsidP="00203FA0">
            <w:r>
              <w:t> </w:t>
            </w:r>
            <w:r w:rsidR="00B30532">
              <w:t>208</w:t>
            </w:r>
          </w:p>
        </w:tc>
      </w:tr>
      <w:tr w:rsidR="00964E68" w14:paraId="54B75E65" w14:textId="77777777" w:rsidTr="00E43355">
        <w:tc>
          <w:tcPr>
            <w:tcW w:w="3438" w:type="dxa"/>
          </w:tcPr>
          <w:p w14:paraId="6704C5BC" w14:textId="77777777" w:rsidR="00964E68" w:rsidRDefault="00964E68" w:rsidP="00203FA0">
            <w:r>
              <w:t>Inform FMC in writing of certain occurrences, e.g., cancellations, new publishers, etc.</w:t>
            </w:r>
          </w:p>
        </w:tc>
        <w:tc>
          <w:tcPr>
            <w:tcW w:w="1710" w:type="dxa"/>
          </w:tcPr>
          <w:p w14:paraId="3D22A48C" w14:textId="77777777" w:rsidR="00964E68" w:rsidRDefault="00C20D0C" w:rsidP="00203FA0">
            <w:r>
              <w:t>1,801</w:t>
            </w:r>
          </w:p>
        </w:tc>
        <w:tc>
          <w:tcPr>
            <w:tcW w:w="1530" w:type="dxa"/>
          </w:tcPr>
          <w:p w14:paraId="750F743C" w14:textId="77777777" w:rsidR="00964E68" w:rsidRDefault="00C20D0C" w:rsidP="00203FA0">
            <w:r>
              <w:t>  </w:t>
            </w:r>
            <w:r w:rsidR="00540EA5">
              <w:t>1,793</w:t>
            </w:r>
          </w:p>
        </w:tc>
        <w:tc>
          <w:tcPr>
            <w:tcW w:w="1800" w:type="dxa"/>
          </w:tcPr>
          <w:p w14:paraId="6CEB18C8" w14:textId="77777777" w:rsidR="00964E68" w:rsidRDefault="0018639B" w:rsidP="00203FA0">
            <w:r>
              <w:t>  .25</w:t>
            </w:r>
          </w:p>
        </w:tc>
        <w:tc>
          <w:tcPr>
            <w:tcW w:w="1098" w:type="dxa"/>
          </w:tcPr>
          <w:p w14:paraId="12229B95" w14:textId="77777777" w:rsidR="00964E68" w:rsidRDefault="00C20D0C" w:rsidP="00203FA0">
            <w:r>
              <w:t> </w:t>
            </w:r>
            <w:r w:rsidR="00540EA5">
              <w:t>448</w:t>
            </w:r>
          </w:p>
        </w:tc>
      </w:tr>
      <w:tr w:rsidR="00801FB1" w14:paraId="6B0D7D72" w14:textId="77777777" w:rsidTr="00E43355">
        <w:tc>
          <w:tcPr>
            <w:tcW w:w="3438" w:type="dxa"/>
          </w:tcPr>
          <w:p w14:paraId="19AD3C89" w14:textId="77777777" w:rsidR="00801FB1" w:rsidRDefault="00801FB1" w:rsidP="00203FA0">
            <w:r>
              <w:t>File documents with FMC &amp; certifications</w:t>
            </w:r>
          </w:p>
        </w:tc>
        <w:tc>
          <w:tcPr>
            <w:tcW w:w="1710" w:type="dxa"/>
          </w:tcPr>
          <w:p w14:paraId="25F80034" w14:textId="77777777" w:rsidR="00801FB1" w:rsidRDefault="0021029C" w:rsidP="00203FA0">
            <w:r>
              <w:t xml:space="preserve">       1</w:t>
            </w:r>
          </w:p>
        </w:tc>
        <w:tc>
          <w:tcPr>
            <w:tcW w:w="1530" w:type="dxa"/>
          </w:tcPr>
          <w:p w14:paraId="362C99B7" w14:textId="77777777" w:rsidR="00801FB1" w:rsidRDefault="00855306" w:rsidP="00203FA0">
            <w:r>
              <w:t xml:space="preserve">       </w:t>
            </w:r>
            <w:r w:rsidR="00805A61">
              <w:t>    </w:t>
            </w:r>
            <w:r w:rsidR="00801FB1">
              <w:t>1</w:t>
            </w:r>
            <w:r w:rsidR="00801FB1">
              <w:rPr>
                <w:rStyle w:val="FootnoteReference"/>
              </w:rPr>
              <w:footnoteReference w:id="2"/>
            </w:r>
          </w:p>
        </w:tc>
        <w:tc>
          <w:tcPr>
            <w:tcW w:w="1800" w:type="dxa"/>
          </w:tcPr>
          <w:p w14:paraId="6811DE9D" w14:textId="77777777" w:rsidR="00801FB1" w:rsidRDefault="00855306" w:rsidP="00203FA0">
            <w:r>
              <w:t xml:space="preserve">  </w:t>
            </w:r>
            <w:r w:rsidR="00801FB1">
              <w:t>.5</w:t>
            </w:r>
          </w:p>
        </w:tc>
        <w:tc>
          <w:tcPr>
            <w:tcW w:w="1098" w:type="dxa"/>
          </w:tcPr>
          <w:p w14:paraId="109624C6" w14:textId="77777777" w:rsidR="00801FB1" w:rsidRDefault="00801FB1" w:rsidP="00203FA0">
            <w:r>
              <w:t xml:space="preserve">       .5</w:t>
            </w:r>
          </w:p>
        </w:tc>
      </w:tr>
    </w:tbl>
    <w:p w14:paraId="7F925D1F" w14:textId="77777777" w:rsidR="00964E68" w:rsidRDefault="00964E68" w:rsidP="00203FA0"/>
    <w:p w14:paraId="2D0B5EE1" w14:textId="77777777" w:rsidR="00964E68" w:rsidRDefault="00964E68" w:rsidP="00A07E36">
      <w:pPr>
        <w:jc w:val="center"/>
      </w:pPr>
      <w:r>
        <w:t>[Disclosure/Third-party Requirements (included in above calculations)]</w:t>
      </w:r>
    </w:p>
    <w:p w14:paraId="2843B7E1" w14:textId="77777777" w:rsidR="00964E68" w:rsidRDefault="00964E68" w:rsidP="00203FA0"/>
    <w:p w14:paraId="48F1F9EC" w14:textId="77777777" w:rsidR="00964E68" w:rsidRDefault="00964E68" w:rsidP="00203FA0">
      <w:pPr>
        <w:rPr>
          <w:b/>
        </w:rPr>
      </w:pPr>
      <w:r>
        <w:rPr>
          <w:b/>
        </w:rPr>
        <w:t>RECORDKEEPING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8"/>
        <w:gridCol w:w="1710"/>
        <w:gridCol w:w="1530"/>
        <w:gridCol w:w="1800"/>
        <w:gridCol w:w="1098"/>
      </w:tblGrid>
      <w:tr w:rsidR="00964E68" w14:paraId="37695BFB" w14:textId="77777777" w:rsidTr="00E43355">
        <w:tc>
          <w:tcPr>
            <w:tcW w:w="3438" w:type="dxa"/>
          </w:tcPr>
          <w:p w14:paraId="060D9BA5" w14:textId="77777777" w:rsidR="00964E68" w:rsidRPr="00796A0C" w:rsidRDefault="00964E68" w:rsidP="00203FA0">
            <w:pPr>
              <w:rPr>
                <w:b/>
              </w:rPr>
            </w:pPr>
            <w:r w:rsidRPr="00796A0C">
              <w:rPr>
                <w:b/>
              </w:rPr>
              <w:t>Requirement</w:t>
            </w:r>
          </w:p>
        </w:tc>
        <w:tc>
          <w:tcPr>
            <w:tcW w:w="1710" w:type="dxa"/>
          </w:tcPr>
          <w:p w14:paraId="5318B24D" w14:textId="77777777" w:rsidR="00964E68" w:rsidRPr="00796A0C" w:rsidRDefault="00964E68" w:rsidP="00203FA0">
            <w:pPr>
              <w:rPr>
                <w:b/>
              </w:rPr>
            </w:pPr>
            <w:r w:rsidRPr="00796A0C">
              <w:rPr>
                <w:b/>
              </w:rPr>
              <w:t>Annual Respondents</w:t>
            </w:r>
          </w:p>
        </w:tc>
        <w:tc>
          <w:tcPr>
            <w:tcW w:w="1530" w:type="dxa"/>
          </w:tcPr>
          <w:p w14:paraId="757D1800" w14:textId="77777777" w:rsidR="00964E68" w:rsidRPr="00796A0C" w:rsidRDefault="00964E68" w:rsidP="00203FA0">
            <w:pPr>
              <w:rPr>
                <w:b/>
              </w:rPr>
            </w:pPr>
            <w:r w:rsidRPr="00796A0C">
              <w:rPr>
                <w:b/>
              </w:rPr>
              <w:t>Annual Instances</w:t>
            </w:r>
          </w:p>
        </w:tc>
        <w:tc>
          <w:tcPr>
            <w:tcW w:w="1800" w:type="dxa"/>
          </w:tcPr>
          <w:p w14:paraId="5B0EA4A5" w14:textId="77777777" w:rsidR="00964E68" w:rsidRPr="00796A0C" w:rsidRDefault="00964E68" w:rsidP="00203FA0">
            <w:pPr>
              <w:rPr>
                <w:b/>
              </w:rPr>
            </w:pPr>
            <w:r w:rsidRPr="00796A0C">
              <w:rPr>
                <w:b/>
              </w:rPr>
              <w:t>Average Hour Per Response</w:t>
            </w:r>
          </w:p>
        </w:tc>
        <w:tc>
          <w:tcPr>
            <w:tcW w:w="1098" w:type="dxa"/>
          </w:tcPr>
          <w:p w14:paraId="5BCF3677" w14:textId="77777777" w:rsidR="00964E68" w:rsidRPr="00796A0C" w:rsidRDefault="00964E68" w:rsidP="00203FA0">
            <w:pPr>
              <w:rPr>
                <w:b/>
              </w:rPr>
            </w:pPr>
            <w:r w:rsidRPr="00796A0C">
              <w:rPr>
                <w:b/>
              </w:rPr>
              <w:t>Total Hours</w:t>
            </w:r>
          </w:p>
        </w:tc>
      </w:tr>
      <w:tr w:rsidR="00964E68" w14:paraId="33358DBE" w14:textId="77777777" w:rsidTr="00E43355">
        <w:tc>
          <w:tcPr>
            <w:tcW w:w="3438" w:type="dxa"/>
          </w:tcPr>
          <w:p w14:paraId="5FFA8379" w14:textId="77777777" w:rsidR="00964E68" w:rsidRDefault="00964E68" w:rsidP="00203FA0">
            <w:r>
              <w:t>Maintain data in tariff publication systems</w:t>
            </w:r>
          </w:p>
        </w:tc>
        <w:tc>
          <w:tcPr>
            <w:tcW w:w="1710" w:type="dxa"/>
          </w:tcPr>
          <w:p w14:paraId="2892AA40" w14:textId="77777777" w:rsidR="00964E68" w:rsidRDefault="00C20D0C" w:rsidP="00203FA0">
            <w:r>
              <w:t>5,365</w:t>
            </w:r>
          </w:p>
        </w:tc>
        <w:tc>
          <w:tcPr>
            <w:tcW w:w="1530" w:type="dxa"/>
          </w:tcPr>
          <w:p w14:paraId="1D9A254E" w14:textId="77777777" w:rsidR="00964E68" w:rsidRDefault="00C20D0C" w:rsidP="00203FA0">
            <w:r>
              <w:t>101,625</w:t>
            </w:r>
          </w:p>
        </w:tc>
        <w:tc>
          <w:tcPr>
            <w:tcW w:w="1800" w:type="dxa"/>
          </w:tcPr>
          <w:p w14:paraId="3D95E2D3" w14:textId="77777777" w:rsidR="00964E68" w:rsidRDefault="00F53331" w:rsidP="00203FA0">
            <w:r>
              <w:t>.0167</w:t>
            </w:r>
          </w:p>
        </w:tc>
        <w:tc>
          <w:tcPr>
            <w:tcW w:w="1098" w:type="dxa"/>
          </w:tcPr>
          <w:p w14:paraId="3A2B890D" w14:textId="77777777" w:rsidR="00964E68" w:rsidRDefault="00C20D0C" w:rsidP="00203FA0">
            <w:r>
              <w:t>1,697</w:t>
            </w:r>
          </w:p>
        </w:tc>
      </w:tr>
      <w:tr w:rsidR="00964E68" w14:paraId="0D00F76F" w14:textId="77777777" w:rsidTr="00E43355">
        <w:tc>
          <w:tcPr>
            <w:tcW w:w="3438" w:type="dxa"/>
          </w:tcPr>
          <w:p w14:paraId="288B7995" w14:textId="77777777" w:rsidR="00964E68" w:rsidRDefault="00964E68" w:rsidP="00203FA0">
            <w:r>
              <w:t>Provide reasonable access to FMC</w:t>
            </w:r>
          </w:p>
        </w:tc>
        <w:tc>
          <w:tcPr>
            <w:tcW w:w="1710" w:type="dxa"/>
          </w:tcPr>
          <w:p w14:paraId="09C40E84" w14:textId="77777777" w:rsidR="00964E68" w:rsidRDefault="00C20D0C" w:rsidP="00203FA0">
            <w:r>
              <w:t>5,365</w:t>
            </w:r>
          </w:p>
        </w:tc>
        <w:tc>
          <w:tcPr>
            <w:tcW w:w="1530" w:type="dxa"/>
          </w:tcPr>
          <w:p w14:paraId="416D9912" w14:textId="77777777" w:rsidR="00964E68" w:rsidRDefault="00E87F82" w:rsidP="00203FA0">
            <w:r>
              <w:t xml:space="preserve">           5</w:t>
            </w:r>
          </w:p>
        </w:tc>
        <w:tc>
          <w:tcPr>
            <w:tcW w:w="1800" w:type="dxa"/>
          </w:tcPr>
          <w:p w14:paraId="24962D72" w14:textId="77777777" w:rsidR="00964E68" w:rsidRDefault="00E87F82" w:rsidP="00203FA0">
            <w:r>
              <w:t>2</w:t>
            </w:r>
          </w:p>
        </w:tc>
        <w:tc>
          <w:tcPr>
            <w:tcW w:w="1098" w:type="dxa"/>
          </w:tcPr>
          <w:p w14:paraId="305A2317" w14:textId="77777777" w:rsidR="00964E68" w:rsidRDefault="001F1DD2" w:rsidP="00203FA0">
            <w:r>
              <w:t>    </w:t>
            </w:r>
            <w:r w:rsidR="00805A61">
              <w:t> </w:t>
            </w:r>
            <w:r w:rsidR="00E87F82">
              <w:t>10</w:t>
            </w:r>
          </w:p>
        </w:tc>
      </w:tr>
      <w:tr w:rsidR="00801FB1" w14:paraId="48C51FE1" w14:textId="77777777" w:rsidTr="00E43355">
        <w:tc>
          <w:tcPr>
            <w:tcW w:w="3438" w:type="dxa"/>
          </w:tcPr>
          <w:p w14:paraId="79211B23" w14:textId="77777777" w:rsidR="00801FB1" w:rsidRDefault="00801FB1" w:rsidP="00203FA0">
            <w:r>
              <w:t>Maintain shipper notices &amp; shipment records for time/volume</w:t>
            </w:r>
          </w:p>
        </w:tc>
        <w:tc>
          <w:tcPr>
            <w:tcW w:w="1710" w:type="dxa"/>
          </w:tcPr>
          <w:p w14:paraId="061B084D" w14:textId="77777777" w:rsidR="00801FB1" w:rsidRDefault="0021029C" w:rsidP="00203FA0">
            <w:r>
              <w:t xml:space="preserve">       1</w:t>
            </w:r>
          </w:p>
        </w:tc>
        <w:tc>
          <w:tcPr>
            <w:tcW w:w="1530" w:type="dxa"/>
          </w:tcPr>
          <w:p w14:paraId="561A2BBE" w14:textId="77777777" w:rsidR="00801FB1" w:rsidRDefault="00855306" w:rsidP="00203FA0">
            <w:r>
              <w:t xml:space="preserve">       </w:t>
            </w:r>
            <w:r w:rsidR="00805A61">
              <w:t xml:space="preserve">    </w:t>
            </w:r>
            <w:r w:rsidR="00801FB1">
              <w:t>1</w:t>
            </w:r>
            <w:r w:rsidR="00801FB1">
              <w:rPr>
                <w:rStyle w:val="FootnoteReference"/>
              </w:rPr>
              <w:footnoteReference w:id="3"/>
            </w:r>
          </w:p>
        </w:tc>
        <w:tc>
          <w:tcPr>
            <w:tcW w:w="1800" w:type="dxa"/>
          </w:tcPr>
          <w:p w14:paraId="450CF396" w14:textId="77777777" w:rsidR="00801FB1" w:rsidRDefault="00801FB1" w:rsidP="00203FA0">
            <w:r>
              <w:t>2</w:t>
            </w:r>
          </w:p>
        </w:tc>
        <w:tc>
          <w:tcPr>
            <w:tcW w:w="1098" w:type="dxa"/>
          </w:tcPr>
          <w:p w14:paraId="1CE999FC" w14:textId="77777777" w:rsidR="00801FB1" w:rsidRDefault="00801FB1" w:rsidP="00203FA0">
            <w:r>
              <w:t xml:space="preserve">       2</w:t>
            </w:r>
          </w:p>
        </w:tc>
      </w:tr>
    </w:tbl>
    <w:p w14:paraId="4D64D194" w14:textId="77777777" w:rsidR="00E43355" w:rsidRDefault="00E43355" w:rsidP="00203FA0">
      <w:pPr>
        <w:rPr>
          <w:b/>
        </w:rPr>
      </w:pPr>
    </w:p>
    <w:p w14:paraId="2FC9089D" w14:textId="77777777" w:rsidR="00964E68" w:rsidRDefault="00003072" w:rsidP="00203FA0">
      <w:pPr>
        <w:rPr>
          <w:b/>
        </w:rPr>
      </w:pPr>
      <w:r>
        <w:rPr>
          <w:b/>
        </w:rPr>
        <w:t>TOTALS FOR ALL REQUIREM</w:t>
      </w:r>
      <w:r w:rsidR="00C80C01">
        <w:rPr>
          <w:b/>
        </w:rPr>
        <w:t>ENTS</w:t>
      </w:r>
      <w:r w:rsidR="00C80C01">
        <w:rPr>
          <w:b/>
        </w:rPr>
        <w:tab/>
      </w:r>
      <w:r w:rsidR="003267C7">
        <w:rPr>
          <w:b/>
        </w:rPr>
        <w:t xml:space="preserve">  </w:t>
      </w:r>
      <w:r w:rsidR="00287B4C">
        <w:rPr>
          <w:b/>
        </w:rPr>
        <w:tab/>
      </w:r>
      <w:r w:rsidR="00805A61">
        <w:rPr>
          <w:b/>
        </w:rPr>
        <w:t xml:space="preserve">   </w:t>
      </w:r>
      <w:r w:rsidR="00540EA5">
        <w:rPr>
          <w:b/>
        </w:rPr>
        <w:t>104,255</w:t>
      </w:r>
      <w:r w:rsidR="00C20D0C">
        <w:rPr>
          <w:b/>
        </w:rPr>
        <w:t xml:space="preserve">      </w:t>
      </w:r>
      <w:r w:rsidR="0010192B">
        <w:rPr>
          <w:b/>
        </w:rPr>
        <w:tab/>
      </w:r>
      <w:r w:rsidR="00011E25">
        <w:rPr>
          <w:b/>
        </w:rPr>
        <w:t xml:space="preserve">  </w:t>
      </w:r>
      <w:r w:rsidR="00A3452B">
        <w:rPr>
          <w:b/>
        </w:rPr>
        <w:t xml:space="preserve">                              </w:t>
      </w:r>
      <w:r w:rsidR="00540EA5" w:rsidRPr="00A3452B">
        <w:rPr>
          <w:b/>
        </w:rPr>
        <w:t>2,408</w:t>
      </w:r>
    </w:p>
    <w:p w14:paraId="4E5C2D73" w14:textId="77777777" w:rsidR="0041357C" w:rsidRDefault="0041357C" w:rsidP="00203FA0"/>
    <w:p w14:paraId="41487A61" w14:textId="77777777" w:rsidR="0041357C" w:rsidRDefault="0041357C" w:rsidP="00203FA0"/>
    <w:p w14:paraId="148BC0C5" w14:textId="77777777" w:rsidR="00805A61" w:rsidRDefault="0041357C" w:rsidP="00203FA0">
      <w:r w:rsidRPr="0041357C">
        <w:rPr>
          <w:color w:val="000000"/>
        </w:rPr>
        <w:t> </w:t>
      </w:r>
      <w:r w:rsidR="00805A61">
        <w:tab/>
        <w:t>The FMC offers the following descriptions of the information collection requirements shown in the above table:</w:t>
      </w:r>
    </w:p>
    <w:p w14:paraId="506EFDC3" w14:textId="77777777" w:rsidR="0041357C" w:rsidRPr="0041357C" w:rsidRDefault="0041357C" w:rsidP="00203FA0">
      <w:pPr>
        <w:rPr>
          <w:color w:val="000000"/>
        </w:rPr>
      </w:pPr>
    </w:p>
    <w:p w14:paraId="4D0A0485" w14:textId="77777777" w:rsidR="00AF1A38" w:rsidRDefault="0041357C" w:rsidP="00203FA0">
      <w:pPr>
        <w:rPr>
          <w:b/>
          <w:color w:val="000000"/>
        </w:rPr>
      </w:pPr>
      <w:r w:rsidRPr="0041357C">
        <w:rPr>
          <w:b/>
          <w:color w:val="000000"/>
        </w:rPr>
        <w:t>Publish tariffs &amp; keep open for public inspection</w:t>
      </w:r>
      <w:r w:rsidRPr="00AD401D">
        <w:rPr>
          <w:b/>
          <w:color w:val="000000"/>
        </w:rPr>
        <w:t>:</w:t>
      </w:r>
      <w:r w:rsidRPr="0041357C">
        <w:rPr>
          <w:color w:val="000000"/>
        </w:rPr>
        <w:t>  There are approximately</w:t>
      </w:r>
      <w:r w:rsidR="00A3452B">
        <w:rPr>
          <w:color w:val="000000"/>
        </w:rPr>
        <w:t xml:space="preserve"> </w:t>
      </w:r>
      <w:r w:rsidR="00011E25">
        <w:rPr>
          <w:color w:val="000000"/>
        </w:rPr>
        <w:t>165</w:t>
      </w:r>
      <w:r w:rsidRPr="0041357C">
        <w:rPr>
          <w:color w:val="000000"/>
        </w:rPr>
        <w:t xml:space="preserve"> Vessel Operating Common Carriers (VOCCs) and </w:t>
      </w:r>
      <w:r w:rsidR="00011E25">
        <w:rPr>
          <w:color w:val="000000"/>
        </w:rPr>
        <w:t>5,200</w:t>
      </w:r>
      <w:r w:rsidRPr="0041357C">
        <w:rPr>
          <w:color w:val="000000"/>
        </w:rPr>
        <w:t xml:space="preserve"> Non-Vessel Operating Common Carriers (NVOCCs) for an approximate total of </w:t>
      </w:r>
      <w:r w:rsidR="00011E25">
        <w:rPr>
          <w:color w:val="000000"/>
        </w:rPr>
        <w:t>5,365</w:t>
      </w:r>
      <w:r w:rsidRPr="0041357C">
        <w:rPr>
          <w:color w:val="000000"/>
        </w:rPr>
        <w:t xml:space="preserve"> common carriers required by statute to publish tariffs.  On average there are </w:t>
      </w:r>
      <w:r w:rsidR="00540EA5">
        <w:rPr>
          <w:color w:val="000000"/>
        </w:rPr>
        <w:t>415</w:t>
      </w:r>
      <w:r w:rsidR="00011E25">
        <w:rPr>
          <w:color w:val="000000"/>
        </w:rPr>
        <w:t xml:space="preserve"> </w:t>
      </w:r>
      <w:r w:rsidRPr="0041357C">
        <w:rPr>
          <w:color w:val="000000"/>
        </w:rPr>
        <w:t>new common carriers (NVOCCs and VOCCs) each fiscal year who are required to complete a Form FMC-1 prior to offering common carriage service. </w:t>
      </w:r>
    </w:p>
    <w:p w14:paraId="145C44A0" w14:textId="77777777" w:rsidR="00AF1A38" w:rsidRDefault="00AF1A38" w:rsidP="00203FA0">
      <w:pPr>
        <w:rPr>
          <w:b/>
          <w:color w:val="000000"/>
        </w:rPr>
      </w:pPr>
    </w:p>
    <w:p w14:paraId="32C16D97" w14:textId="77777777" w:rsidR="0041357C" w:rsidRPr="0041357C" w:rsidRDefault="0041357C" w:rsidP="00203FA0">
      <w:pPr>
        <w:rPr>
          <w:color w:val="000000"/>
        </w:rPr>
      </w:pPr>
      <w:r w:rsidRPr="00AD401D">
        <w:rPr>
          <w:b/>
          <w:color w:val="000000"/>
        </w:rPr>
        <w:t>Related Forms (Form FMC-1):</w:t>
      </w:r>
      <w:r w:rsidRPr="0041357C">
        <w:rPr>
          <w:color w:val="000000"/>
        </w:rPr>
        <w:t xml:space="preserve"> On average there are </w:t>
      </w:r>
      <w:r w:rsidR="00540EA5">
        <w:rPr>
          <w:color w:val="000000"/>
        </w:rPr>
        <w:t>415</w:t>
      </w:r>
      <w:r w:rsidR="00011E25">
        <w:rPr>
          <w:color w:val="000000"/>
        </w:rPr>
        <w:t xml:space="preserve"> </w:t>
      </w:r>
      <w:r w:rsidRPr="0041357C">
        <w:rPr>
          <w:color w:val="000000"/>
        </w:rPr>
        <w:t xml:space="preserve">new common carriers (NVOCCs and VOCCs) each fiscal year who are required to complete a Form FMC-1 for the first time prior to offering common carriage service.  </w:t>
      </w:r>
      <w:r w:rsidR="00AD401D">
        <w:rPr>
          <w:color w:val="000000"/>
        </w:rPr>
        <w:t>On average, a</w:t>
      </w:r>
      <w:r w:rsidRPr="0041357C">
        <w:rPr>
          <w:color w:val="000000"/>
        </w:rPr>
        <w:t xml:space="preserve">nother </w:t>
      </w:r>
      <w:r w:rsidR="00011E25">
        <w:rPr>
          <w:color w:val="000000"/>
        </w:rPr>
        <w:t>1,01</w:t>
      </w:r>
      <w:r w:rsidR="00D3649C">
        <w:rPr>
          <w:color w:val="000000"/>
        </w:rPr>
        <w:t>0</w:t>
      </w:r>
      <w:r w:rsidRPr="0041357C">
        <w:rPr>
          <w:color w:val="000000"/>
        </w:rPr>
        <w:t xml:space="preserve"> existing common carriers</w:t>
      </w:r>
      <w:r w:rsidR="00AD401D">
        <w:rPr>
          <w:color w:val="000000"/>
        </w:rPr>
        <w:t xml:space="preserve">, who are changing their business operation/information, </w:t>
      </w:r>
      <w:r w:rsidRPr="0041357C">
        <w:rPr>
          <w:color w:val="000000"/>
        </w:rPr>
        <w:t>will update their Form FMC-1 during the fiscal year.</w:t>
      </w:r>
    </w:p>
    <w:p w14:paraId="41960DED" w14:textId="77777777" w:rsidR="0041357C" w:rsidRPr="0041357C" w:rsidRDefault="0041357C" w:rsidP="00203FA0">
      <w:pPr>
        <w:rPr>
          <w:color w:val="000000"/>
        </w:rPr>
      </w:pPr>
      <w:r w:rsidRPr="0041357C">
        <w:rPr>
          <w:color w:val="000000"/>
        </w:rPr>
        <w:t> </w:t>
      </w:r>
    </w:p>
    <w:p w14:paraId="34A10F4C" w14:textId="77777777" w:rsidR="00136582" w:rsidRPr="0041357C" w:rsidRDefault="0041357C" w:rsidP="00203FA0">
      <w:pPr>
        <w:rPr>
          <w:color w:val="000000"/>
        </w:rPr>
      </w:pPr>
      <w:r w:rsidRPr="00AD401D">
        <w:rPr>
          <w:b/>
          <w:color w:val="000000"/>
        </w:rPr>
        <w:t>Inform FMC in writing of certain occurrences, e.g., cancellations, new publishers, etc.:</w:t>
      </w:r>
      <w:r w:rsidRPr="0041357C">
        <w:rPr>
          <w:color w:val="000000"/>
        </w:rPr>
        <w:t xml:space="preserve"> </w:t>
      </w:r>
      <w:r w:rsidR="00AD401D">
        <w:rPr>
          <w:color w:val="000000"/>
        </w:rPr>
        <w:t>FMC</w:t>
      </w:r>
      <w:r w:rsidRPr="0041357C">
        <w:rPr>
          <w:color w:val="000000"/>
        </w:rPr>
        <w:t xml:space="preserve"> receive</w:t>
      </w:r>
      <w:r w:rsidR="00AD401D">
        <w:rPr>
          <w:color w:val="000000"/>
        </w:rPr>
        <w:t>s</w:t>
      </w:r>
      <w:r w:rsidRPr="0041357C">
        <w:rPr>
          <w:color w:val="000000"/>
        </w:rPr>
        <w:t xml:space="preserve"> written notice on approximately </w:t>
      </w:r>
      <w:r w:rsidR="00011E25">
        <w:rPr>
          <w:color w:val="000000"/>
        </w:rPr>
        <w:t xml:space="preserve">365 </w:t>
      </w:r>
      <w:r w:rsidRPr="0041357C">
        <w:rPr>
          <w:color w:val="000000"/>
        </w:rPr>
        <w:t>tariff cancellations during the fiscal year.</w:t>
      </w:r>
      <w:r w:rsidR="00136582">
        <w:rPr>
          <w:color w:val="000000"/>
        </w:rPr>
        <w:t xml:space="preserve">  </w:t>
      </w:r>
      <w:r w:rsidR="00136582" w:rsidRPr="0041357C">
        <w:rPr>
          <w:color w:val="000000"/>
        </w:rPr>
        <w:t xml:space="preserve">This </w:t>
      </w:r>
      <w:r w:rsidR="00136582">
        <w:rPr>
          <w:color w:val="000000"/>
        </w:rPr>
        <w:t>information collection</w:t>
      </w:r>
      <w:r w:rsidR="00136582" w:rsidRPr="0041357C">
        <w:rPr>
          <w:color w:val="000000"/>
        </w:rPr>
        <w:t xml:space="preserve"> also </w:t>
      </w:r>
      <w:r w:rsidR="00136582">
        <w:rPr>
          <w:color w:val="000000"/>
        </w:rPr>
        <w:t>encompasses</w:t>
      </w:r>
      <w:r w:rsidR="00136582" w:rsidRPr="0041357C">
        <w:rPr>
          <w:color w:val="000000"/>
        </w:rPr>
        <w:t xml:space="preserve"> </w:t>
      </w:r>
      <w:r w:rsidR="00136582">
        <w:rPr>
          <w:color w:val="000000"/>
        </w:rPr>
        <w:t>Special Permission A</w:t>
      </w:r>
      <w:r w:rsidR="00136582" w:rsidRPr="00136582">
        <w:rPr>
          <w:color w:val="000000"/>
        </w:rPr>
        <w:t>pplications</w:t>
      </w:r>
      <w:r w:rsidR="00136582" w:rsidRPr="0041357C">
        <w:rPr>
          <w:color w:val="000000"/>
        </w:rPr>
        <w:t xml:space="preserve"> received from common carriers</w:t>
      </w:r>
      <w:r w:rsidR="00136582" w:rsidRPr="00D3649C">
        <w:rPr>
          <w:color w:val="000000"/>
          <w:shd w:val="clear" w:color="auto" w:fill="FFFFFF" w:themeFill="background1"/>
        </w:rPr>
        <w:t xml:space="preserve">.  </w:t>
      </w:r>
      <w:r w:rsidR="009D7129" w:rsidRPr="00D3649C">
        <w:rPr>
          <w:color w:val="000000"/>
          <w:shd w:val="clear" w:color="auto" w:fill="FFFFFF" w:themeFill="background1"/>
        </w:rPr>
        <w:t>See, 46 C.F.R. 520.14.</w:t>
      </w:r>
      <w:r w:rsidR="009D7129">
        <w:rPr>
          <w:color w:val="000000"/>
        </w:rPr>
        <w:t xml:space="preserve">  </w:t>
      </w:r>
      <w:r w:rsidR="00DA44E9">
        <w:rPr>
          <w:color w:val="000000"/>
        </w:rPr>
        <w:t xml:space="preserve">Even though </w:t>
      </w:r>
      <w:r w:rsidR="00011E25">
        <w:rPr>
          <w:color w:val="000000"/>
        </w:rPr>
        <w:t>eight</w:t>
      </w:r>
      <w:r w:rsidR="00DA44E9">
        <w:rPr>
          <w:color w:val="000000"/>
        </w:rPr>
        <w:t xml:space="preserve"> of these applications were filed in </w:t>
      </w:r>
      <w:r w:rsidR="00011E25">
        <w:rPr>
          <w:color w:val="000000"/>
        </w:rPr>
        <w:t>FY2016</w:t>
      </w:r>
      <w:r w:rsidR="00DA44E9">
        <w:rPr>
          <w:color w:val="000000"/>
        </w:rPr>
        <w:t xml:space="preserve">, that was very unusual.  </w:t>
      </w:r>
      <w:r w:rsidR="00136582" w:rsidRPr="0041357C">
        <w:rPr>
          <w:color w:val="000000"/>
        </w:rPr>
        <w:t xml:space="preserve">These are </w:t>
      </w:r>
      <w:r w:rsidR="00DA44E9">
        <w:rPr>
          <w:color w:val="000000"/>
        </w:rPr>
        <w:t xml:space="preserve">usually </w:t>
      </w:r>
      <w:r w:rsidR="00136582" w:rsidRPr="0041357C">
        <w:rPr>
          <w:color w:val="000000"/>
        </w:rPr>
        <w:t>very infrequent</w:t>
      </w:r>
      <w:r w:rsidR="00DA44E9">
        <w:rPr>
          <w:color w:val="000000"/>
        </w:rPr>
        <w:t>,</w:t>
      </w:r>
      <w:r w:rsidR="00136582" w:rsidRPr="0041357C">
        <w:rPr>
          <w:color w:val="000000"/>
        </w:rPr>
        <w:t xml:space="preserve"> and the amount will vary from year to year as it is dependent on a common carrier making an error in </w:t>
      </w:r>
      <w:r w:rsidR="00DA44E9">
        <w:rPr>
          <w:color w:val="000000"/>
        </w:rPr>
        <w:t>its</w:t>
      </w:r>
      <w:r w:rsidR="00136582" w:rsidRPr="0041357C">
        <w:rPr>
          <w:color w:val="000000"/>
        </w:rPr>
        <w:t xml:space="preserve"> tariff.    We only estimate 1 Special Permission per year which takes the common carrier approximately .</w:t>
      </w:r>
      <w:r w:rsidR="00596E61">
        <w:rPr>
          <w:color w:val="000000"/>
        </w:rPr>
        <w:t>2</w:t>
      </w:r>
      <w:r w:rsidR="00136582" w:rsidRPr="0041357C">
        <w:rPr>
          <w:color w:val="000000"/>
        </w:rPr>
        <w:t>5 hours to gather the pertinent documentation and file with the FMC.</w:t>
      </w:r>
    </w:p>
    <w:p w14:paraId="21D4940E" w14:textId="77777777" w:rsidR="0041357C" w:rsidRPr="0041357C" w:rsidRDefault="0041357C" w:rsidP="00203FA0">
      <w:pPr>
        <w:rPr>
          <w:color w:val="000000"/>
        </w:rPr>
      </w:pPr>
    </w:p>
    <w:p w14:paraId="73408E76" w14:textId="77777777" w:rsidR="0041357C" w:rsidRPr="0041357C" w:rsidRDefault="0041357C" w:rsidP="00203FA0">
      <w:pPr>
        <w:rPr>
          <w:color w:val="000000"/>
        </w:rPr>
      </w:pPr>
      <w:r w:rsidRPr="00AD401D">
        <w:rPr>
          <w:b/>
          <w:color w:val="000000"/>
        </w:rPr>
        <w:t>File documents with FMC &amp; certifications:</w:t>
      </w:r>
      <w:r w:rsidRPr="0041357C">
        <w:rPr>
          <w:color w:val="000000"/>
        </w:rPr>
        <w:t>  There were no instances to report for the past fiscal year therefore we input the minimum of 1.</w:t>
      </w:r>
    </w:p>
    <w:p w14:paraId="0EA6399C" w14:textId="77777777" w:rsidR="0041357C" w:rsidRPr="0041357C" w:rsidRDefault="0041357C" w:rsidP="00203FA0">
      <w:pPr>
        <w:rPr>
          <w:color w:val="000000"/>
        </w:rPr>
      </w:pPr>
      <w:r w:rsidRPr="0041357C">
        <w:rPr>
          <w:color w:val="000000"/>
        </w:rPr>
        <w:t> </w:t>
      </w:r>
    </w:p>
    <w:p w14:paraId="19FCC926" w14:textId="77777777" w:rsidR="0041357C" w:rsidRPr="0041357C" w:rsidRDefault="0041357C" w:rsidP="00D3649C">
      <w:pPr>
        <w:shd w:val="clear" w:color="auto" w:fill="FFFFFF" w:themeFill="background1"/>
        <w:rPr>
          <w:color w:val="000000"/>
        </w:rPr>
      </w:pPr>
      <w:r w:rsidRPr="00F53331">
        <w:rPr>
          <w:b/>
          <w:color w:val="000000"/>
        </w:rPr>
        <w:t>Maintain data in tariff publication systems:</w:t>
      </w:r>
      <w:r w:rsidRPr="0041357C">
        <w:rPr>
          <w:color w:val="000000"/>
        </w:rPr>
        <w:t xml:space="preserve">   All </w:t>
      </w:r>
      <w:r w:rsidR="00011E25">
        <w:rPr>
          <w:color w:val="000000"/>
        </w:rPr>
        <w:t xml:space="preserve">5,365 </w:t>
      </w:r>
      <w:r w:rsidRPr="0041357C">
        <w:rPr>
          <w:color w:val="000000"/>
        </w:rPr>
        <w:t>common carriers are required to publish and maintain current and historical data for 2 years electronically on-line and 5 years overall.  As this is an ongoing process to comport with the regulations</w:t>
      </w:r>
      <w:r w:rsidR="00E87F82">
        <w:rPr>
          <w:color w:val="000000"/>
        </w:rPr>
        <w:t>,</w:t>
      </w:r>
      <w:r w:rsidRPr="0041357C">
        <w:rPr>
          <w:color w:val="000000"/>
        </w:rPr>
        <w:t xml:space="preserve"> it is dependent on the number of filings each carrier makes to their respective tariffs.  </w:t>
      </w:r>
      <w:r w:rsidR="000F5AD4">
        <w:rPr>
          <w:color w:val="000000"/>
        </w:rPr>
        <w:t xml:space="preserve">With respect to the two distinct types of common carriers, VOCCs and NVOCCs, the decrease in VOCCs by 30 in the past 3 years results in a decline in the burden, as VOCCs generally have greater tariff filing activity than many NVOCCs. </w:t>
      </w:r>
      <w:r w:rsidRPr="0041357C">
        <w:rPr>
          <w:color w:val="000000"/>
        </w:rPr>
        <w:t>The number of filings wi</w:t>
      </w:r>
      <w:r w:rsidR="00F53331">
        <w:rPr>
          <w:color w:val="000000"/>
        </w:rPr>
        <w:t xml:space="preserve">ll </w:t>
      </w:r>
      <w:r w:rsidR="000F5AD4">
        <w:rPr>
          <w:color w:val="000000"/>
        </w:rPr>
        <w:t xml:space="preserve">also </w:t>
      </w:r>
      <w:r w:rsidR="00F53331">
        <w:rPr>
          <w:color w:val="000000"/>
        </w:rPr>
        <w:t>vary from carrier to carrier;</w:t>
      </w:r>
      <w:r w:rsidRPr="0041357C">
        <w:rPr>
          <w:color w:val="000000"/>
        </w:rPr>
        <w:t xml:space="preserve"> however</w:t>
      </w:r>
      <w:r w:rsidR="00F53331">
        <w:rPr>
          <w:color w:val="000000"/>
        </w:rPr>
        <w:t>,</w:t>
      </w:r>
      <w:r w:rsidRPr="0041357C">
        <w:rPr>
          <w:color w:val="000000"/>
        </w:rPr>
        <w:t xml:space="preserve"> we estimate that each carrier </w:t>
      </w:r>
      <w:r w:rsidR="00AD520F">
        <w:rPr>
          <w:color w:val="000000"/>
        </w:rPr>
        <w:t xml:space="preserve">other than NVOCCs who opt to use NRAs </w:t>
      </w:r>
      <w:r w:rsidRPr="0041357C">
        <w:rPr>
          <w:color w:val="000000"/>
        </w:rPr>
        <w:t>will make 25 rate adjustments to their tariff in a fiscal year which should take about 1 minute per filing (</w:t>
      </w:r>
      <w:r w:rsidR="00011E25">
        <w:rPr>
          <w:color w:val="000000"/>
        </w:rPr>
        <w:t>5,365 – 1,300 NVOCCs who implement NRAs</w:t>
      </w:r>
      <w:r w:rsidRPr="0041357C">
        <w:rPr>
          <w:color w:val="000000"/>
        </w:rPr>
        <w:t xml:space="preserve"> carriers x 25 rate filings or adj</w:t>
      </w:r>
      <w:r w:rsidR="00F53331">
        <w:rPr>
          <w:color w:val="000000"/>
        </w:rPr>
        <w:t>ustments x 1 minute</w:t>
      </w:r>
      <w:r w:rsidR="00A3452B">
        <w:rPr>
          <w:color w:val="000000"/>
        </w:rPr>
        <w:t xml:space="preserve"> = </w:t>
      </w:r>
      <w:r w:rsidR="00011E25">
        <w:rPr>
          <w:color w:val="000000"/>
        </w:rPr>
        <w:t xml:space="preserve">1,697 </w:t>
      </w:r>
      <w:r w:rsidRPr="0041357C">
        <w:rPr>
          <w:color w:val="000000"/>
        </w:rPr>
        <w:t>hours)</w:t>
      </w:r>
      <w:r w:rsidR="001435C1">
        <w:rPr>
          <w:color w:val="000000"/>
        </w:rPr>
        <w:t>.</w:t>
      </w:r>
      <w:r w:rsidR="009D7129">
        <w:rPr>
          <w:color w:val="000000"/>
        </w:rPr>
        <w:t xml:space="preserve">  </w:t>
      </w:r>
      <w:r w:rsidR="009D7129" w:rsidRPr="00D3649C">
        <w:rPr>
          <w:color w:val="000000"/>
        </w:rPr>
        <w:t>NVOCCs who implement NRAs under 46 CFR Part 532 are exempted from publishing such negotiated rates.</w:t>
      </w:r>
      <w:r w:rsidR="001435C1">
        <w:rPr>
          <w:color w:val="000000"/>
        </w:rPr>
        <w:t xml:space="preserve"> </w:t>
      </w:r>
    </w:p>
    <w:p w14:paraId="11BD887B" w14:textId="77777777" w:rsidR="0041357C" w:rsidRPr="0041357C" w:rsidRDefault="0041357C" w:rsidP="00203FA0">
      <w:pPr>
        <w:rPr>
          <w:color w:val="000000"/>
        </w:rPr>
      </w:pPr>
      <w:r w:rsidRPr="0041357C">
        <w:rPr>
          <w:color w:val="000000"/>
        </w:rPr>
        <w:t> </w:t>
      </w:r>
    </w:p>
    <w:p w14:paraId="2F2989B6" w14:textId="77777777" w:rsidR="0041357C" w:rsidRPr="0041357C" w:rsidRDefault="0041357C" w:rsidP="00203FA0">
      <w:pPr>
        <w:rPr>
          <w:color w:val="000000"/>
        </w:rPr>
      </w:pPr>
      <w:r w:rsidRPr="00F53331">
        <w:rPr>
          <w:b/>
          <w:color w:val="000000"/>
        </w:rPr>
        <w:t>Provide reasonable access to FMC:</w:t>
      </w:r>
      <w:r w:rsidRPr="0041357C">
        <w:rPr>
          <w:color w:val="000000"/>
        </w:rPr>
        <w:t xml:space="preserve">  All </w:t>
      </w:r>
      <w:r w:rsidR="005665C2">
        <w:rPr>
          <w:color w:val="000000"/>
        </w:rPr>
        <w:t>5,365</w:t>
      </w:r>
      <w:r w:rsidRPr="0041357C">
        <w:rPr>
          <w:color w:val="000000"/>
        </w:rPr>
        <w:t xml:space="preserve"> common carriers are required to provide reasonable access to FMC with any log</w:t>
      </w:r>
      <w:r w:rsidR="007B4FDA">
        <w:rPr>
          <w:color w:val="000000"/>
        </w:rPr>
        <w:t>-</w:t>
      </w:r>
      <w:r w:rsidRPr="0041357C">
        <w:rPr>
          <w:color w:val="000000"/>
        </w:rPr>
        <w:t>in or passwords that are necessary t</w:t>
      </w:r>
      <w:r w:rsidR="00E87F82">
        <w:rPr>
          <w:color w:val="000000"/>
        </w:rPr>
        <w:t>o access their tariff systems.</w:t>
      </w:r>
      <w:r w:rsidRPr="0041357C">
        <w:rPr>
          <w:color w:val="000000"/>
        </w:rPr>
        <w:t xml:space="preserve">  All tariffs are on-line and the majority </w:t>
      </w:r>
      <w:r w:rsidR="005665C2">
        <w:rPr>
          <w:color w:val="000000"/>
        </w:rPr>
        <w:t xml:space="preserve">(4,900) </w:t>
      </w:r>
      <w:r w:rsidRPr="0041357C">
        <w:rPr>
          <w:color w:val="000000"/>
        </w:rPr>
        <w:t>are readily available to the FMC through the 14 major tariff publishers</w:t>
      </w:r>
      <w:r w:rsidR="007B4FDA">
        <w:rPr>
          <w:color w:val="000000"/>
        </w:rPr>
        <w:t>;</w:t>
      </w:r>
      <w:r w:rsidRPr="0041357C">
        <w:rPr>
          <w:color w:val="000000"/>
        </w:rPr>
        <w:t xml:space="preserve"> therefore</w:t>
      </w:r>
      <w:r w:rsidR="007B4FDA">
        <w:rPr>
          <w:color w:val="000000"/>
        </w:rPr>
        <w:t>,</w:t>
      </w:r>
      <w:r w:rsidRPr="0041357C">
        <w:rPr>
          <w:color w:val="000000"/>
        </w:rPr>
        <w:t xml:space="preserve"> there is no time frame involved.   For those approximately </w:t>
      </w:r>
      <w:r w:rsidR="005665C2">
        <w:rPr>
          <w:color w:val="000000"/>
        </w:rPr>
        <w:t xml:space="preserve">465 </w:t>
      </w:r>
      <w:r w:rsidRPr="0041357C">
        <w:rPr>
          <w:color w:val="000000"/>
        </w:rPr>
        <w:t>common carriers who self-publish, their tariff location is posted on their Form FMC-1.   Every self-publisher who requires a log</w:t>
      </w:r>
      <w:r w:rsidR="007B4FDA">
        <w:rPr>
          <w:color w:val="000000"/>
        </w:rPr>
        <w:t>-</w:t>
      </w:r>
      <w:r w:rsidRPr="0041357C">
        <w:rPr>
          <w:color w:val="000000"/>
        </w:rPr>
        <w:t>in and password is required and has provided us with a log</w:t>
      </w:r>
      <w:r w:rsidR="007B4FDA">
        <w:rPr>
          <w:color w:val="000000"/>
        </w:rPr>
        <w:t>-</w:t>
      </w:r>
      <w:r w:rsidRPr="0041357C">
        <w:rPr>
          <w:color w:val="000000"/>
        </w:rPr>
        <w:t>in and password in writing which we post on ou</w:t>
      </w:r>
      <w:r w:rsidR="00E87F82">
        <w:rPr>
          <w:color w:val="000000"/>
        </w:rPr>
        <w:t>r Intranet and update monthly.</w:t>
      </w:r>
      <w:r w:rsidRPr="0041357C">
        <w:rPr>
          <w:color w:val="000000"/>
        </w:rPr>
        <w:t xml:space="preserve">  </w:t>
      </w:r>
      <w:r w:rsidR="009E26E0" w:rsidRPr="00D3649C">
        <w:rPr>
          <w:color w:val="000000"/>
        </w:rPr>
        <w:t xml:space="preserve">The FMC gets about </w:t>
      </w:r>
      <w:r w:rsidR="005665C2" w:rsidRPr="00D3649C">
        <w:rPr>
          <w:color w:val="000000"/>
        </w:rPr>
        <w:t xml:space="preserve">50 </w:t>
      </w:r>
      <w:r w:rsidR="009E26E0" w:rsidRPr="00D3649C">
        <w:rPr>
          <w:color w:val="000000"/>
        </w:rPr>
        <w:t xml:space="preserve">new self-publishers a year, and </w:t>
      </w:r>
      <w:r w:rsidR="009D7129" w:rsidRPr="00D3649C">
        <w:rPr>
          <w:color w:val="000000"/>
        </w:rPr>
        <w:t xml:space="preserve">a total of 5 on average </w:t>
      </w:r>
      <w:r w:rsidR="009E26E0" w:rsidRPr="00D3649C">
        <w:rPr>
          <w:color w:val="000000"/>
        </w:rPr>
        <w:t>will require a log-in and password</w:t>
      </w:r>
      <w:r w:rsidRPr="00D3649C">
        <w:rPr>
          <w:color w:val="000000"/>
        </w:rPr>
        <w:t>.</w:t>
      </w:r>
      <w:r w:rsidR="009E26E0" w:rsidRPr="00D3649C">
        <w:rPr>
          <w:color w:val="000000"/>
        </w:rPr>
        <w:t xml:space="preserve">  </w:t>
      </w:r>
    </w:p>
    <w:p w14:paraId="6794D957" w14:textId="77777777" w:rsidR="0041357C" w:rsidRPr="0041357C" w:rsidRDefault="0041357C" w:rsidP="00203FA0">
      <w:pPr>
        <w:rPr>
          <w:color w:val="000000"/>
        </w:rPr>
      </w:pPr>
      <w:r w:rsidRPr="0041357C">
        <w:rPr>
          <w:color w:val="000000"/>
        </w:rPr>
        <w:t> </w:t>
      </w:r>
    </w:p>
    <w:p w14:paraId="5462D0B8" w14:textId="77777777" w:rsidR="0041357C" w:rsidRPr="0041357C" w:rsidRDefault="0041357C" w:rsidP="00203FA0">
      <w:pPr>
        <w:rPr>
          <w:color w:val="000000"/>
        </w:rPr>
      </w:pPr>
      <w:r w:rsidRPr="007B4FDA">
        <w:rPr>
          <w:b/>
          <w:color w:val="000000"/>
        </w:rPr>
        <w:t>Maintain shipper notices &amp; shipment records for time/volume:</w:t>
      </w:r>
      <w:r w:rsidRPr="0041357C">
        <w:rPr>
          <w:color w:val="000000"/>
        </w:rPr>
        <w:t>   For all intents and purposes time volume shipments are seldom used in the shipping industry today.   We input the minimum for this as we have no recent filings. </w:t>
      </w:r>
    </w:p>
    <w:p w14:paraId="6DEE152F" w14:textId="77777777" w:rsidR="0041357C" w:rsidRDefault="0041357C" w:rsidP="00203FA0"/>
    <w:p w14:paraId="61AF8CF4" w14:textId="77777777" w:rsidR="0041357C" w:rsidRDefault="0041357C" w:rsidP="00203FA0"/>
    <w:p w14:paraId="26BF679A" w14:textId="77777777" w:rsidR="00D42071" w:rsidRDefault="00D42071" w:rsidP="00203FA0">
      <w:pPr>
        <w:autoSpaceDE w:val="0"/>
        <w:autoSpaceDN w:val="0"/>
        <w:adjustRightInd w:val="0"/>
        <w:rPr>
          <w:b/>
          <w:bCs/>
        </w:rPr>
      </w:pPr>
      <w:r w:rsidRPr="006B4064">
        <w:rPr>
          <w:b/>
          <w:bCs/>
        </w:rPr>
        <w:t xml:space="preserve">13. </w:t>
      </w:r>
      <w:r w:rsidRPr="006B4064">
        <w:rPr>
          <w:b/>
          <w:bCs/>
        </w:rPr>
        <w:tab/>
        <w:t>Provide an estimate for the total annual cost burden to respondents or record keepers resulting from the collection of information. (Do not include the cost of any hour burden already reflected on the burden worksheet).</w:t>
      </w:r>
    </w:p>
    <w:p w14:paraId="17F63532" w14:textId="77777777" w:rsidR="00D42071" w:rsidRPr="006B4064" w:rsidRDefault="00D42071" w:rsidP="00203FA0">
      <w:pPr>
        <w:autoSpaceDE w:val="0"/>
        <w:autoSpaceDN w:val="0"/>
        <w:adjustRightInd w:val="0"/>
        <w:rPr>
          <w:b/>
          <w:bCs/>
        </w:rPr>
      </w:pPr>
    </w:p>
    <w:p w14:paraId="5B63861F" w14:textId="77777777" w:rsidR="00D42071" w:rsidRPr="006B4064" w:rsidRDefault="00D42071" w:rsidP="00203FA0">
      <w:pPr>
        <w:autoSpaceDE w:val="0"/>
        <w:autoSpaceDN w:val="0"/>
        <w:adjustRightInd w:val="0"/>
        <w:rPr>
          <w:b/>
          <w:bCs/>
        </w:rPr>
      </w:pPr>
      <w:r w:rsidRPr="006B4064">
        <w:rPr>
          <w:b/>
          <w:bCs/>
        </w:rPr>
        <w:t xml:space="preserve">*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14:paraId="141D2DA1" w14:textId="77777777" w:rsidR="00D42071" w:rsidRDefault="00D42071" w:rsidP="00203FA0">
      <w:pPr>
        <w:autoSpaceDE w:val="0"/>
        <w:autoSpaceDN w:val="0"/>
        <w:adjustRightInd w:val="0"/>
        <w:rPr>
          <w:b/>
          <w:bCs/>
        </w:rPr>
      </w:pPr>
      <w:r w:rsidRPr="006B4064">
        <w:rPr>
          <w:b/>
          <w:bCs/>
        </w:rPr>
        <w:t>*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3E6C2F36" w14:textId="77777777" w:rsidR="00D42071" w:rsidRDefault="00D42071" w:rsidP="00203FA0">
      <w:pPr>
        <w:autoSpaceDE w:val="0"/>
        <w:autoSpaceDN w:val="0"/>
        <w:adjustRightInd w:val="0"/>
        <w:rPr>
          <w:b/>
          <w:bCs/>
        </w:rPr>
      </w:pPr>
    </w:p>
    <w:p w14:paraId="575C0D85" w14:textId="77777777" w:rsidR="00D42071" w:rsidRDefault="00D42071" w:rsidP="00203FA0">
      <w:pPr>
        <w:rPr>
          <w:b/>
          <w:bCs/>
        </w:rPr>
      </w:pPr>
      <w:r w:rsidRPr="006B4064">
        <w:rPr>
          <w:b/>
          <w:bCs/>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017F9E88" w14:textId="77777777" w:rsidR="00D42071" w:rsidRDefault="00D42071" w:rsidP="00203FA0"/>
    <w:p w14:paraId="17F17A83" w14:textId="30F9F845" w:rsidR="0086364A" w:rsidRPr="00760656" w:rsidRDefault="00E43355" w:rsidP="00203FA0">
      <w:r w:rsidRPr="00E004A9">
        <w:tab/>
      </w:r>
      <w:r w:rsidR="0086364A" w:rsidRPr="00760656">
        <w:t xml:space="preserve">The total annual cost burden to respondents or recordkeepers resulting from this collection of information is estimated to be </w:t>
      </w:r>
      <w:r w:rsidR="006C37D0" w:rsidRPr="00760656">
        <w:rPr>
          <w:shd w:val="clear" w:color="auto" w:fill="FFFFFF"/>
        </w:rPr>
        <w:t>$159,490</w:t>
      </w:r>
      <w:r w:rsidR="0086364A" w:rsidRPr="00760656">
        <w:t>, a decrease of $</w:t>
      </w:r>
      <w:r w:rsidR="006C37D0" w:rsidRPr="00760656">
        <w:t>12,990</w:t>
      </w:r>
      <w:r w:rsidR="0086364A" w:rsidRPr="00760656">
        <w:t xml:space="preserve"> from the current OMB inventory of </w:t>
      </w:r>
      <w:r w:rsidR="00365ABA">
        <w:t>$</w:t>
      </w:r>
      <w:r w:rsidR="00C66236" w:rsidRPr="00760656">
        <w:t>172,480</w:t>
      </w:r>
      <w:r w:rsidR="0086364A" w:rsidRPr="00760656">
        <w:t xml:space="preserve">, as explained below.  </w:t>
      </w:r>
    </w:p>
    <w:p w14:paraId="25F5A26C" w14:textId="77777777" w:rsidR="0086364A" w:rsidRPr="00760656" w:rsidRDefault="0086364A" w:rsidP="00203FA0"/>
    <w:p w14:paraId="5B64DC5E" w14:textId="77777777" w:rsidR="0086364A" w:rsidRPr="00760656" w:rsidRDefault="0086364A" w:rsidP="00203FA0">
      <w:r w:rsidRPr="00760656">
        <w:rPr>
          <w:lang w:val="en-CA"/>
        </w:rPr>
        <w:tab/>
      </w:r>
      <w:r w:rsidR="00444993" w:rsidRPr="00760656">
        <w:rPr>
          <w:lang w:val="en-CA"/>
        </w:rPr>
        <w:fldChar w:fldCharType="begin"/>
      </w:r>
      <w:r w:rsidRPr="00760656">
        <w:rPr>
          <w:lang w:val="en-CA"/>
        </w:rPr>
        <w:instrText xml:space="preserve"> SEQ CHAPTER \h \r 1</w:instrText>
      </w:r>
      <w:r w:rsidR="00444993" w:rsidRPr="00760656">
        <w:rPr>
          <w:lang w:val="en-CA"/>
        </w:rPr>
        <w:fldChar w:fldCharType="end"/>
      </w:r>
      <w:r w:rsidRPr="00760656">
        <w:t>Since the enactment of OSRA, many carriers have consolidated operations, and some have streamlined the number of tariffs published.  The respondent universe is based on the actual number of respondents during FY 201</w:t>
      </w:r>
      <w:r w:rsidR="00337CBB" w:rsidRPr="00760656">
        <w:t>6</w:t>
      </w:r>
      <w:r w:rsidRPr="00760656">
        <w:t>.</w:t>
      </w:r>
    </w:p>
    <w:p w14:paraId="4766DD26" w14:textId="77777777" w:rsidR="0086364A" w:rsidRPr="00760656" w:rsidRDefault="0086364A" w:rsidP="00203FA0"/>
    <w:p w14:paraId="503ED89D" w14:textId="77777777" w:rsidR="0086364A" w:rsidRPr="00760656" w:rsidRDefault="0086364A" w:rsidP="00203FA0">
      <w:pPr>
        <w:ind w:firstLine="720"/>
      </w:pPr>
      <w:r w:rsidRPr="00760656">
        <w:t xml:space="preserve">Of the previously estimated costs of $901,600, $359,800 was estimated as start-up costs, and $541,800 was estimated as operation and maintenance (O&amp;M).  Per respondent, we </w:t>
      </w:r>
      <w:r w:rsidR="00760656" w:rsidRPr="00760656">
        <w:t>derived $514 start-up costs (415</w:t>
      </w:r>
      <w:r w:rsidRPr="00760656">
        <w:t xml:space="preserve"> </w:t>
      </w:r>
      <w:r w:rsidR="00760656" w:rsidRPr="00760656">
        <w:t>new respondents) and $129 O&amp;M (1,4</w:t>
      </w:r>
      <w:r w:rsidR="00CE6F0E">
        <w:t>25</w:t>
      </w:r>
      <w:r w:rsidRPr="00760656">
        <w:t xml:space="preserve"> respondents overall). </w:t>
      </w:r>
    </w:p>
    <w:p w14:paraId="1608E8C3" w14:textId="77777777" w:rsidR="0086364A" w:rsidRPr="00C66236" w:rsidRDefault="0086364A" w:rsidP="00203FA0">
      <w:pPr>
        <w:ind w:firstLine="720"/>
        <w:rPr>
          <w:highlight w:val="yellow"/>
        </w:rPr>
      </w:pPr>
      <w:r w:rsidRPr="00C66236">
        <w:rPr>
          <w:highlight w:val="yellow"/>
        </w:rPr>
        <w:t xml:space="preserve"> </w:t>
      </w:r>
    </w:p>
    <w:p w14:paraId="6ED63FA1" w14:textId="77777777" w:rsidR="0086364A" w:rsidRDefault="0086364A" w:rsidP="00203FA0">
      <w:r w:rsidRPr="00C66236">
        <w:tab/>
        <w:t>For current costs, we added 10% to reflect general increases in costs.  Therefore, current start-up costs per respondent would be $565 ($514 + $51), and O&amp;M costs would be $142 ($129 + $13).</w:t>
      </w:r>
      <w:r w:rsidRPr="00EF76BD">
        <w:t xml:space="preserve">  </w:t>
      </w:r>
    </w:p>
    <w:p w14:paraId="2C53E592" w14:textId="77777777" w:rsidR="0086364A" w:rsidRDefault="0086364A" w:rsidP="00203FA0"/>
    <w:p w14:paraId="299AE30A" w14:textId="77777777" w:rsidR="0086364A" w:rsidRDefault="0086364A" w:rsidP="00203FA0">
      <w:r>
        <w:tab/>
      </w:r>
      <w:r w:rsidR="00CE6F0E">
        <w:t>Of the 1,425</w:t>
      </w:r>
      <w:r>
        <w:t xml:space="preserve"> respondents per year, we estimate </w:t>
      </w:r>
      <w:r w:rsidR="00C66236">
        <w:t>41</w:t>
      </w:r>
      <w:r w:rsidR="0018639B">
        <w:t>5</w:t>
      </w:r>
      <w:r>
        <w:t xml:space="preserve"> are new respondents.  The </w:t>
      </w:r>
      <w:r w:rsidR="00C66236">
        <w:t>415</w:t>
      </w:r>
      <w:r>
        <w:t xml:space="preserve"> new respondents would be subject to start-up costs.  The remaining</w:t>
      </w:r>
      <w:r w:rsidR="00C66236">
        <w:t xml:space="preserve"> approximately</w:t>
      </w:r>
      <w:r>
        <w:t xml:space="preserve"> 1,0</w:t>
      </w:r>
      <w:r w:rsidR="00CE6F0E">
        <w:t>1</w:t>
      </w:r>
      <w:r w:rsidR="00D3649C">
        <w:t>0</w:t>
      </w:r>
      <w:r w:rsidR="00CE6F0E">
        <w:t xml:space="preserve"> filers of the 1,425</w:t>
      </w:r>
      <w:r>
        <w:t xml:space="preserve"> are changing their business operation/information and, therefore, it is more of an administrative function to file an updated Form FMC-1.  $565 sta</w:t>
      </w:r>
      <w:r w:rsidR="00C66236">
        <w:t>rt-up costs were multiplied by 415</w:t>
      </w:r>
      <w:r>
        <w:t xml:space="preserve"> new re</w:t>
      </w:r>
      <w:r w:rsidR="00C66236">
        <w:t>spondents to arrive at $234</w:t>
      </w:r>
      <w:r w:rsidR="0018639B">
        <w:t>,</w:t>
      </w:r>
      <w:r w:rsidR="00C66236">
        <w:t>475</w:t>
      </w:r>
      <w:r>
        <w:t xml:space="preserve">; $142 </w:t>
      </w:r>
      <w:r w:rsidR="00C66236">
        <w:t>O</w:t>
      </w:r>
      <w:r w:rsidR="00CE6F0E">
        <w:t>&amp;M costs were multiplied by 1,425</w:t>
      </w:r>
      <w:r>
        <w:t xml:space="preserve"> t</w:t>
      </w:r>
      <w:r w:rsidR="00CE6F0E">
        <w:t>otal respondents to arrive at $202,350</w:t>
      </w:r>
      <w:r>
        <w:t xml:space="preserve">.  </w:t>
      </w:r>
    </w:p>
    <w:p w14:paraId="3604B7AC" w14:textId="77777777" w:rsidR="0086364A" w:rsidRDefault="0086364A" w:rsidP="00203FA0"/>
    <w:p w14:paraId="6E070E6F" w14:textId="77777777" w:rsidR="0086364A" w:rsidRPr="00EF76BD" w:rsidRDefault="0086364A" w:rsidP="00203FA0">
      <w:r>
        <w:tab/>
        <w:t>Whe</w:t>
      </w:r>
      <w:r w:rsidR="00C66236">
        <w:t>n you add the start-up costs ($234,475</w:t>
      </w:r>
      <w:r w:rsidR="00CE6F0E">
        <w:t>) to the O&amp;M costs ($202,35</w:t>
      </w:r>
      <w:r w:rsidR="0018639B">
        <w:t>0</w:t>
      </w:r>
      <w:r>
        <w:t xml:space="preserve">), you arrive at a </w:t>
      </w:r>
      <w:r w:rsidR="00C66236">
        <w:rPr>
          <w:shd w:val="clear" w:color="auto" w:fill="FFFFFF"/>
        </w:rPr>
        <w:t>total cost</w:t>
      </w:r>
      <w:r w:rsidR="00CE6F0E">
        <w:rPr>
          <w:shd w:val="clear" w:color="auto" w:fill="FFFFFF"/>
        </w:rPr>
        <w:t xml:space="preserve"> burden of $436,825</w:t>
      </w:r>
      <w:r>
        <w:t xml:space="preserve">.  </w:t>
      </w:r>
      <w:r w:rsidRPr="00EF76BD">
        <w:tab/>
      </w:r>
    </w:p>
    <w:p w14:paraId="1FC1A712" w14:textId="77777777" w:rsidR="00BC2810" w:rsidRDefault="00BC2810" w:rsidP="00203FA0"/>
    <w:p w14:paraId="633322FF" w14:textId="77777777" w:rsidR="00D42071" w:rsidRDefault="00D42071" w:rsidP="00203FA0">
      <w:pPr>
        <w:rPr>
          <w:b/>
          <w:bCs/>
        </w:rPr>
      </w:pPr>
      <w:r w:rsidRPr="006B6A52">
        <w:rPr>
          <w:b/>
          <w:bCs/>
        </w:rPr>
        <w:t xml:space="preserve">14. </w:t>
      </w:r>
      <w:r>
        <w:rPr>
          <w:b/>
          <w:bCs/>
        </w:rPr>
        <w:tab/>
      </w:r>
      <w:r w:rsidRPr="006B6A52">
        <w:rPr>
          <w:b/>
          <w:bCs/>
        </w:rPr>
        <w:t xml:space="preserve">Provide estimates of annualized cost to the Federal government. </w:t>
      </w:r>
    </w:p>
    <w:p w14:paraId="3BD27916" w14:textId="77777777" w:rsidR="00D42071" w:rsidRDefault="00D42071" w:rsidP="00203FA0"/>
    <w:p w14:paraId="147C22C7" w14:textId="77777777" w:rsidR="00650CCA" w:rsidRDefault="00650CCA" w:rsidP="00203FA0">
      <w:r>
        <w:tab/>
        <w:t xml:space="preserve">Total </w:t>
      </w:r>
      <w:r w:rsidR="00A31A96">
        <w:t>estimated costs</w:t>
      </w:r>
      <w:r>
        <w:t xml:space="preserve"> to the Federal Government for this</w:t>
      </w:r>
      <w:r w:rsidR="00596E61">
        <w:t xml:space="preserve"> collection of information</w:t>
      </w:r>
      <w:r>
        <w:t xml:space="preserve"> i</w:t>
      </w:r>
      <w:r w:rsidR="00877DB5">
        <w:t xml:space="preserve">s </w:t>
      </w:r>
      <w:r w:rsidR="00CD5759">
        <w:t>830</w:t>
      </w:r>
      <w:r w:rsidR="00C54441">
        <w:t xml:space="preserve"> </w:t>
      </w:r>
      <w:r w:rsidR="00A31A96">
        <w:t xml:space="preserve">hours, at an estimated cost of </w:t>
      </w:r>
      <w:r w:rsidR="00101F83">
        <w:t>$73,450</w:t>
      </w:r>
      <w:r w:rsidR="005763D1">
        <w:t xml:space="preserve"> (see Attachment 2</w:t>
      </w:r>
      <w:r w:rsidR="00081D66">
        <w:t>)</w:t>
      </w:r>
    </w:p>
    <w:p w14:paraId="794EE157" w14:textId="77777777" w:rsidR="00650CCA" w:rsidRDefault="00650CCA" w:rsidP="00203FA0"/>
    <w:p w14:paraId="6227B785" w14:textId="77777777" w:rsidR="00D42071" w:rsidRPr="00B772FD" w:rsidRDefault="00D42071" w:rsidP="00203FA0">
      <w:pPr>
        <w:autoSpaceDE w:val="0"/>
        <w:autoSpaceDN w:val="0"/>
        <w:adjustRightInd w:val="0"/>
        <w:rPr>
          <w:rFonts w:eastAsia="Calibri"/>
          <w:b/>
          <w:bCs/>
          <w:color w:val="000000"/>
        </w:rPr>
      </w:pPr>
      <w:r w:rsidRPr="00B772FD">
        <w:rPr>
          <w:rFonts w:eastAsia="Calibri"/>
          <w:b/>
          <w:bCs/>
          <w:color w:val="000000"/>
        </w:rPr>
        <w:t xml:space="preserve">15. </w:t>
      </w:r>
      <w:r w:rsidRPr="00B772FD">
        <w:rPr>
          <w:rFonts w:eastAsia="Calibri"/>
          <w:b/>
          <w:bCs/>
          <w:color w:val="000000"/>
        </w:rPr>
        <w:tab/>
        <w:t xml:space="preserve">Explain the reasons for any program changes or adjustments reported in Items 13 (or 14) of OMB Form 83-I. </w:t>
      </w:r>
    </w:p>
    <w:p w14:paraId="28B85F55" w14:textId="77777777" w:rsidR="00D42071" w:rsidRDefault="00D42071" w:rsidP="00203FA0">
      <w:pPr>
        <w:shd w:val="clear" w:color="auto" w:fill="FFFFFF"/>
      </w:pPr>
    </w:p>
    <w:p w14:paraId="442DF694" w14:textId="77777777" w:rsidR="00650CCA" w:rsidRDefault="00650CCA" w:rsidP="00203FA0">
      <w:pPr>
        <w:shd w:val="clear" w:color="auto" w:fill="FFFFFF"/>
      </w:pPr>
      <w:r w:rsidRPr="00604920">
        <w:tab/>
      </w:r>
      <w:r w:rsidR="00604920" w:rsidRPr="00604920">
        <w:t>The burden estimate for this information collection has bee</w:t>
      </w:r>
      <w:r w:rsidR="00080764">
        <w:t>n slightly reduced from the 2014</w:t>
      </w:r>
      <w:r w:rsidR="00101F83">
        <w:t xml:space="preserve"> estimate of 2,735 hours, by 327</w:t>
      </w:r>
      <w:r w:rsidR="00604920" w:rsidRPr="00604920">
        <w:t xml:space="preserve"> hours.  We arrived at the estimate by using the actual respondent numbers </w:t>
      </w:r>
      <w:r w:rsidR="00080764">
        <w:t>and annual instances for FY 2014 through FY 2016 and divided by 3</w:t>
      </w:r>
      <w:r w:rsidR="00604920" w:rsidRPr="00604920">
        <w:t>.  Therefore, the total number of</w:t>
      </w:r>
      <w:r w:rsidR="00101F83">
        <w:t xml:space="preserve"> annual hours requested is 2,408</w:t>
      </w:r>
      <w:r w:rsidR="00604920" w:rsidRPr="00604920">
        <w:t>.</w:t>
      </w:r>
    </w:p>
    <w:p w14:paraId="3259562C" w14:textId="77777777" w:rsidR="00081D66" w:rsidRDefault="00081D66" w:rsidP="00203FA0"/>
    <w:p w14:paraId="284B97A0" w14:textId="77777777" w:rsidR="00D42071" w:rsidRDefault="00D42071" w:rsidP="00203FA0">
      <w:pPr>
        <w:rPr>
          <w:b/>
          <w:bCs/>
        </w:rPr>
      </w:pPr>
      <w:r w:rsidRPr="006B6A52">
        <w:rPr>
          <w:b/>
          <w:bCs/>
        </w:rPr>
        <w:t xml:space="preserve">16. </w:t>
      </w:r>
      <w:r>
        <w:rPr>
          <w:b/>
          <w:bCs/>
        </w:rPr>
        <w:tab/>
      </w:r>
      <w:r w:rsidRPr="006B6A52">
        <w:rPr>
          <w:b/>
          <w:bCs/>
        </w:rPr>
        <w:t>For collections whose results will be published, outline the plans for tabulation and publication.</w:t>
      </w:r>
    </w:p>
    <w:p w14:paraId="77048D18" w14:textId="77777777" w:rsidR="00D42071" w:rsidRDefault="00D42071" w:rsidP="00203FA0"/>
    <w:p w14:paraId="04A5C5DD" w14:textId="15E35281" w:rsidR="00650CCA" w:rsidRDefault="00650CCA" w:rsidP="00203FA0">
      <w:r>
        <w:tab/>
      </w:r>
      <w:r w:rsidR="00AD1958">
        <w:t>To comply with 46 U.S.C. 40501, and 46 C.F.R. 520.4, the Commission publishes on its website a list of the location of all carrier tariffs.</w:t>
      </w:r>
    </w:p>
    <w:p w14:paraId="66A45160" w14:textId="77777777" w:rsidR="00650CCA" w:rsidRDefault="00650CCA" w:rsidP="00203FA0"/>
    <w:p w14:paraId="48D2C284" w14:textId="77777777" w:rsidR="00650CCA" w:rsidRDefault="00650CCA" w:rsidP="00203FA0"/>
    <w:p w14:paraId="587D1858" w14:textId="77777777" w:rsidR="00D42071" w:rsidRPr="00B772FD" w:rsidRDefault="00D42071" w:rsidP="00203FA0">
      <w:pPr>
        <w:autoSpaceDE w:val="0"/>
        <w:autoSpaceDN w:val="0"/>
        <w:adjustRightInd w:val="0"/>
        <w:rPr>
          <w:rFonts w:eastAsia="Calibri"/>
          <w:b/>
          <w:bCs/>
          <w:color w:val="000000"/>
        </w:rPr>
      </w:pPr>
      <w:r w:rsidRPr="00B772FD">
        <w:rPr>
          <w:rFonts w:eastAsia="Calibri"/>
          <w:b/>
          <w:bCs/>
          <w:color w:val="000000"/>
        </w:rPr>
        <w:t xml:space="preserve">17. </w:t>
      </w:r>
      <w:r w:rsidRPr="00B772FD">
        <w:rPr>
          <w:rFonts w:eastAsia="Calibri"/>
          <w:b/>
          <w:bCs/>
          <w:color w:val="000000"/>
        </w:rPr>
        <w:tab/>
        <w:t xml:space="preserve">If seeking approval to not display the expiration date for OMB approval of the information collection, explain the reasons why display would be inappropriate. </w:t>
      </w:r>
    </w:p>
    <w:p w14:paraId="521BD25E" w14:textId="77777777" w:rsidR="00D42071" w:rsidRDefault="00D42071" w:rsidP="00203FA0"/>
    <w:p w14:paraId="1062374B" w14:textId="77777777" w:rsidR="00650CCA" w:rsidRDefault="00650CCA" w:rsidP="00203FA0">
      <w:r>
        <w:tab/>
        <w:t>Not applicable</w:t>
      </w:r>
      <w:r w:rsidR="00A31A96">
        <w:t xml:space="preserve"> – The Commission is not seeking approval to exclude the display of the expiration date for OMB approval of this information collection</w:t>
      </w:r>
      <w:r>
        <w:t>.</w:t>
      </w:r>
    </w:p>
    <w:p w14:paraId="22EFF53D" w14:textId="77777777" w:rsidR="00650CCA" w:rsidRDefault="00650CCA" w:rsidP="00203FA0"/>
    <w:p w14:paraId="6A9FF974" w14:textId="77777777" w:rsidR="00650CCA" w:rsidRDefault="00650CCA" w:rsidP="00203FA0"/>
    <w:p w14:paraId="1631BE3F" w14:textId="77777777" w:rsidR="00D42071" w:rsidRPr="00B772FD" w:rsidRDefault="00D42071" w:rsidP="00203FA0">
      <w:pPr>
        <w:autoSpaceDE w:val="0"/>
        <w:autoSpaceDN w:val="0"/>
        <w:adjustRightInd w:val="0"/>
        <w:rPr>
          <w:rFonts w:eastAsia="Calibri"/>
          <w:b/>
          <w:bCs/>
          <w:color w:val="000000"/>
        </w:rPr>
      </w:pPr>
      <w:r w:rsidRPr="00B772FD">
        <w:rPr>
          <w:rFonts w:eastAsia="Calibri"/>
          <w:b/>
          <w:bCs/>
          <w:color w:val="000000"/>
        </w:rPr>
        <w:t xml:space="preserve">18. </w:t>
      </w:r>
      <w:r w:rsidRPr="00B772FD">
        <w:rPr>
          <w:rFonts w:eastAsia="Calibri"/>
          <w:b/>
          <w:bCs/>
          <w:color w:val="000000"/>
        </w:rPr>
        <w:tab/>
        <w:t xml:space="preserve">Explain each exception to the certification statement identified in Item 19 of OMB Form 83-I. </w:t>
      </w:r>
    </w:p>
    <w:p w14:paraId="0D5C27F8" w14:textId="77777777" w:rsidR="00D42071" w:rsidRDefault="00D42071" w:rsidP="00203FA0"/>
    <w:p w14:paraId="23760799" w14:textId="77777777" w:rsidR="00650CCA" w:rsidRDefault="00650CCA" w:rsidP="00203FA0">
      <w:r>
        <w:tab/>
        <w:t>Not applicable</w:t>
      </w:r>
      <w:r w:rsidR="007C3104">
        <w:t xml:space="preserve"> </w:t>
      </w:r>
      <w:r w:rsidR="00A31A96">
        <w:t>-- The Commission proposes no exception to the certification statement on OMB Form 83-I.</w:t>
      </w:r>
    </w:p>
    <w:p w14:paraId="020E3C65" w14:textId="77777777" w:rsidR="00650CCA" w:rsidRDefault="00650CCA" w:rsidP="00203FA0"/>
    <w:p w14:paraId="772FB0ED" w14:textId="77777777" w:rsidR="00650CCA" w:rsidRDefault="00650CCA" w:rsidP="00203FA0"/>
    <w:p w14:paraId="7BA363D1" w14:textId="77777777" w:rsidR="00650CCA" w:rsidRDefault="00650CCA" w:rsidP="00203FA0">
      <w:r>
        <w:rPr>
          <w:b/>
        </w:rPr>
        <w:t>B.</w:t>
      </w:r>
      <w:r>
        <w:rPr>
          <w:b/>
        </w:rPr>
        <w:tab/>
        <w:t>Collections of Information Employing Statistical Methods</w:t>
      </w:r>
    </w:p>
    <w:p w14:paraId="46393319" w14:textId="77777777" w:rsidR="00650CCA" w:rsidRDefault="00650CCA" w:rsidP="00203FA0"/>
    <w:p w14:paraId="1B6A2EC2" w14:textId="77777777" w:rsidR="00650CCA" w:rsidRDefault="00650CCA" w:rsidP="00203FA0">
      <w:r>
        <w:tab/>
        <w:t>This collection of information does not employ statistical methods.</w:t>
      </w:r>
    </w:p>
    <w:p w14:paraId="539098CC" w14:textId="77777777" w:rsidR="005045C6" w:rsidRPr="005045C6" w:rsidRDefault="0010192B" w:rsidP="00203FA0">
      <w:pPr>
        <w:rPr>
          <w:b/>
        </w:rPr>
      </w:pPr>
      <w:r>
        <w:br w:type="page"/>
      </w:r>
      <w:r w:rsidR="005045C6">
        <w:rPr>
          <w:b/>
        </w:rPr>
        <w:t>Attachment 1</w:t>
      </w:r>
    </w:p>
    <w:p w14:paraId="6D42BF85" w14:textId="77777777" w:rsidR="005045C6" w:rsidRDefault="005045C6" w:rsidP="00203FA0"/>
    <w:p w14:paraId="34BA435C" w14:textId="77777777" w:rsidR="005045C6" w:rsidRDefault="005045C6" w:rsidP="00203FA0"/>
    <w:p w14:paraId="68B6E594" w14:textId="77777777" w:rsidR="005045C6" w:rsidRDefault="005045C6" w:rsidP="00203FA0">
      <w:r w:rsidRPr="00A041F4">
        <w:rPr>
          <w:b/>
        </w:rPr>
        <w:t>12.</w:t>
      </w:r>
      <w:r w:rsidRPr="00A041F4">
        <w:rPr>
          <w:b/>
        </w:rPr>
        <w:tab/>
      </w:r>
      <w:r>
        <w:rPr>
          <w:b/>
        </w:rPr>
        <w:t>Estimated Burden and Costs, Including Overhead, to Respondents</w:t>
      </w:r>
    </w:p>
    <w:p w14:paraId="4B9251B5" w14:textId="77777777" w:rsidR="005045C6" w:rsidRDefault="005045C6" w:rsidP="00203FA0"/>
    <w:p w14:paraId="475558A8" w14:textId="77777777" w:rsidR="005045C6" w:rsidRDefault="00397708" w:rsidP="00203FA0">
      <w:r>
        <w:t>2,</w:t>
      </w:r>
      <w:r w:rsidR="00D65405">
        <w:t>202</w:t>
      </w:r>
      <w:r w:rsidR="005045C6">
        <w:t xml:space="preserve"> hours (reporting and recordkeeping requirements) + </w:t>
      </w:r>
      <w:r w:rsidR="00D65405">
        <w:t>212</w:t>
      </w:r>
      <w:r w:rsidR="00206672">
        <w:t xml:space="preserve"> hours (Form FMC</w:t>
      </w:r>
      <w:r w:rsidR="00206672">
        <w:noBreakHyphen/>
      </w:r>
      <w:r w:rsidR="005045C6">
        <w:t>1</w:t>
      </w:r>
      <w:r w:rsidR="00F1613F">
        <w:t>)</w:t>
      </w:r>
      <w:r w:rsidR="005045C6">
        <w:t xml:space="preserve"> = </w:t>
      </w:r>
      <w:r w:rsidR="00101F83">
        <w:t>2,408</w:t>
      </w:r>
      <w:r w:rsidR="005045C6">
        <w:t xml:space="preserve"> total hours</w:t>
      </w:r>
    </w:p>
    <w:p w14:paraId="3036FEF2" w14:textId="77777777" w:rsidR="005045C6" w:rsidRDefault="005045C6" w:rsidP="00203FA0"/>
    <w:p w14:paraId="48DF628E" w14:textId="77777777" w:rsidR="005045C6" w:rsidRDefault="005045C6" w:rsidP="00203FA0">
      <w:r>
        <w:t>33% Pricing Manager (</w:t>
      </w:r>
      <w:r w:rsidR="00101F83">
        <w:t>795</w:t>
      </w:r>
      <w:r>
        <w:t xml:space="preserve"> hours)</w:t>
      </w:r>
    </w:p>
    <w:p w14:paraId="3CD4B6DB" w14:textId="77777777" w:rsidR="005045C6" w:rsidRDefault="005045C6" w:rsidP="00203FA0">
      <w:r>
        <w:t>67% Tariff Publisher (</w:t>
      </w:r>
      <w:r w:rsidR="00101F83">
        <w:t>1,613</w:t>
      </w:r>
      <w:r>
        <w:t xml:space="preserve"> hours)</w:t>
      </w:r>
    </w:p>
    <w:p w14:paraId="4777BE29" w14:textId="77777777" w:rsidR="005045C6" w:rsidRDefault="005045C6" w:rsidP="00203FA0"/>
    <w:p w14:paraId="57C6F320" w14:textId="259C0678" w:rsidR="00515D99" w:rsidRDefault="00515D99" w:rsidP="00203FA0">
      <w:r>
        <w:t xml:space="preserve">The annual salary calculations have been formulated using the Federal Government’s </w:t>
      </w:r>
      <w:r w:rsidR="00D65405">
        <w:t>January 2016</w:t>
      </w:r>
      <w:r>
        <w:t xml:space="preserve"> salary table (overhead of </w:t>
      </w:r>
      <w:r w:rsidR="00D65405">
        <w:t xml:space="preserve">114.89% </w:t>
      </w:r>
      <w:r>
        <w:t xml:space="preserve">has been added to the basic salary).  The salary for the pricing manager was calculated using the salary of a GS 13/5 Senior Transportation Specialist, and the salary for the tariff publisher was calculated using the salary of a GS 6/5 Transportation Specialist. </w:t>
      </w:r>
    </w:p>
    <w:p w14:paraId="0669F05D" w14:textId="77777777" w:rsidR="005045C6" w:rsidRDefault="005045C6" w:rsidP="00203FA0"/>
    <w:p w14:paraId="2936DC2E" w14:textId="77777777" w:rsidR="00515D99" w:rsidRDefault="00515D99" w:rsidP="00203FA0">
      <w:r>
        <w:t>Formula:  Annual salary/2087 + overhead rate = adjusted annual salary</w:t>
      </w:r>
    </w:p>
    <w:p w14:paraId="38A9939F" w14:textId="77777777" w:rsidR="00515D99" w:rsidRDefault="00515D99" w:rsidP="00203FA0"/>
    <w:p w14:paraId="5C911C77" w14:textId="77777777" w:rsidR="00515D99" w:rsidRPr="00A041F4" w:rsidRDefault="00515D99" w:rsidP="00203FA0">
      <w:r w:rsidRPr="00A041F4">
        <w:t>$</w:t>
      </w:r>
      <w:r w:rsidR="00D65405">
        <w:t xml:space="preserve">104,433/2087 = $50.04 (basic hourly rate) </w:t>
      </w:r>
      <w:r w:rsidRPr="00A041F4">
        <w:t xml:space="preserve">+ </w:t>
      </w:r>
      <w:r w:rsidR="00D65405">
        <w:t>$57.49 (overhead)</w:t>
      </w:r>
      <w:r w:rsidRPr="00A041F4">
        <w:t xml:space="preserve"> = $</w:t>
      </w:r>
      <w:r w:rsidR="00D65405">
        <w:t>107.53</w:t>
      </w:r>
      <w:r>
        <w:t xml:space="preserve"> = Pricing Manager adj</w:t>
      </w:r>
      <w:r w:rsidRPr="00A041F4">
        <w:t>usted hourly salary</w:t>
      </w:r>
    </w:p>
    <w:p w14:paraId="45FDFC0A" w14:textId="77777777" w:rsidR="00515D99" w:rsidRPr="00A041F4" w:rsidRDefault="00515D99" w:rsidP="00203FA0"/>
    <w:p w14:paraId="3BBADA4F" w14:textId="77777777" w:rsidR="00515D99" w:rsidRPr="00A041F4" w:rsidRDefault="00515D99" w:rsidP="00203FA0">
      <w:r w:rsidRPr="00A041F4">
        <w:t>$</w:t>
      </w:r>
      <w:r w:rsidR="00D65405">
        <w:t>44,551/2087 = $21.35</w:t>
      </w:r>
      <w:r w:rsidRPr="00A041F4">
        <w:t xml:space="preserve"> </w:t>
      </w:r>
      <w:r w:rsidR="00D65405">
        <w:t xml:space="preserve">(basic hourly rate) </w:t>
      </w:r>
      <w:r w:rsidRPr="00A041F4">
        <w:t xml:space="preserve">+ </w:t>
      </w:r>
      <w:r w:rsidR="00D65405">
        <w:t>$24.53 (overhead) =</w:t>
      </w:r>
      <w:r w:rsidRPr="00A041F4">
        <w:t xml:space="preserve"> $</w:t>
      </w:r>
      <w:r w:rsidR="00D65405">
        <w:t>45.8</w:t>
      </w:r>
      <w:r>
        <w:t>8</w:t>
      </w:r>
      <w:r w:rsidRPr="00A041F4">
        <w:t xml:space="preserve"> = </w:t>
      </w:r>
      <w:r>
        <w:t>Tariff Publisher</w:t>
      </w:r>
      <w:r w:rsidRPr="00A041F4">
        <w:t xml:space="preserve"> adjusted hourly salary</w:t>
      </w:r>
    </w:p>
    <w:p w14:paraId="0A55D7E7" w14:textId="77777777" w:rsidR="005045C6" w:rsidRDefault="005045C6" w:rsidP="00203FA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4"/>
        <w:gridCol w:w="2394"/>
        <w:gridCol w:w="2394"/>
        <w:gridCol w:w="2394"/>
      </w:tblGrid>
      <w:tr w:rsidR="005045C6" w:rsidRPr="00796A0C" w14:paraId="5C4EEA1F" w14:textId="77777777" w:rsidTr="00796A0C">
        <w:tc>
          <w:tcPr>
            <w:tcW w:w="2394" w:type="dxa"/>
          </w:tcPr>
          <w:p w14:paraId="1A486C2C" w14:textId="77777777" w:rsidR="005045C6" w:rsidRPr="00796A0C" w:rsidRDefault="005045C6" w:rsidP="00203FA0">
            <w:pPr>
              <w:rPr>
                <w:b/>
              </w:rPr>
            </w:pPr>
            <w:r w:rsidRPr="00796A0C">
              <w:rPr>
                <w:b/>
              </w:rPr>
              <w:t>Employee</w:t>
            </w:r>
          </w:p>
        </w:tc>
        <w:tc>
          <w:tcPr>
            <w:tcW w:w="2394" w:type="dxa"/>
          </w:tcPr>
          <w:p w14:paraId="676A90C0" w14:textId="77777777" w:rsidR="005045C6" w:rsidRPr="00796A0C" w:rsidRDefault="005045C6" w:rsidP="00203FA0">
            <w:pPr>
              <w:rPr>
                <w:b/>
              </w:rPr>
            </w:pPr>
            <w:r w:rsidRPr="00796A0C">
              <w:rPr>
                <w:b/>
              </w:rPr>
              <w:t>Hourly Salary</w:t>
            </w:r>
          </w:p>
        </w:tc>
        <w:tc>
          <w:tcPr>
            <w:tcW w:w="2394" w:type="dxa"/>
          </w:tcPr>
          <w:p w14:paraId="7E3FFB80" w14:textId="77777777" w:rsidR="005045C6" w:rsidRPr="00796A0C" w:rsidRDefault="005045C6" w:rsidP="00203FA0">
            <w:pPr>
              <w:rPr>
                <w:b/>
              </w:rPr>
            </w:pPr>
            <w:r w:rsidRPr="00796A0C">
              <w:rPr>
                <w:b/>
              </w:rPr>
              <w:t>Number of Hours</w:t>
            </w:r>
          </w:p>
        </w:tc>
        <w:tc>
          <w:tcPr>
            <w:tcW w:w="2394" w:type="dxa"/>
          </w:tcPr>
          <w:p w14:paraId="77A050F6" w14:textId="77777777" w:rsidR="005045C6" w:rsidRPr="00796A0C" w:rsidRDefault="005045C6" w:rsidP="00203FA0">
            <w:pPr>
              <w:rPr>
                <w:b/>
              </w:rPr>
            </w:pPr>
            <w:r w:rsidRPr="00796A0C">
              <w:rPr>
                <w:b/>
              </w:rPr>
              <w:t>Total</w:t>
            </w:r>
          </w:p>
        </w:tc>
      </w:tr>
      <w:tr w:rsidR="005045C6" w:rsidRPr="00796A0C" w14:paraId="5861EED7" w14:textId="77777777" w:rsidTr="00796A0C">
        <w:tc>
          <w:tcPr>
            <w:tcW w:w="2394" w:type="dxa"/>
          </w:tcPr>
          <w:p w14:paraId="5A7891BC" w14:textId="77777777" w:rsidR="005045C6" w:rsidRPr="0023396A" w:rsidRDefault="005045C6" w:rsidP="00203FA0">
            <w:r>
              <w:t>Pricing Manager</w:t>
            </w:r>
          </w:p>
        </w:tc>
        <w:tc>
          <w:tcPr>
            <w:tcW w:w="2394" w:type="dxa"/>
          </w:tcPr>
          <w:p w14:paraId="5E7BB768" w14:textId="77777777" w:rsidR="005045C6" w:rsidRPr="0023396A" w:rsidRDefault="005045C6" w:rsidP="00203FA0">
            <w:r w:rsidRPr="0023396A">
              <w:t>$</w:t>
            </w:r>
            <w:r w:rsidR="00D65405">
              <w:t>107.53</w:t>
            </w:r>
          </w:p>
        </w:tc>
        <w:tc>
          <w:tcPr>
            <w:tcW w:w="2394" w:type="dxa"/>
          </w:tcPr>
          <w:p w14:paraId="4B37F004" w14:textId="77777777" w:rsidR="005045C6" w:rsidRPr="0023396A" w:rsidRDefault="00101F83" w:rsidP="00203FA0">
            <w:r>
              <w:t>795</w:t>
            </w:r>
          </w:p>
        </w:tc>
        <w:tc>
          <w:tcPr>
            <w:tcW w:w="2394" w:type="dxa"/>
          </w:tcPr>
          <w:p w14:paraId="3BFF9E1F" w14:textId="77777777" w:rsidR="005045C6" w:rsidRPr="0023396A" w:rsidRDefault="00B517B5" w:rsidP="00203FA0">
            <w:r>
              <w:t>$</w:t>
            </w:r>
            <w:r w:rsidR="00397708">
              <w:t>  </w:t>
            </w:r>
            <w:r w:rsidR="00101F83">
              <w:t>85,486</w:t>
            </w:r>
          </w:p>
        </w:tc>
      </w:tr>
      <w:tr w:rsidR="005045C6" w:rsidRPr="00796A0C" w14:paraId="29DBDFA8" w14:textId="77777777" w:rsidTr="00796A0C">
        <w:tc>
          <w:tcPr>
            <w:tcW w:w="2394" w:type="dxa"/>
          </w:tcPr>
          <w:p w14:paraId="4014974E" w14:textId="77777777" w:rsidR="005045C6" w:rsidRPr="0023396A" w:rsidRDefault="005045C6" w:rsidP="00203FA0">
            <w:r>
              <w:t>Tariff Publisher</w:t>
            </w:r>
          </w:p>
        </w:tc>
        <w:tc>
          <w:tcPr>
            <w:tcW w:w="2394" w:type="dxa"/>
          </w:tcPr>
          <w:p w14:paraId="70FD6612" w14:textId="77777777" w:rsidR="005045C6" w:rsidRPr="0023396A" w:rsidRDefault="00206672" w:rsidP="00203FA0">
            <w:r>
              <w:t>$4</w:t>
            </w:r>
            <w:r w:rsidR="00D65405">
              <w:t>5.8</w:t>
            </w:r>
            <w:r w:rsidR="00515D99">
              <w:t>8</w:t>
            </w:r>
          </w:p>
        </w:tc>
        <w:tc>
          <w:tcPr>
            <w:tcW w:w="2394" w:type="dxa"/>
          </w:tcPr>
          <w:p w14:paraId="4441BF78" w14:textId="77777777" w:rsidR="005045C6" w:rsidRPr="0023396A" w:rsidRDefault="00101F83" w:rsidP="00203FA0">
            <w:r>
              <w:t>1,613</w:t>
            </w:r>
          </w:p>
        </w:tc>
        <w:tc>
          <w:tcPr>
            <w:tcW w:w="2394" w:type="dxa"/>
          </w:tcPr>
          <w:p w14:paraId="295B2D0C" w14:textId="77777777" w:rsidR="005045C6" w:rsidRPr="0023396A" w:rsidRDefault="00206672" w:rsidP="00203FA0">
            <w:r>
              <w:t>$</w:t>
            </w:r>
            <w:r w:rsidR="00397708">
              <w:t>  </w:t>
            </w:r>
            <w:r w:rsidR="00101F83">
              <w:t>74,004</w:t>
            </w:r>
          </w:p>
        </w:tc>
      </w:tr>
      <w:tr w:rsidR="005045C6" w:rsidRPr="00796A0C" w14:paraId="04EEA39D" w14:textId="77777777" w:rsidTr="00796A0C">
        <w:tc>
          <w:tcPr>
            <w:tcW w:w="2394" w:type="dxa"/>
          </w:tcPr>
          <w:p w14:paraId="731FEFA5" w14:textId="77777777" w:rsidR="005045C6" w:rsidRPr="00796A0C" w:rsidRDefault="005045C6" w:rsidP="00203FA0">
            <w:pPr>
              <w:rPr>
                <w:b/>
              </w:rPr>
            </w:pPr>
            <w:r w:rsidRPr="00796A0C">
              <w:rPr>
                <w:b/>
              </w:rPr>
              <w:t>TOTALS</w:t>
            </w:r>
          </w:p>
        </w:tc>
        <w:tc>
          <w:tcPr>
            <w:tcW w:w="2394" w:type="dxa"/>
          </w:tcPr>
          <w:p w14:paraId="2B396EF3" w14:textId="77777777" w:rsidR="005045C6" w:rsidRPr="00796A0C" w:rsidRDefault="005045C6" w:rsidP="00203FA0">
            <w:pPr>
              <w:rPr>
                <w:b/>
              </w:rPr>
            </w:pPr>
          </w:p>
        </w:tc>
        <w:tc>
          <w:tcPr>
            <w:tcW w:w="2394" w:type="dxa"/>
          </w:tcPr>
          <w:p w14:paraId="55622A3B" w14:textId="77777777" w:rsidR="005045C6" w:rsidRPr="00796A0C" w:rsidRDefault="00CD25FD" w:rsidP="00203FA0">
            <w:pPr>
              <w:rPr>
                <w:b/>
              </w:rPr>
            </w:pPr>
            <w:r>
              <w:rPr>
                <w:b/>
              </w:rPr>
              <w:t>2,408</w:t>
            </w:r>
          </w:p>
        </w:tc>
        <w:tc>
          <w:tcPr>
            <w:tcW w:w="2394" w:type="dxa"/>
          </w:tcPr>
          <w:p w14:paraId="31FAFDFD" w14:textId="77777777" w:rsidR="005045C6" w:rsidRPr="00796A0C" w:rsidRDefault="00206672" w:rsidP="00203FA0">
            <w:pPr>
              <w:rPr>
                <w:b/>
              </w:rPr>
            </w:pPr>
            <w:r w:rsidRPr="00796A0C">
              <w:rPr>
                <w:b/>
              </w:rPr>
              <w:t>$</w:t>
            </w:r>
            <w:r w:rsidR="00CD25FD">
              <w:rPr>
                <w:b/>
              </w:rPr>
              <w:t>15</w:t>
            </w:r>
            <w:r w:rsidR="00101F83">
              <w:rPr>
                <w:b/>
              </w:rPr>
              <w:t>9,490</w:t>
            </w:r>
          </w:p>
        </w:tc>
      </w:tr>
    </w:tbl>
    <w:p w14:paraId="52076333" w14:textId="77777777" w:rsidR="005045C6" w:rsidRDefault="005045C6" w:rsidP="00203FA0">
      <w:pPr>
        <w:rPr>
          <w:b/>
        </w:rPr>
      </w:pPr>
    </w:p>
    <w:p w14:paraId="007578F8" w14:textId="77777777" w:rsidR="005045C6" w:rsidRDefault="005045C6" w:rsidP="00203FA0"/>
    <w:p w14:paraId="35AE629D" w14:textId="77777777" w:rsidR="005045C6" w:rsidRDefault="005045C6" w:rsidP="00203FA0">
      <w:pPr>
        <w:rPr>
          <w:b/>
        </w:rPr>
      </w:pPr>
      <w:r>
        <w:rPr>
          <w:b/>
        </w:rPr>
        <w:br w:type="page"/>
        <w:t>Attachment 2</w:t>
      </w:r>
    </w:p>
    <w:p w14:paraId="7E09F46E" w14:textId="77777777" w:rsidR="005045C6" w:rsidRDefault="005045C6" w:rsidP="00203FA0">
      <w:pPr>
        <w:rPr>
          <w:b/>
        </w:rPr>
      </w:pPr>
    </w:p>
    <w:p w14:paraId="5EF30BA2" w14:textId="77777777" w:rsidR="005045C6" w:rsidRDefault="005045C6" w:rsidP="00203FA0">
      <w:pPr>
        <w:rPr>
          <w:b/>
        </w:rPr>
      </w:pPr>
    </w:p>
    <w:p w14:paraId="2D122071" w14:textId="77777777" w:rsidR="005045C6" w:rsidRDefault="005045C6" w:rsidP="00203FA0">
      <w:pPr>
        <w:rPr>
          <w:b/>
        </w:rPr>
      </w:pPr>
      <w:r>
        <w:rPr>
          <w:b/>
        </w:rPr>
        <w:t>14.</w:t>
      </w:r>
      <w:r>
        <w:rPr>
          <w:b/>
        </w:rPr>
        <w:tab/>
        <w:t>Estimated Burden and Costs, Including Overhead, to Federal Government</w:t>
      </w:r>
    </w:p>
    <w:p w14:paraId="2B7359AE" w14:textId="77777777" w:rsidR="005045C6" w:rsidRDefault="005045C6" w:rsidP="00203FA0">
      <w:pPr>
        <w:rPr>
          <w:b/>
        </w:rPr>
      </w:pPr>
    </w:p>
    <w:p w14:paraId="03443EC2" w14:textId="77777777" w:rsidR="00AF1A38" w:rsidRDefault="00AF1A38" w:rsidP="00203FA0">
      <w:r>
        <w:t>The annual salary calculations have been formulated usin</w:t>
      </w:r>
      <w:r w:rsidR="00D65405">
        <w:t>g the Federal Government’s January</w:t>
      </w:r>
      <w:r>
        <w:t xml:space="preserve"> </w:t>
      </w:r>
      <w:r w:rsidRPr="00A041F4">
        <w:t>20</w:t>
      </w:r>
      <w:r w:rsidR="00D65405">
        <w:t>16 salary table (overhead of 114.89</w:t>
      </w:r>
      <w:r>
        <w:t>% has been added to the basic salary).</w:t>
      </w:r>
    </w:p>
    <w:p w14:paraId="6C284415" w14:textId="77777777" w:rsidR="003816A7" w:rsidRDefault="003816A7" w:rsidP="00203FA0"/>
    <w:p w14:paraId="5FC8CEE4" w14:textId="77777777" w:rsidR="003816A7" w:rsidRPr="0041177D" w:rsidRDefault="003816A7" w:rsidP="00203FA0">
      <w:r>
        <w:rPr>
          <w:b/>
        </w:rPr>
        <w:t xml:space="preserve">Office Director </w:t>
      </w:r>
      <w:r>
        <w:t>1</w:t>
      </w:r>
      <w:r w:rsidR="00AF1A38">
        <w:t>5/4</w:t>
      </w:r>
      <w:r>
        <w:t xml:space="preserve"> – </w:t>
      </w:r>
      <w:r w:rsidR="003A56A7">
        <w:t xml:space="preserve">166 </w:t>
      </w:r>
      <w:r>
        <w:t>hours</w:t>
      </w:r>
      <w:r w:rsidR="00CD5759">
        <w:t xml:space="preserve"> (approximately 8</w:t>
      </w:r>
      <w:r w:rsidR="00B875C8">
        <w:t>% of time)</w:t>
      </w:r>
    </w:p>
    <w:p w14:paraId="35B5FBF0" w14:textId="77777777" w:rsidR="00AF1A38" w:rsidRDefault="00D46FCD" w:rsidP="00203FA0">
      <w:r>
        <w:t>$145,162</w:t>
      </w:r>
      <w:r w:rsidR="00AF1A38">
        <w:t>/208</w:t>
      </w:r>
      <w:r>
        <w:t xml:space="preserve">7 = $69.56 (basic hourly rate) + $79.92 (overhead) = $149.48 </w:t>
      </w:r>
      <w:r w:rsidR="00AF1A38">
        <w:t>adjusted hourly salary</w:t>
      </w:r>
    </w:p>
    <w:p w14:paraId="218EEA60" w14:textId="77777777" w:rsidR="00AF1A38" w:rsidRDefault="00AF1A38" w:rsidP="00203FA0"/>
    <w:p w14:paraId="02C22398" w14:textId="77777777" w:rsidR="003816A7" w:rsidRDefault="003A56A7" w:rsidP="00203FA0">
      <w:r>
        <w:rPr>
          <w:b/>
        </w:rPr>
        <w:t>Transportation Specialist</w:t>
      </w:r>
      <w:r w:rsidR="003816A7">
        <w:rPr>
          <w:b/>
        </w:rPr>
        <w:t xml:space="preserve"> </w:t>
      </w:r>
      <w:r w:rsidR="00D46FCD">
        <w:t>12</w:t>
      </w:r>
      <w:r w:rsidR="003816A7">
        <w:t xml:space="preserve"> – </w:t>
      </w:r>
      <w:r w:rsidR="00DF09D8">
        <w:t>166</w:t>
      </w:r>
      <w:r w:rsidR="003816A7">
        <w:t xml:space="preserve"> hours</w:t>
      </w:r>
      <w:r w:rsidR="00B875C8">
        <w:t xml:space="preserve"> (approximately </w:t>
      </w:r>
      <w:r w:rsidR="00CD5759">
        <w:t>8</w:t>
      </w:r>
      <w:r w:rsidR="00B875C8">
        <w:t>% of time)</w:t>
      </w:r>
    </w:p>
    <w:p w14:paraId="6CDC32F7" w14:textId="77777777" w:rsidR="00AF1A38" w:rsidRDefault="00D46FCD" w:rsidP="00203FA0">
      <w:r>
        <w:t>$87,821/2087 = $42.08 (basic hourly rate)</w:t>
      </w:r>
      <w:r w:rsidR="00AF1A38">
        <w:t xml:space="preserve"> + </w:t>
      </w:r>
      <w:r>
        <w:t>$48.35 (overhead) = $90</w:t>
      </w:r>
      <w:r w:rsidR="00AF1A38">
        <w:t>.</w:t>
      </w:r>
      <w:r>
        <w:t xml:space="preserve">43 </w:t>
      </w:r>
      <w:r w:rsidR="00AF1A38">
        <w:t>adjusted hourly salary</w:t>
      </w:r>
    </w:p>
    <w:p w14:paraId="569C2923" w14:textId="77777777" w:rsidR="00DF09D8" w:rsidRDefault="00DF09D8" w:rsidP="00203FA0"/>
    <w:p w14:paraId="3FE31AC7" w14:textId="77777777" w:rsidR="00FA2DAA" w:rsidRDefault="00FA2DAA" w:rsidP="00203FA0">
      <w:r w:rsidRPr="007E440C">
        <w:rPr>
          <w:b/>
        </w:rPr>
        <w:t>Senior Transportation Specialist</w:t>
      </w:r>
      <w:r>
        <w:t xml:space="preserve"> GS-14 – 166 hours (approximately 8% of time)</w:t>
      </w:r>
    </w:p>
    <w:p w14:paraId="06870FD3" w14:textId="77777777" w:rsidR="00FA2DAA" w:rsidRDefault="00FA2DAA" w:rsidP="00203FA0">
      <w:r>
        <w:t>$141,895/2087 = $67.99 (basic hourly rate) + $78.12 (overhead) = $146.11 adjusted hourly salary</w:t>
      </w:r>
    </w:p>
    <w:p w14:paraId="0676C8BA" w14:textId="77777777" w:rsidR="00AF1A38" w:rsidRDefault="00AF1A38" w:rsidP="00203FA0"/>
    <w:p w14:paraId="15FF4E75" w14:textId="77777777" w:rsidR="003816A7" w:rsidRPr="00244B71" w:rsidRDefault="003816A7" w:rsidP="00203FA0">
      <w:r>
        <w:rPr>
          <w:b/>
        </w:rPr>
        <w:t xml:space="preserve">Information Processing Assistant </w:t>
      </w:r>
      <w:r w:rsidR="00D46FCD">
        <w:rPr>
          <w:b/>
        </w:rPr>
        <w:t>GS-</w:t>
      </w:r>
      <w:r>
        <w:t xml:space="preserve">7 – </w:t>
      </w:r>
      <w:r w:rsidR="003A56A7">
        <w:t>166</w:t>
      </w:r>
      <w:r>
        <w:t xml:space="preserve"> hours</w:t>
      </w:r>
      <w:r w:rsidR="00CD5759">
        <w:t xml:space="preserve"> (approximately 8</w:t>
      </w:r>
      <w:r w:rsidR="00B875C8">
        <w:t>% of time)</w:t>
      </w:r>
    </w:p>
    <w:p w14:paraId="7E718B88" w14:textId="77777777" w:rsidR="00AF1A38" w:rsidRDefault="00D46FCD" w:rsidP="00203FA0">
      <w:r>
        <w:t>$54,827/2087 = $26.27</w:t>
      </w:r>
      <w:r w:rsidR="00AF1A38">
        <w:t xml:space="preserve"> </w:t>
      </w:r>
      <w:r>
        <w:t xml:space="preserve">(basic hourly rate) </w:t>
      </w:r>
      <w:r w:rsidR="00AF1A38">
        <w:t xml:space="preserve">+ </w:t>
      </w:r>
      <w:r>
        <w:t>$30.18 (overhead) = $56.45</w:t>
      </w:r>
      <w:r w:rsidR="00AF1A38">
        <w:t xml:space="preserve">  adjusted hourly salary</w:t>
      </w:r>
    </w:p>
    <w:p w14:paraId="6502E6FA" w14:textId="77777777" w:rsidR="003816A7" w:rsidRDefault="003816A7" w:rsidP="00203FA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1800"/>
        <w:gridCol w:w="2160"/>
        <w:gridCol w:w="1458"/>
      </w:tblGrid>
      <w:tr w:rsidR="003816A7" w14:paraId="4DF4C37A" w14:textId="77777777" w:rsidTr="00796A0C">
        <w:tc>
          <w:tcPr>
            <w:tcW w:w="4158" w:type="dxa"/>
          </w:tcPr>
          <w:p w14:paraId="3B63E75A" w14:textId="77777777" w:rsidR="003816A7" w:rsidRPr="0058381C" w:rsidRDefault="003816A7" w:rsidP="00203FA0">
            <w:pPr>
              <w:rPr>
                <w:b/>
              </w:rPr>
            </w:pPr>
            <w:r w:rsidRPr="0058381C">
              <w:rPr>
                <w:b/>
              </w:rPr>
              <w:t>Employee</w:t>
            </w:r>
          </w:p>
        </w:tc>
        <w:tc>
          <w:tcPr>
            <w:tcW w:w="1800" w:type="dxa"/>
          </w:tcPr>
          <w:p w14:paraId="02AF3C12" w14:textId="77777777" w:rsidR="003816A7" w:rsidRPr="0058381C" w:rsidRDefault="003816A7" w:rsidP="00203FA0">
            <w:pPr>
              <w:rPr>
                <w:b/>
              </w:rPr>
            </w:pPr>
            <w:r w:rsidRPr="0058381C">
              <w:rPr>
                <w:b/>
              </w:rPr>
              <w:t>Hourly Salary</w:t>
            </w:r>
          </w:p>
        </w:tc>
        <w:tc>
          <w:tcPr>
            <w:tcW w:w="2160" w:type="dxa"/>
          </w:tcPr>
          <w:p w14:paraId="17A01FE3" w14:textId="77777777" w:rsidR="003816A7" w:rsidRPr="0058381C" w:rsidRDefault="003816A7" w:rsidP="00203FA0">
            <w:pPr>
              <w:rPr>
                <w:b/>
              </w:rPr>
            </w:pPr>
            <w:r w:rsidRPr="0058381C">
              <w:rPr>
                <w:b/>
              </w:rPr>
              <w:t>Number of Hours</w:t>
            </w:r>
          </w:p>
        </w:tc>
        <w:tc>
          <w:tcPr>
            <w:tcW w:w="1458" w:type="dxa"/>
          </w:tcPr>
          <w:p w14:paraId="74F3F46C" w14:textId="77777777" w:rsidR="003816A7" w:rsidRPr="0058381C" w:rsidRDefault="003816A7" w:rsidP="00203FA0">
            <w:pPr>
              <w:rPr>
                <w:b/>
              </w:rPr>
            </w:pPr>
            <w:r w:rsidRPr="0058381C">
              <w:rPr>
                <w:b/>
              </w:rPr>
              <w:t>Total</w:t>
            </w:r>
          </w:p>
        </w:tc>
      </w:tr>
      <w:tr w:rsidR="003816A7" w14:paraId="4A98D73B" w14:textId="77777777" w:rsidTr="00796A0C">
        <w:tc>
          <w:tcPr>
            <w:tcW w:w="4158" w:type="dxa"/>
          </w:tcPr>
          <w:p w14:paraId="41FBFD0E" w14:textId="77777777" w:rsidR="003816A7" w:rsidRDefault="003816A7" w:rsidP="00203FA0">
            <w:r>
              <w:t>Office Director</w:t>
            </w:r>
          </w:p>
        </w:tc>
        <w:tc>
          <w:tcPr>
            <w:tcW w:w="1800" w:type="dxa"/>
          </w:tcPr>
          <w:p w14:paraId="7B27E4D7" w14:textId="77777777" w:rsidR="003816A7" w:rsidRDefault="00D65405" w:rsidP="00203FA0">
            <w:r>
              <w:t>$149.48</w:t>
            </w:r>
          </w:p>
        </w:tc>
        <w:tc>
          <w:tcPr>
            <w:tcW w:w="2160" w:type="dxa"/>
          </w:tcPr>
          <w:p w14:paraId="4482F561" w14:textId="77777777" w:rsidR="003816A7" w:rsidRDefault="003816A7" w:rsidP="00203FA0">
            <w:r>
              <w:t>166</w:t>
            </w:r>
          </w:p>
        </w:tc>
        <w:tc>
          <w:tcPr>
            <w:tcW w:w="1458" w:type="dxa"/>
          </w:tcPr>
          <w:p w14:paraId="6F0C6C04" w14:textId="77777777" w:rsidR="003816A7" w:rsidRDefault="00FA2DAA" w:rsidP="00203FA0">
            <w:r>
              <w:t>$24,814</w:t>
            </w:r>
          </w:p>
        </w:tc>
      </w:tr>
      <w:tr w:rsidR="003816A7" w14:paraId="7A577E83" w14:textId="77777777" w:rsidTr="00796A0C">
        <w:tc>
          <w:tcPr>
            <w:tcW w:w="4158" w:type="dxa"/>
          </w:tcPr>
          <w:p w14:paraId="6485BCFC" w14:textId="77777777" w:rsidR="003816A7" w:rsidRDefault="00344832" w:rsidP="00203FA0">
            <w:r>
              <w:t>Transportation Specialist</w:t>
            </w:r>
          </w:p>
        </w:tc>
        <w:tc>
          <w:tcPr>
            <w:tcW w:w="1800" w:type="dxa"/>
          </w:tcPr>
          <w:p w14:paraId="79B0057B" w14:textId="77777777" w:rsidR="003816A7" w:rsidRDefault="00D65405" w:rsidP="00203FA0">
            <w:r>
              <w:t>$90.43</w:t>
            </w:r>
          </w:p>
        </w:tc>
        <w:tc>
          <w:tcPr>
            <w:tcW w:w="2160" w:type="dxa"/>
          </w:tcPr>
          <w:p w14:paraId="70CF3C23" w14:textId="77777777" w:rsidR="003816A7" w:rsidRDefault="00FA2DAA" w:rsidP="00203FA0">
            <w:r>
              <w:t>166</w:t>
            </w:r>
          </w:p>
        </w:tc>
        <w:tc>
          <w:tcPr>
            <w:tcW w:w="1458" w:type="dxa"/>
          </w:tcPr>
          <w:p w14:paraId="5942FFAD" w14:textId="77777777" w:rsidR="003816A7" w:rsidRDefault="003816A7" w:rsidP="00203FA0">
            <w:r>
              <w:t>$</w:t>
            </w:r>
            <w:r w:rsidR="00FA2DAA">
              <w:t>15,0</w:t>
            </w:r>
            <w:r w:rsidR="00AF1A38">
              <w:t>11</w:t>
            </w:r>
          </w:p>
        </w:tc>
      </w:tr>
      <w:tr w:rsidR="00FA2DAA" w14:paraId="769874BF" w14:textId="77777777" w:rsidTr="00796A0C">
        <w:tc>
          <w:tcPr>
            <w:tcW w:w="4158" w:type="dxa"/>
          </w:tcPr>
          <w:p w14:paraId="099D72A9" w14:textId="77777777" w:rsidR="00FA2DAA" w:rsidRDefault="00FA2DAA" w:rsidP="00203FA0">
            <w:r>
              <w:t>Senior Transportation Specialist</w:t>
            </w:r>
          </w:p>
        </w:tc>
        <w:tc>
          <w:tcPr>
            <w:tcW w:w="1800" w:type="dxa"/>
          </w:tcPr>
          <w:p w14:paraId="784475AA" w14:textId="77777777" w:rsidR="00FA2DAA" w:rsidRDefault="00FA2DAA" w:rsidP="00203FA0">
            <w:r>
              <w:t>$146.11</w:t>
            </w:r>
          </w:p>
        </w:tc>
        <w:tc>
          <w:tcPr>
            <w:tcW w:w="2160" w:type="dxa"/>
          </w:tcPr>
          <w:p w14:paraId="7562E467" w14:textId="77777777" w:rsidR="00FA2DAA" w:rsidRDefault="00FA2DAA" w:rsidP="00203FA0">
            <w:r>
              <w:t>166</w:t>
            </w:r>
          </w:p>
        </w:tc>
        <w:tc>
          <w:tcPr>
            <w:tcW w:w="1458" w:type="dxa"/>
          </w:tcPr>
          <w:p w14:paraId="6DE1481D" w14:textId="77777777" w:rsidR="00FA2DAA" w:rsidRDefault="00FA2DAA" w:rsidP="00203FA0">
            <w:r>
              <w:t>$24,254</w:t>
            </w:r>
          </w:p>
        </w:tc>
      </w:tr>
      <w:tr w:rsidR="003816A7" w14:paraId="6E8F4684" w14:textId="77777777" w:rsidTr="00796A0C">
        <w:tc>
          <w:tcPr>
            <w:tcW w:w="4158" w:type="dxa"/>
          </w:tcPr>
          <w:p w14:paraId="51C3B919" w14:textId="77777777" w:rsidR="003816A7" w:rsidRDefault="003816A7" w:rsidP="00203FA0">
            <w:r>
              <w:t xml:space="preserve">Information Processing Assistant </w:t>
            </w:r>
          </w:p>
        </w:tc>
        <w:tc>
          <w:tcPr>
            <w:tcW w:w="1800" w:type="dxa"/>
          </w:tcPr>
          <w:p w14:paraId="5CA0DBB5" w14:textId="77777777" w:rsidR="003816A7" w:rsidRDefault="003816A7" w:rsidP="00203FA0">
            <w:r>
              <w:t>$</w:t>
            </w:r>
            <w:r w:rsidR="00D65405">
              <w:t>56.45</w:t>
            </w:r>
          </w:p>
        </w:tc>
        <w:tc>
          <w:tcPr>
            <w:tcW w:w="2160" w:type="dxa"/>
          </w:tcPr>
          <w:p w14:paraId="2219909D" w14:textId="77777777" w:rsidR="003816A7" w:rsidRDefault="003816A7" w:rsidP="00203FA0">
            <w:r>
              <w:t>166</w:t>
            </w:r>
          </w:p>
        </w:tc>
        <w:tc>
          <w:tcPr>
            <w:tcW w:w="1458" w:type="dxa"/>
          </w:tcPr>
          <w:p w14:paraId="49CD930D" w14:textId="77777777" w:rsidR="003816A7" w:rsidRDefault="003816A7" w:rsidP="00203FA0">
            <w:r>
              <w:t>$  </w:t>
            </w:r>
            <w:r w:rsidR="00FA2DAA">
              <w:t>9,371</w:t>
            </w:r>
          </w:p>
        </w:tc>
      </w:tr>
      <w:tr w:rsidR="003816A7" w14:paraId="0E08E0DA" w14:textId="77777777" w:rsidTr="00796A0C">
        <w:tc>
          <w:tcPr>
            <w:tcW w:w="4158" w:type="dxa"/>
          </w:tcPr>
          <w:p w14:paraId="09912C45" w14:textId="77777777" w:rsidR="003816A7" w:rsidRPr="0058381C" w:rsidRDefault="003816A7" w:rsidP="00203FA0">
            <w:pPr>
              <w:rPr>
                <w:b/>
              </w:rPr>
            </w:pPr>
            <w:r w:rsidRPr="0058381C">
              <w:rPr>
                <w:b/>
              </w:rPr>
              <w:t>TOTALS</w:t>
            </w:r>
          </w:p>
        </w:tc>
        <w:tc>
          <w:tcPr>
            <w:tcW w:w="1800" w:type="dxa"/>
          </w:tcPr>
          <w:p w14:paraId="215BFF5A" w14:textId="77777777" w:rsidR="003816A7" w:rsidRPr="0058381C" w:rsidRDefault="003816A7" w:rsidP="00203FA0">
            <w:pPr>
              <w:rPr>
                <w:b/>
              </w:rPr>
            </w:pPr>
          </w:p>
        </w:tc>
        <w:tc>
          <w:tcPr>
            <w:tcW w:w="2160" w:type="dxa"/>
          </w:tcPr>
          <w:p w14:paraId="615FE095" w14:textId="77777777" w:rsidR="003816A7" w:rsidRPr="0058381C" w:rsidRDefault="00FA2DAA" w:rsidP="00203FA0">
            <w:pPr>
              <w:rPr>
                <w:b/>
              </w:rPr>
            </w:pPr>
            <w:r>
              <w:rPr>
                <w:b/>
              </w:rPr>
              <w:t>664</w:t>
            </w:r>
          </w:p>
        </w:tc>
        <w:tc>
          <w:tcPr>
            <w:tcW w:w="1458" w:type="dxa"/>
          </w:tcPr>
          <w:p w14:paraId="36379982" w14:textId="77777777" w:rsidR="003816A7" w:rsidRPr="0058381C" w:rsidRDefault="00FA2DAA" w:rsidP="00203FA0">
            <w:pPr>
              <w:rPr>
                <w:b/>
              </w:rPr>
            </w:pPr>
            <w:r>
              <w:rPr>
                <w:b/>
              </w:rPr>
              <w:t>$73,450</w:t>
            </w:r>
          </w:p>
        </w:tc>
      </w:tr>
    </w:tbl>
    <w:p w14:paraId="05A6CFC2" w14:textId="77777777" w:rsidR="003816A7" w:rsidRPr="004941C3" w:rsidRDefault="003816A7" w:rsidP="00203FA0"/>
    <w:p w14:paraId="6B7D00AB" w14:textId="77777777" w:rsidR="003816A7" w:rsidRDefault="003816A7" w:rsidP="00203FA0">
      <w:pPr>
        <w:rPr>
          <w:b/>
        </w:rPr>
      </w:pPr>
      <w:r>
        <w:rPr>
          <w:b/>
        </w:rPr>
        <w:t xml:space="preserve">Estimated </w:t>
      </w:r>
      <w:r w:rsidR="00B875C8">
        <w:rPr>
          <w:b/>
        </w:rPr>
        <w:t>Burden C</w:t>
      </w:r>
      <w:r>
        <w:rPr>
          <w:b/>
        </w:rPr>
        <w:t>ost to the Federal Government:</w:t>
      </w:r>
      <w:r w:rsidR="00BD5BA8">
        <w:rPr>
          <w:b/>
        </w:rPr>
        <w:tab/>
      </w:r>
      <w:r w:rsidR="00BD5BA8">
        <w:rPr>
          <w:b/>
        </w:rPr>
        <w:tab/>
      </w:r>
      <w:r>
        <w:rPr>
          <w:b/>
        </w:rPr>
        <w:t>$</w:t>
      </w:r>
      <w:r w:rsidR="00FA2DAA">
        <w:rPr>
          <w:b/>
        </w:rPr>
        <w:t>73,450</w:t>
      </w:r>
    </w:p>
    <w:sectPr w:rsidR="003816A7" w:rsidSect="00203FA0">
      <w:footnotePr>
        <w:pos w:val="beneathText"/>
      </w:footnotePr>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B8BB7C" w14:textId="77777777" w:rsidR="00C93529" w:rsidRDefault="00C93529">
      <w:r>
        <w:separator/>
      </w:r>
    </w:p>
  </w:endnote>
  <w:endnote w:type="continuationSeparator" w:id="0">
    <w:p w14:paraId="42361F99" w14:textId="77777777" w:rsidR="00C93529" w:rsidRDefault="00C93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EFDD20" w14:textId="77777777" w:rsidR="00C93529" w:rsidRDefault="00C93529">
      <w:r>
        <w:separator/>
      </w:r>
    </w:p>
  </w:footnote>
  <w:footnote w:type="continuationSeparator" w:id="0">
    <w:p w14:paraId="752ADA75" w14:textId="77777777" w:rsidR="00C93529" w:rsidRDefault="00C93529">
      <w:r>
        <w:continuationSeparator/>
      </w:r>
    </w:p>
  </w:footnote>
  <w:footnote w:id="1">
    <w:p w14:paraId="50212067" w14:textId="77777777" w:rsidR="00B15638" w:rsidRDefault="00B15638" w:rsidP="0021346A">
      <w:pPr>
        <w:pStyle w:val="FootnoteText"/>
        <w:jc w:val="both"/>
      </w:pPr>
      <w:r>
        <w:rPr>
          <w:rStyle w:val="FootnoteReference"/>
        </w:rPr>
        <w:footnoteRef/>
      </w:r>
      <w:r>
        <w:t xml:space="preserve"> A tariff publication occurs prior to the commencement of common carriage service by a VOCC or NVOCC pursuant to a published tariff.  The common carrier is required to submit a Form FMC-1 indicating where the link is to their published tariff(s) governing rules and rates.</w:t>
      </w:r>
    </w:p>
  </w:footnote>
  <w:footnote w:id="2">
    <w:p w14:paraId="21E4FAA4" w14:textId="77777777" w:rsidR="00B15638" w:rsidRDefault="00B15638" w:rsidP="0021346A">
      <w:pPr>
        <w:pStyle w:val="FootnoteText"/>
        <w:jc w:val="both"/>
      </w:pPr>
      <w:r>
        <w:rPr>
          <w:rStyle w:val="FootnoteReference"/>
        </w:rPr>
        <w:footnoteRef/>
      </w:r>
      <w:r>
        <w:t xml:space="preserve"> There were actually zero filings u</w:t>
      </w:r>
      <w:r w:rsidR="00AD520F">
        <w:t>nder this requirement in FY 2016</w:t>
      </w:r>
      <w:r>
        <w:t>.  This is due to changes in the industry.</w:t>
      </w:r>
    </w:p>
  </w:footnote>
  <w:footnote w:id="3">
    <w:p w14:paraId="68703CA5" w14:textId="77777777" w:rsidR="00B15638" w:rsidRDefault="00B15638" w:rsidP="0021346A">
      <w:pPr>
        <w:pStyle w:val="FootnoteText"/>
        <w:jc w:val="both"/>
      </w:pPr>
      <w:r>
        <w:rPr>
          <w:rStyle w:val="FootnoteReference"/>
        </w:rPr>
        <w:footnoteRef/>
      </w:r>
      <w:r>
        <w:t xml:space="preserve"> There were actually zero filings u</w:t>
      </w:r>
      <w:r w:rsidR="00AD520F">
        <w:t>nder this requirement in FY 2016</w:t>
      </w:r>
      <w:r>
        <w:t>.  This is due to changes in the industry.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9E28AA"/>
    <w:multiLevelType w:val="hybridMultilevel"/>
    <w:tmpl w:val="9A94C48E"/>
    <w:lvl w:ilvl="0" w:tplc="04090019">
      <w:start w:val="1"/>
      <w:numFmt w:val="lowerLetter"/>
      <w:lvlText w:val="%1."/>
      <w:lvlJc w:val="left"/>
      <w:pPr>
        <w:tabs>
          <w:tab w:val="num" w:pos="1448"/>
        </w:tabs>
        <w:ind w:left="1448" w:hanging="360"/>
      </w:pPr>
    </w:lvl>
    <w:lvl w:ilvl="1" w:tplc="04090019" w:tentative="1">
      <w:start w:val="1"/>
      <w:numFmt w:val="lowerLetter"/>
      <w:lvlText w:val="%2."/>
      <w:lvlJc w:val="left"/>
      <w:pPr>
        <w:tabs>
          <w:tab w:val="num" w:pos="2168"/>
        </w:tabs>
        <w:ind w:left="2168" w:hanging="360"/>
      </w:pPr>
    </w:lvl>
    <w:lvl w:ilvl="2" w:tplc="0409001B" w:tentative="1">
      <w:start w:val="1"/>
      <w:numFmt w:val="lowerRoman"/>
      <w:lvlText w:val="%3."/>
      <w:lvlJc w:val="right"/>
      <w:pPr>
        <w:tabs>
          <w:tab w:val="num" w:pos="2888"/>
        </w:tabs>
        <w:ind w:left="2888" w:hanging="180"/>
      </w:pPr>
    </w:lvl>
    <w:lvl w:ilvl="3" w:tplc="0409000F" w:tentative="1">
      <w:start w:val="1"/>
      <w:numFmt w:val="decimal"/>
      <w:lvlText w:val="%4."/>
      <w:lvlJc w:val="left"/>
      <w:pPr>
        <w:tabs>
          <w:tab w:val="num" w:pos="3608"/>
        </w:tabs>
        <w:ind w:left="3608" w:hanging="360"/>
      </w:pPr>
    </w:lvl>
    <w:lvl w:ilvl="4" w:tplc="04090019" w:tentative="1">
      <w:start w:val="1"/>
      <w:numFmt w:val="lowerLetter"/>
      <w:lvlText w:val="%5."/>
      <w:lvlJc w:val="left"/>
      <w:pPr>
        <w:tabs>
          <w:tab w:val="num" w:pos="4328"/>
        </w:tabs>
        <w:ind w:left="4328" w:hanging="360"/>
      </w:pPr>
    </w:lvl>
    <w:lvl w:ilvl="5" w:tplc="0409001B" w:tentative="1">
      <w:start w:val="1"/>
      <w:numFmt w:val="lowerRoman"/>
      <w:lvlText w:val="%6."/>
      <w:lvlJc w:val="right"/>
      <w:pPr>
        <w:tabs>
          <w:tab w:val="num" w:pos="5048"/>
        </w:tabs>
        <w:ind w:left="5048" w:hanging="180"/>
      </w:pPr>
    </w:lvl>
    <w:lvl w:ilvl="6" w:tplc="0409000F" w:tentative="1">
      <w:start w:val="1"/>
      <w:numFmt w:val="decimal"/>
      <w:lvlText w:val="%7."/>
      <w:lvlJc w:val="left"/>
      <w:pPr>
        <w:tabs>
          <w:tab w:val="num" w:pos="5768"/>
        </w:tabs>
        <w:ind w:left="5768" w:hanging="360"/>
      </w:pPr>
    </w:lvl>
    <w:lvl w:ilvl="7" w:tplc="04090019" w:tentative="1">
      <w:start w:val="1"/>
      <w:numFmt w:val="lowerLetter"/>
      <w:lvlText w:val="%8."/>
      <w:lvlJc w:val="left"/>
      <w:pPr>
        <w:tabs>
          <w:tab w:val="num" w:pos="6488"/>
        </w:tabs>
        <w:ind w:left="6488" w:hanging="360"/>
      </w:pPr>
    </w:lvl>
    <w:lvl w:ilvl="8" w:tplc="0409001B" w:tentative="1">
      <w:start w:val="1"/>
      <w:numFmt w:val="lowerRoman"/>
      <w:lvlText w:val="%9."/>
      <w:lvlJc w:val="right"/>
      <w:pPr>
        <w:tabs>
          <w:tab w:val="num" w:pos="7208"/>
        </w:tabs>
        <w:ind w:left="7208" w:hanging="180"/>
      </w:pPr>
    </w:lvl>
  </w:abstractNum>
  <w:abstractNum w:abstractNumId="1">
    <w:nsid w:val="59281EFA"/>
    <w:multiLevelType w:val="hybridMultilevel"/>
    <w:tmpl w:val="66984572"/>
    <w:lvl w:ilvl="0" w:tplc="A810D74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93A"/>
    <w:rsid w:val="00003072"/>
    <w:rsid w:val="00005241"/>
    <w:rsid w:val="00011E25"/>
    <w:rsid w:val="0002314B"/>
    <w:rsid w:val="0002338E"/>
    <w:rsid w:val="00043E4B"/>
    <w:rsid w:val="00052123"/>
    <w:rsid w:val="000733C3"/>
    <w:rsid w:val="00080764"/>
    <w:rsid w:val="00081D66"/>
    <w:rsid w:val="00083EA6"/>
    <w:rsid w:val="00097A39"/>
    <w:rsid w:val="000D0F6F"/>
    <w:rsid w:val="000E473A"/>
    <w:rsid w:val="000F5AD4"/>
    <w:rsid w:val="000F5C44"/>
    <w:rsid w:val="0010192B"/>
    <w:rsid w:val="00101F83"/>
    <w:rsid w:val="00136582"/>
    <w:rsid w:val="001408CC"/>
    <w:rsid w:val="001426CF"/>
    <w:rsid w:val="001435C1"/>
    <w:rsid w:val="00143806"/>
    <w:rsid w:val="00175C5F"/>
    <w:rsid w:val="0018639B"/>
    <w:rsid w:val="00193BD5"/>
    <w:rsid w:val="001A4D7C"/>
    <w:rsid w:val="001B1410"/>
    <w:rsid w:val="001C6F4F"/>
    <w:rsid w:val="001D5B6E"/>
    <w:rsid w:val="001E44D8"/>
    <w:rsid w:val="001F1DD2"/>
    <w:rsid w:val="00203FA0"/>
    <w:rsid w:val="00206672"/>
    <w:rsid w:val="0021029C"/>
    <w:rsid w:val="0021346A"/>
    <w:rsid w:val="00225A77"/>
    <w:rsid w:val="00236E67"/>
    <w:rsid w:val="0025093A"/>
    <w:rsid w:val="00287B4C"/>
    <w:rsid w:val="002A4795"/>
    <w:rsid w:val="002F722C"/>
    <w:rsid w:val="00300764"/>
    <w:rsid w:val="00311174"/>
    <w:rsid w:val="00313089"/>
    <w:rsid w:val="003267C7"/>
    <w:rsid w:val="00337CBB"/>
    <w:rsid w:val="00344832"/>
    <w:rsid w:val="00365ABA"/>
    <w:rsid w:val="003816A7"/>
    <w:rsid w:val="0038773B"/>
    <w:rsid w:val="00397708"/>
    <w:rsid w:val="003A3A00"/>
    <w:rsid w:val="003A56A7"/>
    <w:rsid w:val="003C2714"/>
    <w:rsid w:val="00401C66"/>
    <w:rsid w:val="0041357C"/>
    <w:rsid w:val="00415898"/>
    <w:rsid w:val="00444993"/>
    <w:rsid w:val="004A298D"/>
    <w:rsid w:val="004A63DE"/>
    <w:rsid w:val="004D563D"/>
    <w:rsid w:val="004E6A07"/>
    <w:rsid w:val="00501698"/>
    <w:rsid w:val="005045C6"/>
    <w:rsid w:val="00515D99"/>
    <w:rsid w:val="00523155"/>
    <w:rsid w:val="00523A1A"/>
    <w:rsid w:val="00540EA5"/>
    <w:rsid w:val="00547E99"/>
    <w:rsid w:val="005504D9"/>
    <w:rsid w:val="00561DAD"/>
    <w:rsid w:val="005665C2"/>
    <w:rsid w:val="00571F81"/>
    <w:rsid w:val="00572EB0"/>
    <w:rsid w:val="005763D1"/>
    <w:rsid w:val="00596E61"/>
    <w:rsid w:val="005A3D41"/>
    <w:rsid w:val="005B407D"/>
    <w:rsid w:val="005C3C3A"/>
    <w:rsid w:val="005D1331"/>
    <w:rsid w:val="005F62E9"/>
    <w:rsid w:val="005F7D52"/>
    <w:rsid w:val="006014C6"/>
    <w:rsid w:val="00604920"/>
    <w:rsid w:val="00650CCA"/>
    <w:rsid w:val="00657432"/>
    <w:rsid w:val="00674A37"/>
    <w:rsid w:val="00676D29"/>
    <w:rsid w:val="00682AB8"/>
    <w:rsid w:val="006C2A12"/>
    <w:rsid w:val="006C37D0"/>
    <w:rsid w:val="006D27A9"/>
    <w:rsid w:val="006E7B10"/>
    <w:rsid w:val="00702138"/>
    <w:rsid w:val="0071490B"/>
    <w:rsid w:val="00723296"/>
    <w:rsid w:val="00727ADE"/>
    <w:rsid w:val="0074684C"/>
    <w:rsid w:val="00760656"/>
    <w:rsid w:val="007749DE"/>
    <w:rsid w:val="007905F6"/>
    <w:rsid w:val="00794389"/>
    <w:rsid w:val="00795906"/>
    <w:rsid w:val="00796A0C"/>
    <w:rsid w:val="007B0F6D"/>
    <w:rsid w:val="007B4FDA"/>
    <w:rsid w:val="007C3104"/>
    <w:rsid w:val="007D55A5"/>
    <w:rsid w:val="007F38F0"/>
    <w:rsid w:val="00801FB1"/>
    <w:rsid w:val="00805A61"/>
    <w:rsid w:val="00813B33"/>
    <w:rsid w:val="00816C26"/>
    <w:rsid w:val="00830BDA"/>
    <w:rsid w:val="008331C3"/>
    <w:rsid w:val="00844AA0"/>
    <w:rsid w:val="00855306"/>
    <w:rsid w:val="0086364A"/>
    <w:rsid w:val="00877DB5"/>
    <w:rsid w:val="00881146"/>
    <w:rsid w:val="008A6EC3"/>
    <w:rsid w:val="008E0781"/>
    <w:rsid w:val="008E5720"/>
    <w:rsid w:val="008F3C01"/>
    <w:rsid w:val="008F66B0"/>
    <w:rsid w:val="00933015"/>
    <w:rsid w:val="009379E8"/>
    <w:rsid w:val="00964E68"/>
    <w:rsid w:val="0097328E"/>
    <w:rsid w:val="009A01E0"/>
    <w:rsid w:val="009A7EDA"/>
    <w:rsid w:val="009C5367"/>
    <w:rsid w:val="009D3AC5"/>
    <w:rsid w:val="009D7129"/>
    <w:rsid w:val="009E1E3F"/>
    <w:rsid w:val="009E26E0"/>
    <w:rsid w:val="009F1782"/>
    <w:rsid w:val="00A05795"/>
    <w:rsid w:val="00A073D1"/>
    <w:rsid w:val="00A07E36"/>
    <w:rsid w:val="00A13F5B"/>
    <w:rsid w:val="00A16F41"/>
    <w:rsid w:val="00A23B92"/>
    <w:rsid w:val="00A31A96"/>
    <w:rsid w:val="00A3452B"/>
    <w:rsid w:val="00A838E6"/>
    <w:rsid w:val="00A8794B"/>
    <w:rsid w:val="00A94DFB"/>
    <w:rsid w:val="00AD1958"/>
    <w:rsid w:val="00AD401D"/>
    <w:rsid w:val="00AD520F"/>
    <w:rsid w:val="00AD7426"/>
    <w:rsid w:val="00AF1A38"/>
    <w:rsid w:val="00AF3911"/>
    <w:rsid w:val="00B0613C"/>
    <w:rsid w:val="00B15638"/>
    <w:rsid w:val="00B217AA"/>
    <w:rsid w:val="00B30532"/>
    <w:rsid w:val="00B517B5"/>
    <w:rsid w:val="00B64471"/>
    <w:rsid w:val="00B82390"/>
    <w:rsid w:val="00B875C8"/>
    <w:rsid w:val="00B97A8E"/>
    <w:rsid w:val="00BB0882"/>
    <w:rsid w:val="00BB3447"/>
    <w:rsid w:val="00BC2810"/>
    <w:rsid w:val="00BC51DF"/>
    <w:rsid w:val="00BD5BA8"/>
    <w:rsid w:val="00C075B1"/>
    <w:rsid w:val="00C20D0C"/>
    <w:rsid w:val="00C343A8"/>
    <w:rsid w:val="00C45148"/>
    <w:rsid w:val="00C54441"/>
    <w:rsid w:val="00C66236"/>
    <w:rsid w:val="00C80C01"/>
    <w:rsid w:val="00C843CD"/>
    <w:rsid w:val="00C93529"/>
    <w:rsid w:val="00C93F63"/>
    <w:rsid w:val="00C96645"/>
    <w:rsid w:val="00CB775B"/>
    <w:rsid w:val="00CD25FD"/>
    <w:rsid w:val="00CD39DD"/>
    <w:rsid w:val="00CD5759"/>
    <w:rsid w:val="00CE6F0E"/>
    <w:rsid w:val="00CF37A4"/>
    <w:rsid w:val="00D01B0E"/>
    <w:rsid w:val="00D12FC9"/>
    <w:rsid w:val="00D342A9"/>
    <w:rsid w:val="00D3649C"/>
    <w:rsid w:val="00D40666"/>
    <w:rsid w:val="00D42071"/>
    <w:rsid w:val="00D46FCD"/>
    <w:rsid w:val="00D53EDD"/>
    <w:rsid w:val="00D54A82"/>
    <w:rsid w:val="00D65405"/>
    <w:rsid w:val="00D82947"/>
    <w:rsid w:val="00D87197"/>
    <w:rsid w:val="00DA44E9"/>
    <w:rsid w:val="00DB6018"/>
    <w:rsid w:val="00DD06DA"/>
    <w:rsid w:val="00DD1E13"/>
    <w:rsid w:val="00DF09D8"/>
    <w:rsid w:val="00E004A9"/>
    <w:rsid w:val="00E03827"/>
    <w:rsid w:val="00E326E3"/>
    <w:rsid w:val="00E43355"/>
    <w:rsid w:val="00E70C5E"/>
    <w:rsid w:val="00E80945"/>
    <w:rsid w:val="00E87F82"/>
    <w:rsid w:val="00ED74CE"/>
    <w:rsid w:val="00EF1F56"/>
    <w:rsid w:val="00F0475E"/>
    <w:rsid w:val="00F063BE"/>
    <w:rsid w:val="00F101DC"/>
    <w:rsid w:val="00F1613F"/>
    <w:rsid w:val="00F21A08"/>
    <w:rsid w:val="00F36124"/>
    <w:rsid w:val="00F46BFE"/>
    <w:rsid w:val="00F46FD2"/>
    <w:rsid w:val="00F47548"/>
    <w:rsid w:val="00F53331"/>
    <w:rsid w:val="00F872DE"/>
    <w:rsid w:val="00FA26B4"/>
    <w:rsid w:val="00FA2DAA"/>
    <w:rsid w:val="00FA3CA4"/>
    <w:rsid w:val="00FA5243"/>
    <w:rsid w:val="00FB0957"/>
    <w:rsid w:val="00FB2864"/>
    <w:rsid w:val="00FB6D3D"/>
    <w:rsid w:val="00FC3612"/>
    <w:rsid w:val="00FF2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137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28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43E4B"/>
    <w:rPr>
      <w:color w:val="0000FF"/>
      <w:u w:val="single"/>
    </w:rPr>
  </w:style>
  <w:style w:type="paragraph" w:styleId="BalloonText">
    <w:name w:val="Balloon Text"/>
    <w:basedOn w:val="Normal"/>
    <w:semiHidden/>
    <w:rsid w:val="00571F81"/>
    <w:rPr>
      <w:rFonts w:ascii="Tahoma" w:hAnsi="Tahoma" w:cs="Tahoma"/>
      <w:sz w:val="16"/>
      <w:szCs w:val="16"/>
    </w:rPr>
  </w:style>
  <w:style w:type="table" w:styleId="TableGrid">
    <w:name w:val="Table Grid"/>
    <w:basedOn w:val="TableNormal"/>
    <w:rsid w:val="009A01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9A01E0"/>
    <w:rPr>
      <w:sz w:val="20"/>
      <w:szCs w:val="20"/>
    </w:rPr>
  </w:style>
  <w:style w:type="character" w:styleId="FootnoteReference">
    <w:name w:val="footnote reference"/>
    <w:semiHidden/>
    <w:rsid w:val="009A01E0"/>
    <w:rPr>
      <w:vertAlign w:val="superscript"/>
    </w:rPr>
  </w:style>
  <w:style w:type="paragraph" w:styleId="EndnoteText">
    <w:name w:val="endnote text"/>
    <w:basedOn w:val="Normal"/>
    <w:link w:val="EndnoteTextChar"/>
    <w:rsid w:val="00801FB1"/>
    <w:rPr>
      <w:sz w:val="20"/>
      <w:szCs w:val="20"/>
    </w:rPr>
  </w:style>
  <w:style w:type="character" w:customStyle="1" w:styleId="EndnoteTextChar">
    <w:name w:val="Endnote Text Char"/>
    <w:basedOn w:val="DefaultParagraphFont"/>
    <w:link w:val="EndnoteText"/>
    <w:rsid w:val="00801FB1"/>
  </w:style>
  <w:style w:type="character" w:styleId="EndnoteReference">
    <w:name w:val="endnote reference"/>
    <w:rsid w:val="00801FB1"/>
    <w:rPr>
      <w:vertAlign w:val="superscript"/>
    </w:rPr>
  </w:style>
  <w:style w:type="paragraph" w:customStyle="1" w:styleId="Default">
    <w:name w:val="Default"/>
    <w:rsid w:val="00D42071"/>
    <w:pPr>
      <w:autoSpaceDE w:val="0"/>
      <w:autoSpaceDN w:val="0"/>
      <w:adjustRightInd w:val="0"/>
    </w:pPr>
    <w:rPr>
      <w:rFonts w:eastAsia="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28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43E4B"/>
    <w:rPr>
      <w:color w:val="0000FF"/>
      <w:u w:val="single"/>
    </w:rPr>
  </w:style>
  <w:style w:type="paragraph" w:styleId="BalloonText">
    <w:name w:val="Balloon Text"/>
    <w:basedOn w:val="Normal"/>
    <w:semiHidden/>
    <w:rsid w:val="00571F81"/>
    <w:rPr>
      <w:rFonts w:ascii="Tahoma" w:hAnsi="Tahoma" w:cs="Tahoma"/>
      <w:sz w:val="16"/>
      <w:szCs w:val="16"/>
    </w:rPr>
  </w:style>
  <w:style w:type="table" w:styleId="TableGrid">
    <w:name w:val="Table Grid"/>
    <w:basedOn w:val="TableNormal"/>
    <w:rsid w:val="009A01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9A01E0"/>
    <w:rPr>
      <w:sz w:val="20"/>
      <w:szCs w:val="20"/>
    </w:rPr>
  </w:style>
  <w:style w:type="character" w:styleId="FootnoteReference">
    <w:name w:val="footnote reference"/>
    <w:semiHidden/>
    <w:rsid w:val="009A01E0"/>
    <w:rPr>
      <w:vertAlign w:val="superscript"/>
    </w:rPr>
  </w:style>
  <w:style w:type="paragraph" w:styleId="EndnoteText">
    <w:name w:val="endnote text"/>
    <w:basedOn w:val="Normal"/>
    <w:link w:val="EndnoteTextChar"/>
    <w:rsid w:val="00801FB1"/>
    <w:rPr>
      <w:sz w:val="20"/>
      <w:szCs w:val="20"/>
    </w:rPr>
  </w:style>
  <w:style w:type="character" w:customStyle="1" w:styleId="EndnoteTextChar">
    <w:name w:val="Endnote Text Char"/>
    <w:basedOn w:val="DefaultParagraphFont"/>
    <w:link w:val="EndnoteText"/>
    <w:rsid w:val="00801FB1"/>
  </w:style>
  <w:style w:type="character" w:styleId="EndnoteReference">
    <w:name w:val="endnote reference"/>
    <w:rsid w:val="00801FB1"/>
    <w:rPr>
      <w:vertAlign w:val="superscript"/>
    </w:rPr>
  </w:style>
  <w:style w:type="paragraph" w:customStyle="1" w:styleId="Default">
    <w:name w:val="Default"/>
    <w:rsid w:val="00D42071"/>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113949">
      <w:bodyDiv w:val="1"/>
      <w:marLeft w:val="0"/>
      <w:marRight w:val="0"/>
      <w:marTop w:val="0"/>
      <w:marBottom w:val="0"/>
      <w:divBdr>
        <w:top w:val="none" w:sz="0" w:space="0" w:color="auto"/>
        <w:left w:val="none" w:sz="0" w:space="0" w:color="auto"/>
        <w:bottom w:val="none" w:sz="0" w:space="0" w:color="auto"/>
        <w:right w:val="none" w:sz="0" w:space="0" w:color="auto"/>
      </w:divBdr>
      <w:divsChild>
        <w:div w:id="11822844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CA5F7C238C654EA35CA1331EDCE2E1" ma:contentTypeVersion="8" ma:contentTypeDescription="Create a new document." ma:contentTypeScope="" ma:versionID="9bbd69b01d043b71deb3c2c26ac6f6a9">
  <xsd:schema xmlns:xsd="http://www.w3.org/2001/XMLSchema" xmlns:xs="http://www.w3.org/2001/XMLSchema" xmlns:p="http://schemas.microsoft.com/office/2006/metadata/properties" xmlns:ns2="9e3e7249-015a-4490-b119-4a2f62cd015d" xmlns:ns3="7b7a30e3-d3aa-4975-ad0b-b66fab625bdf" targetNamespace="http://schemas.microsoft.com/office/2006/metadata/properties" ma:root="true" ma:fieldsID="de09080d1abad909de1617a8138fa46e" ns2:_="" ns3:_="">
    <xsd:import namespace="9e3e7249-015a-4490-b119-4a2f62cd015d"/>
    <xsd:import namespace="7b7a30e3-d3aa-4975-ad0b-b66fab625bd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e7249-015a-4490-b119-4a2f62cd015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b7a30e3-d3aa-4975-ad0b-b66fab625bd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CDC03-7486-4C3D-A09C-4FD5B20AA13A}">
  <ds:schemaRefs>
    <ds:schemaRef ds:uri="http://schemas.microsoft.com/sharepoint/v3/contenttype/forms"/>
  </ds:schemaRefs>
</ds:datastoreItem>
</file>

<file path=customXml/itemProps2.xml><?xml version="1.0" encoding="utf-8"?>
<ds:datastoreItem xmlns:ds="http://schemas.openxmlformats.org/officeDocument/2006/customXml" ds:itemID="{7F457C92-AA71-4A5D-8AFD-944ECA4F16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3e7249-015a-4490-b119-4a2f62cd015d"/>
    <ds:schemaRef ds:uri="7b7a30e3-d3aa-4975-ad0b-b66fab625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361562-10F3-4116-B268-E622A652EC26}">
  <ds:schemaRefs>
    <ds:schemaRef ds:uri="9e3e7249-015a-4490-b119-4a2f62cd015d"/>
    <ds:schemaRef ds:uri="7b7a30e3-d3aa-4975-ad0b-b66fab625bd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6631111D-2DE7-4B00-B761-B79BB8649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3363</Words>
  <Characters>19173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NARRATIVE SUPPORTING STATEMENT</vt:lpstr>
    </vt:vector>
  </TitlesOfParts>
  <Company>Federal Maritime Commission</Company>
  <LinksUpToDate>false</LinksUpToDate>
  <CharactersWithSpaces>22492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NARRATIVE SUPPORTING STATEMENT</dc:title>
  <dc:creator>janeg</dc:creator>
  <cp:lastModifiedBy>SYSTEM</cp:lastModifiedBy>
  <cp:revision>2</cp:revision>
  <cp:lastPrinted>2017-10-06T15:50:00Z</cp:lastPrinted>
  <dcterms:created xsi:type="dcterms:W3CDTF">2017-11-13T17:39:00Z</dcterms:created>
  <dcterms:modified xsi:type="dcterms:W3CDTF">2017-11-13T17:39:00Z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0x01010086CA5F7C238C654EA35CA1331EDCE2E1</vt:lpwstr>
  </property>
  <property fmtid="{D5CDD505-2E9C-101B-9397-08002B2CF9AE}" pid="3" name="Order">
    <vt:r8>641100</vt:r8>
  </property>
</Properties>
</file>