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85" w:rsidRPr="00711785" w:rsidRDefault="00711785" w:rsidP="00711785">
      <w:pPr>
        <w:spacing w:before="200" w:after="100" w:line="240" w:lineRule="auto"/>
        <w:outlineLvl w:val="1"/>
        <w:rPr>
          <w:rFonts w:ascii="Arial" w:eastAsia="Times New Roman" w:hAnsi="Arial" w:cs="Arial"/>
          <w:b/>
          <w:bCs/>
          <w:sz w:val="20"/>
          <w:szCs w:val="20"/>
        </w:rPr>
      </w:pPr>
      <w:r w:rsidRPr="00711785">
        <w:rPr>
          <w:rFonts w:ascii="Arial" w:eastAsia="Times New Roman" w:hAnsi="Arial" w:cs="Arial"/>
          <w:b/>
          <w:bCs/>
          <w:sz w:val="20"/>
          <w:szCs w:val="20"/>
        </w:rPr>
        <w:t>§705.5 Terms and conditions.</w:t>
      </w:r>
    </w:p>
    <w:p w:rsidR="00711785" w:rsidRPr="00711785" w:rsidRDefault="00711785" w:rsidP="00711785">
      <w:pPr>
        <w:spacing w:before="100" w:beforeAutospacing="1" w:after="100" w:afterAutospacing="1" w:line="240" w:lineRule="auto"/>
        <w:ind w:firstLine="480"/>
        <w:jc w:val="center"/>
        <w:rPr>
          <w:rFonts w:ascii="Arial" w:eastAsia="Times New Roman" w:hAnsi="Arial" w:cs="Arial"/>
          <w:sz w:val="20"/>
          <w:szCs w:val="20"/>
        </w:rPr>
      </w:pPr>
      <w:r w:rsidRPr="00711785">
        <w:rPr>
          <w:rFonts w:ascii="Arial" w:eastAsia="Times New Roman" w:hAnsi="Arial" w:cs="Arial"/>
          <w:sz w:val="20"/>
          <w:szCs w:val="20"/>
        </w:rPr>
        <w:t>.</w:t>
      </w:r>
    </w:p>
    <w:p w:rsidR="00711785" w:rsidRDefault="00711785" w:rsidP="00711785">
      <w:pPr>
        <w:spacing w:before="100" w:beforeAutospacing="1" w:after="100" w:afterAutospacing="1" w:line="240" w:lineRule="auto"/>
        <w:ind w:firstLine="480"/>
        <w:jc w:val="center"/>
        <w:rPr>
          <w:rFonts w:ascii="Arial" w:eastAsia="Times New Roman" w:hAnsi="Arial" w:cs="Arial"/>
          <w:sz w:val="20"/>
          <w:szCs w:val="20"/>
        </w:rPr>
      </w:pPr>
      <w:r w:rsidRPr="00711785">
        <w:rPr>
          <w:rFonts w:ascii="Arial" w:eastAsia="Times New Roman" w:hAnsi="Arial" w:cs="Arial"/>
          <w:sz w:val="20"/>
          <w:szCs w:val="20"/>
        </w:rPr>
        <w:t xml:space="preserve">(g) </w:t>
      </w:r>
      <w:r w:rsidRPr="00711785">
        <w:rPr>
          <w:rFonts w:ascii="Arial" w:eastAsia="Times New Roman" w:hAnsi="Arial" w:cs="Arial"/>
          <w:i/>
          <w:iCs/>
          <w:sz w:val="20"/>
          <w:szCs w:val="20"/>
        </w:rPr>
        <w:t>Matching requirements.</w:t>
      </w:r>
      <w:r w:rsidRPr="00711785">
        <w:rPr>
          <w:rFonts w:ascii="Arial" w:eastAsia="Times New Roman" w:hAnsi="Arial" w:cs="Arial"/>
          <w:sz w:val="20"/>
          <w:szCs w:val="20"/>
        </w:rPr>
        <w:t xml:space="preserve"> At its discretion, NCUA may require a Participating Credit Union to develop and implement a plan to match all or a portion of the funds represented by loan proceeds. Such requirement will be based on the financial condition of the Participating Credit Union, which will be evaluated under criteria contained in the related Notice of Funding Opportunity. Matching funds must be from non-governmental member or nonmember share deposits. Participating Credit Unions required </w:t>
      </w:r>
      <w:proofErr w:type="gramStart"/>
      <w:r w:rsidRPr="00711785">
        <w:rPr>
          <w:rFonts w:ascii="Arial" w:eastAsia="Times New Roman" w:hAnsi="Arial" w:cs="Arial"/>
          <w:sz w:val="20"/>
          <w:szCs w:val="20"/>
        </w:rPr>
        <w:t>to provide</w:t>
      </w:r>
      <w:proofErr w:type="gramEnd"/>
      <w:r w:rsidRPr="00711785">
        <w:rPr>
          <w:rFonts w:ascii="Arial" w:eastAsia="Times New Roman" w:hAnsi="Arial" w:cs="Arial"/>
          <w:sz w:val="20"/>
          <w:szCs w:val="20"/>
        </w:rPr>
        <w:t xml:space="preserve"> matching funds are subject to the following general provisions and any other conditions in the related Notice of Funding Opportunity and agreements between the Participating Credit Union and NCUA:</w:t>
      </w:r>
    </w:p>
    <w:p w:rsidR="00BD291C" w:rsidRPr="00BD291C" w:rsidRDefault="00BD291C" w:rsidP="00BD291C">
      <w:pPr>
        <w:spacing w:before="100" w:beforeAutospacing="1" w:after="100" w:afterAutospacing="1" w:line="240" w:lineRule="auto"/>
        <w:rPr>
          <w:rFonts w:ascii="Arial" w:eastAsia="Times New Roman" w:hAnsi="Arial" w:cs="Arial"/>
          <w:color w:val="0070C0"/>
          <w:sz w:val="20"/>
          <w:szCs w:val="20"/>
        </w:rPr>
      </w:pPr>
      <w:r>
        <w:rPr>
          <w:rFonts w:ascii="Arial" w:eastAsia="Times New Roman" w:hAnsi="Arial" w:cs="Arial"/>
          <w:color w:val="0070C0"/>
          <w:sz w:val="20"/>
          <w:szCs w:val="20"/>
        </w:rPr>
        <w:t xml:space="preserve">It is rarely used and is discretionary.  This discretionary power not utilized in the past </w:t>
      </w:r>
      <w:r w:rsidR="000A1B04">
        <w:rPr>
          <w:rFonts w:ascii="Arial" w:eastAsia="Times New Roman" w:hAnsi="Arial" w:cs="Arial"/>
          <w:color w:val="0070C0"/>
          <w:sz w:val="20"/>
          <w:szCs w:val="20"/>
        </w:rPr>
        <w:t>five</w:t>
      </w:r>
      <w:r>
        <w:rPr>
          <w:rFonts w:ascii="Arial" w:eastAsia="Times New Roman" w:hAnsi="Arial" w:cs="Arial"/>
          <w:color w:val="0070C0"/>
          <w:sz w:val="20"/>
          <w:szCs w:val="20"/>
        </w:rPr>
        <w:t xml:space="preserve"> years.  If exercised, minimal burden hours as we expect only one or two respondents to be affected. </w:t>
      </w:r>
    </w:p>
    <w:p w:rsidR="00711785" w:rsidRDefault="00711785" w:rsidP="00711785">
      <w:pPr>
        <w:spacing w:before="100" w:beforeAutospacing="1" w:after="100" w:afterAutospacing="1" w:line="240" w:lineRule="auto"/>
        <w:ind w:firstLine="480"/>
        <w:jc w:val="center"/>
        <w:rPr>
          <w:rFonts w:ascii="Arial" w:eastAsia="Times New Roman" w:hAnsi="Arial" w:cs="Arial"/>
          <w:sz w:val="20"/>
          <w:szCs w:val="20"/>
        </w:rPr>
      </w:pPr>
    </w:p>
    <w:p w:rsidR="00711785" w:rsidRPr="00711785" w:rsidRDefault="00711785" w:rsidP="00711785">
      <w:pPr>
        <w:spacing w:before="200" w:after="100" w:line="240" w:lineRule="auto"/>
        <w:outlineLvl w:val="1"/>
        <w:rPr>
          <w:rFonts w:ascii="Arial" w:eastAsia="Times New Roman" w:hAnsi="Arial" w:cs="Arial"/>
          <w:b/>
          <w:bCs/>
          <w:sz w:val="20"/>
          <w:szCs w:val="20"/>
        </w:rPr>
      </w:pPr>
      <w:r w:rsidRPr="00711785">
        <w:rPr>
          <w:rFonts w:ascii="Arial" w:eastAsia="Times New Roman" w:hAnsi="Arial" w:cs="Arial"/>
          <w:b/>
          <w:bCs/>
          <w:sz w:val="20"/>
          <w:szCs w:val="20"/>
        </w:rPr>
        <w:t>§705.6 Application and award processes.</w:t>
      </w:r>
    </w:p>
    <w:p w:rsidR="00711785" w:rsidRPr="00711785" w:rsidRDefault="00711785" w:rsidP="00711785">
      <w:pPr>
        <w:spacing w:before="100" w:beforeAutospacing="1" w:after="100" w:afterAutospacing="1" w:line="240" w:lineRule="auto"/>
        <w:ind w:firstLine="480"/>
        <w:jc w:val="center"/>
        <w:rPr>
          <w:rFonts w:ascii="Arial" w:eastAsia="Times New Roman" w:hAnsi="Arial" w:cs="Arial"/>
          <w:sz w:val="20"/>
          <w:szCs w:val="20"/>
        </w:rPr>
      </w:pPr>
      <w:r w:rsidRPr="00711785">
        <w:rPr>
          <w:rFonts w:ascii="Arial" w:eastAsia="Times New Roman" w:hAnsi="Arial" w:cs="Arial"/>
          <w:sz w:val="20"/>
          <w:szCs w:val="20"/>
        </w:rPr>
        <w:t xml:space="preserve"> (b) </w:t>
      </w:r>
      <w:r w:rsidRPr="00711785">
        <w:rPr>
          <w:rFonts w:ascii="Arial" w:eastAsia="Times New Roman" w:hAnsi="Arial" w:cs="Arial"/>
          <w:i/>
          <w:iCs/>
          <w:sz w:val="20"/>
          <w:szCs w:val="20"/>
        </w:rPr>
        <w:t>Application requirements.</w:t>
      </w:r>
      <w:r w:rsidRPr="00711785">
        <w:rPr>
          <w:rFonts w:ascii="Arial" w:eastAsia="Times New Roman" w:hAnsi="Arial" w:cs="Arial"/>
          <w:sz w:val="20"/>
          <w:szCs w:val="20"/>
        </w:rPr>
        <w:t xml:space="preserve"> A Qualifying Credit Union must demonstrate a sound financial position and ability to manage its day-to-day business affairs. It also must show that its planned use of proceeds is consistent with the purpose of the Program, the requirements of this part, and the related Notice of Funding Opportunity. The related Notice of Funding Opportunity may include additional details and requirements.</w:t>
      </w:r>
    </w:p>
    <w:p w:rsidR="00711785" w:rsidRDefault="00711785" w:rsidP="00711785">
      <w:pPr>
        <w:spacing w:before="100" w:beforeAutospacing="1" w:after="100" w:afterAutospacing="1" w:line="240" w:lineRule="auto"/>
        <w:ind w:firstLine="480"/>
        <w:jc w:val="center"/>
        <w:rPr>
          <w:rFonts w:ascii="Arial" w:eastAsia="Times New Roman" w:hAnsi="Arial" w:cs="Arial"/>
          <w:sz w:val="20"/>
          <w:szCs w:val="20"/>
        </w:rPr>
      </w:pPr>
      <w:r w:rsidRPr="00711785">
        <w:rPr>
          <w:rFonts w:ascii="Arial" w:eastAsia="Times New Roman" w:hAnsi="Arial" w:cs="Arial"/>
          <w:sz w:val="20"/>
          <w:szCs w:val="20"/>
        </w:rPr>
        <w:t xml:space="preserve"> (3) In addition to those items required in this section, a Qualifying Credit Union that is a non-federally insured state-chartered credit union must also include the following:</w:t>
      </w:r>
    </w:p>
    <w:p w:rsidR="00AF462B" w:rsidRPr="00AF462B" w:rsidRDefault="00AF462B" w:rsidP="00AF462B">
      <w:pPr>
        <w:spacing w:before="100" w:beforeAutospacing="1" w:after="100" w:afterAutospacing="1" w:line="240" w:lineRule="auto"/>
        <w:rPr>
          <w:rFonts w:ascii="Arial" w:eastAsia="Times New Roman" w:hAnsi="Arial" w:cs="Arial"/>
          <w:color w:val="0070C0"/>
          <w:sz w:val="20"/>
          <w:szCs w:val="20"/>
        </w:rPr>
      </w:pPr>
      <w:r>
        <w:rPr>
          <w:rFonts w:ascii="Arial" w:eastAsia="Times New Roman" w:hAnsi="Arial" w:cs="Arial"/>
          <w:color w:val="0070C0"/>
          <w:sz w:val="20"/>
          <w:szCs w:val="20"/>
        </w:rPr>
        <w:t xml:space="preserve">NCUA currently have the necessary information for all the federally and state chartered </w:t>
      </w:r>
      <w:r w:rsidR="00C1653E">
        <w:rPr>
          <w:rFonts w:ascii="Arial" w:eastAsia="Times New Roman" w:hAnsi="Arial" w:cs="Arial"/>
          <w:color w:val="0070C0"/>
          <w:sz w:val="20"/>
          <w:szCs w:val="20"/>
        </w:rPr>
        <w:t xml:space="preserve">insured credit unions and does not pose additional burden to majority of the applicants.  </w:t>
      </w:r>
      <w:r w:rsidR="00B14780">
        <w:rPr>
          <w:rFonts w:ascii="Arial" w:eastAsia="Times New Roman" w:hAnsi="Arial" w:cs="Arial"/>
          <w:color w:val="0070C0"/>
          <w:sz w:val="20"/>
          <w:szCs w:val="20"/>
        </w:rPr>
        <w:t>For the very small number of applicants who may need to do this, it should be minimum burden hours.  No applications received from this small pool in the past 5 years.</w:t>
      </w:r>
    </w:p>
    <w:p w:rsidR="008C7857" w:rsidRPr="008C7857" w:rsidRDefault="008C7857" w:rsidP="008C7857">
      <w:pPr>
        <w:spacing w:before="200" w:after="100" w:line="240" w:lineRule="auto"/>
        <w:outlineLvl w:val="1"/>
        <w:rPr>
          <w:rFonts w:ascii="Arial" w:eastAsia="Times New Roman" w:hAnsi="Arial" w:cs="Arial"/>
          <w:b/>
          <w:bCs/>
          <w:sz w:val="20"/>
          <w:szCs w:val="20"/>
        </w:rPr>
      </w:pPr>
      <w:r w:rsidRPr="008C7857">
        <w:rPr>
          <w:rFonts w:ascii="Arial" w:eastAsia="Times New Roman" w:hAnsi="Arial" w:cs="Arial"/>
          <w:b/>
          <w:bCs/>
          <w:sz w:val="20"/>
          <w:szCs w:val="20"/>
        </w:rPr>
        <w:t>§705.8 Qualifying state-chartered credit unions.</w:t>
      </w:r>
    </w:p>
    <w:p w:rsidR="008C7857" w:rsidRDefault="008C7857" w:rsidP="008C7857">
      <w:pPr>
        <w:spacing w:before="100" w:beforeAutospacing="1" w:after="100" w:afterAutospacing="1" w:line="240" w:lineRule="auto"/>
        <w:ind w:firstLine="480"/>
        <w:jc w:val="center"/>
        <w:rPr>
          <w:rFonts w:ascii="Arial" w:eastAsia="Times New Roman" w:hAnsi="Arial" w:cs="Arial"/>
          <w:sz w:val="20"/>
          <w:szCs w:val="20"/>
        </w:rPr>
      </w:pPr>
      <w:r w:rsidRPr="008C7857">
        <w:rPr>
          <w:rFonts w:ascii="Arial" w:eastAsia="Times New Roman" w:hAnsi="Arial" w:cs="Arial"/>
          <w:sz w:val="20"/>
          <w:szCs w:val="20"/>
        </w:rPr>
        <w:t>A Qualifying Credit Union that is a state-chartered credit union and has submitted an Application to NCUA for participation must obtain written concurrence from its respective state regulatory authority before NCUA will approve its Application. A Qualifying Credit Union that is a state-chartered credit union must also make copies of its state examination reports available to NCUA and must agree to examination by NCUA.</w:t>
      </w:r>
    </w:p>
    <w:p w:rsidR="004718C6" w:rsidRPr="004718C6" w:rsidRDefault="004718C6" w:rsidP="004718C6">
      <w:pPr>
        <w:spacing w:before="100" w:beforeAutospacing="1" w:after="100" w:afterAutospacing="1" w:line="240" w:lineRule="auto"/>
        <w:rPr>
          <w:rFonts w:ascii="Arial" w:eastAsia="Times New Roman" w:hAnsi="Arial" w:cs="Arial"/>
          <w:color w:val="0070C0"/>
          <w:sz w:val="20"/>
          <w:szCs w:val="20"/>
        </w:rPr>
      </w:pPr>
      <w:r>
        <w:rPr>
          <w:rFonts w:ascii="Arial" w:eastAsia="Times New Roman" w:hAnsi="Arial" w:cs="Arial"/>
          <w:color w:val="0070C0"/>
          <w:sz w:val="20"/>
          <w:szCs w:val="20"/>
        </w:rPr>
        <w:t>Not applicable at present as this information is captured and warehoused at NCUA.  If necessary, NCUA contacts the State Authority directly instead of the credit union.  No burden hours.</w:t>
      </w:r>
    </w:p>
    <w:p w:rsidR="00945A7B" w:rsidRPr="00945A7B" w:rsidRDefault="00945A7B" w:rsidP="00945A7B">
      <w:pPr>
        <w:spacing w:before="200" w:after="100" w:line="240" w:lineRule="auto"/>
        <w:outlineLvl w:val="1"/>
        <w:rPr>
          <w:rFonts w:ascii="Arial" w:eastAsia="Times New Roman" w:hAnsi="Arial" w:cs="Arial"/>
          <w:b/>
          <w:bCs/>
          <w:sz w:val="20"/>
          <w:szCs w:val="20"/>
        </w:rPr>
      </w:pPr>
      <w:r w:rsidRPr="00945A7B">
        <w:rPr>
          <w:rFonts w:ascii="Arial" w:eastAsia="Times New Roman" w:hAnsi="Arial" w:cs="Arial"/>
          <w:b/>
          <w:bCs/>
          <w:sz w:val="20"/>
          <w:szCs w:val="20"/>
        </w:rPr>
        <w:t>§705.9 Reporting and monitoring.</w:t>
      </w:r>
    </w:p>
    <w:p w:rsidR="00945A7B" w:rsidRDefault="00945A7B" w:rsidP="00945A7B">
      <w:pPr>
        <w:spacing w:before="100" w:beforeAutospacing="1" w:after="100" w:afterAutospacing="1" w:line="240" w:lineRule="auto"/>
        <w:ind w:firstLine="480"/>
        <w:jc w:val="center"/>
        <w:rPr>
          <w:rFonts w:ascii="Arial" w:eastAsia="Times New Roman" w:hAnsi="Arial" w:cs="Arial"/>
          <w:sz w:val="20"/>
          <w:szCs w:val="20"/>
        </w:rPr>
      </w:pPr>
      <w:r w:rsidRPr="00945A7B">
        <w:rPr>
          <w:rFonts w:ascii="Arial" w:eastAsia="Times New Roman" w:hAnsi="Arial" w:cs="Arial"/>
          <w:sz w:val="20"/>
          <w:szCs w:val="20"/>
        </w:rPr>
        <w:t xml:space="preserve"> (b) </w:t>
      </w:r>
      <w:r w:rsidRPr="00945A7B">
        <w:rPr>
          <w:rFonts w:ascii="Arial" w:eastAsia="Times New Roman" w:hAnsi="Arial" w:cs="Arial"/>
          <w:i/>
          <w:iCs/>
          <w:sz w:val="20"/>
          <w:szCs w:val="20"/>
        </w:rPr>
        <w:t>Reporting.</w:t>
      </w:r>
      <w:r w:rsidRPr="00945A7B">
        <w:rPr>
          <w:rFonts w:ascii="Arial" w:eastAsia="Times New Roman" w:hAnsi="Arial" w:cs="Arial"/>
          <w:sz w:val="20"/>
          <w:szCs w:val="20"/>
        </w:rPr>
        <w:t xml:space="preserve"> A Participating Credit Union must complete and submit all required reports, at such times and in such formats as NCUA will direct. Such reports must describe how the Participating Credit Union has used the loan or technical assistance grant proceeds and the results it has obtained, in relation to the programs, policies, or initiatives identified by the Participating Credit Union in its application. In addition, the Participating Credit Union's board of directors must report on the progress of providing needed community services to the Participating Credit Union's members once a year, either at the annual meeting or in a written report sent to all members. The Participating Credit Union must also submit to NCUA the written report or a summary of the report given at the annual meeting. NCUA may request additional information as it determines appropriate.</w:t>
      </w:r>
    </w:p>
    <w:p w:rsidR="00297ED2" w:rsidRPr="00297ED2" w:rsidRDefault="00297ED2" w:rsidP="00297ED2">
      <w:pPr>
        <w:spacing w:before="100" w:beforeAutospacing="1" w:after="100" w:afterAutospacing="1" w:line="240" w:lineRule="auto"/>
        <w:rPr>
          <w:rFonts w:ascii="Arial" w:eastAsia="Times New Roman" w:hAnsi="Arial" w:cs="Arial"/>
          <w:color w:val="0070C0"/>
          <w:sz w:val="20"/>
          <w:szCs w:val="20"/>
        </w:rPr>
      </w:pPr>
      <w:r>
        <w:rPr>
          <w:rFonts w:ascii="Arial" w:eastAsia="Times New Roman" w:hAnsi="Arial" w:cs="Arial"/>
          <w:color w:val="0070C0"/>
          <w:sz w:val="20"/>
          <w:szCs w:val="20"/>
        </w:rPr>
        <w:t xml:space="preserve">Not enforced or required.  Minimum </w:t>
      </w:r>
      <w:r w:rsidR="00793834">
        <w:rPr>
          <w:rFonts w:ascii="Arial" w:eastAsia="Times New Roman" w:hAnsi="Arial" w:cs="Arial"/>
          <w:color w:val="0070C0"/>
          <w:sz w:val="20"/>
          <w:szCs w:val="20"/>
        </w:rPr>
        <w:t xml:space="preserve">burden hours if enforced.  </w:t>
      </w:r>
    </w:p>
    <w:p w:rsidR="00711785" w:rsidRPr="00711785" w:rsidRDefault="00711785" w:rsidP="00711785">
      <w:pPr>
        <w:spacing w:before="100" w:beforeAutospacing="1" w:after="100" w:afterAutospacing="1" w:line="240" w:lineRule="auto"/>
        <w:ind w:firstLine="480"/>
        <w:jc w:val="center"/>
        <w:rPr>
          <w:rFonts w:ascii="Arial" w:eastAsia="Times New Roman" w:hAnsi="Arial" w:cs="Arial"/>
          <w:sz w:val="20"/>
          <w:szCs w:val="20"/>
        </w:rPr>
      </w:pPr>
    </w:p>
    <w:p w:rsidR="00711785" w:rsidRPr="00711785" w:rsidRDefault="00711785" w:rsidP="00711785">
      <w:pPr>
        <w:spacing w:before="100" w:beforeAutospacing="1" w:after="100" w:afterAutospacing="1" w:line="240" w:lineRule="auto"/>
        <w:ind w:firstLine="480"/>
        <w:jc w:val="center"/>
        <w:rPr>
          <w:rFonts w:ascii="Arial" w:eastAsia="Times New Roman" w:hAnsi="Arial" w:cs="Arial"/>
          <w:sz w:val="20"/>
          <w:szCs w:val="20"/>
        </w:rPr>
      </w:pPr>
    </w:p>
    <w:p w:rsidR="00637369" w:rsidRDefault="00637369"/>
    <w:sectPr w:rsidR="00637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85"/>
    <w:rsid w:val="000A1B04"/>
    <w:rsid w:val="00202504"/>
    <w:rsid w:val="00297ED2"/>
    <w:rsid w:val="004666A7"/>
    <w:rsid w:val="004718C6"/>
    <w:rsid w:val="00637369"/>
    <w:rsid w:val="00711785"/>
    <w:rsid w:val="00793834"/>
    <w:rsid w:val="008C7857"/>
    <w:rsid w:val="00945A7B"/>
    <w:rsid w:val="00AF462B"/>
    <w:rsid w:val="00B14780"/>
    <w:rsid w:val="00BD291C"/>
    <w:rsid w:val="00C1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1937">
      <w:bodyDiv w:val="1"/>
      <w:marLeft w:val="0"/>
      <w:marRight w:val="0"/>
      <w:marTop w:val="30"/>
      <w:marBottom w:val="750"/>
      <w:divBdr>
        <w:top w:val="none" w:sz="0" w:space="0" w:color="auto"/>
        <w:left w:val="none" w:sz="0" w:space="0" w:color="auto"/>
        <w:bottom w:val="none" w:sz="0" w:space="0" w:color="auto"/>
        <w:right w:val="none" w:sz="0" w:space="0" w:color="auto"/>
      </w:divBdr>
      <w:divsChild>
        <w:div w:id="1698431952">
          <w:marLeft w:val="0"/>
          <w:marRight w:val="0"/>
          <w:marTop w:val="0"/>
          <w:marBottom w:val="0"/>
          <w:divBdr>
            <w:top w:val="none" w:sz="0" w:space="0" w:color="auto"/>
            <w:left w:val="none" w:sz="0" w:space="0" w:color="auto"/>
            <w:bottom w:val="none" w:sz="0" w:space="0" w:color="auto"/>
            <w:right w:val="none" w:sz="0" w:space="0" w:color="auto"/>
          </w:divBdr>
        </w:div>
      </w:divsChild>
    </w:div>
    <w:div w:id="711687133">
      <w:bodyDiv w:val="1"/>
      <w:marLeft w:val="0"/>
      <w:marRight w:val="0"/>
      <w:marTop w:val="30"/>
      <w:marBottom w:val="750"/>
      <w:divBdr>
        <w:top w:val="none" w:sz="0" w:space="0" w:color="auto"/>
        <w:left w:val="none" w:sz="0" w:space="0" w:color="auto"/>
        <w:bottom w:val="none" w:sz="0" w:space="0" w:color="auto"/>
        <w:right w:val="none" w:sz="0" w:space="0" w:color="auto"/>
      </w:divBdr>
      <w:divsChild>
        <w:div w:id="1713185672">
          <w:marLeft w:val="0"/>
          <w:marRight w:val="0"/>
          <w:marTop w:val="0"/>
          <w:marBottom w:val="0"/>
          <w:divBdr>
            <w:top w:val="none" w:sz="0" w:space="0" w:color="auto"/>
            <w:left w:val="none" w:sz="0" w:space="0" w:color="auto"/>
            <w:bottom w:val="none" w:sz="0" w:space="0" w:color="auto"/>
            <w:right w:val="none" w:sz="0" w:space="0" w:color="auto"/>
          </w:divBdr>
        </w:div>
      </w:divsChild>
    </w:div>
    <w:div w:id="1166900790">
      <w:bodyDiv w:val="1"/>
      <w:marLeft w:val="0"/>
      <w:marRight w:val="0"/>
      <w:marTop w:val="30"/>
      <w:marBottom w:val="750"/>
      <w:divBdr>
        <w:top w:val="none" w:sz="0" w:space="0" w:color="auto"/>
        <w:left w:val="none" w:sz="0" w:space="0" w:color="auto"/>
        <w:bottom w:val="none" w:sz="0" w:space="0" w:color="auto"/>
        <w:right w:val="none" w:sz="0" w:space="0" w:color="auto"/>
      </w:divBdr>
      <w:divsChild>
        <w:div w:id="1051005525">
          <w:marLeft w:val="0"/>
          <w:marRight w:val="0"/>
          <w:marTop w:val="0"/>
          <w:marBottom w:val="0"/>
          <w:divBdr>
            <w:top w:val="none" w:sz="0" w:space="0" w:color="auto"/>
            <w:left w:val="none" w:sz="0" w:space="0" w:color="auto"/>
            <w:bottom w:val="none" w:sz="0" w:space="0" w:color="auto"/>
            <w:right w:val="none" w:sz="0" w:space="0" w:color="auto"/>
          </w:divBdr>
        </w:div>
      </w:divsChild>
    </w:div>
    <w:div w:id="1470980333">
      <w:bodyDiv w:val="1"/>
      <w:marLeft w:val="0"/>
      <w:marRight w:val="0"/>
      <w:marTop w:val="30"/>
      <w:marBottom w:val="750"/>
      <w:divBdr>
        <w:top w:val="none" w:sz="0" w:space="0" w:color="auto"/>
        <w:left w:val="none" w:sz="0" w:space="0" w:color="auto"/>
        <w:bottom w:val="none" w:sz="0" w:space="0" w:color="auto"/>
        <w:right w:val="none" w:sz="0" w:space="0" w:color="auto"/>
      </w:divBdr>
      <w:divsChild>
        <w:div w:id="149798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 Valiyil</dc:creator>
  <cp:lastModifiedBy>Geetha Valiyil</cp:lastModifiedBy>
  <cp:revision>10</cp:revision>
  <dcterms:created xsi:type="dcterms:W3CDTF">2014-11-04T17:01:00Z</dcterms:created>
  <dcterms:modified xsi:type="dcterms:W3CDTF">2014-11-04T17:17:00Z</dcterms:modified>
</cp:coreProperties>
</file>