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3D" w:rsidRPr="009810A6" w:rsidRDefault="0073473D" w:rsidP="0073473D">
      <w:pPr>
        <w:jc w:val="center"/>
        <w:rPr>
          <w:b/>
        </w:rPr>
      </w:pPr>
      <w:bookmarkStart w:id="0" w:name="_GoBack"/>
      <w:bookmarkEnd w:id="0"/>
      <w:r w:rsidRPr="009810A6">
        <w:rPr>
          <w:b/>
        </w:rPr>
        <w:t>S</w:t>
      </w:r>
      <w:r w:rsidR="00077E3F">
        <w:rPr>
          <w:b/>
        </w:rPr>
        <w:t>UPPORTING STATEMENT</w:t>
      </w:r>
    </w:p>
    <w:p w:rsidR="00746138" w:rsidRPr="009810A6" w:rsidRDefault="00E12F77" w:rsidP="0073473D">
      <w:pPr>
        <w:jc w:val="center"/>
        <w:rPr>
          <w:b/>
        </w:rPr>
      </w:pPr>
      <w:r w:rsidRPr="009810A6">
        <w:rPr>
          <w:b/>
        </w:rPr>
        <w:t>Karnal Bunt; Revision of Regulations</w:t>
      </w:r>
    </w:p>
    <w:p w:rsidR="00E12F77" w:rsidRPr="009810A6" w:rsidRDefault="00E12F77" w:rsidP="0073473D">
      <w:pPr>
        <w:jc w:val="center"/>
        <w:rPr>
          <w:b/>
        </w:rPr>
      </w:pPr>
      <w:r w:rsidRPr="009810A6">
        <w:rPr>
          <w:b/>
        </w:rPr>
        <w:t xml:space="preserve"> for Importing</w:t>
      </w:r>
      <w:r w:rsidR="00077E3F">
        <w:rPr>
          <w:b/>
        </w:rPr>
        <w:t xml:space="preserve"> </w:t>
      </w:r>
      <w:r w:rsidRPr="009810A6">
        <w:rPr>
          <w:b/>
        </w:rPr>
        <w:t>Wheat</w:t>
      </w:r>
    </w:p>
    <w:p w:rsidR="00E12F77" w:rsidRDefault="00D2402E" w:rsidP="0073473D">
      <w:pPr>
        <w:jc w:val="center"/>
        <w:rPr>
          <w:b/>
        </w:rPr>
      </w:pPr>
      <w:r w:rsidRPr="009810A6">
        <w:rPr>
          <w:b/>
        </w:rPr>
        <w:t>0579-0240</w:t>
      </w:r>
    </w:p>
    <w:p w:rsidR="00B60BD4" w:rsidRDefault="00B60BD4" w:rsidP="00FF0F53">
      <w:pPr>
        <w:jc w:val="right"/>
        <w:rPr>
          <w:b/>
        </w:rPr>
      </w:pPr>
    </w:p>
    <w:p w:rsidR="00B14DFF" w:rsidRPr="009810A6" w:rsidRDefault="00FF0F53" w:rsidP="00FF0F53">
      <w:pPr>
        <w:jc w:val="right"/>
        <w:rPr>
          <w:b/>
        </w:rPr>
      </w:pPr>
      <w:r>
        <w:rPr>
          <w:b/>
        </w:rPr>
        <w:t>December 2017</w:t>
      </w:r>
    </w:p>
    <w:p w:rsidR="000930D3" w:rsidRDefault="000930D3" w:rsidP="00A60B32">
      <w:pPr>
        <w:autoSpaceDE w:val="0"/>
        <w:autoSpaceDN w:val="0"/>
        <w:adjustRightInd w:val="0"/>
        <w:rPr>
          <w:rFonts w:ascii="Arial" w:hAnsi="Arial" w:cs="Arial"/>
          <w:b/>
          <w:sz w:val="22"/>
          <w:szCs w:val="22"/>
        </w:rPr>
      </w:pPr>
    </w:p>
    <w:p w:rsidR="00B60BD4" w:rsidRDefault="00B60BD4">
      <w:pPr>
        <w:rPr>
          <w:b/>
        </w:rPr>
      </w:pPr>
    </w:p>
    <w:p w:rsidR="009524E2" w:rsidRPr="00A5425F" w:rsidRDefault="00646559">
      <w:pPr>
        <w:rPr>
          <w:b/>
        </w:rPr>
      </w:pPr>
      <w:r w:rsidRPr="00A5425F">
        <w:rPr>
          <w:b/>
        </w:rPr>
        <w:t xml:space="preserve">A.  </w:t>
      </w:r>
      <w:r w:rsidR="009810A6" w:rsidRPr="00A5425F">
        <w:rPr>
          <w:b/>
          <w:u w:val="single"/>
        </w:rPr>
        <w:t>JUSTIFICATION</w:t>
      </w:r>
      <w:r w:rsidR="009810A6" w:rsidRPr="00A5425F">
        <w:rPr>
          <w:b/>
        </w:rPr>
        <w:tab/>
      </w:r>
      <w:r w:rsidR="009810A6" w:rsidRPr="00A5425F">
        <w:rPr>
          <w:b/>
        </w:rPr>
        <w:tab/>
      </w:r>
      <w:r w:rsidR="009810A6" w:rsidRPr="00A5425F">
        <w:rPr>
          <w:b/>
        </w:rPr>
        <w:tab/>
      </w:r>
      <w:r w:rsidR="00077E3F">
        <w:rPr>
          <w:b/>
        </w:rPr>
        <w:tab/>
      </w:r>
      <w:r w:rsidR="00077E3F">
        <w:rPr>
          <w:b/>
        </w:rPr>
        <w:tab/>
      </w:r>
      <w:r w:rsidR="00077E3F">
        <w:rPr>
          <w:b/>
        </w:rPr>
        <w:tab/>
      </w:r>
      <w:r w:rsidR="00077E3F">
        <w:rPr>
          <w:b/>
        </w:rPr>
        <w:tab/>
      </w:r>
      <w:r w:rsidR="009810A6" w:rsidRPr="00A5425F">
        <w:rPr>
          <w:b/>
        </w:rPr>
        <w:tab/>
      </w:r>
      <w:r w:rsidR="009810A6" w:rsidRPr="00A5425F">
        <w:rPr>
          <w:b/>
        </w:rPr>
        <w:tab/>
      </w:r>
      <w:r w:rsidR="009810A6" w:rsidRPr="00A5425F">
        <w:rPr>
          <w:b/>
        </w:rPr>
        <w:tab/>
        <w:t xml:space="preserve">   </w:t>
      </w:r>
    </w:p>
    <w:p w:rsidR="007D429D" w:rsidRPr="00A5425F" w:rsidRDefault="009524E2">
      <w:pPr>
        <w:rPr>
          <w:b/>
        </w:rPr>
      </w:pPr>
      <w:r w:rsidRPr="00A5425F">
        <w:rPr>
          <w:b/>
        </w:rPr>
        <w:t xml:space="preserve"> </w:t>
      </w:r>
    </w:p>
    <w:p w:rsidR="00646559" w:rsidRPr="00A5425F" w:rsidRDefault="00646559">
      <w:pPr>
        <w:rPr>
          <w:b/>
        </w:rPr>
      </w:pPr>
      <w:r w:rsidRPr="00A5425F">
        <w:rPr>
          <w:b/>
        </w:rPr>
        <w:t>1.  Explain the circumstances that make the collection of information necessary.  Identify any legal or administrative requirements that necessitate the collection.</w:t>
      </w:r>
    </w:p>
    <w:p w:rsidR="00646559" w:rsidRPr="00A5425F" w:rsidRDefault="00646559"/>
    <w:p w:rsidR="004678F8" w:rsidRPr="00A5425F" w:rsidRDefault="004678F8">
      <w:r w:rsidRPr="00A5425F">
        <w:t>The United States Department of Agriculture (USDA)</w:t>
      </w:r>
      <w:r w:rsidR="00A1430D" w:rsidRPr="00A5425F">
        <w:t>, Animal and Plant Health Inspection Service (APHIS)</w:t>
      </w:r>
      <w:r w:rsidRPr="00A5425F">
        <w:t xml:space="preserve"> is responsible for preventing plant disease</w:t>
      </w:r>
      <w:r w:rsidR="00C04521" w:rsidRPr="00A5425F">
        <w:t>s</w:t>
      </w:r>
      <w:r w:rsidRPr="00A5425F">
        <w:t xml:space="preserve"> or insect pests from entering the United States, preventing the spread of pests and noxious weeds not widely distributed in the United States, and eradicating those imported pests when eradication is feasible.  </w:t>
      </w:r>
    </w:p>
    <w:p w:rsidR="00F064F9" w:rsidRPr="00A5425F" w:rsidRDefault="00F064F9"/>
    <w:p w:rsidR="00F064F9" w:rsidRPr="00A5425F" w:rsidRDefault="00A1430D">
      <w:r w:rsidRPr="00A5425F">
        <w:t>Under the</w:t>
      </w:r>
      <w:r w:rsidR="009E5132" w:rsidRPr="00A5425F">
        <w:t xml:space="preserve"> Plant Act (7 U.S.C. 7701 – </w:t>
      </w:r>
      <w:r w:rsidR="009E5132" w:rsidRPr="00A5425F">
        <w:rPr>
          <w:u w:val="single"/>
        </w:rPr>
        <w:t>et</w:t>
      </w:r>
      <w:r w:rsidR="009E5132" w:rsidRPr="00A5425F">
        <w:t xml:space="preserve"> </w:t>
      </w:r>
      <w:r w:rsidR="009E5132" w:rsidRPr="00A5425F">
        <w:rPr>
          <w:u w:val="single"/>
        </w:rPr>
        <w:t>seq</w:t>
      </w:r>
      <w:r w:rsidR="009E5132" w:rsidRPr="00A5425F">
        <w:t>.</w:t>
      </w:r>
      <w:r w:rsidRPr="00A5425F">
        <w:t>), the Secretary of Agriculture is authorized to prohibit or restrict the importation, entry, or movement of plants and plant pests to prevent the introduction</w:t>
      </w:r>
      <w:r w:rsidR="00F20330" w:rsidRPr="00A5425F">
        <w:t xml:space="preserve"> plant pests into the United States or their dissemination within the United States.</w:t>
      </w:r>
    </w:p>
    <w:p w:rsidR="00F064F9" w:rsidRPr="00A5425F" w:rsidRDefault="00F064F9"/>
    <w:p w:rsidR="0043467C" w:rsidRPr="00A5425F" w:rsidRDefault="00F20330">
      <w:r w:rsidRPr="00A5425F">
        <w:t>APHIS’ domestic Karnal bunt regulations are contained in Subpart-Karnal Bunt (7 CFR 301.89-</w:t>
      </w:r>
      <w:r w:rsidR="004E2218" w:rsidRPr="00A5425F">
        <w:t>1 through 301.89-16).  APHIS’</w:t>
      </w:r>
      <w:r w:rsidRPr="00A5425F">
        <w:t xml:space="preserve"> Karnal bunt</w:t>
      </w:r>
      <w:r w:rsidR="00885119" w:rsidRPr="00A5425F">
        <w:t xml:space="preserve"> </w:t>
      </w:r>
      <w:r w:rsidRPr="00A5425F">
        <w:t>related import regulations are contained in Subpart</w:t>
      </w:r>
      <w:r w:rsidR="00C1151A" w:rsidRPr="00A5425F">
        <w:t xml:space="preserve">, </w:t>
      </w:r>
      <w:r w:rsidRPr="00A5425F">
        <w:t>Wheat Diseases (7 CFR</w:t>
      </w:r>
      <w:r w:rsidR="00255355" w:rsidRPr="00A5425F">
        <w:t xml:space="preserve"> 319.59</w:t>
      </w:r>
      <w:r w:rsidR="00083C9C" w:rsidRPr="00A5425F">
        <w:t>-1 through 7 CFR 319.59-4</w:t>
      </w:r>
      <w:r w:rsidR="00255355" w:rsidRPr="00A5425F">
        <w:t>).</w:t>
      </w:r>
    </w:p>
    <w:p w:rsidR="0019357B" w:rsidRPr="00A5425F" w:rsidRDefault="0019357B" w:rsidP="0019357B"/>
    <w:p w:rsidR="0019357B" w:rsidRPr="00A5425F" w:rsidRDefault="0019357B" w:rsidP="0019357B">
      <w:r>
        <w:t>T</w:t>
      </w:r>
      <w:r w:rsidRPr="00A5425F">
        <w:t>he Karnal bunt regulations for regions that import wheat to regions affected with Karnal bunt, as well as articles that would be regulated for Karnal bunt increased the flexibility of the regulations so that they could provide more readily for the recognition of areas where Karnal bunt is not known to occur within regions where Karnal bunt is known to be present; described conditions, including requirements for phytosanitary certificates, under which wheat and related articles from regions affected with Karnal bunt could be imported into the United States; and specified cleaning and/or disinfection requirements for imported farm machinery and other equipment used to handle or store Karnal bunt-positive seed or host crops.</w:t>
      </w:r>
    </w:p>
    <w:p w:rsidR="0019357B" w:rsidRDefault="0019357B"/>
    <w:p w:rsidR="00842F3B" w:rsidRDefault="00842F3B">
      <w:r w:rsidRPr="00A5425F">
        <w:t>Karnal bunt is a fungal disease of wheat (</w:t>
      </w:r>
      <w:r w:rsidRPr="00A5425F">
        <w:rPr>
          <w:u w:val="single"/>
        </w:rPr>
        <w:t>Triticum aestivum</w:t>
      </w:r>
      <w:r w:rsidRPr="00A5425F">
        <w:t>), durum wheat (</w:t>
      </w:r>
      <w:r w:rsidRPr="00A5425F">
        <w:rPr>
          <w:u w:val="single"/>
        </w:rPr>
        <w:t>Triticum durum</w:t>
      </w:r>
      <w:r w:rsidRPr="00A5425F">
        <w:t>), and triticale (</w:t>
      </w:r>
      <w:r w:rsidRPr="00A5425F">
        <w:rPr>
          <w:u w:val="single"/>
        </w:rPr>
        <w:t>Triticum</w:t>
      </w:r>
      <w:r w:rsidRPr="00A5425F">
        <w:t xml:space="preserve"> </w:t>
      </w:r>
      <w:r w:rsidRPr="00A5425F">
        <w:rPr>
          <w:u w:val="single"/>
        </w:rPr>
        <w:t>aestivum</w:t>
      </w:r>
      <w:r w:rsidRPr="00A5425F">
        <w:t xml:space="preserve"> X </w:t>
      </w:r>
      <w:r w:rsidRPr="00A5425F">
        <w:rPr>
          <w:u w:val="single"/>
        </w:rPr>
        <w:t>Secale</w:t>
      </w:r>
      <w:r w:rsidRPr="00A5425F">
        <w:t xml:space="preserve"> </w:t>
      </w:r>
      <w:r w:rsidRPr="00A5425F">
        <w:rPr>
          <w:u w:val="single"/>
        </w:rPr>
        <w:t>cereale</w:t>
      </w:r>
      <w:r w:rsidRPr="00A5425F">
        <w:t xml:space="preserve">), a hybrid of wheat and rye.  </w:t>
      </w:r>
      <w:r w:rsidR="004E2218" w:rsidRPr="00A5425F">
        <w:t>Karnal bunt</w:t>
      </w:r>
      <w:r w:rsidRPr="00A5425F">
        <w:t xml:space="preserve"> is caused by the smut fungus </w:t>
      </w:r>
      <w:r w:rsidRPr="00A5425F">
        <w:rPr>
          <w:u w:val="single"/>
        </w:rPr>
        <w:t>Tilletia</w:t>
      </w:r>
      <w:r w:rsidRPr="00A5425F">
        <w:t xml:space="preserve"> </w:t>
      </w:r>
      <w:r w:rsidRPr="00A5425F">
        <w:rPr>
          <w:u w:val="single"/>
        </w:rPr>
        <w:t>indica</w:t>
      </w:r>
      <w:r w:rsidRPr="00A5425F">
        <w:t xml:space="preserve"> (Mitra) Mundkur and is spread by spores, </w:t>
      </w:r>
      <w:r w:rsidR="00DF1B98" w:rsidRPr="00A5425F">
        <w:t xml:space="preserve">primarily through the movement of infected seed.  Karnal bunt is found in </w:t>
      </w:r>
      <w:smartTag w:uri="urn:schemas-microsoft-com:office:smarttags" w:element="country-region">
        <w:smartTag w:uri="urn:schemas-microsoft-com:office:smarttags" w:element="place">
          <w:r w:rsidR="00DF1B98" w:rsidRPr="00A5425F">
            <w:t>Afghanistan</w:t>
          </w:r>
        </w:smartTag>
      </w:smartTag>
      <w:r w:rsidR="00DF1B98" w:rsidRPr="00A5425F">
        <w:t xml:space="preserve">, </w:t>
      </w:r>
      <w:smartTag w:uri="urn:schemas-microsoft-com:office:smarttags" w:element="country-region">
        <w:smartTag w:uri="urn:schemas-microsoft-com:office:smarttags" w:element="place">
          <w:r w:rsidR="00DF1B98" w:rsidRPr="00A5425F">
            <w:t>India</w:t>
          </w:r>
        </w:smartTag>
      </w:smartTag>
      <w:r w:rsidR="00DF1B98" w:rsidRPr="00A5425F">
        <w:t xml:space="preserve">, </w:t>
      </w:r>
      <w:smartTag w:uri="urn:schemas-microsoft-com:office:smarttags" w:element="country-region">
        <w:smartTag w:uri="urn:schemas-microsoft-com:office:smarttags" w:element="place">
          <w:r w:rsidR="00DF1B98" w:rsidRPr="00A5425F">
            <w:t>Iraq</w:t>
          </w:r>
        </w:smartTag>
      </w:smartTag>
      <w:r w:rsidR="00DF1B98" w:rsidRPr="00A5425F">
        <w:t xml:space="preserve">, </w:t>
      </w:r>
      <w:smartTag w:uri="urn:schemas-microsoft-com:office:smarttags" w:element="country-region">
        <w:smartTag w:uri="urn:schemas-microsoft-com:office:smarttags" w:element="place">
          <w:r w:rsidR="00DF1B98" w:rsidRPr="00A5425F">
            <w:t>Pakistan</w:t>
          </w:r>
        </w:smartTag>
      </w:smartTag>
      <w:r w:rsidR="00DF1B98" w:rsidRPr="00A5425F">
        <w:t xml:space="preserve">, and portions of </w:t>
      </w:r>
      <w:smartTag w:uri="urn:schemas-microsoft-com:office:smarttags" w:element="country-region">
        <w:smartTag w:uri="urn:schemas-microsoft-com:office:smarttags" w:element="place">
          <w:r w:rsidR="00DF1B98" w:rsidRPr="00A5425F">
            <w:t>Mexico</w:t>
          </w:r>
        </w:smartTag>
      </w:smartTag>
      <w:r w:rsidR="00DF1B98" w:rsidRPr="00A5425F">
        <w:t xml:space="preserve"> and the </w:t>
      </w:r>
      <w:smartTag w:uri="urn:schemas-microsoft-com:office:smarttags" w:element="country-region">
        <w:smartTag w:uri="urn:schemas-microsoft-com:office:smarttags" w:element="place">
          <w:r w:rsidR="00DF1B98" w:rsidRPr="00A5425F">
            <w:t>United States</w:t>
          </w:r>
        </w:smartTag>
      </w:smartTag>
      <w:r w:rsidR="00DF1B98" w:rsidRPr="00A5425F">
        <w:t>.</w:t>
      </w:r>
    </w:p>
    <w:p w:rsidR="00B60BD4" w:rsidRDefault="00B60BD4"/>
    <w:p w:rsidR="00AA67BD" w:rsidRDefault="00AA67BD" w:rsidP="00AA67BD">
      <w:r>
        <w:t>APHIS is asking OMB to continue approval of this information collection activity for an additional 3 years in connection with APHIS’ efforts to prevent the spread of plant pests and plant diseases throughout the United States.</w:t>
      </w:r>
    </w:p>
    <w:p w:rsidR="00B60BD4" w:rsidRDefault="00B60BD4" w:rsidP="00AA67BD"/>
    <w:p w:rsidR="00B60BD4" w:rsidRDefault="00B60BD4" w:rsidP="00AA67BD"/>
    <w:p w:rsidR="00646559" w:rsidRPr="00A5425F" w:rsidRDefault="00646559">
      <w:pPr>
        <w:rPr>
          <w:b/>
        </w:rPr>
      </w:pPr>
      <w:r w:rsidRPr="00A5425F">
        <w:rPr>
          <w:b/>
        </w:rPr>
        <w:lastRenderedPageBreak/>
        <w:t>2.  Indicate how, by whom, and for what purpose the information is to be used.  Except for a new collection, indicate the actual use the agency has made of the information received from the current collection.</w:t>
      </w:r>
    </w:p>
    <w:p w:rsidR="00AA67BD" w:rsidRDefault="00AA67BD" w:rsidP="00AA67BD"/>
    <w:p w:rsidR="00EF7861" w:rsidRPr="00EF7861" w:rsidRDefault="00EF7861" w:rsidP="00EF7861">
      <w:pPr>
        <w:rPr>
          <w:rStyle w:val="InitialStyle"/>
          <w:rFonts w:ascii="Times New Roman" w:hAnsi="Times New Roman"/>
        </w:rPr>
      </w:pPr>
      <w:r w:rsidRPr="00EF7861">
        <w:t xml:space="preserve">APHIS uses the following information activities to </w:t>
      </w:r>
      <w:r w:rsidRPr="00EF7861">
        <w:rPr>
          <w:rStyle w:val="InitialStyle"/>
          <w:rFonts w:ascii="Times New Roman" w:hAnsi="Times New Roman"/>
        </w:rPr>
        <w:t xml:space="preserve">prohibit </w:t>
      </w:r>
      <w:r>
        <w:rPr>
          <w:rStyle w:val="InitialStyle"/>
          <w:rFonts w:ascii="Times New Roman" w:hAnsi="Times New Roman"/>
        </w:rPr>
        <w:t xml:space="preserve">the spread of fungal disease of wheat </w:t>
      </w:r>
      <w:r w:rsidRPr="00EF7861">
        <w:rPr>
          <w:rStyle w:val="InitialStyle"/>
          <w:rFonts w:ascii="Times New Roman" w:hAnsi="Times New Roman"/>
        </w:rPr>
        <w:t>into the United States from certain parts of the world.</w:t>
      </w:r>
    </w:p>
    <w:p w:rsidR="00AA67BD" w:rsidRDefault="00AA67BD">
      <w:pPr>
        <w:rPr>
          <w:b/>
          <w:u w:val="single"/>
        </w:rPr>
      </w:pPr>
    </w:p>
    <w:p w:rsidR="005E30AC" w:rsidRPr="00A5425F" w:rsidRDefault="005E30AC">
      <w:r w:rsidRPr="00A5425F">
        <w:rPr>
          <w:b/>
          <w:u w:val="single"/>
        </w:rPr>
        <w:t>Phytosanitary Certificates</w:t>
      </w:r>
      <w:r w:rsidR="007147DD" w:rsidRPr="00A5425F">
        <w:rPr>
          <w:b/>
          <w:u w:val="single"/>
        </w:rPr>
        <w:t xml:space="preserve"> </w:t>
      </w:r>
      <w:r w:rsidR="00CD3898">
        <w:rPr>
          <w:b/>
          <w:u w:val="single"/>
        </w:rPr>
        <w:t>- (Business and Foreign Officials)</w:t>
      </w:r>
      <w:r w:rsidR="00FF0F53">
        <w:rPr>
          <w:b/>
          <w:u w:val="single"/>
        </w:rPr>
        <w:t xml:space="preserve"> - </w:t>
      </w:r>
      <w:r w:rsidR="00FF0F53" w:rsidRPr="003C6768">
        <w:rPr>
          <w:b/>
          <w:u w:val="single"/>
        </w:rPr>
        <w:t>7</w:t>
      </w:r>
      <w:r w:rsidR="00FF0F53">
        <w:rPr>
          <w:b/>
          <w:u w:val="single"/>
        </w:rPr>
        <w:t xml:space="preserve"> </w:t>
      </w:r>
      <w:r w:rsidR="00FF0F53" w:rsidRPr="003C6768">
        <w:rPr>
          <w:b/>
          <w:u w:val="single"/>
        </w:rPr>
        <w:t>CFR 319.59-4(c)(4)</w:t>
      </w:r>
      <w:r w:rsidR="00FF0F53">
        <w:rPr>
          <w:b/>
          <w:u w:val="single"/>
        </w:rPr>
        <w:t xml:space="preserve">  </w:t>
      </w:r>
    </w:p>
    <w:p w:rsidR="005E30AC" w:rsidRPr="00A5425F" w:rsidRDefault="00D670E4">
      <w:r w:rsidRPr="00A5425F">
        <w:t xml:space="preserve">In order to enable APHIS to verify that the articles are being imported in compliance </w:t>
      </w:r>
      <w:r w:rsidR="008155C8" w:rsidRPr="00A5425F">
        <w:t xml:space="preserve">with the regulations, the articles would also have to be accompanied by a phytosanitary certificate issued by the </w:t>
      </w:r>
      <w:r w:rsidR="00DA7315" w:rsidRPr="00A5425F">
        <w:t>N</w:t>
      </w:r>
      <w:r w:rsidR="008155C8" w:rsidRPr="00A5425F">
        <w:t xml:space="preserve">ational </w:t>
      </w:r>
      <w:r w:rsidR="00DA7315" w:rsidRPr="00A5425F">
        <w:t>P</w:t>
      </w:r>
      <w:r w:rsidR="008155C8" w:rsidRPr="00A5425F">
        <w:t xml:space="preserve">lant </w:t>
      </w:r>
      <w:r w:rsidR="00DA7315" w:rsidRPr="00A5425F">
        <w:t>P</w:t>
      </w:r>
      <w:r w:rsidR="008155C8" w:rsidRPr="00A5425F">
        <w:t xml:space="preserve">rotection </w:t>
      </w:r>
      <w:r w:rsidR="00DA7315" w:rsidRPr="00A5425F">
        <w:t>O</w:t>
      </w:r>
      <w:r w:rsidR="008155C8" w:rsidRPr="00A5425F">
        <w:t xml:space="preserve">rganization </w:t>
      </w:r>
      <w:r w:rsidR="00B60BD4">
        <w:t xml:space="preserve">(NPPO) </w:t>
      </w:r>
      <w:r w:rsidR="008155C8" w:rsidRPr="00A5425F">
        <w:t>of the region of origin that includes the following additional declaration:  “These articles originated in areas where Karnal bun</w:t>
      </w:r>
      <w:r w:rsidR="00372247" w:rsidRPr="00A5425F">
        <w:t>t</w:t>
      </w:r>
      <w:r w:rsidR="008155C8" w:rsidRPr="00A5425F">
        <w:t xml:space="preserve"> is not known to occur, as attested to either by survey results or by testing for bunted kernels or spores.”  When necessary, APHIS could use approved testing procedures to verify the accuracy of such a declaration.</w:t>
      </w:r>
    </w:p>
    <w:p w:rsidR="00B60BD4" w:rsidRPr="00A5425F" w:rsidRDefault="00B60BD4"/>
    <w:p w:rsidR="00B7387E" w:rsidRPr="00A5425F" w:rsidRDefault="00FC78A7">
      <w:r>
        <w:t xml:space="preserve"> </w:t>
      </w:r>
    </w:p>
    <w:p w:rsidR="00646559" w:rsidRPr="00A5425F" w:rsidRDefault="00646559">
      <w:pPr>
        <w:rPr>
          <w:b/>
        </w:rPr>
      </w:pPr>
      <w:r w:rsidRPr="00A5425F">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C9148D" w:rsidRPr="00A5425F" w:rsidRDefault="00C9148D">
      <w:pPr>
        <w:rPr>
          <w:b/>
        </w:rPr>
      </w:pPr>
    </w:p>
    <w:p w:rsidR="00B60BD4" w:rsidRPr="00B60BD4" w:rsidRDefault="00B60BD4" w:rsidP="00B60BD4">
      <w:pPr>
        <w:pStyle w:val="DefaultText"/>
        <w:rPr>
          <w:szCs w:val="24"/>
        </w:rPr>
      </w:pPr>
      <w:r w:rsidRPr="00B60BD4">
        <w:rPr>
          <w:rStyle w:val="InitialStyle"/>
          <w:rFonts w:ascii="Times New Roman" w:hAnsi="Times New Roman"/>
        </w:rPr>
        <w:t xml:space="preserve">APHIS has no control or influence over when foreign countries will automate their </w:t>
      </w:r>
      <w:r w:rsidRPr="00B60BD4">
        <w:rPr>
          <w:szCs w:val="24"/>
        </w:rPr>
        <w:t>phytosanitary</w:t>
      </w:r>
      <w:r w:rsidRPr="00B60BD4">
        <w:rPr>
          <w:rStyle w:val="InitialStyle"/>
          <w:rFonts w:ascii="Times New Roman" w:hAnsi="Times New Roman"/>
        </w:rPr>
        <w:t xml:space="preserve"> certificates. </w:t>
      </w:r>
      <w:r w:rsidRPr="00B60BD4">
        <w:rPr>
          <w:szCs w:val="24"/>
        </w:rPr>
        <w:t>However, APHIS is involved with the Government-wide utilization of the International Trade Data System (ITDS) via the Automated Commercial Environment (ACE) to improve business operations and further Agency missions.  This will allow respondents to submit the data required by U.S. Customs and Border Protection and its Partner Government Agencies (PGAs), such as APHIS  to import and export cargo through a Single Window concept.   APHIS is also establishing a system known as e-File for CARPOL (Certification, Accreditation, Registration, Permitting, and Other Licensing) activities.  This new system will strive to automate some of these information collection activities.  The system is still being developed and business processes continue to be identified and mapped.</w:t>
      </w:r>
    </w:p>
    <w:p w:rsidR="004E1F5A" w:rsidRPr="00754B5B" w:rsidRDefault="004E1F5A"/>
    <w:p w:rsidR="004E1F5A" w:rsidRDefault="004E1F5A">
      <w:pPr>
        <w:rPr>
          <w:b/>
        </w:rPr>
      </w:pPr>
    </w:p>
    <w:p w:rsidR="004E1F5A" w:rsidRPr="009810A6" w:rsidRDefault="004E1F5A" w:rsidP="004E1F5A">
      <w:pPr>
        <w:rPr>
          <w:b/>
        </w:rPr>
      </w:pPr>
      <w:r w:rsidRPr="009810A6">
        <w:rPr>
          <w:b/>
        </w:rPr>
        <w:t>4.  Describe efforts to identify duplication.  Show specifically why any similar information already available cannot be used or modified for use for the purpose described in item 2 above.</w:t>
      </w:r>
    </w:p>
    <w:p w:rsidR="004E1F5A" w:rsidRPr="009810A6" w:rsidRDefault="004E1F5A" w:rsidP="004E1F5A">
      <w:pPr>
        <w:rPr>
          <w:b/>
        </w:rPr>
      </w:pPr>
    </w:p>
    <w:p w:rsidR="004E1F5A" w:rsidRDefault="004E1F5A" w:rsidP="004E1F5A">
      <w:r w:rsidRPr="009810A6">
        <w:t xml:space="preserve">The information APHIS collects is exclusive to its mission to prevent the introduction of plant pests and plant diseases into the </w:t>
      </w:r>
      <w:smartTag w:uri="urn:schemas-microsoft-com:office:smarttags" w:element="country-region">
        <w:smartTag w:uri="urn:schemas-microsoft-com:office:smarttags" w:element="place">
          <w:r w:rsidRPr="009810A6">
            <w:t>United States</w:t>
          </w:r>
        </w:smartTag>
      </w:smartTag>
      <w:r w:rsidRPr="009810A6">
        <w:t>.  The information is not available from any other source.</w:t>
      </w:r>
    </w:p>
    <w:p w:rsidR="004E1F5A" w:rsidRDefault="004E1F5A" w:rsidP="004E1F5A"/>
    <w:p w:rsidR="00B60BD4" w:rsidRDefault="00B60BD4" w:rsidP="004E1F5A"/>
    <w:p w:rsidR="00B60BD4" w:rsidRPr="009810A6" w:rsidRDefault="00B60BD4" w:rsidP="004E1F5A"/>
    <w:p w:rsidR="004E1F5A" w:rsidRPr="009810A6" w:rsidRDefault="004E1F5A" w:rsidP="004E1F5A">
      <w:pPr>
        <w:rPr>
          <w:b/>
        </w:rPr>
      </w:pPr>
      <w:r w:rsidRPr="009810A6">
        <w:rPr>
          <w:b/>
        </w:rPr>
        <w:t>5.  If the collection of information impacts small businesses or other small entities, describe any methods used to minimize burden.</w:t>
      </w:r>
    </w:p>
    <w:p w:rsidR="004E1F5A" w:rsidRPr="009810A6" w:rsidRDefault="004E1F5A" w:rsidP="004E1F5A">
      <w:pPr>
        <w:rPr>
          <w:b/>
        </w:rPr>
      </w:pPr>
    </w:p>
    <w:p w:rsidR="004E1F5A" w:rsidRPr="009810A6" w:rsidRDefault="004E1F5A" w:rsidP="004E1F5A">
      <w:r w:rsidRPr="009810A6">
        <w:t xml:space="preserve">The information APHIS collects is the minimum needed to protect the </w:t>
      </w:r>
      <w:smartTag w:uri="urn:schemas-microsoft-com:office:smarttags" w:element="country-region">
        <w:smartTag w:uri="urn:schemas-microsoft-com:office:smarttags" w:element="place">
          <w:r w:rsidRPr="009810A6">
            <w:t>United States</w:t>
          </w:r>
        </w:smartTag>
      </w:smartTag>
      <w:r w:rsidRPr="009810A6">
        <w:t xml:space="preserve"> from the importation of plant disease and plant pests.  APHIS has determined 40 percent of the respondents are small entities.</w:t>
      </w:r>
    </w:p>
    <w:p w:rsidR="004E1F5A" w:rsidRDefault="004E1F5A" w:rsidP="004E1F5A">
      <w:r w:rsidRPr="009810A6">
        <w:t xml:space="preserve"> </w:t>
      </w:r>
    </w:p>
    <w:p w:rsidR="004E1F5A" w:rsidRDefault="004E1F5A" w:rsidP="004E1F5A">
      <w:pPr>
        <w:rPr>
          <w:b/>
        </w:rPr>
      </w:pPr>
    </w:p>
    <w:p w:rsidR="004E1F5A" w:rsidRPr="009810A6" w:rsidRDefault="004E1F5A" w:rsidP="004E1F5A">
      <w:pPr>
        <w:rPr>
          <w:b/>
        </w:rPr>
      </w:pPr>
      <w:r w:rsidRPr="009810A6">
        <w:rPr>
          <w:b/>
        </w:rPr>
        <w:t>6.  Describe the consequences to Federal program or policy activities if the collection is not conducted or is conducted less frequently, as well as any technical or legal obstacles to reducing burden.</w:t>
      </w:r>
    </w:p>
    <w:p w:rsidR="004E1F5A" w:rsidRPr="009810A6" w:rsidRDefault="004E1F5A" w:rsidP="004E1F5A">
      <w:pPr>
        <w:rPr>
          <w:b/>
        </w:rPr>
      </w:pPr>
    </w:p>
    <w:p w:rsidR="004E1F5A" w:rsidRPr="009810A6" w:rsidRDefault="004E1F5A" w:rsidP="004E1F5A">
      <w:r w:rsidRPr="009810A6">
        <w:t xml:space="preserve">This information collection is critical to its mission of preventing the infestation of Karnal bunt into noninfested areas of the </w:t>
      </w:r>
      <w:smartTag w:uri="urn:schemas-microsoft-com:office:smarttags" w:element="country-region">
        <w:smartTag w:uri="urn:schemas-microsoft-com:office:smarttags" w:element="place">
          <w:r w:rsidRPr="009810A6">
            <w:t>United States</w:t>
          </w:r>
        </w:smartTag>
      </w:smartTag>
      <w:r w:rsidRPr="009810A6">
        <w:t>.</w:t>
      </w:r>
    </w:p>
    <w:p w:rsidR="004E1F5A" w:rsidRDefault="004E1F5A" w:rsidP="004E1F5A"/>
    <w:p w:rsidR="004E1F5A" w:rsidRPr="009810A6" w:rsidRDefault="004E1F5A" w:rsidP="004E1F5A"/>
    <w:p w:rsidR="00331530" w:rsidRDefault="004E1F5A" w:rsidP="004E1F5A">
      <w:pPr>
        <w:rPr>
          <w:b/>
        </w:rPr>
      </w:pPr>
      <w:r w:rsidRPr="009810A6">
        <w:rPr>
          <w:b/>
        </w:rPr>
        <w:t>7.  Explain any special circumstances that require the collection to be conducted</w:t>
      </w:r>
    </w:p>
    <w:p w:rsidR="00331530" w:rsidRDefault="004E1F5A" w:rsidP="004E1F5A">
      <w:pPr>
        <w:rPr>
          <w:b/>
        </w:rPr>
      </w:pPr>
      <w:r w:rsidRPr="009810A6">
        <w:rPr>
          <w:b/>
        </w:rPr>
        <w:t>in a manner inconsistent with the general information collection guidelines in</w:t>
      </w:r>
    </w:p>
    <w:p w:rsidR="004E1F5A" w:rsidRDefault="004E1F5A" w:rsidP="004E1F5A">
      <w:pPr>
        <w:rPr>
          <w:b/>
        </w:rPr>
      </w:pPr>
      <w:r w:rsidRPr="009810A6">
        <w:rPr>
          <w:b/>
        </w:rPr>
        <w:t>5 CFR 1320.5.</w:t>
      </w:r>
    </w:p>
    <w:p w:rsidR="00FE2C41" w:rsidRPr="009810A6" w:rsidRDefault="00FE2C41" w:rsidP="004E1F5A">
      <w:pPr>
        <w:rPr>
          <w:b/>
        </w:rPr>
      </w:pPr>
    </w:p>
    <w:p w:rsidR="004E1F5A" w:rsidRPr="009810A6" w:rsidRDefault="004E1F5A" w:rsidP="004E1F5A">
      <w:pPr>
        <w:numPr>
          <w:ilvl w:val="0"/>
          <w:numId w:val="1"/>
        </w:numPr>
        <w:tabs>
          <w:tab w:val="clear" w:pos="360"/>
        </w:tabs>
        <w:spacing w:after="80"/>
        <w:ind w:left="1170" w:hanging="450"/>
        <w:rPr>
          <w:b/>
        </w:rPr>
      </w:pPr>
      <w:r w:rsidRPr="009810A6">
        <w:rPr>
          <w:b/>
        </w:rPr>
        <w:t>requiring respondents to report informa</w:t>
      </w:r>
      <w:r w:rsidRPr="009810A6">
        <w:rPr>
          <w:b/>
        </w:rPr>
        <w:softHyphen/>
        <w:t>tion to the agency more often than quarterly;</w:t>
      </w:r>
    </w:p>
    <w:p w:rsidR="004E1F5A" w:rsidRPr="009810A6" w:rsidRDefault="004E1F5A" w:rsidP="004E1F5A">
      <w:pPr>
        <w:numPr>
          <w:ilvl w:val="0"/>
          <w:numId w:val="2"/>
        </w:numPr>
        <w:tabs>
          <w:tab w:val="clear" w:pos="360"/>
        </w:tabs>
        <w:spacing w:after="80"/>
        <w:ind w:left="1170" w:hanging="450"/>
        <w:rPr>
          <w:b/>
        </w:rPr>
      </w:pPr>
      <w:r w:rsidRPr="009810A6">
        <w:rPr>
          <w:b/>
        </w:rPr>
        <w:t>requiring respondents to prepare a writ</w:t>
      </w:r>
      <w:r w:rsidRPr="009810A6">
        <w:rPr>
          <w:b/>
        </w:rPr>
        <w:softHyphen/>
        <w:t>ten response to a collection of infor</w:t>
      </w:r>
      <w:r w:rsidRPr="009810A6">
        <w:rPr>
          <w:b/>
        </w:rPr>
        <w:softHyphen/>
        <w:t>ma</w:t>
      </w:r>
      <w:r w:rsidRPr="009810A6">
        <w:rPr>
          <w:b/>
        </w:rPr>
        <w:softHyphen/>
        <w:t>tion in fewer than 30 days after receipt of it;</w:t>
      </w:r>
    </w:p>
    <w:p w:rsidR="004E1F5A" w:rsidRPr="009810A6" w:rsidRDefault="004E1F5A" w:rsidP="004E1F5A">
      <w:pPr>
        <w:numPr>
          <w:ilvl w:val="0"/>
          <w:numId w:val="3"/>
        </w:numPr>
        <w:tabs>
          <w:tab w:val="clear" w:pos="360"/>
        </w:tabs>
        <w:spacing w:after="80"/>
        <w:ind w:left="1170" w:hanging="450"/>
        <w:rPr>
          <w:b/>
        </w:rPr>
      </w:pPr>
      <w:r w:rsidRPr="009810A6">
        <w:rPr>
          <w:b/>
        </w:rPr>
        <w:t>requiring respondents to submit more than an original and two copies of any docu</w:t>
      </w:r>
      <w:r w:rsidRPr="009810A6">
        <w:rPr>
          <w:b/>
        </w:rPr>
        <w:softHyphen/>
        <w:t>ment;</w:t>
      </w:r>
    </w:p>
    <w:p w:rsidR="004E1F5A" w:rsidRPr="009810A6" w:rsidRDefault="004E1F5A" w:rsidP="004E1F5A">
      <w:pPr>
        <w:numPr>
          <w:ilvl w:val="0"/>
          <w:numId w:val="4"/>
        </w:numPr>
        <w:tabs>
          <w:tab w:val="clear" w:pos="360"/>
        </w:tabs>
        <w:spacing w:after="80"/>
        <w:ind w:left="1170" w:hanging="450"/>
        <w:rPr>
          <w:b/>
        </w:rPr>
      </w:pPr>
      <w:r w:rsidRPr="009810A6">
        <w:rPr>
          <w:b/>
        </w:rPr>
        <w:t>requiring respondents to retain re</w:t>
      </w:r>
      <w:r w:rsidRPr="009810A6">
        <w:rPr>
          <w:b/>
        </w:rPr>
        <w:softHyphen/>
        <w:t>cords, other than health, medical, governm</w:t>
      </w:r>
      <w:r w:rsidRPr="009810A6">
        <w:rPr>
          <w:b/>
        </w:rPr>
        <w:softHyphen/>
        <w:t>ent contract, grant-in-aid, or tax records for more than three years;</w:t>
      </w:r>
    </w:p>
    <w:p w:rsidR="004E1F5A" w:rsidRPr="009810A6" w:rsidRDefault="004E1F5A" w:rsidP="004E1F5A">
      <w:pPr>
        <w:numPr>
          <w:ilvl w:val="0"/>
          <w:numId w:val="5"/>
        </w:numPr>
        <w:tabs>
          <w:tab w:val="clear" w:pos="360"/>
        </w:tabs>
        <w:spacing w:after="80"/>
        <w:ind w:left="1170" w:hanging="450"/>
        <w:rPr>
          <w:b/>
        </w:rPr>
      </w:pPr>
      <w:r w:rsidRPr="009810A6">
        <w:rPr>
          <w:b/>
        </w:rPr>
        <w:t>in connection with a statisti</w:t>
      </w:r>
      <w:r w:rsidRPr="009810A6">
        <w:rPr>
          <w:b/>
        </w:rPr>
        <w:softHyphen/>
        <w:t>cal sur</w:t>
      </w:r>
      <w:r w:rsidRPr="009810A6">
        <w:rPr>
          <w:b/>
        </w:rPr>
        <w:softHyphen/>
        <w:t>vey, that is not de</w:t>
      </w:r>
      <w:r w:rsidRPr="009810A6">
        <w:rPr>
          <w:b/>
        </w:rPr>
        <w:softHyphen/>
        <w:t>signed to produce valid and reli</w:t>
      </w:r>
      <w:r w:rsidRPr="009810A6">
        <w:rPr>
          <w:b/>
        </w:rPr>
        <w:softHyphen/>
        <w:t>able results that can be general</w:t>
      </w:r>
      <w:r w:rsidRPr="009810A6">
        <w:rPr>
          <w:b/>
        </w:rPr>
        <w:softHyphen/>
        <w:t>ized to the uni</w:t>
      </w:r>
      <w:r w:rsidRPr="009810A6">
        <w:rPr>
          <w:b/>
        </w:rPr>
        <w:softHyphen/>
        <w:t>verse of study;</w:t>
      </w:r>
    </w:p>
    <w:p w:rsidR="004E1F5A" w:rsidRPr="009810A6" w:rsidRDefault="004E1F5A" w:rsidP="004E1F5A">
      <w:pPr>
        <w:numPr>
          <w:ilvl w:val="0"/>
          <w:numId w:val="6"/>
        </w:numPr>
        <w:tabs>
          <w:tab w:val="clear" w:pos="360"/>
        </w:tabs>
        <w:spacing w:after="80"/>
        <w:ind w:left="1170" w:hanging="450"/>
        <w:rPr>
          <w:b/>
        </w:rPr>
      </w:pPr>
      <w:r w:rsidRPr="009810A6">
        <w:rPr>
          <w:b/>
        </w:rPr>
        <w:t>requiring the use of a statis</w:t>
      </w:r>
      <w:r w:rsidRPr="009810A6">
        <w:rPr>
          <w:b/>
        </w:rPr>
        <w:softHyphen/>
        <w:t>tical data classi</w:t>
      </w:r>
      <w:r w:rsidRPr="009810A6">
        <w:rPr>
          <w:b/>
        </w:rPr>
        <w:softHyphen/>
        <w:t>fication that has not been re</w:t>
      </w:r>
      <w:r w:rsidRPr="009810A6">
        <w:rPr>
          <w:b/>
        </w:rPr>
        <w:softHyphen/>
        <w:t>vie</w:t>
      </w:r>
      <w:r w:rsidRPr="009810A6">
        <w:rPr>
          <w:b/>
        </w:rPr>
        <w:softHyphen/>
        <w:t>wed and approved by OMB;</w:t>
      </w:r>
    </w:p>
    <w:p w:rsidR="004E1F5A" w:rsidRPr="009810A6" w:rsidRDefault="004E1F5A" w:rsidP="004E1F5A">
      <w:pPr>
        <w:numPr>
          <w:ilvl w:val="0"/>
          <w:numId w:val="7"/>
        </w:numPr>
        <w:tabs>
          <w:tab w:val="clear" w:pos="360"/>
        </w:tabs>
        <w:spacing w:after="80"/>
        <w:ind w:left="1170" w:hanging="450"/>
        <w:rPr>
          <w:b/>
        </w:rPr>
      </w:pPr>
      <w:r w:rsidRPr="009810A6">
        <w:rPr>
          <w:b/>
        </w:rPr>
        <w:t>that includes a pledge of confiden</w:t>
      </w:r>
      <w:r w:rsidRPr="009810A6">
        <w:rPr>
          <w:b/>
        </w:rPr>
        <w:softHyphen/>
        <w:t>tiali</w:t>
      </w:r>
      <w:r w:rsidRPr="009810A6">
        <w:rPr>
          <w:b/>
        </w:rPr>
        <w:softHyphen/>
        <w:t>ty that is not supported by au</w:t>
      </w:r>
      <w:r w:rsidRPr="009810A6">
        <w:rPr>
          <w:b/>
        </w:rPr>
        <w:softHyphen/>
        <w:t>thority estab</w:t>
      </w:r>
      <w:r w:rsidRPr="009810A6">
        <w:rPr>
          <w:b/>
        </w:rPr>
        <w:softHyphen/>
        <w:t>lished in statute or regu</w:t>
      </w:r>
      <w:r w:rsidRPr="009810A6">
        <w:rPr>
          <w:b/>
        </w:rPr>
        <w:softHyphen/>
        <w:t>la</w:t>
      </w:r>
      <w:r w:rsidRPr="009810A6">
        <w:rPr>
          <w:b/>
        </w:rPr>
        <w:softHyphen/>
        <w:t>tion, that is not sup</w:t>
      </w:r>
      <w:r w:rsidRPr="009810A6">
        <w:rPr>
          <w:b/>
        </w:rPr>
        <w:softHyphen/>
        <w:t>ported by dis</w:t>
      </w:r>
      <w:r w:rsidRPr="009810A6">
        <w:rPr>
          <w:b/>
        </w:rPr>
        <w:softHyphen/>
        <w:t>closure and data security policies that are consistent with the pledge, or which unneces</w:t>
      </w:r>
      <w:r w:rsidRPr="009810A6">
        <w:rPr>
          <w:b/>
        </w:rPr>
        <w:softHyphen/>
        <w:t>sarily impedes shar</w:t>
      </w:r>
      <w:r w:rsidRPr="009810A6">
        <w:rPr>
          <w:b/>
        </w:rPr>
        <w:softHyphen/>
        <w:t>ing of data with other agencies for com</w:t>
      </w:r>
      <w:r w:rsidRPr="009810A6">
        <w:rPr>
          <w:b/>
        </w:rPr>
        <w:softHyphen/>
        <w:t>patible confiden</w:t>
      </w:r>
      <w:r w:rsidRPr="009810A6">
        <w:rPr>
          <w:b/>
        </w:rPr>
        <w:softHyphen/>
        <w:t>tial use; or</w:t>
      </w:r>
    </w:p>
    <w:p w:rsidR="004E1F5A" w:rsidRPr="009810A6" w:rsidRDefault="004E1F5A" w:rsidP="004E1F5A">
      <w:pPr>
        <w:numPr>
          <w:ilvl w:val="0"/>
          <w:numId w:val="8"/>
        </w:numPr>
        <w:tabs>
          <w:tab w:val="clear" w:pos="360"/>
          <w:tab w:val="num" w:pos="648"/>
        </w:tabs>
        <w:spacing w:after="80"/>
        <w:ind w:left="1170" w:hanging="450"/>
      </w:pPr>
      <w:r w:rsidRPr="009810A6">
        <w:rPr>
          <w:b/>
        </w:rPr>
        <w:t>requiring respondents to submit propri</w:t>
      </w:r>
      <w:r w:rsidRPr="009810A6">
        <w:rPr>
          <w:b/>
        </w:rPr>
        <w:softHyphen/>
        <w:t>etary trade secret, or other confidential information unless the agency can demon</w:t>
      </w:r>
      <w:r w:rsidRPr="009810A6">
        <w:rPr>
          <w:b/>
        </w:rPr>
        <w:softHyphen/>
        <w:t>strate that it has instituted procedures to protect the information's confidentiality to the extent permit</w:t>
      </w:r>
      <w:r w:rsidRPr="009810A6">
        <w:rPr>
          <w:b/>
        </w:rPr>
        <w:softHyphen/>
        <w:t>ted by law.</w:t>
      </w:r>
    </w:p>
    <w:p w:rsidR="004E1F5A" w:rsidRPr="009810A6" w:rsidRDefault="004E1F5A" w:rsidP="004E1F5A">
      <w:pPr>
        <w:rPr>
          <w:b/>
        </w:rPr>
      </w:pPr>
    </w:p>
    <w:p w:rsidR="004E1F5A" w:rsidRDefault="004E1F5A" w:rsidP="004E1F5A">
      <w:r w:rsidRPr="009810A6">
        <w:t>No special circumstances exist that would require this collection to be conducted in a manner inconsistent with the general information collection guidelines in 5 CFR 1320.5.</w:t>
      </w:r>
    </w:p>
    <w:p w:rsidR="004E1F5A" w:rsidRDefault="004E1F5A" w:rsidP="004E1F5A"/>
    <w:p w:rsidR="004E1F5A" w:rsidRDefault="004E1F5A">
      <w:pPr>
        <w:rPr>
          <w:b/>
        </w:rPr>
      </w:pPr>
    </w:p>
    <w:p w:rsidR="00CB674F" w:rsidRPr="009810A6" w:rsidRDefault="004E1F5A">
      <w:pPr>
        <w:rPr>
          <w:b/>
        </w:rPr>
      </w:pPr>
      <w:r>
        <w:rPr>
          <w:b/>
        </w:rPr>
        <w:t>8</w:t>
      </w:r>
      <w:r w:rsidR="00CB674F" w:rsidRPr="009810A6">
        <w:rPr>
          <w:b/>
        </w:rPr>
        <w:t>.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w:t>
      </w:r>
      <w:r w:rsidR="00B60BD4">
        <w:rPr>
          <w:b/>
        </w:rPr>
        <w:t xml:space="preserve"> </w:t>
      </w:r>
      <w:r w:rsidR="00CB674F" w:rsidRPr="009810A6">
        <w:rPr>
          <w:b/>
        </w:rPr>
        <w:t>and page number of publication in the Federal Register of the agency’s notice, soliciting comments on the information collection prior to submission to OMB.</w:t>
      </w:r>
    </w:p>
    <w:p w:rsidR="008B2836" w:rsidRPr="009810A6" w:rsidRDefault="008B2836">
      <w:pPr>
        <w:rPr>
          <w:b/>
        </w:rPr>
      </w:pPr>
    </w:p>
    <w:p w:rsidR="00206F11" w:rsidRDefault="0049531B">
      <w:r>
        <w:t xml:space="preserve">APHIS consulted with the following individuals regarding the karnal bunt: </w:t>
      </w:r>
    </w:p>
    <w:p w:rsidR="0049531B" w:rsidRPr="009810A6" w:rsidRDefault="0049531B"/>
    <w:p w:rsidR="0049531B" w:rsidRDefault="00534604">
      <w:r w:rsidRPr="009810A6">
        <w:t xml:space="preserve">Trimurti International, </w:t>
      </w:r>
    </w:p>
    <w:p w:rsidR="00C77139" w:rsidRPr="009810A6" w:rsidRDefault="0049531B">
      <w:r>
        <w:t xml:space="preserve">Garrosh Indiral </w:t>
      </w:r>
    </w:p>
    <w:p w:rsidR="00534604" w:rsidRPr="009810A6" w:rsidRDefault="00534604">
      <w:r w:rsidRPr="009810A6">
        <w:t>Trimurti Grandeur Plot No. 88,</w:t>
      </w:r>
    </w:p>
    <w:p w:rsidR="00534604" w:rsidRPr="009810A6" w:rsidRDefault="00534604">
      <w:r w:rsidRPr="009810A6">
        <w:t>Sector No. 19/C, Opp, A.P.M.C.</w:t>
      </w:r>
    </w:p>
    <w:p w:rsidR="00534604" w:rsidRPr="009810A6" w:rsidRDefault="00534604">
      <w:r w:rsidRPr="009810A6">
        <w:t>Market-II, Phase-II, Vashi, Navi Mumbai, Maharashtra – 400 703 India</w:t>
      </w:r>
    </w:p>
    <w:p w:rsidR="000E013C" w:rsidRPr="009810A6" w:rsidRDefault="000E013C">
      <w:r w:rsidRPr="009810A6">
        <w:t>+(91)-(22)-407418</w:t>
      </w:r>
    </w:p>
    <w:p w:rsidR="00E00AF9" w:rsidRPr="009810A6" w:rsidRDefault="00E00AF9"/>
    <w:p w:rsidR="00C77139" w:rsidRPr="009810A6" w:rsidRDefault="00C77139">
      <w:r w:rsidRPr="009810A6">
        <w:t>Heirloom Organics, LLC</w:t>
      </w:r>
    </w:p>
    <w:p w:rsidR="000E013C" w:rsidRPr="009810A6" w:rsidRDefault="0049531B">
      <w:r>
        <w:t>Lee Marshall</w:t>
      </w:r>
    </w:p>
    <w:p w:rsidR="000E013C" w:rsidRPr="009810A6" w:rsidRDefault="000E013C">
      <w:r w:rsidRPr="009810A6">
        <w:t>330 Soldier Creek Rd.</w:t>
      </w:r>
    </w:p>
    <w:p w:rsidR="000E013C" w:rsidRPr="009810A6" w:rsidRDefault="000E013C">
      <w:r w:rsidRPr="009810A6">
        <w:t>Grants Pass, OR  97526</w:t>
      </w:r>
    </w:p>
    <w:p w:rsidR="000E013C" w:rsidRPr="009810A6" w:rsidRDefault="000E013C">
      <w:r w:rsidRPr="009810A6">
        <w:t>1-877-980-7333</w:t>
      </w:r>
    </w:p>
    <w:p w:rsidR="00C77139" w:rsidRPr="009810A6" w:rsidRDefault="00C77139"/>
    <w:p w:rsidR="00C77139" w:rsidRPr="009810A6" w:rsidRDefault="00C77139">
      <w:r w:rsidRPr="009810A6">
        <w:t>Aiyer’s Inc</w:t>
      </w:r>
      <w:r w:rsidR="00F97117">
        <w:t>orporated</w:t>
      </w:r>
    </w:p>
    <w:p w:rsidR="00C77139" w:rsidRPr="009810A6" w:rsidRDefault="0049531B">
      <w:r>
        <w:t>Davi Patel</w:t>
      </w:r>
    </w:p>
    <w:p w:rsidR="00DF5EB7" w:rsidRPr="009810A6" w:rsidRDefault="00C77139">
      <w:r w:rsidRPr="009810A6">
        <w:t>18707 Pioneer Blvd.</w:t>
      </w:r>
    </w:p>
    <w:p w:rsidR="00C77139" w:rsidRPr="009810A6" w:rsidRDefault="00C77139">
      <w:r w:rsidRPr="009810A6">
        <w:t>Artesia, CA  90701</w:t>
      </w:r>
    </w:p>
    <w:p w:rsidR="00C77139" w:rsidRDefault="00E00AF9">
      <w:r w:rsidRPr="009810A6">
        <w:t>562-402-9622</w:t>
      </w:r>
    </w:p>
    <w:p w:rsidR="00D52799" w:rsidRDefault="00D52799"/>
    <w:p w:rsidR="0079403E" w:rsidRPr="00597C42" w:rsidRDefault="0079403E" w:rsidP="0079403E">
      <w:r w:rsidRPr="00597C42">
        <w:t>On</w:t>
      </w:r>
      <w:r>
        <w:t xml:space="preserve"> Fri</w:t>
      </w:r>
      <w:r w:rsidRPr="00597C42">
        <w:t xml:space="preserve">day, </w:t>
      </w:r>
      <w:r>
        <w:t>October</w:t>
      </w:r>
      <w:r w:rsidRPr="00597C42">
        <w:t xml:space="preserve"> </w:t>
      </w:r>
      <w:r>
        <w:t>13</w:t>
      </w:r>
      <w:r w:rsidRPr="00597C42">
        <w:t xml:space="preserve">, 2017, pages </w:t>
      </w:r>
      <w:r>
        <w:t>47692</w:t>
      </w:r>
      <w:r w:rsidRPr="00597C42">
        <w:t>-</w:t>
      </w:r>
      <w:r>
        <w:t>47693</w:t>
      </w:r>
      <w:r w:rsidRPr="00597C42">
        <w:t>, APHIS publis</w:t>
      </w:r>
      <w:r>
        <w:t>hed in the Federal Register, a</w:t>
      </w:r>
      <w:r w:rsidRPr="00597C42">
        <w:t xml:space="preserve"> 60-day notice seeking public comments on its plans to request a 3-year renewal</w:t>
      </w:r>
      <w:r w:rsidRPr="00597C42">
        <w:rPr>
          <w:b/>
        </w:rPr>
        <w:t xml:space="preserve"> </w:t>
      </w:r>
      <w:r w:rsidRPr="00597C42">
        <w:t xml:space="preserve">of this collection of information.  </w:t>
      </w:r>
      <w:r>
        <w:t>No</w:t>
      </w:r>
      <w:r w:rsidRPr="00597C42">
        <w:t xml:space="preserve"> comments were received from the public.</w:t>
      </w:r>
    </w:p>
    <w:p w:rsidR="000B34A1" w:rsidRDefault="000B34A1" w:rsidP="00F61364">
      <w:pPr>
        <w:pStyle w:val="300"/>
        <w:rPr>
          <w:sz w:val="24"/>
          <w:szCs w:val="24"/>
        </w:rPr>
      </w:pPr>
    </w:p>
    <w:p w:rsidR="00692F63" w:rsidRPr="00AD508E" w:rsidRDefault="00692F63" w:rsidP="00692F63"/>
    <w:p w:rsidR="00CB674F" w:rsidRPr="009810A6" w:rsidRDefault="00CB674F">
      <w:pPr>
        <w:rPr>
          <w:b/>
        </w:rPr>
      </w:pPr>
      <w:r w:rsidRPr="009810A6">
        <w:rPr>
          <w:b/>
        </w:rPr>
        <w:t>9.  Explain any decision to provide any payment or gift to respondents, other than reenumeration of contractors or grantees.</w:t>
      </w:r>
    </w:p>
    <w:p w:rsidR="00EC605E" w:rsidRPr="009810A6" w:rsidRDefault="00EC605E">
      <w:pPr>
        <w:rPr>
          <w:b/>
        </w:rPr>
      </w:pPr>
    </w:p>
    <w:p w:rsidR="00EC605E" w:rsidRPr="009810A6" w:rsidRDefault="00EC605E">
      <w:r w:rsidRPr="009810A6">
        <w:t>This information collection activity involves no payments or gifts to respondents.</w:t>
      </w:r>
    </w:p>
    <w:p w:rsidR="008664D8" w:rsidRDefault="008664D8">
      <w:pPr>
        <w:rPr>
          <w:b/>
        </w:rPr>
      </w:pPr>
    </w:p>
    <w:p w:rsidR="009810A6" w:rsidRPr="009810A6" w:rsidRDefault="009810A6">
      <w:pPr>
        <w:rPr>
          <w:b/>
        </w:rPr>
      </w:pPr>
    </w:p>
    <w:p w:rsidR="00CB674F" w:rsidRPr="009810A6" w:rsidRDefault="00CB674F">
      <w:pPr>
        <w:rPr>
          <w:b/>
        </w:rPr>
      </w:pPr>
      <w:r w:rsidRPr="009810A6">
        <w:rPr>
          <w:b/>
        </w:rPr>
        <w:t>10.  Describe any assurance of confidentiality provided to respondents and the basis for the assurance in stature, regulation, or agency policy.</w:t>
      </w:r>
    </w:p>
    <w:p w:rsidR="00EC605E" w:rsidRDefault="00EC605E">
      <w:pPr>
        <w:rPr>
          <w:b/>
        </w:rPr>
      </w:pPr>
    </w:p>
    <w:p w:rsidR="00B60BD4" w:rsidRDefault="006C3FBA" w:rsidP="006C3FBA">
      <w:pPr>
        <w:overflowPunct w:val="0"/>
        <w:autoSpaceDE w:val="0"/>
        <w:autoSpaceDN w:val="0"/>
        <w:adjustRightInd w:val="0"/>
        <w:textAlignment w:val="baseline"/>
        <w:rPr>
          <w:color w:val="000000"/>
        </w:rPr>
      </w:pPr>
      <w:r w:rsidRPr="006C3FBA">
        <w:rPr>
          <w:color w:val="000000"/>
        </w:rPr>
        <w:t xml:space="preserve">No additional assurance of confidentiality is provided with this information collection. Any and all information obtained in this collection shall not be disclosed except in accordance with </w:t>
      </w:r>
    </w:p>
    <w:p w:rsidR="006C3FBA" w:rsidRPr="006C3FBA" w:rsidRDefault="006C3FBA" w:rsidP="006C3FBA">
      <w:pPr>
        <w:overflowPunct w:val="0"/>
        <w:autoSpaceDE w:val="0"/>
        <w:autoSpaceDN w:val="0"/>
        <w:adjustRightInd w:val="0"/>
        <w:textAlignment w:val="baseline"/>
        <w:rPr>
          <w:color w:val="000000"/>
        </w:rPr>
      </w:pPr>
      <w:r w:rsidRPr="006C3FBA">
        <w:rPr>
          <w:color w:val="000000"/>
        </w:rPr>
        <w:t>5 U.S.C. 552a.</w:t>
      </w:r>
    </w:p>
    <w:p w:rsidR="006C3FBA" w:rsidRPr="009810A6" w:rsidRDefault="006C3FBA">
      <w:pPr>
        <w:rPr>
          <w:b/>
        </w:rPr>
      </w:pPr>
    </w:p>
    <w:p w:rsidR="00CB674F" w:rsidRPr="009810A6" w:rsidRDefault="00CB674F">
      <w:pPr>
        <w:rPr>
          <w:b/>
        </w:rPr>
      </w:pPr>
      <w:r w:rsidRPr="009810A6">
        <w:rPr>
          <w:b/>
        </w:rPr>
        <w:t>11.  Provide additional justification for any questions of a sensitive nature, such as sexual behavior and attitudes, religious</w:t>
      </w:r>
      <w:r w:rsidR="00ED1ACC" w:rsidRPr="009810A6">
        <w:rPr>
          <w:b/>
        </w:rPr>
        <w:t xml:space="preserve">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1BB1" w:rsidRPr="009810A6" w:rsidRDefault="00211BB1">
      <w:pPr>
        <w:rPr>
          <w:b/>
        </w:rPr>
      </w:pPr>
    </w:p>
    <w:p w:rsidR="00211BB1" w:rsidRPr="009810A6" w:rsidRDefault="00211BB1">
      <w:r w:rsidRPr="009810A6">
        <w:t xml:space="preserve">This information collection activity asks no questions of </w:t>
      </w:r>
      <w:r w:rsidR="00850F5C">
        <w:t xml:space="preserve">a </w:t>
      </w:r>
      <w:r w:rsidRPr="009810A6">
        <w:t>personal or sensitive nature.</w:t>
      </w:r>
    </w:p>
    <w:p w:rsidR="00ED1ACC" w:rsidRDefault="00ED1ACC">
      <w:pPr>
        <w:rPr>
          <w:b/>
        </w:rPr>
      </w:pPr>
    </w:p>
    <w:p w:rsidR="009810A6" w:rsidRPr="009810A6" w:rsidRDefault="009810A6">
      <w:pPr>
        <w:rPr>
          <w:b/>
        </w:rPr>
      </w:pPr>
    </w:p>
    <w:p w:rsidR="00ED1ACC" w:rsidRPr="009810A6" w:rsidRDefault="00ED1ACC">
      <w:pPr>
        <w:rPr>
          <w:b/>
        </w:rPr>
      </w:pPr>
      <w:r w:rsidRPr="009810A6">
        <w:rPr>
          <w:b/>
        </w:rPr>
        <w:t>12.  Provide estimates of the hour burden of the collection of information.  Indicate the number of respondents, frequency of response, annual hour burden, and an explanation of how the burden was estimated.</w:t>
      </w:r>
    </w:p>
    <w:p w:rsidR="00ED1ACC" w:rsidRDefault="00ED1ACC">
      <w:pPr>
        <w:rPr>
          <w:b/>
        </w:rPr>
      </w:pPr>
    </w:p>
    <w:p w:rsidR="00AD334B" w:rsidRPr="00AD334B" w:rsidRDefault="00AD334B" w:rsidP="00AD334B">
      <w:pPr>
        <w:rPr>
          <w:b/>
        </w:rPr>
      </w:pPr>
      <w:r w:rsidRPr="00AD334B">
        <w:rPr>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AD334B" w:rsidRPr="00AD334B" w:rsidRDefault="00AD334B" w:rsidP="00AD334B">
      <w:pPr>
        <w:rPr>
          <w:b/>
        </w:rPr>
      </w:pPr>
    </w:p>
    <w:p w:rsidR="00AD334B" w:rsidRPr="00AD334B" w:rsidRDefault="00AD334B" w:rsidP="00AD334B">
      <w:r w:rsidRPr="00AD334B">
        <w:t>See APHIS Form 71 for hour burden estimates.</w:t>
      </w:r>
    </w:p>
    <w:p w:rsidR="00AD334B" w:rsidRPr="00AD334B" w:rsidRDefault="00AD334B" w:rsidP="00AD334B">
      <w:pPr>
        <w:rPr>
          <w:b/>
        </w:rPr>
      </w:pPr>
    </w:p>
    <w:p w:rsidR="00AD334B" w:rsidRDefault="00057ECC">
      <w:pPr>
        <w:rPr>
          <w:b/>
        </w:rPr>
      </w:pPr>
      <w:r w:rsidRPr="009810A6">
        <w:rPr>
          <w:b/>
        </w:rPr>
        <w:t>.  Provide estimates of annualized cost to respondents for the hour burdens for collections of information, identifying and using appropriate wage rate categories.</w:t>
      </w:r>
      <w:r w:rsidR="00274848" w:rsidRPr="009810A6">
        <w:rPr>
          <w:b/>
        </w:rPr>
        <w:t xml:space="preserve"> </w:t>
      </w:r>
    </w:p>
    <w:p w:rsidR="00AD334B" w:rsidRDefault="00AD334B">
      <w:pPr>
        <w:rPr>
          <w:b/>
        </w:rPr>
      </w:pPr>
    </w:p>
    <w:p w:rsidR="00C308DF" w:rsidRPr="009810A6" w:rsidRDefault="00C308DF" w:rsidP="00B60BD4">
      <w:pPr>
        <w:rPr>
          <w:rStyle w:val="InitialStyle"/>
          <w:rFonts w:ascii="Times New Roman" w:hAnsi="Times New Roman"/>
        </w:rPr>
      </w:pPr>
      <w:r>
        <w:t>The respondents are United States importers/exporters,</w:t>
      </w:r>
      <w:r w:rsidR="008E7407">
        <w:t xml:space="preserve"> </w:t>
      </w:r>
      <w:r>
        <w:t>and foreign officials.</w:t>
      </w:r>
      <w:r w:rsidR="00B60BD4">
        <w:t xml:space="preserve"> </w:t>
      </w:r>
      <w:r w:rsidRPr="009810A6">
        <w:rPr>
          <w:rStyle w:val="InitialStyle"/>
          <w:rFonts w:ascii="Times New Roman" w:hAnsi="Times New Roman"/>
        </w:rPr>
        <w:t xml:space="preserve">The total burden hours to the respondents are </w:t>
      </w:r>
      <w:r w:rsidR="00D33845">
        <w:rPr>
          <w:rStyle w:val="InitialStyle"/>
          <w:rFonts w:ascii="Times New Roman" w:hAnsi="Times New Roman"/>
        </w:rPr>
        <w:t>188</w:t>
      </w:r>
      <w:r w:rsidRPr="009810A6">
        <w:rPr>
          <w:rStyle w:val="InitialStyle"/>
          <w:rFonts w:ascii="Times New Roman" w:hAnsi="Times New Roman"/>
        </w:rPr>
        <w:t xml:space="preserve"> hours.</w:t>
      </w:r>
      <w:r>
        <w:rPr>
          <w:rStyle w:val="InitialStyle"/>
          <w:rFonts w:ascii="Times New Roman" w:hAnsi="Times New Roman"/>
        </w:rPr>
        <w:t xml:space="preserve">  </w:t>
      </w:r>
      <w:r w:rsidRPr="009810A6">
        <w:rPr>
          <w:rStyle w:val="InitialStyle"/>
          <w:rFonts w:ascii="Times New Roman" w:hAnsi="Times New Roman"/>
        </w:rPr>
        <w:t>These estimates were developed by using historical data through discussions with the Federal foreign officials and APHIS, International Service</w:t>
      </w:r>
      <w:r w:rsidR="00D142CF">
        <w:rPr>
          <w:rStyle w:val="InitialStyle"/>
          <w:rFonts w:ascii="Times New Roman" w:hAnsi="Times New Roman"/>
        </w:rPr>
        <w:t>s,</w:t>
      </w:r>
      <w:r>
        <w:rPr>
          <w:rStyle w:val="InitialStyle"/>
          <w:rFonts w:ascii="Times New Roman" w:hAnsi="Times New Roman"/>
        </w:rPr>
        <w:t xml:space="preserve"> by the average hourly wage of $</w:t>
      </w:r>
      <w:r w:rsidR="00D33845">
        <w:rPr>
          <w:rStyle w:val="InitialStyle"/>
          <w:rFonts w:ascii="Times New Roman" w:hAnsi="Times New Roman"/>
        </w:rPr>
        <w:t>10</w:t>
      </w:r>
      <w:r>
        <w:rPr>
          <w:rStyle w:val="InitialStyle"/>
          <w:rFonts w:ascii="Times New Roman" w:hAnsi="Times New Roman"/>
        </w:rPr>
        <w:t>.00 (</w:t>
      </w:r>
      <w:r w:rsidR="00D33845">
        <w:rPr>
          <w:rStyle w:val="InitialStyle"/>
          <w:rFonts w:ascii="Times New Roman" w:hAnsi="Times New Roman"/>
        </w:rPr>
        <w:t>188</w:t>
      </w:r>
      <w:r>
        <w:rPr>
          <w:rStyle w:val="InitialStyle"/>
          <w:rFonts w:ascii="Times New Roman" w:hAnsi="Times New Roman"/>
        </w:rPr>
        <w:t xml:space="preserve"> x $</w:t>
      </w:r>
      <w:r w:rsidR="0071527E">
        <w:rPr>
          <w:rStyle w:val="InitialStyle"/>
          <w:rFonts w:ascii="Times New Roman" w:hAnsi="Times New Roman"/>
        </w:rPr>
        <w:t>10</w:t>
      </w:r>
      <w:r>
        <w:rPr>
          <w:rStyle w:val="InitialStyle"/>
          <w:rFonts w:ascii="Times New Roman" w:hAnsi="Times New Roman"/>
        </w:rPr>
        <w:t>.00</w:t>
      </w:r>
      <w:r w:rsidR="009F7B49">
        <w:rPr>
          <w:rStyle w:val="InitialStyle"/>
          <w:rFonts w:ascii="Times New Roman" w:hAnsi="Times New Roman"/>
        </w:rPr>
        <w:t>) =</w:t>
      </w:r>
      <w:r>
        <w:rPr>
          <w:rStyle w:val="InitialStyle"/>
          <w:rFonts w:ascii="Times New Roman" w:hAnsi="Times New Roman"/>
        </w:rPr>
        <w:t xml:space="preserve"> $</w:t>
      </w:r>
      <w:r w:rsidR="00D33845">
        <w:rPr>
          <w:rStyle w:val="InitialStyle"/>
          <w:rFonts w:ascii="Times New Roman" w:hAnsi="Times New Roman"/>
        </w:rPr>
        <w:t>1,</w:t>
      </w:r>
      <w:r w:rsidR="0071527E">
        <w:rPr>
          <w:rStyle w:val="InitialStyle"/>
          <w:rFonts w:ascii="Times New Roman" w:hAnsi="Times New Roman"/>
        </w:rPr>
        <w:t>880</w:t>
      </w:r>
      <w:r w:rsidR="00D33845">
        <w:rPr>
          <w:rStyle w:val="InitialStyle"/>
          <w:rFonts w:ascii="Times New Roman" w:hAnsi="Times New Roman"/>
        </w:rPr>
        <w:t>.00</w:t>
      </w:r>
      <w:r w:rsidR="00FE2C41">
        <w:rPr>
          <w:rStyle w:val="InitialStyle"/>
          <w:rFonts w:ascii="Times New Roman" w:hAnsi="Times New Roman"/>
        </w:rPr>
        <w:t xml:space="preserve">   </w:t>
      </w:r>
      <w:r>
        <w:rPr>
          <w:rStyle w:val="InitialStyle"/>
          <w:rFonts w:ascii="Times New Roman" w:hAnsi="Times New Roman"/>
        </w:rPr>
        <w:t xml:space="preserve">  </w:t>
      </w:r>
      <w:r w:rsidRPr="009810A6">
        <w:rPr>
          <w:rStyle w:val="InitialStyle"/>
          <w:rFonts w:ascii="Times New Roman" w:hAnsi="Times New Roman"/>
        </w:rPr>
        <w:t xml:space="preserve">  </w:t>
      </w:r>
    </w:p>
    <w:p w:rsidR="00937C82" w:rsidRPr="009810A6" w:rsidRDefault="00937C82">
      <w:pPr>
        <w:rPr>
          <w:b/>
        </w:rPr>
      </w:pPr>
      <w:r w:rsidRPr="009810A6">
        <w:rPr>
          <w:b/>
        </w:rPr>
        <w:t xml:space="preserve">  </w:t>
      </w:r>
    </w:p>
    <w:p w:rsidR="00240EB6" w:rsidRDefault="00240EB6">
      <w:pPr>
        <w:rPr>
          <w:b/>
        </w:rPr>
      </w:pPr>
    </w:p>
    <w:p w:rsidR="00057ECC" w:rsidRPr="009810A6" w:rsidRDefault="004E2218">
      <w:pPr>
        <w:rPr>
          <w:b/>
        </w:rPr>
      </w:pPr>
      <w:r w:rsidRPr="009810A6">
        <w:rPr>
          <w:b/>
        </w:rPr>
        <w:t>13.</w:t>
      </w:r>
      <w:r w:rsidR="00057ECC" w:rsidRPr="009810A6">
        <w:rPr>
          <w:b/>
        </w:rPr>
        <w:t xml:space="preserve">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664D8" w:rsidRPr="009810A6" w:rsidRDefault="008664D8">
      <w:pPr>
        <w:rPr>
          <w:b/>
        </w:rPr>
      </w:pPr>
    </w:p>
    <w:p w:rsidR="00EB60F7" w:rsidRPr="009810A6" w:rsidRDefault="00EB60F7">
      <w:r w:rsidRPr="009810A6">
        <w:t xml:space="preserve">There is zero annual cost burden associated with capital and start-up, operation and maintenance, and purchase of </w:t>
      </w:r>
      <w:r w:rsidR="001E5CAF" w:rsidRPr="009810A6">
        <w:t>services in connection with its</w:t>
      </w:r>
      <w:r w:rsidRPr="009810A6">
        <w:t xml:space="preserve"> program. </w:t>
      </w:r>
    </w:p>
    <w:p w:rsidR="008664D8" w:rsidRDefault="008664D8">
      <w:pPr>
        <w:rPr>
          <w:b/>
        </w:rPr>
      </w:pPr>
    </w:p>
    <w:p w:rsidR="009810A6" w:rsidRPr="009810A6" w:rsidRDefault="009810A6">
      <w:pPr>
        <w:rPr>
          <w:b/>
        </w:rPr>
      </w:pPr>
    </w:p>
    <w:p w:rsidR="00057ECC" w:rsidRPr="009810A6" w:rsidRDefault="00057ECC">
      <w:pPr>
        <w:rPr>
          <w:b/>
        </w:rPr>
      </w:pPr>
      <w:r w:rsidRPr="009810A6">
        <w:rPr>
          <w:b/>
        </w:rPr>
        <w:t>14.  Provide estimates of annualized cost to the Federal government.  Provide a description of the method used to estimate cost and any other expense that would not have been incurred without this collection of information.</w:t>
      </w:r>
      <w:r w:rsidR="00B12793" w:rsidRPr="009810A6">
        <w:rPr>
          <w:b/>
        </w:rPr>
        <w:t xml:space="preserve"> </w:t>
      </w:r>
    </w:p>
    <w:p w:rsidR="00B12793" w:rsidRPr="009810A6" w:rsidRDefault="00B12793">
      <w:pPr>
        <w:rPr>
          <w:b/>
        </w:rPr>
      </w:pPr>
    </w:p>
    <w:p w:rsidR="00B12793" w:rsidRPr="009810A6" w:rsidRDefault="00B12793">
      <w:r w:rsidRPr="009810A6">
        <w:t xml:space="preserve">The estimated cost for the </w:t>
      </w:r>
      <w:r w:rsidR="00BE2DC7" w:rsidRPr="009810A6">
        <w:t xml:space="preserve">Federal Government is </w:t>
      </w:r>
      <w:r w:rsidR="00F97117">
        <w:t>$</w:t>
      </w:r>
      <w:r w:rsidR="003C6768">
        <w:t>2,995.00</w:t>
      </w:r>
      <w:r w:rsidR="00A85F8F">
        <w:t>.</w:t>
      </w:r>
    </w:p>
    <w:p w:rsidR="000A6AD2" w:rsidRDefault="000A6AD2">
      <w:pPr>
        <w:rPr>
          <w:b/>
        </w:rPr>
      </w:pPr>
    </w:p>
    <w:p w:rsidR="000A6AD2" w:rsidRDefault="000A6AD2">
      <w:pPr>
        <w:rPr>
          <w:b/>
        </w:rPr>
      </w:pPr>
    </w:p>
    <w:p w:rsidR="00057ECC" w:rsidRPr="009810A6" w:rsidRDefault="00057ECC">
      <w:pPr>
        <w:rPr>
          <w:b/>
        </w:rPr>
      </w:pPr>
      <w:r w:rsidRPr="009810A6">
        <w:rPr>
          <w:b/>
        </w:rPr>
        <w:t xml:space="preserve">15.  Explain the reasons for any program changes or adjustments reported in </w:t>
      </w:r>
      <w:r w:rsidR="00F1705B" w:rsidRPr="009810A6">
        <w:rPr>
          <w:b/>
        </w:rPr>
        <w:t>Items</w:t>
      </w:r>
      <w:r w:rsidRPr="009810A6">
        <w:rPr>
          <w:b/>
        </w:rPr>
        <w:t xml:space="preserve"> 13 or 14 of the OMB Form 83-I.</w:t>
      </w:r>
    </w:p>
    <w:p w:rsidR="008664D8" w:rsidRDefault="008664D8">
      <w:pPr>
        <w:rPr>
          <w:b/>
        </w:rPr>
      </w:pPr>
    </w:p>
    <w:tbl>
      <w:tblPr>
        <w:tblStyle w:val="TableGrid"/>
        <w:tblW w:w="0" w:type="auto"/>
        <w:tblLayout w:type="fixed"/>
        <w:tblLook w:val="04A0" w:firstRow="1" w:lastRow="0" w:firstColumn="1" w:lastColumn="0" w:noHBand="0" w:noVBand="1"/>
      </w:tblPr>
      <w:tblGrid>
        <w:gridCol w:w="1728"/>
        <w:gridCol w:w="1170"/>
        <w:gridCol w:w="1350"/>
        <w:gridCol w:w="1350"/>
        <w:gridCol w:w="1440"/>
        <w:gridCol w:w="1350"/>
        <w:gridCol w:w="1188"/>
      </w:tblGrid>
      <w:tr w:rsidR="0071527E" w:rsidTr="0071527E">
        <w:tc>
          <w:tcPr>
            <w:tcW w:w="9576" w:type="dxa"/>
            <w:gridSpan w:val="7"/>
            <w:tcBorders>
              <w:top w:val="nil"/>
              <w:left w:val="nil"/>
              <w:bottom w:val="single" w:sz="4" w:space="0" w:color="FFFFFF" w:themeColor="background1"/>
              <w:right w:val="nil"/>
            </w:tcBorders>
          </w:tcPr>
          <w:p w:rsidR="0071527E" w:rsidRDefault="0071527E" w:rsidP="0071527E">
            <w:pPr>
              <w:pStyle w:val="DefaultText"/>
            </w:pPr>
            <w:r>
              <w:rPr>
                <w:rFonts w:ascii="Arial" w:hAnsi="Arial" w:cs="Arial"/>
              </w:rPr>
              <w:t>ICR Summary of Burden:</w:t>
            </w:r>
          </w:p>
        </w:tc>
      </w:tr>
      <w:tr w:rsidR="0071527E" w:rsidTr="0071527E">
        <w:tc>
          <w:tcPr>
            <w:tcW w:w="1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71527E" w:rsidRDefault="0071527E" w:rsidP="0071527E">
            <w:pPr>
              <w:jc w:val="center"/>
              <w:rPr>
                <w:rFonts w:ascii="Arial" w:hAnsi="Arial" w:cs="Arial"/>
                <w:b/>
                <w:bCs/>
                <w:color w:val="FFFFFF"/>
                <w:sz w:val="18"/>
                <w:szCs w:val="18"/>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4" o:title=""/>
                </v:shape>
                <w:control r:id="rId15" w:name="DefaultOcxName1" w:shapeid="_x0000_i1028"/>
              </w:objec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71527E" w:rsidRDefault="0071527E" w:rsidP="0071527E">
            <w:pPr>
              <w:jc w:val="center"/>
              <w:rPr>
                <w:rFonts w:ascii="Arial" w:hAnsi="Arial" w:cs="Arial"/>
                <w:b/>
                <w:bCs/>
                <w:color w:val="FFFFFF"/>
                <w:sz w:val="18"/>
                <w:szCs w:val="18"/>
              </w:rPr>
            </w:pPr>
            <w:r>
              <w:rPr>
                <w:rFonts w:ascii="Arial" w:hAnsi="Arial" w:cs="Arial"/>
                <w:b/>
                <w:bCs/>
                <w:color w:val="FFFFFF"/>
                <w:sz w:val="18"/>
                <w:szCs w:val="18"/>
              </w:rPr>
              <w:t>Requested</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71527E" w:rsidRDefault="0071527E" w:rsidP="0071527E">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71527E" w:rsidRDefault="0071527E" w:rsidP="0071527E">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71527E" w:rsidRDefault="0071527E" w:rsidP="0071527E">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71527E" w:rsidRDefault="0071527E" w:rsidP="0071527E">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1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71527E" w:rsidRDefault="0071527E" w:rsidP="0071527E">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71527E" w:rsidTr="0071527E">
        <w:trPr>
          <w:trHeight w:val="584"/>
        </w:trPr>
        <w:tc>
          <w:tcPr>
            <w:tcW w:w="1728" w:type="dxa"/>
            <w:tcBorders>
              <w:top w:val="single" w:sz="4" w:space="0" w:color="FFFFFF" w:themeColor="background1"/>
            </w:tcBorders>
            <w:vAlign w:val="center"/>
          </w:tcPr>
          <w:p w:rsidR="0071527E" w:rsidRDefault="0071527E" w:rsidP="0071527E">
            <w:pPr>
              <w:rPr>
                <w:rFonts w:ascii="Arial" w:hAnsi="Arial" w:cs="Arial"/>
                <w:color w:val="000000"/>
                <w:sz w:val="18"/>
                <w:szCs w:val="18"/>
              </w:rPr>
            </w:pPr>
            <w:r>
              <w:rPr>
                <w:rFonts w:ascii="Arial" w:hAnsi="Arial" w:cs="Arial"/>
                <w:color w:val="000000"/>
                <w:sz w:val="18"/>
                <w:szCs w:val="18"/>
              </w:rPr>
              <w:t>Annual Number of Responses</w:t>
            </w:r>
          </w:p>
        </w:tc>
        <w:tc>
          <w:tcPr>
            <w:tcW w:w="1170" w:type="dxa"/>
            <w:tcBorders>
              <w:top w:val="single" w:sz="4" w:space="0" w:color="FFFFFF" w:themeColor="background1"/>
            </w:tcBorders>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150</w:t>
            </w:r>
          </w:p>
        </w:tc>
        <w:tc>
          <w:tcPr>
            <w:tcW w:w="1350" w:type="dxa"/>
            <w:tcBorders>
              <w:top w:val="single" w:sz="4" w:space="0" w:color="FFFFFF" w:themeColor="background1"/>
            </w:tcBorders>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350" w:type="dxa"/>
            <w:tcBorders>
              <w:top w:val="single" w:sz="4" w:space="0" w:color="FFFFFF" w:themeColor="background1"/>
            </w:tcBorders>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440" w:type="dxa"/>
            <w:tcBorders>
              <w:top w:val="single" w:sz="4" w:space="0" w:color="FFFFFF" w:themeColor="background1"/>
            </w:tcBorders>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-352</w:t>
            </w:r>
          </w:p>
        </w:tc>
        <w:tc>
          <w:tcPr>
            <w:tcW w:w="1350" w:type="dxa"/>
            <w:tcBorders>
              <w:top w:val="single" w:sz="4" w:space="0" w:color="FFFFFF" w:themeColor="background1"/>
            </w:tcBorders>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188" w:type="dxa"/>
            <w:tcBorders>
              <w:top w:val="single" w:sz="4" w:space="0" w:color="FFFFFF" w:themeColor="background1"/>
            </w:tcBorders>
            <w:vAlign w:val="center"/>
          </w:tcPr>
          <w:p w:rsidR="0071527E" w:rsidRDefault="0071527E" w:rsidP="005749B6">
            <w:pPr>
              <w:jc w:val="right"/>
              <w:rPr>
                <w:rFonts w:ascii="Arial" w:hAnsi="Arial" w:cs="Arial"/>
                <w:color w:val="000000"/>
                <w:sz w:val="18"/>
                <w:szCs w:val="18"/>
              </w:rPr>
            </w:pPr>
            <w:r>
              <w:rPr>
                <w:rFonts w:ascii="Arial" w:hAnsi="Arial" w:cs="Arial"/>
                <w:color w:val="000000"/>
                <w:sz w:val="18"/>
                <w:szCs w:val="18"/>
              </w:rPr>
              <w:t>50</w:t>
            </w:r>
            <w:r w:rsidR="005749B6">
              <w:rPr>
                <w:rFonts w:ascii="Arial" w:hAnsi="Arial" w:cs="Arial"/>
                <w:color w:val="000000"/>
                <w:sz w:val="18"/>
                <w:szCs w:val="18"/>
              </w:rPr>
              <w:t>0</w:t>
            </w:r>
          </w:p>
        </w:tc>
      </w:tr>
      <w:tr w:rsidR="0071527E" w:rsidTr="0071527E">
        <w:trPr>
          <w:trHeight w:val="611"/>
        </w:trPr>
        <w:tc>
          <w:tcPr>
            <w:tcW w:w="1728" w:type="dxa"/>
            <w:vAlign w:val="center"/>
          </w:tcPr>
          <w:p w:rsidR="0071527E" w:rsidRDefault="0071527E" w:rsidP="0071527E">
            <w:pPr>
              <w:rPr>
                <w:rFonts w:ascii="Arial" w:hAnsi="Arial" w:cs="Arial"/>
                <w:color w:val="000000"/>
                <w:sz w:val="18"/>
                <w:szCs w:val="18"/>
              </w:rPr>
            </w:pPr>
            <w:r>
              <w:rPr>
                <w:rFonts w:ascii="Arial" w:hAnsi="Arial" w:cs="Arial"/>
                <w:color w:val="000000"/>
                <w:sz w:val="18"/>
                <w:szCs w:val="18"/>
              </w:rPr>
              <w:t>Annual Time Burden (Hr)</w:t>
            </w:r>
          </w:p>
        </w:tc>
        <w:tc>
          <w:tcPr>
            <w:tcW w:w="1170"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188</w:t>
            </w:r>
          </w:p>
        </w:tc>
        <w:tc>
          <w:tcPr>
            <w:tcW w:w="1350"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440" w:type="dxa"/>
            <w:vAlign w:val="center"/>
          </w:tcPr>
          <w:p w:rsidR="0071527E" w:rsidRDefault="0071527E" w:rsidP="0071527E">
            <w:pPr>
              <w:jc w:val="right"/>
              <w:rPr>
                <w:rFonts w:ascii="Arial" w:hAnsi="Arial" w:cs="Arial"/>
                <w:color w:val="000000"/>
                <w:sz w:val="18"/>
                <w:szCs w:val="18"/>
              </w:rPr>
            </w:pPr>
            <w:r w:rsidRPr="0071527E">
              <w:rPr>
                <w:rFonts w:ascii="Arial" w:hAnsi="Arial" w:cs="Arial"/>
                <w:color w:val="000000"/>
                <w:sz w:val="18"/>
                <w:szCs w:val="18"/>
              </w:rPr>
              <w:t>-414</w:t>
            </w:r>
          </w:p>
        </w:tc>
        <w:tc>
          <w:tcPr>
            <w:tcW w:w="1350"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188" w:type="dxa"/>
            <w:vAlign w:val="center"/>
          </w:tcPr>
          <w:p w:rsidR="0071527E" w:rsidRDefault="0071527E" w:rsidP="005749B6">
            <w:pPr>
              <w:jc w:val="right"/>
              <w:rPr>
                <w:rFonts w:ascii="Arial" w:hAnsi="Arial" w:cs="Arial"/>
                <w:color w:val="000000"/>
                <w:sz w:val="18"/>
                <w:szCs w:val="18"/>
              </w:rPr>
            </w:pPr>
            <w:r>
              <w:rPr>
                <w:rFonts w:ascii="Arial" w:hAnsi="Arial" w:cs="Arial"/>
                <w:color w:val="000000"/>
                <w:sz w:val="18"/>
                <w:szCs w:val="18"/>
              </w:rPr>
              <w:t>60</w:t>
            </w:r>
            <w:r w:rsidR="005749B6">
              <w:rPr>
                <w:rFonts w:ascii="Arial" w:hAnsi="Arial" w:cs="Arial"/>
                <w:color w:val="000000"/>
                <w:sz w:val="18"/>
                <w:szCs w:val="18"/>
              </w:rPr>
              <w:t>0</w:t>
            </w:r>
          </w:p>
        </w:tc>
      </w:tr>
      <w:tr w:rsidR="0071527E" w:rsidTr="0071527E">
        <w:trPr>
          <w:trHeight w:val="539"/>
        </w:trPr>
        <w:tc>
          <w:tcPr>
            <w:tcW w:w="1728" w:type="dxa"/>
            <w:vAlign w:val="center"/>
          </w:tcPr>
          <w:p w:rsidR="0071527E" w:rsidRDefault="0071527E" w:rsidP="0071527E">
            <w:pPr>
              <w:rPr>
                <w:rFonts w:ascii="Arial" w:hAnsi="Arial" w:cs="Arial"/>
                <w:color w:val="000000"/>
                <w:sz w:val="18"/>
                <w:szCs w:val="18"/>
              </w:rPr>
            </w:pPr>
            <w:r>
              <w:rPr>
                <w:rFonts w:ascii="Arial" w:hAnsi="Arial" w:cs="Arial"/>
                <w:color w:val="000000"/>
                <w:sz w:val="18"/>
                <w:szCs w:val="18"/>
              </w:rPr>
              <w:t>Annual Cost Burden ($)</w:t>
            </w:r>
          </w:p>
        </w:tc>
        <w:tc>
          <w:tcPr>
            <w:tcW w:w="1170"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440"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c>
          <w:tcPr>
            <w:tcW w:w="1188" w:type="dxa"/>
            <w:vAlign w:val="center"/>
          </w:tcPr>
          <w:p w:rsidR="0071527E" w:rsidRDefault="0071527E" w:rsidP="0071527E">
            <w:pPr>
              <w:jc w:val="right"/>
              <w:rPr>
                <w:rFonts w:ascii="Arial" w:hAnsi="Arial" w:cs="Arial"/>
                <w:color w:val="000000"/>
                <w:sz w:val="18"/>
                <w:szCs w:val="18"/>
              </w:rPr>
            </w:pPr>
            <w:r>
              <w:rPr>
                <w:rFonts w:ascii="Arial" w:hAnsi="Arial" w:cs="Arial"/>
                <w:color w:val="000000"/>
                <w:sz w:val="18"/>
                <w:szCs w:val="18"/>
              </w:rPr>
              <w:t>0</w:t>
            </w:r>
          </w:p>
        </w:tc>
      </w:tr>
    </w:tbl>
    <w:p w:rsidR="0071527E" w:rsidRPr="009810A6" w:rsidRDefault="0071527E">
      <w:pPr>
        <w:rPr>
          <w:b/>
        </w:rPr>
      </w:pPr>
    </w:p>
    <w:p w:rsidR="00704234" w:rsidRPr="00034A82" w:rsidRDefault="00704234" w:rsidP="00704234">
      <w:pPr>
        <w:pStyle w:val="300"/>
        <w:rPr>
          <w:sz w:val="24"/>
          <w:szCs w:val="24"/>
        </w:rPr>
      </w:pPr>
      <w:r w:rsidRPr="00034A82">
        <w:rPr>
          <w:sz w:val="24"/>
          <w:szCs w:val="24"/>
        </w:rPr>
        <w:t xml:space="preserve">There </w:t>
      </w:r>
      <w:r w:rsidR="0071527E">
        <w:rPr>
          <w:sz w:val="24"/>
          <w:szCs w:val="24"/>
        </w:rPr>
        <w:t>is an adjustment decrease of -496 respondents</w:t>
      </w:r>
      <w:r w:rsidR="003C6768">
        <w:rPr>
          <w:sz w:val="24"/>
          <w:szCs w:val="24"/>
        </w:rPr>
        <w:t xml:space="preserve"> </w:t>
      </w:r>
      <w:r w:rsidR="0071527E">
        <w:rPr>
          <w:sz w:val="24"/>
          <w:szCs w:val="24"/>
        </w:rPr>
        <w:t>and -35</w:t>
      </w:r>
      <w:r w:rsidR="005749B6">
        <w:rPr>
          <w:sz w:val="24"/>
          <w:szCs w:val="24"/>
        </w:rPr>
        <w:t>0</w:t>
      </w:r>
      <w:r w:rsidR="0071527E">
        <w:rPr>
          <w:sz w:val="24"/>
          <w:szCs w:val="24"/>
        </w:rPr>
        <w:t xml:space="preserve"> responses resulting in a decrease of -41</w:t>
      </w:r>
      <w:r w:rsidR="005749B6">
        <w:rPr>
          <w:sz w:val="24"/>
          <w:szCs w:val="24"/>
        </w:rPr>
        <w:t>2</w:t>
      </w:r>
      <w:r w:rsidR="0071527E">
        <w:rPr>
          <w:sz w:val="24"/>
          <w:szCs w:val="24"/>
        </w:rPr>
        <w:t xml:space="preserve"> total burden hours. </w:t>
      </w:r>
      <w:r w:rsidR="003C6768">
        <w:rPr>
          <w:sz w:val="24"/>
          <w:szCs w:val="24"/>
        </w:rPr>
        <w:t xml:space="preserve">The number of participants in the program decreased </w:t>
      </w:r>
      <w:r w:rsidR="00243F62">
        <w:rPr>
          <w:sz w:val="24"/>
          <w:szCs w:val="24"/>
        </w:rPr>
        <w:t>which caused the burden hours</w:t>
      </w:r>
      <w:r w:rsidR="0071527E">
        <w:rPr>
          <w:sz w:val="24"/>
          <w:szCs w:val="24"/>
        </w:rPr>
        <w:t xml:space="preserve">. </w:t>
      </w:r>
    </w:p>
    <w:p w:rsidR="00B0425B" w:rsidRDefault="00B0425B">
      <w:pPr>
        <w:rPr>
          <w:b/>
        </w:rPr>
      </w:pPr>
    </w:p>
    <w:p w:rsidR="00B60BD4" w:rsidRPr="009810A6" w:rsidRDefault="00B60BD4">
      <w:pPr>
        <w:rPr>
          <w:b/>
        </w:rPr>
      </w:pPr>
    </w:p>
    <w:p w:rsidR="00057ECC" w:rsidRPr="009810A6" w:rsidRDefault="00057ECC">
      <w:pPr>
        <w:rPr>
          <w:b/>
        </w:rPr>
      </w:pPr>
      <w:r w:rsidRPr="009810A6">
        <w:rPr>
          <w:b/>
        </w:rPr>
        <w:t>16.  For collections of information whose results are planned to be published, outline plans for tabulation and publication.</w:t>
      </w:r>
    </w:p>
    <w:p w:rsidR="00057ECC" w:rsidRPr="009810A6" w:rsidRDefault="00057ECC">
      <w:pPr>
        <w:rPr>
          <w:b/>
        </w:rPr>
      </w:pPr>
    </w:p>
    <w:p w:rsidR="00E70A14" w:rsidRPr="009810A6" w:rsidRDefault="0071527E">
      <w:r>
        <w:t>There are no forms associated with this information collection.</w:t>
      </w:r>
    </w:p>
    <w:p w:rsidR="00E70A14" w:rsidRDefault="00E70A14">
      <w:pPr>
        <w:rPr>
          <w:b/>
        </w:rPr>
      </w:pPr>
    </w:p>
    <w:p w:rsidR="009810A6" w:rsidRPr="009810A6" w:rsidRDefault="009810A6">
      <w:pPr>
        <w:rPr>
          <w:b/>
        </w:rPr>
      </w:pPr>
    </w:p>
    <w:p w:rsidR="00057ECC" w:rsidRPr="009810A6" w:rsidRDefault="00057ECC">
      <w:pPr>
        <w:rPr>
          <w:b/>
        </w:rPr>
      </w:pPr>
      <w:r w:rsidRPr="009810A6">
        <w:rPr>
          <w:b/>
        </w:rPr>
        <w:t>17.  If seeking approval to not display the expiration date for OMB approval of the information collection, explain the reasons that display would be inappropriate.</w:t>
      </w:r>
    </w:p>
    <w:p w:rsidR="00057ECC" w:rsidRPr="009810A6" w:rsidRDefault="006B4F9D">
      <w:r w:rsidRPr="009810A6">
        <w:t xml:space="preserve"> </w:t>
      </w:r>
    </w:p>
    <w:p w:rsidR="00CC50D4" w:rsidRDefault="0079403E" w:rsidP="00CC50D4">
      <w:pPr>
        <w:pStyle w:val="DefaultText"/>
        <w:rPr>
          <w:rStyle w:val="InitialStyle"/>
          <w:rFonts w:ascii="Times New Roman" w:hAnsi="Times New Roman"/>
          <w:color w:val="000000"/>
          <w:szCs w:val="24"/>
        </w:rPr>
      </w:pPr>
      <w:r>
        <w:t>This is n</w:t>
      </w:r>
      <w:r w:rsidRPr="0016023E">
        <w:t>ot applicable.  APHIS will display the expiration date.</w:t>
      </w:r>
    </w:p>
    <w:p w:rsidR="00E45928" w:rsidRDefault="00E45928" w:rsidP="00CC50D4">
      <w:pPr>
        <w:pStyle w:val="DefaultText"/>
        <w:rPr>
          <w:rStyle w:val="InitialStyle"/>
          <w:rFonts w:ascii="Times New Roman" w:hAnsi="Times New Roman"/>
          <w:color w:val="000000"/>
          <w:szCs w:val="24"/>
        </w:rPr>
      </w:pPr>
    </w:p>
    <w:p w:rsidR="0071527E" w:rsidRPr="00FC7DD8" w:rsidRDefault="0071527E" w:rsidP="00CC50D4">
      <w:pPr>
        <w:pStyle w:val="DefaultText"/>
        <w:rPr>
          <w:rStyle w:val="InitialStyle"/>
          <w:rFonts w:ascii="Times New Roman" w:hAnsi="Times New Roman"/>
          <w:color w:val="000000"/>
          <w:szCs w:val="24"/>
        </w:rPr>
      </w:pPr>
    </w:p>
    <w:p w:rsidR="006B4F9D" w:rsidRPr="009810A6" w:rsidRDefault="00057ECC">
      <w:pPr>
        <w:rPr>
          <w:b/>
        </w:rPr>
      </w:pPr>
      <w:r w:rsidRPr="009810A6">
        <w:rPr>
          <w:b/>
        </w:rPr>
        <w:t xml:space="preserve">18.  Explain each exception to the certification </w:t>
      </w:r>
      <w:r w:rsidR="006B4F9D" w:rsidRPr="009810A6">
        <w:rPr>
          <w:b/>
        </w:rPr>
        <w:t xml:space="preserve">statement identified in </w:t>
      </w:r>
      <w:r w:rsidR="00313915" w:rsidRPr="009810A6">
        <w:rPr>
          <w:b/>
        </w:rPr>
        <w:t>the</w:t>
      </w:r>
    </w:p>
    <w:p w:rsidR="00057ECC" w:rsidRPr="009810A6" w:rsidRDefault="00057ECC">
      <w:pPr>
        <w:rPr>
          <w:b/>
        </w:rPr>
      </w:pPr>
      <w:r w:rsidRPr="009810A6">
        <w:rPr>
          <w:b/>
        </w:rPr>
        <w:t>“Certification for Paperwork Reduction Act.”</w:t>
      </w:r>
    </w:p>
    <w:p w:rsidR="00A36C22" w:rsidRPr="009810A6" w:rsidRDefault="00A36C22">
      <w:pPr>
        <w:rPr>
          <w:b/>
        </w:rPr>
      </w:pPr>
    </w:p>
    <w:p w:rsidR="004C51AD" w:rsidRDefault="004C51AD" w:rsidP="004C51AD">
      <w:pPr>
        <w:pStyle w:val="300"/>
        <w:outlineLvl w:val="0"/>
        <w:rPr>
          <w:sz w:val="24"/>
          <w:szCs w:val="24"/>
        </w:rPr>
      </w:pPr>
      <w:r w:rsidRPr="00034A82">
        <w:rPr>
          <w:sz w:val="24"/>
          <w:szCs w:val="24"/>
        </w:rPr>
        <w:t>APHIS certifies compliance with all provisions of the Act.</w:t>
      </w:r>
    </w:p>
    <w:p w:rsidR="00240EB6" w:rsidRDefault="00240EB6">
      <w:pPr>
        <w:rPr>
          <w:b/>
        </w:rPr>
      </w:pPr>
    </w:p>
    <w:p w:rsidR="00240EB6" w:rsidRDefault="00240EB6">
      <w:pPr>
        <w:rPr>
          <w:b/>
        </w:rPr>
      </w:pPr>
    </w:p>
    <w:p w:rsidR="00A36C22" w:rsidRPr="009810A6" w:rsidRDefault="00A36C22">
      <w:pPr>
        <w:rPr>
          <w:b/>
        </w:rPr>
      </w:pPr>
      <w:r w:rsidRPr="009810A6">
        <w:rPr>
          <w:b/>
        </w:rPr>
        <w:t>B.  Collections of Information Employing Statistical Methods</w:t>
      </w:r>
    </w:p>
    <w:p w:rsidR="006B4F9D" w:rsidRPr="009810A6" w:rsidRDefault="006B4F9D">
      <w:pPr>
        <w:rPr>
          <w:b/>
        </w:rPr>
      </w:pPr>
    </w:p>
    <w:p w:rsidR="009810A6" w:rsidRPr="009810A6" w:rsidRDefault="006B4F9D">
      <w:r w:rsidRPr="009810A6">
        <w:t>Statistical methods are not used in this information collection.</w:t>
      </w:r>
    </w:p>
    <w:sectPr w:rsidR="009810A6" w:rsidRPr="009810A6" w:rsidSect="00B60B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7E" w:rsidRDefault="0071527E" w:rsidP="00B60BD4">
      <w:r>
        <w:separator/>
      </w:r>
    </w:p>
  </w:endnote>
  <w:endnote w:type="continuationSeparator" w:id="0">
    <w:p w:rsidR="0071527E" w:rsidRDefault="0071527E" w:rsidP="00B6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7E" w:rsidRDefault="0071527E" w:rsidP="00B60BD4">
      <w:r>
        <w:separator/>
      </w:r>
    </w:p>
  </w:footnote>
  <w:footnote w:type="continuationSeparator" w:id="0">
    <w:p w:rsidR="0071527E" w:rsidRDefault="0071527E" w:rsidP="00B60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59"/>
    <w:rsid w:val="000532DD"/>
    <w:rsid w:val="00057ECC"/>
    <w:rsid w:val="00077E3F"/>
    <w:rsid w:val="00080577"/>
    <w:rsid w:val="00080DC4"/>
    <w:rsid w:val="00083C9C"/>
    <w:rsid w:val="000930D3"/>
    <w:rsid w:val="000A6AD2"/>
    <w:rsid w:val="000B34A1"/>
    <w:rsid w:val="000C3C21"/>
    <w:rsid w:val="000E013C"/>
    <w:rsid w:val="000E095E"/>
    <w:rsid w:val="00187387"/>
    <w:rsid w:val="0019357B"/>
    <w:rsid w:val="001A123C"/>
    <w:rsid w:val="001B6BB1"/>
    <w:rsid w:val="001E4D7A"/>
    <w:rsid w:val="001E5CAF"/>
    <w:rsid w:val="001F5113"/>
    <w:rsid w:val="00206F11"/>
    <w:rsid w:val="00211BB1"/>
    <w:rsid w:val="00235B90"/>
    <w:rsid w:val="00240EB6"/>
    <w:rsid w:val="00243D26"/>
    <w:rsid w:val="00243F62"/>
    <w:rsid w:val="00255355"/>
    <w:rsid w:val="00274848"/>
    <w:rsid w:val="002A0093"/>
    <w:rsid w:val="002A65AB"/>
    <w:rsid w:val="002A6836"/>
    <w:rsid w:val="00307DD0"/>
    <w:rsid w:val="00313915"/>
    <w:rsid w:val="00331530"/>
    <w:rsid w:val="00372247"/>
    <w:rsid w:val="003757DD"/>
    <w:rsid w:val="00382C10"/>
    <w:rsid w:val="003A1BA2"/>
    <w:rsid w:val="003B275F"/>
    <w:rsid w:val="003B60E8"/>
    <w:rsid w:val="003C6768"/>
    <w:rsid w:val="003F37E7"/>
    <w:rsid w:val="00410B28"/>
    <w:rsid w:val="00414F2E"/>
    <w:rsid w:val="0041681D"/>
    <w:rsid w:val="0043467C"/>
    <w:rsid w:val="00457636"/>
    <w:rsid w:val="004678F8"/>
    <w:rsid w:val="0048659B"/>
    <w:rsid w:val="0049531B"/>
    <w:rsid w:val="004A6F73"/>
    <w:rsid w:val="004C51AD"/>
    <w:rsid w:val="004E1F5A"/>
    <w:rsid w:val="004E2218"/>
    <w:rsid w:val="005030B2"/>
    <w:rsid w:val="00521E0F"/>
    <w:rsid w:val="005334BA"/>
    <w:rsid w:val="00534604"/>
    <w:rsid w:val="00543D06"/>
    <w:rsid w:val="00571742"/>
    <w:rsid w:val="005749B6"/>
    <w:rsid w:val="005768CB"/>
    <w:rsid w:val="005873F8"/>
    <w:rsid w:val="005A4F24"/>
    <w:rsid w:val="005A6B8F"/>
    <w:rsid w:val="005E30AC"/>
    <w:rsid w:val="005F105D"/>
    <w:rsid w:val="00600068"/>
    <w:rsid w:val="00646559"/>
    <w:rsid w:val="00651B95"/>
    <w:rsid w:val="006840F3"/>
    <w:rsid w:val="00692F63"/>
    <w:rsid w:val="006B1AA9"/>
    <w:rsid w:val="006B4F9D"/>
    <w:rsid w:val="006B7992"/>
    <w:rsid w:val="006C3FBA"/>
    <w:rsid w:val="006E1A70"/>
    <w:rsid w:val="006F5CAC"/>
    <w:rsid w:val="0070354D"/>
    <w:rsid w:val="007037A2"/>
    <w:rsid w:val="00704234"/>
    <w:rsid w:val="0070668C"/>
    <w:rsid w:val="007147DD"/>
    <w:rsid w:val="0071527E"/>
    <w:rsid w:val="00721830"/>
    <w:rsid w:val="0073246B"/>
    <w:rsid w:val="0073473D"/>
    <w:rsid w:val="00746138"/>
    <w:rsid w:val="00754B5B"/>
    <w:rsid w:val="00790501"/>
    <w:rsid w:val="0079403E"/>
    <w:rsid w:val="007A6C86"/>
    <w:rsid w:val="007D0BA8"/>
    <w:rsid w:val="007D429D"/>
    <w:rsid w:val="007D6F93"/>
    <w:rsid w:val="007E46A7"/>
    <w:rsid w:val="007F570A"/>
    <w:rsid w:val="00801BCB"/>
    <w:rsid w:val="008155C8"/>
    <w:rsid w:val="008309B8"/>
    <w:rsid w:val="00831E5B"/>
    <w:rsid w:val="00842F3B"/>
    <w:rsid w:val="00850F5C"/>
    <w:rsid w:val="00853064"/>
    <w:rsid w:val="0086242E"/>
    <w:rsid w:val="008664D8"/>
    <w:rsid w:val="00880D25"/>
    <w:rsid w:val="00885119"/>
    <w:rsid w:val="008B2836"/>
    <w:rsid w:val="008B3F78"/>
    <w:rsid w:val="008B655D"/>
    <w:rsid w:val="008B7084"/>
    <w:rsid w:val="008E7407"/>
    <w:rsid w:val="008F2E6A"/>
    <w:rsid w:val="008F491D"/>
    <w:rsid w:val="00914CDC"/>
    <w:rsid w:val="00937C82"/>
    <w:rsid w:val="00945287"/>
    <w:rsid w:val="009524E2"/>
    <w:rsid w:val="00953F3C"/>
    <w:rsid w:val="009810A6"/>
    <w:rsid w:val="0099323A"/>
    <w:rsid w:val="009A1B76"/>
    <w:rsid w:val="009B7893"/>
    <w:rsid w:val="009C0EFA"/>
    <w:rsid w:val="009D3E8D"/>
    <w:rsid w:val="009E5132"/>
    <w:rsid w:val="009F7B49"/>
    <w:rsid w:val="00A1430D"/>
    <w:rsid w:val="00A36C22"/>
    <w:rsid w:val="00A5425F"/>
    <w:rsid w:val="00A545F5"/>
    <w:rsid w:val="00A60B32"/>
    <w:rsid w:val="00A61DB2"/>
    <w:rsid w:val="00A71FEE"/>
    <w:rsid w:val="00A85F8F"/>
    <w:rsid w:val="00AA67BD"/>
    <w:rsid w:val="00AD334B"/>
    <w:rsid w:val="00AE7BD9"/>
    <w:rsid w:val="00AF368D"/>
    <w:rsid w:val="00AF402B"/>
    <w:rsid w:val="00B0425B"/>
    <w:rsid w:val="00B12793"/>
    <w:rsid w:val="00B14DFF"/>
    <w:rsid w:val="00B162E6"/>
    <w:rsid w:val="00B3540B"/>
    <w:rsid w:val="00B437A4"/>
    <w:rsid w:val="00B60BD4"/>
    <w:rsid w:val="00B66F40"/>
    <w:rsid w:val="00B7387E"/>
    <w:rsid w:val="00BA192F"/>
    <w:rsid w:val="00BA36E2"/>
    <w:rsid w:val="00BA4553"/>
    <w:rsid w:val="00BE2DC7"/>
    <w:rsid w:val="00C04521"/>
    <w:rsid w:val="00C1151A"/>
    <w:rsid w:val="00C162B9"/>
    <w:rsid w:val="00C22FC0"/>
    <w:rsid w:val="00C308DF"/>
    <w:rsid w:val="00C30C19"/>
    <w:rsid w:val="00C34C6E"/>
    <w:rsid w:val="00C42F94"/>
    <w:rsid w:val="00C4649C"/>
    <w:rsid w:val="00C5457A"/>
    <w:rsid w:val="00C60E3F"/>
    <w:rsid w:val="00C63E03"/>
    <w:rsid w:val="00C77139"/>
    <w:rsid w:val="00C848BE"/>
    <w:rsid w:val="00C9148D"/>
    <w:rsid w:val="00C9328C"/>
    <w:rsid w:val="00CB674F"/>
    <w:rsid w:val="00CC50D4"/>
    <w:rsid w:val="00CD3898"/>
    <w:rsid w:val="00CD5696"/>
    <w:rsid w:val="00CE48B2"/>
    <w:rsid w:val="00D142CF"/>
    <w:rsid w:val="00D2402E"/>
    <w:rsid w:val="00D33845"/>
    <w:rsid w:val="00D52799"/>
    <w:rsid w:val="00D61F68"/>
    <w:rsid w:val="00D670E4"/>
    <w:rsid w:val="00D7084C"/>
    <w:rsid w:val="00D928DF"/>
    <w:rsid w:val="00DA7315"/>
    <w:rsid w:val="00DF1B98"/>
    <w:rsid w:val="00DF2660"/>
    <w:rsid w:val="00DF2FF2"/>
    <w:rsid w:val="00DF3046"/>
    <w:rsid w:val="00DF5EB7"/>
    <w:rsid w:val="00E00AF9"/>
    <w:rsid w:val="00E120CC"/>
    <w:rsid w:val="00E12F77"/>
    <w:rsid w:val="00E22FBA"/>
    <w:rsid w:val="00E259D3"/>
    <w:rsid w:val="00E42B60"/>
    <w:rsid w:val="00E45928"/>
    <w:rsid w:val="00E53AF8"/>
    <w:rsid w:val="00E70A14"/>
    <w:rsid w:val="00E7122F"/>
    <w:rsid w:val="00E821FD"/>
    <w:rsid w:val="00EA1FD0"/>
    <w:rsid w:val="00EB3496"/>
    <w:rsid w:val="00EB60F7"/>
    <w:rsid w:val="00EC605E"/>
    <w:rsid w:val="00ED1ACC"/>
    <w:rsid w:val="00EF23EE"/>
    <w:rsid w:val="00EF7861"/>
    <w:rsid w:val="00F016AC"/>
    <w:rsid w:val="00F064F9"/>
    <w:rsid w:val="00F1705B"/>
    <w:rsid w:val="00F20330"/>
    <w:rsid w:val="00F45DFE"/>
    <w:rsid w:val="00F47FFE"/>
    <w:rsid w:val="00F53C10"/>
    <w:rsid w:val="00F57F27"/>
    <w:rsid w:val="00F61364"/>
    <w:rsid w:val="00F634AD"/>
    <w:rsid w:val="00F7018F"/>
    <w:rsid w:val="00F87CC4"/>
    <w:rsid w:val="00F94145"/>
    <w:rsid w:val="00F97117"/>
    <w:rsid w:val="00FC78A7"/>
    <w:rsid w:val="00FC7DD8"/>
    <w:rsid w:val="00FE2C41"/>
    <w:rsid w:val="00FE4D58"/>
    <w:rsid w:val="00FF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148D"/>
    <w:rPr>
      <w:color w:val="0000FF"/>
      <w:u w:val="single"/>
    </w:rPr>
  </w:style>
  <w:style w:type="paragraph" w:customStyle="1" w:styleId="DefaultText">
    <w:name w:val="Default Text"/>
    <w:basedOn w:val="Normal"/>
    <w:rsid w:val="00937C82"/>
    <w:pPr>
      <w:overflowPunct w:val="0"/>
      <w:autoSpaceDE w:val="0"/>
      <w:autoSpaceDN w:val="0"/>
      <w:adjustRightInd w:val="0"/>
      <w:textAlignment w:val="baseline"/>
    </w:pPr>
    <w:rPr>
      <w:szCs w:val="20"/>
    </w:rPr>
  </w:style>
  <w:style w:type="character" w:customStyle="1" w:styleId="InitialStyle">
    <w:name w:val="InitialStyle"/>
    <w:rsid w:val="00937C82"/>
    <w:rPr>
      <w:rFonts w:ascii="Courier New" w:hAnsi="Courier New"/>
      <w:color w:val="auto"/>
      <w:spacing w:val="0"/>
      <w:sz w:val="24"/>
    </w:rPr>
  </w:style>
  <w:style w:type="paragraph" w:customStyle="1" w:styleId="296">
    <w:name w:val="296"/>
    <w:basedOn w:val="Normal"/>
    <w:rsid w:val="005A6B8F"/>
    <w:pPr>
      <w:overflowPunct w:val="0"/>
      <w:autoSpaceDE w:val="0"/>
      <w:autoSpaceDN w:val="0"/>
      <w:adjustRightInd w:val="0"/>
      <w:textAlignment w:val="baseline"/>
    </w:pPr>
  </w:style>
  <w:style w:type="paragraph" w:customStyle="1" w:styleId="300">
    <w:name w:val="300"/>
    <w:basedOn w:val="Normal"/>
    <w:rsid w:val="005A6B8F"/>
    <w:pPr>
      <w:overflowPunct w:val="0"/>
      <w:autoSpaceDE w:val="0"/>
      <w:autoSpaceDN w:val="0"/>
      <w:adjustRightInd w:val="0"/>
      <w:textAlignment w:val="baseline"/>
    </w:pPr>
    <w:rPr>
      <w:sz w:val="20"/>
      <w:szCs w:val="20"/>
    </w:rPr>
  </w:style>
  <w:style w:type="paragraph" w:styleId="BalloonText">
    <w:name w:val="Balloon Text"/>
    <w:basedOn w:val="Normal"/>
    <w:link w:val="BalloonTextChar"/>
    <w:uiPriority w:val="99"/>
    <w:semiHidden/>
    <w:unhideWhenUsed/>
    <w:rsid w:val="004E1F5A"/>
    <w:rPr>
      <w:rFonts w:ascii="Tahoma" w:hAnsi="Tahoma" w:cs="Tahoma"/>
      <w:sz w:val="16"/>
      <w:szCs w:val="16"/>
    </w:rPr>
  </w:style>
  <w:style w:type="character" w:customStyle="1" w:styleId="BalloonTextChar">
    <w:name w:val="Balloon Text Char"/>
    <w:link w:val="BalloonText"/>
    <w:uiPriority w:val="99"/>
    <w:semiHidden/>
    <w:rsid w:val="004E1F5A"/>
    <w:rPr>
      <w:rFonts w:ascii="Tahoma" w:hAnsi="Tahoma" w:cs="Tahoma"/>
      <w:sz w:val="16"/>
      <w:szCs w:val="16"/>
    </w:rPr>
  </w:style>
  <w:style w:type="paragraph" w:styleId="Header">
    <w:name w:val="header"/>
    <w:basedOn w:val="Normal"/>
    <w:link w:val="HeaderChar"/>
    <w:uiPriority w:val="99"/>
    <w:unhideWhenUsed/>
    <w:rsid w:val="00B60BD4"/>
    <w:pPr>
      <w:tabs>
        <w:tab w:val="center" w:pos="4680"/>
        <w:tab w:val="right" w:pos="9360"/>
      </w:tabs>
    </w:pPr>
  </w:style>
  <w:style w:type="character" w:customStyle="1" w:styleId="HeaderChar">
    <w:name w:val="Header Char"/>
    <w:basedOn w:val="DefaultParagraphFont"/>
    <w:link w:val="Header"/>
    <w:uiPriority w:val="99"/>
    <w:rsid w:val="00B60BD4"/>
    <w:rPr>
      <w:sz w:val="24"/>
      <w:szCs w:val="24"/>
    </w:rPr>
  </w:style>
  <w:style w:type="paragraph" w:styleId="Footer">
    <w:name w:val="footer"/>
    <w:basedOn w:val="Normal"/>
    <w:link w:val="FooterChar"/>
    <w:uiPriority w:val="99"/>
    <w:unhideWhenUsed/>
    <w:rsid w:val="00B60BD4"/>
    <w:pPr>
      <w:tabs>
        <w:tab w:val="center" w:pos="4680"/>
        <w:tab w:val="right" w:pos="9360"/>
      </w:tabs>
    </w:pPr>
  </w:style>
  <w:style w:type="character" w:customStyle="1" w:styleId="FooterChar">
    <w:name w:val="Footer Char"/>
    <w:basedOn w:val="DefaultParagraphFont"/>
    <w:link w:val="Footer"/>
    <w:uiPriority w:val="99"/>
    <w:rsid w:val="00B60BD4"/>
    <w:rPr>
      <w:sz w:val="24"/>
      <w:szCs w:val="24"/>
    </w:rPr>
  </w:style>
  <w:style w:type="table" w:styleId="TableGrid">
    <w:name w:val="Table Grid"/>
    <w:basedOn w:val="TableNormal"/>
    <w:rsid w:val="0071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148D"/>
    <w:rPr>
      <w:color w:val="0000FF"/>
      <w:u w:val="single"/>
    </w:rPr>
  </w:style>
  <w:style w:type="paragraph" w:customStyle="1" w:styleId="DefaultText">
    <w:name w:val="Default Text"/>
    <w:basedOn w:val="Normal"/>
    <w:rsid w:val="00937C82"/>
    <w:pPr>
      <w:overflowPunct w:val="0"/>
      <w:autoSpaceDE w:val="0"/>
      <w:autoSpaceDN w:val="0"/>
      <w:adjustRightInd w:val="0"/>
      <w:textAlignment w:val="baseline"/>
    </w:pPr>
    <w:rPr>
      <w:szCs w:val="20"/>
    </w:rPr>
  </w:style>
  <w:style w:type="character" w:customStyle="1" w:styleId="InitialStyle">
    <w:name w:val="InitialStyle"/>
    <w:rsid w:val="00937C82"/>
    <w:rPr>
      <w:rFonts w:ascii="Courier New" w:hAnsi="Courier New"/>
      <w:color w:val="auto"/>
      <w:spacing w:val="0"/>
      <w:sz w:val="24"/>
    </w:rPr>
  </w:style>
  <w:style w:type="paragraph" w:customStyle="1" w:styleId="296">
    <w:name w:val="296"/>
    <w:basedOn w:val="Normal"/>
    <w:rsid w:val="005A6B8F"/>
    <w:pPr>
      <w:overflowPunct w:val="0"/>
      <w:autoSpaceDE w:val="0"/>
      <w:autoSpaceDN w:val="0"/>
      <w:adjustRightInd w:val="0"/>
      <w:textAlignment w:val="baseline"/>
    </w:pPr>
  </w:style>
  <w:style w:type="paragraph" w:customStyle="1" w:styleId="300">
    <w:name w:val="300"/>
    <w:basedOn w:val="Normal"/>
    <w:rsid w:val="005A6B8F"/>
    <w:pPr>
      <w:overflowPunct w:val="0"/>
      <w:autoSpaceDE w:val="0"/>
      <w:autoSpaceDN w:val="0"/>
      <w:adjustRightInd w:val="0"/>
      <w:textAlignment w:val="baseline"/>
    </w:pPr>
    <w:rPr>
      <w:sz w:val="20"/>
      <w:szCs w:val="20"/>
    </w:rPr>
  </w:style>
  <w:style w:type="paragraph" w:styleId="BalloonText">
    <w:name w:val="Balloon Text"/>
    <w:basedOn w:val="Normal"/>
    <w:link w:val="BalloonTextChar"/>
    <w:uiPriority w:val="99"/>
    <w:semiHidden/>
    <w:unhideWhenUsed/>
    <w:rsid w:val="004E1F5A"/>
    <w:rPr>
      <w:rFonts w:ascii="Tahoma" w:hAnsi="Tahoma" w:cs="Tahoma"/>
      <w:sz w:val="16"/>
      <w:szCs w:val="16"/>
    </w:rPr>
  </w:style>
  <w:style w:type="character" w:customStyle="1" w:styleId="BalloonTextChar">
    <w:name w:val="Balloon Text Char"/>
    <w:link w:val="BalloonText"/>
    <w:uiPriority w:val="99"/>
    <w:semiHidden/>
    <w:rsid w:val="004E1F5A"/>
    <w:rPr>
      <w:rFonts w:ascii="Tahoma" w:hAnsi="Tahoma" w:cs="Tahoma"/>
      <w:sz w:val="16"/>
      <w:szCs w:val="16"/>
    </w:rPr>
  </w:style>
  <w:style w:type="paragraph" w:styleId="Header">
    <w:name w:val="header"/>
    <w:basedOn w:val="Normal"/>
    <w:link w:val="HeaderChar"/>
    <w:uiPriority w:val="99"/>
    <w:unhideWhenUsed/>
    <w:rsid w:val="00B60BD4"/>
    <w:pPr>
      <w:tabs>
        <w:tab w:val="center" w:pos="4680"/>
        <w:tab w:val="right" w:pos="9360"/>
      </w:tabs>
    </w:pPr>
  </w:style>
  <w:style w:type="character" w:customStyle="1" w:styleId="HeaderChar">
    <w:name w:val="Header Char"/>
    <w:basedOn w:val="DefaultParagraphFont"/>
    <w:link w:val="Header"/>
    <w:uiPriority w:val="99"/>
    <w:rsid w:val="00B60BD4"/>
    <w:rPr>
      <w:sz w:val="24"/>
      <w:szCs w:val="24"/>
    </w:rPr>
  </w:style>
  <w:style w:type="paragraph" w:styleId="Footer">
    <w:name w:val="footer"/>
    <w:basedOn w:val="Normal"/>
    <w:link w:val="FooterChar"/>
    <w:uiPriority w:val="99"/>
    <w:unhideWhenUsed/>
    <w:rsid w:val="00B60BD4"/>
    <w:pPr>
      <w:tabs>
        <w:tab w:val="center" w:pos="4680"/>
        <w:tab w:val="right" w:pos="9360"/>
      </w:tabs>
    </w:pPr>
  </w:style>
  <w:style w:type="character" w:customStyle="1" w:styleId="FooterChar">
    <w:name w:val="Footer Char"/>
    <w:basedOn w:val="DefaultParagraphFont"/>
    <w:link w:val="Footer"/>
    <w:uiPriority w:val="99"/>
    <w:rsid w:val="00B60BD4"/>
    <w:rPr>
      <w:sz w:val="24"/>
      <w:szCs w:val="24"/>
    </w:rPr>
  </w:style>
  <w:style w:type="table" w:styleId="TableGrid">
    <w:name w:val="Table Grid"/>
    <w:basedOn w:val="TableNormal"/>
    <w:rsid w:val="0071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56830">
      <w:bodyDiv w:val="1"/>
      <w:marLeft w:val="0"/>
      <w:marRight w:val="0"/>
      <w:marTop w:val="0"/>
      <w:marBottom w:val="0"/>
      <w:divBdr>
        <w:top w:val="none" w:sz="0" w:space="0" w:color="auto"/>
        <w:left w:val="none" w:sz="0" w:space="0" w:color="auto"/>
        <w:bottom w:val="none" w:sz="0" w:space="0" w:color="auto"/>
        <w:right w:val="none" w:sz="0" w:space="0" w:color="auto"/>
      </w:divBdr>
    </w:div>
    <w:div w:id="920336127">
      <w:bodyDiv w:val="1"/>
      <w:marLeft w:val="0"/>
      <w:marRight w:val="0"/>
      <w:marTop w:val="0"/>
      <w:marBottom w:val="0"/>
      <w:divBdr>
        <w:top w:val="none" w:sz="0" w:space="0" w:color="auto"/>
        <w:left w:val="none" w:sz="0" w:space="0" w:color="auto"/>
        <w:bottom w:val="none" w:sz="0" w:space="0" w:color="auto"/>
        <w:right w:val="none" w:sz="0" w:space="0" w:color="auto"/>
      </w:divBdr>
    </w:div>
    <w:div w:id="963460016">
      <w:bodyDiv w:val="1"/>
      <w:marLeft w:val="0"/>
      <w:marRight w:val="0"/>
      <w:marTop w:val="0"/>
      <w:marBottom w:val="0"/>
      <w:divBdr>
        <w:top w:val="none" w:sz="0" w:space="0" w:color="auto"/>
        <w:left w:val="none" w:sz="0" w:space="0" w:color="auto"/>
        <w:bottom w:val="none" w:sz="0" w:space="0" w:color="auto"/>
        <w:right w:val="none" w:sz="0" w:space="0" w:color="auto"/>
      </w:divBdr>
    </w:div>
    <w:div w:id="1154760307">
      <w:bodyDiv w:val="1"/>
      <w:marLeft w:val="0"/>
      <w:marRight w:val="0"/>
      <w:marTop w:val="0"/>
      <w:marBottom w:val="0"/>
      <w:divBdr>
        <w:top w:val="none" w:sz="0" w:space="0" w:color="auto"/>
        <w:left w:val="none" w:sz="0" w:space="0" w:color="auto"/>
        <w:bottom w:val="none" w:sz="0" w:space="0" w:color="auto"/>
        <w:right w:val="none" w:sz="0" w:space="0" w:color="auto"/>
      </w:divBdr>
    </w:div>
    <w:div w:id="12381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ntrol" Target="activeX/activeX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05BF5F0F7C2A45A314A117841627F4" ma:contentTypeVersion="7" ma:contentTypeDescription="Create a new document." ma:contentTypeScope="" ma:versionID="8e6d30b4b62a15b16a24bae5b1b219ab">
  <xsd:schema xmlns:xsd="http://www.w3.org/2001/XMLSchema" xmlns:xs="http://www.w3.org/2001/XMLSchema" xmlns:p="http://schemas.microsoft.com/office/2006/metadata/properties" xmlns:ns2="7e5b9ae7-a347-4d92-9f74-fe480936de16" xmlns:ns3="30fd08c8-6eec-448f-b918-567415d0039b" targetNamespace="http://schemas.microsoft.com/office/2006/metadata/properties" ma:root="true" ma:fieldsID="5d82304e02c969d61536444d35d12ab5" ns2:_="" ns3:_="">
    <xsd:import namespace="7e5b9ae7-a347-4d92-9f74-fe480936de16"/>
    <xsd:import namespace="30fd08c8-6eec-448f-b918-567415d0039b"/>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9ae7-a347-4d92-9f74-fe480936de16"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7e5b9ae7-a347-4d92-9f74-fe480936de16">Karnal Bunt; Revision of Import Wheat Regulations</Project_x0020_Name>
    <Content_x0020_Type xmlns="7e5b9ae7-a347-4d92-9f74-fe480936de16">Renewal</Content_x0020_Type>
    <OMB_x0020_control_x0020__x0023_ xmlns="7e5b9ae7-a347-4d92-9f74-fe480936de16">0579-0240</OMB_x0020_control_x0020__x0023_>
    <Prject_x0020_Type xmlns="7e5b9ae7-a347-4d92-9f74-fe480936de16">Imports- Q56 and Q37</Prject_x0020_Type>
    <APHIS_x0020_docket_x0020__x0023_ xmlns="7e5b9ae7-a347-4d92-9f74-fe480936de16" xsi:nil="true"/>
    <Document_x0020_type xmlns="7e5b9ae7-a347-4d92-9f74-fe480936de16">Supporting Statement</Document_x0020_typ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6991-A9FE-4E03-9630-EAADDA65CF9F}">
  <ds:schemaRefs>
    <ds:schemaRef ds:uri="http://schemas.microsoft.com/office/2006/metadata/longProperties"/>
  </ds:schemaRefs>
</ds:datastoreItem>
</file>

<file path=customXml/itemProps2.xml><?xml version="1.0" encoding="utf-8"?>
<ds:datastoreItem xmlns:ds="http://schemas.openxmlformats.org/officeDocument/2006/customXml" ds:itemID="{4873181B-3814-45B9-9D58-E4C29E0D3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9ae7-a347-4d92-9f74-fe480936de16"/>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0D814-C2F5-4C5E-A0C8-6D85A1D2A9B4}">
  <ds:schemaRefs>
    <ds:schemaRef ds:uri="http://schemas.microsoft.com/sharepoint/v3/contenttype/forms"/>
  </ds:schemaRefs>
</ds:datastoreItem>
</file>

<file path=customXml/itemProps4.xml><?xml version="1.0" encoding="utf-8"?>
<ds:datastoreItem xmlns:ds="http://schemas.openxmlformats.org/officeDocument/2006/customXml" ds:itemID="{A42F1F97-9DF5-4408-A6F2-46DFBF62E7DD}">
  <ds:schemaRefs>
    <ds:schemaRef ds:uri="http://schemas.microsoft.com/office/infopath/2007/PartnerControls"/>
    <ds:schemaRef ds:uri="http://purl.org/dc/terms/"/>
    <ds:schemaRef ds:uri="http://schemas.microsoft.com/office/2006/metadata/properties"/>
    <ds:schemaRef ds:uri="7e5b9ae7-a347-4d92-9f74-fe480936de16"/>
    <ds:schemaRef ds:uri="http://purl.org/dc/elements/1.1/"/>
    <ds:schemaRef ds:uri="http://schemas.openxmlformats.org/package/2006/metadata/core-properties"/>
    <ds:schemaRef ds:uri="http://schemas.microsoft.com/office/2006/documentManagement/types"/>
    <ds:schemaRef ds:uri="30fd08c8-6eec-448f-b918-567415d0039b"/>
    <ds:schemaRef ds:uri="http://www.w3.org/XML/1998/namespace"/>
    <ds:schemaRef ds:uri="http://purl.org/dc/dcmitype/"/>
  </ds:schemaRefs>
</ds:datastoreItem>
</file>

<file path=customXml/itemProps5.xml><?xml version="1.0" encoding="utf-8"?>
<ds:datastoreItem xmlns:ds="http://schemas.openxmlformats.org/officeDocument/2006/customXml" ds:itemID="{2295E79B-43F2-47EE-A7C6-13859019C53D}">
  <ds:schemaRefs>
    <ds:schemaRef ds:uri="http://schemas.microsoft.com/sharepoint/events"/>
  </ds:schemaRefs>
</ds:datastoreItem>
</file>

<file path=customXml/itemProps6.xml><?xml version="1.0" encoding="utf-8"?>
<ds:datastoreItem xmlns:ds="http://schemas.openxmlformats.org/officeDocument/2006/customXml" ds:itemID="{C6AC2CD4-4BEB-4D03-965C-B1B68987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13309</CharactersWithSpaces>
  <SharedDoc>false</SharedDoc>
  <HLinks>
    <vt:vector size="6" baseType="variant">
      <vt:variant>
        <vt:i4>6946943</vt:i4>
      </vt:variant>
      <vt:variant>
        <vt:i4>0</vt:i4>
      </vt:variant>
      <vt:variant>
        <vt:i4>0</vt:i4>
      </vt:variant>
      <vt:variant>
        <vt:i4>5</vt:i4>
      </vt:variant>
      <vt:variant>
        <vt:lpwstr>http://www.aphis.usda.gov/library/forms/pdf/ppq577.pdf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cp:lastModifiedBy>SYSTEM</cp:lastModifiedBy>
  <cp:revision>2</cp:revision>
  <cp:lastPrinted>2014-08-06T14:54:00Z</cp:lastPrinted>
  <dcterms:created xsi:type="dcterms:W3CDTF">2017-12-20T18:59:00Z</dcterms:created>
  <dcterms:modified xsi:type="dcterms:W3CDTF">2017-12-20T18:59:00Z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23AXXXC3UW4Z-1926130773-791</vt:lpwstr>
  </property>
  <property fmtid="{D5CDD505-2E9C-101B-9397-08002B2CF9AE}" pid="3" name="_dlc_DocIdItemGuid">
    <vt:lpwstr>03611b2d-894f-419c-a96b-10801e718f18</vt:lpwstr>
  </property>
  <property fmtid="{D5CDD505-2E9C-101B-9397-08002B2CF9AE}" pid="4" name="_dlc_DocIdUrl">
    <vt:lpwstr>https://ems-team.usda.gov/sites/aphis-ppq-policy/php/PCC/Paperwork Burden/_layouts/15/DocIdRedir.aspx?ID=23AXXXC3UW4Z-1926130773-791, 23AXXXC3UW4Z-1926130773-791</vt:lpwstr>
  </property>
</Properties>
</file>