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1F23D" w14:textId="77777777" w:rsidR="003D578D" w:rsidRDefault="003D578D" w:rsidP="00447C1E">
      <w:pPr>
        <w:tabs>
          <w:tab w:val="center" w:pos="4680"/>
        </w:tabs>
        <w:suppressAutoHyphens/>
        <w:spacing w:line="480" w:lineRule="auto"/>
        <w:jc w:val="center"/>
        <w:rPr>
          <w:b/>
          <w:szCs w:val="24"/>
        </w:rPr>
      </w:pPr>
      <w:bookmarkStart w:id="0" w:name="_GoBack"/>
      <w:bookmarkEnd w:id="0"/>
    </w:p>
    <w:p w14:paraId="47547D8A" w14:textId="3B71B0C5" w:rsidR="003D578D" w:rsidRDefault="003D578D" w:rsidP="00447C1E">
      <w:pPr>
        <w:tabs>
          <w:tab w:val="center" w:pos="4680"/>
        </w:tabs>
        <w:suppressAutoHyphens/>
        <w:spacing w:line="480" w:lineRule="auto"/>
        <w:jc w:val="center"/>
        <w:rPr>
          <w:b/>
          <w:szCs w:val="24"/>
        </w:rPr>
      </w:pPr>
    </w:p>
    <w:p w14:paraId="13973C74" w14:textId="77777777" w:rsidR="003D578D" w:rsidRDefault="003D578D" w:rsidP="00447C1E">
      <w:pPr>
        <w:tabs>
          <w:tab w:val="center" w:pos="4680"/>
        </w:tabs>
        <w:suppressAutoHyphens/>
        <w:spacing w:line="480" w:lineRule="auto"/>
        <w:jc w:val="center"/>
        <w:rPr>
          <w:b/>
          <w:szCs w:val="24"/>
        </w:rPr>
      </w:pPr>
    </w:p>
    <w:p w14:paraId="766F5039" w14:textId="4A72ABAA" w:rsidR="00447C1E" w:rsidRDefault="00447C1E" w:rsidP="00447C1E">
      <w:pPr>
        <w:tabs>
          <w:tab w:val="center" w:pos="4680"/>
        </w:tabs>
        <w:suppressAutoHyphens/>
        <w:spacing w:line="480" w:lineRule="auto"/>
        <w:jc w:val="center"/>
        <w:rPr>
          <w:b/>
          <w:szCs w:val="24"/>
        </w:rPr>
      </w:pPr>
      <w:r w:rsidRPr="00BD1DD0">
        <w:rPr>
          <w:b/>
          <w:szCs w:val="24"/>
        </w:rPr>
        <w:t>SUPPORTING STATEMENT</w:t>
      </w:r>
      <w:r w:rsidR="0062567E" w:rsidRPr="00BD1DD0">
        <w:rPr>
          <w:b/>
          <w:szCs w:val="24"/>
        </w:rPr>
        <w:t xml:space="preserve"> </w:t>
      </w:r>
      <w:r w:rsidR="00204E6E">
        <w:rPr>
          <w:b/>
          <w:szCs w:val="24"/>
        </w:rPr>
        <w:t xml:space="preserve">- PART </w:t>
      </w:r>
      <w:r w:rsidR="00CA5FD8">
        <w:rPr>
          <w:b/>
          <w:szCs w:val="24"/>
        </w:rPr>
        <w:t>B</w:t>
      </w:r>
      <w:r w:rsidR="003D578D">
        <w:rPr>
          <w:b/>
          <w:szCs w:val="24"/>
        </w:rPr>
        <w:t>:</w:t>
      </w:r>
    </w:p>
    <w:p w14:paraId="35F9F6CE" w14:textId="3D2C84CC" w:rsidR="003D578D" w:rsidRPr="003D578D" w:rsidRDefault="003D578D" w:rsidP="00447C1E">
      <w:pPr>
        <w:tabs>
          <w:tab w:val="center" w:pos="4680"/>
        </w:tabs>
        <w:suppressAutoHyphens/>
        <w:spacing w:line="480" w:lineRule="auto"/>
        <w:jc w:val="center"/>
        <w:rPr>
          <w:rFonts w:eastAsia="SimSun"/>
          <w:b/>
          <w:szCs w:val="24"/>
        </w:rPr>
      </w:pPr>
      <w:r w:rsidRPr="003D578D">
        <w:rPr>
          <w:rFonts w:eastAsia="SimSun"/>
          <w:b/>
          <w:szCs w:val="24"/>
        </w:rPr>
        <w:t>COLLECTION OF INFORMATION EMPLOYING STATISTICAL METHODS</w:t>
      </w:r>
    </w:p>
    <w:p w14:paraId="03F53E8A" w14:textId="77777777" w:rsidR="003D578D" w:rsidRDefault="003D578D" w:rsidP="00447C1E">
      <w:pPr>
        <w:tabs>
          <w:tab w:val="right" w:pos="9360"/>
        </w:tabs>
        <w:spacing w:line="480" w:lineRule="auto"/>
        <w:jc w:val="center"/>
        <w:rPr>
          <w:b/>
          <w:szCs w:val="24"/>
          <w:lang w:val="es-US"/>
        </w:rPr>
      </w:pPr>
    </w:p>
    <w:p w14:paraId="2765924B" w14:textId="3788536D" w:rsidR="00BD1DD0" w:rsidRDefault="00AD4629" w:rsidP="00447C1E">
      <w:pPr>
        <w:tabs>
          <w:tab w:val="right" w:pos="9360"/>
        </w:tabs>
        <w:spacing w:line="480" w:lineRule="auto"/>
        <w:jc w:val="center"/>
        <w:rPr>
          <w:b/>
          <w:szCs w:val="24"/>
          <w:lang w:val="es-US"/>
        </w:rPr>
      </w:pPr>
      <w:r w:rsidRPr="00BD1DD0">
        <w:rPr>
          <w:b/>
          <w:szCs w:val="24"/>
          <w:lang w:val="es-US"/>
        </w:rPr>
        <w:t xml:space="preserve">OMB </w:t>
      </w:r>
      <w:r w:rsidR="009F7E1A" w:rsidRPr="00BD1DD0">
        <w:rPr>
          <w:b/>
          <w:szCs w:val="24"/>
          <w:lang w:val="es-US"/>
        </w:rPr>
        <w:t xml:space="preserve">Control </w:t>
      </w:r>
      <w:r w:rsidR="009F7E1A" w:rsidRPr="00BD1DD0">
        <w:rPr>
          <w:b/>
          <w:szCs w:val="24"/>
        </w:rPr>
        <w:t>Number</w:t>
      </w:r>
      <w:r w:rsidRPr="00BD1DD0">
        <w:rPr>
          <w:b/>
          <w:szCs w:val="24"/>
          <w:lang w:val="es-US"/>
        </w:rPr>
        <w:t xml:space="preserve"> 0584-</w:t>
      </w:r>
      <w:r w:rsidR="00940650">
        <w:rPr>
          <w:b/>
          <w:szCs w:val="24"/>
          <w:lang w:val="es-US"/>
        </w:rPr>
        <w:t>NEW</w:t>
      </w:r>
      <w:r w:rsidR="00B335C9" w:rsidRPr="00BD1DD0">
        <w:rPr>
          <w:b/>
          <w:szCs w:val="24"/>
          <w:lang w:val="es-US"/>
        </w:rPr>
        <w:t xml:space="preserve">  </w:t>
      </w:r>
    </w:p>
    <w:p w14:paraId="2C589524" w14:textId="77777777" w:rsidR="00417531" w:rsidRDefault="00417531" w:rsidP="00447C1E">
      <w:pPr>
        <w:tabs>
          <w:tab w:val="right" w:pos="9360"/>
        </w:tabs>
        <w:spacing w:line="480" w:lineRule="auto"/>
        <w:jc w:val="center"/>
        <w:rPr>
          <w:b/>
          <w:szCs w:val="24"/>
          <w:lang w:val="es-US"/>
        </w:rPr>
      </w:pPr>
    </w:p>
    <w:p w14:paraId="5D5E61A4" w14:textId="77777777" w:rsidR="00417531" w:rsidRPr="005E123C" w:rsidRDefault="00417531" w:rsidP="00447C1E">
      <w:pPr>
        <w:tabs>
          <w:tab w:val="right" w:pos="9360"/>
        </w:tabs>
        <w:spacing w:line="480" w:lineRule="auto"/>
        <w:jc w:val="center"/>
        <w:rPr>
          <w:b/>
          <w:szCs w:val="24"/>
        </w:rPr>
      </w:pPr>
    </w:p>
    <w:p w14:paraId="7EAA1D2F" w14:textId="77777777" w:rsidR="00416B5B" w:rsidRPr="00C65058" w:rsidRDefault="008C24FF" w:rsidP="00416B5B">
      <w:pPr>
        <w:tabs>
          <w:tab w:val="right" w:pos="9360"/>
        </w:tabs>
        <w:spacing w:line="480" w:lineRule="auto"/>
        <w:jc w:val="center"/>
        <w:rPr>
          <w:b/>
          <w:i/>
          <w:sz w:val="28"/>
          <w:szCs w:val="24"/>
          <w:lang w:val="es-US"/>
        </w:rPr>
      </w:pPr>
      <w:r w:rsidRPr="00C65058">
        <w:rPr>
          <w:b/>
          <w:i/>
          <w:sz w:val="28"/>
          <w:szCs w:val="24"/>
        </w:rPr>
        <w:t>Study</w:t>
      </w:r>
      <w:r w:rsidRPr="00C65058">
        <w:rPr>
          <w:b/>
          <w:i/>
          <w:sz w:val="28"/>
          <w:szCs w:val="24"/>
          <w:lang w:val="es-US"/>
        </w:rPr>
        <w:t xml:space="preserve"> of</w:t>
      </w:r>
      <w:r w:rsidRPr="00C65058">
        <w:rPr>
          <w:b/>
          <w:i/>
          <w:sz w:val="28"/>
          <w:szCs w:val="24"/>
        </w:rPr>
        <w:t xml:space="preserve"> </w:t>
      </w:r>
      <w:r w:rsidR="00416B5B" w:rsidRPr="00C65058">
        <w:rPr>
          <w:b/>
          <w:i/>
          <w:sz w:val="28"/>
          <w:szCs w:val="24"/>
        </w:rPr>
        <w:t>Third</w:t>
      </w:r>
      <w:r w:rsidR="00E10B89" w:rsidRPr="00C65058">
        <w:rPr>
          <w:b/>
          <w:i/>
          <w:sz w:val="28"/>
          <w:szCs w:val="24"/>
        </w:rPr>
        <w:t>-</w:t>
      </w:r>
      <w:r w:rsidR="00416B5B" w:rsidRPr="00C65058">
        <w:rPr>
          <w:b/>
          <w:i/>
          <w:sz w:val="28"/>
          <w:szCs w:val="24"/>
        </w:rPr>
        <w:t>Party Processor Services</w:t>
      </w:r>
      <w:r w:rsidR="00416B5B" w:rsidRPr="00C65058">
        <w:rPr>
          <w:b/>
          <w:i/>
          <w:sz w:val="28"/>
          <w:szCs w:val="24"/>
          <w:lang w:val="es-US"/>
        </w:rPr>
        <w:t>,</w:t>
      </w:r>
      <w:r w:rsidR="00416B5B" w:rsidRPr="00C65058">
        <w:rPr>
          <w:b/>
          <w:i/>
          <w:sz w:val="28"/>
          <w:szCs w:val="24"/>
        </w:rPr>
        <w:t xml:space="preserve"> Fees</w:t>
      </w:r>
      <w:r w:rsidR="00416B5B" w:rsidRPr="00C65058">
        <w:rPr>
          <w:b/>
          <w:i/>
          <w:sz w:val="28"/>
          <w:szCs w:val="24"/>
          <w:lang w:val="es-US"/>
        </w:rPr>
        <w:t>, and Business</w:t>
      </w:r>
      <w:r w:rsidR="00416B5B" w:rsidRPr="00C65058">
        <w:rPr>
          <w:b/>
          <w:i/>
          <w:sz w:val="28"/>
          <w:szCs w:val="24"/>
        </w:rPr>
        <w:t xml:space="preserve"> Practices</w:t>
      </w:r>
      <w:r w:rsidR="00416B5B" w:rsidRPr="00C65058">
        <w:rPr>
          <w:b/>
          <w:i/>
          <w:sz w:val="28"/>
          <w:szCs w:val="24"/>
          <w:lang w:val="es-US"/>
        </w:rPr>
        <w:t xml:space="preserve"> </w:t>
      </w:r>
    </w:p>
    <w:p w14:paraId="5F2EA163" w14:textId="1B9520A1" w:rsidR="008C24FF" w:rsidRPr="00C65058" w:rsidRDefault="008C24FF" w:rsidP="0071727B">
      <w:pPr>
        <w:tabs>
          <w:tab w:val="right" w:pos="9360"/>
        </w:tabs>
        <w:spacing w:line="480" w:lineRule="auto"/>
        <w:jc w:val="center"/>
        <w:rPr>
          <w:b/>
          <w:szCs w:val="24"/>
          <w:lang w:val="es-US"/>
        </w:rPr>
      </w:pPr>
    </w:p>
    <w:p w14:paraId="1AF242FC" w14:textId="77777777" w:rsidR="00B335C9" w:rsidRPr="00C65058" w:rsidRDefault="00B335C9" w:rsidP="00447C1E">
      <w:pPr>
        <w:tabs>
          <w:tab w:val="right" w:pos="9360"/>
        </w:tabs>
        <w:spacing w:line="480" w:lineRule="auto"/>
        <w:jc w:val="center"/>
        <w:rPr>
          <w:b/>
          <w:szCs w:val="24"/>
          <w:lang w:val="es-US"/>
        </w:rPr>
      </w:pPr>
    </w:p>
    <w:p w14:paraId="6166DEDE" w14:textId="77777777" w:rsidR="00417531" w:rsidRPr="00C65058" w:rsidRDefault="00417531" w:rsidP="00447C1E">
      <w:pPr>
        <w:tabs>
          <w:tab w:val="right" w:pos="9360"/>
        </w:tabs>
        <w:spacing w:line="480" w:lineRule="auto"/>
        <w:jc w:val="center"/>
        <w:rPr>
          <w:b/>
          <w:szCs w:val="24"/>
          <w:lang w:val="es-US"/>
        </w:rPr>
      </w:pPr>
    </w:p>
    <w:p w14:paraId="5B00863A" w14:textId="77777777" w:rsidR="00CA5FD8" w:rsidRPr="00C65058" w:rsidRDefault="00CA5FD8" w:rsidP="00447C1E">
      <w:pPr>
        <w:tabs>
          <w:tab w:val="right" w:pos="9360"/>
        </w:tabs>
        <w:spacing w:line="480" w:lineRule="auto"/>
        <w:jc w:val="center"/>
        <w:rPr>
          <w:b/>
          <w:szCs w:val="24"/>
          <w:lang w:val="es-US"/>
        </w:rPr>
      </w:pPr>
    </w:p>
    <w:p w14:paraId="3E2A4041" w14:textId="7A155868" w:rsidR="00EA5580" w:rsidRDefault="00417531" w:rsidP="00EA5580">
      <w:pPr>
        <w:tabs>
          <w:tab w:val="left" w:pos="-720"/>
        </w:tabs>
        <w:suppressAutoHyphens/>
        <w:spacing w:line="480" w:lineRule="auto"/>
        <w:jc w:val="center"/>
        <w:rPr>
          <w:szCs w:val="24"/>
          <w:lang w:val="es-US"/>
        </w:rPr>
      </w:pPr>
      <w:r>
        <w:rPr>
          <w:b/>
          <w:szCs w:val="24"/>
          <w:lang w:val="es-US"/>
        </w:rPr>
        <w:t xml:space="preserve">Contract Officer Representative: </w:t>
      </w:r>
      <w:r w:rsidR="00EA5580" w:rsidRPr="00EA5580">
        <w:rPr>
          <w:szCs w:val="24"/>
          <w:lang w:val="es-US"/>
        </w:rPr>
        <w:t>Rosemarie Downer</w:t>
      </w:r>
    </w:p>
    <w:p w14:paraId="448C7F9D" w14:textId="77777777" w:rsidR="00417531" w:rsidRPr="00C65058" w:rsidRDefault="00417531" w:rsidP="00C65058">
      <w:pPr>
        <w:tabs>
          <w:tab w:val="right" w:pos="9360"/>
        </w:tabs>
        <w:spacing w:line="480" w:lineRule="auto"/>
        <w:jc w:val="center"/>
        <w:rPr>
          <w:b/>
          <w:szCs w:val="24"/>
          <w:lang w:val="es-US"/>
        </w:rPr>
      </w:pPr>
    </w:p>
    <w:p w14:paraId="0ACACA1B" w14:textId="7580174F" w:rsidR="00EA5580" w:rsidRPr="00EA5580" w:rsidRDefault="00417531" w:rsidP="00EA5580">
      <w:pPr>
        <w:spacing w:line="480" w:lineRule="auto"/>
        <w:jc w:val="center"/>
        <w:rPr>
          <w:szCs w:val="24"/>
        </w:rPr>
      </w:pPr>
      <w:r>
        <w:rPr>
          <w:szCs w:val="24"/>
        </w:rPr>
        <w:t>USDA</w:t>
      </w:r>
      <w:r w:rsidR="00EA5580" w:rsidRPr="00EA5580">
        <w:rPr>
          <w:szCs w:val="24"/>
        </w:rPr>
        <w:t>, Food and Nutrition Service</w:t>
      </w:r>
    </w:p>
    <w:p w14:paraId="20B81419" w14:textId="4E0B1A60" w:rsidR="00EA5580" w:rsidRPr="00EA5580" w:rsidRDefault="00EA5580" w:rsidP="00EA5580">
      <w:pPr>
        <w:spacing w:line="480" w:lineRule="auto"/>
        <w:jc w:val="center"/>
        <w:rPr>
          <w:szCs w:val="24"/>
        </w:rPr>
      </w:pPr>
      <w:r w:rsidRPr="00EA5580">
        <w:rPr>
          <w:szCs w:val="24"/>
        </w:rPr>
        <w:t>3101 Park Center Drive</w:t>
      </w:r>
      <w:r w:rsidR="00CD38CB">
        <w:rPr>
          <w:szCs w:val="24"/>
        </w:rPr>
        <w:t xml:space="preserve"> </w:t>
      </w:r>
    </w:p>
    <w:p w14:paraId="50E7D5F4" w14:textId="77777777" w:rsidR="00EA5580" w:rsidRPr="00EA5580" w:rsidRDefault="00EA5580" w:rsidP="00EA5580">
      <w:pPr>
        <w:spacing w:line="480" w:lineRule="auto"/>
        <w:jc w:val="center"/>
        <w:rPr>
          <w:szCs w:val="24"/>
        </w:rPr>
      </w:pPr>
      <w:r w:rsidRPr="00EA5580">
        <w:rPr>
          <w:szCs w:val="24"/>
        </w:rPr>
        <w:t>Alexandria, Virginia 22302</w:t>
      </w:r>
    </w:p>
    <w:p w14:paraId="6A7AC656" w14:textId="2509F8B0" w:rsidR="00EA5580" w:rsidRPr="00EA5580" w:rsidRDefault="008026E7" w:rsidP="00EA5580">
      <w:pPr>
        <w:spacing w:line="480" w:lineRule="auto"/>
        <w:jc w:val="center"/>
        <w:rPr>
          <w:szCs w:val="24"/>
        </w:rPr>
      </w:pPr>
      <w:r>
        <w:rPr>
          <w:szCs w:val="24"/>
        </w:rPr>
        <w:t>December</w:t>
      </w:r>
      <w:r w:rsidR="00417531">
        <w:rPr>
          <w:szCs w:val="24"/>
        </w:rPr>
        <w:t xml:space="preserve"> 2017</w:t>
      </w:r>
    </w:p>
    <w:p w14:paraId="0317C95B" w14:textId="77777777" w:rsidR="00450884" w:rsidRPr="002568E6" w:rsidRDefault="00450884" w:rsidP="00447C1E">
      <w:pPr>
        <w:spacing w:line="480" w:lineRule="auto"/>
        <w:jc w:val="center"/>
        <w:rPr>
          <w:szCs w:val="24"/>
        </w:rPr>
      </w:pPr>
    </w:p>
    <w:p w14:paraId="4294620E" w14:textId="77777777" w:rsidR="00447C1E" w:rsidRPr="002568E6" w:rsidRDefault="00447C1E" w:rsidP="00447C1E">
      <w:pPr>
        <w:spacing w:line="480" w:lineRule="auto"/>
        <w:jc w:val="center"/>
        <w:rPr>
          <w:szCs w:val="24"/>
        </w:rPr>
      </w:pPr>
    </w:p>
    <w:p w14:paraId="51827D31" w14:textId="77777777" w:rsidR="00905A5F" w:rsidRDefault="00905A5F">
      <w:pPr>
        <w:widowControl/>
        <w:overflowPunct/>
        <w:autoSpaceDE/>
        <w:autoSpaceDN/>
        <w:adjustRightInd/>
        <w:textAlignment w:val="auto"/>
        <w:rPr>
          <w:szCs w:val="24"/>
        </w:rPr>
      </w:pPr>
      <w:r>
        <w:rPr>
          <w:szCs w:val="24"/>
        </w:rPr>
        <w:br w:type="page"/>
      </w:r>
    </w:p>
    <w:sdt>
      <w:sdtPr>
        <w:rPr>
          <w:rFonts w:ascii="Times New Roman" w:eastAsia="Times New Roman" w:hAnsi="Times New Roman" w:cs="Times New Roman"/>
          <w:color w:val="auto"/>
          <w:sz w:val="24"/>
          <w:szCs w:val="20"/>
        </w:rPr>
        <w:id w:val="-771244633"/>
        <w:docPartObj>
          <w:docPartGallery w:val="Table of Contents"/>
          <w:docPartUnique/>
        </w:docPartObj>
      </w:sdtPr>
      <w:sdtEndPr>
        <w:rPr>
          <w:b/>
          <w:bCs/>
          <w:noProof/>
        </w:rPr>
      </w:sdtEndPr>
      <w:sdtContent>
        <w:p w14:paraId="1A76A55F" w14:textId="07A76288" w:rsidR="001A07F3" w:rsidRDefault="001A07F3">
          <w:pPr>
            <w:pStyle w:val="TOCHeading"/>
          </w:pPr>
          <w:r>
            <w:t>Contents</w:t>
          </w:r>
        </w:p>
        <w:p w14:paraId="73A7F5BA" w14:textId="77777777" w:rsidR="001A07F3" w:rsidRDefault="001A07F3">
          <w:pPr>
            <w:pStyle w:val="TOC1"/>
            <w:rPr>
              <w:rFonts w:asciiTheme="minorHAnsi" w:eastAsiaTheme="minorEastAsia" w:hAnsiTheme="minorHAnsi" w:cstheme="minorBidi"/>
              <w:b w:val="0"/>
              <w:bCs w:val="0"/>
              <w:caps w:val="0"/>
              <w:sz w:val="22"/>
              <w:szCs w:val="22"/>
            </w:rPr>
          </w:pPr>
          <w:r>
            <w:fldChar w:fldCharType="begin"/>
          </w:r>
          <w:r>
            <w:instrText xml:space="preserve"> TOC \o "1-3" \h \z \u </w:instrText>
          </w:r>
          <w:r>
            <w:fldChar w:fldCharType="separate"/>
          </w:r>
          <w:hyperlink w:anchor="_Toc500403740" w:history="1">
            <w:r w:rsidRPr="00B059F3">
              <w:rPr>
                <w:rStyle w:val="Hyperlink"/>
              </w:rPr>
              <w:t>B1. RESPONDENT UNIVERSE AND SAMPLING METHODS</w:t>
            </w:r>
            <w:r>
              <w:rPr>
                <w:webHidden/>
              </w:rPr>
              <w:tab/>
            </w:r>
            <w:r>
              <w:rPr>
                <w:webHidden/>
              </w:rPr>
              <w:fldChar w:fldCharType="begin"/>
            </w:r>
            <w:r>
              <w:rPr>
                <w:webHidden/>
              </w:rPr>
              <w:instrText xml:space="preserve"> PAGEREF _Toc500403740 \h </w:instrText>
            </w:r>
            <w:r>
              <w:rPr>
                <w:webHidden/>
              </w:rPr>
            </w:r>
            <w:r>
              <w:rPr>
                <w:webHidden/>
              </w:rPr>
              <w:fldChar w:fldCharType="separate"/>
            </w:r>
            <w:r w:rsidR="005428FA">
              <w:rPr>
                <w:webHidden/>
              </w:rPr>
              <w:t>1</w:t>
            </w:r>
            <w:r>
              <w:rPr>
                <w:webHidden/>
              </w:rPr>
              <w:fldChar w:fldCharType="end"/>
            </w:r>
          </w:hyperlink>
        </w:p>
        <w:p w14:paraId="0D8AE499" w14:textId="77777777" w:rsidR="001A07F3" w:rsidRDefault="00CD077E">
          <w:pPr>
            <w:pStyle w:val="TOC1"/>
            <w:rPr>
              <w:rFonts w:asciiTheme="minorHAnsi" w:eastAsiaTheme="minorEastAsia" w:hAnsiTheme="minorHAnsi" w:cstheme="minorBidi"/>
              <w:b w:val="0"/>
              <w:bCs w:val="0"/>
              <w:caps w:val="0"/>
              <w:sz w:val="22"/>
              <w:szCs w:val="22"/>
            </w:rPr>
          </w:pPr>
          <w:hyperlink w:anchor="_Toc500403741" w:history="1">
            <w:r w:rsidR="001A07F3" w:rsidRPr="00B059F3">
              <w:rPr>
                <w:rStyle w:val="Hyperlink"/>
              </w:rPr>
              <w:t>B2. PROCEDURES FOR THE COLLECTION OF INFORMATION</w:t>
            </w:r>
            <w:r w:rsidR="001A07F3">
              <w:rPr>
                <w:webHidden/>
              </w:rPr>
              <w:tab/>
            </w:r>
            <w:r w:rsidR="001A07F3">
              <w:rPr>
                <w:webHidden/>
              </w:rPr>
              <w:fldChar w:fldCharType="begin"/>
            </w:r>
            <w:r w:rsidR="001A07F3">
              <w:rPr>
                <w:webHidden/>
              </w:rPr>
              <w:instrText xml:space="preserve"> PAGEREF _Toc500403741 \h </w:instrText>
            </w:r>
            <w:r w:rsidR="001A07F3">
              <w:rPr>
                <w:webHidden/>
              </w:rPr>
            </w:r>
            <w:r w:rsidR="001A07F3">
              <w:rPr>
                <w:webHidden/>
              </w:rPr>
              <w:fldChar w:fldCharType="separate"/>
            </w:r>
            <w:r w:rsidR="005428FA">
              <w:rPr>
                <w:webHidden/>
              </w:rPr>
              <w:t>9</w:t>
            </w:r>
            <w:r w:rsidR="001A07F3">
              <w:rPr>
                <w:webHidden/>
              </w:rPr>
              <w:fldChar w:fldCharType="end"/>
            </w:r>
          </w:hyperlink>
        </w:p>
        <w:p w14:paraId="24707702" w14:textId="77777777" w:rsidR="001A07F3" w:rsidRDefault="00CD077E">
          <w:pPr>
            <w:pStyle w:val="TOC1"/>
            <w:rPr>
              <w:rFonts w:asciiTheme="minorHAnsi" w:eastAsiaTheme="minorEastAsia" w:hAnsiTheme="minorHAnsi" w:cstheme="minorBidi"/>
              <w:b w:val="0"/>
              <w:bCs w:val="0"/>
              <w:caps w:val="0"/>
              <w:sz w:val="22"/>
              <w:szCs w:val="22"/>
            </w:rPr>
          </w:pPr>
          <w:hyperlink w:anchor="_Toc500403742" w:history="1">
            <w:r w:rsidR="001A07F3" w:rsidRPr="00B059F3">
              <w:rPr>
                <w:rStyle w:val="Hyperlink"/>
              </w:rPr>
              <w:t>B3. METHODS TO MAXIMIZE THE RESPONSE RATES AND TO DEAL WITH NONRESPONSE</w:t>
            </w:r>
            <w:r w:rsidR="001A07F3">
              <w:rPr>
                <w:webHidden/>
              </w:rPr>
              <w:tab/>
            </w:r>
            <w:r w:rsidR="001A07F3">
              <w:rPr>
                <w:webHidden/>
              </w:rPr>
              <w:fldChar w:fldCharType="begin"/>
            </w:r>
            <w:r w:rsidR="001A07F3">
              <w:rPr>
                <w:webHidden/>
              </w:rPr>
              <w:instrText xml:space="preserve"> PAGEREF _Toc500403742 \h </w:instrText>
            </w:r>
            <w:r w:rsidR="001A07F3">
              <w:rPr>
                <w:webHidden/>
              </w:rPr>
            </w:r>
            <w:r w:rsidR="001A07F3">
              <w:rPr>
                <w:webHidden/>
              </w:rPr>
              <w:fldChar w:fldCharType="separate"/>
            </w:r>
            <w:r w:rsidR="005428FA">
              <w:rPr>
                <w:webHidden/>
              </w:rPr>
              <w:t>14</w:t>
            </w:r>
            <w:r w:rsidR="001A07F3">
              <w:rPr>
                <w:webHidden/>
              </w:rPr>
              <w:fldChar w:fldCharType="end"/>
            </w:r>
          </w:hyperlink>
        </w:p>
        <w:p w14:paraId="09924EC3" w14:textId="77777777" w:rsidR="001A07F3" w:rsidRDefault="00CD077E">
          <w:pPr>
            <w:pStyle w:val="TOC1"/>
            <w:rPr>
              <w:rFonts w:asciiTheme="minorHAnsi" w:eastAsiaTheme="minorEastAsia" w:hAnsiTheme="minorHAnsi" w:cstheme="minorBidi"/>
              <w:b w:val="0"/>
              <w:bCs w:val="0"/>
              <w:caps w:val="0"/>
              <w:sz w:val="22"/>
              <w:szCs w:val="22"/>
            </w:rPr>
          </w:pPr>
          <w:hyperlink w:anchor="_Toc500403743" w:history="1">
            <w:r w:rsidR="001A07F3" w:rsidRPr="00B059F3">
              <w:rPr>
                <w:rStyle w:val="Hyperlink"/>
              </w:rPr>
              <w:t>B4. TEST OF PROCEDURES OR METHODS TO BE UNDERTAKEN</w:t>
            </w:r>
            <w:r w:rsidR="001A07F3">
              <w:rPr>
                <w:webHidden/>
              </w:rPr>
              <w:tab/>
            </w:r>
            <w:r w:rsidR="001A07F3">
              <w:rPr>
                <w:webHidden/>
              </w:rPr>
              <w:fldChar w:fldCharType="begin"/>
            </w:r>
            <w:r w:rsidR="001A07F3">
              <w:rPr>
                <w:webHidden/>
              </w:rPr>
              <w:instrText xml:space="preserve"> PAGEREF _Toc500403743 \h </w:instrText>
            </w:r>
            <w:r w:rsidR="001A07F3">
              <w:rPr>
                <w:webHidden/>
              </w:rPr>
            </w:r>
            <w:r w:rsidR="001A07F3">
              <w:rPr>
                <w:webHidden/>
              </w:rPr>
              <w:fldChar w:fldCharType="separate"/>
            </w:r>
            <w:r w:rsidR="005428FA">
              <w:rPr>
                <w:webHidden/>
              </w:rPr>
              <w:t>16</w:t>
            </w:r>
            <w:r w:rsidR="001A07F3">
              <w:rPr>
                <w:webHidden/>
              </w:rPr>
              <w:fldChar w:fldCharType="end"/>
            </w:r>
          </w:hyperlink>
        </w:p>
        <w:p w14:paraId="4CE449CF" w14:textId="77777777" w:rsidR="001A07F3" w:rsidRDefault="00CD077E">
          <w:pPr>
            <w:pStyle w:val="TOC1"/>
            <w:rPr>
              <w:rFonts w:asciiTheme="minorHAnsi" w:eastAsiaTheme="minorEastAsia" w:hAnsiTheme="minorHAnsi" w:cstheme="minorBidi"/>
              <w:b w:val="0"/>
              <w:bCs w:val="0"/>
              <w:caps w:val="0"/>
              <w:sz w:val="22"/>
              <w:szCs w:val="22"/>
            </w:rPr>
          </w:pPr>
          <w:hyperlink w:anchor="_Toc500403744" w:history="1">
            <w:r w:rsidR="001A07F3" w:rsidRPr="00B059F3">
              <w:rPr>
                <w:rStyle w:val="Hyperlink"/>
              </w:rPr>
              <w:t>B5.  INDIVIDUALS CONSULTED ON STATISTICAL ASPECTS &amp; INDIVIDUALS COLLECTING AND/OR ANALYZING DATA</w:t>
            </w:r>
            <w:r w:rsidR="001A07F3">
              <w:rPr>
                <w:webHidden/>
              </w:rPr>
              <w:tab/>
            </w:r>
            <w:r w:rsidR="001A07F3">
              <w:rPr>
                <w:webHidden/>
              </w:rPr>
              <w:fldChar w:fldCharType="begin"/>
            </w:r>
            <w:r w:rsidR="001A07F3">
              <w:rPr>
                <w:webHidden/>
              </w:rPr>
              <w:instrText xml:space="preserve"> PAGEREF _Toc500403744 \h </w:instrText>
            </w:r>
            <w:r w:rsidR="001A07F3">
              <w:rPr>
                <w:webHidden/>
              </w:rPr>
            </w:r>
            <w:r w:rsidR="001A07F3">
              <w:rPr>
                <w:webHidden/>
              </w:rPr>
              <w:fldChar w:fldCharType="separate"/>
            </w:r>
            <w:r w:rsidR="005428FA">
              <w:rPr>
                <w:webHidden/>
              </w:rPr>
              <w:t>18</w:t>
            </w:r>
            <w:r w:rsidR="001A07F3">
              <w:rPr>
                <w:webHidden/>
              </w:rPr>
              <w:fldChar w:fldCharType="end"/>
            </w:r>
          </w:hyperlink>
        </w:p>
        <w:p w14:paraId="54B2FBD0" w14:textId="6CF0622A" w:rsidR="001A07F3" w:rsidRDefault="001A07F3">
          <w:r>
            <w:rPr>
              <w:b/>
              <w:bCs/>
              <w:noProof/>
            </w:rPr>
            <w:fldChar w:fldCharType="end"/>
          </w:r>
        </w:p>
      </w:sdtContent>
    </w:sdt>
    <w:p w14:paraId="6DF2E636" w14:textId="77777777" w:rsidR="001A07F3" w:rsidRDefault="001A07F3" w:rsidP="00F1524F">
      <w:pPr>
        <w:widowControl/>
        <w:overflowPunct/>
        <w:autoSpaceDE/>
        <w:autoSpaceDN/>
        <w:adjustRightInd/>
        <w:spacing w:line="276" w:lineRule="auto"/>
        <w:textAlignment w:val="auto"/>
        <w:rPr>
          <w:b/>
          <w:sz w:val="22"/>
          <w:szCs w:val="22"/>
        </w:rPr>
      </w:pPr>
    </w:p>
    <w:p w14:paraId="5F3EDCCE" w14:textId="14C42E35" w:rsidR="00F1524F" w:rsidRPr="00AB3439" w:rsidRDefault="00AB3439" w:rsidP="00F1524F">
      <w:pPr>
        <w:widowControl/>
        <w:overflowPunct/>
        <w:autoSpaceDE/>
        <w:autoSpaceDN/>
        <w:adjustRightInd/>
        <w:spacing w:line="276" w:lineRule="auto"/>
        <w:textAlignment w:val="auto"/>
        <w:rPr>
          <w:rFonts w:asciiTheme="majorHAnsi" w:eastAsiaTheme="majorEastAsia" w:hAnsiTheme="majorHAnsi" w:cstheme="majorBidi"/>
          <w:color w:val="365F91" w:themeColor="accent1" w:themeShade="BF"/>
          <w:sz w:val="32"/>
          <w:szCs w:val="32"/>
        </w:rPr>
      </w:pPr>
      <w:r w:rsidRPr="00AB3439">
        <w:rPr>
          <w:rFonts w:asciiTheme="majorHAnsi" w:eastAsiaTheme="majorEastAsia" w:hAnsiTheme="majorHAnsi" w:cstheme="majorBidi"/>
          <w:color w:val="365F91" w:themeColor="accent1" w:themeShade="BF"/>
          <w:sz w:val="32"/>
          <w:szCs w:val="32"/>
        </w:rPr>
        <w:t>Tables</w:t>
      </w:r>
    </w:p>
    <w:p w14:paraId="1E820E1C" w14:textId="22575FD9" w:rsidR="00F1524F" w:rsidRPr="00F1524F" w:rsidRDefault="00F1524F" w:rsidP="00F1524F">
      <w:pPr>
        <w:pStyle w:val="TOC1"/>
        <w:rPr>
          <w:rStyle w:val="Hyperlink"/>
        </w:rPr>
      </w:pPr>
      <w:r>
        <w:rPr>
          <w:rStyle w:val="Hyperlink"/>
          <w:rFonts w:eastAsia="MS Mincho"/>
          <w:color w:val="auto"/>
          <w:sz w:val="22"/>
          <w:szCs w:val="22"/>
          <w:u w:val="none"/>
          <w:lang w:eastAsia="ja-JP"/>
        </w:rPr>
        <w:fldChar w:fldCharType="begin"/>
      </w:r>
      <w:r>
        <w:rPr>
          <w:rStyle w:val="Hyperlink"/>
          <w:rFonts w:eastAsia="MS Mincho"/>
          <w:color w:val="auto"/>
          <w:sz w:val="22"/>
          <w:szCs w:val="22"/>
          <w:u w:val="none"/>
          <w:lang w:eastAsia="ja-JP"/>
        </w:rPr>
        <w:instrText xml:space="preserve"> TOC \h \z \c "Table" </w:instrText>
      </w:r>
      <w:r>
        <w:rPr>
          <w:rStyle w:val="Hyperlink"/>
          <w:rFonts w:eastAsia="MS Mincho"/>
          <w:color w:val="auto"/>
          <w:sz w:val="22"/>
          <w:szCs w:val="22"/>
          <w:u w:val="none"/>
          <w:lang w:eastAsia="ja-JP"/>
        </w:rPr>
        <w:fldChar w:fldCharType="separate"/>
      </w:r>
      <w:hyperlink w:anchor="_Toc490743252" w:history="1">
        <w:r w:rsidRPr="00CF22D2">
          <w:rPr>
            <w:rStyle w:val="Hyperlink"/>
          </w:rPr>
          <w:t>Table 1: Sampling Methodology Overview for SNAP Retailers, TPPS and ISOs.</w:t>
        </w:r>
        <w:r w:rsidRPr="00F1524F">
          <w:rPr>
            <w:rStyle w:val="Hyperlink"/>
            <w:webHidden/>
          </w:rPr>
          <w:tab/>
        </w:r>
        <w:r w:rsidR="00655D1D">
          <w:rPr>
            <w:rStyle w:val="Hyperlink"/>
            <w:webHidden/>
          </w:rPr>
          <w:t>2</w:t>
        </w:r>
      </w:hyperlink>
    </w:p>
    <w:p w14:paraId="7E640ED3" w14:textId="0CF99BB1" w:rsidR="00F1524F" w:rsidRDefault="00CD077E" w:rsidP="00F1524F">
      <w:pPr>
        <w:pStyle w:val="TOC1"/>
      </w:pPr>
      <w:hyperlink w:anchor="_Toc490743253" w:history="1">
        <w:r w:rsidR="00F1524F" w:rsidRPr="00CF22D2">
          <w:rPr>
            <w:rStyle w:val="Hyperlink"/>
          </w:rPr>
          <w:t>Table 2: Sampling Frame Characteristics- Affiliation to a Chain, Urbanicity, and Sales</w:t>
        </w:r>
        <w:r w:rsidR="00F1524F" w:rsidRPr="00F1524F">
          <w:rPr>
            <w:rStyle w:val="Hyperlink"/>
            <w:webHidden/>
          </w:rPr>
          <w:tab/>
        </w:r>
        <w:r w:rsidR="00655D1D">
          <w:rPr>
            <w:rStyle w:val="Hyperlink"/>
            <w:webHidden/>
          </w:rPr>
          <w:t>4</w:t>
        </w:r>
      </w:hyperlink>
    </w:p>
    <w:p w14:paraId="5F99BFDE" w14:textId="77777777" w:rsidR="00F1524F" w:rsidRDefault="00F1524F" w:rsidP="00F1524F">
      <w:pPr>
        <w:widowControl/>
        <w:overflowPunct/>
        <w:autoSpaceDE/>
        <w:autoSpaceDN/>
        <w:adjustRightInd/>
        <w:spacing w:line="276" w:lineRule="auto"/>
        <w:textAlignment w:val="auto"/>
        <w:rPr>
          <w:rStyle w:val="Hyperlink"/>
          <w:rFonts w:eastAsia="MS Mincho"/>
          <w:color w:val="auto"/>
          <w:sz w:val="22"/>
          <w:szCs w:val="22"/>
          <w:u w:val="none"/>
          <w:lang w:eastAsia="ja-JP"/>
        </w:rPr>
      </w:pPr>
      <w:r>
        <w:rPr>
          <w:rStyle w:val="Hyperlink"/>
          <w:rFonts w:eastAsia="MS Mincho"/>
          <w:color w:val="auto"/>
          <w:sz w:val="22"/>
          <w:szCs w:val="22"/>
          <w:u w:val="none"/>
          <w:lang w:eastAsia="ja-JP"/>
        </w:rPr>
        <w:fldChar w:fldCharType="end"/>
      </w:r>
    </w:p>
    <w:p w14:paraId="68E2C97D" w14:textId="77777777" w:rsidR="00F1524F" w:rsidRDefault="00F1524F" w:rsidP="00F1524F">
      <w:pPr>
        <w:widowControl/>
        <w:overflowPunct/>
        <w:autoSpaceDE/>
        <w:autoSpaceDN/>
        <w:adjustRightInd/>
        <w:spacing w:line="276" w:lineRule="auto"/>
        <w:textAlignment w:val="auto"/>
        <w:rPr>
          <w:rStyle w:val="Hyperlink"/>
          <w:rFonts w:eastAsia="MS Mincho"/>
          <w:color w:val="auto"/>
          <w:sz w:val="22"/>
          <w:szCs w:val="22"/>
          <w:u w:val="none"/>
          <w:lang w:eastAsia="ja-JP"/>
        </w:rPr>
      </w:pPr>
    </w:p>
    <w:p w14:paraId="5323BE5F" w14:textId="6E06BCC5" w:rsidR="00F1524F" w:rsidRPr="00AB3439" w:rsidRDefault="00AB3439" w:rsidP="00F1524F">
      <w:pPr>
        <w:widowControl/>
        <w:overflowPunct/>
        <w:autoSpaceDE/>
        <w:autoSpaceDN/>
        <w:adjustRightInd/>
        <w:spacing w:line="276" w:lineRule="auto"/>
        <w:textAlignment w:val="auto"/>
        <w:rPr>
          <w:rFonts w:asciiTheme="majorHAnsi" w:eastAsiaTheme="majorEastAsia" w:hAnsiTheme="majorHAnsi" w:cstheme="majorBidi"/>
          <w:color w:val="365F91" w:themeColor="accent1" w:themeShade="BF"/>
          <w:sz w:val="32"/>
          <w:szCs w:val="32"/>
        </w:rPr>
      </w:pPr>
      <w:r w:rsidRPr="00AB3439">
        <w:rPr>
          <w:rFonts w:asciiTheme="majorHAnsi" w:eastAsiaTheme="majorEastAsia" w:hAnsiTheme="majorHAnsi" w:cstheme="majorBidi"/>
          <w:color w:val="365F91" w:themeColor="accent1" w:themeShade="BF"/>
          <w:sz w:val="32"/>
          <w:szCs w:val="32"/>
        </w:rPr>
        <w:t>Figures</w:t>
      </w:r>
    </w:p>
    <w:p w14:paraId="60AAB7F9" w14:textId="0A7B0596" w:rsidR="00F1524F" w:rsidRPr="00F1524F" w:rsidRDefault="00F1524F" w:rsidP="00F1524F">
      <w:pPr>
        <w:pStyle w:val="TOC1"/>
        <w:rPr>
          <w:rStyle w:val="Hyperlink"/>
        </w:rPr>
      </w:pPr>
      <w:r>
        <w:rPr>
          <w:rStyle w:val="Hyperlink"/>
          <w:rFonts w:eastAsia="MS Mincho"/>
          <w:color w:val="auto"/>
          <w:sz w:val="22"/>
          <w:szCs w:val="22"/>
          <w:u w:val="none"/>
          <w:lang w:eastAsia="ja-JP"/>
        </w:rPr>
        <w:fldChar w:fldCharType="begin"/>
      </w:r>
      <w:r>
        <w:rPr>
          <w:rStyle w:val="Hyperlink"/>
          <w:rFonts w:eastAsia="MS Mincho"/>
          <w:color w:val="auto"/>
          <w:sz w:val="22"/>
          <w:szCs w:val="22"/>
          <w:u w:val="none"/>
          <w:lang w:eastAsia="ja-JP"/>
        </w:rPr>
        <w:instrText xml:space="preserve"> TOC \h \z \c "Figure" </w:instrText>
      </w:r>
      <w:r>
        <w:rPr>
          <w:rStyle w:val="Hyperlink"/>
          <w:rFonts w:eastAsia="MS Mincho"/>
          <w:color w:val="auto"/>
          <w:sz w:val="22"/>
          <w:szCs w:val="22"/>
          <w:u w:val="none"/>
          <w:lang w:eastAsia="ja-JP"/>
        </w:rPr>
        <w:fldChar w:fldCharType="separate"/>
      </w:r>
      <w:hyperlink w:anchor="_Toc490743266" w:history="1">
        <w:r w:rsidRPr="00263295">
          <w:rPr>
            <w:rStyle w:val="Hyperlink"/>
          </w:rPr>
          <w:t>Figure 1: Process to Identify, Validate, Recruit and Interview ISOs</w:t>
        </w:r>
        <w:r w:rsidRPr="00F1524F">
          <w:rPr>
            <w:rStyle w:val="Hyperlink"/>
            <w:webHidden/>
          </w:rPr>
          <w:tab/>
        </w:r>
        <w:r w:rsidR="00655D1D">
          <w:rPr>
            <w:rStyle w:val="Hyperlink"/>
            <w:webHidden/>
          </w:rPr>
          <w:t>6</w:t>
        </w:r>
      </w:hyperlink>
    </w:p>
    <w:p w14:paraId="1060A9B8" w14:textId="78737BD0" w:rsidR="00F1524F" w:rsidRDefault="00CD077E" w:rsidP="00F1524F">
      <w:pPr>
        <w:pStyle w:val="TOC1"/>
        <w:rPr>
          <w:rFonts w:asciiTheme="minorHAnsi" w:eastAsiaTheme="minorEastAsia" w:hAnsiTheme="minorHAnsi" w:cstheme="minorBidi"/>
          <w:sz w:val="22"/>
          <w:szCs w:val="22"/>
        </w:rPr>
      </w:pPr>
      <w:hyperlink w:anchor="_Toc490743267" w:history="1">
        <w:r w:rsidR="00F1524F" w:rsidRPr="00F1524F">
          <w:rPr>
            <w:rStyle w:val="Hyperlink"/>
          </w:rPr>
          <w:t>Figure 2: SNAP Retailer Satisfaction Survey Data Collection Overview</w:t>
        </w:r>
        <w:r w:rsidR="00F1524F" w:rsidRPr="00F1524F">
          <w:rPr>
            <w:rStyle w:val="Hyperlink"/>
            <w:webHidden/>
          </w:rPr>
          <w:tab/>
        </w:r>
        <w:r w:rsidR="00655D1D">
          <w:rPr>
            <w:rStyle w:val="Hyperlink"/>
            <w:webHidden/>
          </w:rPr>
          <w:t>8</w:t>
        </w:r>
      </w:hyperlink>
    </w:p>
    <w:p w14:paraId="1E6DB4CB" w14:textId="77777777" w:rsidR="00293D96" w:rsidRDefault="00F1524F" w:rsidP="00F1524F">
      <w:pPr>
        <w:widowControl/>
        <w:overflowPunct/>
        <w:autoSpaceDE/>
        <w:autoSpaceDN/>
        <w:adjustRightInd/>
        <w:spacing w:line="276" w:lineRule="auto"/>
        <w:textAlignment w:val="auto"/>
        <w:rPr>
          <w:rStyle w:val="Hyperlink"/>
          <w:rFonts w:eastAsia="MS Mincho"/>
          <w:color w:val="auto"/>
          <w:sz w:val="22"/>
          <w:szCs w:val="22"/>
          <w:u w:val="none"/>
          <w:lang w:eastAsia="ja-JP"/>
        </w:rPr>
      </w:pPr>
      <w:r>
        <w:rPr>
          <w:rStyle w:val="Hyperlink"/>
          <w:rFonts w:eastAsia="MS Mincho"/>
          <w:color w:val="auto"/>
          <w:sz w:val="22"/>
          <w:szCs w:val="22"/>
          <w:u w:val="none"/>
          <w:lang w:eastAsia="ja-JP"/>
        </w:rPr>
        <w:fldChar w:fldCharType="end"/>
      </w:r>
    </w:p>
    <w:p w14:paraId="1206295A" w14:textId="77777777" w:rsidR="00293D96" w:rsidRDefault="00293D96" w:rsidP="00F1524F">
      <w:pPr>
        <w:widowControl/>
        <w:overflowPunct/>
        <w:autoSpaceDE/>
        <w:autoSpaceDN/>
        <w:adjustRightInd/>
        <w:spacing w:line="276" w:lineRule="auto"/>
        <w:textAlignment w:val="auto"/>
        <w:rPr>
          <w:rStyle w:val="Hyperlink"/>
          <w:rFonts w:eastAsia="MS Mincho"/>
          <w:color w:val="auto"/>
          <w:sz w:val="22"/>
          <w:szCs w:val="22"/>
          <w:u w:val="none"/>
          <w:lang w:eastAsia="ja-JP"/>
        </w:rPr>
      </w:pPr>
    </w:p>
    <w:p w14:paraId="116D182C" w14:textId="508135FB" w:rsidR="00293D96" w:rsidRPr="00AB3439" w:rsidRDefault="00AB3439" w:rsidP="00293D96">
      <w:pPr>
        <w:widowControl/>
        <w:overflowPunct/>
        <w:autoSpaceDE/>
        <w:autoSpaceDN/>
        <w:adjustRightInd/>
        <w:spacing w:line="276" w:lineRule="auto"/>
        <w:textAlignment w:val="auto"/>
        <w:rPr>
          <w:rFonts w:asciiTheme="majorHAnsi" w:eastAsiaTheme="majorEastAsia" w:hAnsiTheme="majorHAnsi" w:cstheme="majorBidi"/>
          <w:color w:val="365F91" w:themeColor="accent1" w:themeShade="BF"/>
          <w:sz w:val="32"/>
          <w:szCs w:val="32"/>
        </w:rPr>
      </w:pPr>
      <w:r w:rsidRPr="00AB3439">
        <w:rPr>
          <w:rFonts w:asciiTheme="majorHAnsi" w:eastAsiaTheme="majorEastAsia" w:hAnsiTheme="majorHAnsi" w:cstheme="majorBidi"/>
          <w:color w:val="365F91" w:themeColor="accent1" w:themeShade="BF"/>
          <w:sz w:val="32"/>
          <w:szCs w:val="32"/>
        </w:rPr>
        <w:t>Attachments</w:t>
      </w:r>
    </w:p>
    <w:p w14:paraId="12D32485" w14:textId="77777777" w:rsidR="00AB5494" w:rsidRPr="00AB5494" w:rsidRDefault="00AB5494" w:rsidP="00AB5494">
      <w:pPr>
        <w:pStyle w:val="TOC1"/>
        <w:rPr>
          <w:rStyle w:val="Hyperlink"/>
          <w:color w:val="auto"/>
          <w:u w:val="none"/>
        </w:rPr>
      </w:pPr>
      <w:bookmarkStart w:id="1" w:name="_Hlk499564541"/>
      <w:r w:rsidRPr="00AB5494">
        <w:rPr>
          <w:rStyle w:val="Hyperlink"/>
          <w:color w:val="auto"/>
          <w:u w:val="none"/>
        </w:rPr>
        <w:t>Appendix A: Study Objectives and Research Questions</w:t>
      </w:r>
    </w:p>
    <w:p w14:paraId="492CBC63" w14:textId="77777777" w:rsidR="00AB5494" w:rsidRPr="00AB5494" w:rsidRDefault="00AB5494" w:rsidP="00AB5494">
      <w:pPr>
        <w:pStyle w:val="TOC1"/>
        <w:rPr>
          <w:rStyle w:val="Hyperlink"/>
          <w:color w:val="auto"/>
          <w:u w:val="none"/>
        </w:rPr>
      </w:pPr>
      <w:r w:rsidRPr="00AB5494">
        <w:rPr>
          <w:rStyle w:val="Hyperlink"/>
          <w:color w:val="auto"/>
          <w:u w:val="none"/>
        </w:rPr>
        <w:t>Appendix B: Legal AuthoritY</w:t>
      </w:r>
    </w:p>
    <w:p w14:paraId="5443F309" w14:textId="1FCF2471" w:rsidR="00AB5494" w:rsidRPr="00AB5494" w:rsidRDefault="00AB5494" w:rsidP="00AB5494">
      <w:pPr>
        <w:pStyle w:val="TOC1"/>
        <w:rPr>
          <w:rStyle w:val="Hyperlink"/>
          <w:color w:val="auto"/>
          <w:u w:val="none"/>
        </w:rPr>
      </w:pPr>
      <w:r w:rsidRPr="00AB5494">
        <w:rPr>
          <w:rStyle w:val="Hyperlink"/>
          <w:color w:val="auto"/>
          <w:u w:val="none"/>
        </w:rPr>
        <w:t xml:space="preserve">APPENDIX C: </w:t>
      </w:r>
      <w:r w:rsidR="002C5D61">
        <w:rPr>
          <w:rStyle w:val="Hyperlink"/>
          <w:color w:val="auto"/>
          <w:u w:val="none"/>
        </w:rPr>
        <w:t>SNAP RETAILER SURVEY SCREENSHOT</w:t>
      </w:r>
      <w:r w:rsidR="00DA6907">
        <w:rPr>
          <w:rStyle w:val="Hyperlink"/>
          <w:color w:val="auto"/>
          <w:u w:val="none"/>
        </w:rPr>
        <w:t>S</w:t>
      </w:r>
    </w:p>
    <w:p w14:paraId="4DCF8EA3" w14:textId="77777777" w:rsidR="00AB5494" w:rsidRPr="00AB5494" w:rsidRDefault="00AB5494" w:rsidP="00AB5494">
      <w:pPr>
        <w:pStyle w:val="TOC1"/>
        <w:rPr>
          <w:rStyle w:val="Hyperlink"/>
          <w:color w:val="auto"/>
          <w:u w:val="none"/>
        </w:rPr>
      </w:pPr>
      <w:r w:rsidRPr="00AB5494">
        <w:rPr>
          <w:rStyle w:val="Hyperlink"/>
          <w:color w:val="auto"/>
          <w:u w:val="none"/>
        </w:rPr>
        <w:t>APPENDIX D: Data collection instruments- pRETEST results</w:t>
      </w:r>
    </w:p>
    <w:p w14:paraId="2E9FF269" w14:textId="77777777" w:rsidR="00AB5494" w:rsidRPr="00AB5494" w:rsidRDefault="00AB5494" w:rsidP="00AB5494">
      <w:pPr>
        <w:pStyle w:val="TOC1"/>
        <w:rPr>
          <w:rStyle w:val="Hyperlink"/>
          <w:color w:val="auto"/>
          <w:u w:val="none"/>
        </w:rPr>
      </w:pPr>
      <w:r w:rsidRPr="00AB5494">
        <w:rPr>
          <w:rStyle w:val="Hyperlink"/>
          <w:color w:val="auto"/>
          <w:u w:val="none"/>
        </w:rPr>
        <w:t>Appendix E: Data Confidentiality Agreement</w:t>
      </w:r>
    </w:p>
    <w:p w14:paraId="49236EE6" w14:textId="77777777" w:rsidR="00AB5494" w:rsidRPr="00AB5494" w:rsidRDefault="00AB5494" w:rsidP="00AB5494">
      <w:pPr>
        <w:pStyle w:val="TOC1"/>
        <w:rPr>
          <w:rStyle w:val="Hyperlink"/>
          <w:color w:val="auto"/>
          <w:u w:val="none"/>
        </w:rPr>
      </w:pPr>
      <w:r w:rsidRPr="00AB5494">
        <w:rPr>
          <w:rStyle w:val="Hyperlink"/>
          <w:color w:val="auto"/>
          <w:u w:val="none"/>
        </w:rPr>
        <w:t>Appendix F: SNAP RETAILER Survey Invitation Letter</w:t>
      </w:r>
    </w:p>
    <w:p w14:paraId="6F6255B4" w14:textId="77777777" w:rsidR="00AB5494" w:rsidRPr="00AB5494" w:rsidRDefault="00AB5494" w:rsidP="00AB5494">
      <w:pPr>
        <w:pStyle w:val="TOC1"/>
        <w:rPr>
          <w:rStyle w:val="Hyperlink"/>
          <w:color w:val="auto"/>
          <w:u w:val="none"/>
        </w:rPr>
      </w:pPr>
      <w:r w:rsidRPr="00AB5494">
        <w:rPr>
          <w:rStyle w:val="Hyperlink"/>
          <w:color w:val="auto"/>
          <w:u w:val="none"/>
        </w:rPr>
        <w:t>Appendix G: SNAP RETAILER Survey Invitation Letter- 2</w:t>
      </w:r>
      <w:r w:rsidRPr="00AB5494">
        <w:rPr>
          <w:rStyle w:val="Hyperlink"/>
          <w:color w:val="auto"/>
          <w:u w:val="none"/>
          <w:vertAlign w:val="superscript"/>
        </w:rPr>
        <w:t>nd</w:t>
      </w:r>
      <w:r w:rsidRPr="00AB5494">
        <w:rPr>
          <w:rStyle w:val="Hyperlink"/>
          <w:color w:val="auto"/>
          <w:u w:val="none"/>
        </w:rPr>
        <w:t xml:space="preserve"> CONTACT</w:t>
      </w:r>
    </w:p>
    <w:p w14:paraId="2A7EC6AA" w14:textId="77777777" w:rsidR="00AB5494" w:rsidRPr="00AB5494" w:rsidRDefault="00AB5494" w:rsidP="00AB5494">
      <w:pPr>
        <w:pStyle w:val="TOC1"/>
        <w:rPr>
          <w:rStyle w:val="Hyperlink"/>
          <w:color w:val="auto"/>
          <w:u w:val="none"/>
        </w:rPr>
      </w:pPr>
      <w:r w:rsidRPr="00AB5494">
        <w:rPr>
          <w:rStyle w:val="Hyperlink"/>
          <w:color w:val="auto"/>
          <w:u w:val="none"/>
        </w:rPr>
        <w:t>APPENDIX H: SNAP RETAILER SURVEY invitation PHONE script- 3</w:t>
      </w:r>
      <w:r w:rsidRPr="00AB5494">
        <w:rPr>
          <w:rStyle w:val="Hyperlink"/>
          <w:color w:val="auto"/>
          <w:u w:val="none"/>
          <w:vertAlign w:val="superscript"/>
        </w:rPr>
        <w:t>rd</w:t>
      </w:r>
      <w:r w:rsidRPr="00AB5494">
        <w:rPr>
          <w:rStyle w:val="Hyperlink"/>
          <w:color w:val="auto"/>
          <w:u w:val="none"/>
        </w:rPr>
        <w:t xml:space="preserve"> CONTACT</w:t>
      </w:r>
    </w:p>
    <w:p w14:paraId="5C982D5D" w14:textId="77777777" w:rsidR="00AB5494" w:rsidRPr="00AB5494" w:rsidRDefault="00AB5494" w:rsidP="00AB5494">
      <w:pPr>
        <w:pStyle w:val="TOC1"/>
        <w:rPr>
          <w:rStyle w:val="Hyperlink"/>
          <w:color w:val="auto"/>
          <w:u w:val="none"/>
        </w:rPr>
      </w:pPr>
      <w:r w:rsidRPr="00AB5494">
        <w:rPr>
          <w:rStyle w:val="Hyperlink"/>
          <w:color w:val="auto"/>
          <w:u w:val="none"/>
        </w:rPr>
        <w:t>Appendix I: SNAP RETAILER Survey in English</w:t>
      </w:r>
    </w:p>
    <w:p w14:paraId="55113F2C" w14:textId="77777777" w:rsidR="00AB5494" w:rsidRPr="00AB5494" w:rsidRDefault="00AB5494" w:rsidP="00AB5494">
      <w:pPr>
        <w:pStyle w:val="TOC1"/>
        <w:rPr>
          <w:rStyle w:val="Hyperlink"/>
          <w:color w:val="auto"/>
          <w:u w:val="none"/>
        </w:rPr>
      </w:pPr>
      <w:r w:rsidRPr="00AB5494">
        <w:rPr>
          <w:rStyle w:val="Hyperlink"/>
          <w:color w:val="auto"/>
          <w:u w:val="none"/>
        </w:rPr>
        <w:t>Appendix J: SNAP RETAILER Survey in Spanish</w:t>
      </w:r>
    </w:p>
    <w:p w14:paraId="11B15487" w14:textId="77777777" w:rsidR="00AB5494" w:rsidRPr="00AB5494" w:rsidRDefault="00AB5494" w:rsidP="00AB5494">
      <w:pPr>
        <w:pStyle w:val="TOC1"/>
        <w:rPr>
          <w:rStyle w:val="Hyperlink"/>
          <w:color w:val="auto"/>
          <w:u w:val="none"/>
        </w:rPr>
      </w:pPr>
      <w:r w:rsidRPr="00AB5494">
        <w:rPr>
          <w:rStyle w:val="Hyperlink"/>
          <w:color w:val="auto"/>
          <w:u w:val="none"/>
        </w:rPr>
        <w:t>Appendix K: EBT Vendor Interview Invitation Letter</w:t>
      </w:r>
    </w:p>
    <w:p w14:paraId="5B0474D7" w14:textId="77777777" w:rsidR="00AB5494" w:rsidRPr="00AB5494" w:rsidRDefault="00AB5494" w:rsidP="00AB5494">
      <w:pPr>
        <w:pStyle w:val="TOC1"/>
        <w:rPr>
          <w:rStyle w:val="Hyperlink"/>
          <w:color w:val="auto"/>
          <w:u w:val="none"/>
        </w:rPr>
      </w:pPr>
      <w:r w:rsidRPr="00AB5494">
        <w:rPr>
          <w:rStyle w:val="Hyperlink"/>
          <w:color w:val="auto"/>
          <w:u w:val="none"/>
        </w:rPr>
        <w:t>Appendix L: EBT Vendor Interview Guide</w:t>
      </w:r>
    </w:p>
    <w:p w14:paraId="550345FA" w14:textId="77777777" w:rsidR="00AB5494" w:rsidRPr="00AB5494" w:rsidRDefault="00AB5494" w:rsidP="00AB5494">
      <w:pPr>
        <w:pStyle w:val="TOC1"/>
        <w:rPr>
          <w:rStyle w:val="Hyperlink"/>
          <w:color w:val="auto"/>
          <w:u w:val="none"/>
        </w:rPr>
      </w:pPr>
      <w:r w:rsidRPr="00AB5494">
        <w:rPr>
          <w:rStyle w:val="Hyperlink"/>
          <w:color w:val="auto"/>
          <w:u w:val="none"/>
        </w:rPr>
        <w:t>APPENDIX M: Estimated Total Annual Burden Table (Excel)</w:t>
      </w:r>
    </w:p>
    <w:p w14:paraId="79A07AE8" w14:textId="77777777" w:rsidR="00AB5494" w:rsidRPr="00AB5494" w:rsidRDefault="00AB5494" w:rsidP="00AB5494">
      <w:pPr>
        <w:pStyle w:val="TOC1"/>
        <w:rPr>
          <w:rStyle w:val="Hyperlink"/>
          <w:color w:val="auto"/>
          <w:u w:val="none"/>
        </w:rPr>
      </w:pPr>
      <w:r w:rsidRPr="00AB5494">
        <w:rPr>
          <w:rStyle w:val="Hyperlink"/>
          <w:color w:val="auto"/>
          <w:u w:val="none"/>
        </w:rPr>
        <w:t>APPENDIX N: Estimated Cost of Time burden table (Excel)</w:t>
      </w:r>
    </w:p>
    <w:bookmarkEnd w:id="1"/>
    <w:p w14:paraId="53E88CCD" w14:textId="77777777" w:rsidR="00687206" w:rsidRDefault="00687206" w:rsidP="00F1524F">
      <w:pPr>
        <w:widowControl/>
        <w:overflowPunct/>
        <w:autoSpaceDE/>
        <w:autoSpaceDN/>
        <w:adjustRightInd/>
        <w:spacing w:line="276" w:lineRule="auto"/>
        <w:textAlignment w:val="auto"/>
        <w:rPr>
          <w:rStyle w:val="Hyperlink"/>
          <w:rFonts w:eastAsia="MS Mincho"/>
          <w:color w:val="auto"/>
          <w:sz w:val="22"/>
          <w:szCs w:val="22"/>
          <w:u w:val="none"/>
          <w:lang w:eastAsia="ja-JP"/>
        </w:rPr>
        <w:sectPr w:rsidR="00687206" w:rsidSect="00BD776D">
          <w:headerReference w:type="default" r:id="rId9"/>
          <w:footerReference w:type="default" r:id="rId10"/>
          <w:footerReference w:type="first" r:id="rId11"/>
          <w:endnotePr>
            <w:numFmt w:val="decimal"/>
          </w:endnotePr>
          <w:pgSz w:w="12240" w:h="15840"/>
          <w:pgMar w:top="1152" w:right="1440" w:bottom="1152" w:left="1440" w:header="720" w:footer="720" w:gutter="0"/>
          <w:pgNumType w:start="1"/>
          <w:cols w:space="720"/>
          <w:noEndnote/>
          <w:titlePg/>
          <w:docGrid w:linePitch="326"/>
        </w:sectPr>
      </w:pPr>
    </w:p>
    <w:p w14:paraId="2F32F4B1" w14:textId="45C9F23F" w:rsidR="00417531" w:rsidRPr="00AB3439" w:rsidRDefault="00417531" w:rsidP="00AB3439">
      <w:pPr>
        <w:widowControl/>
        <w:overflowPunct/>
        <w:autoSpaceDE/>
        <w:autoSpaceDN/>
        <w:adjustRightInd/>
        <w:spacing w:line="276" w:lineRule="auto"/>
        <w:textAlignment w:val="auto"/>
        <w:rPr>
          <w:rFonts w:asciiTheme="majorHAnsi" w:eastAsiaTheme="majorEastAsia" w:hAnsiTheme="majorHAnsi" w:cstheme="majorBidi"/>
          <w:color w:val="365F91" w:themeColor="accent1" w:themeShade="BF"/>
          <w:sz w:val="32"/>
          <w:szCs w:val="32"/>
        </w:rPr>
      </w:pPr>
      <w:bookmarkStart w:id="2" w:name="_Toc449548046"/>
      <w:bookmarkStart w:id="3" w:name="_Toc485894993"/>
      <w:r w:rsidRPr="00AB3439">
        <w:rPr>
          <w:rFonts w:asciiTheme="majorHAnsi" w:eastAsiaTheme="majorEastAsia" w:hAnsiTheme="majorHAnsi" w:cstheme="majorBidi"/>
          <w:color w:val="365F91" w:themeColor="accent1" w:themeShade="BF"/>
          <w:sz w:val="32"/>
          <w:szCs w:val="32"/>
        </w:rPr>
        <w:t>PART B: Collection of Information Employing Statistical Methods</w:t>
      </w:r>
    </w:p>
    <w:p w14:paraId="21A6637F" w14:textId="77777777" w:rsidR="00733394" w:rsidRPr="00733394" w:rsidRDefault="00733394" w:rsidP="00733394">
      <w:pPr>
        <w:spacing w:after="120" w:line="276" w:lineRule="auto"/>
        <w:rPr>
          <w:b/>
        </w:rPr>
      </w:pPr>
    </w:p>
    <w:p w14:paraId="0F03B0EF" w14:textId="01FF036C" w:rsidR="00CA5FD8" w:rsidRPr="00996E16" w:rsidRDefault="00417531" w:rsidP="00733394">
      <w:pPr>
        <w:pStyle w:val="Heading1"/>
        <w:spacing w:after="120" w:line="276" w:lineRule="auto"/>
        <w:rPr>
          <w:color w:val="000000" w:themeColor="text1"/>
        </w:rPr>
      </w:pPr>
      <w:bookmarkStart w:id="4" w:name="_Toc500403534"/>
      <w:bookmarkStart w:id="5" w:name="_Toc500403740"/>
      <w:r w:rsidRPr="00996E16">
        <w:rPr>
          <w:color w:val="000000" w:themeColor="text1"/>
        </w:rPr>
        <w:t>B1. RESPONDENT UNIVERSE AND SAMPLING METHODS</w:t>
      </w:r>
      <w:bookmarkEnd w:id="2"/>
      <w:bookmarkEnd w:id="3"/>
      <w:bookmarkEnd w:id="4"/>
      <w:bookmarkEnd w:id="5"/>
    </w:p>
    <w:p w14:paraId="77AAB8AB" w14:textId="2D3ABD3D" w:rsidR="00CA5FD8" w:rsidRDefault="00CA5FD8" w:rsidP="00371ACB">
      <w:pPr>
        <w:tabs>
          <w:tab w:val="left" w:pos="-720"/>
        </w:tabs>
        <w:suppressAutoHyphens/>
        <w:spacing w:after="240" w:line="276" w:lineRule="auto"/>
        <w:rPr>
          <w:szCs w:val="24"/>
        </w:rPr>
      </w:pPr>
      <w:r w:rsidRPr="00996E16">
        <w:rPr>
          <w:b/>
          <w:color w:val="000000" w:themeColor="text1"/>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26F27864" w14:textId="103E5CEE" w:rsidR="00DC46DA" w:rsidRPr="00F1524F" w:rsidRDefault="00DC46DA" w:rsidP="006002A1">
      <w:pPr>
        <w:tabs>
          <w:tab w:val="left" w:pos="720"/>
        </w:tabs>
        <w:spacing w:after="120" w:line="480" w:lineRule="auto"/>
        <w:jc w:val="both"/>
        <w:rPr>
          <w:bCs/>
          <w:szCs w:val="24"/>
        </w:rPr>
      </w:pPr>
      <w:r>
        <w:tab/>
      </w:r>
      <w:r w:rsidR="00417531" w:rsidRPr="00F1524F">
        <w:rPr>
          <w:szCs w:val="24"/>
        </w:rPr>
        <w:t xml:space="preserve">The </w:t>
      </w:r>
      <w:r w:rsidRPr="00F1524F">
        <w:rPr>
          <w:szCs w:val="24"/>
        </w:rPr>
        <w:t xml:space="preserve">goal of the </w:t>
      </w:r>
      <w:r w:rsidR="00417531" w:rsidRPr="00F1524F">
        <w:rPr>
          <w:i/>
          <w:szCs w:val="24"/>
        </w:rPr>
        <w:t>Study of Third-Party Processor Services, Fees, and Business Practices</w:t>
      </w:r>
      <w:r w:rsidR="00417531" w:rsidRPr="00F1524F">
        <w:rPr>
          <w:szCs w:val="24"/>
        </w:rPr>
        <w:t xml:space="preserve"> </w:t>
      </w:r>
      <w:r w:rsidRPr="00F1524F">
        <w:rPr>
          <w:bCs/>
          <w:szCs w:val="24"/>
        </w:rPr>
        <w:t>is to understand the business practices of third</w:t>
      </w:r>
      <w:r w:rsidR="00472F75" w:rsidRPr="00F1524F">
        <w:rPr>
          <w:bCs/>
          <w:szCs w:val="24"/>
        </w:rPr>
        <w:t>-</w:t>
      </w:r>
      <w:r w:rsidRPr="00F1524F">
        <w:rPr>
          <w:bCs/>
          <w:szCs w:val="24"/>
        </w:rPr>
        <w:t xml:space="preserve">party processors (TPPs) and independent sales organizations (ISOs) that provide </w:t>
      </w:r>
      <w:r w:rsidR="00472F75" w:rsidRPr="00F1524F">
        <w:rPr>
          <w:bCs/>
          <w:szCs w:val="24"/>
        </w:rPr>
        <w:t>E</w:t>
      </w:r>
      <w:r w:rsidR="006002A1" w:rsidRPr="00F1524F">
        <w:rPr>
          <w:bCs/>
          <w:szCs w:val="24"/>
        </w:rPr>
        <w:t xml:space="preserve">lectronic </w:t>
      </w:r>
      <w:r w:rsidR="00472F75" w:rsidRPr="00F1524F">
        <w:rPr>
          <w:bCs/>
          <w:szCs w:val="24"/>
        </w:rPr>
        <w:t>B</w:t>
      </w:r>
      <w:r w:rsidR="006002A1" w:rsidRPr="00F1524F">
        <w:rPr>
          <w:bCs/>
          <w:szCs w:val="24"/>
        </w:rPr>
        <w:t xml:space="preserve">enefits </w:t>
      </w:r>
      <w:r w:rsidR="00472F75" w:rsidRPr="00F1524F">
        <w:rPr>
          <w:bCs/>
          <w:szCs w:val="24"/>
        </w:rPr>
        <w:t>T</w:t>
      </w:r>
      <w:r w:rsidR="006002A1" w:rsidRPr="00F1524F">
        <w:rPr>
          <w:bCs/>
          <w:szCs w:val="24"/>
        </w:rPr>
        <w:t>ransfer (</w:t>
      </w:r>
      <w:r w:rsidRPr="00F1524F">
        <w:rPr>
          <w:bCs/>
          <w:szCs w:val="24"/>
        </w:rPr>
        <w:t>EBT</w:t>
      </w:r>
      <w:r w:rsidR="006002A1" w:rsidRPr="00F1524F">
        <w:rPr>
          <w:bCs/>
          <w:szCs w:val="24"/>
        </w:rPr>
        <w:t>)</w:t>
      </w:r>
      <w:r w:rsidRPr="00F1524F">
        <w:rPr>
          <w:bCs/>
          <w:szCs w:val="24"/>
        </w:rPr>
        <w:t xml:space="preserve"> processing services and equipment to </w:t>
      </w:r>
      <w:r w:rsidR="0033708D" w:rsidRPr="00F1524F">
        <w:t>Supplemental Nutrition Assistance Program (</w:t>
      </w:r>
      <w:r w:rsidRPr="00F1524F">
        <w:rPr>
          <w:bCs/>
          <w:szCs w:val="24"/>
        </w:rPr>
        <w:t>SNAP</w:t>
      </w:r>
      <w:r w:rsidR="0033708D" w:rsidRPr="00F1524F">
        <w:rPr>
          <w:bCs/>
          <w:szCs w:val="24"/>
        </w:rPr>
        <w:t>)</w:t>
      </w:r>
      <w:r w:rsidR="003B1005">
        <w:rPr>
          <w:bCs/>
          <w:szCs w:val="24"/>
        </w:rPr>
        <w:t xml:space="preserve"> </w:t>
      </w:r>
      <w:r w:rsidRPr="00F1524F">
        <w:rPr>
          <w:bCs/>
          <w:szCs w:val="24"/>
        </w:rPr>
        <w:t>authorized retailers to</w:t>
      </w:r>
      <w:r w:rsidR="00472F75" w:rsidRPr="00F1524F">
        <w:rPr>
          <w:bCs/>
          <w:szCs w:val="24"/>
        </w:rPr>
        <w:t>:</w:t>
      </w:r>
      <w:r w:rsidRPr="00F1524F">
        <w:rPr>
          <w:bCs/>
          <w:szCs w:val="24"/>
        </w:rPr>
        <w:t xml:space="preserve"> (1)</w:t>
      </w:r>
      <w:r w:rsidR="0033708D" w:rsidRPr="00F1524F">
        <w:rPr>
          <w:bCs/>
          <w:szCs w:val="24"/>
        </w:rPr>
        <w:t> </w:t>
      </w:r>
      <w:r w:rsidRPr="00F1524F">
        <w:rPr>
          <w:bCs/>
          <w:szCs w:val="24"/>
        </w:rPr>
        <w:t>describe the contractual agreements between SNAP retailers and ISOs and with TPPs and (2) describe the SNAP retailers’ level of satisfaction with the ISOs and TPPs.</w:t>
      </w:r>
      <w:r w:rsidR="006002A1" w:rsidRPr="00F1524F">
        <w:rPr>
          <w:bCs/>
          <w:szCs w:val="24"/>
        </w:rPr>
        <w:t xml:space="preserve"> </w:t>
      </w:r>
      <w:r w:rsidRPr="00F1524F">
        <w:rPr>
          <w:szCs w:val="24"/>
        </w:rPr>
        <w:t xml:space="preserve">The study results will provide </w:t>
      </w:r>
      <w:r w:rsidR="0033708D" w:rsidRPr="00F1524F">
        <w:t>the U.S. Department of Agriculture’s (USDA) Food and Nutrition Service</w:t>
      </w:r>
      <w:r w:rsidR="0033708D" w:rsidRPr="00F1524F">
        <w:rPr>
          <w:szCs w:val="24"/>
        </w:rPr>
        <w:t xml:space="preserve"> (</w:t>
      </w:r>
      <w:r w:rsidRPr="00F1524F">
        <w:rPr>
          <w:szCs w:val="24"/>
        </w:rPr>
        <w:t>FNS</w:t>
      </w:r>
      <w:r w:rsidR="0033708D" w:rsidRPr="00F1524F">
        <w:rPr>
          <w:szCs w:val="24"/>
        </w:rPr>
        <w:t>)</w:t>
      </w:r>
      <w:r w:rsidRPr="00F1524F">
        <w:rPr>
          <w:szCs w:val="24"/>
        </w:rPr>
        <w:t xml:space="preserve"> with the information needed to inform future FNS policies regarding requirements for vendors providing EBT equipment and services to </w:t>
      </w:r>
      <w:r w:rsidR="00AC76BA">
        <w:rPr>
          <w:szCs w:val="24"/>
        </w:rPr>
        <w:t xml:space="preserve">SNAP </w:t>
      </w:r>
      <w:r w:rsidRPr="00F1524F">
        <w:rPr>
          <w:szCs w:val="24"/>
        </w:rPr>
        <w:t>authorized retailers and the TPP services-related guidance for retailers.</w:t>
      </w:r>
    </w:p>
    <w:p w14:paraId="677DF69E" w14:textId="78E08F98" w:rsidR="006002A1" w:rsidRDefault="00850CC6" w:rsidP="00521EC7">
      <w:pPr>
        <w:tabs>
          <w:tab w:val="left" w:pos="-720"/>
        </w:tabs>
        <w:suppressAutoHyphens/>
        <w:spacing w:after="120" w:line="480" w:lineRule="auto"/>
        <w:jc w:val="both"/>
        <w:rPr>
          <w:szCs w:val="24"/>
        </w:rPr>
      </w:pPr>
      <w:r w:rsidRPr="00F1524F">
        <w:rPr>
          <w:color w:val="FF0000"/>
          <w:szCs w:val="24"/>
        </w:rPr>
        <w:tab/>
      </w:r>
      <w:r w:rsidR="00417531" w:rsidRPr="00F1524F">
        <w:rPr>
          <w:szCs w:val="24"/>
        </w:rPr>
        <w:t>The study will collect information from t</w:t>
      </w:r>
      <w:r w:rsidR="006002A1" w:rsidRPr="00F1524F">
        <w:rPr>
          <w:szCs w:val="24"/>
        </w:rPr>
        <w:t>wo groups of respondents: (1) SNAP</w:t>
      </w:r>
      <w:r w:rsidR="0033708D" w:rsidRPr="00F1524F">
        <w:rPr>
          <w:szCs w:val="24"/>
        </w:rPr>
        <w:t>-</w:t>
      </w:r>
      <w:r w:rsidR="006002A1" w:rsidRPr="00F1524F">
        <w:rPr>
          <w:szCs w:val="24"/>
        </w:rPr>
        <w:t xml:space="preserve">authorized retailers </w:t>
      </w:r>
      <w:r w:rsidR="0033708D" w:rsidRPr="00F1524F">
        <w:rPr>
          <w:szCs w:val="24"/>
        </w:rPr>
        <w:t xml:space="preserve">through </w:t>
      </w:r>
      <w:r w:rsidR="007B751E">
        <w:rPr>
          <w:szCs w:val="24"/>
        </w:rPr>
        <w:t xml:space="preserve">a </w:t>
      </w:r>
      <w:r w:rsidR="00282B55">
        <w:rPr>
          <w:szCs w:val="24"/>
        </w:rPr>
        <w:t>SNAP Retailer Survey</w:t>
      </w:r>
      <w:r w:rsidR="006002A1" w:rsidRPr="00F1524F">
        <w:rPr>
          <w:szCs w:val="24"/>
        </w:rPr>
        <w:t xml:space="preserve"> </w:t>
      </w:r>
      <w:r w:rsidR="003B43D0">
        <w:rPr>
          <w:szCs w:val="24"/>
        </w:rPr>
        <w:t xml:space="preserve">(Appendix </w:t>
      </w:r>
      <w:r w:rsidR="00A22B67">
        <w:rPr>
          <w:szCs w:val="24"/>
        </w:rPr>
        <w:t xml:space="preserve">C, </w:t>
      </w:r>
      <w:r w:rsidR="0047581F">
        <w:rPr>
          <w:szCs w:val="24"/>
        </w:rPr>
        <w:t>I</w:t>
      </w:r>
      <w:r w:rsidR="00A22B67">
        <w:rPr>
          <w:szCs w:val="24"/>
        </w:rPr>
        <w:t>, J</w:t>
      </w:r>
      <w:r w:rsidR="007B751E">
        <w:rPr>
          <w:szCs w:val="24"/>
        </w:rPr>
        <w:t xml:space="preserve">) </w:t>
      </w:r>
      <w:r w:rsidR="006002A1" w:rsidRPr="00F1524F">
        <w:rPr>
          <w:szCs w:val="24"/>
        </w:rPr>
        <w:t>and (2) SNAP vendors</w:t>
      </w:r>
      <w:r w:rsidR="00BF5E60">
        <w:rPr>
          <w:szCs w:val="24"/>
        </w:rPr>
        <w:t xml:space="preserve"> -</w:t>
      </w:r>
      <w:r w:rsidR="006002A1" w:rsidRPr="00F1524F">
        <w:rPr>
          <w:szCs w:val="24"/>
        </w:rPr>
        <w:t xml:space="preserve"> TPPs</w:t>
      </w:r>
      <w:r w:rsidR="0033708D" w:rsidRPr="00F1524F">
        <w:rPr>
          <w:szCs w:val="24"/>
        </w:rPr>
        <w:t>,</w:t>
      </w:r>
      <w:r w:rsidR="006002A1" w:rsidRPr="00F1524F">
        <w:rPr>
          <w:szCs w:val="24"/>
        </w:rPr>
        <w:t xml:space="preserve"> and ISOs </w:t>
      </w:r>
      <w:r w:rsidR="0033708D" w:rsidRPr="00F1524F">
        <w:rPr>
          <w:szCs w:val="24"/>
        </w:rPr>
        <w:t xml:space="preserve">that </w:t>
      </w:r>
      <w:r w:rsidR="006002A1" w:rsidRPr="00F1524F">
        <w:rPr>
          <w:szCs w:val="24"/>
        </w:rPr>
        <w:t>sell EBT services or equipment to the SNAP</w:t>
      </w:r>
      <w:r w:rsidR="0033708D" w:rsidRPr="00F1524F">
        <w:rPr>
          <w:szCs w:val="24"/>
        </w:rPr>
        <w:t>-</w:t>
      </w:r>
      <w:r w:rsidR="006002A1" w:rsidRPr="00F1524F">
        <w:rPr>
          <w:szCs w:val="24"/>
        </w:rPr>
        <w:t xml:space="preserve">authorized retailers </w:t>
      </w:r>
      <w:r w:rsidR="0033708D" w:rsidRPr="00F1524F">
        <w:rPr>
          <w:szCs w:val="24"/>
        </w:rPr>
        <w:t xml:space="preserve">through </w:t>
      </w:r>
      <w:r w:rsidR="00282B55">
        <w:rPr>
          <w:szCs w:val="24"/>
        </w:rPr>
        <w:t>a</w:t>
      </w:r>
      <w:r w:rsidR="003B43D0">
        <w:rPr>
          <w:szCs w:val="24"/>
        </w:rPr>
        <w:t>n</w:t>
      </w:r>
      <w:r w:rsidR="00282B55">
        <w:rPr>
          <w:szCs w:val="24"/>
        </w:rPr>
        <w:t xml:space="preserve"> EBT Vendor Interview Guide</w:t>
      </w:r>
      <w:r w:rsidR="003B43D0">
        <w:rPr>
          <w:szCs w:val="24"/>
        </w:rPr>
        <w:t xml:space="preserve"> (Appendix </w:t>
      </w:r>
      <w:r w:rsidR="0047581F">
        <w:rPr>
          <w:szCs w:val="24"/>
        </w:rPr>
        <w:t>L</w:t>
      </w:r>
      <w:r w:rsidR="007B751E">
        <w:rPr>
          <w:szCs w:val="24"/>
        </w:rPr>
        <w:t>)</w:t>
      </w:r>
      <w:r w:rsidR="006002A1" w:rsidRPr="00F1524F">
        <w:rPr>
          <w:szCs w:val="24"/>
        </w:rPr>
        <w:t>.</w:t>
      </w:r>
      <w:r w:rsidR="006002A1" w:rsidRPr="006002A1">
        <w:rPr>
          <w:szCs w:val="24"/>
        </w:rPr>
        <w:t xml:space="preserve"> </w:t>
      </w:r>
      <w:r w:rsidR="006002A1">
        <w:rPr>
          <w:szCs w:val="24"/>
        </w:rPr>
        <w:br w:type="page"/>
      </w:r>
    </w:p>
    <w:p w14:paraId="6B7B7D58" w14:textId="7695AF96" w:rsidR="009475D5" w:rsidRPr="0071727B" w:rsidRDefault="00C21B0D" w:rsidP="00F84183">
      <w:pPr>
        <w:spacing w:after="120" w:line="480" w:lineRule="auto"/>
        <w:ind w:firstLine="720"/>
        <w:jc w:val="both"/>
        <w:rPr>
          <w:szCs w:val="24"/>
        </w:rPr>
      </w:pPr>
      <w:r w:rsidRPr="0000695E">
        <w:rPr>
          <w:szCs w:val="24"/>
        </w:rPr>
        <w:fldChar w:fldCharType="begin"/>
      </w:r>
      <w:r w:rsidRPr="0000695E">
        <w:rPr>
          <w:szCs w:val="24"/>
        </w:rPr>
        <w:instrText xml:space="preserve"> REF _Ref490172827 \h </w:instrText>
      </w:r>
      <w:r w:rsidR="0000695E" w:rsidRPr="0000695E">
        <w:rPr>
          <w:szCs w:val="24"/>
        </w:rPr>
        <w:instrText xml:space="preserve"> \* MERGEFORMAT </w:instrText>
      </w:r>
      <w:r w:rsidRPr="0000695E">
        <w:rPr>
          <w:szCs w:val="24"/>
        </w:rPr>
      </w:r>
      <w:r w:rsidRPr="0000695E">
        <w:rPr>
          <w:szCs w:val="24"/>
        </w:rPr>
        <w:fldChar w:fldCharType="separate"/>
      </w:r>
      <w:r w:rsidR="005428FA" w:rsidRPr="005428FA">
        <w:rPr>
          <w:szCs w:val="24"/>
        </w:rPr>
        <w:t xml:space="preserve">Table </w:t>
      </w:r>
      <w:r w:rsidR="005428FA" w:rsidRPr="005428FA">
        <w:rPr>
          <w:noProof/>
          <w:szCs w:val="24"/>
        </w:rPr>
        <w:t>1</w:t>
      </w:r>
      <w:r w:rsidRPr="0000695E">
        <w:rPr>
          <w:szCs w:val="24"/>
        </w:rPr>
        <w:fldChar w:fldCharType="end"/>
      </w:r>
      <w:r w:rsidR="0000695E" w:rsidRPr="0000695E">
        <w:rPr>
          <w:szCs w:val="24"/>
        </w:rPr>
        <w:t xml:space="preserve"> </w:t>
      </w:r>
      <w:r w:rsidR="009475D5" w:rsidRPr="0000695E">
        <w:rPr>
          <w:szCs w:val="24"/>
        </w:rPr>
        <w:t>details</w:t>
      </w:r>
      <w:r w:rsidR="009475D5" w:rsidRPr="0071727B">
        <w:rPr>
          <w:szCs w:val="24"/>
        </w:rPr>
        <w:t xml:space="preserve"> the paramete</w:t>
      </w:r>
      <w:r w:rsidR="006B56A9" w:rsidRPr="0071727B">
        <w:rPr>
          <w:szCs w:val="24"/>
        </w:rPr>
        <w:t>rs of the sample used for each target audience: SNAP retailers, TPPs, and ISOs.</w:t>
      </w:r>
    </w:p>
    <w:p w14:paraId="34EDA5B5" w14:textId="4B5BBDD3" w:rsidR="0071727B" w:rsidRPr="0071727B" w:rsidRDefault="0071727B" w:rsidP="0071727B">
      <w:pPr>
        <w:pStyle w:val="Caption"/>
        <w:rPr>
          <w:b/>
          <w:bCs/>
          <w:sz w:val="20"/>
          <w:szCs w:val="24"/>
        </w:rPr>
      </w:pPr>
      <w:bookmarkStart w:id="6" w:name="_Ref490172827"/>
      <w:bookmarkStart w:id="7" w:name="_Toc490743252"/>
      <w:r w:rsidRPr="0071727B">
        <w:rPr>
          <w:b/>
          <w:sz w:val="22"/>
        </w:rPr>
        <w:t xml:space="preserve">Table </w:t>
      </w:r>
      <w:r w:rsidRPr="0071727B">
        <w:rPr>
          <w:b/>
          <w:sz w:val="22"/>
        </w:rPr>
        <w:fldChar w:fldCharType="begin"/>
      </w:r>
      <w:r w:rsidRPr="0071727B">
        <w:rPr>
          <w:b/>
          <w:sz w:val="22"/>
        </w:rPr>
        <w:instrText xml:space="preserve"> SEQ Table \* ARABIC </w:instrText>
      </w:r>
      <w:r w:rsidRPr="0071727B">
        <w:rPr>
          <w:b/>
          <w:sz w:val="22"/>
        </w:rPr>
        <w:fldChar w:fldCharType="separate"/>
      </w:r>
      <w:r w:rsidR="005428FA">
        <w:rPr>
          <w:b/>
          <w:noProof/>
          <w:sz w:val="22"/>
        </w:rPr>
        <w:t>1</w:t>
      </w:r>
      <w:r w:rsidRPr="0071727B">
        <w:rPr>
          <w:b/>
          <w:sz w:val="22"/>
        </w:rPr>
        <w:fldChar w:fldCharType="end"/>
      </w:r>
      <w:bookmarkEnd w:id="6"/>
      <w:r w:rsidRPr="0071727B">
        <w:rPr>
          <w:b/>
          <w:sz w:val="22"/>
        </w:rPr>
        <w:t>: Sampling Methodology Overview for SNAP Retailers, TPPS and ISOs.</w:t>
      </w:r>
      <w:bookmarkEnd w:id="7"/>
    </w:p>
    <w:p w14:paraId="24B0AFE1" w14:textId="77777777" w:rsidR="009475D5" w:rsidRPr="00B16933" w:rsidRDefault="009475D5" w:rsidP="009475D5">
      <w:pPr>
        <w:tabs>
          <w:tab w:val="left" w:pos="1800"/>
        </w:tabs>
        <w:ind w:left="1080" w:firstLine="1440"/>
      </w:pPr>
      <w:r w:rsidRPr="00B16933">
        <w:rPr>
          <w:noProof/>
        </w:rPr>
        <w:drawing>
          <wp:inline distT="0" distB="0" distL="0" distR="0" wp14:anchorId="28A0DEF2" wp14:editId="2957B2E4">
            <wp:extent cx="4073525" cy="715618"/>
            <wp:effectExtent l="19050" t="0" r="22225" b="889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bl>
      <w:tblPr>
        <w:tblW w:w="9258" w:type="dxa"/>
        <w:tblBorders>
          <w:bottom w:val="single" w:sz="4" w:space="0" w:color="auto"/>
          <w:insideH w:val="single" w:sz="4" w:space="0" w:color="auto"/>
        </w:tblBorders>
        <w:tblLook w:val="04A0" w:firstRow="1" w:lastRow="0" w:firstColumn="1" w:lastColumn="0" w:noHBand="0" w:noVBand="1"/>
      </w:tblPr>
      <w:tblGrid>
        <w:gridCol w:w="2610"/>
        <w:gridCol w:w="2448"/>
        <w:gridCol w:w="2070"/>
        <w:gridCol w:w="2130"/>
      </w:tblGrid>
      <w:tr w:rsidR="00B16933" w:rsidRPr="0029750E" w14:paraId="384F9D20" w14:textId="77777777" w:rsidTr="006F7DCC">
        <w:tc>
          <w:tcPr>
            <w:tcW w:w="2610" w:type="dxa"/>
          </w:tcPr>
          <w:p w14:paraId="2957FDEB" w14:textId="77777777" w:rsidR="008B4CA1" w:rsidRPr="0029750E" w:rsidRDefault="008B4CA1" w:rsidP="003B1005">
            <w:pPr>
              <w:spacing w:after="120" w:line="276" w:lineRule="auto"/>
              <w:rPr>
                <w:sz w:val="20"/>
              </w:rPr>
            </w:pPr>
            <w:r w:rsidRPr="0029750E">
              <w:rPr>
                <w:sz w:val="20"/>
              </w:rPr>
              <w:t>N (Universe)</w:t>
            </w:r>
          </w:p>
        </w:tc>
        <w:tc>
          <w:tcPr>
            <w:tcW w:w="2448" w:type="dxa"/>
          </w:tcPr>
          <w:p w14:paraId="2FB4D62C" w14:textId="77777777" w:rsidR="008B4CA1" w:rsidRPr="0029750E" w:rsidRDefault="00A24E89" w:rsidP="003B1005">
            <w:pPr>
              <w:spacing w:after="120" w:line="276" w:lineRule="auto"/>
              <w:rPr>
                <w:sz w:val="20"/>
              </w:rPr>
            </w:pPr>
            <w:r w:rsidRPr="0029750E">
              <w:rPr>
                <w:sz w:val="20"/>
              </w:rPr>
              <w:t>~</w:t>
            </w:r>
            <w:r w:rsidR="008B4CA1" w:rsidRPr="0029750E">
              <w:rPr>
                <w:sz w:val="20"/>
              </w:rPr>
              <w:t>250,000</w:t>
            </w:r>
          </w:p>
        </w:tc>
        <w:tc>
          <w:tcPr>
            <w:tcW w:w="2070" w:type="dxa"/>
          </w:tcPr>
          <w:p w14:paraId="4789197F" w14:textId="77777777" w:rsidR="008B4CA1" w:rsidRPr="0029750E" w:rsidRDefault="008B4CA1" w:rsidP="003B1005">
            <w:pPr>
              <w:spacing w:after="120" w:line="276" w:lineRule="auto"/>
              <w:rPr>
                <w:sz w:val="20"/>
              </w:rPr>
            </w:pPr>
            <w:r w:rsidRPr="0029750E">
              <w:rPr>
                <w:sz w:val="20"/>
              </w:rPr>
              <w:t>5–10</w:t>
            </w:r>
          </w:p>
        </w:tc>
        <w:tc>
          <w:tcPr>
            <w:tcW w:w="2130" w:type="dxa"/>
          </w:tcPr>
          <w:p w14:paraId="71A3E9DC" w14:textId="2E447D18" w:rsidR="008B4CA1" w:rsidRPr="0029750E" w:rsidRDefault="001B7841" w:rsidP="003B1005">
            <w:pPr>
              <w:spacing w:after="120" w:line="276" w:lineRule="auto"/>
              <w:rPr>
                <w:sz w:val="20"/>
              </w:rPr>
            </w:pPr>
            <w:r w:rsidRPr="0029750E">
              <w:rPr>
                <w:sz w:val="20"/>
              </w:rPr>
              <w:t>n/a*</w:t>
            </w:r>
          </w:p>
        </w:tc>
      </w:tr>
      <w:tr w:rsidR="008F7121" w:rsidRPr="0029750E" w14:paraId="68D4C2FF" w14:textId="77777777" w:rsidTr="006F7DCC">
        <w:tc>
          <w:tcPr>
            <w:tcW w:w="2610" w:type="dxa"/>
          </w:tcPr>
          <w:p w14:paraId="614BA65F" w14:textId="77777777" w:rsidR="008F7121" w:rsidRPr="0029750E" w:rsidRDefault="008F7121" w:rsidP="003B1005">
            <w:pPr>
              <w:spacing w:after="120" w:line="276" w:lineRule="auto"/>
              <w:rPr>
                <w:sz w:val="20"/>
              </w:rPr>
            </w:pPr>
            <w:r w:rsidRPr="0029750E">
              <w:rPr>
                <w:sz w:val="20"/>
              </w:rPr>
              <w:t>Sample Size:</w:t>
            </w:r>
          </w:p>
        </w:tc>
        <w:tc>
          <w:tcPr>
            <w:tcW w:w="2448" w:type="dxa"/>
          </w:tcPr>
          <w:p w14:paraId="2E3A6ADF" w14:textId="77777777" w:rsidR="008F7121" w:rsidRPr="0029750E" w:rsidRDefault="008F7121" w:rsidP="003B1005">
            <w:pPr>
              <w:spacing w:after="120" w:line="276" w:lineRule="auto"/>
              <w:rPr>
                <w:sz w:val="20"/>
              </w:rPr>
            </w:pPr>
            <w:r w:rsidRPr="0029750E">
              <w:rPr>
                <w:sz w:val="20"/>
              </w:rPr>
              <w:t>1,500</w:t>
            </w:r>
          </w:p>
        </w:tc>
        <w:tc>
          <w:tcPr>
            <w:tcW w:w="2070" w:type="dxa"/>
          </w:tcPr>
          <w:p w14:paraId="1222B71E" w14:textId="4E82CCE1" w:rsidR="008F7121" w:rsidRPr="0029750E" w:rsidRDefault="008F7121" w:rsidP="003B1005">
            <w:pPr>
              <w:spacing w:after="120" w:line="276" w:lineRule="auto"/>
              <w:rPr>
                <w:sz w:val="20"/>
              </w:rPr>
            </w:pPr>
            <w:r w:rsidRPr="00C12BD2">
              <w:rPr>
                <w:sz w:val="20"/>
              </w:rPr>
              <w:t>5–10</w:t>
            </w:r>
          </w:p>
        </w:tc>
        <w:tc>
          <w:tcPr>
            <w:tcW w:w="2130" w:type="dxa"/>
          </w:tcPr>
          <w:p w14:paraId="58D7C606" w14:textId="147FE0CE" w:rsidR="008F7121" w:rsidRPr="0029750E" w:rsidRDefault="001B7841" w:rsidP="003B1005">
            <w:pPr>
              <w:spacing w:after="120" w:line="276" w:lineRule="auto"/>
              <w:rPr>
                <w:sz w:val="20"/>
              </w:rPr>
            </w:pPr>
            <w:r w:rsidRPr="0029750E">
              <w:rPr>
                <w:sz w:val="20"/>
              </w:rPr>
              <w:t>50–55</w:t>
            </w:r>
          </w:p>
        </w:tc>
      </w:tr>
      <w:tr w:rsidR="008F7121" w:rsidRPr="0029750E" w14:paraId="564BE970" w14:textId="77777777" w:rsidTr="006F7DCC">
        <w:tc>
          <w:tcPr>
            <w:tcW w:w="2610" w:type="dxa"/>
          </w:tcPr>
          <w:p w14:paraId="4549A347" w14:textId="77777777" w:rsidR="008F7121" w:rsidRPr="0029750E" w:rsidRDefault="008F7121" w:rsidP="003B1005">
            <w:pPr>
              <w:spacing w:after="120" w:line="276" w:lineRule="auto"/>
              <w:rPr>
                <w:sz w:val="20"/>
              </w:rPr>
            </w:pPr>
            <w:r w:rsidRPr="0029750E">
              <w:rPr>
                <w:sz w:val="20"/>
              </w:rPr>
              <w:t>Expected # of Respondents:</w:t>
            </w:r>
          </w:p>
        </w:tc>
        <w:tc>
          <w:tcPr>
            <w:tcW w:w="2448" w:type="dxa"/>
          </w:tcPr>
          <w:p w14:paraId="3509B130" w14:textId="77777777" w:rsidR="008F7121" w:rsidRPr="0029750E" w:rsidRDefault="008F7121" w:rsidP="003B1005">
            <w:pPr>
              <w:spacing w:after="120" w:line="276" w:lineRule="auto"/>
              <w:rPr>
                <w:sz w:val="20"/>
              </w:rPr>
            </w:pPr>
            <w:r w:rsidRPr="0029750E">
              <w:rPr>
                <w:sz w:val="20"/>
              </w:rPr>
              <w:t>1,200</w:t>
            </w:r>
          </w:p>
        </w:tc>
        <w:tc>
          <w:tcPr>
            <w:tcW w:w="2070" w:type="dxa"/>
          </w:tcPr>
          <w:p w14:paraId="4FDF4279" w14:textId="50125F38" w:rsidR="008F7121" w:rsidRPr="0029750E" w:rsidRDefault="008F7121" w:rsidP="003B1005">
            <w:pPr>
              <w:spacing w:after="120" w:line="276" w:lineRule="auto"/>
              <w:rPr>
                <w:sz w:val="20"/>
              </w:rPr>
            </w:pPr>
            <w:r w:rsidRPr="00C12BD2">
              <w:rPr>
                <w:sz w:val="20"/>
              </w:rPr>
              <w:t>5–10</w:t>
            </w:r>
          </w:p>
        </w:tc>
        <w:tc>
          <w:tcPr>
            <w:tcW w:w="2130" w:type="dxa"/>
          </w:tcPr>
          <w:p w14:paraId="4305F319" w14:textId="77777777" w:rsidR="008F7121" w:rsidRPr="0029750E" w:rsidRDefault="008F7121" w:rsidP="003B1005">
            <w:pPr>
              <w:spacing w:after="120" w:line="276" w:lineRule="auto"/>
              <w:rPr>
                <w:sz w:val="20"/>
              </w:rPr>
            </w:pPr>
            <w:r w:rsidRPr="0029750E">
              <w:rPr>
                <w:sz w:val="20"/>
              </w:rPr>
              <w:t>40–45</w:t>
            </w:r>
          </w:p>
        </w:tc>
      </w:tr>
      <w:tr w:rsidR="00B16933" w:rsidRPr="0029750E" w14:paraId="0331A37B" w14:textId="77777777" w:rsidTr="006F7DCC">
        <w:tc>
          <w:tcPr>
            <w:tcW w:w="2610" w:type="dxa"/>
          </w:tcPr>
          <w:p w14:paraId="394741FC" w14:textId="77777777" w:rsidR="008B4CA1" w:rsidRPr="0029750E" w:rsidRDefault="008B4CA1" w:rsidP="003B1005">
            <w:pPr>
              <w:spacing w:after="120" w:line="276" w:lineRule="auto"/>
              <w:rPr>
                <w:sz w:val="20"/>
              </w:rPr>
            </w:pPr>
            <w:r w:rsidRPr="0029750E">
              <w:rPr>
                <w:sz w:val="20"/>
              </w:rPr>
              <w:t>Expected Response Rate:</w:t>
            </w:r>
          </w:p>
        </w:tc>
        <w:tc>
          <w:tcPr>
            <w:tcW w:w="2448" w:type="dxa"/>
          </w:tcPr>
          <w:p w14:paraId="7DBB2148" w14:textId="77777777" w:rsidR="008B4CA1" w:rsidRPr="0029750E" w:rsidRDefault="008B4CA1" w:rsidP="003B1005">
            <w:pPr>
              <w:spacing w:after="120" w:line="276" w:lineRule="auto"/>
              <w:rPr>
                <w:sz w:val="20"/>
              </w:rPr>
            </w:pPr>
            <w:r w:rsidRPr="0029750E">
              <w:rPr>
                <w:sz w:val="20"/>
              </w:rPr>
              <w:t>80%</w:t>
            </w:r>
          </w:p>
        </w:tc>
        <w:tc>
          <w:tcPr>
            <w:tcW w:w="2070" w:type="dxa"/>
          </w:tcPr>
          <w:p w14:paraId="0EF8C4F7" w14:textId="54304A87" w:rsidR="008B4CA1" w:rsidRPr="0029750E" w:rsidRDefault="006F7DCC" w:rsidP="003B1005">
            <w:pPr>
              <w:spacing w:after="120" w:line="276" w:lineRule="auto"/>
              <w:rPr>
                <w:sz w:val="20"/>
              </w:rPr>
            </w:pPr>
            <w:r>
              <w:rPr>
                <w:sz w:val="20"/>
              </w:rPr>
              <w:t>100%</w:t>
            </w:r>
          </w:p>
        </w:tc>
        <w:tc>
          <w:tcPr>
            <w:tcW w:w="2130" w:type="dxa"/>
          </w:tcPr>
          <w:p w14:paraId="78A8EA4E" w14:textId="77777777" w:rsidR="008B4CA1" w:rsidRPr="0029750E" w:rsidRDefault="008B4CA1" w:rsidP="003B1005">
            <w:pPr>
              <w:spacing w:after="120" w:line="276" w:lineRule="auto"/>
              <w:rPr>
                <w:sz w:val="20"/>
              </w:rPr>
            </w:pPr>
            <w:r w:rsidRPr="0029750E">
              <w:rPr>
                <w:sz w:val="20"/>
              </w:rPr>
              <w:t>80%</w:t>
            </w:r>
          </w:p>
        </w:tc>
      </w:tr>
      <w:tr w:rsidR="00B16933" w:rsidRPr="0029750E" w14:paraId="28AFB9BE" w14:textId="77777777" w:rsidTr="006F7DCC">
        <w:tc>
          <w:tcPr>
            <w:tcW w:w="2610" w:type="dxa"/>
          </w:tcPr>
          <w:p w14:paraId="225963F3" w14:textId="77777777" w:rsidR="008B4CA1" w:rsidRPr="0029750E" w:rsidRDefault="008B4CA1" w:rsidP="003B1005">
            <w:pPr>
              <w:spacing w:after="120" w:line="276" w:lineRule="auto"/>
              <w:rPr>
                <w:sz w:val="20"/>
              </w:rPr>
            </w:pPr>
            <w:r w:rsidRPr="0029750E">
              <w:rPr>
                <w:sz w:val="20"/>
              </w:rPr>
              <w:t>Sample Data Source:</w:t>
            </w:r>
          </w:p>
        </w:tc>
        <w:tc>
          <w:tcPr>
            <w:tcW w:w="2448" w:type="dxa"/>
          </w:tcPr>
          <w:p w14:paraId="5A5C38F2" w14:textId="77777777" w:rsidR="008B4CA1" w:rsidRPr="0029750E" w:rsidRDefault="008B4CA1" w:rsidP="003B1005">
            <w:pPr>
              <w:spacing w:after="120" w:line="276" w:lineRule="auto"/>
              <w:rPr>
                <w:sz w:val="20"/>
              </w:rPr>
            </w:pPr>
            <w:r w:rsidRPr="0029750E">
              <w:rPr>
                <w:sz w:val="20"/>
              </w:rPr>
              <w:t>FNS</w:t>
            </w:r>
          </w:p>
        </w:tc>
        <w:tc>
          <w:tcPr>
            <w:tcW w:w="2070" w:type="dxa"/>
          </w:tcPr>
          <w:p w14:paraId="1F017A53" w14:textId="77777777" w:rsidR="008B4CA1" w:rsidRPr="0029750E" w:rsidRDefault="006B56A9" w:rsidP="003B1005">
            <w:pPr>
              <w:spacing w:after="120" w:line="276" w:lineRule="auto"/>
              <w:rPr>
                <w:sz w:val="20"/>
              </w:rPr>
            </w:pPr>
            <w:r w:rsidRPr="0029750E">
              <w:rPr>
                <w:sz w:val="20"/>
              </w:rPr>
              <w:t>FNS, Primary Research</w:t>
            </w:r>
          </w:p>
        </w:tc>
        <w:tc>
          <w:tcPr>
            <w:tcW w:w="2130" w:type="dxa"/>
          </w:tcPr>
          <w:p w14:paraId="16BE96E6" w14:textId="77777777" w:rsidR="008B4CA1" w:rsidRPr="0029750E" w:rsidRDefault="008B4CA1" w:rsidP="003B1005">
            <w:pPr>
              <w:spacing w:after="120" w:line="276" w:lineRule="auto"/>
              <w:rPr>
                <w:sz w:val="20"/>
              </w:rPr>
            </w:pPr>
            <w:r w:rsidRPr="0029750E">
              <w:rPr>
                <w:sz w:val="20"/>
              </w:rPr>
              <w:t>Primary and Secondary Research</w:t>
            </w:r>
          </w:p>
        </w:tc>
      </w:tr>
      <w:tr w:rsidR="00B16933" w:rsidRPr="0029750E" w14:paraId="04A199B3" w14:textId="77777777" w:rsidTr="006F7DCC">
        <w:tc>
          <w:tcPr>
            <w:tcW w:w="2610" w:type="dxa"/>
          </w:tcPr>
          <w:p w14:paraId="78756CBC" w14:textId="77777777" w:rsidR="008B4CA1" w:rsidRPr="0029750E" w:rsidRDefault="008B4CA1" w:rsidP="003B1005">
            <w:pPr>
              <w:spacing w:after="120" w:line="276" w:lineRule="auto"/>
              <w:rPr>
                <w:sz w:val="20"/>
              </w:rPr>
            </w:pPr>
            <w:r w:rsidRPr="0029750E">
              <w:rPr>
                <w:sz w:val="20"/>
              </w:rPr>
              <w:t>Duration:</w:t>
            </w:r>
          </w:p>
        </w:tc>
        <w:tc>
          <w:tcPr>
            <w:tcW w:w="2448" w:type="dxa"/>
          </w:tcPr>
          <w:p w14:paraId="4BD969C6" w14:textId="0D23F35F" w:rsidR="008B4CA1" w:rsidRPr="0029750E" w:rsidRDefault="00E829D1" w:rsidP="003B1005">
            <w:pPr>
              <w:spacing w:after="120" w:line="276" w:lineRule="auto"/>
              <w:rPr>
                <w:sz w:val="20"/>
              </w:rPr>
            </w:pPr>
            <w:r w:rsidRPr="00E829D1">
              <w:rPr>
                <w:sz w:val="20"/>
              </w:rPr>
              <w:t>2</w:t>
            </w:r>
            <w:r w:rsidR="00A22B67">
              <w:rPr>
                <w:sz w:val="20"/>
              </w:rPr>
              <w:t>4</w:t>
            </w:r>
            <w:r w:rsidR="00BF5E60" w:rsidRPr="00E829D1">
              <w:rPr>
                <w:sz w:val="20"/>
              </w:rPr>
              <w:t xml:space="preserve"> </w:t>
            </w:r>
            <w:r w:rsidR="008B4CA1" w:rsidRPr="00E829D1">
              <w:rPr>
                <w:sz w:val="20"/>
              </w:rPr>
              <w:t>minutes</w:t>
            </w:r>
          </w:p>
        </w:tc>
        <w:tc>
          <w:tcPr>
            <w:tcW w:w="2070" w:type="dxa"/>
          </w:tcPr>
          <w:p w14:paraId="6EBBA5F9" w14:textId="5C0CCDE4" w:rsidR="008B4CA1" w:rsidRPr="0029750E" w:rsidRDefault="006B56A9" w:rsidP="003B1005">
            <w:pPr>
              <w:spacing w:after="120" w:line="276" w:lineRule="auto"/>
              <w:rPr>
                <w:sz w:val="20"/>
              </w:rPr>
            </w:pPr>
            <w:r w:rsidRPr="0029750E">
              <w:rPr>
                <w:sz w:val="20"/>
              </w:rPr>
              <w:t>9</w:t>
            </w:r>
            <w:r w:rsidR="00A22B67">
              <w:rPr>
                <w:sz w:val="20"/>
              </w:rPr>
              <w:t>3</w:t>
            </w:r>
            <w:r w:rsidR="008B4CA1" w:rsidRPr="0029750E">
              <w:rPr>
                <w:sz w:val="20"/>
              </w:rPr>
              <w:t xml:space="preserve"> minutes</w:t>
            </w:r>
          </w:p>
        </w:tc>
        <w:tc>
          <w:tcPr>
            <w:tcW w:w="2130" w:type="dxa"/>
          </w:tcPr>
          <w:p w14:paraId="2FDB2184" w14:textId="6DA34811" w:rsidR="008B4CA1" w:rsidRPr="0029750E" w:rsidRDefault="006B56A9" w:rsidP="003B1005">
            <w:pPr>
              <w:spacing w:after="120" w:line="276" w:lineRule="auto"/>
              <w:rPr>
                <w:sz w:val="20"/>
              </w:rPr>
            </w:pPr>
            <w:r w:rsidRPr="0029750E">
              <w:rPr>
                <w:sz w:val="20"/>
              </w:rPr>
              <w:t>9</w:t>
            </w:r>
            <w:r w:rsidR="00A22B67">
              <w:rPr>
                <w:sz w:val="20"/>
              </w:rPr>
              <w:t>3</w:t>
            </w:r>
            <w:r w:rsidR="008B4CA1" w:rsidRPr="0029750E">
              <w:rPr>
                <w:sz w:val="20"/>
              </w:rPr>
              <w:t xml:space="preserve"> minutes</w:t>
            </w:r>
          </w:p>
        </w:tc>
      </w:tr>
      <w:tr w:rsidR="00B16933" w:rsidRPr="0029750E" w14:paraId="02946FB8" w14:textId="77777777" w:rsidTr="006F7DCC">
        <w:tc>
          <w:tcPr>
            <w:tcW w:w="2610" w:type="dxa"/>
          </w:tcPr>
          <w:p w14:paraId="46922C36" w14:textId="77777777" w:rsidR="008B4CA1" w:rsidRPr="0029750E" w:rsidRDefault="008B4CA1" w:rsidP="003B1005">
            <w:pPr>
              <w:spacing w:after="120" w:line="276" w:lineRule="auto"/>
              <w:rPr>
                <w:sz w:val="20"/>
              </w:rPr>
            </w:pPr>
            <w:r w:rsidRPr="0029750E">
              <w:rPr>
                <w:sz w:val="20"/>
              </w:rPr>
              <w:t>Data Collection Method:</w:t>
            </w:r>
          </w:p>
        </w:tc>
        <w:tc>
          <w:tcPr>
            <w:tcW w:w="2448" w:type="dxa"/>
          </w:tcPr>
          <w:p w14:paraId="366F9FC7" w14:textId="5CCC69E2" w:rsidR="008B4CA1" w:rsidRPr="0029750E" w:rsidRDefault="008C24FF" w:rsidP="003B1005">
            <w:pPr>
              <w:spacing w:after="120" w:line="276" w:lineRule="auto"/>
              <w:rPr>
                <w:sz w:val="20"/>
              </w:rPr>
            </w:pPr>
            <w:r w:rsidRPr="0029750E">
              <w:rPr>
                <w:sz w:val="20"/>
              </w:rPr>
              <w:t xml:space="preserve">Online or </w:t>
            </w:r>
            <w:r w:rsidR="0033708D" w:rsidRPr="00F84183">
              <w:rPr>
                <w:sz w:val="20"/>
              </w:rPr>
              <w:t>interactive voice response (</w:t>
            </w:r>
            <w:r w:rsidRPr="0029750E">
              <w:rPr>
                <w:sz w:val="20"/>
              </w:rPr>
              <w:t>IVR</w:t>
            </w:r>
            <w:r w:rsidR="0033708D">
              <w:rPr>
                <w:sz w:val="20"/>
              </w:rPr>
              <w:t>)</w:t>
            </w:r>
            <w:r w:rsidR="00FD3C17">
              <w:rPr>
                <w:sz w:val="20"/>
              </w:rPr>
              <w:t>.</w:t>
            </w:r>
            <w:r w:rsidRPr="0029750E">
              <w:rPr>
                <w:sz w:val="20"/>
              </w:rPr>
              <w:t xml:space="preserve"> </w:t>
            </w:r>
            <w:r w:rsidR="00FD3C17">
              <w:rPr>
                <w:sz w:val="20"/>
              </w:rPr>
              <w:t>T</w:t>
            </w:r>
            <w:r w:rsidR="008B4CA1" w:rsidRPr="0029750E">
              <w:rPr>
                <w:sz w:val="20"/>
              </w:rPr>
              <w:t>elephone interview for follow-up with nonrespondents</w:t>
            </w:r>
          </w:p>
        </w:tc>
        <w:tc>
          <w:tcPr>
            <w:tcW w:w="2070" w:type="dxa"/>
          </w:tcPr>
          <w:p w14:paraId="73516A55" w14:textId="77777777" w:rsidR="008B4CA1" w:rsidRPr="0029750E" w:rsidRDefault="008B4CA1" w:rsidP="003B1005">
            <w:pPr>
              <w:spacing w:after="120" w:line="276" w:lineRule="auto"/>
              <w:rPr>
                <w:sz w:val="20"/>
              </w:rPr>
            </w:pPr>
            <w:r w:rsidRPr="0029750E">
              <w:rPr>
                <w:sz w:val="20"/>
              </w:rPr>
              <w:t>Telephone interview</w:t>
            </w:r>
          </w:p>
        </w:tc>
        <w:tc>
          <w:tcPr>
            <w:tcW w:w="2130" w:type="dxa"/>
          </w:tcPr>
          <w:p w14:paraId="1569454E" w14:textId="77777777" w:rsidR="008B4CA1" w:rsidRPr="0029750E" w:rsidRDefault="008B4CA1" w:rsidP="003B1005">
            <w:pPr>
              <w:spacing w:after="120" w:line="276" w:lineRule="auto"/>
              <w:rPr>
                <w:sz w:val="20"/>
              </w:rPr>
            </w:pPr>
            <w:r w:rsidRPr="0029750E">
              <w:rPr>
                <w:sz w:val="20"/>
              </w:rPr>
              <w:t>Telephone interview</w:t>
            </w:r>
          </w:p>
        </w:tc>
      </w:tr>
    </w:tbl>
    <w:p w14:paraId="631DB39F" w14:textId="79658575" w:rsidR="009475D5" w:rsidRPr="0071727B" w:rsidRDefault="00B75107" w:rsidP="0071727B">
      <w:r>
        <w:rPr>
          <w:i/>
          <w:sz w:val="18"/>
        </w:rPr>
        <w:t xml:space="preserve">* </w:t>
      </w:r>
      <w:r w:rsidR="004C4BCE">
        <w:rPr>
          <w:i/>
          <w:sz w:val="18"/>
        </w:rPr>
        <w:t xml:space="preserve">The research team </w:t>
      </w:r>
      <w:r w:rsidRPr="00B75107">
        <w:rPr>
          <w:i/>
          <w:sz w:val="20"/>
        </w:rPr>
        <w:t xml:space="preserve">will </w:t>
      </w:r>
      <w:r w:rsidR="005F2053">
        <w:rPr>
          <w:i/>
          <w:sz w:val="20"/>
        </w:rPr>
        <w:t xml:space="preserve">use </w:t>
      </w:r>
      <w:r w:rsidR="009475D5" w:rsidRPr="00B75107">
        <w:rPr>
          <w:i/>
          <w:sz w:val="20"/>
        </w:rPr>
        <w:t>snowball sampling</w:t>
      </w:r>
      <w:r w:rsidR="009475D5" w:rsidRPr="0029750E">
        <w:rPr>
          <w:i/>
          <w:sz w:val="18"/>
        </w:rPr>
        <w:t xml:space="preserve"> </w:t>
      </w:r>
      <w:r>
        <w:rPr>
          <w:i/>
          <w:sz w:val="18"/>
        </w:rPr>
        <w:t>t</w:t>
      </w:r>
      <w:r w:rsidR="009475D5" w:rsidRPr="0029750E">
        <w:rPr>
          <w:i/>
          <w:sz w:val="18"/>
        </w:rPr>
        <w:t xml:space="preserve">o identify ISOs until a maximum of 45 </w:t>
      </w:r>
      <w:r w:rsidR="009125D6">
        <w:rPr>
          <w:i/>
          <w:sz w:val="18"/>
        </w:rPr>
        <w:t xml:space="preserve">ISO </w:t>
      </w:r>
      <w:r w:rsidR="009475D5" w:rsidRPr="0029750E">
        <w:rPr>
          <w:i/>
          <w:sz w:val="18"/>
        </w:rPr>
        <w:t>interviews</w:t>
      </w:r>
      <w:r w:rsidR="009125D6">
        <w:rPr>
          <w:i/>
          <w:sz w:val="18"/>
        </w:rPr>
        <w:t xml:space="preserve"> are </w:t>
      </w:r>
      <w:r>
        <w:rPr>
          <w:i/>
          <w:sz w:val="18"/>
        </w:rPr>
        <w:t>achieved</w:t>
      </w:r>
      <w:r w:rsidR="009475D5" w:rsidRPr="0029750E">
        <w:rPr>
          <w:i/>
          <w:sz w:val="18"/>
        </w:rPr>
        <w:t>.</w:t>
      </w:r>
    </w:p>
    <w:p w14:paraId="666AF62B" w14:textId="77777777" w:rsidR="006002A1" w:rsidRDefault="006002A1" w:rsidP="00371ACB">
      <w:pPr>
        <w:spacing w:after="120" w:line="480" w:lineRule="auto"/>
        <w:ind w:firstLine="720"/>
        <w:jc w:val="both"/>
        <w:rPr>
          <w:b/>
          <w:color w:val="000000" w:themeColor="text1"/>
          <w:szCs w:val="24"/>
        </w:rPr>
      </w:pPr>
    </w:p>
    <w:p w14:paraId="7F3C105C" w14:textId="2D152382" w:rsidR="00C96880" w:rsidRPr="00371ACB" w:rsidRDefault="00C96880" w:rsidP="0018225A">
      <w:pPr>
        <w:spacing w:line="480" w:lineRule="auto"/>
        <w:ind w:firstLine="720"/>
        <w:jc w:val="both"/>
        <w:rPr>
          <w:szCs w:val="24"/>
        </w:rPr>
      </w:pPr>
      <w:r w:rsidRPr="00371ACB">
        <w:rPr>
          <w:szCs w:val="24"/>
        </w:rPr>
        <w:t xml:space="preserve">The </w:t>
      </w:r>
      <w:r w:rsidR="00282B55">
        <w:rPr>
          <w:szCs w:val="24"/>
        </w:rPr>
        <w:t>SNAP Retailer Survey</w:t>
      </w:r>
      <w:r w:rsidRPr="00371ACB">
        <w:rPr>
          <w:szCs w:val="24"/>
        </w:rPr>
        <w:t xml:space="preserve"> will focus on the nature of SNAP retailers’ relationships with TPPs and ISOs and their satisfaction with</w:t>
      </w:r>
      <w:r w:rsidR="00BF5E60">
        <w:rPr>
          <w:szCs w:val="24"/>
        </w:rPr>
        <w:t xml:space="preserve"> the</w:t>
      </w:r>
      <w:r w:rsidRPr="00371ACB">
        <w:rPr>
          <w:szCs w:val="24"/>
        </w:rPr>
        <w:t xml:space="preserve"> products and services received, including exploration of the factors and decision points related to procurement of products and services needed to accept EBT payments. The researchers will select a sample of 1,500 non-exempt retailers</w:t>
      </w:r>
      <w:r w:rsidRPr="00371ACB">
        <w:rPr>
          <w:szCs w:val="24"/>
          <w:vertAlign w:val="superscript"/>
        </w:rPr>
        <w:footnoteReference w:id="1"/>
      </w:r>
      <w:r w:rsidRPr="00371ACB">
        <w:rPr>
          <w:szCs w:val="24"/>
        </w:rPr>
        <w:t xml:space="preserve"> from among approximately 250,000 SNAP retailers</w:t>
      </w:r>
      <w:r w:rsidR="00EF5581" w:rsidRPr="00371ACB">
        <w:rPr>
          <w:rStyle w:val="FootnoteReference"/>
          <w:szCs w:val="24"/>
        </w:rPr>
        <w:footnoteReference w:id="2"/>
      </w:r>
      <w:r w:rsidR="00EF5581" w:rsidRPr="00371ACB">
        <w:rPr>
          <w:szCs w:val="24"/>
        </w:rPr>
        <w:t xml:space="preserve"> in the universe</w:t>
      </w:r>
      <w:r w:rsidRPr="00371ACB">
        <w:rPr>
          <w:szCs w:val="24"/>
        </w:rPr>
        <w:t xml:space="preserve">. Selected retailers </w:t>
      </w:r>
      <w:r w:rsidR="00853DD5" w:rsidRPr="00371ACB">
        <w:rPr>
          <w:szCs w:val="24"/>
        </w:rPr>
        <w:t>will</w:t>
      </w:r>
      <w:r w:rsidR="00EF5581" w:rsidRPr="00371ACB">
        <w:rPr>
          <w:szCs w:val="24"/>
        </w:rPr>
        <w:t xml:space="preserve"> be active SNAP</w:t>
      </w:r>
      <w:r w:rsidR="004905A0" w:rsidRPr="00371ACB">
        <w:rPr>
          <w:szCs w:val="24"/>
        </w:rPr>
        <w:t>-</w:t>
      </w:r>
      <w:r w:rsidR="00EF5581" w:rsidRPr="00371ACB">
        <w:rPr>
          <w:szCs w:val="24"/>
        </w:rPr>
        <w:t>authorized retailer</w:t>
      </w:r>
      <w:r w:rsidR="00853DD5" w:rsidRPr="00371ACB">
        <w:rPr>
          <w:szCs w:val="24"/>
        </w:rPr>
        <w:t>s that</w:t>
      </w:r>
      <w:r w:rsidR="00EF5581" w:rsidRPr="00371ACB">
        <w:rPr>
          <w:szCs w:val="24"/>
        </w:rPr>
        <w:t xml:space="preserve"> </w:t>
      </w:r>
      <w:r w:rsidRPr="00371ACB">
        <w:rPr>
          <w:szCs w:val="24"/>
        </w:rPr>
        <w:t>support EBT</w:t>
      </w:r>
      <w:r w:rsidR="00EF5581" w:rsidRPr="00371ACB">
        <w:rPr>
          <w:szCs w:val="24"/>
        </w:rPr>
        <w:t xml:space="preserve"> transaction processing using </w:t>
      </w:r>
      <w:r w:rsidR="00310C03" w:rsidRPr="00371ACB">
        <w:rPr>
          <w:szCs w:val="24"/>
        </w:rPr>
        <w:t xml:space="preserve">either a </w:t>
      </w:r>
      <w:r w:rsidR="00EF5581" w:rsidRPr="00371ACB">
        <w:rPr>
          <w:szCs w:val="24"/>
        </w:rPr>
        <w:t xml:space="preserve">standalone EBT device or </w:t>
      </w:r>
      <w:r w:rsidR="00310C03" w:rsidRPr="00371ACB">
        <w:rPr>
          <w:szCs w:val="24"/>
        </w:rPr>
        <w:t>through</w:t>
      </w:r>
      <w:r w:rsidR="00EF5581" w:rsidRPr="00371ACB">
        <w:rPr>
          <w:szCs w:val="24"/>
        </w:rPr>
        <w:t xml:space="preserve"> their credit/debit card processing equipment.</w:t>
      </w:r>
    </w:p>
    <w:p w14:paraId="3E4C944E" w14:textId="1BF59118" w:rsidR="00C96880" w:rsidRPr="00371ACB" w:rsidRDefault="00C96880" w:rsidP="00371ACB">
      <w:pPr>
        <w:spacing w:after="120" w:line="480" w:lineRule="auto"/>
        <w:ind w:firstLine="720"/>
        <w:jc w:val="both"/>
        <w:rPr>
          <w:szCs w:val="24"/>
        </w:rPr>
      </w:pPr>
      <w:r w:rsidRPr="00371ACB">
        <w:rPr>
          <w:szCs w:val="24"/>
        </w:rPr>
        <w:t xml:space="preserve">The researchers performed a </w:t>
      </w:r>
      <w:r w:rsidR="00EF5581" w:rsidRPr="00371ACB">
        <w:rPr>
          <w:szCs w:val="24"/>
        </w:rPr>
        <w:t xml:space="preserve">preliminary </w:t>
      </w:r>
      <w:r w:rsidRPr="00371ACB">
        <w:rPr>
          <w:szCs w:val="24"/>
        </w:rPr>
        <w:t>analysis of the SNAP retailers based on the data set</w:t>
      </w:r>
      <w:r w:rsidR="00B16933" w:rsidRPr="00371ACB">
        <w:rPr>
          <w:szCs w:val="24"/>
        </w:rPr>
        <w:t>s</w:t>
      </w:r>
      <w:r w:rsidRPr="00371ACB">
        <w:rPr>
          <w:szCs w:val="24"/>
        </w:rPr>
        <w:t xml:space="preserve"> provided b</w:t>
      </w:r>
      <w:r w:rsidR="00EF5581" w:rsidRPr="00371ACB">
        <w:rPr>
          <w:szCs w:val="24"/>
        </w:rPr>
        <w:t>y FNS. The goal</w:t>
      </w:r>
      <w:r w:rsidR="004905A0" w:rsidRPr="00371ACB">
        <w:rPr>
          <w:szCs w:val="24"/>
        </w:rPr>
        <w:t xml:space="preserve">s </w:t>
      </w:r>
      <w:r w:rsidR="00DC1619">
        <w:rPr>
          <w:szCs w:val="24"/>
        </w:rPr>
        <w:t xml:space="preserve">of the analysis </w:t>
      </w:r>
      <w:r w:rsidR="004905A0" w:rsidRPr="00371ACB">
        <w:rPr>
          <w:szCs w:val="24"/>
        </w:rPr>
        <w:t>were</w:t>
      </w:r>
      <w:r w:rsidRPr="00371ACB">
        <w:rPr>
          <w:szCs w:val="24"/>
        </w:rPr>
        <w:t xml:space="preserve"> to</w:t>
      </w:r>
      <w:r w:rsidR="004905A0" w:rsidRPr="00371ACB">
        <w:rPr>
          <w:szCs w:val="24"/>
        </w:rPr>
        <w:t>:</w:t>
      </w:r>
      <w:r w:rsidRPr="00371ACB">
        <w:rPr>
          <w:szCs w:val="24"/>
        </w:rPr>
        <w:t xml:space="preserve"> (1) assess the quality of the SNAP retailer data</w:t>
      </w:r>
      <w:r w:rsidR="00567294">
        <w:rPr>
          <w:szCs w:val="24"/>
        </w:rPr>
        <w:t xml:space="preserve"> available on the FNS Store Tracking and Redemption System (STARS)</w:t>
      </w:r>
      <w:r w:rsidRPr="00371ACB">
        <w:rPr>
          <w:szCs w:val="24"/>
        </w:rPr>
        <w:t xml:space="preserve">, particularly </w:t>
      </w:r>
      <w:r w:rsidR="00310C03" w:rsidRPr="00371ACB">
        <w:rPr>
          <w:szCs w:val="24"/>
        </w:rPr>
        <w:t>regarding</w:t>
      </w:r>
      <w:r w:rsidRPr="00371ACB">
        <w:rPr>
          <w:szCs w:val="24"/>
        </w:rPr>
        <w:t xml:space="preserve"> the indicators needed for sample stratification: sales volume and store location (rural/urban); (2) determine the sample frame; and (3) ensure the data available provide the appropriate contact information on owners (or decision makers) for retailer</w:t>
      </w:r>
      <w:r w:rsidR="00310C03" w:rsidRPr="00371ACB">
        <w:rPr>
          <w:szCs w:val="24"/>
        </w:rPr>
        <w:t>s</w:t>
      </w:r>
      <w:r w:rsidRPr="00371ACB">
        <w:rPr>
          <w:szCs w:val="24"/>
        </w:rPr>
        <w:t xml:space="preserve"> in the sampling frame. </w:t>
      </w:r>
    </w:p>
    <w:p w14:paraId="1AE249FB" w14:textId="103B0465" w:rsidR="000367D5" w:rsidRPr="00371ACB" w:rsidRDefault="000367D5" w:rsidP="00371ACB">
      <w:pPr>
        <w:spacing w:after="120" w:line="480" w:lineRule="auto"/>
        <w:ind w:firstLine="720"/>
        <w:jc w:val="both"/>
        <w:rPr>
          <w:szCs w:val="24"/>
        </w:rPr>
      </w:pPr>
      <w:r w:rsidRPr="00550A33">
        <w:rPr>
          <w:szCs w:val="24"/>
          <w:shd w:val="clear" w:color="auto" w:fill="FFFFFF" w:themeFill="background1"/>
        </w:rPr>
        <w:t>An analysis of the distribution of annua</w:t>
      </w:r>
      <w:r w:rsidR="00B16933" w:rsidRPr="00550A33">
        <w:rPr>
          <w:szCs w:val="24"/>
          <w:shd w:val="clear" w:color="auto" w:fill="FFFFFF" w:themeFill="background1"/>
        </w:rPr>
        <w:t>l retail sales indicates that the researchers</w:t>
      </w:r>
      <w:r w:rsidRPr="00550A33">
        <w:rPr>
          <w:szCs w:val="24"/>
          <w:shd w:val="clear" w:color="auto" w:fill="FFFFFF" w:themeFill="background1"/>
        </w:rPr>
        <w:t xml:space="preserve"> can classify stores, using the </w:t>
      </w:r>
      <w:r w:rsidR="00550A33" w:rsidRPr="00550A33">
        <w:rPr>
          <w:szCs w:val="24"/>
          <w:shd w:val="clear" w:color="auto" w:fill="FFFFFF" w:themeFill="background1"/>
        </w:rPr>
        <w:t xml:space="preserve">Food Stamp Program (FSP) </w:t>
      </w:r>
      <w:r w:rsidR="00302B2F" w:rsidRPr="00550A33">
        <w:rPr>
          <w:szCs w:val="24"/>
          <w:shd w:val="clear" w:color="auto" w:fill="FFFFFF" w:themeFill="background1"/>
        </w:rPr>
        <w:t>E</w:t>
      </w:r>
      <w:r w:rsidRPr="00550A33">
        <w:rPr>
          <w:szCs w:val="24"/>
          <w:shd w:val="clear" w:color="auto" w:fill="FFFFFF" w:themeFill="background1"/>
        </w:rPr>
        <w:t>ntity ID,</w:t>
      </w:r>
      <w:r w:rsidRPr="00550A33">
        <w:rPr>
          <w:rStyle w:val="FootnoteReference"/>
          <w:szCs w:val="24"/>
          <w:shd w:val="clear" w:color="auto" w:fill="FFFFFF" w:themeFill="background1"/>
        </w:rPr>
        <w:footnoteReference w:id="3"/>
      </w:r>
      <w:r w:rsidRPr="00550A33">
        <w:rPr>
          <w:szCs w:val="24"/>
          <w:shd w:val="clear" w:color="auto" w:fill="FFFFFF" w:themeFill="background1"/>
        </w:rPr>
        <w:t xml:space="preserve"> into two categories: less than $1.5 million (52.8%), and $1.5 million or more (47.2%). </w:t>
      </w:r>
      <w:r w:rsidR="00B16933" w:rsidRPr="00550A33">
        <w:rPr>
          <w:szCs w:val="24"/>
          <w:shd w:val="clear" w:color="auto" w:fill="FFFFFF" w:themeFill="background1"/>
        </w:rPr>
        <w:t>The researchers</w:t>
      </w:r>
      <w:r w:rsidRPr="00550A33">
        <w:rPr>
          <w:szCs w:val="24"/>
          <w:shd w:val="clear" w:color="auto" w:fill="FFFFFF" w:themeFill="background1"/>
        </w:rPr>
        <w:t xml:space="preserve"> also assessed the stores</w:t>
      </w:r>
      <w:r w:rsidR="00853DD5" w:rsidRPr="00550A33">
        <w:rPr>
          <w:szCs w:val="24"/>
          <w:shd w:val="clear" w:color="auto" w:fill="FFFFFF" w:themeFill="background1"/>
        </w:rPr>
        <w:t>’</w:t>
      </w:r>
      <w:r w:rsidRPr="00550A33">
        <w:rPr>
          <w:szCs w:val="24"/>
          <w:shd w:val="clear" w:color="auto" w:fill="FFFFFF" w:themeFill="background1"/>
        </w:rPr>
        <w:t xml:space="preserve"> affiliation to a chain based on the presence of a “</w:t>
      </w:r>
      <w:r w:rsidR="007B6C70" w:rsidRPr="00550A33">
        <w:rPr>
          <w:szCs w:val="24"/>
          <w:shd w:val="clear" w:color="auto" w:fill="FFFFFF" w:themeFill="background1"/>
        </w:rPr>
        <w:t>s</w:t>
      </w:r>
      <w:r w:rsidRPr="00550A33">
        <w:rPr>
          <w:szCs w:val="24"/>
          <w:shd w:val="clear" w:color="auto" w:fill="FFFFFF" w:themeFill="background1"/>
        </w:rPr>
        <w:t xml:space="preserve">tore </w:t>
      </w:r>
      <w:r w:rsidR="007B6C70" w:rsidRPr="00550A33">
        <w:rPr>
          <w:szCs w:val="24"/>
          <w:shd w:val="clear" w:color="auto" w:fill="FFFFFF" w:themeFill="background1"/>
        </w:rPr>
        <w:t>c</w:t>
      </w:r>
      <w:r w:rsidRPr="00550A33">
        <w:rPr>
          <w:szCs w:val="24"/>
          <w:shd w:val="clear" w:color="auto" w:fill="FFFFFF" w:themeFill="background1"/>
        </w:rPr>
        <w:t xml:space="preserve">hain </w:t>
      </w:r>
      <w:r w:rsidR="007B6C70" w:rsidRPr="00550A33">
        <w:rPr>
          <w:szCs w:val="24"/>
          <w:shd w:val="clear" w:color="auto" w:fill="FFFFFF" w:themeFill="background1"/>
        </w:rPr>
        <w:t>n</w:t>
      </w:r>
      <w:r w:rsidRPr="00550A33">
        <w:rPr>
          <w:szCs w:val="24"/>
          <w:shd w:val="clear" w:color="auto" w:fill="FFFFFF" w:themeFill="background1"/>
        </w:rPr>
        <w:t>umber” in the stores data</w:t>
      </w:r>
      <w:r w:rsidR="004905A0" w:rsidRPr="00550A33">
        <w:rPr>
          <w:szCs w:val="24"/>
          <w:shd w:val="clear" w:color="auto" w:fill="FFFFFF" w:themeFill="background1"/>
        </w:rPr>
        <w:t xml:space="preserve"> </w:t>
      </w:r>
      <w:r w:rsidRPr="00550A33">
        <w:rPr>
          <w:szCs w:val="24"/>
          <w:shd w:val="clear" w:color="auto" w:fill="FFFFFF" w:themeFill="background1"/>
        </w:rPr>
        <w:t>set</w:t>
      </w:r>
      <w:r w:rsidR="00B16933" w:rsidRPr="00550A33">
        <w:rPr>
          <w:szCs w:val="24"/>
          <w:shd w:val="clear" w:color="auto" w:fill="FFFFFF" w:themeFill="background1"/>
        </w:rPr>
        <w:t xml:space="preserve">s </w:t>
      </w:r>
      <w:r w:rsidRPr="00550A33">
        <w:rPr>
          <w:szCs w:val="24"/>
          <w:shd w:val="clear" w:color="auto" w:fill="FFFFFF" w:themeFill="background1"/>
        </w:rPr>
        <w:t xml:space="preserve">received from FNS: 54.3% of stores have a </w:t>
      </w:r>
      <w:r w:rsidR="007B6C70" w:rsidRPr="00550A33">
        <w:rPr>
          <w:szCs w:val="24"/>
          <w:shd w:val="clear" w:color="auto" w:fill="FFFFFF" w:themeFill="background1"/>
        </w:rPr>
        <w:t>s</w:t>
      </w:r>
      <w:r w:rsidRPr="00550A33">
        <w:rPr>
          <w:szCs w:val="24"/>
          <w:shd w:val="clear" w:color="auto" w:fill="FFFFFF" w:themeFill="background1"/>
        </w:rPr>
        <w:t xml:space="preserve">tore </w:t>
      </w:r>
      <w:r w:rsidR="007B6C70" w:rsidRPr="00550A33">
        <w:rPr>
          <w:szCs w:val="24"/>
          <w:shd w:val="clear" w:color="auto" w:fill="FFFFFF" w:themeFill="background1"/>
        </w:rPr>
        <w:t>c</w:t>
      </w:r>
      <w:r w:rsidRPr="00550A33">
        <w:rPr>
          <w:szCs w:val="24"/>
          <w:shd w:val="clear" w:color="auto" w:fill="FFFFFF" w:themeFill="background1"/>
        </w:rPr>
        <w:t xml:space="preserve">hain </w:t>
      </w:r>
      <w:r w:rsidR="007B6C70" w:rsidRPr="00550A33">
        <w:rPr>
          <w:szCs w:val="24"/>
          <w:shd w:val="clear" w:color="auto" w:fill="FFFFFF" w:themeFill="background1"/>
        </w:rPr>
        <w:t>n</w:t>
      </w:r>
      <w:r w:rsidRPr="00550A33">
        <w:rPr>
          <w:szCs w:val="24"/>
          <w:shd w:val="clear" w:color="auto" w:fill="FFFFFF" w:themeFill="background1"/>
        </w:rPr>
        <w:t xml:space="preserve">umber and were classified as being part of a chain. </w:t>
      </w:r>
      <w:r w:rsidR="007B6C70" w:rsidRPr="00550A33">
        <w:rPr>
          <w:szCs w:val="24"/>
          <w:shd w:val="clear" w:color="auto" w:fill="FFFFFF" w:themeFill="background1"/>
        </w:rPr>
        <w:t xml:space="preserve">However, </w:t>
      </w:r>
      <w:r w:rsidRPr="00550A33">
        <w:rPr>
          <w:szCs w:val="24"/>
          <w:shd w:val="clear" w:color="auto" w:fill="FFFFFF" w:themeFill="background1"/>
        </w:rPr>
        <w:t>a quick review of the data</w:t>
      </w:r>
      <w:r w:rsidR="004905A0" w:rsidRPr="00550A33">
        <w:rPr>
          <w:szCs w:val="24"/>
          <w:shd w:val="clear" w:color="auto" w:fill="FFFFFF" w:themeFill="background1"/>
        </w:rPr>
        <w:t xml:space="preserve"> </w:t>
      </w:r>
      <w:r w:rsidR="00C01379" w:rsidRPr="00550A33">
        <w:rPr>
          <w:szCs w:val="24"/>
          <w:shd w:val="clear" w:color="auto" w:fill="FFFFFF" w:themeFill="background1"/>
        </w:rPr>
        <w:t xml:space="preserve">sets </w:t>
      </w:r>
      <w:r w:rsidRPr="00550A33">
        <w:rPr>
          <w:szCs w:val="24"/>
          <w:shd w:val="clear" w:color="auto" w:fill="FFFFFF" w:themeFill="background1"/>
        </w:rPr>
        <w:t>indicate</w:t>
      </w:r>
      <w:r w:rsidR="00C01379" w:rsidRPr="00550A33">
        <w:rPr>
          <w:szCs w:val="24"/>
          <w:shd w:val="clear" w:color="auto" w:fill="FFFFFF" w:themeFill="background1"/>
        </w:rPr>
        <w:t>d</w:t>
      </w:r>
      <w:r w:rsidRPr="00550A33">
        <w:rPr>
          <w:szCs w:val="24"/>
          <w:shd w:val="clear" w:color="auto" w:fill="FFFFFF" w:themeFill="background1"/>
        </w:rPr>
        <w:t xml:space="preserve"> an underestimation of their incidence, considering that a few stores with </w:t>
      </w:r>
      <w:r w:rsidR="00C01379" w:rsidRPr="00550A33">
        <w:rPr>
          <w:szCs w:val="24"/>
          <w:shd w:val="clear" w:color="auto" w:fill="FFFFFF" w:themeFill="background1"/>
        </w:rPr>
        <w:t>“</w:t>
      </w:r>
      <w:r w:rsidRPr="00550A33">
        <w:rPr>
          <w:szCs w:val="24"/>
          <w:shd w:val="clear" w:color="auto" w:fill="FFFFFF" w:themeFill="background1"/>
        </w:rPr>
        <w:t>Walmart</w:t>
      </w:r>
      <w:r w:rsidR="00C01379" w:rsidRPr="00550A33">
        <w:rPr>
          <w:szCs w:val="24"/>
          <w:shd w:val="clear" w:color="auto" w:fill="FFFFFF" w:themeFill="background1"/>
        </w:rPr>
        <w:t>”</w:t>
      </w:r>
      <w:r w:rsidRPr="00550A33">
        <w:rPr>
          <w:szCs w:val="24"/>
          <w:shd w:val="clear" w:color="auto" w:fill="FFFFFF" w:themeFill="background1"/>
        </w:rPr>
        <w:t xml:space="preserve">, </w:t>
      </w:r>
      <w:r w:rsidR="00C01379" w:rsidRPr="00550A33">
        <w:rPr>
          <w:szCs w:val="24"/>
          <w:shd w:val="clear" w:color="auto" w:fill="FFFFFF" w:themeFill="background1"/>
        </w:rPr>
        <w:t>“</w:t>
      </w:r>
      <w:r w:rsidRPr="00550A33">
        <w:rPr>
          <w:szCs w:val="24"/>
          <w:shd w:val="clear" w:color="auto" w:fill="FFFFFF" w:themeFill="background1"/>
        </w:rPr>
        <w:t>CVS</w:t>
      </w:r>
      <w:r w:rsidR="00C01379" w:rsidRPr="00550A33">
        <w:rPr>
          <w:szCs w:val="24"/>
          <w:shd w:val="clear" w:color="auto" w:fill="FFFFFF" w:themeFill="background1"/>
        </w:rPr>
        <w:t>”</w:t>
      </w:r>
      <w:r w:rsidR="004905A0" w:rsidRPr="00550A33">
        <w:rPr>
          <w:szCs w:val="24"/>
          <w:shd w:val="clear" w:color="auto" w:fill="FFFFFF" w:themeFill="background1"/>
        </w:rPr>
        <w:t>,</w:t>
      </w:r>
      <w:r w:rsidRPr="00550A33">
        <w:rPr>
          <w:szCs w:val="24"/>
          <w:shd w:val="clear" w:color="auto" w:fill="FFFFFF" w:themeFill="background1"/>
        </w:rPr>
        <w:t xml:space="preserve"> or </w:t>
      </w:r>
      <w:r w:rsidR="00C01379" w:rsidRPr="00550A33">
        <w:rPr>
          <w:szCs w:val="24"/>
          <w:shd w:val="clear" w:color="auto" w:fill="FFFFFF" w:themeFill="background1"/>
        </w:rPr>
        <w:t>“</w:t>
      </w:r>
      <w:r w:rsidRPr="00550A33">
        <w:rPr>
          <w:szCs w:val="24"/>
          <w:shd w:val="clear" w:color="auto" w:fill="FFFFFF" w:themeFill="background1"/>
        </w:rPr>
        <w:t>7</w:t>
      </w:r>
      <w:r w:rsidR="007B6C70" w:rsidRPr="00550A33">
        <w:rPr>
          <w:szCs w:val="24"/>
          <w:shd w:val="clear" w:color="auto" w:fill="FFFFFF" w:themeFill="background1"/>
        </w:rPr>
        <w:t>-</w:t>
      </w:r>
      <w:r w:rsidRPr="00550A33">
        <w:rPr>
          <w:szCs w:val="24"/>
          <w:shd w:val="clear" w:color="auto" w:fill="FFFFFF" w:themeFill="background1"/>
        </w:rPr>
        <w:t>Eleven</w:t>
      </w:r>
      <w:r w:rsidR="00C01379" w:rsidRPr="00550A33">
        <w:rPr>
          <w:szCs w:val="24"/>
          <w:shd w:val="clear" w:color="auto" w:fill="FFFFFF" w:themeFill="background1"/>
        </w:rPr>
        <w:t>”</w:t>
      </w:r>
      <w:r w:rsidRPr="00550A33">
        <w:rPr>
          <w:szCs w:val="24"/>
          <w:shd w:val="clear" w:color="auto" w:fill="FFFFFF" w:themeFill="background1"/>
        </w:rPr>
        <w:t xml:space="preserve"> in their name do not have </w:t>
      </w:r>
      <w:r w:rsidR="00C01379" w:rsidRPr="00550A33">
        <w:rPr>
          <w:szCs w:val="24"/>
          <w:shd w:val="clear" w:color="auto" w:fill="FFFFFF" w:themeFill="background1"/>
        </w:rPr>
        <w:t>a store chain number. Lastly, the researchers</w:t>
      </w:r>
      <w:r w:rsidRPr="00550A33">
        <w:rPr>
          <w:szCs w:val="24"/>
          <w:shd w:val="clear" w:color="auto" w:fill="FFFFFF" w:themeFill="background1"/>
        </w:rPr>
        <w:t xml:space="preserve"> used the store location</w:t>
      </w:r>
      <w:r w:rsidR="007B6C70" w:rsidRPr="00550A33">
        <w:rPr>
          <w:szCs w:val="24"/>
          <w:shd w:val="clear" w:color="auto" w:fill="FFFFFF" w:themeFill="background1"/>
        </w:rPr>
        <w:t>’s</w:t>
      </w:r>
      <w:r w:rsidR="00C01379" w:rsidRPr="00550A33">
        <w:rPr>
          <w:szCs w:val="24"/>
          <w:shd w:val="clear" w:color="auto" w:fill="FFFFFF" w:themeFill="background1"/>
        </w:rPr>
        <w:t xml:space="preserve"> </w:t>
      </w:r>
      <w:r w:rsidR="005F2053">
        <w:rPr>
          <w:szCs w:val="24"/>
          <w:shd w:val="clear" w:color="auto" w:fill="FFFFFF" w:themeFill="background1"/>
        </w:rPr>
        <w:t>zip</w:t>
      </w:r>
      <w:r w:rsidR="00C01379" w:rsidRPr="00550A33">
        <w:rPr>
          <w:szCs w:val="24"/>
          <w:shd w:val="clear" w:color="auto" w:fill="FFFFFF" w:themeFill="background1"/>
        </w:rPr>
        <w:t xml:space="preserve"> </w:t>
      </w:r>
      <w:r w:rsidR="004333E2">
        <w:rPr>
          <w:szCs w:val="24"/>
          <w:shd w:val="clear" w:color="auto" w:fill="FFFFFF" w:themeFill="background1"/>
        </w:rPr>
        <w:t>c</w:t>
      </w:r>
      <w:r w:rsidR="00C01379" w:rsidRPr="00550A33">
        <w:rPr>
          <w:szCs w:val="24"/>
          <w:shd w:val="clear" w:color="auto" w:fill="FFFFFF" w:themeFill="background1"/>
        </w:rPr>
        <w:t>ode to classify each store</w:t>
      </w:r>
      <w:r w:rsidRPr="00550A33">
        <w:rPr>
          <w:szCs w:val="24"/>
          <w:shd w:val="clear" w:color="auto" w:fill="FFFFFF" w:themeFill="background1"/>
        </w:rPr>
        <w:t xml:space="preserve"> as rural or urban: 18.3% of </w:t>
      </w:r>
      <w:r w:rsidR="004333E2">
        <w:rPr>
          <w:szCs w:val="24"/>
          <w:shd w:val="clear" w:color="auto" w:fill="FFFFFF" w:themeFill="background1"/>
        </w:rPr>
        <w:t xml:space="preserve">the </w:t>
      </w:r>
      <w:r w:rsidRPr="00550A33">
        <w:rPr>
          <w:szCs w:val="24"/>
          <w:shd w:val="clear" w:color="auto" w:fill="FFFFFF" w:themeFill="background1"/>
        </w:rPr>
        <w:t xml:space="preserve">stores </w:t>
      </w:r>
      <w:r w:rsidR="006F7DCC" w:rsidRPr="00550A33">
        <w:rPr>
          <w:szCs w:val="24"/>
          <w:shd w:val="clear" w:color="auto" w:fill="FFFFFF" w:themeFill="background1"/>
        </w:rPr>
        <w:t>are in</w:t>
      </w:r>
      <w:r w:rsidRPr="00550A33">
        <w:rPr>
          <w:szCs w:val="24"/>
          <w:shd w:val="clear" w:color="auto" w:fill="FFFFFF" w:themeFill="background1"/>
        </w:rPr>
        <w:t xml:space="preserve"> non-metropolitan areas</w:t>
      </w:r>
      <w:r w:rsidRPr="00371ACB">
        <w:rPr>
          <w:szCs w:val="24"/>
        </w:rPr>
        <w:t xml:space="preserve"> (referred to herein as rural) and 81.7% are in metropolitan areas (or urban).</w:t>
      </w:r>
    </w:p>
    <w:p w14:paraId="763CED42" w14:textId="6359A42E" w:rsidR="000367D5" w:rsidRPr="00371ACB" w:rsidRDefault="000367D5" w:rsidP="0027025C">
      <w:pPr>
        <w:spacing w:line="480" w:lineRule="auto"/>
        <w:ind w:firstLine="720"/>
        <w:jc w:val="both"/>
        <w:rPr>
          <w:szCs w:val="24"/>
        </w:rPr>
      </w:pPr>
      <w:r w:rsidRPr="00371ACB">
        <w:rPr>
          <w:rFonts w:cstheme="minorHAnsi"/>
          <w:szCs w:val="24"/>
        </w:rPr>
        <w:t>Considering that stores ar</w:t>
      </w:r>
      <w:r w:rsidR="00C01379" w:rsidRPr="00371ACB">
        <w:rPr>
          <w:rFonts w:cstheme="minorHAnsi"/>
          <w:szCs w:val="24"/>
        </w:rPr>
        <w:t>e our primary sampling units, the researchers</w:t>
      </w:r>
      <w:r w:rsidRPr="00371ACB">
        <w:rPr>
          <w:rFonts w:cstheme="minorHAnsi"/>
          <w:szCs w:val="24"/>
        </w:rPr>
        <w:t xml:space="preserve"> can use </w:t>
      </w:r>
      <w:r w:rsidRPr="00371ACB">
        <w:rPr>
          <w:szCs w:val="24"/>
        </w:rPr>
        <w:t>the distribution of stores based on their affiliation to a chain, location</w:t>
      </w:r>
      <w:r w:rsidR="007B6C70" w:rsidRPr="00371ACB">
        <w:rPr>
          <w:szCs w:val="24"/>
        </w:rPr>
        <w:t>,</w:t>
      </w:r>
      <w:r w:rsidRPr="00371ACB">
        <w:rPr>
          <w:szCs w:val="24"/>
        </w:rPr>
        <w:t xml:space="preserve"> and annual sales to stratify the population for sampling purposes. </w:t>
      </w:r>
      <w:r w:rsidR="00654101" w:rsidRPr="00654101">
        <w:rPr>
          <w:szCs w:val="24"/>
        </w:rPr>
        <w:fldChar w:fldCharType="begin"/>
      </w:r>
      <w:r w:rsidR="00654101" w:rsidRPr="00654101">
        <w:rPr>
          <w:szCs w:val="24"/>
        </w:rPr>
        <w:instrText xml:space="preserve"> REF _Ref490172972 \h  \* MERGEFORMAT </w:instrText>
      </w:r>
      <w:r w:rsidR="00654101" w:rsidRPr="00654101">
        <w:rPr>
          <w:szCs w:val="24"/>
        </w:rPr>
      </w:r>
      <w:r w:rsidR="00654101" w:rsidRPr="00654101">
        <w:rPr>
          <w:szCs w:val="24"/>
        </w:rPr>
        <w:fldChar w:fldCharType="separate"/>
      </w:r>
      <w:r w:rsidR="005428FA" w:rsidRPr="0071727B">
        <w:rPr>
          <w:b/>
          <w:sz w:val="22"/>
        </w:rPr>
        <w:t xml:space="preserve">Table </w:t>
      </w:r>
      <w:r w:rsidR="005428FA">
        <w:rPr>
          <w:b/>
          <w:noProof/>
          <w:sz w:val="22"/>
        </w:rPr>
        <w:t>2</w:t>
      </w:r>
      <w:r w:rsidR="00654101" w:rsidRPr="00654101">
        <w:rPr>
          <w:szCs w:val="24"/>
        </w:rPr>
        <w:fldChar w:fldCharType="end"/>
      </w:r>
      <w:r w:rsidR="00654101">
        <w:rPr>
          <w:szCs w:val="24"/>
        </w:rPr>
        <w:t xml:space="preserve"> </w:t>
      </w:r>
      <w:r w:rsidRPr="00371ACB">
        <w:rPr>
          <w:szCs w:val="24"/>
        </w:rPr>
        <w:t>provides a summary of the sampling frame.</w:t>
      </w:r>
    </w:p>
    <w:p w14:paraId="37D6383D" w14:textId="77777777" w:rsidR="006F7DCC" w:rsidRDefault="006F7DCC" w:rsidP="00BB4657">
      <w:pPr>
        <w:pStyle w:val="Caption"/>
        <w:spacing w:after="120"/>
        <w:rPr>
          <w:b/>
          <w:sz w:val="22"/>
        </w:rPr>
      </w:pPr>
      <w:bookmarkStart w:id="8" w:name="_Ref490172972"/>
      <w:bookmarkStart w:id="9" w:name="_Toc490743253"/>
    </w:p>
    <w:p w14:paraId="2FA9E71A" w14:textId="77777777" w:rsidR="001A07F3" w:rsidRDefault="001A07F3">
      <w:pPr>
        <w:widowControl/>
        <w:overflowPunct/>
        <w:autoSpaceDE/>
        <w:autoSpaceDN/>
        <w:adjustRightInd/>
        <w:textAlignment w:val="auto"/>
        <w:rPr>
          <w:b/>
          <w:sz w:val="22"/>
        </w:rPr>
      </w:pPr>
      <w:r>
        <w:rPr>
          <w:b/>
          <w:sz w:val="22"/>
        </w:rPr>
        <w:br w:type="page"/>
      </w:r>
    </w:p>
    <w:p w14:paraId="198E22B1" w14:textId="543FD3B7" w:rsidR="0071727B" w:rsidRPr="0071727B" w:rsidRDefault="0071727B" w:rsidP="00BB4657">
      <w:pPr>
        <w:pStyle w:val="Caption"/>
        <w:spacing w:after="120"/>
        <w:rPr>
          <w:b/>
          <w:sz w:val="22"/>
        </w:rPr>
      </w:pPr>
      <w:r w:rsidRPr="0071727B">
        <w:rPr>
          <w:b/>
          <w:sz w:val="22"/>
        </w:rPr>
        <w:t xml:space="preserve">Table </w:t>
      </w:r>
      <w:r w:rsidRPr="0071727B">
        <w:rPr>
          <w:b/>
          <w:sz w:val="22"/>
        </w:rPr>
        <w:fldChar w:fldCharType="begin"/>
      </w:r>
      <w:r w:rsidRPr="0071727B">
        <w:rPr>
          <w:b/>
          <w:sz w:val="22"/>
        </w:rPr>
        <w:instrText xml:space="preserve"> SEQ Table \* ARABIC </w:instrText>
      </w:r>
      <w:r w:rsidRPr="0071727B">
        <w:rPr>
          <w:b/>
          <w:sz w:val="22"/>
        </w:rPr>
        <w:fldChar w:fldCharType="separate"/>
      </w:r>
      <w:r w:rsidR="005428FA">
        <w:rPr>
          <w:b/>
          <w:noProof/>
          <w:sz w:val="22"/>
        </w:rPr>
        <w:t>2</w:t>
      </w:r>
      <w:r w:rsidRPr="0071727B">
        <w:rPr>
          <w:b/>
          <w:sz w:val="22"/>
        </w:rPr>
        <w:fldChar w:fldCharType="end"/>
      </w:r>
      <w:bookmarkEnd w:id="8"/>
      <w:r w:rsidRPr="0071727B">
        <w:rPr>
          <w:b/>
          <w:sz w:val="22"/>
        </w:rPr>
        <w:t>: Sampling Frame Characteristics- Affiliation to a Chain, Urbanicity, and Sales</w:t>
      </w:r>
      <w:bookmarkEnd w:id="9"/>
    </w:p>
    <w:tbl>
      <w:tblPr>
        <w:tblW w:w="9270" w:type="dxa"/>
        <w:tblBorders>
          <w:insideH w:val="single" w:sz="4" w:space="0" w:color="auto"/>
          <w:insideV w:val="single" w:sz="4" w:space="0" w:color="auto"/>
        </w:tblBorders>
        <w:tblLayout w:type="fixed"/>
        <w:tblLook w:val="04A0" w:firstRow="1" w:lastRow="0" w:firstColumn="1" w:lastColumn="0" w:noHBand="0" w:noVBand="1"/>
      </w:tblPr>
      <w:tblGrid>
        <w:gridCol w:w="1780"/>
        <w:gridCol w:w="1872"/>
        <w:gridCol w:w="1873"/>
        <w:gridCol w:w="1872"/>
        <w:gridCol w:w="1873"/>
      </w:tblGrid>
      <w:tr w:rsidR="008649C2" w:rsidRPr="008649C2" w14:paraId="3B948232" w14:textId="77777777" w:rsidTr="00907C1E">
        <w:trPr>
          <w:trHeight w:val="701"/>
        </w:trPr>
        <w:tc>
          <w:tcPr>
            <w:tcW w:w="1780" w:type="dxa"/>
            <w:vMerge w:val="restart"/>
            <w:tcBorders>
              <w:top w:val="single" w:sz="4" w:space="0" w:color="auto"/>
              <w:left w:val="single" w:sz="4" w:space="0" w:color="auto"/>
              <w:bottom w:val="single" w:sz="4" w:space="0" w:color="auto"/>
            </w:tcBorders>
            <w:noWrap/>
            <w:hideMark/>
          </w:tcPr>
          <w:p w14:paraId="7C115F32" w14:textId="77777777" w:rsidR="000367D5" w:rsidRPr="008649C2" w:rsidRDefault="000367D5" w:rsidP="00CB0AF6">
            <w:pPr>
              <w:spacing w:line="360" w:lineRule="auto"/>
              <w:jc w:val="both"/>
              <w:rPr>
                <w:b/>
                <w:bCs/>
                <w:color w:val="000000" w:themeColor="text1"/>
                <w:sz w:val="22"/>
                <w:szCs w:val="22"/>
              </w:rPr>
            </w:pPr>
            <w:r w:rsidRPr="008649C2">
              <w:rPr>
                <w:color w:val="000000" w:themeColor="text1"/>
                <w:sz w:val="22"/>
                <w:szCs w:val="22"/>
              </w:rPr>
              <w:t>Sales Revenue</w:t>
            </w:r>
          </w:p>
        </w:tc>
        <w:tc>
          <w:tcPr>
            <w:tcW w:w="3745" w:type="dxa"/>
            <w:gridSpan w:val="2"/>
            <w:tcBorders>
              <w:top w:val="single" w:sz="4" w:space="0" w:color="auto"/>
              <w:bottom w:val="single" w:sz="4" w:space="0" w:color="auto"/>
            </w:tcBorders>
            <w:noWrap/>
            <w:hideMark/>
          </w:tcPr>
          <w:p w14:paraId="417DFFA5" w14:textId="77777777" w:rsidR="000367D5" w:rsidRPr="008649C2" w:rsidRDefault="000367D5" w:rsidP="00CB0AF6">
            <w:pPr>
              <w:spacing w:line="360" w:lineRule="auto"/>
              <w:jc w:val="center"/>
              <w:rPr>
                <w:b/>
                <w:bCs/>
                <w:color w:val="000000" w:themeColor="text1"/>
                <w:sz w:val="22"/>
                <w:szCs w:val="22"/>
              </w:rPr>
            </w:pPr>
            <w:r w:rsidRPr="008649C2">
              <w:rPr>
                <w:color w:val="000000" w:themeColor="text1"/>
                <w:sz w:val="22"/>
                <w:szCs w:val="22"/>
              </w:rPr>
              <w:t>Not Affiliated to a Chain</w:t>
            </w:r>
          </w:p>
        </w:tc>
        <w:tc>
          <w:tcPr>
            <w:tcW w:w="3745" w:type="dxa"/>
            <w:gridSpan w:val="2"/>
            <w:tcBorders>
              <w:top w:val="single" w:sz="4" w:space="0" w:color="auto"/>
              <w:bottom w:val="single" w:sz="4" w:space="0" w:color="auto"/>
              <w:right w:val="single" w:sz="4" w:space="0" w:color="auto"/>
            </w:tcBorders>
            <w:noWrap/>
            <w:hideMark/>
          </w:tcPr>
          <w:p w14:paraId="19C527CC" w14:textId="77777777" w:rsidR="000367D5" w:rsidRPr="008649C2" w:rsidRDefault="000367D5" w:rsidP="00CB0AF6">
            <w:pPr>
              <w:spacing w:line="360" w:lineRule="auto"/>
              <w:jc w:val="center"/>
              <w:rPr>
                <w:b/>
                <w:bCs/>
                <w:color w:val="000000" w:themeColor="text1"/>
                <w:sz w:val="22"/>
                <w:szCs w:val="22"/>
              </w:rPr>
            </w:pPr>
            <w:r w:rsidRPr="008649C2">
              <w:rPr>
                <w:color w:val="000000" w:themeColor="text1"/>
                <w:sz w:val="22"/>
                <w:szCs w:val="22"/>
              </w:rPr>
              <w:t>Affiliated to a Chain</w:t>
            </w:r>
          </w:p>
        </w:tc>
      </w:tr>
      <w:tr w:rsidR="008649C2" w:rsidRPr="008649C2" w14:paraId="1AC64B32" w14:textId="77777777" w:rsidTr="00907C1E">
        <w:trPr>
          <w:trHeight w:val="449"/>
        </w:trPr>
        <w:tc>
          <w:tcPr>
            <w:tcW w:w="1780" w:type="dxa"/>
            <w:vMerge/>
            <w:tcBorders>
              <w:top w:val="single" w:sz="4" w:space="0" w:color="auto"/>
              <w:left w:val="single" w:sz="4" w:space="0" w:color="auto"/>
            </w:tcBorders>
            <w:hideMark/>
          </w:tcPr>
          <w:p w14:paraId="4B537DC6" w14:textId="77777777" w:rsidR="000367D5" w:rsidRPr="008649C2" w:rsidRDefault="000367D5" w:rsidP="00CB0AF6">
            <w:pPr>
              <w:spacing w:line="360" w:lineRule="auto"/>
              <w:jc w:val="both"/>
              <w:rPr>
                <w:b/>
                <w:bCs/>
                <w:color w:val="000000" w:themeColor="text1"/>
                <w:sz w:val="22"/>
                <w:szCs w:val="22"/>
              </w:rPr>
            </w:pPr>
          </w:p>
        </w:tc>
        <w:tc>
          <w:tcPr>
            <w:tcW w:w="1872" w:type="dxa"/>
            <w:tcBorders>
              <w:top w:val="single" w:sz="4" w:space="0" w:color="auto"/>
            </w:tcBorders>
            <w:noWrap/>
            <w:hideMark/>
          </w:tcPr>
          <w:p w14:paraId="5D0CE4F4" w14:textId="77777777" w:rsidR="000367D5" w:rsidRPr="008649C2" w:rsidRDefault="000367D5" w:rsidP="00CB0AF6">
            <w:pPr>
              <w:spacing w:line="360" w:lineRule="auto"/>
              <w:jc w:val="both"/>
              <w:rPr>
                <w:b/>
                <w:bCs/>
                <w:color w:val="000000" w:themeColor="text1"/>
                <w:sz w:val="22"/>
                <w:szCs w:val="22"/>
              </w:rPr>
            </w:pPr>
            <w:r w:rsidRPr="008649C2">
              <w:rPr>
                <w:b/>
                <w:bCs/>
                <w:color w:val="000000" w:themeColor="text1"/>
                <w:sz w:val="22"/>
                <w:szCs w:val="22"/>
              </w:rPr>
              <w:t>Rural</w:t>
            </w:r>
          </w:p>
        </w:tc>
        <w:tc>
          <w:tcPr>
            <w:tcW w:w="1873" w:type="dxa"/>
            <w:tcBorders>
              <w:top w:val="single" w:sz="4" w:space="0" w:color="auto"/>
            </w:tcBorders>
            <w:noWrap/>
            <w:hideMark/>
          </w:tcPr>
          <w:p w14:paraId="52B83E2E" w14:textId="77777777" w:rsidR="000367D5" w:rsidRPr="008649C2" w:rsidRDefault="000367D5" w:rsidP="00CB0AF6">
            <w:pPr>
              <w:spacing w:line="360" w:lineRule="auto"/>
              <w:jc w:val="both"/>
              <w:rPr>
                <w:b/>
                <w:bCs/>
                <w:color w:val="000000" w:themeColor="text1"/>
                <w:sz w:val="22"/>
                <w:szCs w:val="22"/>
              </w:rPr>
            </w:pPr>
            <w:r w:rsidRPr="008649C2">
              <w:rPr>
                <w:b/>
                <w:bCs/>
                <w:color w:val="000000" w:themeColor="text1"/>
                <w:sz w:val="22"/>
                <w:szCs w:val="22"/>
              </w:rPr>
              <w:t>Urban</w:t>
            </w:r>
          </w:p>
        </w:tc>
        <w:tc>
          <w:tcPr>
            <w:tcW w:w="1872" w:type="dxa"/>
            <w:tcBorders>
              <w:top w:val="single" w:sz="4" w:space="0" w:color="auto"/>
            </w:tcBorders>
            <w:noWrap/>
            <w:hideMark/>
          </w:tcPr>
          <w:p w14:paraId="013646E0" w14:textId="77777777" w:rsidR="000367D5" w:rsidRPr="008649C2" w:rsidRDefault="000367D5" w:rsidP="00CB0AF6">
            <w:pPr>
              <w:spacing w:line="360" w:lineRule="auto"/>
              <w:jc w:val="both"/>
              <w:rPr>
                <w:b/>
                <w:bCs/>
                <w:color w:val="000000" w:themeColor="text1"/>
                <w:sz w:val="22"/>
                <w:szCs w:val="22"/>
              </w:rPr>
            </w:pPr>
            <w:r w:rsidRPr="008649C2">
              <w:rPr>
                <w:b/>
                <w:bCs/>
                <w:color w:val="000000" w:themeColor="text1"/>
                <w:sz w:val="22"/>
                <w:szCs w:val="22"/>
              </w:rPr>
              <w:t>Rural</w:t>
            </w:r>
          </w:p>
        </w:tc>
        <w:tc>
          <w:tcPr>
            <w:tcW w:w="1873" w:type="dxa"/>
            <w:tcBorders>
              <w:top w:val="single" w:sz="4" w:space="0" w:color="auto"/>
              <w:right w:val="single" w:sz="4" w:space="0" w:color="auto"/>
            </w:tcBorders>
            <w:noWrap/>
            <w:hideMark/>
          </w:tcPr>
          <w:p w14:paraId="1A49C2E3" w14:textId="77777777" w:rsidR="000367D5" w:rsidRPr="008649C2" w:rsidRDefault="000367D5" w:rsidP="00CB0AF6">
            <w:pPr>
              <w:spacing w:line="360" w:lineRule="auto"/>
              <w:jc w:val="both"/>
              <w:rPr>
                <w:b/>
                <w:bCs/>
                <w:color w:val="000000" w:themeColor="text1"/>
                <w:sz w:val="22"/>
                <w:szCs w:val="22"/>
              </w:rPr>
            </w:pPr>
            <w:r w:rsidRPr="008649C2">
              <w:rPr>
                <w:b/>
                <w:bCs/>
                <w:color w:val="000000" w:themeColor="text1"/>
                <w:sz w:val="22"/>
                <w:szCs w:val="22"/>
              </w:rPr>
              <w:t>Urban</w:t>
            </w:r>
          </w:p>
        </w:tc>
      </w:tr>
      <w:tr w:rsidR="008649C2" w:rsidRPr="008649C2" w14:paraId="7DF2A2DE" w14:textId="77777777" w:rsidTr="00907C1E">
        <w:trPr>
          <w:trHeight w:val="300"/>
        </w:trPr>
        <w:tc>
          <w:tcPr>
            <w:tcW w:w="1780" w:type="dxa"/>
            <w:tcBorders>
              <w:left w:val="single" w:sz="4" w:space="0" w:color="auto"/>
            </w:tcBorders>
            <w:noWrap/>
            <w:hideMark/>
          </w:tcPr>
          <w:p w14:paraId="443F7C24" w14:textId="77777777" w:rsidR="000367D5" w:rsidRPr="008649C2" w:rsidRDefault="000367D5" w:rsidP="00CB0AF6">
            <w:pPr>
              <w:spacing w:line="360" w:lineRule="auto"/>
              <w:jc w:val="both"/>
              <w:rPr>
                <w:color w:val="000000" w:themeColor="text1"/>
                <w:sz w:val="22"/>
                <w:szCs w:val="22"/>
              </w:rPr>
            </w:pPr>
            <w:r w:rsidRPr="008649C2">
              <w:rPr>
                <w:color w:val="000000" w:themeColor="text1"/>
                <w:sz w:val="22"/>
                <w:szCs w:val="22"/>
              </w:rPr>
              <w:t>Sales &lt; $1.5M</w:t>
            </w:r>
          </w:p>
        </w:tc>
        <w:tc>
          <w:tcPr>
            <w:tcW w:w="1872" w:type="dxa"/>
            <w:noWrap/>
            <w:hideMark/>
          </w:tcPr>
          <w:p w14:paraId="528A5166"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13,184</w:t>
            </w:r>
          </w:p>
        </w:tc>
        <w:tc>
          <w:tcPr>
            <w:tcW w:w="1873" w:type="dxa"/>
            <w:noWrap/>
            <w:hideMark/>
          </w:tcPr>
          <w:p w14:paraId="1F618FD2"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71,366</w:t>
            </w:r>
          </w:p>
        </w:tc>
        <w:tc>
          <w:tcPr>
            <w:tcW w:w="1872" w:type="dxa"/>
            <w:noWrap/>
            <w:hideMark/>
          </w:tcPr>
          <w:p w14:paraId="7CD735FD"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10,567</w:t>
            </w:r>
          </w:p>
        </w:tc>
        <w:tc>
          <w:tcPr>
            <w:tcW w:w="1873" w:type="dxa"/>
            <w:tcBorders>
              <w:right w:val="single" w:sz="4" w:space="0" w:color="auto"/>
            </w:tcBorders>
            <w:noWrap/>
            <w:hideMark/>
          </w:tcPr>
          <w:p w14:paraId="673F2EC8"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35,985</w:t>
            </w:r>
          </w:p>
        </w:tc>
      </w:tr>
      <w:tr w:rsidR="008649C2" w:rsidRPr="008649C2" w14:paraId="6F2E71C1" w14:textId="77777777" w:rsidTr="00907C1E">
        <w:trPr>
          <w:trHeight w:val="300"/>
        </w:trPr>
        <w:tc>
          <w:tcPr>
            <w:tcW w:w="1780" w:type="dxa"/>
            <w:tcBorders>
              <w:left w:val="single" w:sz="4" w:space="0" w:color="auto"/>
            </w:tcBorders>
            <w:noWrap/>
            <w:hideMark/>
          </w:tcPr>
          <w:p w14:paraId="605F1449" w14:textId="77777777" w:rsidR="000367D5" w:rsidRPr="008649C2" w:rsidRDefault="000367D5" w:rsidP="00CB0AF6">
            <w:pPr>
              <w:spacing w:line="360" w:lineRule="auto"/>
              <w:jc w:val="both"/>
              <w:rPr>
                <w:color w:val="000000" w:themeColor="text1"/>
                <w:sz w:val="22"/>
                <w:szCs w:val="22"/>
              </w:rPr>
            </w:pPr>
          </w:p>
        </w:tc>
        <w:tc>
          <w:tcPr>
            <w:tcW w:w="1872" w:type="dxa"/>
            <w:noWrap/>
            <w:hideMark/>
          </w:tcPr>
          <w:p w14:paraId="3A9A1541"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66.9%</w:t>
            </w:r>
          </w:p>
        </w:tc>
        <w:tc>
          <w:tcPr>
            <w:tcW w:w="1873" w:type="dxa"/>
            <w:noWrap/>
            <w:hideMark/>
          </w:tcPr>
          <w:p w14:paraId="442E2532"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76.2%</w:t>
            </w:r>
          </w:p>
        </w:tc>
        <w:tc>
          <w:tcPr>
            <w:tcW w:w="1872" w:type="dxa"/>
            <w:noWrap/>
            <w:hideMark/>
          </w:tcPr>
          <w:p w14:paraId="3955CD0D"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41.0%</w:t>
            </w:r>
          </w:p>
        </w:tc>
        <w:tc>
          <w:tcPr>
            <w:tcW w:w="1873" w:type="dxa"/>
            <w:tcBorders>
              <w:right w:val="single" w:sz="4" w:space="0" w:color="auto"/>
            </w:tcBorders>
            <w:noWrap/>
            <w:hideMark/>
          </w:tcPr>
          <w:p w14:paraId="2BA8360E"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33.0%</w:t>
            </w:r>
          </w:p>
        </w:tc>
      </w:tr>
      <w:tr w:rsidR="008649C2" w:rsidRPr="008649C2" w14:paraId="0FCA2DE1" w14:textId="77777777" w:rsidTr="00907C1E">
        <w:trPr>
          <w:trHeight w:val="300"/>
        </w:trPr>
        <w:tc>
          <w:tcPr>
            <w:tcW w:w="1780" w:type="dxa"/>
            <w:tcBorders>
              <w:left w:val="single" w:sz="4" w:space="0" w:color="auto"/>
              <w:bottom w:val="single" w:sz="4" w:space="0" w:color="auto"/>
            </w:tcBorders>
            <w:noWrap/>
            <w:hideMark/>
          </w:tcPr>
          <w:p w14:paraId="63CEDB91" w14:textId="77777777" w:rsidR="000367D5" w:rsidRPr="008649C2" w:rsidRDefault="000367D5" w:rsidP="00CB0AF6">
            <w:pPr>
              <w:spacing w:line="360" w:lineRule="auto"/>
              <w:jc w:val="both"/>
              <w:rPr>
                <w:color w:val="000000" w:themeColor="text1"/>
                <w:sz w:val="22"/>
                <w:szCs w:val="22"/>
              </w:rPr>
            </w:pPr>
            <w:r w:rsidRPr="008649C2">
              <w:rPr>
                <w:color w:val="000000" w:themeColor="text1"/>
                <w:sz w:val="22"/>
                <w:szCs w:val="22"/>
              </w:rPr>
              <w:t>Sales &gt;= $1.5M</w:t>
            </w:r>
          </w:p>
        </w:tc>
        <w:tc>
          <w:tcPr>
            <w:tcW w:w="1872" w:type="dxa"/>
            <w:tcBorders>
              <w:bottom w:val="single" w:sz="4" w:space="0" w:color="auto"/>
            </w:tcBorders>
            <w:noWrap/>
            <w:hideMark/>
          </w:tcPr>
          <w:p w14:paraId="11CA3D98"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6,535</w:t>
            </w:r>
          </w:p>
        </w:tc>
        <w:tc>
          <w:tcPr>
            <w:tcW w:w="1873" w:type="dxa"/>
            <w:tcBorders>
              <w:bottom w:val="single" w:sz="4" w:space="0" w:color="auto"/>
            </w:tcBorders>
            <w:noWrap/>
            <w:hideMark/>
          </w:tcPr>
          <w:p w14:paraId="16A9A39F"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22,232</w:t>
            </w:r>
          </w:p>
        </w:tc>
        <w:tc>
          <w:tcPr>
            <w:tcW w:w="1872" w:type="dxa"/>
            <w:tcBorders>
              <w:bottom w:val="single" w:sz="4" w:space="0" w:color="auto"/>
            </w:tcBorders>
            <w:noWrap/>
            <w:hideMark/>
          </w:tcPr>
          <w:p w14:paraId="04F6D578"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15,214</w:t>
            </w:r>
          </w:p>
        </w:tc>
        <w:tc>
          <w:tcPr>
            <w:tcW w:w="1873" w:type="dxa"/>
            <w:tcBorders>
              <w:bottom w:val="single" w:sz="4" w:space="0" w:color="auto"/>
              <w:right w:val="single" w:sz="4" w:space="0" w:color="auto"/>
            </w:tcBorders>
            <w:noWrap/>
            <w:hideMark/>
          </w:tcPr>
          <w:p w14:paraId="0C6813BF"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73,105</w:t>
            </w:r>
          </w:p>
        </w:tc>
      </w:tr>
      <w:tr w:rsidR="008649C2" w:rsidRPr="008649C2" w14:paraId="446F261D" w14:textId="77777777" w:rsidTr="00907C1E">
        <w:trPr>
          <w:trHeight w:val="300"/>
        </w:trPr>
        <w:tc>
          <w:tcPr>
            <w:tcW w:w="1780" w:type="dxa"/>
            <w:tcBorders>
              <w:top w:val="single" w:sz="4" w:space="0" w:color="auto"/>
              <w:left w:val="single" w:sz="4" w:space="0" w:color="auto"/>
              <w:bottom w:val="double" w:sz="4" w:space="0" w:color="auto"/>
            </w:tcBorders>
            <w:noWrap/>
            <w:hideMark/>
          </w:tcPr>
          <w:p w14:paraId="5A4EB9A6" w14:textId="77777777" w:rsidR="000367D5" w:rsidRPr="008649C2" w:rsidRDefault="000367D5" w:rsidP="00CB0AF6">
            <w:pPr>
              <w:spacing w:line="360" w:lineRule="auto"/>
              <w:jc w:val="both"/>
              <w:rPr>
                <w:color w:val="000000" w:themeColor="text1"/>
                <w:sz w:val="22"/>
                <w:szCs w:val="22"/>
              </w:rPr>
            </w:pPr>
          </w:p>
        </w:tc>
        <w:tc>
          <w:tcPr>
            <w:tcW w:w="1872" w:type="dxa"/>
            <w:tcBorders>
              <w:top w:val="single" w:sz="4" w:space="0" w:color="auto"/>
              <w:bottom w:val="double" w:sz="4" w:space="0" w:color="auto"/>
            </w:tcBorders>
            <w:noWrap/>
            <w:hideMark/>
          </w:tcPr>
          <w:p w14:paraId="1934F5E4"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33.1%</w:t>
            </w:r>
          </w:p>
        </w:tc>
        <w:tc>
          <w:tcPr>
            <w:tcW w:w="1873" w:type="dxa"/>
            <w:tcBorders>
              <w:top w:val="single" w:sz="4" w:space="0" w:color="auto"/>
              <w:bottom w:val="double" w:sz="4" w:space="0" w:color="auto"/>
            </w:tcBorders>
            <w:noWrap/>
            <w:hideMark/>
          </w:tcPr>
          <w:p w14:paraId="1FC9E47A"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23.8%</w:t>
            </w:r>
          </w:p>
        </w:tc>
        <w:tc>
          <w:tcPr>
            <w:tcW w:w="1872" w:type="dxa"/>
            <w:tcBorders>
              <w:top w:val="single" w:sz="4" w:space="0" w:color="auto"/>
              <w:bottom w:val="double" w:sz="4" w:space="0" w:color="auto"/>
            </w:tcBorders>
            <w:noWrap/>
            <w:hideMark/>
          </w:tcPr>
          <w:p w14:paraId="1F4EDC16"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59.0%</w:t>
            </w:r>
          </w:p>
        </w:tc>
        <w:tc>
          <w:tcPr>
            <w:tcW w:w="1873" w:type="dxa"/>
            <w:tcBorders>
              <w:top w:val="single" w:sz="4" w:space="0" w:color="auto"/>
              <w:bottom w:val="double" w:sz="4" w:space="0" w:color="auto"/>
              <w:right w:val="single" w:sz="4" w:space="0" w:color="auto"/>
            </w:tcBorders>
            <w:noWrap/>
            <w:hideMark/>
          </w:tcPr>
          <w:p w14:paraId="2F5E0193"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67.0%</w:t>
            </w:r>
          </w:p>
        </w:tc>
      </w:tr>
      <w:tr w:rsidR="008649C2" w:rsidRPr="008649C2" w14:paraId="2EAB1AC5" w14:textId="77777777" w:rsidTr="00907C1E">
        <w:trPr>
          <w:trHeight w:val="393"/>
        </w:trPr>
        <w:tc>
          <w:tcPr>
            <w:tcW w:w="1780" w:type="dxa"/>
            <w:tcBorders>
              <w:top w:val="double" w:sz="4" w:space="0" w:color="auto"/>
              <w:left w:val="single" w:sz="4" w:space="0" w:color="auto"/>
              <w:bottom w:val="single" w:sz="4" w:space="0" w:color="auto"/>
            </w:tcBorders>
            <w:noWrap/>
            <w:hideMark/>
          </w:tcPr>
          <w:p w14:paraId="77160BD6" w14:textId="77777777" w:rsidR="000367D5" w:rsidRPr="008649C2" w:rsidRDefault="000367D5" w:rsidP="00CB0AF6">
            <w:pPr>
              <w:spacing w:line="360" w:lineRule="auto"/>
              <w:jc w:val="both"/>
              <w:rPr>
                <w:color w:val="000000" w:themeColor="text1"/>
                <w:sz w:val="22"/>
                <w:szCs w:val="22"/>
              </w:rPr>
            </w:pPr>
            <w:r w:rsidRPr="008649C2">
              <w:rPr>
                <w:color w:val="000000" w:themeColor="text1"/>
                <w:sz w:val="22"/>
                <w:szCs w:val="22"/>
              </w:rPr>
              <w:t>Total</w:t>
            </w:r>
          </w:p>
        </w:tc>
        <w:tc>
          <w:tcPr>
            <w:tcW w:w="1872" w:type="dxa"/>
            <w:tcBorders>
              <w:top w:val="double" w:sz="4" w:space="0" w:color="auto"/>
              <w:bottom w:val="single" w:sz="4" w:space="0" w:color="auto"/>
            </w:tcBorders>
            <w:noWrap/>
            <w:hideMark/>
          </w:tcPr>
          <w:p w14:paraId="23D100C3"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19,719</w:t>
            </w:r>
          </w:p>
        </w:tc>
        <w:tc>
          <w:tcPr>
            <w:tcW w:w="1873" w:type="dxa"/>
            <w:tcBorders>
              <w:top w:val="double" w:sz="4" w:space="0" w:color="auto"/>
              <w:bottom w:val="single" w:sz="4" w:space="0" w:color="auto"/>
            </w:tcBorders>
            <w:noWrap/>
            <w:hideMark/>
          </w:tcPr>
          <w:p w14:paraId="24170199"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93,598</w:t>
            </w:r>
          </w:p>
        </w:tc>
        <w:tc>
          <w:tcPr>
            <w:tcW w:w="1872" w:type="dxa"/>
            <w:tcBorders>
              <w:top w:val="double" w:sz="4" w:space="0" w:color="auto"/>
              <w:bottom w:val="single" w:sz="4" w:space="0" w:color="auto"/>
            </w:tcBorders>
            <w:noWrap/>
            <w:hideMark/>
          </w:tcPr>
          <w:p w14:paraId="21A50C5F"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25,781</w:t>
            </w:r>
          </w:p>
        </w:tc>
        <w:tc>
          <w:tcPr>
            <w:tcW w:w="1873" w:type="dxa"/>
            <w:tcBorders>
              <w:top w:val="double" w:sz="4" w:space="0" w:color="auto"/>
              <w:bottom w:val="single" w:sz="4" w:space="0" w:color="auto"/>
              <w:right w:val="single" w:sz="4" w:space="0" w:color="auto"/>
            </w:tcBorders>
            <w:noWrap/>
            <w:hideMark/>
          </w:tcPr>
          <w:p w14:paraId="53D85E6B"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109,090</w:t>
            </w:r>
          </w:p>
        </w:tc>
      </w:tr>
      <w:tr w:rsidR="008649C2" w:rsidRPr="008649C2" w14:paraId="254A47A7" w14:textId="77777777" w:rsidTr="00907C1E">
        <w:trPr>
          <w:trHeight w:val="300"/>
        </w:trPr>
        <w:tc>
          <w:tcPr>
            <w:tcW w:w="1780" w:type="dxa"/>
            <w:tcBorders>
              <w:top w:val="single" w:sz="4" w:space="0" w:color="auto"/>
              <w:left w:val="single" w:sz="4" w:space="0" w:color="auto"/>
              <w:bottom w:val="single" w:sz="4" w:space="0" w:color="auto"/>
            </w:tcBorders>
            <w:noWrap/>
            <w:hideMark/>
          </w:tcPr>
          <w:p w14:paraId="752EC09E" w14:textId="77777777" w:rsidR="000367D5" w:rsidRPr="008649C2" w:rsidRDefault="000367D5" w:rsidP="00CB0AF6">
            <w:pPr>
              <w:spacing w:line="360" w:lineRule="auto"/>
              <w:jc w:val="both"/>
              <w:rPr>
                <w:color w:val="000000" w:themeColor="text1"/>
                <w:sz w:val="22"/>
                <w:szCs w:val="22"/>
              </w:rPr>
            </w:pPr>
          </w:p>
        </w:tc>
        <w:tc>
          <w:tcPr>
            <w:tcW w:w="1872" w:type="dxa"/>
            <w:tcBorders>
              <w:top w:val="single" w:sz="4" w:space="0" w:color="auto"/>
              <w:bottom w:val="single" w:sz="4" w:space="0" w:color="auto"/>
            </w:tcBorders>
            <w:noWrap/>
            <w:hideMark/>
          </w:tcPr>
          <w:p w14:paraId="1DA0716D"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100.0%</w:t>
            </w:r>
          </w:p>
        </w:tc>
        <w:tc>
          <w:tcPr>
            <w:tcW w:w="1873" w:type="dxa"/>
            <w:tcBorders>
              <w:top w:val="single" w:sz="4" w:space="0" w:color="auto"/>
              <w:bottom w:val="single" w:sz="4" w:space="0" w:color="auto"/>
            </w:tcBorders>
            <w:noWrap/>
            <w:hideMark/>
          </w:tcPr>
          <w:p w14:paraId="2F2C182C"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100.0%</w:t>
            </w:r>
          </w:p>
        </w:tc>
        <w:tc>
          <w:tcPr>
            <w:tcW w:w="1872" w:type="dxa"/>
            <w:tcBorders>
              <w:top w:val="single" w:sz="4" w:space="0" w:color="auto"/>
              <w:bottom w:val="single" w:sz="4" w:space="0" w:color="auto"/>
            </w:tcBorders>
            <w:noWrap/>
            <w:hideMark/>
          </w:tcPr>
          <w:p w14:paraId="49A824F4"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100.0%</w:t>
            </w:r>
          </w:p>
        </w:tc>
        <w:tc>
          <w:tcPr>
            <w:tcW w:w="1873" w:type="dxa"/>
            <w:tcBorders>
              <w:top w:val="single" w:sz="4" w:space="0" w:color="auto"/>
              <w:bottom w:val="single" w:sz="4" w:space="0" w:color="auto"/>
              <w:right w:val="single" w:sz="4" w:space="0" w:color="auto"/>
            </w:tcBorders>
            <w:noWrap/>
            <w:hideMark/>
          </w:tcPr>
          <w:p w14:paraId="529E7DBB" w14:textId="77777777" w:rsidR="000367D5" w:rsidRPr="008649C2" w:rsidRDefault="000367D5" w:rsidP="00CB0AF6">
            <w:pPr>
              <w:spacing w:line="360" w:lineRule="auto"/>
              <w:rPr>
                <w:color w:val="000000" w:themeColor="text1"/>
                <w:sz w:val="22"/>
                <w:szCs w:val="22"/>
              </w:rPr>
            </w:pPr>
            <w:r w:rsidRPr="008649C2">
              <w:rPr>
                <w:color w:val="000000" w:themeColor="text1"/>
                <w:sz w:val="22"/>
                <w:szCs w:val="22"/>
              </w:rPr>
              <w:t>100.0%</w:t>
            </w:r>
          </w:p>
        </w:tc>
      </w:tr>
    </w:tbl>
    <w:p w14:paraId="2DAB878B" w14:textId="32F06E0B" w:rsidR="000367D5" w:rsidRDefault="000367D5" w:rsidP="00996E16">
      <w:pPr>
        <w:ind w:left="720"/>
        <w:jc w:val="both"/>
        <w:rPr>
          <w:rFonts w:cstheme="minorHAnsi"/>
        </w:rPr>
      </w:pPr>
    </w:p>
    <w:p w14:paraId="613DD07E" w14:textId="77777777" w:rsidR="00907C1E" w:rsidRDefault="00907C1E" w:rsidP="001A07F3">
      <w:pPr>
        <w:jc w:val="both"/>
        <w:rPr>
          <w:rFonts w:cstheme="minorHAnsi"/>
        </w:rPr>
      </w:pPr>
    </w:p>
    <w:p w14:paraId="287BA9FA" w14:textId="36AD3803" w:rsidR="000367D5" w:rsidRDefault="000367D5" w:rsidP="00371ACB">
      <w:pPr>
        <w:spacing w:after="120" w:line="480" w:lineRule="auto"/>
        <w:ind w:firstLine="720"/>
        <w:jc w:val="both"/>
        <w:rPr>
          <w:rFonts w:cstheme="minorHAnsi"/>
          <w:szCs w:val="24"/>
        </w:rPr>
      </w:pPr>
      <w:r w:rsidRPr="00371ACB">
        <w:rPr>
          <w:rFonts w:cstheme="minorHAnsi"/>
          <w:szCs w:val="24"/>
        </w:rPr>
        <w:t>To ensure 1,200 complete responses at the envisioned 80</w:t>
      </w:r>
      <w:r w:rsidR="001E12BD" w:rsidRPr="00371ACB">
        <w:rPr>
          <w:rFonts w:cstheme="minorHAnsi"/>
          <w:szCs w:val="24"/>
        </w:rPr>
        <w:t xml:space="preserve"> percent</w:t>
      </w:r>
      <w:r w:rsidR="00B76D90" w:rsidRPr="00371ACB">
        <w:rPr>
          <w:rFonts w:cstheme="minorHAnsi"/>
          <w:szCs w:val="24"/>
        </w:rPr>
        <w:t xml:space="preserve"> </w:t>
      </w:r>
      <w:r w:rsidR="00C01379" w:rsidRPr="00371ACB">
        <w:rPr>
          <w:rFonts w:cstheme="minorHAnsi"/>
          <w:szCs w:val="24"/>
        </w:rPr>
        <w:t>response rate, the researchers</w:t>
      </w:r>
      <w:r w:rsidRPr="00371ACB">
        <w:rPr>
          <w:rFonts w:cstheme="minorHAnsi"/>
          <w:szCs w:val="24"/>
        </w:rPr>
        <w:t xml:space="preserve"> will pull a sample of 1,500 stores</w:t>
      </w:r>
      <w:r w:rsidR="00C01379" w:rsidRPr="00371ACB">
        <w:rPr>
          <w:rFonts w:cstheme="minorHAnsi"/>
          <w:szCs w:val="24"/>
        </w:rPr>
        <w:t xml:space="preserve"> </w:t>
      </w:r>
      <w:r w:rsidR="00A465F8" w:rsidRPr="00371ACB">
        <w:rPr>
          <w:rFonts w:cstheme="minorHAnsi"/>
          <w:szCs w:val="24"/>
        </w:rPr>
        <w:t xml:space="preserve">from </w:t>
      </w:r>
      <w:r w:rsidR="00C01379" w:rsidRPr="00371ACB">
        <w:rPr>
          <w:rFonts w:cstheme="minorHAnsi"/>
          <w:szCs w:val="24"/>
        </w:rPr>
        <w:t>among the 248,188 qualified. The researchers</w:t>
      </w:r>
      <w:r w:rsidRPr="00371ACB">
        <w:rPr>
          <w:rFonts w:cstheme="minorHAnsi"/>
          <w:szCs w:val="24"/>
        </w:rPr>
        <w:t xml:space="preserve"> will use non-proportionate stratification, under-sampling chain stores to account for their underestimati</w:t>
      </w:r>
      <w:r w:rsidR="00C01379" w:rsidRPr="00371ACB">
        <w:rPr>
          <w:rFonts w:cstheme="minorHAnsi"/>
          <w:szCs w:val="24"/>
        </w:rPr>
        <w:t>on in the universe of stores. The researchers</w:t>
      </w:r>
      <w:r w:rsidRPr="00371ACB">
        <w:rPr>
          <w:rFonts w:cstheme="minorHAnsi"/>
          <w:szCs w:val="24"/>
        </w:rPr>
        <w:t xml:space="preserve"> will consider resampling to assess the incidence of these stores before pulling the final sample for the survey. The objective is to ensure that the distribution of stores in the sample from </w:t>
      </w:r>
      <w:r w:rsidR="004333E2">
        <w:rPr>
          <w:rFonts w:cstheme="minorHAnsi"/>
          <w:szCs w:val="24"/>
        </w:rPr>
        <w:t>the</w:t>
      </w:r>
      <w:r w:rsidRPr="00371ACB">
        <w:rPr>
          <w:rFonts w:cstheme="minorHAnsi"/>
          <w:szCs w:val="24"/>
        </w:rPr>
        <w:t xml:space="preserve"> eight groups </w:t>
      </w:r>
      <w:r w:rsidR="004333E2">
        <w:rPr>
          <w:rFonts w:cstheme="minorHAnsi"/>
          <w:szCs w:val="24"/>
        </w:rPr>
        <w:t xml:space="preserve">reflected in the table above </w:t>
      </w:r>
      <w:r w:rsidR="00CD5FB4" w:rsidRPr="00371ACB">
        <w:rPr>
          <w:rFonts w:cstheme="minorHAnsi"/>
          <w:szCs w:val="24"/>
        </w:rPr>
        <w:t>is</w:t>
      </w:r>
      <w:r w:rsidRPr="00371ACB">
        <w:rPr>
          <w:rFonts w:cstheme="minorHAnsi"/>
          <w:szCs w:val="24"/>
        </w:rPr>
        <w:t xml:space="preserve"> similar to the distribution in the general population.</w:t>
      </w:r>
    </w:p>
    <w:p w14:paraId="355B9F39" w14:textId="7C40919C" w:rsidR="00FE4871" w:rsidRPr="00FE4871" w:rsidRDefault="00FE4871" w:rsidP="00371ACB">
      <w:pPr>
        <w:spacing w:after="120" w:line="480" w:lineRule="auto"/>
        <w:ind w:firstLine="720"/>
        <w:jc w:val="both"/>
        <w:rPr>
          <w:rFonts w:cstheme="minorHAnsi"/>
          <w:szCs w:val="24"/>
        </w:rPr>
      </w:pPr>
      <w:r w:rsidRPr="0084325C">
        <w:rPr>
          <w:bCs/>
        </w:rPr>
        <w:t>Resampling here means pulling, with replacement, a random sample m</w:t>
      </w:r>
      <w:r w:rsidR="003735F8">
        <w:rPr>
          <w:bCs/>
        </w:rPr>
        <w:t>ultiple</w:t>
      </w:r>
      <w:r w:rsidRPr="0084325C">
        <w:rPr>
          <w:bCs/>
        </w:rPr>
        <w:t xml:space="preserve"> times in order to estimate the true proportion of chain stores in </w:t>
      </w:r>
      <w:r w:rsidR="003735F8">
        <w:rPr>
          <w:bCs/>
        </w:rPr>
        <w:t>the</w:t>
      </w:r>
      <w:r w:rsidRPr="0084325C">
        <w:rPr>
          <w:bCs/>
        </w:rPr>
        <w:t xml:space="preserve"> </w:t>
      </w:r>
      <w:r w:rsidR="00E36B65" w:rsidRPr="0084325C">
        <w:rPr>
          <w:bCs/>
        </w:rPr>
        <w:t>universe</w:t>
      </w:r>
      <w:r w:rsidRPr="0084325C">
        <w:rPr>
          <w:bCs/>
        </w:rPr>
        <w:t xml:space="preserve"> </w:t>
      </w:r>
      <w:r w:rsidR="003735F8">
        <w:rPr>
          <w:bCs/>
        </w:rPr>
        <w:t xml:space="preserve">of </w:t>
      </w:r>
      <w:r w:rsidR="00E36B65" w:rsidRPr="0084325C">
        <w:rPr>
          <w:bCs/>
        </w:rPr>
        <w:t>248,188 qualified stores</w:t>
      </w:r>
      <w:r w:rsidRPr="0084325C">
        <w:rPr>
          <w:bCs/>
        </w:rPr>
        <w:t xml:space="preserve">. The researchers will pull a random sample of stores from the database and calculate the proportion of chain stores (including chain stores without chain store number) in that sample. The researchers will then “put that sample back in the database”.  We </w:t>
      </w:r>
      <w:r w:rsidR="003735F8">
        <w:rPr>
          <w:bCs/>
        </w:rPr>
        <w:t xml:space="preserve">will </w:t>
      </w:r>
      <w:r w:rsidRPr="0084325C">
        <w:rPr>
          <w:bCs/>
        </w:rPr>
        <w:t xml:space="preserve">pull another random sample from the database and calculate the proportion of chain stores (including chain stores without chain store number), then put that sample back in the database. We </w:t>
      </w:r>
      <w:r w:rsidR="003735F8">
        <w:rPr>
          <w:bCs/>
        </w:rPr>
        <w:t xml:space="preserve">will </w:t>
      </w:r>
      <w:r w:rsidRPr="0084325C">
        <w:rPr>
          <w:bCs/>
        </w:rPr>
        <w:t xml:space="preserve">repeat the process </w:t>
      </w:r>
      <w:r w:rsidR="00982D25" w:rsidRPr="0084325C">
        <w:rPr>
          <w:bCs/>
        </w:rPr>
        <w:t>several</w:t>
      </w:r>
      <w:r w:rsidRPr="0084325C">
        <w:rPr>
          <w:bCs/>
        </w:rPr>
        <w:t xml:space="preserve"> times. The distribution of the proportion</w:t>
      </w:r>
      <w:r w:rsidR="00E36B65" w:rsidRPr="0084325C">
        <w:rPr>
          <w:bCs/>
        </w:rPr>
        <w:t xml:space="preserve"> </w:t>
      </w:r>
      <w:r w:rsidRPr="0084325C">
        <w:rPr>
          <w:bCs/>
        </w:rPr>
        <w:t xml:space="preserve">of chain stores, calculated from the different samples, </w:t>
      </w:r>
      <w:r w:rsidRPr="00982D25">
        <w:rPr>
          <w:bCs/>
        </w:rPr>
        <w:t xml:space="preserve">will be used to determine the true proportion of chain stores in </w:t>
      </w:r>
      <w:r w:rsidR="003735F8">
        <w:rPr>
          <w:bCs/>
        </w:rPr>
        <w:t>the</w:t>
      </w:r>
      <w:r w:rsidRPr="00982D25">
        <w:rPr>
          <w:bCs/>
        </w:rPr>
        <w:t xml:space="preserve"> target population with a given confidence level. This </w:t>
      </w:r>
      <w:r w:rsidR="003735F8">
        <w:rPr>
          <w:bCs/>
        </w:rPr>
        <w:t xml:space="preserve">will </w:t>
      </w:r>
      <w:r w:rsidRPr="00982D25">
        <w:rPr>
          <w:bCs/>
        </w:rPr>
        <w:t xml:space="preserve">help mitigate the risk of non-representativeness of chain stores in the survey sample, a non-representativeness </w:t>
      </w:r>
      <w:r w:rsidR="003735F8">
        <w:rPr>
          <w:bCs/>
        </w:rPr>
        <w:t>that</w:t>
      </w:r>
      <w:r w:rsidRPr="00982D25">
        <w:rPr>
          <w:bCs/>
        </w:rPr>
        <w:t xml:space="preserve"> can occur because not all chain stores in the target population can be identified as such.</w:t>
      </w:r>
    </w:p>
    <w:p w14:paraId="2B34A46D" w14:textId="3BC6F65F" w:rsidR="000367D5" w:rsidRPr="00371ACB" w:rsidRDefault="000367D5" w:rsidP="0027025C">
      <w:pPr>
        <w:spacing w:line="480" w:lineRule="auto"/>
        <w:ind w:firstLine="720"/>
        <w:jc w:val="both"/>
        <w:rPr>
          <w:rFonts w:cstheme="minorHAnsi"/>
          <w:szCs w:val="24"/>
        </w:rPr>
      </w:pPr>
      <w:r w:rsidRPr="00371ACB">
        <w:rPr>
          <w:rFonts w:cstheme="minorHAnsi"/>
          <w:szCs w:val="24"/>
        </w:rPr>
        <w:t xml:space="preserve">In effect, stores </w:t>
      </w:r>
      <w:r w:rsidR="00B76D90" w:rsidRPr="00371ACB">
        <w:rPr>
          <w:rFonts w:cstheme="minorHAnsi"/>
          <w:szCs w:val="24"/>
        </w:rPr>
        <w:t xml:space="preserve">that </w:t>
      </w:r>
      <w:r w:rsidRPr="00371ACB">
        <w:rPr>
          <w:rFonts w:cstheme="minorHAnsi"/>
          <w:szCs w:val="24"/>
        </w:rPr>
        <w:t xml:space="preserve">are affiliated to a chain but not identified with a chain number will be sampled in the non-chain stratum; they will then be manually identified and reclassified as chain stores (the limited sample size makes that possible </w:t>
      </w:r>
      <w:r w:rsidR="00B76D90" w:rsidRPr="00371ACB">
        <w:rPr>
          <w:rFonts w:cstheme="minorHAnsi"/>
          <w:szCs w:val="24"/>
        </w:rPr>
        <w:t>versus</w:t>
      </w:r>
      <w:r w:rsidRPr="00371ACB">
        <w:rPr>
          <w:rFonts w:cstheme="minorHAnsi"/>
          <w:szCs w:val="24"/>
        </w:rPr>
        <w:t xml:space="preserve"> working on the total population), increasing the sample size of the chain stratum. Therefore, the non-proportionate stratification recommended here will mitigate that risk, especially for non-chain stores in small strata (e</w:t>
      </w:r>
      <w:r w:rsidR="00B76D90" w:rsidRPr="00371ACB">
        <w:rPr>
          <w:rFonts w:cstheme="minorHAnsi"/>
          <w:szCs w:val="24"/>
        </w:rPr>
        <w:t>.g.</w:t>
      </w:r>
      <w:r w:rsidRPr="00371ACB">
        <w:rPr>
          <w:rFonts w:cstheme="minorHAnsi"/>
          <w:szCs w:val="24"/>
        </w:rPr>
        <w:t xml:space="preserve">, the stratum non-affiliated, rural, sales &gt;= $1.5M in </w:t>
      </w:r>
      <w:r w:rsidR="007C2496" w:rsidRPr="007C2496">
        <w:rPr>
          <w:rFonts w:cstheme="minorHAnsi"/>
          <w:szCs w:val="24"/>
        </w:rPr>
        <w:fldChar w:fldCharType="begin"/>
      </w:r>
      <w:r w:rsidR="007C2496" w:rsidRPr="007C2496">
        <w:rPr>
          <w:rFonts w:cstheme="minorHAnsi"/>
          <w:szCs w:val="24"/>
        </w:rPr>
        <w:instrText xml:space="preserve"> REF _Ref490172972 \h  \* MERGEFORMAT </w:instrText>
      </w:r>
      <w:r w:rsidR="007C2496" w:rsidRPr="007C2496">
        <w:rPr>
          <w:rFonts w:cstheme="minorHAnsi"/>
          <w:szCs w:val="24"/>
        </w:rPr>
      </w:r>
      <w:r w:rsidR="007C2496" w:rsidRPr="007C2496">
        <w:rPr>
          <w:rFonts w:cstheme="minorHAnsi"/>
          <w:szCs w:val="24"/>
        </w:rPr>
        <w:fldChar w:fldCharType="separate"/>
      </w:r>
      <w:r w:rsidR="005428FA" w:rsidRPr="0071727B">
        <w:rPr>
          <w:b/>
          <w:sz w:val="22"/>
        </w:rPr>
        <w:t xml:space="preserve">Table </w:t>
      </w:r>
      <w:r w:rsidR="005428FA">
        <w:rPr>
          <w:b/>
          <w:noProof/>
          <w:sz w:val="22"/>
        </w:rPr>
        <w:t>2</w:t>
      </w:r>
      <w:r w:rsidR="007C2496" w:rsidRPr="007C2496">
        <w:rPr>
          <w:rFonts w:cstheme="minorHAnsi"/>
          <w:szCs w:val="24"/>
        </w:rPr>
        <w:fldChar w:fldCharType="end"/>
      </w:r>
      <w:r w:rsidR="007C2496">
        <w:rPr>
          <w:rFonts w:cstheme="minorHAnsi"/>
          <w:szCs w:val="24"/>
        </w:rPr>
        <w:t xml:space="preserve"> above).</w:t>
      </w:r>
    </w:p>
    <w:p w14:paraId="19EA933E" w14:textId="77777777" w:rsidR="00B4611B" w:rsidRDefault="00052401" w:rsidP="00052401">
      <w:pPr>
        <w:spacing w:after="120" w:line="480" w:lineRule="auto"/>
        <w:ind w:firstLine="720"/>
        <w:jc w:val="both"/>
        <w:rPr>
          <w:szCs w:val="24"/>
        </w:rPr>
      </w:pPr>
      <w:r>
        <w:rPr>
          <w:color w:val="000000" w:themeColor="text1"/>
          <w:szCs w:val="24"/>
        </w:rPr>
        <w:t xml:space="preserve">The </w:t>
      </w:r>
      <w:r w:rsidR="0041678D">
        <w:rPr>
          <w:color w:val="000000" w:themeColor="text1"/>
          <w:szCs w:val="24"/>
        </w:rPr>
        <w:t xml:space="preserve">EBT </w:t>
      </w:r>
      <w:r w:rsidR="00EF6ED0">
        <w:rPr>
          <w:szCs w:val="24"/>
        </w:rPr>
        <w:t>vendor interviews in this</w:t>
      </w:r>
      <w:r w:rsidR="00847D0F" w:rsidRPr="00371ACB">
        <w:rPr>
          <w:szCs w:val="24"/>
        </w:rPr>
        <w:t xml:space="preserve"> study</w:t>
      </w:r>
      <w:r>
        <w:rPr>
          <w:szCs w:val="24"/>
        </w:rPr>
        <w:t xml:space="preserve"> include TPPs and ISOs. T</w:t>
      </w:r>
      <w:r w:rsidR="00847D0F" w:rsidRPr="00371ACB">
        <w:rPr>
          <w:szCs w:val="24"/>
        </w:rPr>
        <w:t>he researchers</w:t>
      </w:r>
      <w:r w:rsidR="00C96880" w:rsidRPr="00371ACB">
        <w:rPr>
          <w:szCs w:val="24"/>
        </w:rPr>
        <w:t xml:space="preserve"> define TPPs as entities that connect directly to the State EBT processor or </w:t>
      </w:r>
      <w:r w:rsidR="004B759B" w:rsidRPr="00371ACB">
        <w:rPr>
          <w:szCs w:val="24"/>
        </w:rPr>
        <w:t xml:space="preserve">an </w:t>
      </w:r>
      <w:r w:rsidR="00C96880" w:rsidRPr="00371ACB">
        <w:rPr>
          <w:szCs w:val="24"/>
        </w:rPr>
        <w:t>EBT gateway. Thus, to identify the T</w:t>
      </w:r>
      <w:r w:rsidR="00847D0F" w:rsidRPr="00371ACB">
        <w:rPr>
          <w:szCs w:val="24"/>
        </w:rPr>
        <w:t>PPs in operation, the researchers</w:t>
      </w:r>
      <w:r w:rsidR="00C96880" w:rsidRPr="00371ACB">
        <w:rPr>
          <w:szCs w:val="24"/>
        </w:rPr>
        <w:t xml:space="preserve"> will contact the State EBT processors (FIS, </w:t>
      </w:r>
      <w:r w:rsidR="0019641D" w:rsidRPr="00371ACB">
        <w:rPr>
          <w:szCs w:val="24"/>
        </w:rPr>
        <w:t>Conduent (formerly Xerox)</w:t>
      </w:r>
      <w:r w:rsidR="00C96880" w:rsidRPr="00371ACB">
        <w:rPr>
          <w:szCs w:val="24"/>
        </w:rPr>
        <w:t>, and Solutran) to provide a list of TPPs for the study. While there may be some fluctuation</w:t>
      </w:r>
      <w:r w:rsidR="00B4611B">
        <w:rPr>
          <w:szCs w:val="24"/>
        </w:rPr>
        <w:t>s</w:t>
      </w:r>
      <w:r w:rsidR="00C96880" w:rsidRPr="00371ACB">
        <w:rPr>
          <w:szCs w:val="24"/>
        </w:rPr>
        <w:t xml:space="preserve"> in the number of TPPs over time, FNS has indicated that there are between 5 and 10 entities with direct access to State EBT processors. The combination of all TPPs identified by the </w:t>
      </w:r>
      <w:r w:rsidR="00516ED5">
        <w:rPr>
          <w:szCs w:val="24"/>
        </w:rPr>
        <w:t>three</w:t>
      </w:r>
      <w:r w:rsidR="00516ED5" w:rsidRPr="00371ACB">
        <w:rPr>
          <w:szCs w:val="24"/>
        </w:rPr>
        <w:t xml:space="preserve"> </w:t>
      </w:r>
      <w:r w:rsidR="00C96880" w:rsidRPr="00371ACB">
        <w:rPr>
          <w:szCs w:val="24"/>
        </w:rPr>
        <w:t>State EBT processors will constitut</w:t>
      </w:r>
      <w:r w:rsidR="00847D0F" w:rsidRPr="00371ACB">
        <w:rPr>
          <w:szCs w:val="24"/>
        </w:rPr>
        <w:t>e the TPP interview universe. The researchers</w:t>
      </w:r>
      <w:r w:rsidR="00C96880" w:rsidRPr="00371ACB">
        <w:rPr>
          <w:szCs w:val="24"/>
        </w:rPr>
        <w:t xml:space="preserve"> will conduct a census of all TPPs. </w:t>
      </w:r>
    </w:p>
    <w:p w14:paraId="0BDBC145" w14:textId="1EDA617E" w:rsidR="00C96880" w:rsidRPr="00371ACB" w:rsidRDefault="00052401" w:rsidP="00052401">
      <w:pPr>
        <w:spacing w:after="120" w:line="480" w:lineRule="auto"/>
        <w:ind w:firstLine="720"/>
        <w:jc w:val="both"/>
        <w:rPr>
          <w:szCs w:val="24"/>
        </w:rPr>
      </w:pPr>
      <w:r>
        <w:rPr>
          <w:szCs w:val="24"/>
        </w:rPr>
        <w:t>Th</w:t>
      </w:r>
      <w:r w:rsidR="00EF6ED0" w:rsidRPr="00EF6ED0">
        <w:rPr>
          <w:color w:val="000000" w:themeColor="text1"/>
          <w:szCs w:val="24"/>
        </w:rPr>
        <w:t xml:space="preserve">e researchers define </w:t>
      </w:r>
      <w:r w:rsidR="00555816" w:rsidRPr="00EF6ED0">
        <w:rPr>
          <w:szCs w:val="24"/>
        </w:rPr>
        <w:t xml:space="preserve">ISOs </w:t>
      </w:r>
      <w:r w:rsidR="00EF6ED0" w:rsidRPr="00EF6ED0">
        <w:rPr>
          <w:szCs w:val="24"/>
        </w:rPr>
        <w:t>a</w:t>
      </w:r>
      <w:r w:rsidR="00555816" w:rsidRPr="00EF6ED0">
        <w:rPr>
          <w:szCs w:val="24"/>
        </w:rPr>
        <w:t>s entities that provide direct and indirect</w:t>
      </w:r>
      <w:r w:rsidR="00555816" w:rsidRPr="00371ACB">
        <w:rPr>
          <w:szCs w:val="24"/>
        </w:rPr>
        <w:t xml:space="preserve"> services to retailers seeking to process EBT payments. To identify ISOs for the study, the researchers will use a snowball approach. Snowball sampling is a non-probability sampling technique.</w:t>
      </w:r>
      <w:r w:rsidR="0027025C" w:rsidRPr="0027025C">
        <w:rPr>
          <w:rStyle w:val="FootnoteReference"/>
        </w:rPr>
        <w:t xml:space="preserve"> </w:t>
      </w:r>
      <w:r w:rsidR="00555816" w:rsidRPr="00371ACB">
        <w:rPr>
          <w:szCs w:val="24"/>
        </w:rPr>
        <w:t>It operates as a participant recruitment method in which research participants are asked to assist in identifying other potential respondents. Snowball approaches are recommended to access “hidden” or unknown populations.</w:t>
      </w:r>
      <w:r w:rsidR="0027025C" w:rsidRPr="0027025C">
        <w:rPr>
          <w:rStyle w:val="FootnoteReference"/>
        </w:rPr>
        <w:t xml:space="preserve"> </w:t>
      </w:r>
      <w:r w:rsidR="0027025C" w:rsidRPr="00571199">
        <w:rPr>
          <w:rStyle w:val="FootnoteReference"/>
        </w:rPr>
        <w:footnoteReference w:id="4"/>
      </w:r>
      <w:r w:rsidR="00555816" w:rsidRPr="00371ACB">
        <w:rPr>
          <w:szCs w:val="24"/>
        </w:rPr>
        <w:t xml:space="preserve"> In this study, the number and identity of all entities serving in an ISO role is not known. </w:t>
      </w:r>
      <w:r w:rsidR="00952E59" w:rsidRPr="00371ACB">
        <w:rPr>
          <w:szCs w:val="24"/>
        </w:rPr>
        <w:fldChar w:fldCharType="begin"/>
      </w:r>
      <w:r w:rsidR="00952E59" w:rsidRPr="00371ACB">
        <w:rPr>
          <w:szCs w:val="24"/>
        </w:rPr>
        <w:instrText xml:space="preserve"> REF _Ref490116275 \h  \* MERGEFORMAT </w:instrText>
      </w:r>
      <w:r w:rsidR="00952E59" w:rsidRPr="00371ACB">
        <w:rPr>
          <w:szCs w:val="24"/>
        </w:rPr>
      </w:r>
      <w:r w:rsidR="00952E59" w:rsidRPr="00371ACB">
        <w:rPr>
          <w:szCs w:val="24"/>
        </w:rPr>
        <w:fldChar w:fldCharType="separate"/>
      </w:r>
      <w:r w:rsidR="005428FA" w:rsidRPr="005428FA">
        <w:rPr>
          <w:szCs w:val="24"/>
        </w:rPr>
        <w:t>Figure</w:t>
      </w:r>
      <w:r w:rsidR="005428FA" w:rsidRPr="005428FA">
        <w:rPr>
          <w:b/>
          <w:szCs w:val="24"/>
        </w:rPr>
        <w:t xml:space="preserve"> </w:t>
      </w:r>
      <w:r w:rsidR="005428FA" w:rsidRPr="005428FA">
        <w:rPr>
          <w:noProof/>
          <w:szCs w:val="24"/>
        </w:rPr>
        <w:t>1</w:t>
      </w:r>
      <w:r w:rsidR="00952E59" w:rsidRPr="00371ACB">
        <w:rPr>
          <w:szCs w:val="24"/>
        </w:rPr>
        <w:fldChar w:fldCharType="end"/>
      </w:r>
      <w:r w:rsidR="00952E59" w:rsidRPr="00371ACB">
        <w:rPr>
          <w:szCs w:val="24"/>
        </w:rPr>
        <w:t xml:space="preserve"> </w:t>
      </w:r>
      <w:r w:rsidR="00C96880" w:rsidRPr="00371ACB">
        <w:rPr>
          <w:szCs w:val="24"/>
        </w:rPr>
        <w:t>depicts the process to identify, validate, and recruit ISOs</w:t>
      </w:r>
      <w:r w:rsidR="00F10812">
        <w:rPr>
          <w:szCs w:val="24"/>
        </w:rPr>
        <w:t>.</w:t>
      </w:r>
    </w:p>
    <w:p w14:paraId="2197D318" w14:textId="168D1C7A" w:rsidR="00952E59" w:rsidRPr="00952E59" w:rsidRDefault="00952E59" w:rsidP="00952E59">
      <w:pPr>
        <w:pStyle w:val="Caption"/>
        <w:spacing w:after="120"/>
        <w:rPr>
          <w:b/>
          <w:sz w:val="22"/>
        </w:rPr>
      </w:pPr>
      <w:bookmarkStart w:id="10" w:name="_Ref490116275"/>
      <w:bookmarkStart w:id="11" w:name="_Toc490743266"/>
      <w:r w:rsidRPr="00952E59">
        <w:rPr>
          <w:b/>
          <w:sz w:val="22"/>
        </w:rPr>
        <w:t xml:space="preserve">Figure </w:t>
      </w:r>
      <w:r w:rsidRPr="00952E59">
        <w:rPr>
          <w:b/>
          <w:sz w:val="22"/>
        </w:rPr>
        <w:fldChar w:fldCharType="begin"/>
      </w:r>
      <w:r w:rsidRPr="00952E59">
        <w:rPr>
          <w:b/>
          <w:sz w:val="22"/>
        </w:rPr>
        <w:instrText xml:space="preserve"> SEQ Figure \* ARABIC </w:instrText>
      </w:r>
      <w:r w:rsidRPr="00952E59">
        <w:rPr>
          <w:b/>
          <w:sz w:val="22"/>
        </w:rPr>
        <w:fldChar w:fldCharType="separate"/>
      </w:r>
      <w:r w:rsidR="005428FA">
        <w:rPr>
          <w:b/>
          <w:noProof/>
          <w:sz w:val="22"/>
        </w:rPr>
        <w:t>1</w:t>
      </w:r>
      <w:r w:rsidRPr="00952E59">
        <w:rPr>
          <w:b/>
          <w:sz w:val="22"/>
        </w:rPr>
        <w:fldChar w:fldCharType="end"/>
      </w:r>
      <w:bookmarkEnd w:id="10"/>
      <w:r w:rsidRPr="00952E59">
        <w:rPr>
          <w:b/>
          <w:sz w:val="22"/>
        </w:rPr>
        <w:t>: Process to Identify, Validate, Recruit and Interview ISOs</w:t>
      </w:r>
      <w:bookmarkEnd w:id="11"/>
    </w:p>
    <w:tbl>
      <w:tblPr>
        <w:tblW w:w="9516" w:type="dxa"/>
        <w:tblInd w:w="-90" w:type="dxa"/>
        <w:tblLayout w:type="fixed"/>
        <w:tblLook w:val="04A0" w:firstRow="1" w:lastRow="0" w:firstColumn="1" w:lastColumn="0" w:noHBand="0" w:noVBand="1"/>
      </w:tblPr>
      <w:tblGrid>
        <w:gridCol w:w="9516"/>
      </w:tblGrid>
      <w:tr w:rsidR="00C96880" w:rsidRPr="00C96880" w14:paraId="5C03D4F2" w14:textId="77777777" w:rsidTr="001A07F3">
        <w:trPr>
          <w:trHeight w:val="2637"/>
        </w:trPr>
        <w:tc>
          <w:tcPr>
            <w:tcW w:w="9516" w:type="dxa"/>
          </w:tcPr>
          <w:p w14:paraId="25557F5D" w14:textId="77777777" w:rsidR="00C96880" w:rsidRPr="00C96880" w:rsidRDefault="00C96880" w:rsidP="005F7B1B">
            <w:pPr>
              <w:rPr>
                <w:szCs w:val="24"/>
              </w:rPr>
            </w:pPr>
            <w:r w:rsidRPr="00C96880">
              <w:rPr>
                <w:noProof/>
                <w:szCs w:val="24"/>
              </w:rPr>
              <w:drawing>
                <wp:inline distT="0" distB="0" distL="0" distR="0" wp14:anchorId="0D8FEDD2" wp14:editId="51D588DB">
                  <wp:extent cx="6042660" cy="1534795"/>
                  <wp:effectExtent l="0" t="0" r="15240" b="6540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r>
    </w:tbl>
    <w:p w14:paraId="24139F32" w14:textId="77777777" w:rsidR="001A07F3" w:rsidRDefault="001A07F3" w:rsidP="001A07F3">
      <w:pPr>
        <w:spacing w:after="120"/>
        <w:ind w:firstLine="720"/>
        <w:jc w:val="both"/>
        <w:rPr>
          <w:szCs w:val="24"/>
        </w:rPr>
      </w:pPr>
    </w:p>
    <w:p w14:paraId="1A0D30AB" w14:textId="081F7D00" w:rsidR="00C96880" w:rsidRPr="00310C03" w:rsidRDefault="00C96880" w:rsidP="00E36B65">
      <w:pPr>
        <w:spacing w:after="120" w:line="480" w:lineRule="auto"/>
        <w:ind w:firstLine="720"/>
        <w:jc w:val="both"/>
        <w:rPr>
          <w:szCs w:val="24"/>
        </w:rPr>
      </w:pPr>
      <w:r w:rsidRPr="00310C03">
        <w:rPr>
          <w:szCs w:val="24"/>
        </w:rPr>
        <w:t>As a starti</w:t>
      </w:r>
      <w:r w:rsidR="00847D0F" w:rsidRPr="00310C03">
        <w:rPr>
          <w:szCs w:val="24"/>
        </w:rPr>
        <w:t xml:space="preserve">ng point, the researchers will ask </w:t>
      </w:r>
      <w:r w:rsidRPr="00310C03">
        <w:rPr>
          <w:szCs w:val="24"/>
        </w:rPr>
        <w:t xml:space="preserve">TPP </w:t>
      </w:r>
      <w:r w:rsidR="00847D0F" w:rsidRPr="00310C03">
        <w:rPr>
          <w:szCs w:val="24"/>
        </w:rPr>
        <w:t xml:space="preserve">participants to </w:t>
      </w:r>
      <w:r w:rsidRPr="00310C03">
        <w:rPr>
          <w:szCs w:val="24"/>
        </w:rPr>
        <w:t xml:space="preserve">indicate ISOs they interface with to process EBT payments. </w:t>
      </w:r>
      <w:r w:rsidR="00847D0F" w:rsidRPr="00310C03">
        <w:rPr>
          <w:szCs w:val="24"/>
        </w:rPr>
        <w:t>The researchers will note</w:t>
      </w:r>
      <w:r w:rsidRPr="00310C03">
        <w:rPr>
          <w:szCs w:val="24"/>
        </w:rPr>
        <w:t xml:space="preserve"> these organizations, validate the names, and contact them to conduct ISO interviews. In the ISO interviews, </w:t>
      </w:r>
      <w:r w:rsidR="00847D0F" w:rsidRPr="00310C03">
        <w:rPr>
          <w:szCs w:val="24"/>
        </w:rPr>
        <w:t>the researchers</w:t>
      </w:r>
      <w:r w:rsidRPr="00310C03">
        <w:rPr>
          <w:szCs w:val="24"/>
        </w:rPr>
        <w:t xml:space="preserve"> will ask participants if they work directly with SNAP retailers or if their services and equipment may be offered to retailers using another organization. </w:t>
      </w:r>
      <w:r w:rsidR="00B4611B">
        <w:rPr>
          <w:szCs w:val="24"/>
        </w:rPr>
        <w:t>By doing so</w:t>
      </w:r>
      <w:r w:rsidRPr="00310C03">
        <w:rPr>
          <w:szCs w:val="24"/>
        </w:rPr>
        <w:t xml:space="preserve">, </w:t>
      </w:r>
      <w:r w:rsidR="00847D0F" w:rsidRPr="00310C03">
        <w:rPr>
          <w:szCs w:val="24"/>
        </w:rPr>
        <w:t>the researchers</w:t>
      </w:r>
      <w:r w:rsidRPr="00310C03">
        <w:rPr>
          <w:szCs w:val="24"/>
        </w:rPr>
        <w:t xml:space="preserve"> will identify additional ISOs and contact them for interviews. Alternatively, if an ISO works directly between the retailer and </w:t>
      </w:r>
      <w:r w:rsidR="00B4611B">
        <w:rPr>
          <w:szCs w:val="24"/>
        </w:rPr>
        <w:t>a</w:t>
      </w:r>
      <w:r w:rsidR="00B4611B" w:rsidRPr="00310C03">
        <w:rPr>
          <w:szCs w:val="24"/>
        </w:rPr>
        <w:t xml:space="preserve"> </w:t>
      </w:r>
      <w:r w:rsidRPr="00310C03">
        <w:rPr>
          <w:szCs w:val="24"/>
        </w:rPr>
        <w:t xml:space="preserve">TPP only, that interview will not yield additional ISOs. </w:t>
      </w:r>
    </w:p>
    <w:p w14:paraId="28CADAA7" w14:textId="27835850" w:rsidR="00C96880" w:rsidRPr="00310C03" w:rsidRDefault="00B4611B" w:rsidP="00C175E1">
      <w:pPr>
        <w:spacing w:after="120" w:line="480" w:lineRule="auto"/>
        <w:ind w:firstLine="720"/>
        <w:jc w:val="both"/>
        <w:rPr>
          <w:szCs w:val="24"/>
        </w:rPr>
      </w:pPr>
      <w:r>
        <w:rPr>
          <w:szCs w:val="24"/>
        </w:rPr>
        <w:t>The r</w:t>
      </w:r>
      <w:r w:rsidR="00C175E1">
        <w:rPr>
          <w:szCs w:val="24"/>
        </w:rPr>
        <w:t xml:space="preserve">esearchers will </w:t>
      </w:r>
      <w:r w:rsidR="00C96880" w:rsidRPr="00310C03">
        <w:rPr>
          <w:szCs w:val="24"/>
        </w:rPr>
        <w:t>identify ISOs to compose the study sample frame. In</w:t>
      </w:r>
      <w:r>
        <w:rPr>
          <w:szCs w:val="24"/>
        </w:rPr>
        <w:t>cluding</w:t>
      </w:r>
      <w:r w:rsidR="00C96880" w:rsidRPr="00310C03">
        <w:rPr>
          <w:szCs w:val="24"/>
        </w:rPr>
        <w:t xml:space="preserve"> the small number of TPPs (ranging from 5 to 10 organizations), the study universe </w:t>
      </w:r>
      <w:r w:rsidR="00C96880" w:rsidRPr="00982D25">
        <w:rPr>
          <w:szCs w:val="24"/>
        </w:rPr>
        <w:t>for</w:t>
      </w:r>
      <w:r w:rsidR="00BA70E2" w:rsidRPr="00982D25">
        <w:rPr>
          <w:szCs w:val="24"/>
        </w:rPr>
        <w:t xml:space="preserve"> </w:t>
      </w:r>
      <w:r w:rsidR="00FE5E80" w:rsidRPr="00982D25">
        <w:rPr>
          <w:szCs w:val="24"/>
        </w:rPr>
        <w:t xml:space="preserve">the </w:t>
      </w:r>
      <w:r w:rsidR="00BA70E2" w:rsidRPr="00982D25">
        <w:rPr>
          <w:szCs w:val="24"/>
        </w:rPr>
        <w:t xml:space="preserve">EBT vendor </w:t>
      </w:r>
      <w:r w:rsidR="00C96880" w:rsidRPr="00982D25">
        <w:rPr>
          <w:szCs w:val="24"/>
        </w:rPr>
        <w:t xml:space="preserve">interviews will </w:t>
      </w:r>
      <w:r w:rsidR="00982D25">
        <w:rPr>
          <w:szCs w:val="24"/>
        </w:rPr>
        <w:t xml:space="preserve">a </w:t>
      </w:r>
      <w:r w:rsidR="00FE5E80" w:rsidRPr="00982D25">
        <w:rPr>
          <w:szCs w:val="24"/>
        </w:rPr>
        <w:t>total</w:t>
      </w:r>
      <w:r w:rsidR="00982D25">
        <w:rPr>
          <w:szCs w:val="24"/>
        </w:rPr>
        <w:t xml:space="preserve"> of</w:t>
      </w:r>
      <w:r w:rsidR="00C96880" w:rsidRPr="00982D25">
        <w:rPr>
          <w:szCs w:val="24"/>
        </w:rPr>
        <w:t xml:space="preserve"> 55</w:t>
      </w:r>
      <w:r w:rsidR="003E23C6" w:rsidRPr="00982D25">
        <w:rPr>
          <w:szCs w:val="24"/>
        </w:rPr>
        <w:t>–</w:t>
      </w:r>
      <w:r w:rsidR="00C96880" w:rsidRPr="00982D25">
        <w:rPr>
          <w:szCs w:val="24"/>
        </w:rPr>
        <w:t>65 TPPs and ISOs. Because</w:t>
      </w:r>
      <w:r w:rsidR="00184367" w:rsidRPr="00982D25">
        <w:rPr>
          <w:szCs w:val="24"/>
        </w:rPr>
        <w:t xml:space="preserve"> the</w:t>
      </w:r>
      <w:r w:rsidR="00C96880" w:rsidRPr="00982D25">
        <w:rPr>
          <w:szCs w:val="24"/>
        </w:rPr>
        <w:t xml:space="preserve"> ISO in</w:t>
      </w:r>
      <w:r w:rsidR="00C96880" w:rsidRPr="00B7769F">
        <w:rPr>
          <w:szCs w:val="24"/>
        </w:rPr>
        <w:t>terviews will be completed after the TPP interviews, the sample of ISOs will be the total number of interviews planned for the study (N=55</w:t>
      </w:r>
      <w:r w:rsidR="003E23C6">
        <w:rPr>
          <w:szCs w:val="24"/>
        </w:rPr>
        <w:t>–</w:t>
      </w:r>
      <w:r w:rsidR="00C96880" w:rsidRPr="00B7769F">
        <w:rPr>
          <w:szCs w:val="24"/>
        </w:rPr>
        <w:t xml:space="preserve">65) less the number of </w:t>
      </w:r>
      <w:r w:rsidR="00C175E1">
        <w:rPr>
          <w:szCs w:val="24"/>
        </w:rPr>
        <w:t xml:space="preserve">TPP </w:t>
      </w:r>
      <w:r w:rsidR="00C96880" w:rsidRPr="00B7769F">
        <w:rPr>
          <w:szCs w:val="24"/>
        </w:rPr>
        <w:t>interviews completed. When that number of ISO interviews is reached (ranging from 50 to 55), data collection</w:t>
      </w:r>
      <w:r w:rsidR="00184367">
        <w:rPr>
          <w:szCs w:val="24"/>
        </w:rPr>
        <w:t xml:space="preserve"> from the ISOs</w:t>
      </w:r>
      <w:r w:rsidR="00C96880" w:rsidRPr="00B7769F">
        <w:rPr>
          <w:szCs w:val="24"/>
        </w:rPr>
        <w:t xml:space="preserve"> will stop.</w:t>
      </w:r>
      <w:r w:rsidR="00C96880" w:rsidRPr="00310C03">
        <w:rPr>
          <w:szCs w:val="24"/>
        </w:rPr>
        <w:t xml:space="preserve"> </w:t>
      </w:r>
    </w:p>
    <w:p w14:paraId="093304B9" w14:textId="74E0A320" w:rsidR="00FC2E92" w:rsidRDefault="00C96880" w:rsidP="00C175E1">
      <w:pPr>
        <w:spacing w:after="120" w:line="480" w:lineRule="auto"/>
        <w:ind w:firstLine="720"/>
        <w:jc w:val="both"/>
        <w:rPr>
          <w:szCs w:val="24"/>
        </w:rPr>
      </w:pPr>
      <w:r w:rsidRPr="00310C03">
        <w:rPr>
          <w:szCs w:val="24"/>
        </w:rPr>
        <w:t xml:space="preserve">The </w:t>
      </w:r>
      <w:r w:rsidR="002F5B19" w:rsidRPr="00310C03">
        <w:rPr>
          <w:szCs w:val="24"/>
        </w:rPr>
        <w:t>researchers</w:t>
      </w:r>
      <w:r w:rsidRPr="00310C03">
        <w:rPr>
          <w:szCs w:val="24"/>
        </w:rPr>
        <w:t xml:space="preserve"> assemble</w:t>
      </w:r>
      <w:r w:rsidR="002F5B19" w:rsidRPr="00310C03">
        <w:rPr>
          <w:szCs w:val="24"/>
        </w:rPr>
        <w:t>d</w:t>
      </w:r>
      <w:r w:rsidRPr="00310C03">
        <w:rPr>
          <w:szCs w:val="24"/>
        </w:rPr>
        <w:t xml:space="preserve"> an initial list of ISOs using information publicly available on FNS’s website, internal team members’ relationships, secondary research, and other sources such as State agen</w:t>
      </w:r>
      <w:r w:rsidR="00C01379">
        <w:rPr>
          <w:szCs w:val="24"/>
        </w:rPr>
        <w:t>cies or State EBT processors. The researchers</w:t>
      </w:r>
      <w:r w:rsidRPr="00310C03">
        <w:rPr>
          <w:szCs w:val="24"/>
        </w:rPr>
        <w:t xml:space="preserve"> will use this list to select particip</w:t>
      </w:r>
      <w:r w:rsidR="00847D0F" w:rsidRPr="00310C03">
        <w:rPr>
          <w:szCs w:val="24"/>
        </w:rPr>
        <w:t xml:space="preserve">ants for the ISO instrument </w:t>
      </w:r>
      <w:r w:rsidR="00CD1DA3">
        <w:rPr>
          <w:szCs w:val="24"/>
        </w:rPr>
        <w:t>pretest</w:t>
      </w:r>
      <w:r w:rsidRPr="00310C03">
        <w:rPr>
          <w:szCs w:val="24"/>
        </w:rPr>
        <w:t xml:space="preserve">ing and to cross-check and possibly supplement the sample achieved using the snowball sampling technique. </w:t>
      </w:r>
    </w:p>
    <w:p w14:paraId="705D28C4" w14:textId="77777777" w:rsidR="00C01379" w:rsidRPr="00310C03" w:rsidRDefault="00C01379" w:rsidP="002A3688">
      <w:pPr>
        <w:spacing w:before="120" w:line="480" w:lineRule="auto"/>
        <w:jc w:val="both"/>
        <w:rPr>
          <w:rFonts w:eastAsia="Calibri"/>
          <w:bCs/>
          <w:szCs w:val="24"/>
        </w:rPr>
      </w:pPr>
    </w:p>
    <w:p w14:paraId="0548EEB3" w14:textId="601C41B0" w:rsidR="00CA5FD8" w:rsidRPr="00996E16" w:rsidRDefault="00184367" w:rsidP="001A07F3">
      <w:pPr>
        <w:pStyle w:val="Heading1"/>
      </w:pPr>
      <w:bookmarkStart w:id="12" w:name="_Toc449548047"/>
      <w:bookmarkStart w:id="13" w:name="_Toc485894994"/>
      <w:bookmarkStart w:id="14" w:name="_Toc500403741"/>
      <w:r w:rsidRPr="00996E16">
        <w:t>B2. PROCEDURES FOR THE COLLECTION OF INFORMATION</w:t>
      </w:r>
      <w:bookmarkEnd w:id="12"/>
      <w:bookmarkEnd w:id="13"/>
      <w:bookmarkEnd w:id="14"/>
    </w:p>
    <w:p w14:paraId="59F9F310" w14:textId="77777777" w:rsidR="00CA5FD8" w:rsidRPr="00683B43" w:rsidRDefault="00CA5FD8" w:rsidP="00CA5FD8">
      <w:pPr>
        <w:tabs>
          <w:tab w:val="left" w:pos="-720"/>
        </w:tabs>
        <w:suppressAutoHyphens/>
        <w:rPr>
          <w:b/>
          <w:color w:val="365F91" w:themeColor="accent1" w:themeShade="BF"/>
          <w:szCs w:val="24"/>
        </w:rPr>
      </w:pPr>
    </w:p>
    <w:p w14:paraId="64EE82D4" w14:textId="77777777" w:rsidR="00CA5FD8" w:rsidRPr="00996E16" w:rsidRDefault="00CA5FD8" w:rsidP="00CA5FD8">
      <w:pPr>
        <w:tabs>
          <w:tab w:val="left" w:pos="-720"/>
        </w:tabs>
        <w:suppressAutoHyphens/>
        <w:rPr>
          <w:b/>
          <w:szCs w:val="24"/>
        </w:rPr>
      </w:pPr>
      <w:r w:rsidRPr="00996E16">
        <w:rPr>
          <w:b/>
          <w:szCs w:val="24"/>
        </w:rPr>
        <w:t>Describe the procedures for the collection of information including:</w:t>
      </w:r>
    </w:p>
    <w:p w14:paraId="71D861F0" w14:textId="77777777" w:rsidR="00A44847" w:rsidRPr="00711190" w:rsidRDefault="00A44847" w:rsidP="0041678D">
      <w:pPr>
        <w:numPr>
          <w:ilvl w:val="0"/>
          <w:numId w:val="4"/>
        </w:numPr>
        <w:tabs>
          <w:tab w:val="left" w:pos="-720"/>
        </w:tabs>
        <w:suppressAutoHyphens/>
        <w:overflowPunct/>
        <w:autoSpaceDE/>
        <w:autoSpaceDN/>
        <w:adjustRightInd/>
        <w:ind w:left="360" w:hanging="360"/>
        <w:contextualSpacing/>
        <w:textAlignment w:val="auto"/>
        <w:rPr>
          <w:b/>
          <w:spacing w:val="-3"/>
          <w:szCs w:val="24"/>
        </w:rPr>
      </w:pPr>
      <w:r w:rsidRPr="00711190">
        <w:rPr>
          <w:b/>
          <w:spacing w:val="-3"/>
          <w:szCs w:val="24"/>
        </w:rPr>
        <w:t>Statistical methodology for stratification and sample selection,</w:t>
      </w:r>
    </w:p>
    <w:p w14:paraId="15322FE6" w14:textId="77777777" w:rsidR="00A44847" w:rsidRPr="00711190" w:rsidRDefault="00A44847" w:rsidP="0041678D">
      <w:pPr>
        <w:numPr>
          <w:ilvl w:val="0"/>
          <w:numId w:val="4"/>
        </w:numPr>
        <w:tabs>
          <w:tab w:val="left" w:pos="-720"/>
        </w:tabs>
        <w:suppressAutoHyphens/>
        <w:overflowPunct/>
        <w:autoSpaceDE/>
        <w:autoSpaceDN/>
        <w:adjustRightInd/>
        <w:ind w:left="360" w:hanging="360"/>
        <w:contextualSpacing/>
        <w:textAlignment w:val="auto"/>
        <w:rPr>
          <w:b/>
          <w:spacing w:val="-3"/>
          <w:szCs w:val="24"/>
        </w:rPr>
      </w:pPr>
      <w:r w:rsidRPr="00711190">
        <w:rPr>
          <w:b/>
          <w:spacing w:val="-3"/>
          <w:szCs w:val="24"/>
        </w:rPr>
        <w:t>Estimation procedure,</w:t>
      </w:r>
    </w:p>
    <w:p w14:paraId="416439D6" w14:textId="77777777" w:rsidR="00A44847" w:rsidRPr="00711190" w:rsidRDefault="00A44847" w:rsidP="0041678D">
      <w:pPr>
        <w:numPr>
          <w:ilvl w:val="0"/>
          <w:numId w:val="4"/>
        </w:numPr>
        <w:tabs>
          <w:tab w:val="left" w:pos="-720"/>
        </w:tabs>
        <w:suppressAutoHyphens/>
        <w:overflowPunct/>
        <w:autoSpaceDE/>
        <w:autoSpaceDN/>
        <w:adjustRightInd/>
        <w:ind w:left="360" w:hanging="360"/>
        <w:contextualSpacing/>
        <w:textAlignment w:val="auto"/>
        <w:rPr>
          <w:b/>
          <w:spacing w:val="-3"/>
          <w:szCs w:val="24"/>
        </w:rPr>
      </w:pPr>
      <w:r w:rsidRPr="00711190">
        <w:rPr>
          <w:b/>
          <w:spacing w:val="-3"/>
          <w:szCs w:val="24"/>
        </w:rPr>
        <w:t>Degree of accuracy needed for the purpose described in the justification,</w:t>
      </w:r>
    </w:p>
    <w:p w14:paraId="3D0B91D2" w14:textId="77777777" w:rsidR="00A44847" w:rsidRPr="00711190" w:rsidRDefault="00A44847" w:rsidP="0041678D">
      <w:pPr>
        <w:numPr>
          <w:ilvl w:val="0"/>
          <w:numId w:val="4"/>
        </w:numPr>
        <w:tabs>
          <w:tab w:val="left" w:pos="-720"/>
        </w:tabs>
        <w:suppressAutoHyphens/>
        <w:overflowPunct/>
        <w:autoSpaceDE/>
        <w:autoSpaceDN/>
        <w:adjustRightInd/>
        <w:ind w:left="360" w:hanging="360"/>
        <w:contextualSpacing/>
        <w:textAlignment w:val="auto"/>
        <w:rPr>
          <w:b/>
          <w:spacing w:val="-3"/>
          <w:szCs w:val="24"/>
        </w:rPr>
      </w:pPr>
      <w:r w:rsidRPr="00711190">
        <w:rPr>
          <w:b/>
          <w:spacing w:val="-3"/>
          <w:szCs w:val="24"/>
        </w:rPr>
        <w:t>Unusual problems requiring specialized sampling procedures, and</w:t>
      </w:r>
    </w:p>
    <w:p w14:paraId="7FE5FF46" w14:textId="77777777" w:rsidR="00A44847" w:rsidRPr="00711190" w:rsidRDefault="00A44847" w:rsidP="0041678D">
      <w:pPr>
        <w:numPr>
          <w:ilvl w:val="0"/>
          <w:numId w:val="4"/>
        </w:numPr>
        <w:tabs>
          <w:tab w:val="left" w:pos="-720"/>
        </w:tabs>
        <w:suppressAutoHyphens/>
        <w:overflowPunct/>
        <w:autoSpaceDE/>
        <w:autoSpaceDN/>
        <w:adjustRightInd/>
        <w:ind w:left="360" w:hanging="360"/>
        <w:contextualSpacing/>
        <w:textAlignment w:val="auto"/>
        <w:rPr>
          <w:b/>
          <w:spacing w:val="-3"/>
          <w:szCs w:val="24"/>
        </w:rPr>
      </w:pPr>
      <w:r w:rsidRPr="00711190">
        <w:rPr>
          <w:b/>
          <w:spacing w:val="-3"/>
          <w:szCs w:val="24"/>
        </w:rPr>
        <w:t>Any use of periodic (less frequent than annual) data collection cycles to reduce burden.</w:t>
      </w:r>
    </w:p>
    <w:p w14:paraId="2D1DECF0" w14:textId="77777777" w:rsidR="00FE059C" w:rsidRDefault="00FE059C" w:rsidP="00CA5FD8">
      <w:pPr>
        <w:tabs>
          <w:tab w:val="left" w:pos="-720"/>
        </w:tabs>
        <w:suppressAutoHyphens/>
        <w:rPr>
          <w:b/>
          <w:szCs w:val="24"/>
        </w:rPr>
      </w:pPr>
    </w:p>
    <w:p w14:paraId="3ECEB6A3" w14:textId="77777777" w:rsidR="00302B2F" w:rsidRPr="00CA5FD8" w:rsidRDefault="00302B2F" w:rsidP="00CA5FD8">
      <w:pPr>
        <w:tabs>
          <w:tab w:val="left" w:pos="-720"/>
        </w:tabs>
        <w:suppressAutoHyphens/>
        <w:rPr>
          <w:b/>
          <w:szCs w:val="24"/>
        </w:rPr>
      </w:pPr>
    </w:p>
    <w:p w14:paraId="3CBF10FE" w14:textId="5A4A4755" w:rsidR="00571199" w:rsidRDefault="001C6F19" w:rsidP="00530BA7">
      <w:pPr>
        <w:spacing w:after="120" w:line="480" w:lineRule="auto"/>
        <w:ind w:firstLine="720"/>
        <w:jc w:val="both"/>
        <w:rPr>
          <w:szCs w:val="24"/>
        </w:rPr>
      </w:pPr>
      <w:r>
        <w:rPr>
          <w:szCs w:val="24"/>
        </w:rPr>
        <w:t>A survey of the</w:t>
      </w:r>
      <w:r w:rsidR="0045427C" w:rsidRPr="000A0DF7">
        <w:rPr>
          <w:szCs w:val="24"/>
        </w:rPr>
        <w:t xml:space="preserve"> </w:t>
      </w:r>
      <w:r w:rsidR="00282B55">
        <w:rPr>
          <w:szCs w:val="24"/>
        </w:rPr>
        <w:t xml:space="preserve">SNAP </w:t>
      </w:r>
      <w:r>
        <w:rPr>
          <w:szCs w:val="24"/>
        </w:rPr>
        <w:t>r</w:t>
      </w:r>
      <w:r w:rsidR="00282B55">
        <w:rPr>
          <w:szCs w:val="24"/>
        </w:rPr>
        <w:t>etailer</w:t>
      </w:r>
      <w:r w:rsidR="00C447BF">
        <w:rPr>
          <w:szCs w:val="24"/>
        </w:rPr>
        <w:t>s</w:t>
      </w:r>
      <w:r w:rsidR="00282B55">
        <w:rPr>
          <w:szCs w:val="24"/>
        </w:rPr>
        <w:t xml:space="preserve"> </w:t>
      </w:r>
      <w:r w:rsidR="0045427C" w:rsidRPr="000A0DF7">
        <w:rPr>
          <w:szCs w:val="24"/>
        </w:rPr>
        <w:t>and the EBT vendor interview</w:t>
      </w:r>
      <w:r w:rsidR="0033708D" w:rsidRPr="000A0DF7">
        <w:rPr>
          <w:szCs w:val="24"/>
        </w:rPr>
        <w:t xml:space="preserve"> are a one-time data collection effort</w:t>
      </w:r>
      <w:r w:rsidR="0045427C" w:rsidRPr="000A0DF7">
        <w:rPr>
          <w:szCs w:val="24"/>
        </w:rPr>
        <w:t xml:space="preserve">. </w:t>
      </w:r>
      <w:r w:rsidR="00B75107" w:rsidRPr="000A0DF7">
        <w:rPr>
          <w:szCs w:val="24"/>
        </w:rPr>
        <w:t xml:space="preserve">The procedure for conducting the EBT vendor interviews involves the </w:t>
      </w:r>
      <w:r w:rsidR="000460D4">
        <w:rPr>
          <w:szCs w:val="24"/>
        </w:rPr>
        <w:t>research team (FNS and</w:t>
      </w:r>
      <w:r w:rsidR="008C2BF7">
        <w:rPr>
          <w:szCs w:val="24"/>
        </w:rPr>
        <w:t xml:space="preserve"> or</w:t>
      </w:r>
      <w:r w:rsidR="000460D4">
        <w:rPr>
          <w:szCs w:val="24"/>
        </w:rPr>
        <w:t xml:space="preserve"> its </w:t>
      </w:r>
      <w:r w:rsidR="00B75107" w:rsidRPr="000A0DF7">
        <w:rPr>
          <w:szCs w:val="24"/>
        </w:rPr>
        <w:t>contractor</w:t>
      </w:r>
      <w:r w:rsidR="000460D4">
        <w:rPr>
          <w:szCs w:val="24"/>
        </w:rPr>
        <w:t>)</w:t>
      </w:r>
      <w:r w:rsidR="00B75107" w:rsidRPr="000A0DF7">
        <w:rPr>
          <w:szCs w:val="24"/>
        </w:rPr>
        <w:t xml:space="preserve"> contacting EBT vendors to</w:t>
      </w:r>
      <w:r w:rsidR="00B75107" w:rsidRPr="000A0DF7" w:rsidDel="00E353DE">
        <w:rPr>
          <w:szCs w:val="24"/>
        </w:rPr>
        <w:t xml:space="preserve"> </w:t>
      </w:r>
      <w:r w:rsidR="00B75107" w:rsidRPr="000A0DF7">
        <w:rPr>
          <w:szCs w:val="24"/>
        </w:rPr>
        <w:t xml:space="preserve">schedule a phone </w:t>
      </w:r>
      <w:r w:rsidR="006812D8">
        <w:rPr>
          <w:szCs w:val="24"/>
        </w:rPr>
        <w:t>interview</w:t>
      </w:r>
      <w:r w:rsidR="00B75107" w:rsidRPr="000A0DF7">
        <w:rPr>
          <w:szCs w:val="24"/>
        </w:rPr>
        <w:t>. These participants will receive via email a</w:t>
      </w:r>
      <w:r w:rsidR="00FE5E80">
        <w:rPr>
          <w:szCs w:val="24"/>
        </w:rPr>
        <w:t xml:space="preserve">n EBT Vendor Interview Guide (Appendix </w:t>
      </w:r>
      <w:r w:rsidR="00A22B67">
        <w:rPr>
          <w:szCs w:val="24"/>
        </w:rPr>
        <w:t>L</w:t>
      </w:r>
      <w:r w:rsidR="00FE5E80">
        <w:rPr>
          <w:szCs w:val="24"/>
        </w:rPr>
        <w:t xml:space="preserve">) and an EBT Vendor Interview Invitation Letter (Appendix </w:t>
      </w:r>
      <w:r w:rsidR="00A22B67">
        <w:rPr>
          <w:szCs w:val="24"/>
        </w:rPr>
        <w:t>K</w:t>
      </w:r>
      <w:r w:rsidR="00FE5E80">
        <w:rPr>
          <w:szCs w:val="24"/>
        </w:rPr>
        <w:t xml:space="preserve">) </w:t>
      </w:r>
      <w:r w:rsidR="00B75107" w:rsidRPr="000A0DF7">
        <w:rPr>
          <w:szCs w:val="24"/>
        </w:rPr>
        <w:t xml:space="preserve">describing the purpose of the study and how </w:t>
      </w:r>
      <w:r w:rsidR="0033708D" w:rsidRPr="000A0DF7">
        <w:rPr>
          <w:szCs w:val="24"/>
        </w:rPr>
        <w:t xml:space="preserve">the study team will use </w:t>
      </w:r>
      <w:r w:rsidR="00B75107" w:rsidRPr="000A0DF7">
        <w:rPr>
          <w:szCs w:val="24"/>
        </w:rPr>
        <w:t xml:space="preserve">the data. The team will record and transcribe the interviews for analytical purposes. The </w:t>
      </w:r>
      <w:r w:rsidR="000460D4">
        <w:rPr>
          <w:szCs w:val="24"/>
        </w:rPr>
        <w:t>research team</w:t>
      </w:r>
      <w:r w:rsidR="000460D4" w:rsidRPr="000A0DF7">
        <w:rPr>
          <w:szCs w:val="24"/>
        </w:rPr>
        <w:t xml:space="preserve"> </w:t>
      </w:r>
      <w:r w:rsidR="00B75107" w:rsidRPr="000A0DF7">
        <w:rPr>
          <w:szCs w:val="24"/>
        </w:rPr>
        <w:t xml:space="preserve">will write a summary of each interview, which will serve as the foundation for the data analysis and final report. The EBT vendor interviews will yield qualitative data. </w:t>
      </w:r>
    </w:p>
    <w:p w14:paraId="617AD101" w14:textId="0B9E6748" w:rsidR="00530BA7" w:rsidRPr="00530BA7" w:rsidRDefault="00571199" w:rsidP="00530BA7">
      <w:pPr>
        <w:spacing w:after="120" w:line="480" w:lineRule="auto"/>
        <w:ind w:firstLine="720"/>
        <w:jc w:val="both"/>
      </w:pPr>
      <w:r w:rsidRPr="0080651B">
        <w:t>The i</w:t>
      </w:r>
      <w:r w:rsidR="00530BA7" w:rsidRPr="0080651B">
        <w:t xml:space="preserve">nformation gleaned from these interviews will be used </w:t>
      </w:r>
      <w:r w:rsidR="0066718D">
        <w:t xml:space="preserve">to </w:t>
      </w:r>
      <w:r w:rsidR="00530BA7" w:rsidRPr="0080651B">
        <w:t xml:space="preserve">describe the relationships between different types of ISOs and TPPs and how these </w:t>
      </w:r>
      <w:r w:rsidR="0066718D">
        <w:t xml:space="preserve">relationships </w:t>
      </w:r>
      <w:r w:rsidR="00530BA7" w:rsidRPr="0080651B">
        <w:t>affect the products and services offer</w:t>
      </w:r>
      <w:r w:rsidR="0066718D">
        <w:t>ed</w:t>
      </w:r>
      <w:r w:rsidR="00530BA7" w:rsidRPr="0080651B">
        <w:t xml:space="preserve"> to retailers. This information cannot be </w:t>
      </w:r>
      <w:r w:rsidR="0066718D">
        <w:t xml:space="preserve">obtained </w:t>
      </w:r>
      <w:r w:rsidR="00530BA7" w:rsidRPr="0080651B">
        <w:t xml:space="preserve">from </w:t>
      </w:r>
      <w:r w:rsidR="0066718D">
        <w:t xml:space="preserve">the </w:t>
      </w:r>
      <w:r w:rsidR="00530BA7" w:rsidRPr="0080651B">
        <w:t>retailers, as they may not know how the services they procure connect them to EBT. The organizations interfacing with SNAP retailers to provide products and services related to EBT will be identified using a nationally representative survey of SNAP retailers.</w:t>
      </w:r>
    </w:p>
    <w:p w14:paraId="4F795A85" w14:textId="3A498B43" w:rsidR="0057354F" w:rsidRPr="000A0DF7" w:rsidRDefault="00B75107" w:rsidP="00C175E1">
      <w:pPr>
        <w:spacing w:after="120" w:line="480" w:lineRule="auto"/>
        <w:ind w:firstLine="720"/>
        <w:jc w:val="both"/>
        <w:rPr>
          <w:szCs w:val="24"/>
        </w:rPr>
      </w:pPr>
      <w:r w:rsidRPr="000A0DF7">
        <w:rPr>
          <w:szCs w:val="24"/>
        </w:rPr>
        <w:t xml:space="preserve">The </w:t>
      </w:r>
      <w:r w:rsidR="00282B55">
        <w:rPr>
          <w:szCs w:val="24"/>
        </w:rPr>
        <w:t>SNAP Retailer Survey</w:t>
      </w:r>
      <w:r w:rsidRPr="000A0DF7">
        <w:rPr>
          <w:szCs w:val="24"/>
        </w:rPr>
        <w:t xml:space="preserve"> will use statistical techniques. </w:t>
      </w:r>
      <w:r w:rsidR="00741006" w:rsidRPr="000A0DF7">
        <w:rPr>
          <w:szCs w:val="24"/>
        </w:rPr>
        <w:t xml:space="preserve">After </w:t>
      </w:r>
      <w:r w:rsidR="0033708D" w:rsidRPr="000A0DF7">
        <w:rPr>
          <w:szCs w:val="24"/>
        </w:rPr>
        <w:t>the study team receives Office of Management and Budget (</w:t>
      </w:r>
      <w:r w:rsidR="00741006" w:rsidRPr="000A0DF7">
        <w:rPr>
          <w:szCs w:val="24"/>
        </w:rPr>
        <w:t>OMB</w:t>
      </w:r>
      <w:r w:rsidR="0033708D" w:rsidRPr="000A0DF7">
        <w:rPr>
          <w:szCs w:val="24"/>
        </w:rPr>
        <w:t>)</w:t>
      </w:r>
      <w:r w:rsidR="00741006" w:rsidRPr="000A0DF7">
        <w:rPr>
          <w:szCs w:val="24"/>
        </w:rPr>
        <w:t xml:space="preserve"> approval, the researchers will work with FNS data to identify retailers active in SNAP at that point in time. </w:t>
      </w:r>
      <w:r w:rsidR="00446F41" w:rsidRPr="000A0DF7">
        <w:rPr>
          <w:szCs w:val="24"/>
        </w:rPr>
        <w:fldChar w:fldCharType="begin"/>
      </w:r>
      <w:r w:rsidR="00446F41" w:rsidRPr="000A0DF7">
        <w:rPr>
          <w:szCs w:val="24"/>
        </w:rPr>
        <w:instrText xml:space="preserve"> REF _Ref490116478 \h  \* MERGEFORMAT </w:instrText>
      </w:r>
      <w:r w:rsidR="00446F41" w:rsidRPr="000A0DF7">
        <w:rPr>
          <w:szCs w:val="24"/>
        </w:rPr>
      </w:r>
      <w:r w:rsidR="00446F41" w:rsidRPr="000A0DF7">
        <w:rPr>
          <w:szCs w:val="24"/>
        </w:rPr>
        <w:fldChar w:fldCharType="separate"/>
      </w:r>
      <w:r w:rsidR="005428FA" w:rsidRPr="005428FA">
        <w:rPr>
          <w:szCs w:val="24"/>
        </w:rPr>
        <w:t xml:space="preserve">Figure </w:t>
      </w:r>
      <w:r w:rsidR="005428FA" w:rsidRPr="005428FA">
        <w:rPr>
          <w:noProof/>
          <w:szCs w:val="24"/>
        </w:rPr>
        <w:t>2</w:t>
      </w:r>
      <w:r w:rsidR="00446F41" w:rsidRPr="000A0DF7">
        <w:rPr>
          <w:szCs w:val="24"/>
        </w:rPr>
        <w:fldChar w:fldCharType="end"/>
      </w:r>
      <w:r w:rsidR="00446F41" w:rsidRPr="000A0DF7">
        <w:rPr>
          <w:szCs w:val="24"/>
        </w:rPr>
        <w:t xml:space="preserve"> </w:t>
      </w:r>
      <w:r w:rsidR="0057354F" w:rsidRPr="000A0DF7">
        <w:rPr>
          <w:szCs w:val="24"/>
        </w:rPr>
        <w:t>depicts the steps for conducting the dat</w:t>
      </w:r>
      <w:r w:rsidR="00D06EED" w:rsidRPr="000A0DF7">
        <w:rPr>
          <w:szCs w:val="24"/>
        </w:rPr>
        <w:t xml:space="preserve">a collection process for the </w:t>
      </w:r>
      <w:r w:rsidR="00282B55">
        <w:rPr>
          <w:szCs w:val="24"/>
        </w:rPr>
        <w:t>SNAP Retailer Survey</w:t>
      </w:r>
      <w:r w:rsidR="0057354F" w:rsidRPr="000A0DF7">
        <w:rPr>
          <w:szCs w:val="24"/>
        </w:rPr>
        <w:t>.</w:t>
      </w:r>
    </w:p>
    <w:p w14:paraId="67DAB1EC" w14:textId="2298B851" w:rsidR="00952E59" w:rsidRPr="000A0DF7" w:rsidRDefault="00446F41" w:rsidP="00446F41">
      <w:pPr>
        <w:pStyle w:val="Caption"/>
        <w:spacing w:after="120"/>
        <w:rPr>
          <w:b/>
          <w:bCs/>
          <w:sz w:val="20"/>
          <w:szCs w:val="22"/>
        </w:rPr>
      </w:pPr>
      <w:bookmarkStart w:id="15" w:name="_Ref490116478"/>
      <w:bookmarkStart w:id="16" w:name="_Toc490743267"/>
      <w:r w:rsidRPr="000A0DF7">
        <w:rPr>
          <w:b/>
          <w:sz w:val="22"/>
        </w:rPr>
        <w:t xml:space="preserve">Figure </w:t>
      </w:r>
      <w:r w:rsidRPr="000A0DF7">
        <w:rPr>
          <w:b/>
          <w:sz w:val="22"/>
        </w:rPr>
        <w:fldChar w:fldCharType="begin"/>
      </w:r>
      <w:r w:rsidRPr="000A0DF7">
        <w:rPr>
          <w:b/>
          <w:sz w:val="22"/>
        </w:rPr>
        <w:instrText xml:space="preserve"> SEQ Figure \* ARABIC </w:instrText>
      </w:r>
      <w:r w:rsidRPr="000A0DF7">
        <w:rPr>
          <w:b/>
          <w:sz w:val="22"/>
        </w:rPr>
        <w:fldChar w:fldCharType="separate"/>
      </w:r>
      <w:r w:rsidR="005428FA">
        <w:rPr>
          <w:b/>
          <w:noProof/>
          <w:sz w:val="22"/>
        </w:rPr>
        <w:t>2</w:t>
      </w:r>
      <w:r w:rsidRPr="000A0DF7">
        <w:rPr>
          <w:b/>
          <w:sz w:val="22"/>
        </w:rPr>
        <w:fldChar w:fldCharType="end"/>
      </w:r>
      <w:bookmarkEnd w:id="15"/>
      <w:r w:rsidRPr="000A0DF7">
        <w:rPr>
          <w:b/>
          <w:sz w:val="22"/>
        </w:rPr>
        <w:t>: SNAP Retailer Satisfaction Survey Data Collection Overview</w:t>
      </w:r>
      <w:bookmarkEnd w:id="16"/>
    </w:p>
    <w:p w14:paraId="7936CD40" w14:textId="77777777" w:rsidR="0057354F" w:rsidRPr="000A0DF7" w:rsidRDefault="0057354F" w:rsidP="0057354F">
      <w:pPr>
        <w:spacing w:line="480" w:lineRule="auto"/>
        <w:rPr>
          <w:szCs w:val="24"/>
        </w:rPr>
      </w:pPr>
      <w:r w:rsidRPr="000A0DF7">
        <w:rPr>
          <w:noProof/>
          <w:szCs w:val="24"/>
        </w:rPr>
        <w:drawing>
          <wp:inline distT="0" distB="0" distL="0" distR="0" wp14:anchorId="45A5ACF3" wp14:editId="339810F7">
            <wp:extent cx="5947410" cy="818985"/>
            <wp:effectExtent l="19050" t="0" r="15240" b="19685"/>
            <wp:docPr id="688" name="Diagram 68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5EBB9F4E" w14:textId="2E53565E" w:rsidR="0057354F" w:rsidRPr="00AB3439" w:rsidRDefault="005105D4" w:rsidP="00AB3439">
      <w:pPr>
        <w:spacing w:after="120" w:line="480" w:lineRule="auto"/>
        <w:jc w:val="both"/>
        <w:rPr>
          <w:szCs w:val="24"/>
        </w:rPr>
      </w:pPr>
      <w:bookmarkStart w:id="17" w:name="_Toc454158687"/>
      <w:r w:rsidRPr="00AB3439">
        <w:rPr>
          <w:b/>
          <w:szCs w:val="24"/>
        </w:rPr>
        <w:t>STEP 1: Send L</w:t>
      </w:r>
      <w:r w:rsidR="000B2DE2" w:rsidRPr="00AB3439">
        <w:rPr>
          <w:b/>
          <w:szCs w:val="24"/>
        </w:rPr>
        <w:t>etter</w:t>
      </w:r>
      <w:r w:rsidR="0057354F" w:rsidRPr="00AB3439">
        <w:rPr>
          <w:b/>
          <w:szCs w:val="24"/>
        </w:rPr>
        <w:t xml:space="preserve"> Inviting </w:t>
      </w:r>
      <w:r w:rsidR="005E123C" w:rsidRPr="00AB3439">
        <w:rPr>
          <w:b/>
          <w:szCs w:val="24"/>
        </w:rPr>
        <w:t xml:space="preserve">Retailers </w:t>
      </w:r>
      <w:r w:rsidR="0057354F" w:rsidRPr="00AB3439">
        <w:rPr>
          <w:b/>
          <w:szCs w:val="24"/>
        </w:rPr>
        <w:t>to Participate in Online and IVR Survey.</w:t>
      </w:r>
      <w:r w:rsidR="00C01379" w:rsidRPr="00AB3439">
        <w:rPr>
          <w:szCs w:val="24"/>
        </w:rPr>
        <w:t xml:space="preserve"> The </w:t>
      </w:r>
      <w:r w:rsidR="00813DAA">
        <w:rPr>
          <w:szCs w:val="24"/>
        </w:rPr>
        <w:t xml:space="preserve">SNAP Retailer </w:t>
      </w:r>
      <w:r w:rsidR="00813DAA" w:rsidRPr="00813DAA">
        <w:rPr>
          <w:szCs w:val="24"/>
        </w:rPr>
        <w:t>I</w:t>
      </w:r>
      <w:r w:rsidR="000B2DE2" w:rsidRPr="00813DAA">
        <w:rPr>
          <w:szCs w:val="24"/>
        </w:rPr>
        <w:t xml:space="preserve">nvitation </w:t>
      </w:r>
      <w:r w:rsidR="00813DAA" w:rsidRPr="00813DAA">
        <w:rPr>
          <w:szCs w:val="24"/>
        </w:rPr>
        <w:t>L</w:t>
      </w:r>
      <w:r w:rsidR="000B2DE2" w:rsidRPr="00813DAA">
        <w:rPr>
          <w:szCs w:val="24"/>
        </w:rPr>
        <w:t>etter</w:t>
      </w:r>
      <w:r w:rsidR="0057354F" w:rsidRPr="00813DAA">
        <w:rPr>
          <w:szCs w:val="24"/>
        </w:rPr>
        <w:t xml:space="preserve"> </w:t>
      </w:r>
      <w:r w:rsidR="00C01379" w:rsidRPr="00813DAA">
        <w:rPr>
          <w:szCs w:val="24"/>
        </w:rPr>
        <w:t>(Appendix</w:t>
      </w:r>
      <w:r w:rsidR="00CC6390" w:rsidRPr="00813DAA">
        <w:rPr>
          <w:szCs w:val="24"/>
        </w:rPr>
        <w:t xml:space="preserve"> </w:t>
      </w:r>
      <w:r w:rsidR="0047581F" w:rsidRPr="00813DAA">
        <w:rPr>
          <w:szCs w:val="24"/>
        </w:rPr>
        <w:t>F</w:t>
      </w:r>
      <w:r w:rsidR="00C01379" w:rsidRPr="00813DAA">
        <w:rPr>
          <w:szCs w:val="24"/>
        </w:rPr>
        <w:t xml:space="preserve">) </w:t>
      </w:r>
      <w:r w:rsidR="0057354F" w:rsidRPr="00813DAA">
        <w:rPr>
          <w:szCs w:val="24"/>
        </w:rPr>
        <w:t>will</w:t>
      </w:r>
      <w:r w:rsidR="0057354F" w:rsidRPr="00AB3439">
        <w:rPr>
          <w:szCs w:val="24"/>
        </w:rPr>
        <w:t xml:space="preserve"> provide participants with information about the study</w:t>
      </w:r>
      <w:r w:rsidR="0075792C" w:rsidRPr="00AB3439">
        <w:rPr>
          <w:szCs w:val="24"/>
        </w:rPr>
        <w:t xml:space="preserve">. </w:t>
      </w:r>
      <w:r w:rsidR="0057354F" w:rsidRPr="00AB3439">
        <w:rPr>
          <w:szCs w:val="24"/>
        </w:rPr>
        <w:t>It will note USDA efforts to understand how the changes brought about by the 2014 Farm Bill impacted retailers’ ability to serve their SNAP customers and the importance of</w:t>
      </w:r>
      <w:r w:rsidR="0060695D" w:rsidRPr="00AB3439">
        <w:rPr>
          <w:szCs w:val="24"/>
        </w:rPr>
        <w:t xml:space="preserve"> participation. The </w:t>
      </w:r>
      <w:r w:rsidR="000B2DE2" w:rsidRPr="00AB3439">
        <w:rPr>
          <w:szCs w:val="24"/>
        </w:rPr>
        <w:t>invitation letter</w:t>
      </w:r>
      <w:r w:rsidR="0057354F" w:rsidRPr="00AB3439">
        <w:rPr>
          <w:szCs w:val="24"/>
        </w:rPr>
        <w:t xml:space="preserve"> will include information necessary for informed consent and will encourage partici</w:t>
      </w:r>
      <w:r w:rsidR="0060695D" w:rsidRPr="00AB3439">
        <w:rPr>
          <w:szCs w:val="24"/>
        </w:rPr>
        <w:t xml:space="preserve">pation. The </w:t>
      </w:r>
      <w:r w:rsidR="000B2DE2" w:rsidRPr="00AB3439">
        <w:rPr>
          <w:szCs w:val="24"/>
        </w:rPr>
        <w:t>invitation letter</w:t>
      </w:r>
      <w:r w:rsidR="0057354F" w:rsidRPr="00AB3439">
        <w:rPr>
          <w:szCs w:val="24"/>
        </w:rPr>
        <w:t>, in a window envelope for cost-effective personalization, will</w:t>
      </w:r>
      <w:r w:rsidR="003E23C6" w:rsidRPr="00AB3439">
        <w:rPr>
          <w:szCs w:val="24"/>
        </w:rPr>
        <w:t>:</w:t>
      </w:r>
      <w:r w:rsidR="0057354F" w:rsidRPr="00AB3439">
        <w:rPr>
          <w:szCs w:val="24"/>
        </w:rPr>
        <w:t xml:space="preserve"> (1) state the purpose of the study and provide persuasive rational</w:t>
      </w:r>
      <w:r w:rsidR="00C0158E" w:rsidRPr="00AB3439">
        <w:rPr>
          <w:szCs w:val="24"/>
        </w:rPr>
        <w:t>e</w:t>
      </w:r>
      <w:r w:rsidR="0057354F" w:rsidRPr="00AB3439">
        <w:rPr>
          <w:szCs w:val="24"/>
        </w:rPr>
        <w:t xml:space="preserve"> for participating in the study; (2) clearly indicate that the survey is sponsored by FNS to establish credibility and improve response rate (the letter will be printed on FNS letterhead or include the agency logo and be signed by the responsible FNS project official); (3)</w:t>
      </w:r>
      <w:r w:rsidR="003E23C6" w:rsidRPr="00AB3439">
        <w:rPr>
          <w:szCs w:val="24"/>
        </w:rPr>
        <w:t> </w:t>
      </w:r>
      <w:r w:rsidR="0057354F" w:rsidRPr="00AB3439">
        <w:rPr>
          <w:szCs w:val="24"/>
        </w:rPr>
        <w:t xml:space="preserve">identify contractors with contact information; and (4) assure privacy for the respondents, explain how </w:t>
      </w:r>
      <w:r w:rsidR="00835C57" w:rsidRPr="00AB3439">
        <w:rPr>
          <w:szCs w:val="24"/>
        </w:rPr>
        <w:t xml:space="preserve">the study team will use </w:t>
      </w:r>
      <w:r w:rsidR="0057354F" w:rsidRPr="00AB3439">
        <w:rPr>
          <w:szCs w:val="24"/>
        </w:rPr>
        <w:t>the data, and provide an estimate of the response burden.</w:t>
      </w:r>
    </w:p>
    <w:p w14:paraId="5EDB4B00" w14:textId="113FEC6D" w:rsidR="0057354F" w:rsidRPr="000A0DF7" w:rsidRDefault="0057354F" w:rsidP="00CC6390">
      <w:pPr>
        <w:pStyle w:val="ListParagraph"/>
        <w:numPr>
          <w:ilvl w:val="0"/>
          <w:numId w:val="6"/>
        </w:numPr>
        <w:spacing w:after="120"/>
        <w:jc w:val="both"/>
        <w:rPr>
          <w:szCs w:val="24"/>
        </w:rPr>
      </w:pPr>
      <w:r w:rsidRPr="000A0DF7">
        <w:rPr>
          <w:b/>
          <w:i/>
          <w:szCs w:val="24"/>
        </w:rPr>
        <w:t>Invitation to Online or IVR.</w:t>
      </w:r>
      <w:r w:rsidRPr="000A0DF7">
        <w:rPr>
          <w:szCs w:val="24"/>
        </w:rPr>
        <w:t xml:space="preserve"> </w:t>
      </w:r>
      <w:r w:rsidR="00760C7B" w:rsidRPr="000A0DF7">
        <w:rPr>
          <w:szCs w:val="24"/>
        </w:rPr>
        <w:t>T</w:t>
      </w:r>
      <w:r w:rsidR="0060695D" w:rsidRPr="000A0DF7">
        <w:rPr>
          <w:szCs w:val="24"/>
        </w:rPr>
        <w:t xml:space="preserve">he </w:t>
      </w:r>
      <w:r w:rsidR="00813DAA">
        <w:rPr>
          <w:szCs w:val="24"/>
        </w:rPr>
        <w:t>SNAP Retailer I</w:t>
      </w:r>
      <w:r w:rsidR="000B2DE2" w:rsidRPr="000A0DF7">
        <w:rPr>
          <w:szCs w:val="24"/>
        </w:rPr>
        <w:t xml:space="preserve">nvitation </w:t>
      </w:r>
      <w:r w:rsidR="00813DAA">
        <w:rPr>
          <w:szCs w:val="24"/>
        </w:rPr>
        <w:t>L</w:t>
      </w:r>
      <w:r w:rsidR="000B2DE2" w:rsidRPr="000A0DF7">
        <w:rPr>
          <w:szCs w:val="24"/>
        </w:rPr>
        <w:t>etter</w:t>
      </w:r>
      <w:r w:rsidR="00813DAA">
        <w:rPr>
          <w:szCs w:val="24"/>
        </w:rPr>
        <w:t xml:space="preserve"> (Appendix F)</w:t>
      </w:r>
      <w:r w:rsidRPr="000A0DF7">
        <w:rPr>
          <w:szCs w:val="24"/>
        </w:rPr>
        <w:t xml:space="preserve"> will present participants with three options for completing the survey: (1) a URL for the online questionnaire and individualized log-in credentials (user ID and password); (2) a QR code that participants can scan with a mobile device to enter and complete the survey online; and (3) an IVR with a toll-free number and individual passcode to enter the system.</w:t>
      </w:r>
      <w:r w:rsidRPr="000A0DF7">
        <w:rPr>
          <w:vertAlign w:val="superscript"/>
        </w:rPr>
        <w:footnoteReference w:id="5"/>
      </w:r>
      <w:r w:rsidRPr="000A0DF7">
        <w:rPr>
          <w:szCs w:val="24"/>
        </w:rPr>
        <w:t xml:space="preserve"> QR codes in particular can further facilitate participation rates by making access to the survey easy and immediate, as log-in credentials are built in for each individual. The IVR option enables data collection from respondents who may have spotty Internet coverage. Technically, completion of the survey is signified by clicking on the submit button at </w:t>
      </w:r>
      <w:r w:rsidR="00D60EF7" w:rsidRPr="000A0DF7">
        <w:rPr>
          <w:szCs w:val="24"/>
        </w:rPr>
        <w:t xml:space="preserve">the end of the questionnaire. </w:t>
      </w:r>
      <w:r w:rsidR="000460D4">
        <w:rPr>
          <w:szCs w:val="24"/>
        </w:rPr>
        <w:t>We</w:t>
      </w:r>
      <w:r w:rsidRPr="000A0DF7">
        <w:rPr>
          <w:szCs w:val="24"/>
        </w:rPr>
        <w:t xml:space="preserve"> will apply similar procedures to the IVR modality. Participants will receive recorded, pertinent informed consent information and will need to indicate agreement either orally or by entering a designated telephone key to proceed to the survey. </w:t>
      </w:r>
    </w:p>
    <w:p w14:paraId="1DD92CC6" w14:textId="41AFB870" w:rsidR="0057354F" w:rsidRPr="004C4BCE" w:rsidRDefault="0057354F" w:rsidP="004C4BCE">
      <w:pPr>
        <w:spacing w:after="120" w:line="480" w:lineRule="auto"/>
        <w:jc w:val="both"/>
        <w:rPr>
          <w:szCs w:val="24"/>
        </w:rPr>
      </w:pPr>
      <w:r w:rsidRPr="004C4BCE">
        <w:rPr>
          <w:b/>
          <w:szCs w:val="24"/>
        </w:rPr>
        <w:t>STEP 2: Mail Reminder to Non</w:t>
      </w:r>
      <w:r w:rsidR="00A05445" w:rsidRPr="004C4BCE">
        <w:rPr>
          <w:b/>
          <w:szCs w:val="24"/>
        </w:rPr>
        <w:t>r</w:t>
      </w:r>
      <w:r w:rsidRPr="004C4BCE">
        <w:rPr>
          <w:b/>
          <w:szCs w:val="24"/>
        </w:rPr>
        <w:t>esponders.</w:t>
      </w:r>
      <w:r w:rsidRPr="004C4BCE">
        <w:rPr>
          <w:szCs w:val="24"/>
        </w:rPr>
        <w:t xml:space="preserve"> W</w:t>
      </w:r>
      <w:r w:rsidR="00A44847" w:rsidRPr="004C4BCE">
        <w:rPr>
          <w:szCs w:val="24"/>
        </w:rPr>
        <w:t xml:space="preserve">ithin </w:t>
      </w:r>
      <w:r w:rsidR="007762EF" w:rsidRPr="004C4BCE">
        <w:rPr>
          <w:szCs w:val="24"/>
        </w:rPr>
        <w:t>10</w:t>
      </w:r>
      <w:r w:rsidR="00A44847" w:rsidRPr="004C4BCE">
        <w:rPr>
          <w:szCs w:val="24"/>
        </w:rPr>
        <w:t xml:space="preserve"> days of </w:t>
      </w:r>
      <w:r w:rsidR="00D60EF7" w:rsidRPr="004C4BCE">
        <w:rPr>
          <w:szCs w:val="24"/>
        </w:rPr>
        <w:t xml:space="preserve">sending the invitation letter, </w:t>
      </w:r>
      <w:r w:rsidR="000460D4" w:rsidRPr="004C4BCE">
        <w:rPr>
          <w:szCs w:val="24"/>
        </w:rPr>
        <w:t>we</w:t>
      </w:r>
      <w:r w:rsidRPr="004C4BCE">
        <w:rPr>
          <w:szCs w:val="24"/>
        </w:rPr>
        <w:t xml:space="preserve"> </w:t>
      </w:r>
      <w:r w:rsidR="00A44847" w:rsidRPr="004C4BCE">
        <w:rPr>
          <w:szCs w:val="24"/>
        </w:rPr>
        <w:t xml:space="preserve">will </w:t>
      </w:r>
      <w:r w:rsidR="00F64F0F">
        <w:rPr>
          <w:szCs w:val="24"/>
        </w:rPr>
        <w:t xml:space="preserve">prepare </w:t>
      </w:r>
      <w:r w:rsidRPr="004C4BCE">
        <w:rPr>
          <w:szCs w:val="24"/>
        </w:rPr>
        <w:t>a</w:t>
      </w:r>
      <w:r w:rsidR="00A44847" w:rsidRPr="004C4BCE">
        <w:rPr>
          <w:szCs w:val="24"/>
        </w:rPr>
        <w:t xml:space="preserve"> </w:t>
      </w:r>
      <w:r w:rsidRPr="004C4BCE">
        <w:rPr>
          <w:szCs w:val="24"/>
        </w:rPr>
        <w:t xml:space="preserve">mail reminder </w:t>
      </w:r>
      <w:r w:rsidR="00813DAA">
        <w:rPr>
          <w:szCs w:val="24"/>
        </w:rPr>
        <w:t xml:space="preserve">(Appendix G) </w:t>
      </w:r>
      <w:r w:rsidRPr="004C4BCE">
        <w:rPr>
          <w:szCs w:val="24"/>
        </w:rPr>
        <w:t xml:space="preserve">to participants who did not start the survey. This time period accounts for three days for mail delivery and gives participants five days to complete the survey online. The content of the mail reminder will reflect that of the </w:t>
      </w:r>
      <w:r w:rsidR="000B2DE2" w:rsidRPr="004C4BCE">
        <w:rPr>
          <w:szCs w:val="24"/>
        </w:rPr>
        <w:t>invitation letter</w:t>
      </w:r>
      <w:r w:rsidRPr="004C4BCE">
        <w:rPr>
          <w:szCs w:val="24"/>
        </w:rPr>
        <w:t>.</w:t>
      </w:r>
      <w:r w:rsidR="00C01379" w:rsidRPr="004C4BCE">
        <w:rPr>
          <w:szCs w:val="24"/>
        </w:rPr>
        <w:t xml:space="preserve"> </w:t>
      </w:r>
    </w:p>
    <w:p w14:paraId="6C03ECF2" w14:textId="77777777" w:rsidR="001A07F3" w:rsidRDefault="001A07F3">
      <w:pPr>
        <w:widowControl/>
        <w:overflowPunct/>
        <w:autoSpaceDE/>
        <w:autoSpaceDN/>
        <w:adjustRightInd/>
        <w:textAlignment w:val="auto"/>
        <w:rPr>
          <w:b/>
          <w:szCs w:val="24"/>
        </w:rPr>
      </w:pPr>
      <w:r>
        <w:rPr>
          <w:b/>
          <w:szCs w:val="24"/>
        </w:rPr>
        <w:br w:type="page"/>
      </w:r>
    </w:p>
    <w:p w14:paraId="2F975F61" w14:textId="3DFB47F2" w:rsidR="0057354F" w:rsidRPr="004C4BCE" w:rsidRDefault="0057354F" w:rsidP="004C4BCE">
      <w:pPr>
        <w:spacing w:after="120" w:line="480" w:lineRule="auto"/>
        <w:jc w:val="both"/>
        <w:rPr>
          <w:szCs w:val="24"/>
        </w:rPr>
      </w:pPr>
      <w:r w:rsidRPr="004C4BCE">
        <w:rPr>
          <w:b/>
          <w:szCs w:val="24"/>
        </w:rPr>
        <w:t>STEP 3: Conduct Telephone Follow-Up with Non</w:t>
      </w:r>
      <w:r w:rsidR="00A05445" w:rsidRPr="004C4BCE">
        <w:rPr>
          <w:b/>
          <w:szCs w:val="24"/>
        </w:rPr>
        <w:t>r</w:t>
      </w:r>
      <w:r w:rsidRPr="004C4BCE">
        <w:rPr>
          <w:b/>
          <w:szCs w:val="24"/>
        </w:rPr>
        <w:t>esponders.</w:t>
      </w:r>
      <w:r w:rsidRPr="004C4BCE">
        <w:rPr>
          <w:szCs w:val="24"/>
        </w:rPr>
        <w:t xml:space="preserve"> Telephone follow-ups are a necessary step t</w:t>
      </w:r>
      <w:r w:rsidR="00D4467B" w:rsidRPr="004C4BCE">
        <w:rPr>
          <w:szCs w:val="24"/>
        </w:rPr>
        <w:t xml:space="preserve">o maximize the response rate. </w:t>
      </w:r>
      <w:r w:rsidR="000C5E44">
        <w:rPr>
          <w:szCs w:val="24"/>
        </w:rPr>
        <w:t xml:space="preserve">A copy of the telephone script is available in Appendix H. </w:t>
      </w:r>
      <w:r w:rsidR="00D4467B" w:rsidRPr="004C4BCE">
        <w:rPr>
          <w:szCs w:val="24"/>
        </w:rPr>
        <w:t>The researchers</w:t>
      </w:r>
      <w:r w:rsidRPr="004C4BCE">
        <w:rPr>
          <w:szCs w:val="24"/>
        </w:rPr>
        <w:t xml:space="preserve"> will conduct a telephone follow-up only with participants who did not start an online or IVR survey beginning 10 business days after the reminder mail drop. This allows enough time for mail delivery and for participants to complete the survey online or through </w:t>
      </w:r>
      <w:r w:rsidRPr="00BD15AA">
        <w:rPr>
          <w:szCs w:val="24"/>
        </w:rPr>
        <w:t>the IVR platform.</w:t>
      </w:r>
      <w:r w:rsidR="00E829D1" w:rsidRPr="00BD15AA">
        <w:rPr>
          <w:rStyle w:val="FootnoteReference"/>
          <w:szCs w:val="24"/>
        </w:rPr>
        <w:footnoteReference w:id="6"/>
      </w:r>
      <w:r w:rsidRPr="00BD15AA">
        <w:rPr>
          <w:szCs w:val="24"/>
        </w:rPr>
        <w:t xml:space="preserve"> Telephone</w:t>
      </w:r>
      <w:r w:rsidRPr="004C4BCE">
        <w:rPr>
          <w:szCs w:val="24"/>
        </w:rPr>
        <w:t xml:space="preserve"> follow-ups include five attempts to each number in the sample at different times of the day and days of the week from 9 a.m. through 9 p.m., with some customization by retailer type for times and to avoid busy periods. An attempt is defined as either leaving a message or nonresponse after 10 rings. </w:t>
      </w:r>
      <w:r w:rsidR="00835C57" w:rsidRPr="004C4BCE">
        <w:rPr>
          <w:szCs w:val="24"/>
        </w:rPr>
        <w:t>The interviewers will record d</w:t>
      </w:r>
      <w:r w:rsidRPr="004C4BCE">
        <w:rPr>
          <w:szCs w:val="24"/>
        </w:rPr>
        <w:t xml:space="preserve">isconnected, changed, and fax numbers. If the changed number message provides an alternative number, </w:t>
      </w:r>
      <w:r w:rsidR="00835C57" w:rsidRPr="004C4BCE">
        <w:rPr>
          <w:szCs w:val="24"/>
        </w:rPr>
        <w:t xml:space="preserve">we will use </w:t>
      </w:r>
      <w:r w:rsidRPr="004C4BCE">
        <w:rPr>
          <w:szCs w:val="24"/>
        </w:rPr>
        <w:t xml:space="preserve">that number to contact the respondent. </w:t>
      </w:r>
      <w:r w:rsidR="00835C57" w:rsidRPr="004C4BCE">
        <w:rPr>
          <w:szCs w:val="24"/>
        </w:rPr>
        <w:t>We will make f</w:t>
      </w:r>
      <w:r w:rsidRPr="004C4BCE">
        <w:rPr>
          <w:szCs w:val="24"/>
        </w:rPr>
        <w:t xml:space="preserve">ive call attempts at the new number. Interviewers experienced in conducting business-to-business research will conduct follow-up calls. In addition to fully briefing the interviewers on the objectives of the study and administration of the questionnaire, the interviewer training will stress flexibility in scheduling interviews at the times that are convenient to the respondents. </w:t>
      </w:r>
    </w:p>
    <w:bookmarkEnd w:id="17"/>
    <w:p w14:paraId="7443E8B7" w14:textId="7408F178" w:rsidR="004E3CFE" w:rsidRPr="000A0DF7" w:rsidRDefault="00835C57" w:rsidP="00BD4E0B">
      <w:pPr>
        <w:spacing w:before="120" w:line="480" w:lineRule="auto"/>
        <w:ind w:firstLine="720"/>
        <w:jc w:val="both"/>
        <w:rPr>
          <w:b/>
          <w:szCs w:val="22"/>
        </w:rPr>
      </w:pPr>
      <w:r w:rsidRPr="000A0DF7">
        <w:rPr>
          <w:szCs w:val="24"/>
        </w:rPr>
        <w:t>We will analyze t</w:t>
      </w:r>
      <w:r w:rsidR="004E3CFE" w:rsidRPr="000A0DF7">
        <w:rPr>
          <w:szCs w:val="24"/>
        </w:rPr>
        <w:t>he survey of SNAP retailers’ data using statistical techniques. The survey seeks to provide a national picture of TPP and ISO products and services being procured by retailers, their selection of vendors, and satisfaction with services received. The study will test subgroup differences that are meaningful to the goals of the study. Subgroups of interest include store location (urban vs. rural), whether the store is part of a chain, and the size of the store as measured by revenues. To examine whether any observed differences between subgroups ar</w:t>
      </w:r>
      <w:r w:rsidR="00E032C8" w:rsidRPr="000A0DF7">
        <w:rPr>
          <w:szCs w:val="24"/>
        </w:rPr>
        <w:t xml:space="preserve">e statistically significant, the </w:t>
      </w:r>
      <w:r w:rsidR="000460D4">
        <w:rPr>
          <w:szCs w:val="24"/>
        </w:rPr>
        <w:t>research team</w:t>
      </w:r>
      <w:r w:rsidR="000460D4" w:rsidRPr="000A0DF7">
        <w:rPr>
          <w:szCs w:val="24"/>
        </w:rPr>
        <w:t xml:space="preserve"> </w:t>
      </w:r>
      <w:r w:rsidR="004E3CFE" w:rsidRPr="000A0DF7">
        <w:rPr>
          <w:szCs w:val="24"/>
        </w:rPr>
        <w:t>will conduct subgroup analyses of the survey data, using techniques appropriate given the variable types and sampling distribution, to test difference levels between two subgroups. These techniques may include t-test, Wilcoxon-Mann-Whitney test, ANOVA, chi-square, and the Kruskal-Wallis test to gauge differences in satisfaction levels across multiple groups (e.g., large, medium, and sm</w:t>
      </w:r>
      <w:r w:rsidR="00E032C8" w:rsidRPr="000A0DF7">
        <w:rPr>
          <w:szCs w:val="24"/>
        </w:rPr>
        <w:t xml:space="preserve">all retailers). Additionally, </w:t>
      </w:r>
      <w:r w:rsidR="000460D4">
        <w:rPr>
          <w:szCs w:val="24"/>
        </w:rPr>
        <w:t>we</w:t>
      </w:r>
      <w:r w:rsidR="004E3CFE" w:rsidRPr="000A0DF7">
        <w:rPr>
          <w:szCs w:val="24"/>
        </w:rPr>
        <w:t xml:space="preserve"> will explore the effect of the interaction between retailer size and location on the variables of interest (e.g., how small retailers in rural areas differ from large retailers in urban/suburban areas in their satisfaction of TPPs and ISOs).</w:t>
      </w:r>
    </w:p>
    <w:p w14:paraId="1977D9CB" w14:textId="5DDBEC65" w:rsidR="00FB0AA7" w:rsidRPr="000A0DF7" w:rsidRDefault="00850CC6" w:rsidP="00E67033">
      <w:pPr>
        <w:spacing w:after="120" w:line="480" w:lineRule="auto"/>
        <w:ind w:firstLine="720"/>
        <w:jc w:val="both"/>
        <w:rPr>
          <w:b/>
          <w:szCs w:val="24"/>
        </w:rPr>
      </w:pPr>
      <w:r w:rsidRPr="000A0DF7">
        <w:rPr>
          <w:szCs w:val="24"/>
        </w:rPr>
        <w:t>T</w:t>
      </w:r>
      <w:r w:rsidR="00A227B4" w:rsidRPr="000A0DF7">
        <w:t xml:space="preserve">he study design </w:t>
      </w:r>
      <w:r w:rsidRPr="000A0DF7">
        <w:t xml:space="preserve">for the </w:t>
      </w:r>
      <w:r w:rsidR="00282B55">
        <w:t>SNAP Retailer Survey</w:t>
      </w:r>
      <w:r w:rsidRPr="000A0DF7">
        <w:t xml:space="preserve"> </w:t>
      </w:r>
      <w:r w:rsidR="00A227B4" w:rsidRPr="000A0DF7">
        <w:t xml:space="preserve">estimated the sample size needed to detect reasonable differences across subgroups if they exist. Assuming a survey response rate of 80 percent, the study needs to contact 1,500 retailers </w:t>
      </w:r>
      <w:r w:rsidR="004B0055">
        <w:t>to</w:t>
      </w:r>
      <w:r w:rsidR="00210501" w:rsidRPr="000A0DF7">
        <w:t xml:space="preserve"> </w:t>
      </w:r>
      <w:r w:rsidR="0082098A" w:rsidRPr="000A0DF7">
        <w:t>obtain</w:t>
      </w:r>
      <w:r w:rsidR="00A227B4" w:rsidRPr="000A0DF7">
        <w:t xml:space="preserve"> 1,200 completed responses. Of the 1,200 responding retailers, assuming one-third are in subgroup 1 (e.g., rural) and two-thirds are in subgroup 2 (e.g., urban), the minimal detectable effect size (MDES) will be 0.17 assuming a two-tail statistical test with an expected statistical power of 0.8. This means, with a sample of 1,200 retailers, the study will be able to detect a group difference of 0.17 standard deviation between the two subgroups if the sample size ratio of the two subgroups is 1:2. If the sample ratio of the subgroups is 1:1 (e.g., northern vs. southern states) or 1:3 (large vs. small retailers), the MDES will be 0.16 and 0.19, respectively. </w:t>
      </w:r>
    </w:p>
    <w:p w14:paraId="25EB09CE" w14:textId="3E10B1FD" w:rsidR="00ED23BC" w:rsidRPr="000A0DF7" w:rsidRDefault="004E3F94" w:rsidP="00CA2C09">
      <w:pPr>
        <w:spacing w:after="120" w:line="480" w:lineRule="auto"/>
        <w:ind w:firstLine="720"/>
        <w:jc w:val="both"/>
        <w:rPr>
          <w:szCs w:val="24"/>
        </w:rPr>
      </w:pPr>
      <w:r w:rsidRPr="000A0DF7">
        <w:rPr>
          <w:szCs w:val="24"/>
        </w:rPr>
        <w:t xml:space="preserve">In the </w:t>
      </w:r>
      <w:r w:rsidR="00282B55">
        <w:rPr>
          <w:szCs w:val="24"/>
        </w:rPr>
        <w:t>SNAP Retailer Survey</w:t>
      </w:r>
      <w:r w:rsidR="00ED23BC" w:rsidRPr="000A0DF7">
        <w:rPr>
          <w:szCs w:val="24"/>
        </w:rPr>
        <w:t>, o</w:t>
      </w:r>
      <w:r w:rsidR="009A7C6E" w:rsidRPr="000A0DF7">
        <w:rPr>
          <w:szCs w:val="24"/>
        </w:rPr>
        <w:t>ne issue to consider is whether it is feasible to identify an owner or corporate officer (vs. store</w:t>
      </w:r>
      <w:r w:rsidR="00493D28" w:rsidRPr="000A0DF7">
        <w:rPr>
          <w:szCs w:val="24"/>
        </w:rPr>
        <w:t>-</w:t>
      </w:r>
      <w:r w:rsidR="009A7C6E" w:rsidRPr="000A0DF7">
        <w:rPr>
          <w:szCs w:val="24"/>
        </w:rPr>
        <w:t xml:space="preserve">level manager) as the prospective survey participant and direct the survey request to that person. This is not a simple process as the information may be missing </w:t>
      </w:r>
      <w:r w:rsidR="00DB58E5" w:rsidRPr="000A0DF7">
        <w:rPr>
          <w:szCs w:val="24"/>
        </w:rPr>
        <w:t xml:space="preserve">from the FNS data set </w:t>
      </w:r>
      <w:r w:rsidR="009A7C6E" w:rsidRPr="000A0DF7">
        <w:rPr>
          <w:szCs w:val="24"/>
        </w:rPr>
        <w:t xml:space="preserve">or outdated. </w:t>
      </w:r>
      <w:r w:rsidR="000367D5" w:rsidRPr="000A0DF7">
        <w:rPr>
          <w:szCs w:val="24"/>
        </w:rPr>
        <w:t xml:space="preserve">As a result of this challenge and because chain stores decisions </w:t>
      </w:r>
      <w:r w:rsidR="000B4BB2" w:rsidRPr="000A0DF7">
        <w:rPr>
          <w:szCs w:val="24"/>
        </w:rPr>
        <w:t xml:space="preserve">are made at a central office, the </w:t>
      </w:r>
      <w:r w:rsidR="000460D4">
        <w:rPr>
          <w:szCs w:val="24"/>
        </w:rPr>
        <w:t xml:space="preserve">research team </w:t>
      </w:r>
      <w:r w:rsidR="000367D5" w:rsidRPr="000A0DF7">
        <w:rPr>
          <w:szCs w:val="24"/>
        </w:rPr>
        <w:t>propose</w:t>
      </w:r>
      <w:r w:rsidR="000B4BB2" w:rsidRPr="000A0DF7">
        <w:rPr>
          <w:szCs w:val="24"/>
        </w:rPr>
        <w:t xml:space="preserve">s </w:t>
      </w:r>
      <w:r w:rsidR="000367D5" w:rsidRPr="000A0DF7">
        <w:rPr>
          <w:szCs w:val="24"/>
        </w:rPr>
        <w:t>the non-proportionate stratification sampling approach with an under-sampling of</w:t>
      </w:r>
      <w:r w:rsidR="004905A0" w:rsidRPr="000A0DF7">
        <w:rPr>
          <w:szCs w:val="24"/>
        </w:rPr>
        <w:t xml:space="preserve"> </w:t>
      </w:r>
      <w:r w:rsidR="000367D5" w:rsidRPr="000A0DF7">
        <w:rPr>
          <w:szCs w:val="24"/>
        </w:rPr>
        <w:t xml:space="preserve">chain stores. </w:t>
      </w:r>
    </w:p>
    <w:p w14:paraId="4F65C31C" w14:textId="2E452B0A" w:rsidR="00CA5FD8" w:rsidRPr="000A0DF7" w:rsidRDefault="0082098A" w:rsidP="009A1759">
      <w:pPr>
        <w:pStyle w:val="Heading1"/>
        <w:spacing w:after="120" w:line="276" w:lineRule="auto"/>
      </w:pPr>
      <w:bookmarkStart w:id="18" w:name="_Toc449548049"/>
      <w:bookmarkStart w:id="19" w:name="_Toc485894995"/>
      <w:bookmarkStart w:id="20" w:name="_Toc500403535"/>
      <w:bookmarkStart w:id="21" w:name="_Toc500403742"/>
      <w:r w:rsidRPr="000A0DF7">
        <w:t>B3. METHODS TO MAXIMIZE THE RESPONSE RATES AND TO DEAL WITH NONRESPONSE</w:t>
      </w:r>
      <w:bookmarkEnd w:id="18"/>
      <w:bookmarkEnd w:id="19"/>
      <w:bookmarkEnd w:id="20"/>
      <w:bookmarkEnd w:id="21"/>
    </w:p>
    <w:p w14:paraId="6E032ED4" w14:textId="77777777" w:rsidR="00CA5FD8" w:rsidRPr="000A0DF7" w:rsidRDefault="00CA5FD8" w:rsidP="009A1759">
      <w:pPr>
        <w:spacing w:after="240" w:line="276" w:lineRule="auto"/>
        <w:rPr>
          <w:b/>
        </w:rPr>
      </w:pPr>
      <w:r w:rsidRPr="000A0DF7">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4CAA116D" w14:textId="35896EBF" w:rsidR="00402D7C" w:rsidRPr="009A1759" w:rsidRDefault="00490956" w:rsidP="004E3F94">
      <w:pPr>
        <w:spacing w:after="120" w:line="480" w:lineRule="auto"/>
        <w:jc w:val="both"/>
        <w:rPr>
          <w:szCs w:val="24"/>
        </w:rPr>
      </w:pPr>
      <w:r w:rsidRPr="000A0DF7">
        <w:rPr>
          <w:szCs w:val="24"/>
        </w:rPr>
        <w:t xml:space="preserve">We are aware of the </w:t>
      </w:r>
      <w:r w:rsidR="0082098A" w:rsidRPr="000A0DF7">
        <w:rPr>
          <w:szCs w:val="24"/>
        </w:rPr>
        <w:t xml:space="preserve">impending </w:t>
      </w:r>
      <w:r w:rsidRPr="000A0DF7">
        <w:rPr>
          <w:szCs w:val="24"/>
        </w:rPr>
        <w:t xml:space="preserve">challenges in achieving an 80 percent response in surveys where </w:t>
      </w:r>
      <w:r w:rsidR="00952E59" w:rsidRPr="000A0DF7">
        <w:rPr>
          <w:szCs w:val="24"/>
        </w:rPr>
        <w:t xml:space="preserve">the </w:t>
      </w:r>
      <w:r w:rsidRPr="000A0DF7">
        <w:rPr>
          <w:szCs w:val="24"/>
        </w:rPr>
        <w:t>response is voluntary. Because people receive a significant amount of mail, telephone calls, and online requests, growing numbers of people react by ignoring all rather than risk responding to requests that are neither legitimate nor well</w:t>
      </w:r>
      <w:r w:rsidRPr="009A1759">
        <w:rPr>
          <w:szCs w:val="24"/>
        </w:rPr>
        <w:t xml:space="preserve"> intentioned. For smaller food retailers, these concerns are magnified because owners and managers are very busy managing the store. Th</w:t>
      </w:r>
      <w:r w:rsidR="00402D7C" w:rsidRPr="009A1759">
        <w:rPr>
          <w:szCs w:val="24"/>
        </w:rPr>
        <w:t>us, we will sample in two steps:</w:t>
      </w:r>
    </w:p>
    <w:p w14:paraId="19AF5F68" w14:textId="174D96DD" w:rsidR="00E51470" w:rsidRPr="009A1759" w:rsidRDefault="00CF50C4" w:rsidP="00F240CA">
      <w:pPr>
        <w:pStyle w:val="ListParagraph"/>
        <w:numPr>
          <w:ilvl w:val="0"/>
          <w:numId w:val="3"/>
        </w:numPr>
        <w:spacing w:after="120"/>
        <w:ind w:left="360" w:hanging="360"/>
        <w:jc w:val="both"/>
        <w:rPr>
          <w:szCs w:val="24"/>
        </w:rPr>
      </w:pPr>
      <w:r w:rsidRPr="009A1759">
        <w:rPr>
          <w:szCs w:val="24"/>
        </w:rPr>
        <w:t>T</w:t>
      </w:r>
      <w:r w:rsidR="00402D7C" w:rsidRPr="009A1759">
        <w:rPr>
          <w:szCs w:val="24"/>
        </w:rPr>
        <w:t xml:space="preserve">he </w:t>
      </w:r>
      <w:r w:rsidR="00490956" w:rsidRPr="009A1759">
        <w:rPr>
          <w:szCs w:val="24"/>
        </w:rPr>
        <w:t>sample will include the expected sampl</w:t>
      </w:r>
      <w:r w:rsidR="00402D7C" w:rsidRPr="009A1759">
        <w:rPr>
          <w:szCs w:val="24"/>
        </w:rPr>
        <w:t>e size of 1,500 retailers. If we</w:t>
      </w:r>
      <w:r w:rsidR="00490956" w:rsidRPr="009A1759">
        <w:rPr>
          <w:szCs w:val="24"/>
        </w:rPr>
        <w:t xml:space="preserve"> meet the desired response rate and obtain the 1,200 respondents necessary to achieve the MDES, we will stop. In the event we do not reach the target sample size</w:t>
      </w:r>
      <w:r w:rsidR="001E12BD" w:rsidRPr="009A1759">
        <w:rPr>
          <w:szCs w:val="24"/>
        </w:rPr>
        <w:t>,</w:t>
      </w:r>
      <w:r w:rsidR="00490956" w:rsidRPr="009A1759">
        <w:rPr>
          <w:szCs w:val="24"/>
        </w:rPr>
        <w:t xml:space="preserve"> we will access a second reserved replacement sample (developed following the same procedures from those not previously sampled</w:t>
      </w:r>
      <w:r w:rsidR="006C3B35">
        <w:rPr>
          <w:szCs w:val="24"/>
        </w:rPr>
        <w:t>)</w:t>
      </w:r>
      <w:r w:rsidR="00490956" w:rsidRPr="009A1759">
        <w:rPr>
          <w:szCs w:val="24"/>
        </w:rPr>
        <w:t xml:space="preserve">. </w:t>
      </w:r>
    </w:p>
    <w:p w14:paraId="7F9410A9" w14:textId="6E4CA54C" w:rsidR="00CF50C4" w:rsidRPr="009A1759" w:rsidRDefault="00CF50C4" w:rsidP="00F240CA">
      <w:pPr>
        <w:pStyle w:val="ListParagraph"/>
        <w:numPr>
          <w:ilvl w:val="0"/>
          <w:numId w:val="3"/>
        </w:numPr>
        <w:spacing w:after="120"/>
        <w:ind w:left="360" w:hanging="360"/>
        <w:jc w:val="both"/>
        <w:rPr>
          <w:szCs w:val="24"/>
        </w:rPr>
      </w:pPr>
      <w:r w:rsidRPr="009A1759">
        <w:rPr>
          <w:szCs w:val="24"/>
        </w:rPr>
        <w:t>T</w:t>
      </w:r>
      <w:r w:rsidR="00402D7C" w:rsidRPr="009A1759">
        <w:rPr>
          <w:szCs w:val="24"/>
        </w:rPr>
        <w:t>he researchers</w:t>
      </w:r>
      <w:r w:rsidR="00490956" w:rsidRPr="009A1759">
        <w:rPr>
          <w:szCs w:val="24"/>
        </w:rPr>
        <w:t xml:space="preserve"> will replace nonrespondents from those with like characteristics in the reserved sample and continue interviewing until the desired number of completes</w:t>
      </w:r>
      <w:r w:rsidR="0066718D">
        <w:rPr>
          <w:szCs w:val="24"/>
        </w:rPr>
        <w:t xml:space="preserve"> is achieved. </w:t>
      </w:r>
      <w:r w:rsidR="000367D5" w:rsidRPr="009A1759">
        <w:rPr>
          <w:szCs w:val="24"/>
        </w:rPr>
        <w:t xml:space="preserve">The replacement sample will be selected from the total population of </w:t>
      </w:r>
      <w:r w:rsidR="008E6D78">
        <w:rPr>
          <w:szCs w:val="24"/>
        </w:rPr>
        <w:t>SNAP</w:t>
      </w:r>
      <w:r w:rsidR="000367D5" w:rsidRPr="009A1759">
        <w:rPr>
          <w:szCs w:val="24"/>
        </w:rPr>
        <w:t xml:space="preserve"> retailers excluding those selected in the initial sample. We will consider the same stratification used in the initial sampling as well as the response from each strata in pulling the replacement sample. For example, if the initial sample specifies 160-complete in Stratum # 1 </w:t>
      </w:r>
      <w:r w:rsidR="001E12BD" w:rsidRPr="009A1759">
        <w:rPr>
          <w:szCs w:val="24"/>
        </w:rPr>
        <w:t>y</w:t>
      </w:r>
      <w:r w:rsidR="000367D5" w:rsidRPr="009A1759">
        <w:rPr>
          <w:szCs w:val="24"/>
        </w:rPr>
        <w:t xml:space="preserve">et we get only 120-complete, </w:t>
      </w:r>
      <w:r w:rsidR="00C212E4" w:rsidRPr="009A1759">
        <w:rPr>
          <w:szCs w:val="24"/>
        </w:rPr>
        <w:t xml:space="preserve">considering the response rate in that stratum with the initial sample, </w:t>
      </w:r>
      <w:r w:rsidR="000367D5" w:rsidRPr="009A1759">
        <w:rPr>
          <w:szCs w:val="24"/>
        </w:rPr>
        <w:t xml:space="preserve">the size of the replacement sample for Stratum # 1 should be such to yield </w:t>
      </w:r>
      <w:r w:rsidR="00C212E4" w:rsidRPr="009A1759">
        <w:rPr>
          <w:szCs w:val="24"/>
        </w:rPr>
        <w:t xml:space="preserve">an </w:t>
      </w:r>
      <w:r w:rsidR="000367D5" w:rsidRPr="009A1759">
        <w:rPr>
          <w:szCs w:val="24"/>
        </w:rPr>
        <w:t xml:space="preserve">additional 40-complete. In other words, we will replace nonrespondents from the initial sample with like-characteristics in the reserved sample and continue interviewing until we achieve the desired number of completes for each stratum. </w:t>
      </w:r>
    </w:p>
    <w:p w14:paraId="58862BD9" w14:textId="0CEBD350" w:rsidR="00A77F33" w:rsidRDefault="00490956" w:rsidP="00A77F33">
      <w:pPr>
        <w:pStyle w:val="ListParagraph"/>
        <w:numPr>
          <w:ilvl w:val="0"/>
          <w:numId w:val="1"/>
        </w:numPr>
        <w:spacing w:after="120"/>
        <w:ind w:hanging="360"/>
        <w:jc w:val="both"/>
      </w:pPr>
      <w:r w:rsidRPr="00CF50C4">
        <w:rPr>
          <w:b/>
          <w:i/>
          <w:szCs w:val="24"/>
        </w:rPr>
        <w:t xml:space="preserve">Encouraging </w:t>
      </w:r>
      <w:r w:rsidR="00796D9A" w:rsidRPr="00CF50C4">
        <w:rPr>
          <w:b/>
          <w:i/>
          <w:szCs w:val="24"/>
        </w:rPr>
        <w:t>r</w:t>
      </w:r>
      <w:r w:rsidRPr="00CF50C4">
        <w:rPr>
          <w:b/>
          <w:i/>
          <w:szCs w:val="24"/>
        </w:rPr>
        <w:t xml:space="preserve">esponse </w:t>
      </w:r>
      <w:r w:rsidR="00796D9A" w:rsidRPr="00CF50C4">
        <w:rPr>
          <w:b/>
          <w:i/>
          <w:szCs w:val="24"/>
        </w:rPr>
        <w:t>r</w:t>
      </w:r>
      <w:r w:rsidRPr="00CF50C4">
        <w:rPr>
          <w:b/>
          <w:i/>
          <w:szCs w:val="24"/>
        </w:rPr>
        <w:t xml:space="preserve">ates. </w:t>
      </w:r>
      <w:r w:rsidR="00AC5AB5">
        <w:t>T</w:t>
      </w:r>
      <w:r w:rsidR="0060695D" w:rsidRPr="00402D7C">
        <w:t xml:space="preserve">he </w:t>
      </w:r>
      <w:r w:rsidR="000B2DE2">
        <w:t>invitation letter</w:t>
      </w:r>
      <w:r w:rsidR="00402D7C">
        <w:t xml:space="preserve"> to sa</w:t>
      </w:r>
      <w:r w:rsidR="005105D4">
        <w:t xml:space="preserve">mpled retailers </w:t>
      </w:r>
      <w:r w:rsidRPr="00402D7C">
        <w:t>will emphasize that participants are randomly selected and thus are given an opportunity to represent their peers</w:t>
      </w:r>
      <w:r w:rsidR="0097740E">
        <w:t xml:space="preserve"> </w:t>
      </w:r>
      <w:r w:rsidRPr="00402D7C">
        <w:t>—</w:t>
      </w:r>
      <w:r w:rsidR="0097740E">
        <w:t xml:space="preserve"> </w:t>
      </w:r>
      <w:r w:rsidRPr="00402D7C">
        <w:t xml:space="preserve">in this case, other small businesses facing the same issues. </w:t>
      </w:r>
      <w:r w:rsidR="00AC5AB5">
        <w:t xml:space="preserve">The letter </w:t>
      </w:r>
      <w:r w:rsidRPr="00402D7C">
        <w:t>will emphasize the potential for respondents to</w:t>
      </w:r>
      <w:r w:rsidR="00060358">
        <w:t xml:space="preserve"> impact future procedures. Lastly, the letter</w:t>
      </w:r>
      <w:r w:rsidRPr="00402D7C">
        <w:t xml:space="preserve"> will appeal to social norms, stating that many of the respondents’ peers will take this opportunity to make their opinions heard. In our experience, personalization of the letter (i.e., addressing the letter to the individual selected rather than using a generic greeting) also contributes to one’s willingness to participate. </w:t>
      </w:r>
    </w:p>
    <w:p w14:paraId="1A9C7C99" w14:textId="21416C7D" w:rsidR="00A77F33" w:rsidRDefault="00490956" w:rsidP="00A77F33">
      <w:pPr>
        <w:pStyle w:val="ListParagraph"/>
        <w:numPr>
          <w:ilvl w:val="0"/>
          <w:numId w:val="1"/>
        </w:numPr>
        <w:spacing w:after="120"/>
        <w:ind w:hanging="360"/>
        <w:jc w:val="both"/>
      </w:pPr>
      <w:r w:rsidRPr="00A77F33">
        <w:rPr>
          <w:b/>
          <w:i/>
        </w:rPr>
        <w:t xml:space="preserve">Invitation </w:t>
      </w:r>
      <w:r w:rsidR="00796D9A" w:rsidRPr="00A77F33">
        <w:rPr>
          <w:b/>
          <w:i/>
        </w:rPr>
        <w:t>s</w:t>
      </w:r>
      <w:r w:rsidR="004E3CFE" w:rsidRPr="00A77F33">
        <w:rPr>
          <w:b/>
          <w:i/>
        </w:rPr>
        <w:t>igned by FNS</w:t>
      </w:r>
      <w:r w:rsidRPr="00A77F33">
        <w:rPr>
          <w:b/>
          <w:i/>
        </w:rPr>
        <w:t>.</w:t>
      </w:r>
      <w:r w:rsidRPr="00A77F33">
        <w:rPr>
          <w:i/>
        </w:rPr>
        <w:t xml:space="preserve"> </w:t>
      </w:r>
      <w:r w:rsidRPr="00DD73A1">
        <w:t xml:space="preserve">An invitation, signed by FNS, will also be mailed to SNAP retailers along with instructions on how to access the </w:t>
      </w:r>
      <w:r w:rsidR="00282B55">
        <w:t>SNAP Retailer Survey</w:t>
      </w:r>
      <w:r w:rsidRPr="00DD73A1">
        <w:t xml:space="preserve">. The invitation will note USDA efforts to understand how the changes brought about by the 2014 Farm Bill impact retailers’ ability to serve their SNAP customers. </w:t>
      </w:r>
      <w:r w:rsidR="002F5B19" w:rsidRPr="00DD73A1">
        <w:t>The researchers</w:t>
      </w:r>
      <w:r w:rsidRPr="00DD73A1">
        <w:t xml:space="preserve"> will draft the invitations to be approved and signed by FNS. </w:t>
      </w:r>
    </w:p>
    <w:p w14:paraId="7E1917FF" w14:textId="013A6CB6" w:rsidR="00490956" w:rsidRDefault="00490956" w:rsidP="00A77F33">
      <w:pPr>
        <w:pStyle w:val="ListParagraph"/>
        <w:numPr>
          <w:ilvl w:val="0"/>
          <w:numId w:val="1"/>
        </w:numPr>
        <w:spacing w:after="120"/>
        <w:ind w:hanging="360"/>
        <w:jc w:val="both"/>
      </w:pPr>
      <w:r w:rsidRPr="00A77F33">
        <w:rPr>
          <w:b/>
          <w:i/>
        </w:rPr>
        <w:t>Non</w:t>
      </w:r>
      <w:r w:rsidR="001E12BD" w:rsidRPr="00A77F33">
        <w:rPr>
          <w:b/>
          <w:i/>
        </w:rPr>
        <w:t>r</w:t>
      </w:r>
      <w:r w:rsidRPr="00A77F33">
        <w:rPr>
          <w:b/>
          <w:i/>
        </w:rPr>
        <w:t xml:space="preserve">esponse </w:t>
      </w:r>
      <w:r w:rsidR="00796D9A" w:rsidRPr="00A77F33">
        <w:rPr>
          <w:b/>
          <w:i/>
        </w:rPr>
        <w:t>b</w:t>
      </w:r>
      <w:r w:rsidRPr="00A77F33">
        <w:rPr>
          <w:b/>
          <w:i/>
        </w:rPr>
        <w:t xml:space="preserve">ias </w:t>
      </w:r>
      <w:r w:rsidR="00796D9A" w:rsidRPr="00A77F33">
        <w:rPr>
          <w:b/>
          <w:i/>
        </w:rPr>
        <w:t>a</w:t>
      </w:r>
      <w:r w:rsidRPr="00A77F33">
        <w:rPr>
          <w:b/>
          <w:i/>
        </w:rPr>
        <w:t>nalysis.</w:t>
      </w:r>
      <w:r w:rsidRPr="00DD73A1">
        <w:t xml:space="preserve"> If response rates fall below the minimum required 80 percent, the </w:t>
      </w:r>
      <w:r w:rsidR="002F5B19" w:rsidRPr="00DD73A1">
        <w:t>researchers</w:t>
      </w:r>
      <w:r w:rsidRPr="00DD73A1">
        <w:t xml:space="preserve"> will perform a nonresponse bias analysis as required by OMB. The nonresponse analysis will compare characteristics of responding and nonresponding retailers using retailer variables included in the database supplied by FNS to determine whether there are significant differences between the two groups that may impact the generalizability of findings. Variables of interest include, for example, store location in rural or urban areas, and store size in annual sales, number of sites, or number of registers of respondents. We should note that depending on the specific data provided by FNS, we may have to derive some variables (e.g., characteristics of the neighborhood where the store is located) by combining the FNS data with external data sources (e.g., Census data). We will then assess the type of nonresponse and determine the presence of nonresponse bias using chi-square tests, t-tests, analysis of variance, Bayesian analysis, or any other pertinent techniques. In the e</w:t>
      </w:r>
      <w:r w:rsidR="00FF5DB4">
        <w:t xml:space="preserve">vent of any nonresponse bias, the </w:t>
      </w:r>
      <w:r w:rsidR="000460D4">
        <w:t>research team</w:t>
      </w:r>
      <w:r w:rsidR="000460D4" w:rsidRPr="00DD73A1">
        <w:t xml:space="preserve"> </w:t>
      </w:r>
      <w:r w:rsidRPr="00DD73A1">
        <w:t xml:space="preserve">would weight survey respondents to mirror the target </w:t>
      </w:r>
      <w:r w:rsidR="00982D25" w:rsidRPr="00DD73A1">
        <w:t>population</w:t>
      </w:r>
      <w:r w:rsidRPr="00DD73A1">
        <w:t>. Data weighting will ensure that subgroups and characteristics of interest are properly represented in the survey results and that the distribution of the survey data is representative of the target population.</w:t>
      </w:r>
    </w:p>
    <w:p w14:paraId="2D06EE30" w14:textId="77777777" w:rsidR="009A1759" w:rsidRPr="00DD73A1" w:rsidRDefault="009A1759" w:rsidP="009A1759">
      <w:pPr>
        <w:pStyle w:val="ListParagraph"/>
        <w:spacing w:after="120"/>
        <w:jc w:val="both"/>
      </w:pPr>
    </w:p>
    <w:p w14:paraId="47ECB1AE" w14:textId="0B0C64CB" w:rsidR="00CA5FD8" w:rsidRPr="0029750E" w:rsidRDefault="005B35F1" w:rsidP="009A1759">
      <w:pPr>
        <w:pStyle w:val="Heading1"/>
        <w:spacing w:after="120"/>
      </w:pPr>
      <w:bookmarkStart w:id="22" w:name="_Toc449548051"/>
      <w:bookmarkStart w:id="23" w:name="_Toc485894996"/>
      <w:bookmarkStart w:id="24" w:name="_Toc500403536"/>
      <w:bookmarkStart w:id="25" w:name="_Toc500403743"/>
      <w:r w:rsidRPr="005B35F1">
        <w:t>B4. TEST OF PROCEDURES OR METHODS TO BE UNDERTAKEN</w:t>
      </w:r>
      <w:bookmarkEnd w:id="22"/>
      <w:bookmarkEnd w:id="23"/>
      <w:bookmarkEnd w:id="24"/>
      <w:bookmarkEnd w:id="25"/>
    </w:p>
    <w:p w14:paraId="0529FECE" w14:textId="77777777" w:rsidR="00CA5FD8" w:rsidRPr="0029750E" w:rsidRDefault="00CA5FD8" w:rsidP="009A1759">
      <w:pPr>
        <w:spacing w:after="240"/>
        <w:rPr>
          <w:b/>
        </w:rPr>
      </w:pPr>
      <w:r w:rsidRPr="0029750E">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1EC28AE" w14:textId="1C8D4BD7" w:rsidR="004E3F94" w:rsidRPr="00DD73A1" w:rsidRDefault="005B35F1" w:rsidP="0009344F">
      <w:pPr>
        <w:tabs>
          <w:tab w:val="left" w:pos="-720"/>
        </w:tabs>
        <w:suppressAutoHyphens/>
        <w:spacing w:after="120" w:line="480" w:lineRule="auto"/>
        <w:jc w:val="both"/>
        <w:rPr>
          <w:lang w:val="en"/>
        </w:rPr>
      </w:pPr>
      <w:r>
        <w:rPr>
          <w:lang w:val="en"/>
        </w:rPr>
        <w:tab/>
      </w:r>
      <w:r w:rsidR="004E3F94" w:rsidRPr="00DD73A1">
        <w:rPr>
          <w:lang w:val="en"/>
        </w:rPr>
        <w:t xml:space="preserve">The </w:t>
      </w:r>
      <w:r w:rsidR="001E12BD">
        <w:rPr>
          <w:lang w:val="en"/>
        </w:rPr>
        <w:t>c</w:t>
      </w:r>
      <w:r w:rsidR="004E3F94" w:rsidRPr="00DD73A1">
        <w:rPr>
          <w:lang w:val="en"/>
        </w:rPr>
        <w:t>ontractor</w:t>
      </w:r>
      <w:r w:rsidR="004E3F94" w:rsidRPr="00DD73A1">
        <w:rPr>
          <w:szCs w:val="24"/>
        </w:rPr>
        <w:t xml:space="preserve">, on behalf of FNS, </w:t>
      </w:r>
      <w:r w:rsidR="00CD1DA3">
        <w:rPr>
          <w:szCs w:val="24"/>
        </w:rPr>
        <w:t>pretest</w:t>
      </w:r>
      <w:r w:rsidR="004E3F94" w:rsidRPr="00DD73A1">
        <w:rPr>
          <w:szCs w:val="24"/>
        </w:rPr>
        <w:t xml:space="preserve">ed the </w:t>
      </w:r>
      <w:r w:rsidR="00282B55">
        <w:rPr>
          <w:szCs w:val="24"/>
        </w:rPr>
        <w:t>SNAP Retailer Survey</w:t>
      </w:r>
      <w:r w:rsidR="004E3F94" w:rsidRPr="00DD73A1">
        <w:rPr>
          <w:szCs w:val="24"/>
        </w:rPr>
        <w:t xml:space="preserve"> and the </w:t>
      </w:r>
      <w:r w:rsidR="00282B55">
        <w:rPr>
          <w:szCs w:val="24"/>
        </w:rPr>
        <w:t>EBT Vendor Interview Guide</w:t>
      </w:r>
      <w:r w:rsidR="004E3CFE">
        <w:rPr>
          <w:szCs w:val="24"/>
        </w:rPr>
        <w:t xml:space="preserve"> with seven</w:t>
      </w:r>
      <w:r w:rsidR="004E3F94" w:rsidRPr="00DD73A1">
        <w:rPr>
          <w:szCs w:val="24"/>
        </w:rPr>
        <w:t xml:space="preserve"> retailers and two vendors, respectively. </w:t>
      </w:r>
      <w:r w:rsidR="00505775">
        <w:t>See Appendix D for a memorandum of the pretest data collection tools and results of the pretest analysis</w:t>
      </w:r>
      <w:r w:rsidR="00505775">
        <w:rPr>
          <w:szCs w:val="24"/>
        </w:rPr>
        <w:t xml:space="preserve">. </w:t>
      </w:r>
      <w:r w:rsidR="004E3F94" w:rsidRPr="00DD73A1">
        <w:rPr>
          <w:lang w:val="en"/>
        </w:rPr>
        <w:t xml:space="preserve">The interviews were intended to focus on the following areas: </w:t>
      </w:r>
    </w:p>
    <w:p w14:paraId="1B981F57" w14:textId="77777777" w:rsidR="00CD1DA3" w:rsidRPr="00CD1DA3" w:rsidRDefault="00CD1DA3" w:rsidP="0009344F">
      <w:pPr>
        <w:pStyle w:val="ListParagraph"/>
        <w:widowControl/>
        <w:numPr>
          <w:ilvl w:val="0"/>
          <w:numId w:val="2"/>
        </w:numPr>
        <w:tabs>
          <w:tab w:val="clear" w:pos="-720"/>
        </w:tabs>
        <w:suppressAutoHyphens w:val="0"/>
        <w:spacing w:after="120" w:line="276" w:lineRule="auto"/>
        <w:contextualSpacing w:val="0"/>
        <w:jc w:val="both"/>
        <w:rPr>
          <w:rFonts w:cstheme="minorHAnsi"/>
          <w:szCs w:val="22"/>
        </w:rPr>
      </w:pPr>
      <w:r w:rsidRPr="00CD1DA3">
        <w:rPr>
          <w:rFonts w:cstheme="minorHAnsi"/>
          <w:szCs w:val="22"/>
        </w:rPr>
        <w:t xml:space="preserve">Burden: Approximately how much time did it take the respondent to complete the survey? </w:t>
      </w:r>
    </w:p>
    <w:p w14:paraId="35F70D1F" w14:textId="64B08DA1" w:rsidR="00CD1DA3" w:rsidRPr="00CD1DA3" w:rsidRDefault="00CD1DA3" w:rsidP="0009344F">
      <w:pPr>
        <w:pStyle w:val="ListParagraph"/>
        <w:widowControl/>
        <w:numPr>
          <w:ilvl w:val="0"/>
          <w:numId w:val="2"/>
        </w:numPr>
        <w:tabs>
          <w:tab w:val="clear" w:pos="-720"/>
        </w:tabs>
        <w:suppressAutoHyphens w:val="0"/>
        <w:spacing w:after="120" w:line="276" w:lineRule="auto"/>
        <w:contextualSpacing w:val="0"/>
        <w:jc w:val="both"/>
        <w:rPr>
          <w:rFonts w:cstheme="minorHAnsi"/>
          <w:szCs w:val="22"/>
        </w:rPr>
      </w:pPr>
      <w:r w:rsidRPr="00CD1DA3">
        <w:rPr>
          <w:rFonts w:cstheme="minorHAnsi"/>
          <w:szCs w:val="22"/>
        </w:rPr>
        <w:t>Comprehension: D</w:t>
      </w:r>
      <w:r w:rsidRPr="00CD1DA3">
        <w:rPr>
          <w:szCs w:val="22"/>
        </w:rPr>
        <w:t>oes the respondent understand the question</w:t>
      </w:r>
      <w:r w:rsidR="005B35F1">
        <w:rPr>
          <w:szCs w:val="22"/>
        </w:rPr>
        <w:t>s</w:t>
      </w:r>
      <w:r w:rsidRPr="00CD1DA3">
        <w:rPr>
          <w:szCs w:val="22"/>
        </w:rPr>
        <w:t xml:space="preserve"> being asked?</w:t>
      </w:r>
    </w:p>
    <w:p w14:paraId="61BF20CC" w14:textId="4315B1FD" w:rsidR="00CD1DA3" w:rsidRPr="00CD1DA3" w:rsidRDefault="00CD1DA3" w:rsidP="0009344F">
      <w:pPr>
        <w:pStyle w:val="ListParagraph"/>
        <w:widowControl/>
        <w:numPr>
          <w:ilvl w:val="0"/>
          <w:numId w:val="2"/>
        </w:numPr>
        <w:tabs>
          <w:tab w:val="clear" w:pos="-720"/>
        </w:tabs>
        <w:suppressAutoHyphens w:val="0"/>
        <w:spacing w:after="120" w:line="276" w:lineRule="auto"/>
        <w:contextualSpacing w:val="0"/>
        <w:jc w:val="both"/>
        <w:rPr>
          <w:rFonts w:cstheme="minorHAnsi"/>
          <w:szCs w:val="22"/>
        </w:rPr>
      </w:pPr>
      <w:r w:rsidRPr="00CD1DA3">
        <w:rPr>
          <w:rFonts w:cstheme="minorHAnsi"/>
          <w:szCs w:val="22"/>
        </w:rPr>
        <w:t>Retrieval: Can</w:t>
      </w:r>
      <w:r w:rsidRPr="00CD1DA3">
        <w:rPr>
          <w:szCs w:val="22"/>
        </w:rPr>
        <w:t xml:space="preserve"> the respondent recall or retrieve pertinent information needed for the answer or do they need to do further research </w:t>
      </w:r>
      <w:r w:rsidR="00982D25" w:rsidRPr="00CD1DA3">
        <w:rPr>
          <w:szCs w:val="22"/>
        </w:rPr>
        <w:t>to</w:t>
      </w:r>
      <w:r w:rsidRPr="00CD1DA3">
        <w:rPr>
          <w:szCs w:val="22"/>
        </w:rPr>
        <w:t xml:space="preserve"> answer the questions?</w:t>
      </w:r>
    </w:p>
    <w:p w14:paraId="7C5A1756" w14:textId="77777777" w:rsidR="00CD1DA3" w:rsidRPr="00CD1DA3" w:rsidRDefault="00CD1DA3" w:rsidP="0009344F">
      <w:pPr>
        <w:pStyle w:val="ListParagraph"/>
        <w:widowControl/>
        <w:numPr>
          <w:ilvl w:val="0"/>
          <w:numId w:val="2"/>
        </w:numPr>
        <w:tabs>
          <w:tab w:val="clear" w:pos="-720"/>
        </w:tabs>
        <w:suppressAutoHyphens w:val="0"/>
        <w:spacing w:after="120" w:line="276" w:lineRule="auto"/>
        <w:contextualSpacing w:val="0"/>
        <w:jc w:val="both"/>
        <w:rPr>
          <w:rFonts w:cstheme="minorHAnsi"/>
          <w:szCs w:val="22"/>
        </w:rPr>
      </w:pPr>
      <w:r w:rsidRPr="00CD1DA3">
        <w:rPr>
          <w:rFonts w:cstheme="minorHAnsi"/>
          <w:szCs w:val="22"/>
        </w:rPr>
        <w:t xml:space="preserve">Judgement: </w:t>
      </w:r>
      <w:r w:rsidRPr="00CD1DA3">
        <w:rPr>
          <w:szCs w:val="22"/>
        </w:rPr>
        <w:t>Is the respondent motivated to fully respond to the questions?</w:t>
      </w:r>
    </w:p>
    <w:p w14:paraId="273E274B" w14:textId="77777777" w:rsidR="00CD1DA3" w:rsidRPr="00CD1DA3" w:rsidRDefault="00CD1DA3" w:rsidP="0009344F">
      <w:pPr>
        <w:widowControl/>
        <w:numPr>
          <w:ilvl w:val="0"/>
          <w:numId w:val="2"/>
        </w:numPr>
        <w:overflowPunct/>
        <w:autoSpaceDE/>
        <w:autoSpaceDN/>
        <w:adjustRightInd/>
        <w:spacing w:after="120" w:line="276" w:lineRule="auto"/>
        <w:jc w:val="both"/>
        <w:textAlignment w:val="auto"/>
        <w:rPr>
          <w:szCs w:val="22"/>
        </w:rPr>
      </w:pPr>
      <w:r w:rsidRPr="00CD1DA3">
        <w:rPr>
          <w:szCs w:val="22"/>
        </w:rPr>
        <w:t>Response: Can the respondent provide the answer in the format requested?</w:t>
      </w:r>
    </w:p>
    <w:p w14:paraId="16763533" w14:textId="77777777" w:rsidR="00CD1DA3" w:rsidRPr="00CD1DA3" w:rsidRDefault="00CD1DA3" w:rsidP="0009344F">
      <w:pPr>
        <w:pStyle w:val="ListParagraph"/>
        <w:widowControl/>
        <w:numPr>
          <w:ilvl w:val="0"/>
          <w:numId w:val="2"/>
        </w:numPr>
        <w:tabs>
          <w:tab w:val="clear" w:pos="-720"/>
        </w:tabs>
        <w:suppressAutoHyphens w:val="0"/>
        <w:spacing w:after="120" w:line="276" w:lineRule="auto"/>
        <w:contextualSpacing w:val="0"/>
        <w:jc w:val="both"/>
        <w:rPr>
          <w:rFonts w:cstheme="minorHAnsi"/>
          <w:szCs w:val="22"/>
        </w:rPr>
      </w:pPr>
      <w:r w:rsidRPr="00CD1DA3">
        <w:rPr>
          <w:rFonts w:cstheme="minorHAnsi"/>
          <w:szCs w:val="22"/>
        </w:rPr>
        <w:t>Branch Logic: Does the order and/or skip pattern of the questions flow properly?</w:t>
      </w:r>
    </w:p>
    <w:p w14:paraId="238DC161" w14:textId="16EF7B35" w:rsidR="001A07F3" w:rsidRDefault="001A07F3">
      <w:pPr>
        <w:widowControl/>
        <w:overflowPunct/>
        <w:autoSpaceDE/>
        <w:autoSpaceDN/>
        <w:adjustRightInd/>
        <w:textAlignment w:val="auto"/>
        <w:rPr>
          <w:rFonts w:eastAsia="Calibri"/>
          <w:bCs/>
          <w:szCs w:val="24"/>
        </w:rPr>
      </w:pPr>
      <w:r>
        <w:rPr>
          <w:rFonts w:eastAsia="Calibri"/>
          <w:bCs/>
          <w:szCs w:val="24"/>
        </w:rPr>
        <w:br w:type="page"/>
      </w:r>
    </w:p>
    <w:p w14:paraId="5C366EE1" w14:textId="7B130402" w:rsidR="00C53DCF" w:rsidRPr="00DD73A1" w:rsidRDefault="00F43A28" w:rsidP="004C5873">
      <w:pPr>
        <w:pStyle w:val="IESBody"/>
        <w:spacing w:after="120"/>
        <w:ind w:firstLine="720"/>
      </w:pPr>
      <w:r w:rsidRPr="004C5873">
        <w:rPr>
          <w:b/>
          <w:u w:val="single"/>
        </w:rPr>
        <w:t xml:space="preserve">Selection and </w:t>
      </w:r>
      <w:r w:rsidR="000F4E89" w:rsidRPr="004C5873">
        <w:rPr>
          <w:b/>
          <w:u w:val="single"/>
        </w:rPr>
        <w:t>Recruitment</w:t>
      </w:r>
      <w:r w:rsidRPr="004C5873">
        <w:rPr>
          <w:b/>
          <w:u w:val="single"/>
        </w:rPr>
        <w:t xml:space="preserve"> of </w:t>
      </w:r>
      <w:r w:rsidR="00CD1DA3" w:rsidRPr="004C5873">
        <w:rPr>
          <w:b/>
          <w:u w:val="single"/>
        </w:rPr>
        <w:t>Pretest</w:t>
      </w:r>
      <w:r w:rsidRPr="004C5873">
        <w:rPr>
          <w:b/>
          <w:u w:val="single"/>
        </w:rPr>
        <w:t xml:space="preserve"> </w:t>
      </w:r>
      <w:r w:rsidR="00E04A7A" w:rsidRPr="004C5873">
        <w:rPr>
          <w:b/>
          <w:u w:val="single"/>
        </w:rPr>
        <w:t>P</w:t>
      </w:r>
      <w:r w:rsidRPr="004C5873">
        <w:rPr>
          <w:b/>
          <w:u w:val="single"/>
        </w:rPr>
        <w:t>articipants</w:t>
      </w:r>
      <w:r w:rsidR="004C5873">
        <w:rPr>
          <w:b/>
          <w:u w:val="single"/>
        </w:rPr>
        <w:t>.</w:t>
      </w:r>
      <w:r w:rsidR="004C5873">
        <w:rPr>
          <w:b/>
        </w:rPr>
        <w:t xml:space="preserve"> </w:t>
      </w:r>
      <w:r w:rsidR="004C5873">
        <w:t xml:space="preserve">In the </w:t>
      </w:r>
      <w:r w:rsidR="00282B55">
        <w:t>SNAP Retailer Survey</w:t>
      </w:r>
      <w:r w:rsidR="004C5873">
        <w:t xml:space="preserve">, the </w:t>
      </w:r>
      <w:r w:rsidR="000460D4">
        <w:t xml:space="preserve">research team </w:t>
      </w:r>
      <w:r w:rsidR="004C5873">
        <w:t xml:space="preserve">collaborated with </w:t>
      </w:r>
      <w:r w:rsidR="00D328F7">
        <w:t xml:space="preserve">a </w:t>
      </w:r>
      <w:r w:rsidR="004C4BCE">
        <w:t>partner</w:t>
      </w:r>
      <w:r w:rsidR="00D328F7">
        <w:t xml:space="preserve"> </w:t>
      </w:r>
      <w:r w:rsidR="00C53DCF" w:rsidRPr="00DD73A1">
        <w:t>that provides consulting services to small retailers and convenience stores on</w:t>
      </w:r>
      <w:r w:rsidR="00952E59">
        <w:t xml:space="preserve"> point of sale</w:t>
      </w:r>
      <w:r w:rsidR="00C53DCF" w:rsidRPr="00DD73A1">
        <w:t xml:space="preserve"> systems, the researchers identified a set of criteria for recruiting retailers to participate in the survey </w:t>
      </w:r>
      <w:r w:rsidR="00CD1DA3">
        <w:t>pretest</w:t>
      </w:r>
      <w:r w:rsidR="00C53DCF" w:rsidRPr="00DD73A1">
        <w:t xml:space="preserve">. The researchers determined that the </w:t>
      </w:r>
      <w:r w:rsidR="00CD1DA3">
        <w:t>pretest</w:t>
      </w:r>
      <w:r w:rsidR="00C53DCF" w:rsidRPr="00DD73A1">
        <w:t xml:space="preserve"> should include stores located in rural and urban areas. Additionally, the researchers indicated that small retailers and those affiliated with chains should also be represented in the </w:t>
      </w:r>
      <w:r w:rsidR="00CD1DA3">
        <w:t>pretest</w:t>
      </w:r>
      <w:r w:rsidR="00C53DCF" w:rsidRPr="00DD73A1">
        <w:t xml:space="preserve">. </w:t>
      </w:r>
      <w:r w:rsidR="00D328F7">
        <w:t>The researchers</w:t>
      </w:r>
      <w:r w:rsidR="00D328F7" w:rsidRPr="00DD73A1">
        <w:t xml:space="preserve"> </w:t>
      </w:r>
      <w:r w:rsidR="00C53DCF" w:rsidRPr="00DD73A1">
        <w:t xml:space="preserve">used these criteria to identify retailers and contacted retailers </w:t>
      </w:r>
      <w:r w:rsidR="00F9606F">
        <w:t>in different parts of the</w:t>
      </w:r>
      <w:r w:rsidR="00C53DCF" w:rsidRPr="00DD73A1">
        <w:t xml:space="preserve"> country to determine their availability and willingness to participate in the </w:t>
      </w:r>
      <w:r w:rsidR="00CD1DA3">
        <w:t>pretest</w:t>
      </w:r>
      <w:r w:rsidR="00C53DCF" w:rsidRPr="00DD73A1">
        <w:t xml:space="preserve">. After this initial contact, the researchers followed up with each retailer to provide the link to the survey and schedule the interview. </w:t>
      </w:r>
      <w:r w:rsidR="00CD1DA3">
        <w:t>The interviewer completed three pretest interviews via telephone and four</w:t>
      </w:r>
      <w:r w:rsidR="00F9606F">
        <w:t xml:space="preserve"> pretest interviews in person.</w:t>
      </w:r>
    </w:p>
    <w:p w14:paraId="0FC19E03" w14:textId="3C96872F" w:rsidR="004C5873" w:rsidRDefault="00C53DCF" w:rsidP="009A1759">
      <w:pPr>
        <w:spacing w:after="120" w:line="480" w:lineRule="auto"/>
        <w:ind w:firstLine="720"/>
        <w:jc w:val="both"/>
      </w:pPr>
      <w:r w:rsidRPr="00DD73A1">
        <w:t xml:space="preserve">Before interviewing the retailers, the researchers conducted initial </w:t>
      </w:r>
      <w:r w:rsidR="00F43A28">
        <w:t>cognitive interviews</w:t>
      </w:r>
      <w:r w:rsidRPr="00DD73A1">
        <w:t xml:space="preserve"> with internal SMEs who previously owned SNAP</w:t>
      </w:r>
      <w:r w:rsidR="00E04A7A">
        <w:t>-</w:t>
      </w:r>
      <w:r w:rsidRPr="00DD73A1">
        <w:t xml:space="preserve">authorized stores. Three </w:t>
      </w:r>
      <w:r w:rsidR="00080974">
        <w:t>former store</w:t>
      </w:r>
      <w:r w:rsidR="00F9606F">
        <w:t xml:space="preserve"> owners</w:t>
      </w:r>
      <w:r w:rsidRPr="00DD73A1">
        <w:t xml:space="preserve"> completed the survey and participated in a cognitive interview. By having internal SMEs complete the survey and participate in a cognitive interview, the researchers augmented the number of </w:t>
      </w:r>
      <w:r w:rsidR="00CD1DA3">
        <w:t>pretest</w:t>
      </w:r>
      <w:r w:rsidRPr="00DD73A1">
        <w:t xml:space="preserve"> cases critical to refining the instrument without exceeding the nine interviews allowed by OMB. </w:t>
      </w:r>
    </w:p>
    <w:p w14:paraId="7CDD007E" w14:textId="36639240" w:rsidR="00C53DCF" w:rsidRPr="00DD73A1" w:rsidRDefault="004C5873" w:rsidP="004C5873">
      <w:pPr>
        <w:spacing w:after="120" w:line="480" w:lineRule="auto"/>
        <w:ind w:firstLine="720"/>
        <w:jc w:val="both"/>
      </w:pPr>
      <w:r>
        <w:t>In the EBT vendor interviews, t</w:t>
      </w:r>
      <w:r w:rsidR="00C53DCF" w:rsidRPr="00DD73A1">
        <w:t>he combined sample size for TPP and ISO vendors supporting SNAP retailers is 60. Preliminary research estimates that there are 5 to 10 TPPs and 50 to 55 ISOs supporting the EBT market. This small sample demand</w:t>
      </w:r>
      <w:r w:rsidR="00F43A28">
        <w:t>ed</w:t>
      </w:r>
      <w:r w:rsidR="00C53DCF" w:rsidRPr="00DD73A1">
        <w:t xml:space="preserve"> an approach for </w:t>
      </w:r>
      <w:r w:rsidR="00CD1DA3">
        <w:t>pretest</w:t>
      </w:r>
      <w:r w:rsidR="00C53DCF" w:rsidRPr="00DD73A1">
        <w:t xml:space="preserve">ing that does not jeopardize the data collection by using too many potential respondents during the </w:t>
      </w:r>
      <w:r w:rsidR="00CD1DA3">
        <w:t>pretest</w:t>
      </w:r>
      <w:r w:rsidR="00C53DCF" w:rsidRPr="00DD73A1">
        <w:t xml:space="preserve">. For this reason, researchers recruited two participants for the </w:t>
      </w:r>
      <w:r w:rsidR="00CD1DA3">
        <w:t>pretest</w:t>
      </w:r>
      <w:r w:rsidR="00C53DCF" w:rsidRPr="00DD73A1">
        <w:t xml:space="preserve"> interviews. The researchers selected two ISOs from the list of prescreened organizations provided in the study plan. Because the data collected in the </w:t>
      </w:r>
      <w:r w:rsidR="00CD1DA3">
        <w:t>pretest</w:t>
      </w:r>
      <w:r w:rsidR="00C53DCF" w:rsidRPr="00DD73A1">
        <w:t xml:space="preserve"> cannot be used in the final analysis, the researchers selected vendors with a smaller share of the market to </w:t>
      </w:r>
      <w:r w:rsidR="00CD1DA3">
        <w:t>pretest</w:t>
      </w:r>
      <w:r w:rsidR="00C53DCF" w:rsidRPr="00DD73A1">
        <w:t xml:space="preserve"> the </w:t>
      </w:r>
      <w:r w:rsidR="00282B55">
        <w:t>EBT Vendor Interview Guide</w:t>
      </w:r>
      <w:r w:rsidR="00C53DCF" w:rsidRPr="00DD73A1">
        <w:t xml:space="preserve">. </w:t>
      </w:r>
      <w:r w:rsidR="00080974" w:rsidRPr="00DD73A1">
        <w:t>Additionally, researchers interviewed one of the study’s SME</w:t>
      </w:r>
      <w:r w:rsidR="00080974">
        <w:t>s,</w:t>
      </w:r>
      <w:r w:rsidR="00080974" w:rsidRPr="00DD73A1">
        <w:t xml:space="preserve"> a former EBT </w:t>
      </w:r>
      <w:r w:rsidR="00080974">
        <w:t>o</w:t>
      </w:r>
      <w:r w:rsidR="00080974" w:rsidRPr="00DD73A1">
        <w:t xml:space="preserve">perations lead for a large TPP. The SME helped the researchers perform a cognitive assessment of the </w:t>
      </w:r>
      <w:r w:rsidR="00282B55">
        <w:t>EBT Vendor Interview Guide</w:t>
      </w:r>
      <w:r w:rsidR="00080974" w:rsidRPr="00DD73A1">
        <w:t xml:space="preserve"> without impacting the OMB limit while maintaining the integrity of the sample size.</w:t>
      </w:r>
    </w:p>
    <w:p w14:paraId="65081640" w14:textId="782E77B0" w:rsidR="00F43A28" w:rsidRDefault="00CD1DA3" w:rsidP="00F84183">
      <w:pPr>
        <w:spacing w:after="120" w:line="480" w:lineRule="auto"/>
        <w:ind w:firstLine="720"/>
        <w:jc w:val="both"/>
        <w:rPr>
          <w:rFonts w:eastAsia="Calibri"/>
          <w:bCs/>
          <w:szCs w:val="24"/>
        </w:rPr>
      </w:pPr>
      <w:bookmarkStart w:id="26" w:name="_Toc416896808"/>
      <w:r>
        <w:rPr>
          <w:rFonts w:eastAsia="Calibri"/>
          <w:b/>
          <w:bCs/>
          <w:i/>
          <w:szCs w:val="24"/>
        </w:rPr>
        <w:t>Pretest</w:t>
      </w:r>
      <w:r w:rsidR="00F43A28">
        <w:rPr>
          <w:rFonts w:eastAsia="Calibri"/>
          <w:b/>
          <w:bCs/>
          <w:i/>
          <w:szCs w:val="24"/>
        </w:rPr>
        <w:t xml:space="preserve"> and </w:t>
      </w:r>
      <w:r w:rsidR="00AC7C0D" w:rsidRPr="00370CC2">
        <w:rPr>
          <w:rFonts w:eastAsia="Calibri"/>
          <w:b/>
          <w:bCs/>
          <w:i/>
          <w:szCs w:val="24"/>
        </w:rPr>
        <w:t xml:space="preserve">Cognitive </w:t>
      </w:r>
      <w:bookmarkEnd w:id="26"/>
      <w:r w:rsidR="00F43A28">
        <w:rPr>
          <w:rFonts w:eastAsia="Calibri"/>
          <w:b/>
          <w:bCs/>
          <w:i/>
          <w:szCs w:val="24"/>
        </w:rPr>
        <w:t>Interviews</w:t>
      </w:r>
      <w:r w:rsidR="004C5873">
        <w:rPr>
          <w:rFonts w:eastAsia="Calibri"/>
          <w:b/>
          <w:bCs/>
          <w:i/>
          <w:szCs w:val="24"/>
        </w:rPr>
        <w:t xml:space="preserve">. </w:t>
      </w:r>
      <w:r w:rsidR="001A3A4F" w:rsidRPr="00DD73A1">
        <w:rPr>
          <w:szCs w:val="24"/>
        </w:rPr>
        <w:t>The burden estimates for this study are developed based on feedback from participants in th</w:t>
      </w:r>
      <w:r w:rsidR="00196597">
        <w:rPr>
          <w:szCs w:val="24"/>
        </w:rPr>
        <w:t>e</w:t>
      </w:r>
      <w:r w:rsidR="004C5873">
        <w:rPr>
          <w:szCs w:val="24"/>
        </w:rPr>
        <w:t xml:space="preserve"> pre</w:t>
      </w:r>
      <w:r w:rsidR="001A3A4F" w:rsidRPr="00DD73A1">
        <w:rPr>
          <w:szCs w:val="24"/>
        </w:rPr>
        <w:t>test</w:t>
      </w:r>
      <w:r w:rsidR="004C5873">
        <w:rPr>
          <w:szCs w:val="24"/>
        </w:rPr>
        <w:t xml:space="preserve"> and cognitive interviews</w:t>
      </w:r>
      <w:r w:rsidR="001A3A4F" w:rsidRPr="00DD73A1">
        <w:rPr>
          <w:szCs w:val="24"/>
        </w:rPr>
        <w:t>.</w:t>
      </w:r>
      <w:r w:rsidR="00857E34" w:rsidRPr="00DD73A1">
        <w:rPr>
          <w:szCs w:val="24"/>
        </w:rPr>
        <w:t xml:space="preserve"> </w:t>
      </w:r>
      <w:r w:rsidR="005F0346" w:rsidRPr="00DD73A1">
        <w:rPr>
          <w:rFonts w:eastAsia="Calibri"/>
          <w:bCs/>
          <w:szCs w:val="24"/>
        </w:rPr>
        <w:t>E</w:t>
      </w:r>
      <w:r w:rsidR="00AC7C0D" w:rsidRPr="00DD73A1">
        <w:rPr>
          <w:rFonts w:eastAsia="Calibri"/>
          <w:bCs/>
          <w:szCs w:val="24"/>
        </w:rPr>
        <w:t xml:space="preserve">ach </w:t>
      </w:r>
      <w:r w:rsidR="005F0346" w:rsidRPr="00DD73A1">
        <w:rPr>
          <w:rFonts w:eastAsia="Calibri"/>
          <w:bCs/>
          <w:szCs w:val="24"/>
        </w:rPr>
        <w:t xml:space="preserve">interview </w:t>
      </w:r>
      <w:r w:rsidR="00AC7C0D" w:rsidRPr="00DD73A1">
        <w:rPr>
          <w:rFonts w:eastAsia="Calibri"/>
          <w:bCs/>
          <w:szCs w:val="24"/>
        </w:rPr>
        <w:t>last</w:t>
      </w:r>
      <w:r w:rsidR="005F0346" w:rsidRPr="00DD73A1">
        <w:rPr>
          <w:rFonts w:eastAsia="Calibri"/>
          <w:bCs/>
          <w:szCs w:val="24"/>
        </w:rPr>
        <w:t>ed</w:t>
      </w:r>
      <w:r w:rsidR="00AC7C0D" w:rsidRPr="00DD73A1">
        <w:rPr>
          <w:rFonts w:eastAsia="Calibri"/>
          <w:bCs/>
          <w:szCs w:val="24"/>
        </w:rPr>
        <w:t xml:space="preserve"> 30–60 minutes</w:t>
      </w:r>
      <w:r w:rsidR="00503F03" w:rsidRPr="00DD73A1">
        <w:rPr>
          <w:rFonts w:eastAsia="Calibri"/>
          <w:bCs/>
          <w:szCs w:val="24"/>
        </w:rPr>
        <w:t xml:space="preserve"> for the </w:t>
      </w:r>
      <w:r>
        <w:rPr>
          <w:rFonts w:eastAsia="Calibri"/>
          <w:bCs/>
          <w:szCs w:val="24"/>
        </w:rPr>
        <w:t>pretest</w:t>
      </w:r>
      <w:r w:rsidR="00503F03" w:rsidRPr="00DD73A1">
        <w:rPr>
          <w:rFonts w:eastAsia="Calibri"/>
          <w:bCs/>
          <w:szCs w:val="24"/>
        </w:rPr>
        <w:t xml:space="preserve"> with the retailers and 60</w:t>
      </w:r>
      <w:r w:rsidR="00F76DA3" w:rsidRPr="00DD73A1">
        <w:rPr>
          <w:rFonts w:eastAsia="Calibri"/>
          <w:bCs/>
          <w:szCs w:val="24"/>
        </w:rPr>
        <w:t>–</w:t>
      </w:r>
      <w:r w:rsidR="00503F03" w:rsidRPr="00DD73A1">
        <w:rPr>
          <w:rFonts w:eastAsia="Calibri"/>
          <w:bCs/>
          <w:szCs w:val="24"/>
        </w:rPr>
        <w:t xml:space="preserve">90 minutes for the </w:t>
      </w:r>
      <w:r>
        <w:rPr>
          <w:rFonts w:eastAsia="Calibri"/>
          <w:bCs/>
          <w:szCs w:val="24"/>
        </w:rPr>
        <w:t>pretest</w:t>
      </w:r>
      <w:r w:rsidR="00503F03" w:rsidRPr="00DD73A1">
        <w:rPr>
          <w:rFonts w:eastAsia="Calibri"/>
          <w:bCs/>
          <w:szCs w:val="24"/>
        </w:rPr>
        <w:t xml:space="preserve"> with the EBT vendors</w:t>
      </w:r>
      <w:r w:rsidR="00AC7C0D" w:rsidRPr="00DD73A1">
        <w:rPr>
          <w:rFonts w:eastAsia="Calibri"/>
          <w:bCs/>
          <w:szCs w:val="24"/>
        </w:rPr>
        <w:t xml:space="preserve">. </w:t>
      </w:r>
      <w:r w:rsidR="00503F03" w:rsidRPr="00DD73A1">
        <w:rPr>
          <w:rFonts w:eastAsia="Calibri"/>
          <w:bCs/>
          <w:szCs w:val="24"/>
        </w:rPr>
        <w:t>During the interviews, the researchers</w:t>
      </w:r>
      <w:r w:rsidR="00AC7C0D" w:rsidRPr="00DD73A1">
        <w:rPr>
          <w:rFonts w:eastAsia="Calibri"/>
          <w:bCs/>
          <w:szCs w:val="24"/>
        </w:rPr>
        <w:t xml:space="preserve"> </w:t>
      </w:r>
      <w:r w:rsidR="005F0346" w:rsidRPr="00DD73A1">
        <w:rPr>
          <w:rFonts w:eastAsia="Calibri"/>
          <w:bCs/>
          <w:szCs w:val="24"/>
        </w:rPr>
        <w:t>used a semi-</w:t>
      </w:r>
      <w:r w:rsidR="009A122F" w:rsidRPr="00DD73A1">
        <w:rPr>
          <w:rFonts w:eastAsia="Calibri"/>
          <w:bCs/>
          <w:szCs w:val="24"/>
        </w:rPr>
        <w:t xml:space="preserve">structured </w:t>
      </w:r>
      <w:r w:rsidR="005F0346" w:rsidRPr="00DD73A1">
        <w:rPr>
          <w:rFonts w:eastAsia="Calibri"/>
          <w:bCs/>
          <w:szCs w:val="24"/>
        </w:rPr>
        <w:t>interview protocol and took</w:t>
      </w:r>
      <w:r w:rsidR="00AC7C0D" w:rsidRPr="00DD73A1">
        <w:rPr>
          <w:rFonts w:eastAsia="Calibri"/>
          <w:bCs/>
          <w:szCs w:val="24"/>
        </w:rPr>
        <w:t xml:space="preserve"> notes </w:t>
      </w:r>
      <w:r w:rsidR="005F0346" w:rsidRPr="00DD73A1">
        <w:rPr>
          <w:rFonts w:eastAsia="Calibri"/>
          <w:bCs/>
          <w:szCs w:val="24"/>
        </w:rPr>
        <w:t>o</w:t>
      </w:r>
      <w:r w:rsidR="00642D1E" w:rsidRPr="00DD73A1">
        <w:rPr>
          <w:rFonts w:eastAsia="Calibri"/>
          <w:bCs/>
          <w:szCs w:val="24"/>
        </w:rPr>
        <w:t>n</w:t>
      </w:r>
      <w:r w:rsidR="005F0346" w:rsidRPr="00DD73A1">
        <w:rPr>
          <w:rFonts w:eastAsia="Calibri"/>
          <w:bCs/>
          <w:szCs w:val="24"/>
        </w:rPr>
        <w:t xml:space="preserve"> participants’ res</w:t>
      </w:r>
      <w:r w:rsidR="00503F03" w:rsidRPr="00DD73A1">
        <w:rPr>
          <w:rFonts w:eastAsia="Calibri"/>
          <w:bCs/>
          <w:szCs w:val="24"/>
        </w:rPr>
        <w:t xml:space="preserve">ponses. </w:t>
      </w:r>
    </w:p>
    <w:p w14:paraId="024A84E6" w14:textId="0B299A72" w:rsidR="00F43A28" w:rsidRDefault="00503F03" w:rsidP="009A1759">
      <w:pPr>
        <w:spacing w:after="120" w:line="480" w:lineRule="auto"/>
        <w:ind w:firstLine="720"/>
        <w:jc w:val="both"/>
        <w:rPr>
          <w:rFonts w:eastAsia="Calibri"/>
          <w:bCs/>
          <w:szCs w:val="24"/>
        </w:rPr>
      </w:pPr>
      <w:r w:rsidRPr="00DD73A1">
        <w:rPr>
          <w:rFonts w:eastAsia="Calibri"/>
          <w:bCs/>
          <w:szCs w:val="24"/>
        </w:rPr>
        <w:t>After the interviews, the researchers</w:t>
      </w:r>
      <w:r w:rsidR="005F0346" w:rsidRPr="00DD73A1">
        <w:rPr>
          <w:rFonts w:eastAsia="Calibri"/>
          <w:bCs/>
          <w:szCs w:val="24"/>
        </w:rPr>
        <w:t xml:space="preserve"> </w:t>
      </w:r>
      <w:r w:rsidR="00AC7C0D" w:rsidRPr="00DD73A1">
        <w:rPr>
          <w:rFonts w:eastAsia="Calibri"/>
          <w:bCs/>
          <w:szCs w:val="24"/>
        </w:rPr>
        <w:t>synthesize</w:t>
      </w:r>
      <w:r w:rsidR="005F0346" w:rsidRPr="00DD73A1">
        <w:rPr>
          <w:rFonts w:eastAsia="Calibri"/>
          <w:bCs/>
          <w:szCs w:val="24"/>
        </w:rPr>
        <w:t>d</w:t>
      </w:r>
      <w:r w:rsidR="00AC7C0D" w:rsidRPr="00DD73A1">
        <w:rPr>
          <w:rFonts w:eastAsia="Calibri"/>
          <w:bCs/>
          <w:szCs w:val="24"/>
        </w:rPr>
        <w:t xml:space="preserve"> feedback from interviewees </w:t>
      </w:r>
      <w:r w:rsidR="005F0346" w:rsidRPr="00DD73A1">
        <w:rPr>
          <w:rFonts w:eastAsia="Calibri"/>
          <w:bCs/>
          <w:szCs w:val="24"/>
        </w:rPr>
        <w:t xml:space="preserve">and conducted a thematic analysis of the responses </w:t>
      </w:r>
      <w:r w:rsidR="00AC7C0D" w:rsidRPr="00DD73A1">
        <w:rPr>
          <w:rFonts w:eastAsia="Calibri"/>
          <w:bCs/>
          <w:szCs w:val="24"/>
        </w:rPr>
        <w:t xml:space="preserve">to identify areas for improvement or clarification. </w:t>
      </w:r>
      <w:bookmarkStart w:id="27" w:name="_Toc416896809"/>
      <w:r w:rsidR="00F43A28">
        <w:rPr>
          <w:rFonts w:eastAsia="Calibri"/>
          <w:bCs/>
          <w:szCs w:val="24"/>
        </w:rPr>
        <w:t xml:space="preserve">The </w:t>
      </w:r>
      <w:r w:rsidR="00282B55">
        <w:rPr>
          <w:rFonts w:eastAsia="Calibri"/>
          <w:bCs/>
          <w:szCs w:val="24"/>
        </w:rPr>
        <w:t>SNAP Retailer Survey</w:t>
      </w:r>
      <w:r w:rsidR="00385F3C">
        <w:rPr>
          <w:rFonts w:eastAsia="Calibri"/>
          <w:bCs/>
          <w:szCs w:val="24"/>
        </w:rPr>
        <w:t xml:space="preserve"> </w:t>
      </w:r>
      <w:r w:rsidR="00385F3C" w:rsidRPr="00385F3C">
        <w:rPr>
          <w:rFonts w:eastAsia="Calibri"/>
          <w:bCs/>
          <w:szCs w:val="24"/>
        </w:rPr>
        <w:t xml:space="preserve">(Appendix </w:t>
      </w:r>
      <w:r w:rsidR="00A22B67">
        <w:rPr>
          <w:rFonts w:eastAsia="Calibri"/>
          <w:bCs/>
          <w:szCs w:val="24"/>
        </w:rPr>
        <w:t xml:space="preserve">C, </w:t>
      </w:r>
      <w:r w:rsidR="0047581F">
        <w:rPr>
          <w:rFonts w:eastAsia="Calibri"/>
          <w:bCs/>
          <w:szCs w:val="24"/>
        </w:rPr>
        <w:t>I</w:t>
      </w:r>
      <w:r w:rsidR="00A22B67">
        <w:rPr>
          <w:rFonts w:eastAsia="Calibri"/>
          <w:bCs/>
          <w:szCs w:val="24"/>
        </w:rPr>
        <w:t>, J</w:t>
      </w:r>
      <w:r w:rsidR="0071727B">
        <w:rPr>
          <w:rFonts w:eastAsia="Calibri"/>
          <w:bCs/>
          <w:szCs w:val="24"/>
        </w:rPr>
        <w:t>)</w:t>
      </w:r>
      <w:r w:rsidR="00385F3C" w:rsidRPr="00385F3C">
        <w:rPr>
          <w:rFonts w:eastAsia="Calibri"/>
          <w:bCs/>
          <w:szCs w:val="24"/>
        </w:rPr>
        <w:t xml:space="preserve"> and </w:t>
      </w:r>
      <w:r w:rsidR="00282B55">
        <w:rPr>
          <w:rFonts w:eastAsia="Calibri"/>
          <w:bCs/>
          <w:szCs w:val="24"/>
        </w:rPr>
        <w:t>EBT Vendor Interview Guide</w:t>
      </w:r>
      <w:r w:rsidR="00F43A28" w:rsidRPr="00385F3C">
        <w:rPr>
          <w:rFonts w:eastAsia="Calibri"/>
          <w:bCs/>
          <w:szCs w:val="24"/>
        </w:rPr>
        <w:t xml:space="preserve"> (Appendix</w:t>
      </w:r>
      <w:r w:rsidR="003B43D0">
        <w:rPr>
          <w:rFonts w:eastAsia="Calibri"/>
          <w:bCs/>
          <w:szCs w:val="24"/>
        </w:rPr>
        <w:t xml:space="preserve"> </w:t>
      </w:r>
      <w:r w:rsidR="0047581F">
        <w:rPr>
          <w:rFonts w:eastAsia="Calibri"/>
          <w:bCs/>
          <w:szCs w:val="24"/>
        </w:rPr>
        <w:t>L</w:t>
      </w:r>
      <w:r w:rsidR="0071727B">
        <w:rPr>
          <w:rFonts w:eastAsia="Calibri"/>
          <w:bCs/>
          <w:szCs w:val="24"/>
        </w:rPr>
        <w:t>)</w:t>
      </w:r>
      <w:r w:rsidR="00385F3C" w:rsidRPr="00385F3C">
        <w:rPr>
          <w:rFonts w:eastAsia="Calibri"/>
          <w:bCs/>
          <w:szCs w:val="24"/>
        </w:rPr>
        <w:t xml:space="preserve"> </w:t>
      </w:r>
      <w:r w:rsidR="00F43A28" w:rsidRPr="00385F3C">
        <w:rPr>
          <w:rFonts w:eastAsia="Calibri"/>
          <w:bCs/>
          <w:szCs w:val="24"/>
        </w:rPr>
        <w:t>were revised</w:t>
      </w:r>
      <w:r w:rsidR="00F43A28">
        <w:rPr>
          <w:rFonts w:eastAsia="Calibri"/>
          <w:bCs/>
          <w:szCs w:val="24"/>
        </w:rPr>
        <w:t xml:space="preserve"> based on these recommendations. </w:t>
      </w:r>
    </w:p>
    <w:p w14:paraId="0C9A61F5" w14:textId="1A54F663" w:rsidR="0047581F" w:rsidRDefault="0047581F">
      <w:pPr>
        <w:widowControl/>
        <w:overflowPunct/>
        <w:autoSpaceDE/>
        <w:autoSpaceDN/>
        <w:adjustRightInd/>
        <w:textAlignment w:val="auto"/>
        <w:rPr>
          <w:b/>
        </w:rPr>
      </w:pPr>
      <w:bookmarkStart w:id="28" w:name="_Toc449548052"/>
      <w:bookmarkStart w:id="29" w:name="_Toc485894997"/>
      <w:bookmarkEnd w:id="27"/>
    </w:p>
    <w:p w14:paraId="7FD91164" w14:textId="0AC39792" w:rsidR="00CA5FD8" w:rsidRPr="0029750E" w:rsidRDefault="00196597" w:rsidP="009A1759">
      <w:pPr>
        <w:pStyle w:val="Heading1"/>
        <w:spacing w:after="120"/>
      </w:pPr>
      <w:bookmarkStart w:id="30" w:name="_Toc500403537"/>
      <w:bookmarkStart w:id="31" w:name="_Toc500403744"/>
      <w:r w:rsidRPr="00196597">
        <w:t>B5.  INDIVIDUALS CONSULTED ON STATISTICAL ASPECTS &amp; INDIVIDUALS COLLECTING AND/OR ANALYZING DATA</w:t>
      </w:r>
      <w:bookmarkEnd w:id="28"/>
      <w:bookmarkEnd w:id="29"/>
      <w:bookmarkEnd w:id="30"/>
      <w:bookmarkEnd w:id="31"/>
    </w:p>
    <w:p w14:paraId="6C1FA121" w14:textId="1807F675" w:rsidR="00CA5FD8" w:rsidRPr="0029750E" w:rsidRDefault="00CA5FD8" w:rsidP="009A1759">
      <w:pPr>
        <w:spacing w:after="240"/>
        <w:rPr>
          <w:b/>
        </w:rPr>
      </w:pPr>
      <w:r w:rsidRPr="0029750E">
        <w:rPr>
          <w:b/>
        </w:rPr>
        <w:t>Provide the name and telephone number of individuals consulted on statistical aspects of the design and the name of the agency unit, contractor(s), grantee(s), or other person(s) who will actually</w:t>
      </w:r>
      <w:r w:rsidR="0027025C">
        <w:rPr>
          <w:b/>
        </w:rPr>
        <w:t xml:space="preserve"> </w:t>
      </w:r>
      <w:r w:rsidRPr="0029750E">
        <w:rPr>
          <w:b/>
        </w:rPr>
        <w:t>collect and/or analyze the information for the agency.</w:t>
      </w:r>
    </w:p>
    <w:p w14:paraId="7771258B" w14:textId="3FC7265B" w:rsidR="00940650" w:rsidRPr="00B7769F" w:rsidRDefault="00196597" w:rsidP="0029750E">
      <w:pPr>
        <w:spacing w:line="480" w:lineRule="auto"/>
        <w:ind w:firstLine="720"/>
        <w:jc w:val="both"/>
        <w:rPr>
          <w:rFonts w:eastAsia="Calibri"/>
          <w:bCs/>
          <w:szCs w:val="24"/>
        </w:rPr>
      </w:pPr>
      <w:r>
        <w:rPr>
          <w:szCs w:val="24"/>
        </w:rPr>
        <w:t>The fo</w:t>
      </w:r>
      <w:r w:rsidR="00522CAB">
        <w:rPr>
          <w:szCs w:val="24"/>
        </w:rPr>
        <w:t xml:space="preserve">llowing </w:t>
      </w:r>
      <w:r>
        <w:rPr>
          <w:szCs w:val="24"/>
        </w:rPr>
        <w:t>contrac</w:t>
      </w:r>
      <w:r w:rsidR="00522CAB">
        <w:rPr>
          <w:szCs w:val="24"/>
        </w:rPr>
        <w:t>tor staff</w:t>
      </w:r>
      <w:r>
        <w:rPr>
          <w:szCs w:val="24"/>
        </w:rPr>
        <w:t xml:space="preserve"> designed the study and/or will collect and analyze information for </w:t>
      </w:r>
      <w:r w:rsidR="00522CAB">
        <w:rPr>
          <w:szCs w:val="24"/>
        </w:rPr>
        <w:t>the Food and Nutrition Service:</w:t>
      </w:r>
    </w:p>
    <w:p w14:paraId="4ABA3CA2" w14:textId="77777777" w:rsidR="00940650" w:rsidRPr="000D1D6D" w:rsidRDefault="00940650" w:rsidP="000D1D6D">
      <w:pPr>
        <w:spacing w:line="276" w:lineRule="auto"/>
        <w:ind w:firstLine="1080"/>
        <w:jc w:val="both"/>
        <w:rPr>
          <w:rFonts w:eastAsia="Calibri"/>
          <w:bCs/>
          <w:szCs w:val="24"/>
        </w:rPr>
      </w:pPr>
      <w:r w:rsidRPr="000D1D6D">
        <w:rPr>
          <w:rFonts w:eastAsia="Calibri"/>
          <w:bCs/>
          <w:szCs w:val="24"/>
        </w:rPr>
        <w:t>Dan</w:t>
      </w:r>
      <w:r w:rsidR="00EC2E68" w:rsidRPr="000D1D6D">
        <w:rPr>
          <w:rFonts w:eastAsia="Calibri"/>
          <w:bCs/>
          <w:szCs w:val="24"/>
        </w:rPr>
        <w:t>iel</w:t>
      </w:r>
      <w:r w:rsidRPr="000D1D6D">
        <w:rPr>
          <w:rFonts w:eastAsia="Calibri"/>
          <w:bCs/>
          <w:szCs w:val="24"/>
        </w:rPr>
        <w:t xml:space="preserve"> Geller, Ph.D., Director of Evaluation Services, Manhattan Strategy Group </w:t>
      </w:r>
    </w:p>
    <w:p w14:paraId="65B4E57F" w14:textId="77777777" w:rsidR="00940650" w:rsidRPr="000D1D6D" w:rsidRDefault="00940650" w:rsidP="000D1D6D">
      <w:pPr>
        <w:spacing w:line="276" w:lineRule="auto"/>
        <w:ind w:firstLine="1080"/>
        <w:jc w:val="both"/>
        <w:rPr>
          <w:rFonts w:eastAsia="Calibri"/>
          <w:bCs/>
          <w:szCs w:val="24"/>
        </w:rPr>
      </w:pPr>
      <w:r w:rsidRPr="000D1D6D">
        <w:rPr>
          <w:rFonts w:eastAsia="Calibri"/>
          <w:bCs/>
          <w:szCs w:val="24"/>
        </w:rPr>
        <w:t xml:space="preserve">Email: </w:t>
      </w:r>
      <w:hyperlink r:id="rId27" w:history="1">
        <w:r w:rsidRPr="000D1D6D">
          <w:rPr>
            <w:rFonts w:eastAsia="Calibri"/>
            <w:bCs/>
            <w:szCs w:val="24"/>
          </w:rPr>
          <w:t>dgeller@manhattanstrategy.com</w:t>
        </w:r>
      </w:hyperlink>
    </w:p>
    <w:p w14:paraId="67D52063" w14:textId="77777777" w:rsidR="00940650" w:rsidRPr="000D1D6D" w:rsidRDefault="00940650" w:rsidP="000D1D6D">
      <w:pPr>
        <w:spacing w:line="276" w:lineRule="auto"/>
        <w:ind w:firstLine="1080"/>
        <w:jc w:val="both"/>
        <w:rPr>
          <w:rFonts w:eastAsia="Calibri"/>
          <w:bCs/>
          <w:szCs w:val="24"/>
        </w:rPr>
      </w:pPr>
      <w:r w:rsidRPr="000D1D6D">
        <w:rPr>
          <w:rFonts w:eastAsia="Calibri"/>
          <w:bCs/>
          <w:szCs w:val="24"/>
        </w:rPr>
        <w:t>Office: 301-828-1348</w:t>
      </w:r>
    </w:p>
    <w:p w14:paraId="76485B57" w14:textId="77777777" w:rsidR="006B56A9" w:rsidRPr="000D1D6D" w:rsidRDefault="006B56A9" w:rsidP="000D1D6D">
      <w:pPr>
        <w:spacing w:line="276" w:lineRule="auto"/>
        <w:ind w:firstLine="1080"/>
        <w:jc w:val="both"/>
        <w:rPr>
          <w:rFonts w:eastAsia="Calibri"/>
          <w:bCs/>
          <w:szCs w:val="24"/>
        </w:rPr>
      </w:pPr>
    </w:p>
    <w:p w14:paraId="50E50F97" w14:textId="4D72798D" w:rsidR="001A3A4F" w:rsidRPr="000D1D6D" w:rsidRDefault="001A3A4F" w:rsidP="000D1D6D">
      <w:pPr>
        <w:spacing w:line="276" w:lineRule="auto"/>
        <w:ind w:firstLine="1080"/>
        <w:jc w:val="both"/>
        <w:rPr>
          <w:rFonts w:eastAsia="Calibri"/>
          <w:bCs/>
          <w:szCs w:val="24"/>
        </w:rPr>
      </w:pPr>
      <w:r w:rsidRPr="000D1D6D">
        <w:rPr>
          <w:rFonts w:eastAsia="Calibri"/>
          <w:bCs/>
          <w:szCs w:val="24"/>
        </w:rPr>
        <w:t>Shirley Eng</w:t>
      </w:r>
      <w:r w:rsidR="00B01CA2" w:rsidRPr="000D1D6D">
        <w:rPr>
          <w:rFonts w:eastAsia="Calibri"/>
          <w:bCs/>
          <w:szCs w:val="24"/>
        </w:rPr>
        <w:t xml:space="preserve">, </w:t>
      </w:r>
      <w:r w:rsidR="00CF50C4" w:rsidRPr="000D1D6D">
        <w:rPr>
          <w:rFonts w:eastAsia="Calibri"/>
          <w:bCs/>
          <w:szCs w:val="24"/>
        </w:rPr>
        <w:t xml:space="preserve">M.S., </w:t>
      </w:r>
      <w:r w:rsidR="00B01CA2" w:rsidRPr="000D1D6D">
        <w:rPr>
          <w:rFonts w:eastAsia="Calibri"/>
          <w:bCs/>
          <w:szCs w:val="24"/>
        </w:rPr>
        <w:t>Project Director</w:t>
      </w:r>
      <w:r w:rsidRPr="000D1D6D">
        <w:rPr>
          <w:rFonts w:eastAsia="Calibri"/>
          <w:bCs/>
          <w:szCs w:val="24"/>
        </w:rPr>
        <w:t xml:space="preserve">, Manhattan Strategy Group </w:t>
      </w:r>
    </w:p>
    <w:p w14:paraId="7E93FEC6" w14:textId="77777777" w:rsidR="001A3A4F" w:rsidRPr="000D1D6D" w:rsidRDefault="001A3A4F" w:rsidP="000D1D6D">
      <w:pPr>
        <w:spacing w:line="276" w:lineRule="auto"/>
        <w:ind w:firstLine="1080"/>
        <w:jc w:val="both"/>
        <w:rPr>
          <w:rFonts w:eastAsia="Calibri"/>
          <w:bCs/>
          <w:szCs w:val="24"/>
        </w:rPr>
      </w:pPr>
      <w:r w:rsidRPr="000D1D6D">
        <w:rPr>
          <w:rFonts w:eastAsia="Calibri"/>
          <w:bCs/>
          <w:szCs w:val="24"/>
        </w:rPr>
        <w:t xml:space="preserve">Email: </w:t>
      </w:r>
      <w:r w:rsidR="00DD73A1" w:rsidRPr="000D1D6D">
        <w:rPr>
          <w:rFonts w:eastAsia="Calibri"/>
          <w:bCs/>
          <w:szCs w:val="24"/>
        </w:rPr>
        <w:t>seng@manhattanstrategy.com</w:t>
      </w:r>
      <w:r w:rsidRPr="000D1D6D">
        <w:rPr>
          <w:rFonts w:eastAsia="Calibri"/>
          <w:bCs/>
          <w:szCs w:val="24"/>
        </w:rPr>
        <w:t xml:space="preserve"> </w:t>
      </w:r>
    </w:p>
    <w:p w14:paraId="0EA1F9DA" w14:textId="77777777" w:rsidR="001A3A4F" w:rsidRPr="000D1D6D" w:rsidRDefault="001A3A4F" w:rsidP="000D1D6D">
      <w:pPr>
        <w:spacing w:line="276" w:lineRule="auto"/>
        <w:ind w:firstLine="1080"/>
        <w:jc w:val="both"/>
        <w:rPr>
          <w:rFonts w:eastAsia="Calibri"/>
          <w:bCs/>
          <w:szCs w:val="24"/>
        </w:rPr>
      </w:pPr>
      <w:r w:rsidRPr="000D1D6D">
        <w:rPr>
          <w:rFonts w:eastAsia="Calibri"/>
          <w:bCs/>
          <w:szCs w:val="24"/>
        </w:rPr>
        <w:t>Office: 917-859-8968</w:t>
      </w:r>
    </w:p>
    <w:p w14:paraId="76FAE6DA" w14:textId="77777777" w:rsidR="00940650" w:rsidRPr="000D1D6D" w:rsidRDefault="00940650" w:rsidP="000D1D6D">
      <w:pPr>
        <w:spacing w:line="276" w:lineRule="auto"/>
        <w:ind w:firstLine="1080"/>
        <w:jc w:val="both"/>
        <w:rPr>
          <w:rFonts w:eastAsia="Calibri"/>
          <w:bCs/>
          <w:szCs w:val="24"/>
        </w:rPr>
      </w:pPr>
    </w:p>
    <w:p w14:paraId="12771E0D" w14:textId="027B40D2" w:rsidR="00940650" w:rsidRPr="000D1D6D" w:rsidRDefault="001A3A4F" w:rsidP="000D1D6D">
      <w:pPr>
        <w:spacing w:line="276" w:lineRule="auto"/>
        <w:ind w:firstLine="1080"/>
        <w:jc w:val="both"/>
        <w:rPr>
          <w:rFonts w:eastAsia="Calibri"/>
          <w:bCs/>
          <w:szCs w:val="24"/>
        </w:rPr>
      </w:pPr>
      <w:r w:rsidRPr="000D1D6D">
        <w:rPr>
          <w:rFonts w:eastAsia="Calibri"/>
          <w:bCs/>
          <w:szCs w:val="24"/>
        </w:rPr>
        <w:t>Marilia Mochel</w:t>
      </w:r>
      <w:r w:rsidR="00940650" w:rsidRPr="000D1D6D">
        <w:rPr>
          <w:rFonts w:eastAsia="Calibri"/>
          <w:bCs/>
          <w:szCs w:val="24"/>
        </w:rPr>
        <w:t xml:space="preserve">, </w:t>
      </w:r>
      <w:r w:rsidR="00CF50C4" w:rsidRPr="000D1D6D">
        <w:rPr>
          <w:rFonts w:eastAsia="Calibri"/>
          <w:bCs/>
          <w:szCs w:val="24"/>
        </w:rPr>
        <w:t>A.B.D.</w:t>
      </w:r>
      <w:r w:rsidR="00D6709F" w:rsidRPr="000D1D6D">
        <w:rPr>
          <w:rFonts w:eastAsia="Calibri"/>
          <w:bCs/>
          <w:szCs w:val="24"/>
        </w:rPr>
        <w:t xml:space="preserve">, </w:t>
      </w:r>
      <w:r w:rsidR="00940650" w:rsidRPr="000D1D6D">
        <w:rPr>
          <w:rFonts w:eastAsia="Calibri"/>
          <w:bCs/>
          <w:szCs w:val="24"/>
        </w:rPr>
        <w:t xml:space="preserve">Project Manager, Manhattan Strategy Group </w:t>
      </w:r>
    </w:p>
    <w:p w14:paraId="7EC89F14" w14:textId="77777777" w:rsidR="00940650" w:rsidRPr="000D1D6D" w:rsidRDefault="00940650" w:rsidP="000D1D6D">
      <w:pPr>
        <w:spacing w:line="276" w:lineRule="auto"/>
        <w:ind w:firstLine="1080"/>
        <w:jc w:val="both"/>
        <w:rPr>
          <w:rFonts w:eastAsia="Calibri"/>
          <w:bCs/>
          <w:szCs w:val="24"/>
        </w:rPr>
      </w:pPr>
      <w:r w:rsidRPr="000D1D6D">
        <w:rPr>
          <w:rFonts w:eastAsia="Calibri"/>
          <w:bCs/>
          <w:szCs w:val="24"/>
        </w:rPr>
        <w:t xml:space="preserve">Email: </w:t>
      </w:r>
      <w:r w:rsidR="00DD73A1" w:rsidRPr="000D1D6D">
        <w:rPr>
          <w:rFonts w:eastAsia="Calibri"/>
          <w:bCs/>
          <w:szCs w:val="24"/>
        </w:rPr>
        <w:t>mmochel@manhattanstrategy.com</w:t>
      </w:r>
      <w:r w:rsidRPr="000D1D6D">
        <w:rPr>
          <w:rFonts w:eastAsia="Calibri"/>
          <w:bCs/>
          <w:szCs w:val="24"/>
        </w:rPr>
        <w:t xml:space="preserve"> </w:t>
      </w:r>
    </w:p>
    <w:p w14:paraId="718BB19B" w14:textId="77777777" w:rsidR="00940650" w:rsidRDefault="001A3A4F" w:rsidP="000D1D6D">
      <w:pPr>
        <w:spacing w:line="276" w:lineRule="auto"/>
        <w:ind w:firstLine="1080"/>
        <w:jc w:val="both"/>
        <w:rPr>
          <w:rFonts w:eastAsia="Calibri"/>
          <w:bCs/>
          <w:szCs w:val="24"/>
        </w:rPr>
      </w:pPr>
      <w:r w:rsidRPr="000D1D6D">
        <w:rPr>
          <w:rFonts w:eastAsia="Calibri"/>
          <w:bCs/>
          <w:szCs w:val="24"/>
        </w:rPr>
        <w:t>Office: 301-828-</w:t>
      </w:r>
      <w:r w:rsidR="00996E32" w:rsidRPr="000D1D6D">
        <w:rPr>
          <w:rFonts w:eastAsia="Calibri"/>
          <w:bCs/>
          <w:szCs w:val="24"/>
        </w:rPr>
        <w:t>1512</w:t>
      </w:r>
    </w:p>
    <w:p w14:paraId="424DCE44" w14:textId="77777777" w:rsidR="00643FEE" w:rsidRDefault="00643FEE" w:rsidP="000D1D6D">
      <w:pPr>
        <w:spacing w:line="276" w:lineRule="auto"/>
        <w:ind w:firstLine="1080"/>
        <w:jc w:val="both"/>
        <w:rPr>
          <w:rFonts w:eastAsia="Calibri"/>
          <w:bCs/>
          <w:szCs w:val="24"/>
        </w:rPr>
      </w:pPr>
    </w:p>
    <w:p w14:paraId="578C4C12" w14:textId="77777777" w:rsidR="00C0158E" w:rsidRPr="00C0158E" w:rsidRDefault="00C0158E" w:rsidP="00C0158E">
      <w:pPr>
        <w:spacing w:line="276" w:lineRule="auto"/>
        <w:ind w:left="1080"/>
        <w:rPr>
          <w:color w:val="000000" w:themeColor="text1"/>
          <w:szCs w:val="24"/>
        </w:rPr>
      </w:pPr>
      <w:r w:rsidRPr="00C0158E">
        <w:rPr>
          <w:color w:val="000000" w:themeColor="text1"/>
          <w:szCs w:val="24"/>
        </w:rPr>
        <w:t>Alex Majchrowicz, Agricultural Economist Food Assistance, Economic Research Service</w:t>
      </w:r>
    </w:p>
    <w:p w14:paraId="3C4F2C20" w14:textId="25132991" w:rsidR="00C0158E" w:rsidRPr="00445508" w:rsidRDefault="00C0158E" w:rsidP="00C0158E">
      <w:pPr>
        <w:spacing w:line="276" w:lineRule="auto"/>
        <w:ind w:left="1080"/>
        <w:rPr>
          <w:color w:val="000000" w:themeColor="text1"/>
          <w:szCs w:val="24"/>
        </w:rPr>
      </w:pPr>
      <w:r w:rsidRPr="00445508">
        <w:rPr>
          <w:color w:val="000000" w:themeColor="text1"/>
          <w:szCs w:val="24"/>
        </w:rPr>
        <w:t xml:space="preserve">Email: </w:t>
      </w:r>
      <w:hyperlink r:id="rId28" w:history="1">
        <w:r w:rsidRPr="00C0158E">
          <w:rPr>
            <w:color w:val="000000" w:themeColor="text1"/>
          </w:rPr>
          <w:t>ALEXM@ers.usda.gov</w:t>
        </w:r>
      </w:hyperlink>
    </w:p>
    <w:p w14:paraId="445C9C72" w14:textId="77777777" w:rsidR="00C0158E" w:rsidRDefault="00C0158E" w:rsidP="00C0158E">
      <w:pPr>
        <w:spacing w:line="276" w:lineRule="auto"/>
        <w:ind w:left="1080"/>
        <w:rPr>
          <w:color w:val="000000" w:themeColor="text1"/>
          <w:szCs w:val="24"/>
        </w:rPr>
      </w:pPr>
      <w:r w:rsidRPr="00445508">
        <w:rPr>
          <w:color w:val="000000" w:themeColor="text1"/>
          <w:szCs w:val="24"/>
        </w:rPr>
        <w:t>Office: 202-694-5355</w:t>
      </w:r>
    </w:p>
    <w:p w14:paraId="2FEA8C92" w14:textId="77777777" w:rsidR="00C0158E" w:rsidRDefault="00C0158E" w:rsidP="00C0158E">
      <w:pPr>
        <w:spacing w:line="276" w:lineRule="auto"/>
        <w:ind w:firstLine="1080"/>
        <w:rPr>
          <w:color w:val="000000" w:themeColor="text1"/>
          <w:szCs w:val="24"/>
        </w:rPr>
      </w:pPr>
    </w:p>
    <w:p w14:paraId="541F77A2" w14:textId="77777777" w:rsidR="00C0158E" w:rsidRDefault="00C0158E" w:rsidP="00C0158E">
      <w:pPr>
        <w:spacing w:line="276" w:lineRule="auto"/>
        <w:ind w:left="1080"/>
        <w:rPr>
          <w:color w:val="000000" w:themeColor="text1"/>
          <w:szCs w:val="24"/>
        </w:rPr>
      </w:pPr>
      <w:r>
        <w:rPr>
          <w:color w:val="000000" w:themeColor="text1"/>
          <w:szCs w:val="24"/>
        </w:rPr>
        <w:t>Evan Schulz, Mathematical Statistician,</w:t>
      </w:r>
      <w:r w:rsidRPr="00A81246">
        <w:rPr>
          <w:color w:val="000000" w:themeColor="text1"/>
          <w:szCs w:val="24"/>
        </w:rPr>
        <w:t xml:space="preserve"> Department of Agriculture</w:t>
      </w:r>
      <w:r>
        <w:rPr>
          <w:color w:val="000000" w:themeColor="text1"/>
          <w:szCs w:val="24"/>
        </w:rPr>
        <w:t xml:space="preserve">, </w:t>
      </w:r>
      <w:r w:rsidRPr="00A81246">
        <w:rPr>
          <w:color w:val="000000" w:themeColor="text1"/>
          <w:szCs w:val="24"/>
        </w:rPr>
        <w:t>National Agricultural Statistics Service</w:t>
      </w:r>
    </w:p>
    <w:p w14:paraId="563D5D57" w14:textId="77777777" w:rsidR="00C0158E" w:rsidRDefault="00C0158E" w:rsidP="00C0158E">
      <w:pPr>
        <w:spacing w:line="276" w:lineRule="auto"/>
        <w:ind w:left="1080"/>
        <w:rPr>
          <w:color w:val="000000" w:themeColor="text1"/>
          <w:szCs w:val="24"/>
        </w:rPr>
      </w:pPr>
      <w:r>
        <w:rPr>
          <w:color w:val="000000" w:themeColor="text1"/>
          <w:szCs w:val="24"/>
        </w:rPr>
        <w:t>Email: evan.schulz@nass.usda.gov</w:t>
      </w:r>
    </w:p>
    <w:p w14:paraId="0B32A422" w14:textId="77777777" w:rsidR="00C0158E" w:rsidRPr="00445508" w:rsidRDefault="00C0158E" w:rsidP="00C0158E">
      <w:pPr>
        <w:spacing w:line="276" w:lineRule="auto"/>
        <w:ind w:left="1080"/>
        <w:rPr>
          <w:color w:val="000000" w:themeColor="text1"/>
          <w:szCs w:val="24"/>
        </w:rPr>
      </w:pPr>
      <w:r>
        <w:rPr>
          <w:color w:val="000000" w:themeColor="text1"/>
          <w:szCs w:val="24"/>
        </w:rPr>
        <w:t>Office: 202-690-8640</w:t>
      </w:r>
    </w:p>
    <w:p w14:paraId="17298484" w14:textId="0124FE8C" w:rsidR="006400B3" w:rsidRDefault="006400B3">
      <w:pPr>
        <w:widowControl/>
        <w:overflowPunct/>
        <w:autoSpaceDE/>
        <w:autoSpaceDN/>
        <w:adjustRightInd/>
        <w:textAlignment w:val="auto"/>
        <w:rPr>
          <w:rFonts w:eastAsia="Calibri"/>
          <w:bCs/>
          <w:color w:val="548DD4" w:themeColor="text2" w:themeTint="99"/>
          <w:szCs w:val="24"/>
        </w:rPr>
      </w:pPr>
    </w:p>
    <w:p w14:paraId="5287F012" w14:textId="7F6E4C84" w:rsidR="00522CAB" w:rsidRDefault="00522CAB" w:rsidP="00522CAB">
      <w:pPr>
        <w:suppressAutoHyphens/>
        <w:spacing w:line="480" w:lineRule="auto"/>
        <w:ind w:firstLine="720"/>
        <w:jc w:val="both"/>
        <w:rPr>
          <w:szCs w:val="24"/>
        </w:rPr>
      </w:pPr>
      <w:r>
        <w:rPr>
          <w:szCs w:val="24"/>
        </w:rPr>
        <w:t>The follo</w:t>
      </w:r>
      <w:r w:rsidR="000D1D6D">
        <w:rPr>
          <w:szCs w:val="24"/>
        </w:rPr>
        <w:t xml:space="preserve">wing FNS staff member </w:t>
      </w:r>
      <w:r w:rsidR="0009344F">
        <w:rPr>
          <w:szCs w:val="24"/>
        </w:rPr>
        <w:t>is</w:t>
      </w:r>
      <w:r>
        <w:rPr>
          <w:szCs w:val="24"/>
        </w:rPr>
        <w:t xml:space="preserve"> responsible for receiving and approving contract deliverables:</w:t>
      </w:r>
    </w:p>
    <w:p w14:paraId="17A46B07" w14:textId="77777777" w:rsidR="000D1D6D" w:rsidRDefault="000D1D6D" w:rsidP="000D1D6D">
      <w:pPr>
        <w:suppressAutoHyphens/>
        <w:spacing w:line="276" w:lineRule="auto"/>
        <w:ind w:left="1080"/>
        <w:rPr>
          <w:szCs w:val="24"/>
        </w:rPr>
      </w:pPr>
      <w:r>
        <w:rPr>
          <w:szCs w:val="24"/>
        </w:rPr>
        <w:t xml:space="preserve">Rosemarie Downer, </w:t>
      </w:r>
      <w:r w:rsidR="00196597">
        <w:rPr>
          <w:szCs w:val="24"/>
        </w:rPr>
        <w:t>Ph.D., Social Science Researcher, SNAP Research and Analysis Division, Office of Policy Support, Food and Nut</w:t>
      </w:r>
      <w:r>
        <w:rPr>
          <w:szCs w:val="24"/>
        </w:rPr>
        <w:t>rition Service</w:t>
      </w:r>
    </w:p>
    <w:p w14:paraId="34327ECE" w14:textId="076369EC" w:rsidR="00BB4657" w:rsidRDefault="000D1D6D" w:rsidP="000D1D6D">
      <w:pPr>
        <w:suppressAutoHyphens/>
        <w:spacing w:line="276" w:lineRule="auto"/>
        <w:ind w:left="1080"/>
        <w:rPr>
          <w:szCs w:val="24"/>
        </w:rPr>
      </w:pPr>
      <w:r>
        <w:rPr>
          <w:szCs w:val="24"/>
        </w:rPr>
        <w:t xml:space="preserve">Email: </w:t>
      </w:r>
      <w:r w:rsidRPr="000D1D6D">
        <w:rPr>
          <w:szCs w:val="24"/>
        </w:rPr>
        <w:t>Rosemarie.Downer@fns.usda.gov</w:t>
      </w:r>
    </w:p>
    <w:p w14:paraId="619600A1" w14:textId="3E436937" w:rsidR="000D1D6D" w:rsidRPr="000D1D6D" w:rsidRDefault="000D1D6D" w:rsidP="000D1D6D">
      <w:pPr>
        <w:suppressAutoHyphens/>
        <w:spacing w:line="276" w:lineRule="auto"/>
        <w:ind w:left="1080"/>
        <w:rPr>
          <w:rFonts w:eastAsia="Calibri"/>
          <w:bCs/>
          <w:szCs w:val="24"/>
        </w:rPr>
      </w:pPr>
      <w:r w:rsidRPr="000D1D6D">
        <w:rPr>
          <w:rFonts w:eastAsia="Calibri"/>
          <w:bCs/>
          <w:szCs w:val="24"/>
        </w:rPr>
        <w:t>Office: 703.305.2129</w:t>
      </w:r>
    </w:p>
    <w:p w14:paraId="394E34D7" w14:textId="54069CB3" w:rsidR="00196597" w:rsidRPr="00DE54C7" w:rsidRDefault="00196597" w:rsidP="00F84183">
      <w:pPr>
        <w:tabs>
          <w:tab w:val="left" w:pos="-720"/>
        </w:tabs>
        <w:suppressAutoHyphens/>
        <w:spacing w:line="480" w:lineRule="auto"/>
        <w:jc w:val="both"/>
        <w:rPr>
          <w:szCs w:val="24"/>
        </w:rPr>
      </w:pPr>
    </w:p>
    <w:sectPr w:rsidR="00196597" w:rsidRPr="00DE54C7" w:rsidSect="00BD776D">
      <w:footerReference w:type="default" r:id="rId29"/>
      <w:footerReference w:type="first" r:id="rId30"/>
      <w:endnotePr>
        <w:numFmt w:val="decimal"/>
      </w:endnotePr>
      <w:pgSz w:w="12240" w:h="15840"/>
      <w:pgMar w:top="1152" w:right="1440" w:bottom="1152"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8D80F" w14:textId="77777777" w:rsidR="00322D13" w:rsidRDefault="00322D13">
      <w:pPr>
        <w:spacing w:line="20" w:lineRule="exact"/>
      </w:pPr>
    </w:p>
    <w:p w14:paraId="3A65671B" w14:textId="77777777" w:rsidR="00322D13" w:rsidRDefault="00322D13"/>
  </w:endnote>
  <w:endnote w:type="continuationSeparator" w:id="0">
    <w:p w14:paraId="7F326187" w14:textId="77777777" w:rsidR="00322D13" w:rsidRDefault="00322D13">
      <w:r>
        <w:t xml:space="preserve"> </w:t>
      </w:r>
    </w:p>
    <w:p w14:paraId="4AD47FE3" w14:textId="77777777" w:rsidR="00322D13" w:rsidRDefault="00322D13"/>
  </w:endnote>
  <w:endnote w:type="continuationNotice" w:id="1">
    <w:p w14:paraId="557F8A0E" w14:textId="77777777" w:rsidR="00322D13" w:rsidRDefault="00322D13">
      <w:r>
        <w:t xml:space="preserve"> </w:t>
      </w:r>
    </w:p>
    <w:p w14:paraId="18E02B68" w14:textId="77777777" w:rsidR="00322D13" w:rsidRDefault="00322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125D2" w14:textId="78D0F219" w:rsidR="00687206" w:rsidRDefault="00687206">
    <w:pPr>
      <w:pStyle w:val="Footer"/>
      <w:pBdr>
        <w:top w:val="single" w:sz="4" w:space="1" w:color="D9D9D9" w:themeColor="background1" w:themeShade="D9"/>
      </w:pBdr>
      <w:jc w:val="right"/>
    </w:pPr>
  </w:p>
  <w:p w14:paraId="2849A843" w14:textId="0777ED8E" w:rsidR="00D50EF6" w:rsidRPr="000235C5" w:rsidRDefault="00D50EF6" w:rsidP="006F7DCC">
    <w:pPr>
      <w:tabs>
        <w:tab w:val="center" w:pos="4680"/>
        <w:tab w:val="right" w:pos="9360"/>
      </w:tabs>
      <w:rPr>
        <w:sz w:val="20"/>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82F54" w14:textId="41FA5B28" w:rsidR="00687206" w:rsidRDefault="00687206">
    <w:pPr>
      <w:pStyle w:val="Footer"/>
      <w:pBdr>
        <w:top w:val="single" w:sz="4" w:space="1" w:color="D9D9D9" w:themeColor="background1" w:themeShade="D9"/>
      </w:pBdr>
      <w:jc w:val="right"/>
    </w:pPr>
  </w:p>
  <w:p w14:paraId="54E29E1A" w14:textId="77777777" w:rsidR="00687206" w:rsidRDefault="006872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049397"/>
      <w:docPartObj>
        <w:docPartGallery w:val="Page Numbers (Bottom of Page)"/>
        <w:docPartUnique/>
      </w:docPartObj>
    </w:sdtPr>
    <w:sdtEndPr>
      <w:rPr>
        <w:color w:val="808080" w:themeColor="background1" w:themeShade="80"/>
        <w:spacing w:val="60"/>
      </w:rPr>
    </w:sdtEndPr>
    <w:sdtContent>
      <w:p w14:paraId="51091BDB" w14:textId="1547A615" w:rsidR="00687206" w:rsidRDefault="00687206">
        <w:pPr>
          <w:pStyle w:val="Footer"/>
          <w:pBdr>
            <w:top w:val="single" w:sz="4" w:space="1" w:color="D9D9D9" w:themeColor="background1" w:themeShade="D9"/>
          </w:pBdr>
          <w:jc w:val="right"/>
        </w:pPr>
        <w:r>
          <w:fldChar w:fldCharType="begin"/>
        </w:r>
        <w:r>
          <w:instrText xml:space="preserve"> PAGE   \* MERGEFORMAT </w:instrText>
        </w:r>
        <w:r>
          <w:fldChar w:fldCharType="separate"/>
        </w:r>
        <w:r w:rsidR="00E71927">
          <w:rPr>
            <w:noProof/>
          </w:rPr>
          <w:t>6</w:t>
        </w:r>
        <w:r>
          <w:rPr>
            <w:noProof/>
          </w:rPr>
          <w:fldChar w:fldCharType="end"/>
        </w:r>
        <w:r>
          <w:t xml:space="preserve"> | </w:t>
        </w:r>
        <w:r>
          <w:rPr>
            <w:color w:val="808080" w:themeColor="background1" w:themeShade="80"/>
            <w:spacing w:val="60"/>
          </w:rPr>
          <w:t>Page</w:t>
        </w:r>
      </w:p>
    </w:sdtContent>
  </w:sdt>
  <w:p w14:paraId="657E71DB" w14:textId="77777777" w:rsidR="00687206" w:rsidRPr="000235C5" w:rsidRDefault="00687206" w:rsidP="006F7DCC">
    <w:pPr>
      <w:tabs>
        <w:tab w:val="center" w:pos="4680"/>
        <w:tab w:val="right" w:pos="9360"/>
      </w:tabs>
      <w:rPr>
        <w:sz w:val="20"/>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8888"/>
      <w:docPartObj>
        <w:docPartGallery w:val="Page Numbers (Bottom of Page)"/>
        <w:docPartUnique/>
      </w:docPartObj>
    </w:sdtPr>
    <w:sdtEndPr>
      <w:rPr>
        <w:color w:val="808080" w:themeColor="background1" w:themeShade="80"/>
        <w:spacing w:val="60"/>
      </w:rPr>
    </w:sdtEndPr>
    <w:sdtContent>
      <w:p w14:paraId="344DBA95" w14:textId="0FD5B89A" w:rsidR="00687206" w:rsidRDefault="00687206">
        <w:pPr>
          <w:pStyle w:val="Footer"/>
          <w:pBdr>
            <w:top w:val="single" w:sz="4" w:space="1" w:color="D9D9D9" w:themeColor="background1" w:themeShade="D9"/>
          </w:pBdr>
          <w:jc w:val="right"/>
        </w:pPr>
        <w:r>
          <w:fldChar w:fldCharType="begin"/>
        </w:r>
        <w:r>
          <w:instrText xml:space="preserve"> PAGE   \* MERGEFORMAT </w:instrText>
        </w:r>
        <w:r>
          <w:fldChar w:fldCharType="separate"/>
        </w:r>
        <w:r w:rsidR="00F6724B">
          <w:rPr>
            <w:noProof/>
          </w:rPr>
          <w:t>1</w:t>
        </w:r>
        <w:r>
          <w:rPr>
            <w:noProof/>
          </w:rPr>
          <w:fldChar w:fldCharType="end"/>
        </w:r>
        <w:r>
          <w:t xml:space="preserve"> | </w:t>
        </w:r>
        <w:r>
          <w:rPr>
            <w:color w:val="808080" w:themeColor="background1" w:themeShade="80"/>
            <w:spacing w:val="60"/>
          </w:rPr>
          <w:t>Page</w:t>
        </w:r>
      </w:p>
    </w:sdtContent>
  </w:sdt>
  <w:p w14:paraId="24FBC271" w14:textId="77777777" w:rsidR="00687206" w:rsidRDefault="006872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D27DB" w14:textId="77777777" w:rsidR="00322D13" w:rsidRDefault="00322D13">
      <w:r>
        <w:separator/>
      </w:r>
    </w:p>
    <w:p w14:paraId="437EECF3" w14:textId="77777777" w:rsidR="00322D13" w:rsidRDefault="00322D13"/>
  </w:footnote>
  <w:footnote w:type="continuationSeparator" w:id="0">
    <w:p w14:paraId="1598B20D" w14:textId="77777777" w:rsidR="00322D13" w:rsidRDefault="00322D13">
      <w:r>
        <w:continuationSeparator/>
      </w:r>
    </w:p>
    <w:p w14:paraId="1DF368C7" w14:textId="77777777" w:rsidR="00322D13" w:rsidRDefault="00322D13"/>
  </w:footnote>
  <w:footnote w:id="1">
    <w:p w14:paraId="572905AB" w14:textId="77777777" w:rsidR="00D50EF6" w:rsidRPr="0060135E" w:rsidRDefault="00D50EF6" w:rsidP="0060135E">
      <w:pPr>
        <w:jc w:val="both"/>
        <w:rPr>
          <w:sz w:val="18"/>
          <w:szCs w:val="18"/>
        </w:rPr>
      </w:pPr>
      <w:r w:rsidRPr="0060135E">
        <w:rPr>
          <w:rStyle w:val="FootnoteReference"/>
          <w:sz w:val="18"/>
          <w:szCs w:val="18"/>
        </w:rPr>
        <w:footnoteRef/>
      </w:r>
      <w:r w:rsidRPr="0060135E">
        <w:rPr>
          <w:sz w:val="18"/>
          <w:szCs w:val="18"/>
        </w:rPr>
        <w:t xml:space="preserve"> Retailers that are not exempt from the 2014 Farm Bill mandate and must pay 100 percent for EBT equipment and services. These retailers include Convenience Stores (CS), Combination Grocery/Other (CO), Super Store, (SS), Supermarket (SM), Smaller Grocery Store (SG), Medium Grocery Store (MG), Large Grocery Store (LG), Meat/Poultry Specialty (ME), Bakery Specialty (BB), Seafood Specialty (SE), and Fruits/Vegetables Specialty (FV).</w:t>
      </w:r>
    </w:p>
  </w:footnote>
  <w:footnote w:id="2">
    <w:p w14:paraId="5BCB5706" w14:textId="7ADD52B6" w:rsidR="00D50EF6" w:rsidRPr="00A05445" w:rsidRDefault="00D50EF6" w:rsidP="0060135E">
      <w:pPr>
        <w:pStyle w:val="FootnoteText"/>
      </w:pPr>
      <w:r w:rsidRPr="0060135E">
        <w:rPr>
          <w:rStyle w:val="FootnoteReference"/>
          <w:sz w:val="18"/>
          <w:szCs w:val="18"/>
        </w:rPr>
        <w:footnoteRef/>
      </w:r>
      <w:r w:rsidRPr="0060135E">
        <w:t xml:space="preserve"> </w:t>
      </w:r>
      <w:r w:rsidRPr="0060135E">
        <w:rPr>
          <w:sz w:val="18"/>
          <w:szCs w:val="18"/>
        </w:rPr>
        <w:t>The number of SNAP-authorized retailers is provided by FNS.</w:t>
      </w:r>
    </w:p>
  </w:footnote>
  <w:footnote w:id="3">
    <w:p w14:paraId="22D65C38" w14:textId="77777777" w:rsidR="00D50EF6" w:rsidRPr="0060135E" w:rsidRDefault="00D50EF6" w:rsidP="000367D5">
      <w:pPr>
        <w:spacing w:line="276" w:lineRule="auto"/>
        <w:jc w:val="both"/>
        <w:rPr>
          <w:rFonts w:cstheme="minorHAnsi"/>
          <w:sz w:val="18"/>
          <w:szCs w:val="18"/>
        </w:rPr>
      </w:pPr>
      <w:r w:rsidRPr="0060135E">
        <w:rPr>
          <w:rStyle w:val="FootnoteReference"/>
          <w:sz w:val="18"/>
          <w:szCs w:val="18"/>
        </w:rPr>
        <w:footnoteRef/>
      </w:r>
      <w:r w:rsidRPr="0060135E">
        <w:rPr>
          <w:sz w:val="18"/>
          <w:szCs w:val="18"/>
        </w:rPr>
        <w:t xml:space="preserve"> Food Stamp Program Entity ID (FSP Entity ID) is a seven-digit number assigned to each retailer store location. For example, store XYZ has three locations. Each location has a unique FSP entity ID.</w:t>
      </w:r>
    </w:p>
  </w:footnote>
  <w:footnote w:id="4">
    <w:p w14:paraId="722492D2" w14:textId="77777777" w:rsidR="0027025C" w:rsidRPr="0060135E" w:rsidRDefault="0027025C" w:rsidP="0027025C">
      <w:pPr>
        <w:pStyle w:val="CommentText"/>
        <w:rPr>
          <w:sz w:val="18"/>
        </w:rPr>
      </w:pPr>
      <w:r w:rsidRPr="0060135E">
        <w:rPr>
          <w:rStyle w:val="FootnoteReference"/>
          <w:sz w:val="18"/>
          <w:szCs w:val="18"/>
        </w:rPr>
        <w:footnoteRef/>
      </w:r>
      <w:r w:rsidRPr="0060135E">
        <w:rPr>
          <w:sz w:val="18"/>
          <w:szCs w:val="18"/>
        </w:rPr>
        <w:t xml:space="preserve"> Snowball samples are traditionally seen as samples of convenience, where no statistical inference is possible (Goodman 1961; TenHouten 1992). In the last decade, researchers have shown that under certain conditions chain-referral sampling can be used for statistical inference with demonstrated success (Heckathorn 1997, Heckathorn 2002, Heckathorn and Jeffri 2001, Salganik and Heckathorn 2004, Heckathorn 2004, Salganik 2006, Volz and Heckathorn 2008, Heckathorn 2011). The research questions</w:t>
      </w:r>
      <w:r w:rsidRPr="00BD15AA">
        <w:t xml:space="preserve"> </w:t>
      </w:r>
      <w:r w:rsidRPr="0060135E">
        <w:rPr>
          <w:sz w:val="18"/>
        </w:rPr>
        <w:t>relying on information from the sample created using the chain-referral (snowball) do not require statistical inference regarding the prevalence of ISOs, which is gained from the national survey of SNAP retailers. While we will not be making statistical claims based on the interviews, SMEs consulted for this project anticipate that there are 50-60 organizations in the United States that provide processing services with TPPs. Our study expects to interview a similar total number of organizations which will provide a comprehensive view of the EBT services market available to retailers.</w:t>
      </w:r>
    </w:p>
    <w:p w14:paraId="002176E2" w14:textId="77777777" w:rsidR="0027025C" w:rsidRDefault="0027025C" w:rsidP="0027025C">
      <w:pPr>
        <w:pStyle w:val="CommentText"/>
      </w:pPr>
    </w:p>
  </w:footnote>
  <w:footnote w:id="5">
    <w:p w14:paraId="149C9E6C" w14:textId="77777777" w:rsidR="00D50EF6" w:rsidRPr="00E028E5" w:rsidRDefault="00D50EF6" w:rsidP="0057354F">
      <w:pPr>
        <w:ind w:left="144" w:hanging="144"/>
        <w:jc w:val="both"/>
        <w:rPr>
          <w:sz w:val="16"/>
        </w:rPr>
      </w:pPr>
      <w:r w:rsidRPr="00E028E5">
        <w:rPr>
          <w:sz w:val="18"/>
          <w:vertAlign w:val="superscript"/>
        </w:rPr>
        <w:footnoteRef/>
      </w:r>
      <w:r w:rsidRPr="00E028E5">
        <w:rPr>
          <w:sz w:val="18"/>
        </w:rPr>
        <w:t xml:space="preserve"> We considered adding a paper and pencil option as well. However, in our analysis, the relatively small gain in response using paper surveys does not justify the added costs of printing and processing returned surveys. </w:t>
      </w:r>
    </w:p>
  </w:footnote>
  <w:footnote w:id="6">
    <w:p w14:paraId="4D69F0B4" w14:textId="0BB23CBE" w:rsidR="00D50EF6" w:rsidRPr="0060135E" w:rsidRDefault="00D50EF6">
      <w:pPr>
        <w:pStyle w:val="FootnoteText"/>
        <w:rPr>
          <w:sz w:val="18"/>
          <w:szCs w:val="18"/>
        </w:rPr>
      </w:pPr>
      <w:r w:rsidRPr="0060135E">
        <w:rPr>
          <w:rStyle w:val="FootnoteReference"/>
          <w:sz w:val="18"/>
          <w:szCs w:val="18"/>
        </w:rPr>
        <w:footnoteRef/>
      </w:r>
      <w:r w:rsidRPr="0060135E">
        <w:rPr>
          <w:sz w:val="18"/>
          <w:szCs w:val="18"/>
        </w:rPr>
        <w:t xml:space="preserve"> </w:t>
      </w:r>
      <w:r w:rsidRPr="0060135E">
        <w:rPr>
          <w:bCs/>
          <w:sz w:val="18"/>
          <w:szCs w:val="18"/>
        </w:rPr>
        <w:t xml:space="preserve">The IVR system will record open-ended responses as voice messages. Voices messages </w:t>
      </w:r>
      <w:r w:rsidR="0066718D">
        <w:rPr>
          <w:bCs/>
          <w:sz w:val="18"/>
          <w:szCs w:val="18"/>
        </w:rPr>
        <w:t>will</w:t>
      </w:r>
      <w:r w:rsidRPr="0060135E">
        <w:rPr>
          <w:bCs/>
          <w:sz w:val="18"/>
          <w:szCs w:val="18"/>
        </w:rPr>
        <w:t xml:space="preserve"> be transcribed to text </w:t>
      </w:r>
      <w:r w:rsidR="0066718D">
        <w:rPr>
          <w:bCs/>
          <w:sz w:val="18"/>
          <w:szCs w:val="18"/>
        </w:rPr>
        <w:t>for analysis</w:t>
      </w:r>
      <w:r w:rsidRPr="0060135E">
        <w:rPr>
          <w:bCs/>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3FEE2" w14:textId="20644566" w:rsidR="00D50EF6" w:rsidRDefault="00D50EF6" w:rsidP="0050650F">
    <w:pPr>
      <w:pStyle w:val="Header"/>
      <w:jc w:val="right"/>
      <w:rPr>
        <w:sz w:val="20"/>
      </w:rPr>
    </w:pPr>
    <w:r w:rsidRPr="00542417">
      <w:rPr>
        <w:sz w:val="20"/>
      </w:rPr>
      <w:t>OMB ICR Supporting Statement- Part B</w:t>
    </w:r>
  </w:p>
  <w:p w14:paraId="41C723EF" w14:textId="737FF2C3" w:rsidR="00D50EF6" w:rsidRDefault="00D50EF6" w:rsidP="0018225A">
    <w:pPr>
      <w:pStyle w:val="Header"/>
      <w:rPr>
        <w:sz w:val="20"/>
      </w:rPr>
    </w:pPr>
  </w:p>
  <w:p w14:paraId="0E910CDE" w14:textId="77777777" w:rsidR="00D50EF6" w:rsidRDefault="00D50EF6" w:rsidP="0018225A">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1F4"/>
    <w:multiLevelType w:val="hybridMultilevel"/>
    <w:tmpl w:val="C09CA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FA7F42"/>
    <w:multiLevelType w:val="hybridMultilevel"/>
    <w:tmpl w:val="D25233F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E0D2816"/>
    <w:multiLevelType w:val="hybridMultilevel"/>
    <w:tmpl w:val="D668F8A6"/>
    <w:lvl w:ilvl="0" w:tplc="0409000B">
      <w:start w:val="1"/>
      <w:numFmt w:val="bullet"/>
      <w:lvlText w:val=""/>
      <w:lvlJc w:val="left"/>
      <w:pPr>
        <w:ind w:left="720" w:hanging="72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540328D"/>
    <w:multiLevelType w:val="hybridMultilevel"/>
    <w:tmpl w:val="03ECB6B2"/>
    <w:lvl w:ilvl="0" w:tplc="0409000F">
      <w:start w:val="1"/>
      <w:numFmt w:val="decimal"/>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2626384"/>
    <w:multiLevelType w:val="hybridMultilevel"/>
    <w:tmpl w:val="0C2E7F8C"/>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30301EB"/>
    <w:multiLevelType w:val="hybridMultilevel"/>
    <w:tmpl w:val="8918034A"/>
    <w:lvl w:ilvl="0" w:tplc="04090005">
      <w:start w:val="1"/>
      <w:numFmt w:val="bullet"/>
      <w:lvlText w:val=""/>
      <w:lvlJc w:val="left"/>
      <w:pPr>
        <w:ind w:left="720" w:hanging="360"/>
      </w:pPr>
      <w:rPr>
        <w:rFonts w:ascii="Wingdings" w:hAnsi="Wingding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1"/>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695E"/>
    <w:rsid w:val="000076A1"/>
    <w:rsid w:val="00007847"/>
    <w:rsid w:val="0000790A"/>
    <w:rsid w:val="00010DE3"/>
    <w:rsid w:val="00010DEC"/>
    <w:rsid w:val="000145E1"/>
    <w:rsid w:val="00014B4D"/>
    <w:rsid w:val="00015FCF"/>
    <w:rsid w:val="00020254"/>
    <w:rsid w:val="0002191B"/>
    <w:rsid w:val="000223C1"/>
    <w:rsid w:val="00022592"/>
    <w:rsid w:val="000234FF"/>
    <w:rsid w:val="000235C5"/>
    <w:rsid w:val="00023BFF"/>
    <w:rsid w:val="00023C07"/>
    <w:rsid w:val="00027233"/>
    <w:rsid w:val="00032621"/>
    <w:rsid w:val="000329F0"/>
    <w:rsid w:val="000367D5"/>
    <w:rsid w:val="000373C7"/>
    <w:rsid w:val="00040718"/>
    <w:rsid w:val="000417D2"/>
    <w:rsid w:val="000431A5"/>
    <w:rsid w:val="0004364B"/>
    <w:rsid w:val="000438E8"/>
    <w:rsid w:val="000447C0"/>
    <w:rsid w:val="0004539F"/>
    <w:rsid w:val="000460D4"/>
    <w:rsid w:val="000460EC"/>
    <w:rsid w:val="0004668E"/>
    <w:rsid w:val="00047338"/>
    <w:rsid w:val="0004751D"/>
    <w:rsid w:val="000507EA"/>
    <w:rsid w:val="00051C52"/>
    <w:rsid w:val="00052401"/>
    <w:rsid w:val="00052C5C"/>
    <w:rsid w:val="00053AB5"/>
    <w:rsid w:val="00054647"/>
    <w:rsid w:val="00054E5E"/>
    <w:rsid w:val="00056038"/>
    <w:rsid w:val="00056479"/>
    <w:rsid w:val="00060358"/>
    <w:rsid w:val="0006089A"/>
    <w:rsid w:val="000612BE"/>
    <w:rsid w:val="00061FC3"/>
    <w:rsid w:val="000621C5"/>
    <w:rsid w:val="00063761"/>
    <w:rsid w:val="00063800"/>
    <w:rsid w:val="0006449A"/>
    <w:rsid w:val="00064754"/>
    <w:rsid w:val="0006609B"/>
    <w:rsid w:val="0006778A"/>
    <w:rsid w:val="00070A9C"/>
    <w:rsid w:val="00071ACF"/>
    <w:rsid w:val="00071BB9"/>
    <w:rsid w:val="00072177"/>
    <w:rsid w:val="00072C97"/>
    <w:rsid w:val="000750F4"/>
    <w:rsid w:val="00075687"/>
    <w:rsid w:val="00075AFC"/>
    <w:rsid w:val="00076D3A"/>
    <w:rsid w:val="00080974"/>
    <w:rsid w:val="00080C3F"/>
    <w:rsid w:val="000812F7"/>
    <w:rsid w:val="000814FD"/>
    <w:rsid w:val="00082C56"/>
    <w:rsid w:val="000833A6"/>
    <w:rsid w:val="00084B36"/>
    <w:rsid w:val="00086831"/>
    <w:rsid w:val="00090155"/>
    <w:rsid w:val="00090C98"/>
    <w:rsid w:val="00091B0A"/>
    <w:rsid w:val="00093427"/>
    <w:rsid w:val="0009344F"/>
    <w:rsid w:val="0009567D"/>
    <w:rsid w:val="0009599F"/>
    <w:rsid w:val="00095C26"/>
    <w:rsid w:val="000A0DF7"/>
    <w:rsid w:val="000A28C4"/>
    <w:rsid w:val="000A34BE"/>
    <w:rsid w:val="000A3781"/>
    <w:rsid w:val="000A4F8D"/>
    <w:rsid w:val="000A7424"/>
    <w:rsid w:val="000B01C0"/>
    <w:rsid w:val="000B239D"/>
    <w:rsid w:val="000B26F3"/>
    <w:rsid w:val="000B2DE2"/>
    <w:rsid w:val="000B4BB2"/>
    <w:rsid w:val="000B50C9"/>
    <w:rsid w:val="000B60D2"/>
    <w:rsid w:val="000B692D"/>
    <w:rsid w:val="000B7836"/>
    <w:rsid w:val="000C0684"/>
    <w:rsid w:val="000C089B"/>
    <w:rsid w:val="000C10F7"/>
    <w:rsid w:val="000C55A2"/>
    <w:rsid w:val="000C5B0F"/>
    <w:rsid w:val="000C5E44"/>
    <w:rsid w:val="000D000E"/>
    <w:rsid w:val="000D0663"/>
    <w:rsid w:val="000D0C93"/>
    <w:rsid w:val="000D17F6"/>
    <w:rsid w:val="000D1D6D"/>
    <w:rsid w:val="000D279A"/>
    <w:rsid w:val="000D4853"/>
    <w:rsid w:val="000D5750"/>
    <w:rsid w:val="000D6419"/>
    <w:rsid w:val="000D724C"/>
    <w:rsid w:val="000E1466"/>
    <w:rsid w:val="000E1CA0"/>
    <w:rsid w:val="000E2634"/>
    <w:rsid w:val="000E2E6E"/>
    <w:rsid w:val="000E3CC6"/>
    <w:rsid w:val="000E4107"/>
    <w:rsid w:val="000E42B1"/>
    <w:rsid w:val="000E61B9"/>
    <w:rsid w:val="000E6CC9"/>
    <w:rsid w:val="000E7D6D"/>
    <w:rsid w:val="000F1BD4"/>
    <w:rsid w:val="000F24C8"/>
    <w:rsid w:val="000F2BAE"/>
    <w:rsid w:val="000F4E89"/>
    <w:rsid w:val="000F4EE7"/>
    <w:rsid w:val="000F64DB"/>
    <w:rsid w:val="00100F14"/>
    <w:rsid w:val="001052BD"/>
    <w:rsid w:val="00105D58"/>
    <w:rsid w:val="0010698D"/>
    <w:rsid w:val="00110773"/>
    <w:rsid w:val="00115E73"/>
    <w:rsid w:val="00116726"/>
    <w:rsid w:val="00116D13"/>
    <w:rsid w:val="001170E4"/>
    <w:rsid w:val="00117A58"/>
    <w:rsid w:val="0012082A"/>
    <w:rsid w:val="00120E7F"/>
    <w:rsid w:val="00121633"/>
    <w:rsid w:val="00121D24"/>
    <w:rsid w:val="00122007"/>
    <w:rsid w:val="0012249E"/>
    <w:rsid w:val="00123EC3"/>
    <w:rsid w:val="0012531F"/>
    <w:rsid w:val="001259EF"/>
    <w:rsid w:val="00127364"/>
    <w:rsid w:val="00130FB4"/>
    <w:rsid w:val="00132EF8"/>
    <w:rsid w:val="00132F0C"/>
    <w:rsid w:val="0013306C"/>
    <w:rsid w:val="001334EF"/>
    <w:rsid w:val="00134593"/>
    <w:rsid w:val="0013469F"/>
    <w:rsid w:val="001363FB"/>
    <w:rsid w:val="00143411"/>
    <w:rsid w:val="0014383A"/>
    <w:rsid w:val="00143852"/>
    <w:rsid w:val="001441AF"/>
    <w:rsid w:val="00144E45"/>
    <w:rsid w:val="00145FCB"/>
    <w:rsid w:val="0015139F"/>
    <w:rsid w:val="00151DF5"/>
    <w:rsid w:val="00154C0B"/>
    <w:rsid w:val="00154D85"/>
    <w:rsid w:val="00156839"/>
    <w:rsid w:val="00157282"/>
    <w:rsid w:val="00160DAC"/>
    <w:rsid w:val="001613F6"/>
    <w:rsid w:val="00166501"/>
    <w:rsid w:val="00167686"/>
    <w:rsid w:val="001707E2"/>
    <w:rsid w:val="00171619"/>
    <w:rsid w:val="00172B17"/>
    <w:rsid w:val="0017348C"/>
    <w:rsid w:val="00180150"/>
    <w:rsid w:val="0018225A"/>
    <w:rsid w:val="00182728"/>
    <w:rsid w:val="001829D2"/>
    <w:rsid w:val="0018306B"/>
    <w:rsid w:val="001834A9"/>
    <w:rsid w:val="00184367"/>
    <w:rsid w:val="0018456B"/>
    <w:rsid w:val="00185270"/>
    <w:rsid w:val="00186EF2"/>
    <w:rsid w:val="0018740F"/>
    <w:rsid w:val="001875F5"/>
    <w:rsid w:val="001912C2"/>
    <w:rsid w:val="0019238A"/>
    <w:rsid w:val="0019641D"/>
    <w:rsid w:val="001964E8"/>
    <w:rsid w:val="00196597"/>
    <w:rsid w:val="001A01C9"/>
    <w:rsid w:val="001A07F3"/>
    <w:rsid w:val="001A1B5C"/>
    <w:rsid w:val="001A2028"/>
    <w:rsid w:val="001A3A4F"/>
    <w:rsid w:val="001A63AF"/>
    <w:rsid w:val="001B1E25"/>
    <w:rsid w:val="001B3D92"/>
    <w:rsid w:val="001B7724"/>
    <w:rsid w:val="001B7841"/>
    <w:rsid w:val="001B7A79"/>
    <w:rsid w:val="001C03EE"/>
    <w:rsid w:val="001C15C7"/>
    <w:rsid w:val="001C256E"/>
    <w:rsid w:val="001C3A4C"/>
    <w:rsid w:val="001C4C39"/>
    <w:rsid w:val="001C5090"/>
    <w:rsid w:val="001C5266"/>
    <w:rsid w:val="001C53C2"/>
    <w:rsid w:val="001C6CBE"/>
    <w:rsid w:val="001C6F19"/>
    <w:rsid w:val="001C70AF"/>
    <w:rsid w:val="001C7DC9"/>
    <w:rsid w:val="001D0362"/>
    <w:rsid w:val="001D1F6E"/>
    <w:rsid w:val="001D2F45"/>
    <w:rsid w:val="001D343E"/>
    <w:rsid w:val="001D4B9D"/>
    <w:rsid w:val="001D4FB0"/>
    <w:rsid w:val="001E12BD"/>
    <w:rsid w:val="001E22E9"/>
    <w:rsid w:val="001E368D"/>
    <w:rsid w:val="001E5E66"/>
    <w:rsid w:val="001E667C"/>
    <w:rsid w:val="001F02FA"/>
    <w:rsid w:val="001F054A"/>
    <w:rsid w:val="001F549E"/>
    <w:rsid w:val="001F6E7B"/>
    <w:rsid w:val="001F6E85"/>
    <w:rsid w:val="001F73D9"/>
    <w:rsid w:val="00201068"/>
    <w:rsid w:val="00201287"/>
    <w:rsid w:val="002030C6"/>
    <w:rsid w:val="00204E6E"/>
    <w:rsid w:val="00205B44"/>
    <w:rsid w:val="002062CF"/>
    <w:rsid w:val="00207430"/>
    <w:rsid w:val="002075EB"/>
    <w:rsid w:val="0020764F"/>
    <w:rsid w:val="00207D7E"/>
    <w:rsid w:val="00210501"/>
    <w:rsid w:val="00210D68"/>
    <w:rsid w:val="00210FA8"/>
    <w:rsid w:val="00212905"/>
    <w:rsid w:val="00213436"/>
    <w:rsid w:val="00215CC6"/>
    <w:rsid w:val="0022220B"/>
    <w:rsid w:val="00222EDC"/>
    <w:rsid w:val="0022443A"/>
    <w:rsid w:val="002251B2"/>
    <w:rsid w:val="00231C61"/>
    <w:rsid w:val="002334FE"/>
    <w:rsid w:val="00235EB3"/>
    <w:rsid w:val="002370B7"/>
    <w:rsid w:val="00241834"/>
    <w:rsid w:val="0024290A"/>
    <w:rsid w:val="00245150"/>
    <w:rsid w:val="00245AD8"/>
    <w:rsid w:val="00245CF0"/>
    <w:rsid w:val="00246457"/>
    <w:rsid w:val="002468EE"/>
    <w:rsid w:val="00250CEF"/>
    <w:rsid w:val="00250F4E"/>
    <w:rsid w:val="0025240B"/>
    <w:rsid w:val="00252CF2"/>
    <w:rsid w:val="00252E09"/>
    <w:rsid w:val="00253ECC"/>
    <w:rsid w:val="00255137"/>
    <w:rsid w:val="0025683E"/>
    <w:rsid w:val="002568E6"/>
    <w:rsid w:val="00256D7A"/>
    <w:rsid w:val="00262817"/>
    <w:rsid w:val="0026333C"/>
    <w:rsid w:val="002649A9"/>
    <w:rsid w:val="00265623"/>
    <w:rsid w:val="00266095"/>
    <w:rsid w:val="00267E64"/>
    <w:rsid w:val="0027025C"/>
    <w:rsid w:val="00270D71"/>
    <w:rsid w:val="00271388"/>
    <w:rsid w:val="00272DD6"/>
    <w:rsid w:val="002737E9"/>
    <w:rsid w:val="00275494"/>
    <w:rsid w:val="00275A1A"/>
    <w:rsid w:val="0027695F"/>
    <w:rsid w:val="002828DE"/>
    <w:rsid w:val="00282B55"/>
    <w:rsid w:val="00283364"/>
    <w:rsid w:val="0028649C"/>
    <w:rsid w:val="002900F6"/>
    <w:rsid w:val="00290818"/>
    <w:rsid w:val="00293D96"/>
    <w:rsid w:val="002954B1"/>
    <w:rsid w:val="0029750E"/>
    <w:rsid w:val="002A1B3D"/>
    <w:rsid w:val="002A27A1"/>
    <w:rsid w:val="002A3688"/>
    <w:rsid w:val="002A416C"/>
    <w:rsid w:val="002A7390"/>
    <w:rsid w:val="002B0654"/>
    <w:rsid w:val="002B088E"/>
    <w:rsid w:val="002B4003"/>
    <w:rsid w:val="002B46E1"/>
    <w:rsid w:val="002B4F85"/>
    <w:rsid w:val="002B5A5C"/>
    <w:rsid w:val="002B6598"/>
    <w:rsid w:val="002C05AC"/>
    <w:rsid w:val="002C0C1D"/>
    <w:rsid w:val="002C2401"/>
    <w:rsid w:val="002C4936"/>
    <w:rsid w:val="002C5D61"/>
    <w:rsid w:val="002C6748"/>
    <w:rsid w:val="002C6F01"/>
    <w:rsid w:val="002C7B26"/>
    <w:rsid w:val="002D0DED"/>
    <w:rsid w:val="002D1E33"/>
    <w:rsid w:val="002D3C06"/>
    <w:rsid w:val="002D47CD"/>
    <w:rsid w:val="002E1315"/>
    <w:rsid w:val="002E1554"/>
    <w:rsid w:val="002E1A35"/>
    <w:rsid w:val="002E3B1B"/>
    <w:rsid w:val="002E3D8B"/>
    <w:rsid w:val="002E3E5E"/>
    <w:rsid w:val="002E40A9"/>
    <w:rsid w:val="002E53A8"/>
    <w:rsid w:val="002E6B5E"/>
    <w:rsid w:val="002E7427"/>
    <w:rsid w:val="002F06C0"/>
    <w:rsid w:val="002F1092"/>
    <w:rsid w:val="002F1C41"/>
    <w:rsid w:val="002F2888"/>
    <w:rsid w:val="002F28FD"/>
    <w:rsid w:val="002F3249"/>
    <w:rsid w:val="002F3F2D"/>
    <w:rsid w:val="002F4036"/>
    <w:rsid w:val="002F5231"/>
    <w:rsid w:val="002F5847"/>
    <w:rsid w:val="002F5951"/>
    <w:rsid w:val="002F5B19"/>
    <w:rsid w:val="00302B2F"/>
    <w:rsid w:val="00304807"/>
    <w:rsid w:val="00307D2B"/>
    <w:rsid w:val="0031071F"/>
    <w:rsid w:val="00310C03"/>
    <w:rsid w:val="003125D7"/>
    <w:rsid w:val="00312A60"/>
    <w:rsid w:val="00313A06"/>
    <w:rsid w:val="003140F4"/>
    <w:rsid w:val="00314DC0"/>
    <w:rsid w:val="00315029"/>
    <w:rsid w:val="003156B5"/>
    <w:rsid w:val="003163B5"/>
    <w:rsid w:val="003164E9"/>
    <w:rsid w:val="003177A9"/>
    <w:rsid w:val="003178AC"/>
    <w:rsid w:val="00322D13"/>
    <w:rsid w:val="00324C06"/>
    <w:rsid w:val="00325195"/>
    <w:rsid w:val="0032533B"/>
    <w:rsid w:val="00326F10"/>
    <w:rsid w:val="00331CAF"/>
    <w:rsid w:val="00333190"/>
    <w:rsid w:val="003333DF"/>
    <w:rsid w:val="00334635"/>
    <w:rsid w:val="00334D19"/>
    <w:rsid w:val="0033630C"/>
    <w:rsid w:val="0033708D"/>
    <w:rsid w:val="0033721D"/>
    <w:rsid w:val="003375DC"/>
    <w:rsid w:val="00341DA8"/>
    <w:rsid w:val="00341DEE"/>
    <w:rsid w:val="00342170"/>
    <w:rsid w:val="00343967"/>
    <w:rsid w:val="0034535B"/>
    <w:rsid w:val="0034537B"/>
    <w:rsid w:val="003502B0"/>
    <w:rsid w:val="00350550"/>
    <w:rsid w:val="00350EE4"/>
    <w:rsid w:val="003521A9"/>
    <w:rsid w:val="00356D92"/>
    <w:rsid w:val="0035725A"/>
    <w:rsid w:val="00360B8B"/>
    <w:rsid w:val="003615EA"/>
    <w:rsid w:val="00361A06"/>
    <w:rsid w:val="003637E7"/>
    <w:rsid w:val="0036497A"/>
    <w:rsid w:val="00366BB8"/>
    <w:rsid w:val="00370CC2"/>
    <w:rsid w:val="0037115C"/>
    <w:rsid w:val="00371ACB"/>
    <w:rsid w:val="00372784"/>
    <w:rsid w:val="003735F8"/>
    <w:rsid w:val="003736FA"/>
    <w:rsid w:val="00374822"/>
    <w:rsid w:val="003755B4"/>
    <w:rsid w:val="0037679B"/>
    <w:rsid w:val="00376E39"/>
    <w:rsid w:val="003770FE"/>
    <w:rsid w:val="003773AA"/>
    <w:rsid w:val="00383C0A"/>
    <w:rsid w:val="00385A58"/>
    <w:rsid w:val="00385B27"/>
    <w:rsid w:val="00385F3C"/>
    <w:rsid w:val="00386068"/>
    <w:rsid w:val="003874A5"/>
    <w:rsid w:val="00392795"/>
    <w:rsid w:val="00393405"/>
    <w:rsid w:val="00395831"/>
    <w:rsid w:val="00396E91"/>
    <w:rsid w:val="003A12E8"/>
    <w:rsid w:val="003A222F"/>
    <w:rsid w:val="003A4E75"/>
    <w:rsid w:val="003A4F9D"/>
    <w:rsid w:val="003A5252"/>
    <w:rsid w:val="003A556E"/>
    <w:rsid w:val="003A6C38"/>
    <w:rsid w:val="003A75E2"/>
    <w:rsid w:val="003A7703"/>
    <w:rsid w:val="003B0FD0"/>
    <w:rsid w:val="003B1005"/>
    <w:rsid w:val="003B10E4"/>
    <w:rsid w:val="003B1199"/>
    <w:rsid w:val="003B1D07"/>
    <w:rsid w:val="003B28E2"/>
    <w:rsid w:val="003B43D0"/>
    <w:rsid w:val="003B4C92"/>
    <w:rsid w:val="003B51ED"/>
    <w:rsid w:val="003C09A2"/>
    <w:rsid w:val="003C2346"/>
    <w:rsid w:val="003C3FCC"/>
    <w:rsid w:val="003C41FC"/>
    <w:rsid w:val="003C5E7D"/>
    <w:rsid w:val="003C646A"/>
    <w:rsid w:val="003C6BDD"/>
    <w:rsid w:val="003C7EA4"/>
    <w:rsid w:val="003D03B4"/>
    <w:rsid w:val="003D2FA4"/>
    <w:rsid w:val="003D3135"/>
    <w:rsid w:val="003D578D"/>
    <w:rsid w:val="003D6927"/>
    <w:rsid w:val="003D7E36"/>
    <w:rsid w:val="003E086F"/>
    <w:rsid w:val="003E0AC0"/>
    <w:rsid w:val="003E0C37"/>
    <w:rsid w:val="003E0D93"/>
    <w:rsid w:val="003E223C"/>
    <w:rsid w:val="003E23C6"/>
    <w:rsid w:val="003E2F2D"/>
    <w:rsid w:val="003E59F4"/>
    <w:rsid w:val="003E64F6"/>
    <w:rsid w:val="003F7EC7"/>
    <w:rsid w:val="003F7EFD"/>
    <w:rsid w:val="004000FA"/>
    <w:rsid w:val="00400754"/>
    <w:rsid w:val="00402D7C"/>
    <w:rsid w:val="004033DD"/>
    <w:rsid w:val="004037F9"/>
    <w:rsid w:val="0040495B"/>
    <w:rsid w:val="004060BE"/>
    <w:rsid w:val="004061F0"/>
    <w:rsid w:val="00407AEA"/>
    <w:rsid w:val="0041050B"/>
    <w:rsid w:val="004113AB"/>
    <w:rsid w:val="004127EA"/>
    <w:rsid w:val="00415AE6"/>
    <w:rsid w:val="0041678D"/>
    <w:rsid w:val="00416B5B"/>
    <w:rsid w:val="00417531"/>
    <w:rsid w:val="00417C54"/>
    <w:rsid w:val="00422327"/>
    <w:rsid w:val="004256EC"/>
    <w:rsid w:val="0043148A"/>
    <w:rsid w:val="00431975"/>
    <w:rsid w:val="00432716"/>
    <w:rsid w:val="004333E2"/>
    <w:rsid w:val="0043383F"/>
    <w:rsid w:val="00435AB5"/>
    <w:rsid w:val="00437234"/>
    <w:rsid w:val="00437471"/>
    <w:rsid w:val="00440392"/>
    <w:rsid w:val="00442B73"/>
    <w:rsid w:val="00443A6D"/>
    <w:rsid w:val="004459C6"/>
    <w:rsid w:val="00446314"/>
    <w:rsid w:val="00446F41"/>
    <w:rsid w:val="004470D5"/>
    <w:rsid w:val="00447C1E"/>
    <w:rsid w:val="00450884"/>
    <w:rsid w:val="00450B7A"/>
    <w:rsid w:val="0045146E"/>
    <w:rsid w:val="00451606"/>
    <w:rsid w:val="0045180C"/>
    <w:rsid w:val="00451DEC"/>
    <w:rsid w:val="00452E03"/>
    <w:rsid w:val="0045427C"/>
    <w:rsid w:val="00455134"/>
    <w:rsid w:val="00456FD6"/>
    <w:rsid w:val="004600D7"/>
    <w:rsid w:val="00461B2F"/>
    <w:rsid w:val="00462B00"/>
    <w:rsid w:val="00462C4E"/>
    <w:rsid w:val="0046423B"/>
    <w:rsid w:val="00465830"/>
    <w:rsid w:val="004708FD"/>
    <w:rsid w:val="004714B1"/>
    <w:rsid w:val="00471560"/>
    <w:rsid w:val="00472A8F"/>
    <w:rsid w:val="00472E23"/>
    <w:rsid w:val="00472F75"/>
    <w:rsid w:val="00473ADD"/>
    <w:rsid w:val="00474A8E"/>
    <w:rsid w:val="004752E2"/>
    <w:rsid w:val="0047544E"/>
    <w:rsid w:val="0047561A"/>
    <w:rsid w:val="0047581F"/>
    <w:rsid w:val="00476676"/>
    <w:rsid w:val="00477E91"/>
    <w:rsid w:val="00483781"/>
    <w:rsid w:val="00483CCC"/>
    <w:rsid w:val="00483F2C"/>
    <w:rsid w:val="0048546E"/>
    <w:rsid w:val="00485A30"/>
    <w:rsid w:val="004905A0"/>
    <w:rsid w:val="00490956"/>
    <w:rsid w:val="00493D28"/>
    <w:rsid w:val="00494A82"/>
    <w:rsid w:val="0049605F"/>
    <w:rsid w:val="00497E60"/>
    <w:rsid w:val="004A2D34"/>
    <w:rsid w:val="004A2F08"/>
    <w:rsid w:val="004A48CA"/>
    <w:rsid w:val="004A543C"/>
    <w:rsid w:val="004A6286"/>
    <w:rsid w:val="004A6581"/>
    <w:rsid w:val="004A7938"/>
    <w:rsid w:val="004B0055"/>
    <w:rsid w:val="004B0DC2"/>
    <w:rsid w:val="004B2A0D"/>
    <w:rsid w:val="004B46EC"/>
    <w:rsid w:val="004B759B"/>
    <w:rsid w:val="004C2E1B"/>
    <w:rsid w:val="004C2E49"/>
    <w:rsid w:val="004C4BCE"/>
    <w:rsid w:val="004C50AE"/>
    <w:rsid w:val="004C5873"/>
    <w:rsid w:val="004C615B"/>
    <w:rsid w:val="004C69A7"/>
    <w:rsid w:val="004D04AD"/>
    <w:rsid w:val="004D1102"/>
    <w:rsid w:val="004D1FDB"/>
    <w:rsid w:val="004D24FD"/>
    <w:rsid w:val="004D3638"/>
    <w:rsid w:val="004D43D3"/>
    <w:rsid w:val="004D5E86"/>
    <w:rsid w:val="004E11D8"/>
    <w:rsid w:val="004E160F"/>
    <w:rsid w:val="004E3CFE"/>
    <w:rsid w:val="004E3F94"/>
    <w:rsid w:val="004E4959"/>
    <w:rsid w:val="004E5861"/>
    <w:rsid w:val="004E5D8C"/>
    <w:rsid w:val="004E5F80"/>
    <w:rsid w:val="004E6BFA"/>
    <w:rsid w:val="004E72D3"/>
    <w:rsid w:val="004E7651"/>
    <w:rsid w:val="004E7FD0"/>
    <w:rsid w:val="004F0A7C"/>
    <w:rsid w:val="004F2540"/>
    <w:rsid w:val="004F2F54"/>
    <w:rsid w:val="004F4886"/>
    <w:rsid w:val="004F6D93"/>
    <w:rsid w:val="004F6EDF"/>
    <w:rsid w:val="004F72C7"/>
    <w:rsid w:val="004F77ED"/>
    <w:rsid w:val="004F7F7E"/>
    <w:rsid w:val="00502224"/>
    <w:rsid w:val="0050255B"/>
    <w:rsid w:val="00502692"/>
    <w:rsid w:val="00503920"/>
    <w:rsid w:val="00503F03"/>
    <w:rsid w:val="00503F52"/>
    <w:rsid w:val="00505775"/>
    <w:rsid w:val="005058B8"/>
    <w:rsid w:val="00505C81"/>
    <w:rsid w:val="0050650F"/>
    <w:rsid w:val="00506D32"/>
    <w:rsid w:val="005072CD"/>
    <w:rsid w:val="00507839"/>
    <w:rsid w:val="00510518"/>
    <w:rsid w:val="005105D4"/>
    <w:rsid w:val="0051085D"/>
    <w:rsid w:val="00511375"/>
    <w:rsid w:val="00511668"/>
    <w:rsid w:val="00511934"/>
    <w:rsid w:val="00512C6B"/>
    <w:rsid w:val="0051590A"/>
    <w:rsid w:val="00516ED5"/>
    <w:rsid w:val="00520A94"/>
    <w:rsid w:val="00521EC7"/>
    <w:rsid w:val="00522CAB"/>
    <w:rsid w:val="005234BE"/>
    <w:rsid w:val="00524970"/>
    <w:rsid w:val="00526302"/>
    <w:rsid w:val="005266CA"/>
    <w:rsid w:val="0053095D"/>
    <w:rsid w:val="00530BA7"/>
    <w:rsid w:val="005358BC"/>
    <w:rsid w:val="005364A3"/>
    <w:rsid w:val="0053713F"/>
    <w:rsid w:val="00537C8A"/>
    <w:rsid w:val="00540608"/>
    <w:rsid w:val="00542038"/>
    <w:rsid w:val="00542051"/>
    <w:rsid w:val="00542417"/>
    <w:rsid w:val="005428FA"/>
    <w:rsid w:val="00542C4F"/>
    <w:rsid w:val="005445BE"/>
    <w:rsid w:val="00545890"/>
    <w:rsid w:val="00550A33"/>
    <w:rsid w:val="00550A3B"/>
    <w:rsid w:val="00550E21"/>
    <w:rsid w:val="0055120B"/>
    <w:rsid w:val="0055158F"/>
    <w:rsid w:val="005524A2"/>
    <w:rsid w:val="005547E1"/>
    <w:rsid w:val="00555816"/>
    <w:rsid w:val="005601C3"/>
    <w:rsid w:val="00560A01"/>
    <w:rsid w:val="00563EAF"/>
    <w:rsid w:val="00564725"/>
    <w:rsid w:val="0056518C"/>
    <w:rsid w:val="00565634"/>
    <w:rsid w:val="00565D5B"/>
    <w:rsid w:val="005668C6"/>
    <w:rsid w:val="00566DE6"/>
    <w:rsid w:val="00567294"/>
    <w:rsid w:val="005674F7"/>
    <w:rsid w:val="00567DE7"/>
    <w:rsid w:val="00571199"/>
    <w:rsid w:val="005721E3"/>
    <w:rsid w:val="00572C7E"/>
    <w:rsid w:val="0057354F"/>
    <w:rsid w:val="00575D4D"/>
    <w:rsid w:val="00580507"/>
    <w:rsid w:val="00581718"/>
    <w:rsid w:val="00581E48"/>
    <w:rsid w:val="0058252E"/>
    <w:rsid w:val="005827E8"/>
    <w:rsid w:val="0058417F"/>
    <w:rsid w:val="00586F6C"/>
    <w:rsid w:val="00587DF2"/>
    <w:rsid w:val="005912FB"/>
    <w:rsid w:val="00591710"/>
    <w:rsid w:val="005917B8"/>
    <w:rsid w:val="00591AD7"/>
    <w:rsid w:val="005940EB"/>
    <w:rsid w:val="0059545A"/>
    <w:rsid w:val="005955C7"/>
    <w:rsid w:val="00596675"/>
    <w:rsid w:val="005967BB"/>
    <w:rsid w:val="005A056C"/>
    <w:rsid w:val="005A0C2E"/>
    <w:rsid w:val="005A3F80"/>
    <w:rsid w:val="005A4709"/>
    <w:rsid w:val="005A4773"/>
    <w:rsid w:val="005A4EAB"/>
    <w:rsid w:val="005A4F79"/>
    <w:rsid w:val="005A598F"/>
    <w:rsid w:val="005B01E7"/>
    <w:rsid w:val="005B052B"/>
    <w:rsid w:val="005B0C41"/>
    <w:rsid w:val="005B172E"/>
    <w:rsid w:val="005B2A87"/>
    <w:rsid w:val="005B35F1"/>
    <w:rsid w:val="005C04BB"/>
    <w:rsid w:val="005C0EE5"/>
    <w:rsid w:val="005C170F"/>
    <w:rsid w:val="005C286E"/>
    <w:rsid w:val="005C33B4"/>
    <w:rsid w:val="005C423C"/>
    <w:rsid w:val="005C4664"/>
    <w:rsid w:val="005C4BF0"/>
    <w:rsid w:val="005C50FC"/>
    <w:rsid w:val="005C54B0"/>
    <w:rsid w:val="005C6321"/>
    <w:rsid w:val="005C681C"/>
    <w:rsid w:val="005D021A"/>
    <w:rsid w:val="005D1574"/>
    <w:rsid w:val="005D4603"/>
    <w:rsid w:val="005D532E"/>
    <w:rsid w:val="005D68AE"/>
    <w:rsid w:val="005D7CF3"/>
    <w:rsid w:val="005E0A1A"/>
    <w:rsid w:val="005E123C"/>
    <w:rsid w:val="005E22A5"/>
    <w:rsid w:val="005E2323"/>
    <w:rsid w:val="005E292E"/>
    <w:rsid w:val="005E6A3C"/>
    <w:rsid w:val="005E70E6"/>
    <w:rsid w:val="005E7295"/>
    <w:rsid w:val="005F0346"/>
    <w:rsid w:val="005F0A77"/>
    <w:rsid w:val="005F2053"/>
    <w:rsid w:val="005F2D36"/>
    <w:rsid w:val="005F31C0"/>
    <w:rsid w:val="005F43D7"/>
    <w:rsid w:val="005F5FFE"/>
    <w:rsid w:val="005F6830"/>
    <w:rsid w:val="005F6FD4"/>
    <w:rsid w:val="005F7B1B"/>
    <w:rsid w:val="005F7C5A"/>
    <w:rsid w:val="006002A1"/>
    <w:rsid w:val="00600B7F"/>
    <w:rsid w:val="00600F05"/>
    <w:rsid w:val="006010BC"/>
    <w:rsid w:val="0060135E"/>
    <w:rsid w:val="00603FF7"/>
    <w:rsid w:val="00604BE2"/>
    <w:rsid w:val="006059DF"/>
    <w:rsid w:val="0060695D"/>
    <w:rsid w:val="0060707B"/>
    <w:rsid w:val="006145A2"/>
    <w:rsid w:val="00615976"/>
    <w:rsid w:val="00616358"/>
    <w:rsid w:val="00617998"/>
    <w:rsid w:val="00617B1B"/>
    <w:rsid w:val="0062182F"/>
    <w:rsid w:val="0062241E"/>
    <w:rsid w:val="006226A2"/>
    <w:rsid w:val="006228E2"/>
    <w:rsid w:val="00622C96"/>
    <w:rsid w:val="006254CD"/>
    <w:rsid w:val="0062567E"/>
    <w:rsid w:val="00626691"/>
    <w:rsid w:val="00630C90"/>
    <w:rsid w:val="0063244C"/>
    <w:rsid w:val="00634425"/>
    <w:rsid w:val="00634E66"/>
    <w:rsid w:val="0063688D"/>
    <w:rsid w:val="00637268"/>
    <w:rsid w:val="00637BEC"/>
    <w:rsid w:val="006400B3"/>
    <w:rsid w:val="00640767"/>
    <w:rsid w:val="00640F7D"/>
    <w:rsid w:val="0064229A"/>
    <w:rsid w:val="00642D1E"/>
    <w:rsid w:val="00643FEE"/>
    <w:rsid w:val="0064450F"/>
    <w:rsid w:val="006469D1"/>
    <w:rsid w:val="00646DDA"/>
    <w:rsid w:val="0065006B"/>
    <w:rsid w:val="00650D38"/>
    <w:rsid w:val="00650EBF"/>
    <w:rsid w:val="00652036"/>
    <w:rsid w:val="00654101"/>
    <w:rsid w:val="00655AB6"/>
    <w:rsid w:val="00655D1D"/>
    <w:rsid w:val="00655D39"/>
    <w:rsid w:val="0065657E"/>
    <w:rsid w:val="0066069C"/>
    <w:rsid w:val="00661AF9"/>
    <w:rsid w:val="00661B51"/>
    <w:rsid w:val="00664AD0"/>
    <w:rsid w:val="00664C7C"/>
    <w:rsid w:val="0066583A"/>
    <w:rsid w:val="00665B4D"/>
    <w:rsid w:val="0066688F"/>
    <w:rsid w:val="00666F6E"/>
    <w:rsid w:val="0066718D"/>
    <w:rsid w:val="00673E6A"/>
    <w:rsid w:val="00675EDB"/>
    <w:rsid w:val="00676E4D"/>
    <w:rsid w:val="00677034"/>
    <w:rsid w:val="0068067E"/>
    <w:rsid w:val="006812D8"/>
    <w:rsid w:val="006814A6"/>
    <w:rsid w:val="00682090"/>
    <w:rsid w:val="00682F76"/>
    <w:rsid w:val="0068319C"/>
    <w:rsid w:val="00683B43"/>
    <w:rsid w:val="00686481"/>
    <w:rsid w:val="00686BB3"/>
    <w:rsid w:val="00687206"/>
    <w:rsid w:val="00687C66"/>
    <w:rsid w:val="006925E5"/>
    <w:rsid w:val="006929FB"/>
    <w:rsid w:val="00694161"/>
    <w:rsid w:val="00694A12"/>
    <w:rsid w:val="00695911"/>
    <w:rsid w:val="00696634"/>
    <w:rsid w:val="006A1144"/>
    <w:rsid w:val="006A131B"/>
    <w:rsid w:val="006A25CD"/>
    <w:rsid w:val="006A3C61"/>
    <w:rsid w:val="006A3E01"/>
    <w:rsid w:val="006A7A14"/>
    <w:rsid w:val="006A7BAA"/>
    <w:rsid w:val="006A7F48"/>
    <w:rsid w:val="006B005F"/>
    <w:rsid w:val="006B0DF8"/>
    <w:rsid w:val="006B3B63"/>
    <w:rsid w:val="006B3BF8"/>
    <w:rsid w:val="006B3C26"/>
    <w:rsid w:val="006B4BFE"/>
    <w:rsid w:val="006B56A9"/>
    <w:rsid w:val="006B6EE9"/>
    <w:rsid w:val="006C0AEA"/>
    <w:rsid w:val="006C0F33"/>
    <w:rsid w:val="006C257D"/>
    <w:rsid w:val="006C2B18"/>
    <w:rsid w:val="006C3B35"/>
    <w:rsid w:val="006C4942"/>
    <w:rsid w:val="006C4BE5"/>
    <w:rsid w:val="006C5470"/>
    <w:rsid w:val="006C571B"/>
    <w:rsid w:val="006C60D2"/>
    <w:rsid w:val="006C663B"/>
    <w:rsid w:val="006C6F61"/>
    <w:rsid w:val="006C7186"/>
    <w:rsid w:val="006D0EAD"/>
    <w:rsid w:val="006D0FF5"/>
    <w:rsid w:val="006D2901"/>
    <w:rsid w:val="006D4339"/>
    <w:rsid w:val="006D5090"/>
    <w:rsid w:val="006D5D1F"/>
    <w:rsid w:val="006D6B2A"/>
    <w:rsid w:val="006D7835"/>
    <w:rsid w:val="006D7F88"/>
    <w:rsid w:val="006E1254"/>
    <w:rsid w:val="006E4AC6"/>
    <w:rsid w:val="006E4B7F"/>
    <w:rsid w:val="006E5418"/>
    <w:rsid w:val="006E5E54"/>
    <w:rsid w:val="006F05C3"/>
    <w:rsid w:val="006F0F19"/>
    <w:rsid w:val="006F15B1"/>
    <w:rsid w:val="006F174B"/>
    <w:rsid w:val="006F17C2"/>
    <w:rsid w:val="006F3032"/>
    <w:rsid w:val="006F346E"/>
    <w:rsid w:val="006F5B38"/>
    <w:rsid w:val="006F6A9F"/>
    <w:rsid w:val="006F7DCC"/>
    <w:rsid w:val="00700579"/>
    <w:rsid w:val="00700F3B"/>
    <w:rsid w:val="00701E5A"/>
    <w:rsid w:val="00702822"/>
    <w:rsid w:val="0070367B"/>
    <w:rsid w:val="0070435C"/>
    <w:rsid w:val="00707ED6"/>
    <w:rsid w:val="00710CF7"/>
    <w:rsid w:val="0071282D"/>
    <w:rsid w:val="007135AF"/>
    <w:rsid w:val="00714103"/>
    <w:rsid w:val="0071727B"/>
    <w:rsid w:val="00717835"/>
    <w:rsid w:val="007202F6"/>
    <w:rsid w:val="00720489"/>
    <w:rsid w:val="0072072E"/>
    <w:rsid w:val="00720BC7"/>
    <w:rsid w:val="00722A6A"/>
    <w:rsid w:val="00722B78"/>
    <w:rsid w:val="00723374"/>
    <w:rsid w:val="00724808"/>
    <w:rsid w:val="00730697"/>
    <w:rsid w:val="0073096B"/>
    <w:rsid w:val="007317BC"/>
    <w:rsid w:val="00732258"/>
    <w:rsid w:val="00733394"/>
    <w:rsid w:val="0073357B"/>
    <w:rsid w:val="00733A77"/>
    <w:rsid w:val="00734D74"/>
    <w:rsid w:val="00735317"/>
    <w:rsid w:val="007366B9"/>
    <w:rsid w:val="00736CE0"/>
    <w:rsid w:val="00737218"/>
    <w:rsid w:val="007377F1"/>
    <w:rsid w:val="00741006"/>
    <w:rsid w:val="0074205E"/>
    <w:rsid w:val="00742246"/>
    <w:rsid w:val="007439F4"/>
    <w:rsid w:val="00745F3B"/>
    <w:rsid w:val="0074676D"/>
    <w:rsid w:val="00746993"/>
    <w:rsid w:val="00747267"/>
    <w:rsid w:val="007475E8"/>
    <w:rsid w:val="007505B0"/>
    <w:rsid w:val="00751946"/>
    <w:rsid w:val="007520D9"/>
    <w:rsid w:val="007532C9"/>
    <w:rsid w:val="00754546"/>
    <w:rsid w:val="00754981"/>
    <w:rsid w:val="00754A8C"/>
    <w:rsid w:val="00756119"/>
    <w:rsid w:val="0075792C"/>
    <w:rsid w:val="00757A38"/>
    <w:rsid w:val="00760434"/>
    <w:rsid w:val="007605AA"/>
    <w:rsid w:val="00760C7B"/>
    <w:rsid w:val="00761877"/>
    <w:rsid w:val="00763D19"/>
    <w:rsid w:val="00764AB6"/>
    <w:rsid w:val="007704A9"/>
    <w:rsid w:val="00770FAF"/>
    <w:rsid w:val="00771D26"/>
    <w:rsid w:val="00772867"/>
    <w:rsid w:val="00772B26"/>
    <w:rsid w:val="0077330C"/>
    <w:rsid w:val="007762EF"/>
    <w:rsid w:val="00776D16"/>
    <w:rsid w:val="00777808"/>
    <w:rsid w:val="00777E37"/>
    <w:rsid w:val="00783919"/>
    <w:rsid w:val="00783DA7"/>
    <w:rsid w:val="00784603"/>
    <w:rsid w:val="0078653A"/>
    <w:rsid w:val="00792C32"/>
    <w:rsid w:val="00794AFB"/>
    <w:rsid w:val="00795B8B"/>
    <w:rsid w:val="00796D9A"/>
    <w:rsid w:val="00797164"/>
    <w:rsid w:val="007A238A"/>
    <w:rsid w:val="007A293E"/>
    <w:rsid w:val="007A2BBA"/>
    <w:rsid w:val="007A5E7D"/>
    <w:rsid w:val="007A7123"/>
    <w:rsid w:val="007A7ACD"/>
    <w:rsid w:val="007B0003"/>
    <w:rsid w:val="007B008F"/>
    <w:rsid w:val="007B07BD"/>
    <w:rsid w:val="007B13FA"/>
    <w:rsid w:val="007B17C2"/>
    <w:rsid w:val="007B26DF"/>
    <w:rsid w:val="007B3030"/>
    <w:rsid w:val="007B3067"/>
    <w:rsid w:val="007B32AD"/>
    <w:rsid w:val="007B3CC1"/>
    <w:rsid w:val="007B4A75"/>
    <w:rsid w:val="007B6C70"/>
    <w:rsid w:val="007B751E"/>
    <w:rsid w:val="007C0BE8"/>
    <w:rsid w:val="007C0D2F"/>
    <w:rsid w:val="007C0EBF"/>
    <w:rsid w:val="007C2127"/>
    <w:rsid w:val="007C2496"/>
    <w:rsid w:val="007C31C5"/>
    <w:rsid w:val="007C44DA"/>
    <w:rsid w:val="007D1FBD"/>
    <w:rsid w:val="007D46EC"/>
    <w:rsid w:val="007D4D5F"/>
    <w:rsid w:val="007D76FB"/>
    <w:rsid w:val="007E0B9B"/>
    <w:rsid w:val="007E1999"/>
    <w:rsid w:val="007E24B2"/>
    <w:rsid w:val="007E25AC"/>
    <w:rsid w:val="007E27CA"/>
    <w:rsid w:val="007E2833"/>
    <w:rsid w:val="007E3170"/>
    <w:rsid w:val="007E4256"/>
    <w:rsid w:val="007E5364"/>
    <w:rsid w:val="007E669E"/>
    <w:rsid w:val="007F2B2C"/>
    <w:rsid w:val="007F3070"/>
    <w:rsid w:val="007F49A2"/>
    <w:rsid w:val="00800EE9"/>
    <w:rsid w:val="00801786"/>
    <w:rsid w:val="008026E7"/>
    <w:rsid w:val="00803F61"/>
    <w:rsid w:val="008050EE"/>
    <w:rsid w:val="00805F24"/>
    <w:rsid w:val="0080651B"/>
    <w:rsid w:val="008071C5"/>
    <w:rsid w:val="00807A84"/>
    <w:rsid w:val="00810BB3"/>
    <w:rsid w:val="00813DAA"/>
    <w:rsid w:val="00813EE2"/>
    <w:rsid w:val="00816EB4"/>
    <w:rsid w:val="00820405"/>
    <w:rsid w:val="0082083D"/>
    <w:rsid w:val="008208FE"/>
    <w:rsid w:val="0082098A"/>
    <w:rsid w:val="00821AC8"/>
    <w:rsid w:val="008221AA"/>
    <w:rsid w:val="008243C0"/>
    <w:rsid w:val="0082448C"/>
    <w:rsid w:val="00826253"/>
    <w:rsid w:val="0082671D"/>
    <w:rsid w:val="00826CC8"/>
    <w:rsid w:val="00826DD8"/>
    <w:rsid w:val="008270DC"/>
    <w:rsid w:val="0083118E"/>
    <w:rsid w:val="00831EA7"/>
    <w:rsid w:val="0083245D"/>
    <w:rsid w:val="00833324"/>
    <w:rsid w:val="00835906"/>
    <w:rsid w:val="00835A63"/>
    <w:rsid w:val="00835C57"/>
    <w:rsid w:val="008377B5"/>
    <w:rsid w:val="00837963"/>
    <w:rsid w:val="00840464"/>
    <w:rsid w:val="00841477"/>
    <w:rsid w:val="00842E02"/>
    <w:rsid w:val="0084325C"/>
    <w:rsid w:val="00844472"/>
    <w:rsid w:val="00847BBF"/>
    <w:rsid w:val="00847D0F"/>
    <w:rsid w:val="008502C2"/>
    <w:rsid w:val="008507EF"/>
    <w:rsid w:val="00850904"/>
    <w:rsid w:val="00850CC6"/>
    <w:rsid w:val="008525DD"/>
    <w:rsid w:val="00853829"/>
    <w:rsid w:val="00853BF9"/>
    <w:rsid w:val="00853DD5"/>
    <w:rsid w:val="008545F5"/>
    <w:rsid w:val="00856AB0"/>
    <w:rsid w:val="0085704B"/>
    <w:rsid w:val="00857E34"/>
    <w:rsid w:val="00861FED"/>
    <w:rsid w:val="00862A3F"/>
    <w:rsid w:val="00863CD7"/>
    <w:rsid w:val="008648BF"/>
    <w:rsid w:val="008649C2"/>
    <w:rsid w:val="008661D3"/>
    <w:rsid w:val="00867C20"/>
    <w:rsid w:val="00870BB1"/>
    <w:rsid w:val="0087187D"/>
    <w:rsid w:val="00871E93"/>
    <w:rsid w:val="00872B95"/>
    <w:rsid w:val="00872EC6"/>
    <w:rsid w:val="008733D8"/>
    <w:rsid w:val="0087436B"/>
    <w:rsid w:val="008745A8"/>
    <w:rsid w:val="008753FB"/>
    <w:rsid w:val="00877FEE"/>
    <w:rsid w:val="008818C0"/>
    <w:rsid w:val="0088245A"/>
    <w:rsid w:val="00882A41"/>
    <w:rsid w:val="008832DB"/>
    <w:rsid w:val="008837AC"/>
    <w:rsid w:val="00884B5C"/>
    <w:rsid w:val="00884F94"/>
    <w:rsid w:val="0088500E"/>
    <w:rsid w:val="00886AC1"/>
    <w:rsid w:val="00886B4D"/>
    <w:rsid w:val="008876AB"/>
    <w:rsid w:val="008915FB"/>
    <w:rsid w:val="0089410A"/>
    <w:rsid w:val="0089577E"/>
    <w:rsid w:val="00895CB0"/>
    <w:rsid w:val="00896F2E"/>
    <w:rsid w:val="00897DE4"/>
    <w:rsid w:val="008A1A85"/>
    <w:rsid w:val="008A1F39"/>
    <w:rsid w:val="008A2948"/>
    <w:rsid w:val="008A5589"/>
    <w:rsid w:val="008A6BE3"/>
    <w:rsid w:val="008A7380"/>
    <w:rsid w:val="008B0F94"/>
    <w:rsid w:val="008B25E6"/>
    <w:rsid w:val="008B3FDA"/>
    <w:rsid w:val="008B4683"/>
    <w:rsid w:val="008B472E"/>
    <w:rsid w:val="008B4CA1"/>
    <w:rsid w:val="008B57A8"/>
    <w:rsid w:val="008B5D50"/>
    <w:rsid w:val="008C00B4"/>
    <w:rsid w:val="008C1668"/>
    <w:rsid w:val="008C18AF"/>
    <w:rsid w:val="008C24FF"/>
    <w:rsid w:val="008C2BF7"/>
    <w:rsid w:val="008C2EB3"/>
    <w:rsid w:val="008C3FAF"/>
    <w:rsid w:val="008C62AD"/>
    <w:rsid w:val="008C6BEB"/>
    <w:rsid w:val="008D0447"/>
    <w:rsid w:val="008D1717"/>
    <w:rsid w:val="008D174D"/>
    <w:rsid w:val="008D2E1A"/>
    <w:rsid w:val="008D2FF6"/>
    <w:rsid w:val="008D554A"/>
    <w:rsid w:val="008D5DC5"/>
    <w:rsid w:val="008D6E80"/>
    <w:rsid w:val="008E2B05"/>
    <w:rsid w:val="008E569D"/>
    <w:rsid w:val="008E6D78"/>
    <w:rsid w:val="008F0099"/>
    <w:rsid w:val="008F0605"/>
    <w:rsid w:val="008F0A60"/>
    <w:rsid w:val="008F2DEC"/>
    <w:rsid w:val="008F3F14"/>
    <w:rsid w:val="008F706B"/>
    <w:rsid w:val="008F7121"/>
    <w:rsid w:val="009013F4"/>
    <w:rsid w:val="00902922"/>
    <w:rsid w:val="00902E57"/>
    <w:rsid w:val="00903920"/>
    <w:rsid w:val="00903F21"/>
    <w:rsid w:val="00904305"/>
    <w:rsid w:val="009049D1"/>
    <w:rsid w:val="00904B63"/>
    <w:rsid w:val="00905A5F"/>
    <w:rsid w:val="009062BF"/>
    <w:rsid w:val="00906F7A"/>
    <w:rsid w:val="00907C1E"/>
    <w:rsid w:val="00910330"/>
    <w:rsid w:val="0091066C"/>
    <w:rsid w:val="00910824"/>
    <w:rsid w:val="00910CCC"/>
    <w:rsid w:val="00911E63"/>
    <w:rsid w:val="009125D6"/>
    <w:rsid w:val="00912C36"/>
    <w:rsid w:val="009141DF"/>
    <w:rsid w:val="00914D4F"/>
    <w:rsid w:val="00917120"/>
    <w:rsid w:val="009171A0"/>
    <w:rsid w:val="00920B77"/>
    <w:rsid w:val="00920D4D"/>
    <w:rsid w:val="00921A94"/>
    <w:rsid w:val="0092248C"/>
    <w:rsid w:val="00922DEC"/>
    <w:rsid w:val="00922FC1"/>
    <w:rsid w:val="009232EE"/>
    <w:rsid w:val="00923F25"/>
    <w:rsid w:val="0092466F"/>
    <w:rsid w:val="00924EDB"/>
    <w:rsid w:val="00925B43"/>
    <w:rsid w:val="00925D56"/>
    <w:rsid w:val="00925DB3"/>
    <w:rsid w:val="0092640D"/>
    <w:rsid w:val="0092668F"/>
    <w:rsid w:val="00930339"/>
    <w:rsid w:val="00930FCC"/>
    <w:rsid w:val="00932F06"/>
    <w:rsid w:val="009331C6"/>
    <w:rsid w:val="009361A2"/>
    <w:rsid w:val="00936F4F"/>
    <w:rsid w:val="009379DE"/>
    <w:rsid w:val="00937CDD"/>
    <w:rsid w:val="00940411"/>
    <w:rsid w:val="00940650"/>
    <w:rsid w:val="0094179F"/>
    <w:rsid w:val="00944849"/>
    <w:rsid w:val="00944853"/>
    <w:rsid w:val="00945B51"/>
    <w:rsid w:val="00947309"/>
    <w:rsid w:val="009475D5"/>
    <w:rsid w:val="009500BC"/>
    <w:rsid w:val="00952E59"/>
    <w:rsid w:val="009536A2"/>
    <w:rsid w:val="009556A4"/>
    <w:rsid w:val="00955B8B"/>
    <w:rsid w:val="00956D8E"/>
    <w:rsid w:val="009575CF"/>
    <w:rsid w:val="00957A11"/>
    <w:rsid w:val="00961994"/>
    <w:rsid w:val="00962F5F"/>
    <w:rsid w:val="00964E59"/>
    <w:rsid w:val="009666C0"/>
    <w:rsid w:val="009666E1"/>
    <w:rsid w:val="00966860"/>
    <w:rsid w:val="00967F46"/>
    <w:rsid w:val="00971C3A"/>
    <w:rsid w:val="009723E4"/>
    <w:rsid w:val="00972641"/>
    <w:rsid w:val="009727E2"/>
    <w:rsid w:val="00973A02"/>
    <w:rsid w:val="009746A9"/>
    <w:rsid w:val="00974A06"/>
    <w:rsid w:val="00974B18"/>
    <w:rsid w:val="009751DC"/>
    <w:rsid w:val="00975A6F"/>
    <w:rsid w:val="00976C9A"/>
    <w:rsid w:val="0097740E"/>
    <w:rsid w:val="00980270"/>
    <w:rsid w:val="00980D53"/>
    <w:rsid w:val="009810FB"/>
    <w:rsid w:val="00981759"/>
    <w:rsid w:val="00982D25"/>
    <w:rsid w:val="0098306F"/>
    <w:rsid w:val="0098394E"/>
    <w:rsid w:val="00983ECF"/>
    <w:rsid w:val="009846F1"/>
    <w:rsid w:val="00985089"/>
    <w:rsid w:val="009850DD"/>
    <w:rsid w:val="009853F5"/>
    <w:rsid w:val="00985454"/>
    <w:rsid w:val="00985DAD"/>
    <w:rsid w:val="00986A71"/>
    <w:rsid w:val="00986CFB"/>
    <w:rsid w:val="00990736"/>
    <w:rsid w:val="00991650"/>
    <w:rsid w:val="00991FC3"/>
    <w:rsid w:val="00992CA5"/>
    <w:rsid w:val="00993BC1"/>
    <w:rsid w:val="00994791"/>
    <w:rsid w:val="00994BF3"/>
    <w:rsid w:val="00995425"/>
    <w:rsid w:val="00995CA0"/>
    <w:rsid w:val="00996E16"/>
    <w:rsid w:val="00996E32"/>
    <w:rsid w:val="00997530"/>
    <w:rsid w:val="00997B72"/>
    <w:rsid w:val="009A122F"/>
    <w:rsid w:val="009A1759"/>
    <w:rsid w:val="009A28AF"/>
    <w:rsid w:val="009A3AAC"/>
    <w:rsid w:val="009A469E"/>
    <w:rsid w:val="009A5A09"/>
    <w:rsid w:val="009A5DE0"/>
    <w:rsid w:val="009A6BE0"/>
    <w:rsid w:val="009A6E3B"/>
    <w:rsid w:val="009A7BE0"/>
    <w:rsid w:val="009A7C6E"/>
    <w:rsid w:val="009B2E15"/>
    <w:rsid w:val="009B4B0D"/>
    <w:rsid w:val="009B6105"/>
    <w:rsid w:val="009C1107"/>
    <w:rsid w:val="009C16B7"/>
    <w:rsid w:val="009C1A67"/>
    <w:rsid w:val="009C32A5"/>
    <w:rsid w:val="009C419C"/>
    <w:rsid w:val="009C5170"/>
    <w:rsid w:val="009C5B28"/>
    <w:rsid w:val="009C7411"/>
    <w:rsid w:val="009D12A3"/>
    <w:rsid w:val="009D2241"/>
    <w:rsid w:val="009D2F27"/>
    <w:rsid w:val="009D3699"/>
    <w:rsid w:val="009D5A73"/>
    <w:rsid w:val="009D5B4E"/>
    <w:rsid w:val="009D5C70"/>
    <w:rsid w:val="009D6CE5"/>
    <w:rsid w:val="009D739D"/>
    <w:rsid w:val="009D7A98"/>
    <w:rsid w:val="009E07EA"/>
    <w:rsid w:val="009E0DFB"/>
    <w:rsid w:val="009E1059"/>
    <w:rsid w:val="009E120D"/>
    <w:rsid w:val="009E1234"/>
    <w:rsid w:val="009E3311"/>
    <w:rsid w:val="009E6159"/>
    <w:rsid w:val="009E7CA2"/>
    <w:rsid w:val="009F0360"/>
    <w:rsid w:val="009F0786"/>
    <w:rsid w:val="009F0EAB"/>
    <w:rsid w:val="009F104D"/>
    <w:rsid w:val="009F146E"/>
    <w:rsid w:val="009F14CE"/>
    <w:rsid w:val="009F2088"/>
    <w:rsid w:val="009F228E"/>
    <w:rsid w:val="009F54AE"/>
    <w:rsid w:val="009F56BD"/>
    <w:rsid w:val="009F67CC"/>
    <w:rsid w:val="009F7643"/>
    <w:rsid w:val="009F7E1A"/>
    <w:rsid w:val="00A021C3"/>
    <w:rsid w:val="00A05445"/>
    <w:rsid w:val="00A078D4"/>
    <w:rsid w:val="00A1154D"/>
    <w:rsid w:val="00A12F4D"/>
    <w:rsid w:val="00A13F72"/>
    <w:rsid w:val="00A14CD3"/>
    <w:rsid w:val="00A15D98"/>
    <w:rsid w:val="00A160BF"/>
    <w:rsid w:val="00A168D5"/>
    <w:rsid w:val="00A171D3"/>
    <w:rsid w:val="00A17719"/>
    <w:rsid w:val="00A17DCE"/>
    <w:rsid w:val="00A20EFB"/>
    <w:rsid w:val="00A2115F"/>
    <w:rsid w:val="00A227B4"/>
    <w:rsid w:val="00A22B67"/>
    <w:rsid w:val="00A23052"/>
    <w:rsid w:val="00A233C8"/>
    <w:rsid w:val="00A24587"/>
    <w:rsid w:val="00A24C1D"/>
    <w:rsid w:val="00A24E89"/>
    <w:rsid w:val="00A26873"/>
    <w:rsid w:val="00A26A1D"/>
    <w:rsid w:val="00A27B3A"/>
    <w:rsid w:val="00A308DB"/>
    <w:rsid w:val="00A30FB8"/>
    <w:rsid w:val="00A3110D"/>
    <w:rsid w:val="00A3148B"/>
    <w:rsid w:val="00A31871"/>
    <w:rsid w:val="00A31B2A"/>
    <w:rsid w:val="00A32543"/>
    <w:rsid w:val="00A3317C"/>
    <w:rsid w:val="00A34AFF"/>
    <w:rsid w:val="00A34EA1"/>
    <w:rsid w:val="00A36AA6"/>
    <w:rsid w:val="00A37C87"/>
    <w:rsid w:val="00A41A04"/>
    <w:rsid w:val="00A431C7"/>
    <w:rsid w:val="00A439DA"/>
    <w:rsid w:val="00A44347"/>
    <w:rsid w:val="00A44847"/>
    <w:rsid w:val="00A45DE3"/>
    <w:rsid w:val="00A465F8"/>
    <w:rsid w:val="00A500EE"/>
    <w:rsid w:val="00A51D62"/>
    <w:rsid w:val="00A52FBB"/>
    <w:rsid w:val="00A55E93"/>
    <w:rsid w:val="00A56DAE"/>
    <w:rsid w:val="00A616E0"/>
    <w:rsid w:val="00A6232F"/>
    <w:rsid w:val="00A641B0"/>
    <w:rsid w:val="00A64291"/>
    <w:rsid w:val="00A649BB"/>
    <w:rsid w:val="00A66166"/>
    <w:rsid w:val="00A66DF7"/>
    <w:rsid w:val="00A6703B"/>
    <w:rsid w:val="00A70807"/>
    <w:rsid w:val="00A708AD"/>
    <w:rsid w:val="00A70E02"/>
    <w:rsid w:val="00A7252E"/>
    <w:rsid w:val="00A728AE"/>
    <w:rsid w:val="00A73197"/>
    <w:rsid w:val="00A73507"/>
    <w:rsid w:val="00A7459E"/>
    <w:rsid w:val="00A748F1"/>
    <w:rsid w:val="00A75998"/>
    <w:rsid w:val="00A7688B"/>
    <w:rsid w:val="00A77F33"/>
    <w:rsid w:val="00A80293"/>
    <w:rsid w:val="00A8143A"/>
    <w:rsid w:val="00A81B52"/>
    <w:rsid w:val="00A82AA1"/>
    <w:rsid w:val="00A82B0D"/>
    <w:rsid w:val="00A82BB4"/>
    <w:rsid w:val="00A83F30"/>
    <w:rsid w:val="00A83FB0"/>
    <w:rsid w:val="00A865D1"/>
    <w:rsid w:val="00A86B74"/>
    <w:rsid w:val="00A905F5"/>
    <w:rsid w:val="00A9200B"/>
    <w:rsid w:val="00A925C9"/>
    <w:rsid w:val="00A92D91"/>
    <w:rsid w:val="00A92DAB"/>
    <w:rsid w:val="00A95DB5"/>
    <w:rsid w:val="00A969EB"/>
    <w:rsid w:val="00A96B59"/>
    <w:rsid w:val="00AA2EB3"/>
    <w:rsid w:val="00AA55D2"/>
    <w:rsid w:val="00AA6BEE"/>
    <w:rsid w:val="00AA74A5"/>
    <w:rsid w:val="00AB3439"/>
    <w:rsid w:val="00AB3768"/>
    <w:rsid w:val="00AB5494"/>
    <w:rsid w:val="00AB5F42"/>
    <w:rsid w:val="00AB67B2"/>
    <w:rsid w:val="00AB6B56"/>
    <w:rsid w:val="00AC0DA1"/>
    <w:rsid w:val="00AC1CF7"/>
    <w:rsid w:val="00AC2B52"/>
    <w:rsid w:val="00AC5AB5"/>
    <w:rsid w:val="00AC61A8"/>
    <w:rsid w:val="00AC76BA"/>
    <w:rsid w:val="00AC7C0D"/>
    <w:rsid w:val="00AD1B31"/>
    <w:rsid w:val="00AD2642"/>
    <w:rsid w:val="00AD2800"/>
    <w:rsid w:val="00AD3A58"/>
    <w:rsid w:val="00AD4629"/>
    <w:rsid w:val="00AD63CF"/>
    <w:rsid w:val="00AD6ECF"/>
    <w:rsid w:val="00AD70D6"/>
    <w:rsid w:val="00AD737C"/>
    <w:rsid w:val="00AE0DA1"/>
    <w:rsid w:val="00AE41C9"/>
    <w:rsid w:val="00AE4F48"/>
    <w:rsid w:val="00AE5974"/>
    <w:rsid w:val="00AE6A0B"/>
    <w:rsid w:val="00AE7A2F"/>
    <w:rsid w:val="00AF0E57"/>
    <w:rsid w:val="00AF0E63"/>
    <w:rsid w:val="00AF143D"/>
    <w:rsid w:val="00AF32EA"/>
    <w:rsid w:val="00AF55EF"/>
    <w:rsid w:val="00AF7AC8"/>
    <w:rsid w:val="00AF7F7E"/>
    <w:rsid w:val="00B01286"/>
    <w:rsid w:val="00B01769"/>
    <w:rsid w:val="00B01B6B"/>
    <w:rsid w:val="00B01CA2"/>
    <w:rsid w:val="00B025C9"/>
    <w:rsid w:val="00B06CD9"/>
    <w:rsid w:val="00B12FBB"/>
    <w:rsid w:val="00B16933"/>
    <w:rsid w:val="00B173AA"/>
    <w:rsid w:val="00B20E43"/>
    <w:rsid w:val="00B2117C"/>
    <w:rsid w:val="00B217EF"/>
    <w:rsid w:val="00B22E0E"/>
    <w:rsid w:val="00B272C1"/>
    <w:rsid w:val="00B27408"/>
    <w:rsid w:val="00B303B9"/>
    <w:rsid w:val="00B30A20"/>
    <w:rsid w:val="00B3112B"/>
    <w:rsid w:val="00B335C9"/>
    <w:rsid w:val="00B33D4A"/>
    <w:rsid w:val="00B33FB9"/>
    <w:rsid w:val="00B35568"/>
    <w:rsid w:val="00B35F66"/>
    <w:rsid w:val="00B36D92"/>
    <w:rsid w:val="00B370CD"/>
    <w:rsid w:val="00B40E2C"/>
    <w:rsid w:val="00B410B9"/>
    <w:rsid w:val="00B4117A"/>
    <w:rsid w:val="00B42633"/>
    <w:rsid w:val="00B42A4C"/>
    <w:rsid w:val="00B43609"/>
    <w:rsid w:val="00B44520"/>
    <w:rsid w:val="00B45036"/>
    <w:rsid w:val="00B46119"/>
    <w:rsid w:val="00B4611B"/>
    <w:rsid w:val="00B465C4"/>
    <w:rsid w:val="00B47ED5"/>
    <w:rsid w:val="00B5016E"/>
    <w:rsid w:val="00B502BF"/>
    <w:rsid w:val="00B52C79"/>
    <w:rsid w:val="00B534DA"/>
    <w:rsid w:val="00B55CA4"/>
    <w:rsid w:val="00B566D5"/>
    <w:rsid w:val="00B573EF"/>
    <w:rsid w:val="00B616CD"/>
    <w:rsid w:val="00B62726"/>
    <w:rsid w:val="00B64F88"/>
    <w:rsid w:val="00B6562C"/>
    <w:rsid w:val="00B677F2"/>
    <w:rsid w:val="00B73492"/>
    <w:rsid w:val="00B75107"/>
    <w:rsid w:val="00B76D90"/>
    <w:rsid w:val="00B7701F"/>
    <w:rsid w:val="00B7769F"/>
    <w:rsid w:val="00B778C2"/>
    <w:rsid w:val="00B77958"/>
    <w:rsid w:val="00B77C3D"/>
    <w:rsid w:val="00B813CC"/>
    <w:rsid w:val="00B8362B"/>
    <w:rsid w:val="00B905D1"/>
    <w:rsid w:val="00B909D7"/>
    <w:rsid w:val="00B91F8A"/>
    <w:rsid w:val="00B92C27"/>
    <w:rsid w:val="00B9315A"/>
    <w:rsid w:val="00B932BE"/>
    <w:rsid w:val="00B9352B"/>
    <w:rsid w:val="00B93A5E"/>
    <w:rsid w:val="00B94086"/>
    <w:rsid w:val="00B942FD"/>
    <w:rsid w:val="00B9488F"/>
    <w:rsid w:val="00B95B69"/>
    <w:rsid w:val="00B96662"/>
    <w:rsid w:val="00B97A22"/>
    <w:rsid w:val="00BA0965"/>
    <w:rsid w:val="00BA0C12"/>
    <w:rsid w:val="00BA2E7F"/>
    <w:rsid w:val="00BA4B38"/>
    <w:rsid w:val="00BA4BA8"/>
    <w:rsid w:val="00BA5017"/>
    <w:rsid w:val="00BA70E2"/>
    <w:rsid w:val="00BB0541"/>
    <w:rsid w:val="00BB1681"/>
    <w:rsid w:val="00BB18C4"/>
    <w:rsid w:val="00BB1E70"/>
    <w:rsid w:val="00BB246A"/>
    <w:rsid w:val="00BB4657"/>
    <w:rsid w:val="00BB4B24"/>
    <w:rsid w:val="00BB6B52"/>
    <w:rsid w:val="00BB7969"/>
    <w:rsid w:val="00BC0CA9"/>
    <w:rsid w:val="00BC1B48"/>
    <w:rsid w:val="00BC1F50"/>
    <w:rsid w:val="00BC207F"/>
    <w:rsid w:val="00BC23B8"/>
    <w:rsid w:val="00BC6ABA"/>
    <w:rsid w:val="00BD15AA"/>
    <w:rsid w:val="00BD1DD0"/>
    <w:rsid w:val="00BD24A2"/>
    <w:rsid w:val="00BD29F1"/>
    <w:rsid w:val="00BD3CBB"/>
    <w:rsid w:val="00BD41BC"/>
    <w:rsid w:val="00BD4DF6"/>
    <w:rsid w:val="00BD4E0B"/>
    <w:rsid w:val="00BD5404"/>
    <w:rsid w:val="00BD5862"/>
    <w:rsid w:val="00BD63BE"/>
    <w:rsid w:val="00BD6F9A"/>
    <w:rsid w:val="00BD776D"/>
    <w:rsid w:val="00BD7E6A"/>
    <w:rsid w:val="00BD7F69"/>
    <w:rsid w:val="00BE0B08"/>
    <w:rsid w:val="00BE11FD"/>
    <w:rsid w:val="00BE294C"/>
    <w:rsid w:val="00BE308A"/>
    <w:rsid w:val="00BE4553"/>
    <w:rsid w:val="00BE5423"/>
    <w:rsid w:val="00BE589F"/>
    <w:rsid w:val="00BE730B"/>
    <w:rsid w:val="00BE7A30"/>
    <w:rsid w:val="00BF0F97"/>
    <w:rsid w:val="00BF100E"/>
    <w:rsid w:val="00BF1336"/>
    <w:rsid w:val="00BF208A"/>
    <w:rsid w:val="00BF2B93"/>
    <w:rsid w:val="00BF2C40"/>
    <w:rsid w:val="00BF2DF4"/>
    <w:rsid w:val="00BF4B90"/>
    <w:rsid w:val="00BF5E60"/>
    <w:rsid w:val="00BF780B"/>
    <w:rsid w:val="00C00128"/>
    <w:rsid w:val="00C01379"/>
    <w:rsid w:val="00C0158E"/>
    <w:rsid w:val="00C02236"/>
    <w:rsid w:val="00C02C23"/>
    <w:rsid w:val="00C02C6A"/>
    <w:rsid w:val="00C03821"/>
    <w:rsid w:val="00C05443"/>
    <w:rsid w:val="00C05589"/>
    <w:rsid w:val="00C075A4"/>
    <w:rsid w:val="00C10D1F"/>
    <w:rsid w:val="00C13E67"/>
    <w:rsid w:val="00C15742"/>
    <w:rsid w:val="00C15AB7"/>
    <w:rsid w:val="00C16031"/>
    <w:rsid w:val="00C175E1"/>
    <w:rsid w:val="00C17A13"/>
    <w:rsid w:val="00C17AC2"/>
    <w:rsid w:val="00C212E4"/>
    <w:rsid w:val="00C21ABD"/>
    <w:rsid w:val="00C21B0D"/>
    <w:rsid w:val="00C24355"/>
    <w:rsid w:val="00C24C23"/>
    <w:rsid w:val="00C25057"/>
    <w:rsid w:val="00C25696"/>
    <w:rsid w:val="00C2738D"/>
    <w:rsid w:val="00C279DD"/>
    <w:rsid w:val="00C315EE"/>
    <w:rsid w:val="00C3297B"/>
    <w:rsid w:val="00C32B1D"/>
    <w:rsid w:val="00C32DEF"/>
    <w:rsid w:val="00C333A0"/>
    <w:rsid w:val="00C3451F"/>
    <w:rsid w:val="00C34D0E"/>
    <w:rsid w:val="00C351B7"/>
    <w:rsid w:val="00C351DF"/>
    <w:rsid w:val="00C365BA"/>
    <w:rsid w:val="00C36B8C"/>
    <w:rsid w:val="00C36E90"/>
    <w:rsid w:val="00C37760"/>
    <w:rsid w:val="00C379C4"/>
    <w:rsid w:val="00C408EC"/>
    <w:rsid w:val="00C40BC0"/>
    <w:rsid w:val="00C41E75"/>
    <w:rsid w:val="00C42177"/>
    <w:rsid w:val="00C427D6"/>
    <w:rsid w:val="00C436B3"/>
    <w:rsid w:val="00C447BF"/>
    <w:rsid w:val="00C45064"/>
    <w:rsid w:val="00C4592B"/>
    <w:rsid w:val="00C50838"/>
    <w:rsid w:val="00C5330F"/>
    <w:rsid w:val="00C53DCF"/>
    <w:rsid w:val="00C54A1A"/>
    <w:rsid w:val="00C557D4"/>
    <w:rsid w:val="00C55A6C"/>
    <w:rsid w:val="00C5617B"/>
    <w:rsid w:val="00C6025D"/>
    <w:rsid w:val="00C604C8"/>
    <w:rsid w:val="00C616D2"/>
    <w:rsid w:val="00C619D0"/>
    <w:rsid w:val="00C61B37"/>
    <w:rsid w:val="00C61EE0"/>
    <w:rsid w:val="00C65058"/>
    <w:rsid w:val="00C7097C"/>
    <w:rsid w:val="00C70AD9"/>
    <w:rsid w:val="00C7161A"/>
    <w:rsid w:val="00C72374"/>
    <w:rsid w:val="00C736A2"/>
    <w:rsid w:val="00C77274"/>
    <w:rsid w:val="00C77545"/>
    <w:rsid w:val="00C77ABE"/>
    <w:rsid w:val="00C77CDA"/>
    <w:rsid w:val="00C80F80"/>
    <w:rsid w:val="00C81187"/>
    <w:rsid w:val="00C82339"/>
    <w:rsid w:val="00C8446B"/>
    <w:rsid w:val="00C84D5A"/>
    <w:rsid w:val="00C851FC"/>
    <w:rsid w:val="00C860DE"/>
    <w:rsid w:val="00C867FB"/>
    <w:rsid w:val="00C86D63"/>
    <w:rsid w:val="00C90227"/>
    <w:rsid w:val="00C915DE"/>
    <w:rsid w:val="00C929DD"/>
    <w:rsid w:val="00C93698"/>
    <w:rsid w:val="00C95274"/>
    <w:rsid w:val="00C96880"/>
    <w:rsid w:val="00CA0412"/>
    <w:rsid w:val="00CA1F00"/>
    <w:rsid w:val="00CA2C09"/>
    <w:rsid w:val="00CA2EE6"/>
    <w:rsid w:val="00CA33C7"/>
    <w:rsid w:val="00CA3EF8"/>
    <w:rsid w:val="00CA5F04"/>
    <w:rsid w:val="00CA5FD8"/>
    <w:rsid w:val="00CA61A0"/>
    <w:rsid w:val="00CA7E9A"/>
    <w:rsid w:val="00CB022F"/>
    <w:rsid w:val="00CB0AF6"/>
    <w:rsid w:val="00CB462E"/>
    <w:rsid w:val="00CB4BAA"/>
    <w:rsid w:val="00CC03DA"/>
    <w:rsid w:val="00CC17BD"/>
    <w:rsid w:val="00CC3B51"/>
    <w:rsid w:val="00CC400E"/>
    <w:rsid w:val="00CC5EE3"/>
    <w:rsid w:val="00CC6390"/>
    <w:rsid w:val="00CC664D"/>
    <w:rsid w:val="00CC78E0"/>
    <w:rsid w:val="00CC7D21"/>
    <w:rsid w:val="00CD077E"/>
    <w:rsid w:val="00CD11B6"/>
    <w:rsid w:val="00CD1DA3"/>
    <w:rsid w:val="00CD38CB"/>
    <w:rsid w:val="00CD4221"/>
    <w:rsid w:val="00CD4EFE"/>
    <w:rsid w:val="00CD5FB4"/>
    <w:rsid w:val="00CD7193"/>
    <w:rsid w:val="00CE0957"/>
    <w:rsid w:val="00CE2F33"/>
    <w:rsid w:val="00CE3454"/>
    <w:rsid w:val="00CE5DF7"/>
    <w:rsid w:val="00CE6992"/>
    <w:rsid w:val="00CF0312"/>
    <w:rsid w:val="00CF0BBA"/>
    <w:rsid w:val="00CF198E"/>
    <w:rsid w:val="00CF2F46"/>
    <w:rsid w:val="00CF3028"/>
    <w:rsid w:val="00CF50C4"/>
    <w:rsid w:val="00CF7201"/>
    <w:rsid w:val="00CF7CB1"/>
    <w:rsid w:val="00D0059B"/>
    <w:rsid w:val="00D01018"/>
    <w:rsid w:val="00D017D8"/>
    <w:rsid w:val="00D04910"/>
    <w:rsid w:val="00D04B01"/>
    <w:rsid w:val="00D06EED"/>
    <w:rsid w:val="00D076D5"/>
    <w:rsid w:val="00D100BF"/>
    <w:rsid w:val="00D1160B"/>
    <w:rsid w:val="00D12812"/>
    <w:rsid w:val="00D1292F"/>
    <w:rsid w:val="00D12F93"/>
    <w:rsid w:val="00D13013"/>
    <w:rsid w:val="00D15723"/>
    <w:rsid w:val="00D1795D"/>
    <w:rsid w:val="00D17F46"/>
    <w:rsid w:val="00D20022"/>
    <w:rsid w:val="00D2213B"/>
    <w:rsid w:val="00D227C2"/>
    <w:rsid w:val="00D245FB"/>
    <w:rsid w:val="00D254A5"/>
    <w:rsid w:val="00D27049"/>
    <w:rsid w:val="00D31F4F"/>
    <w:rsid w:val="00D328F7"/>
    <w:rsid w:val="00D33375"/>
    <w:rsid w:val="00D35254"/>
    <w:rsid w:val="00D352D9"/>
    <w:rsid w:val="00D373E1"/>
    <w:rsid w:val="00D3753F"/>
    <w:rsid w:val="00D37A4B"/>
    <w:rsid w:val="00D4109C"/>
    <w:rsid w:val="00D414F6"/>
    <w:rsid w:val="00D41EF2"/>
    <w:rsid w:val="00D41FA8"/>
    <w:rsid w:val="00D42417"/>
    <w:rsid w:val="00D4297F"/>
    <w:rsid w:val="00D42D7E"/>
    <w:rsid w:val="00D4467B"/>
    <w:rsid w:val="00D46805"/>
    <w:rsid w:val="00D46D94"/>
    <w:rsid w:val="00D4719E"/>
    <w:rsid w:val="00D50EF6"/>
    <w:rsid w:val="00D51CF5"/>
    <w:rsid w:val="00D5257C"/>
    <w:rsid w:val="00D528DB"/>
    <w:rsid w:val="00D55B8A"/>
    <w:rsid w:val="00D56A2F"/>
    <w:rsid w:val="00D571DE"/>
    <w:rsid w:val="00D57DE9"/>
    <w:rsid w:val="00D60210"/>
    <w:rsid w:val="00D603FC"/>
    <w:rsid w:val="00D60EF7"/>
    <w:rsid w:val="00D61B62"/>
    <w:rsid w:val="00D64255"/>
    <w:rsid w:val="00D65D27"/>
    <w:rsid w:val="00D65FFD"/>
    <w:rsid w:val="00D66261"/>
    <w:rsid w:val="00D66655"/>
    <w:rsid w:val="00D6709F"/>
    <w:rsid w:val="00D7035E"/>
    <w:rsid w:val="00D704CC"/>
    <w:rsid w:val="00D713CE"/>
    <w:rsid w:val="00D71DFC"/>
    <w:rsid w:val="00D726F8"/>
    <w:rsid w:val="00D7624B"/>
    <w:rsid w:val="00D76CF7"/>
    <w:rsid w:val="00D77B69"/>
    <w:rsid w:val="00D77F76"/>
    <w:rsid w:val="00D803BD"/>
    <w:rsid w:val="00D815E8"/>
    <w:rsid w:val="00D82746"/>
    <w:rsid w:val="00D83489"/>
    <w:rsid w:val="00D83CA6"/>
    <w:rsid w:val="00D84706"/>
    <w:rsid w:val="00D84C83"/>
    <w:rsid w:val="00D90EBD"/>
    <w:rsid w:val="00D913C2"/>
    <w:rsid w:val="00D91BC2"/>
    <w:rsid w:val="00D91CEF"/>
    <w:rsid w:val="00D93106"/>
    <w:rsid w:val="00D93DB0"/>
    <w:rsid w:val="00D94CD1"/>
    <w:rsid w:val="00D94ED5"/>
    <w:rsid w:val="00D96C21"/>
    <w:rsid w:val="00DA0E06"/>
    <w:rsid w:val="00DA1F7E"/>
    <w:rsid w:val="00DA2FEA"/>
    <w:rsid w:val="00DA40F0"/>
    <w:rsid w:val="00DA5801"/>
    <w:rsid w:val="00DA6090"/>
    <w:rsid w:val="00DA6907"/>
    <w:rsid w:val="00DA6CF2"/>
    <w:rsid w:val="00DB4209"/>
    <w:rsid w:val="00DB58E5"/>
    <w:rsid w:val="00DB71BA"/>
    <w:rsid w:val="00DB739F"/>
    <w:rsid w:val="00DB7E31"/>
    <w:rsid w:val="00DC1619"/>
    <w:rsid w:val="00DC1BD4"/>
    <w:rsid w:val="00DC36C6"/>
    <w:rsid w:val="00DC3ED1"/>
    <w:rsid w:val="00DC4628"/>
    <w:rsid w:val="00DC46DA"/>
    <w:rsid w:val="00DC5084"/>
    <w:rsid w:val="00DC6BEA"/>
    <w:rsid w:val="00DD12B3"/>
    <w:rsid w:val="00DD1995"/>
    <w:rsid w:val="00DD1A9F"/>
    <w:rsid w:val="00DD1AF7"/>
    <w:rsid w:val="00DD2844"/>
    <w:rsid w:val="00DD4661"/>
    <w:rsid w:val="00DD52D2"/>
    <w:rsid w:val="00DD55EC"/>
    <w:rsid w:val="00DD5C89"/>
    <w:rsid w:val="00DD73A1"/>
    <w:rsid w:val="00DD7880"/>
    <w:rsid w:val="00DD7A23"/>
    <w:rsid w:val="00DE1052"/>
    <w:rsid w:val="00DE13FD"/>
    <w:rsid w:val="00DE1D1B"/>
    <w:rsid w:val="00DE23F4"/>
    <w:rsid w:val="00DE2494"/>
    <w:rsid w:val="00DE263E"/>
    <w:rsid w:val="00DE283C"/>
    <w:rsid w:val="00DE4085"/>
    <w:rsid w:val="00DE5ABD"/>
    <w:rsid w:val="00DF0354"/>
    <w:rsid w:val="00DF2C39"/>
    <w:rsid w:val="00DF2C5C"/>
    <w:rsid w:val="00DF2F7E"/>
    <w:rsid w:val="00DF389F"/>
    <w:rsid w:val="00DF5756"/>
    <w:rsid w:val="00DF57F1"/>
    <w:rsid w:val="00DF5BFE"/>
    <w:rsid w:val="00DF70D9"/>
    <w:rsid w:val="00DF7DC8"/>
    <w:rsid w:val="00E00927"/>
    <w:rsid w:val="00E032C8"/>
    <w:rsid w:val="00E03438"/>
    <w:rsid w:val="00E0371E"/>
    <w:rsid w:val="00E03B56"/>
    <w:rsid w:val="00E04A7A"/>
    <w:rsid w:val="00E05F3B"/>
    <w:rsid w:val="00E06442"/>
    <w:rsid w:val="00E06672"/>
    <w:rsid w:val="00E1019A"/>
    <w:rsid w:val="00E1030D"/>
    <w:rsid w:val="00E1036F"/>
    <w:rsid w:val="00E10AB6"/>
    <w:rsid w:val="00E10B89"/>
    <w:rsid w:val="00E11A38"/>
    <w:rsid w:val="00E13003"/>
    <w:rsid w:val="00E13107"/>
    <w:rsid w:val="00E15DE4"/>
    <w:rsid w:val="00E164C7"/>
    <w:rsid w:val="00E16AF8"/>
    <w:rsid w:val="00E16D1A"/>
    <w:rsid w:val="00E20071"/>
    <w:rsid w:val="00E23979"/>
    <w:rsid w:val="00E24C4B"/>
    <w:rsid w:val="00E25B63"/>
    <w:rsid w:val="00E26373"/>
    <w:rsid w:val="00E27695"/>
    <w:rsid w:val="00E279C3"/>
    <w:rsid w:val="00E27BE9"/>
    <w:rsid w:val="00E30EC6"/>
    <w:rsid w:val="00E315C8"/>
    <w:rsid w:val="00E3278B"/>
    <w:rsid w:val="00E353DE"/>
    <w:rsid w:val="00E35B7D"/>
    <w:rsid w:val="00E368D6"/>
    <w:rsid w:val="00E36B65"/>
    <w:rsid w:val="00E37B85"/>
    <w:rsid w:val="00E37CF7"/>
    <w:rsid w:val="00E403BF"/>
    <w:rsid w:val="00E40A54"/>
    <w:rsid w:val="00E41819"/>
    <w:rsid w:val="00E41939"/>
    <w:rsid w:val="00E4401A"/>
    <w:rsid w:val="00E4415C"/>
    <w:rsid w:val="00E4477C"/>
    <w:rsid w:val="00E44AE6"/>
    <w:rsid w:val="00E45EA5"/>
    <w:rsid w:val="00E46F66"/>
    <w:rsid w:val="00E47383"/>
    <w:rsid w:val="00E50DDF"/>
    <w:rsid w:val="00E51470"/>
    <w:rsid w:val="00E52126"/>
    <w:rsid w:val="00E534EB"/>
    <w:rsid w:val="00E5460E"/>
    <w:rsid w:val="00E546CF"/>
    <w:rsid w:val="00E55327"/>
    <w:rsid w:val="00E563A4"/>
    <w:rsid w:val="00E57A43"/>
    <w:rsid w:val="00E606B2"/>
    <w:rsid w:val="00E63ADA"/>
    <w:rsid w:val="00E63B52"/>
    <w:rsid w:val="00E63BDA"/>
    <w:rsid w:val="00E64181"/>
    <w:rsid w:val="00E67033"/>
    <w:rsid w:val="00E674D5"/>
    <w:rsid w:val="00E67604"/>
    <w:rsid w:val="00E70ABD"/>
    <w:rsid w:val="00E71927"/>
    <w:rsid w:val="00E724EC"/>
    <w:rsid w:val="00E730BC"/>
    <w:rsid w:val="00E757B4"/>
    <w:rsid w:val="00E765AE"/>
    <w:rsid w:val="00E779B7"/>
    <w:rsid w:val="00E77A50"/>
    <w:rsid w:val="00E8084A"/>
    <w:rsid w:val="00E810A3"/>
    <w:rsid w:val="00E812B2"/>
    <w:rsid w:val="00E829D1"/>
    <w:rsid w:val="00E84E10"/>
    <w:rsid w:val="00E905D4"/>
    <w:rsid w:val="00E9147F"/>
    <w:rsid w:val="00E91FD4"/>
    <w:rsid w:val="00E925F3"/>
    <w:rsid w:val="00E947F0"/>
    <w:rsid w:val="00E948E4"/>
    <w:rsid w:val="00E94D94"/>
    <w:rsid w:val="00E96345"/>
    <w:rsid w:val="00E96E76"/>
    <w:rsid w:val="00E973BF"/>
    <w:rsid w:val="00E976E7"/>
    <w:rsid w:val="00E979AD"/>
    <w:rsid w:val="00E97E45"/>
    <w:rsid w:val="00EA03D4"/>
    <w:rsid w:val="00EA0C3D"/>
    <w:rsid w:val="00EA2F5B"/>
    <w:rsid w:val="00EA369C"/>
    <w:rsid w:val="00EA3C99"/>
    <w:rsid w:val="00EA52B6"/>
    <w:rsid w:val="00EA53F5"/>
    <w:rsid w:val="00EA5580"/>
    <w:rsid w:val="00EA5B71"/>
    <w:rsid w:val="00EA68EB"/>
    <w:rsid w:val="00EA755E"/>
    <w:rsid w:val="00EB0163"/>
    <w:rsid w:val="00EB2A7D"/>
    <w:rsid w:val="00EB2FDA"/>
    <w:rsid w:val="00EB3649"/>
    <w:rsid w:val="00EB3985"/>
    <w:rsid w:val="00EB4556"/>
    <w:rsid w:val="00EB4A80"/>
    <w:rsid w:val="00EB6BC4"/>
    <w:rsid w:val="00EB7D33"/>
    <w:rsid w:val="00EC0443"/>
    <w:rsid w:val="00EC0D18"/>
    <w:rsid w:val="00EC17A9"/>
    <w:rsid w:val="00EC1D6A"/>
    <w:rsid w:val="00EC2E68"/>
    <w:rsid w:val="00EC35EA"/>
    <w:rsid w:val="00EC59F4"/>
    <w:rsid w:val="00EC6850"/>
    <w:rsid w:val="00EC6954"/>
    <w:rsid w:val="00ED1DB7"/>
    <w:rsid w:val="00ED23BC"/>
    <w:rsid w:val="00ED28F2"/>
    <w:rsid w:val="00ED3465"/>
    <w:rsid w:val="00ED3E7D"/>
    <w:rsid w:val="00ED5039"/>
    <w:rsid w:val="00EE0069"/>
    <w:rsid w:val="00EE1EF0"/>
    <w:rsid w:val="00EE418C"/>
    <w:rsid w:val="00EE50D2"/>
    <w:rsid w:val="00EE516B"/>
    <w:rsid w:val="00EE574A"/>
    <w:rsid w:val="00EE59C2"/>
    <w:rsid w:val="00EE66A6"/>
    <w:rsid w:val="00EE6C43"/>
    <w:rsid w:val="00EE76C5"/>
    <w:rsid w:val="00EF02FC"/>
    <w:rsid w:val="00EF249A"/>
    <w:rsid w:val="00EF347D"/>
    <w:rsid w:val="00EF3E6A"/>
    <w:rsid w:val="00EF415A"/>
    <w:rsid w:val="00EF46A2"/>
    <w:rsid w:val="00EF4875"/>
    <w:rsid w:val="00EF5581"/>
    <w:rsid w:val="00EF6ED0"/>
    <w:rsid w:val="00F00259"/>
    <w:rsid w:val="00F026D5"/>
    <w:rsid w:val="00F028D8"/>
    <w:rsid w:val="00F02BFD"/>
    <w:rsid w:val="00F03CAF"/>
    <w:rsid w:val="00F05414"/>
    <w:rsid w:val="00F05D6B"/>
    <w:rsid w:val="00F07336"/>
    <w:rsid w:val="00F10753"/>
    <w:rsid w:val="00F10812"/>
    <w:rsid w:val="00F10FA6"/>
    <w:rsid w:val="00F149FE"/>
    <w:rsid w:val="00F1524F"/>
    <w:rsid w:val="00F1599B"/>
    <w:rsid w:val="00F15ACC"/>
    <w:rsid w:val="00F178A6"/>
    <w:rsid w:val="00F20AEF"/>
    <w:rsid w:val="00F22A97"/>
    <w:rsid w:val="00F23533"/>
    <w:rsid w:val="00F23E7C"/>
    <w:rsid w:val="00F240CA"/>
    <w:rsid w:val="00F26E4E"/>
    <w:rsid w:val="00F27614"/>
    <w:rsid w:val="00F305A7"/>
    <w:rsid w:val="00F31DC7"/>
    <w:rsid w:val="00F326B3"/>
    <w:rsid w:val="00F35EE0"/>
    <w:rsid w:val="00F36057"/>
    <w:rsid w:val="00F36940"/>
    <w:rsid w:val="00F37160"/>
    <w:rsid w:val="00F4115C"/>
    <w:rsid w:val="00F411CB"/>
    <w:rsid w:val="00F43A28"/>
    <w:rsid w:val="00F443C6"/>
    <w:rsid w:val="00F45742"/>
    <w:rsid w:val="00F507F6"/>
    <w:rsid w:val="00F51A73"/>
    <w:rsid w:val="00F54087"/>
    <w:rsid w:val="00F55CB4"/>
    <w:rsid w:val="00F55F14"/>
    <w:rsid w:val="00F56824"/>
    <w:rsid w:val="00F570E0"/>
    <w:rsid w:val="00F57859"/>
    <w:rsid w:val="00F60CC3"/>
    <w:rsid w:val="00F62E54"/>
    <w:rsid w:val="00F63ABC"/>
    <w:rsid w:val="00F63FAF"/>
    <w:rsid w:val="00F64EFC"/>
    <w:rsid w:val="00F64F0F"/>
    <w:rsid w:val="00F65818"/>
    <w:rsid w:val="00F6724B"/>
    <w:rsid w:val="00F7052B"/>
    <w:rsid w:val="00F72FB1"/>
    <w:rsid w:val="00F742FE"/>
    <w:rsid w:val="00F7632B"/>
    <w:rsid w:val="00F76DA3"/>
    <w:rsid w:val="00F777AF"/>
    <w:rsid w:val="00F80F6C"/>
    <w:rsid w:val="00F8159F"/>
    <w:rsid w:val="00F8269D"/>
    <w:rsid w:val="00F82BCE"/>
    <w:rsid w:val="00F8355B"/>
    <w:rsid w:val="00F84183"/>
    <w:rsid w:val="00F84248"/>
    <w:rsid w:val="00F850AB"/>
    <w:rsid w:val="00F854FE"/>
    <w:rsid w:val="00F863A3"/>
    <w:rsid w:val="00F868A2"/>
    <w:rsid w:val="00F8793E"/>
    <w:rsid w:val="00F900AB"/>
    <w:rsid w:val="00F91587"/>
    <w:rsid w:val="00F943AD"/>
    <w:rsid w:val="00F95373"/>
    <w:rsid w:val="00F9606F"/>
    <w:rsid w:val="00F960C4"/>
    <w:rsid w:val="00F96207"/>
    <w:rsid w:val="00F97372"/>
    <w:rsid w:val="00FA03F2"/>
    <w:rsid w:val="00FA2369"/>
    <w:rsid w:val="00FA37DD"/>
    <w:rsid w:val="00FA3D61"/>
    <w:rsid w:val="00FA5256"/>
    <w:rsid w:val="00FB0AA7"/>
    <w:rsid w:val="00FB18D1"/>
    <w:rsid w:val="00FB41E1"/>
    <w:rsid w:val="00FB52AB"/>
    <w:rsid w:val="00FB6150"/>
    <w:rsid w:val="00FB7766"/>
    <w:rsid w:val="00FB7807"/>
    <w:rsid w:val="00FB7AB0"/>
    <w:rsid w:val="00FC26B5"/>
    <w:rsid w:val="00FC2E92"/>
    <w:rsid w:val="00FC54F6"/>
    <w:rsid w:val="00FC5505"/>
    <w:rsid w:val="00FC5EF5"/>
    <w:rsid w:val="00FC7014"/>
    <w:rsid w:val="00FD14C0"/>
    <w:rsid w:val="00FD16CD"/>
    <w:rsid w:val="00FD1B1E"/>
    <w:rsid w:val="00FD3C17"/>
    <w:rsid w:val="00FD48F4"/>
    <w:rsid w:val="00FD5CBA"/>
    <w:rsid w:val="00FD6160"/>
    <w:rsid w:val="00FD61A3"/>
    <w:rsid w:val="00FD65F1"/>
    <w:rsid w:val="00FD7017"/>
    <w:rsid w:val="00FD71D3"/>
    <w:rsid w:val="00FE059C"/>
    <w:rsid w:val="00FE09E0"/>
    <w:rsid w:val="00FE1B20"/>
    <w:rsid w:val="00FE21EF"/>
    <w:rsid w:val="00FE37C1"/>
    <w:rsid w:val="00FE3F54"/>
    <w:rsid w:val="00FE4809"/>
    <w:rsid w:val="00FE4871"/>
    <w:rsid w:val="00FE4AC5"/>
    <w:rsid w:val="00FE4AEE"/>
    <w:rsid w:val="00FE5E80"/>
    <w:rsid w:val="00FE7D9F"/>
    <w:rsid w:val="00FF05A4"/>
    <w:rsid w:val="00FF2374"/>
    <w:rsid w:val="00FF5B04"/>
    <w:rsid w:val="00FF5DB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42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46E"/>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uiPriority w:val="9"/>
    <w:qFormat/>
    <w:rsid w:val="00E973BF"/>
    <w:pPr>
      <w:keepNext/>
      <w:tabs>
        <w:tab w:val="center" w:pos="4680"/>
      </w:tabs>
      <w:suppressAutoHyphens/>
      <w:outlineLvl w:val="0"/>
    </w:pPr>
    <w:rPr>
      <w:b/>
    </w:rPr>
  </w:style>
  <w:style w:type="paragraph" w:styleId="Heading2">
    <w:name w:val="heading 2"/>
    <w:basedOn w:val="Normal"/>
    <w:next w:val="Normal"/>
    <w:link w:val="Heading2Char"/>
    <w:uiPriority w:val="9"/>
    <w:qFormat/>
    <w:rsid w:val="00E973BF"/>
    <w:pPr>
      <w:keepNext/>
      <w:tabs>
        <w:tab w:val="center" w:pos="4680"/>
      </w:tabs>
      <w:suppressAutoHyphens/>
      <w:jc w:val="center"/>
      <w:outlineLvl w:val="1"/>
    </w:pPr>
    <w:rPr>
      <w:b/>
    </w:rPr>
  </w:style>
  <w:style w:type="paragraph" w:styleId="Heading3">
    <w:name w:val="heading 3"/>
    <w:basedOn w:val="Normal"/>
    <w:next w:val="Normal"/>
    <w:link w:val="Heading3Char"/>
    <w:semiHidden/>
    <w:unhideWhenUsed/>
    <w:qFormat/>
    <w:rsid w:val="00B64F88"/>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0B3"/>
    <w:rPr>
      <w:b/>
      <w:sz w:val="24"/>
    </w:rPr>
  </w:style>
  <w:style w:type="character" w:customStyle="1" w:styleId="Heading2Char">
    <w:name w:val="Heading 2 Char"/>
    <w:basedOn w:val="DefaultParagraphFont"/>
    <w:link w:val="Heading2"/>
    <w:uiPriority w:val="9"/>
    <w:rsid w:val="006400B3"/>
    <w:rPr>
      <w:b/>
      <w:sz w:val="24"/>
    </w:rPr>
  </w:style>
  <w:style w:type="character" w:customStyle="1" w:styleId="Heading3Char">
    <w:name w:val="Heading 3 Char"/>
    <w:basedOn w:val="DefaultParagraphFont"/>
    <w:link w:val="Heading3"/>
    <w:semiHidden/>
    <w:rsid w:val="00B64F88"/>
    <w:rPr>
      <w:rFonts w:asciiTheme="majorHAnsi" w:eastAsiaTheme="majorEastAsia" w:hAnsiTheme="majorHAnsi" w:cstheme="majorBidi"/>
      <w:color w:val="243F60" w:themeColor="accent1" w:themeShade="7F"/>
      <w:sz w:val="24"/>
      <w:szCs w:val="24"/>
    </w:rPr>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Char,F1"/>
    <w:basedOn w:val="Normal"/>
    <w:link w:val="FootnoteTextChar"/>
    <w:uiPriority w:val="99"/>
    <w:rsid w:val="00E973BF"/>
  </w:style>
  <w:style w:type="character" w:customStyle="1" w:styleId="FootnoteTextChar">
    <w:name w:val="Footnote Text Char"/>
    <w:aliases w:val="Char Char,F1 Char"/>
    <w:basedOn w:val="DefaultParagraphFont"/>
    <w:link w:val="FootnoteText"/>
    <w:uiPriority w:val="99"/>
    <w:rsid w:val="008A5589"/>
    <w:rPr>
      <w:rFonts w:ascii="Courier" w:hAnsi="Courier"/>
      <w:sz w:val="24"/>
    </w:rPr>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uiPriority w:val="39"/>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uiPriority w:val="35"/>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character" w:customStyle="1" w:styleId="FooterChar">
    <w:name w:val="Footer Char"/>
    <w:basedOn w:val="DefaultParagraphFont"/>
    <w:link w:val="Footer"/>
    <w:uiPriority w:val="99"/>
    <w:rsid w:val="002568E6"/>
    <w:rPr>
      <w:rFonts w:ascii="Courier" w:hAnsi="Courier"/>
      <w:sz w:val="24"/>
    </w:r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link w:val="BalloonTextChar"/>
    <w:uiPriority w:val="99"/>
    <w:semiHidden/>
    <w:rsid w:val="00C00128"/>
    <w:rPr>
      <w:rFonts w:ascii="Tahoma" w:hAnsi="Tahoma" w:cs="Tahoma"/>
      <w:sz w:val="16"/>
      <w:szCs w:val="16"/>
    </w:rPr>
  </w:style>
  <w:style w:type="character" w:customStyle="1" w:styleId="BalloonTextChar">
    <w:name w:val="Balloon Text Char"/>
    <w:basedOn w:val="DefaultParagraphFont"/>
    <w:link w:val="BalloonText"/>
    <w:uiPriority w:val="99"/>
    <w:semiHidden/>
    <w:rsid w:val="006400B3"/>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uiPriority w:val="22"/>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rsid w:val="00650EBF"/>
    <w:pPr>
      <w:tabs>
        <w:tab w:val="center" w:pos="4320"/>
        <w:tab w:val="right" w:pos="8640"/>
      </w:tabs>
    </w:pPr>
  </w:style>
  <w:style w:type="character" w:customStyle="1" w:styleId="HeaderChar">
    <w:name w:val="Header Char"/>
    <w:basedOn w:val="DefaultParagraphFont"/>
    <w:link w:val="Header"/>
    <w:uiPriority w:val="99"/>
    <w:rsid w:val="006400B3"/>
    <w:rPr>
      <w:sz w:val="24"/>
    </w:r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character" w:customStyle="1" w:styleId="CommentTextChar">
    <w:name w:val="Comment Text Char"/>
    <w:basedOn w:val="DefaultParagraphFont"/>
    <w:link w:val="CommentText"/>
    <w:uiPriority w:val="99"/>
    <w:rsid w:val="00AE41C9"/>
    <w:rPr>
      <w:rFonts w:ascii="Courier" w:hAnsi="Courier"/>
    </w:rPr>
  </w:style>
  <w:style w:type="paragraph" w:styleId="CommentSubject">
    <w:name w:val="annotation subject"/>
    <w:basedOn w:val="CommentText"/>
    <w:next w:val="CommentText"/>
    <w:link w:val="CommentSubjectChar"/>
    <w:uiPriority w:val="99"/>
    <w:semiHidden/>
    <w:rsid w:val="00831EA7"/>
    <w:rPr>
      <w:b/>
      <w:bCs/>
    </w:rPr>
  </w:style>
  <w:style w:type="character" w:customStyle="1" w:styleId="CommentSubjectChar">
    <w:name w:val="Comment Subject Char"/>
    <w:basedOn w:val="CommentTextChar"/>
    <w:link w:val="CommentSubject"/>
    <w:uiPriority w:val="99"/>
    <w:semiHidden/>
    <w:rsid w:val="006400B3"/>
    <w:rPr>
      <w:rFonts w:ascii="Courier" w:hAnsi="Courie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3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link w:val="ListParagraphChar"/>
    <w:uiPriority w:val="34"/>
    <w:qFormat/>
    <w:rsid w:val="003333DF"/>
    <w:pPr>
      <w:tabs>
        <w:tab w:val="left" w:pos="-720"/>
      </w:tabs>
      <w:suppressAutoHyphens/>
      <w:overflowPunct/>
      <w:autoSpaceDE/>
      <w:autoSpaceDN/>
      <w:adjustRightInd/>
      <w:spacing w:line="480" w:lineRule="auto"/>
      <w:ind w:left="720"/>
      <w:contextualSpacing/>
      <w:textAlignment w:val="auto"/>
    </w:pPr>
    <w:rPr>
      <w:spacing w:val="-3"/>
    </w:rPr>
  </w:style>
  <w:style w:type="character" w:customStyle="1" w:styleId="ListParagraphChar">
    <w:name w:val="List Paragraph Char"/>
    <w:basedOn w:val="DefaultParagraphFont"/>
    <w:link w:val="ListParagraph"/>
    <w:uiPriority w:val="34"/>
    <w:locked/>
    <w:rsid w:val="001A3A4F"/>
    <w:rPr>
      <w:spacing w:val="-3"/>
      <w:sz w:val="24"/>
    </w:rPr>
  </w:style>
  <w:style w:type="table" w:customStyle="1" w:styleId="TableGrid1">
    <w:name w:val="Table Grid1"/>
    <w:basedOn w:val="TableNormal"/>
    <w:next w:val="TableGrid"/>
    <w:uiPriority w:val="39"/>
    <w:rsid w:val="007E1999"/>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SBody">
    <w:name w:val="IES Body"/>
    <w:basedOn w:val="ListParagraph"/>
    <w:link w:val="IESBodyChar"/>
    <w:qFormat/>
    <w:rsid w:val="00C736A2"/>
    <w:pPr>
      <w:widowControl/>
      <w:tabs>
        <w:tab w:val="clear" w:pos="-720"/>
      </w:tabs>
      <w:suppressAutoHyphens w:val="0"/>
      <w:spacing w:after="200"/>
      <w:ind w:left="0"/>
      <w:contextualSpacing w:val="0"/>
      <w:jc w:val="both"/>
    </w:pPr>
    <w:rPr>
      <w:rFonts w:eastAsia="Calibri"/>
      <w:bCs/>
      <w:spacing w:val="0"/>
      <w:szCs w:val="24"/>
    </w:rPr>
  </w:style>
  <w:style w:type="character" w:customStyle="1" w:styleId="IESBodyChar">
    <w:name w:val="IES Body Char"/>
    <w:basedOn w:val="DefaultParagraphFont"/>
    <w:link w:val="IESBody"/>
    <w:rsid w:val="00C736A2"/>
    <w:rPr>
      <w:rFonts w:eastAsia="Calibri"/>
      <w:bCs/>
      <w:sz w:val="24"/>
      <w:szCs w:val="24"/>
    </w:rPr>
  </w:style>
  <w:style w:type="paragraph" w:styleId="NoSpacing">
    <w:name w:val="No Spacing"/>
    <w:link w:val="NoSpacingChar"/>
    <w:uiPriority w:val="1"/>
    <w:qFormat/>
    <w:rsid w:val="00C736A2"/>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C736A2"/>
    <w:rPr>
      <w:rFonts w:asciiTheme="minorHAnsi" w:eastAsiaTheme="minorHAnsi" w:hAnsiTheme="minorHAnsi" w:cstheme="minorBidi"/>
      <w:sz w:val="22"/>
      <w:szCs w:val="22"/>
    </w:rPr>
  </w:style>
  <w:style w:type="table" w:customStyle="1" w:styleId="GridTable1Light-Accent31">
    <w:name w:val="Grid Table 1 Light - Accent 31"/>
    <w:basedOn w:val="TableNormal"/>
    <w:uiPriority w:val="46"/>
    <w:rsid w:val="009A7C6E"/>
    <w:rPr>
      <w:rFonts w:asciiTheme="minorHAnsi" w:eastAsiaTheme="minorHAnsi" w:hAnsiTheme="minorHAnsi" w:cstheme="minorBidi"/>
      <w:sz w:val="22"/>
      <w:szCs w:val="22"/>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EA5580"/>
    <w:pPr>
      <w:keepLines/>
      <w:widowControl/>
      <w:tabs>
        <w:tab w:val="clear" w:pos="4680"/>
      </w:tabs>
      <w:suppressAutoHyphens w:val="0"/>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sz w:val="32"/>
      <w:szCs w:val="32"/>
    </w:rPr>
  </w:style>
  <w:style w:type="table" w:customStyle="1" w:styleId="ListTable7Colorful-Accent11">
    <w:name w:val="List Table 7 Colorful - Accent 11"/>
    <w:basedOn w:val="TableNormal"/>
    <w:uiPriority w:val="52"/>
    <w:rsid w:val="000367D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11">
    <w:name w:val="Grid Table 1 Light - Accent 11"/>
    <w:basedOn w:val="TableNormal"/>
    <w:uiPriority w:val="46"/>
    <w:rsid w:val="000367D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31">
    <w:name w:val="Grid Table 2 - Accent 31"/>
    <w:basedOn w:val="TableNormal"/>
    <w:uiPriority w:val="47"/>
    <w:rsid w:val="006400B3"/>
    <w:rPr>
      <w:rFonts w:ascii="Arial" w:eastAsiaTheme="minorHAnsi" w:hAnsi="Arial" w:cstheme="minorBidi"/>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pple-converted-space">
    <w:name w:val="apple-converted-space"/>
    <w:basedOn w:val="DefaultParagraphFont"/>
    <w:rsid w:val="006400B3"/>
  </w:style>
  <w:style w:type="character" w:styleId="Emphasis">
    <w:name w:val="Emphasis"/>
    <w:basedOn w:val="DefaultParagraphFont"/>
    <w:uiPriority w:val="20"/>
    <w:qFormat/>
    <w:rsid w:val="006400B3"/>
    <w:rPr>
      <w:i/>
      <w:iCs/>
    </w:rPr>
  </w:style>
  <w:style w:type="paragraph" w:customStyle="1" w:styleId="lead">
    <w:name w:val="lead"/>
    <w:basedOn w:val="Normal"/>
    <w:rsid w:val="006400B3"/>
    <w:pPr>
      <w:widowControl/>
      <w:overflowPunct/>
      <w:autoSpaceDE/>
      <w:autoSpaceDN/>
      <w:adjustRightInd/>
      <w:spacing w:before="100" w:beforeAutospacing="1" w:after="100" w:afterAutospacing="1"/>
      <w:textAlignment w:val="auto"/>
    </w:pPr>
    <w:rPr>
      <w:szCs w:val="24"/>
    </w:rPr>
  </w:style>
  <w:style w:type="table" w:customStyle="1" w:styleId="PlainTable42">
    <w:name w:val="Plain Table 42"/>
    <w:basedOn w:val="TableNormal"/>
    <w:uiPriority w:val="44"/>
    <w:rsid w:val="006400B3"/>
    <w:rPr>
      <w:rFonts w:ascii="Arial" w:eastAsiaTheme="minorHAnsi" w:hAnsi="Arial"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6400B3"/>
    <w:rPr>
      <w:rFonts w:ascii="Arial" w:eastAsiaTheme="minorHAnsi" w:hAnsi="Arial"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32">
    <w:name w:val="Grid Table 1 Light - Accent 32"/>
    <w:basedOn w:val="TableNormal"/>
    <w:uiPriority w:val="46"/>
    <w:rsid w:val="00741006"/>
    <w:rPr>
      <w:rFonts w:asciiTheme="minorHAnsi" w:eastAsiaTheme="minorHAnsi" w:hAnsiTheme="minorHAnsi" w:cstheme="minorBidi"/>
      <w:sz w:val="22"/>
      <w:szCs w:val="22"/>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TableofFigures">
    <w:name w:val="table of figures"/>
    <w:basedOn w:val="Normal"/>
    <w:next w:val="Normal"/>
    <w:uiPriority w:val="99"/>
    <w:unhideWhenUsed/>
    <w:rsid w:val="00F152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46E"/>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uiPriority w:val="9"/>
    <w:qFormat/>
    <w:rsid w:val="00E973BF"/>
    <w:pPr>
      <w:keepNext/>
      <w:tabs>
        <w:tab w:val="center" w:pos="4680"/>
      </w:tabs>
      <w:suppressAutoHyphens/>
      <w:outlineLvl w:val="0"/>
    </w:pPr>
    <w:rPr>
      <w:b/>
    </w:rPr>
  </w:style>
  <w:style w:type="paragraph" w:styleId="Heading2">
    <w:name w:val="heading 2"/>
    <w:basedOn w:val="Normal"/>
    <w:next w:val="Normal"/>
    <w:link w:val="Heading2Char"/>
    <w:uiPriority w:val="9"/>
    <w:qFormat/>
    <w:rsid w:val="00E973BF"/>
    <w:pPr>
      <w:keepNext/>
      <w:tabs>
        <w:tab w:val="center" w:pos="4680"/>
      </w:tabs>
      <w:suppressAutoHyphens/>
      <w:jc w:val="center"/>
      <w:outlineLvl w:val="1"/>
    </w:pPr>
    <w:rPr>
      <w:b/>
    </w:rPr>
  </w:style>
  <w:style w:type="paragraph" w:styleId="Heading3">
    <w:name w:val="heading 3"/>
    <w:basedOn w:val="Normal"/>
    <w:next w:val="Normal"/>
    <w:link w:val="Heading3Char"/>
    <w:semiHidden/>
    <w:unhideWhenUsed/>
    <w:qFormat/>
    <w:rsid w:val="00B64F88"/>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0B3"/>
    <w:rPr>
      <w:b/>
      <w:sz w:val="24"/>
    </w:rPr>
  </w:style>
  <w:style w:type="character" w:customStyle="1" w:styleId="Heading2Char">
    <w:name w:val="Heading 2 Char"/>
    <w:basedOn w:val="DefaultParagraphFont"/>
    <w:link w:val="Heading2"/>
    <w:uiPriority w:val="9"/>
    <w:rsid w:val="006400B3"/>
    <w:rPr>
      <w:b/>
      <w:sz w:val="24"/>
    </w:rPr>
  </w:style>
  <w:style w:type="character" w:customStyle="1" w:styleId="Heading3Char">
    <w:name w:val="Heading 3 Char"/>
    <w:basedOn w:val="DefaultParagraphFont"/>
    <w:link w:val="Heading3"/>
    <w:semiHidden/>
    <w:rsid w:val="00B64F88"/>
    <w:rPr>
      <w:rFonts w:asciiTheme="majorHAnsi" w:eastAsiaTheme="majorEastAsia" w:hAnsiTheme="majorHAnsi" w:cstheme="majorBidi"/>
      <w:color w:val="243F60" w:themeColor="accent1" w:themeShade="7F"/>
      <w:sz w:val="24"/>
      <w:szCs w:val="24"/>
    </w:rPr>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Char,F1"/>
    <w:basedOn w:val="Normal"/>
    <w:link w:val="FootnoteTextChar"/>
    <w:uiPriority w:val="99"/>
    <w:rsid w:val="00E973BF"/>
  </w:style>
  <w:style w:type="character" w:customStyle="1" w:styleId="FootnoteTextChar">
    <w:name w:val="Footnote Text Char"/>
    <w:aliases w:val="Char Char,F1 Char"/>
    <w:basedOn w:val="DefaultParagraphFont"/>
    <w:link w:val="FootnoteText"/>
    <w:uiPriority w:val="99"/>
    <w:rsid w:val="008A5589"/>
    <w:rPr>
      <w:rFonts w:ascii="Courier" w:hAnsi="Courier"/>
      <w:sz w:val="24"/>
    </w:rPr>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uiPriority w:val="39"/>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uiPriority w:val="35"/>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character" w:customStyle="1" w:styleId="FooterChar">
    <w:name w:val="Footer Char"/>
    <w:basedOn w:val="DefaultParagraphFont"/>
    <w:link w:val="Footer"/>
    <w:uiPriority w:val="99"/>
    <w:rsid w:val="002568E6"/>
    <w:rPr>
      <w:rFonts w:ascii="Courier" w:hAnsi="Courier"/>
      <w:sz w:val="24"/>
    </w:r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link w:val="BalloonTextChar"/>
    <w:uiPriority w:val="99"/>
    <w:semiHidden/>
    <w:rsid w:val="00C00128"/>
    <w:rPr>
      <w:rFonts w:ascii="Tahoma" w:hAnsi="Tahoma" w:cs="Tahoma"/>
      <w:sz w:val="16"/>
      <w:szCs w:val="16"/>
    </w:rPr>
  </w:style>
  <w:style w:type="character" w:customStyle="1" w:styleId="BalloonTextChar">
    <w:name w:val="Balloon Text Char"/>
    <w:basedOn w:val="DefaultParagraphFont"/>
    <w:link w:val="BalloonText"/>
    <w:uiPriority w:val="99"/>
    <w:semiHidden/>
    <w:rsid w:val="006400B3"/>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uiPriority w:val="22"/>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rsid w:val="00650EBF"/>
    <w:pPr>
      <w:tabs>
        <w:tab w:val="center" w:pos="4320"/>
        <w:tab w:val="right" w:pos="8640"/>
      </w:tabs>
    </w:pPr>
  </w:style>
  <w:style w:type="character" w:customStyle="1" w:styleId="HeaderChar">
    <w:name w:val="Header Char"/>
    <w:basedOn w:val="DefaultParagraphFont"/>
    <w:link w:val="Header"/>
    <w:uiPriority w:val="99"/>
    <w:rsid w:val="006400B3"/>
    <w:rPr>
      <w:sz w:val="24"/>
    </w:r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character" w:customStyle="1" w:styleId="CommentTextChar">
    <w:name w:val="Comment Text Char"/>
    <w:basedOn w:val="DefaultParagraphFont"/>
    <w:link w:val="CommentText"/>
    <w:uiPriority w:val="99"/>
    <w:rsid w:val="00AE41C9"/>
    <w:rPr>
      <w:rFonts w:ascii="Courier" w:hAnsi="Courier"/>
    </w:rPr>
  </w:style>
  <w:style w:type="paragraph" w:styleId="CommentSubject">
    <w:name w:val="annotation subject"/>
    <w:basedOn w:val="CommentText"/>
    <w:next w:val="CommentText"/>
    <w:link w:val="CommentSubjectChar"/>
    <w:uiPriority w:val="99"/>
    <w:semiHidden/>
    <w:rsid w:val="00831EA7"/>
    <w:rPr>
      <w:b/>
      <w:bCs/>
    </w:rPr>
  </w:style>
  <w:style w:type="character" w:customStyle="1" w:styleId="CommentSubjectChar">
    <w:name w:val="Comment Subject Char"/>
    <w:basedOn w:val="CommentTextChar"/>
    <w:link w:val="CommentSubject"/>
    <w:uiPriority w:val="99"/>
    <w:semiHidden/>
    <w:rsid w:val="006400B3"/>
    <w:rPr>
      <w:rFonts w:ascii="Courier" w:hAnsi="Courie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3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link w:val="ListParagraphChar"/>
    <w:uiPriority w:val="34"/>
    <w:qFormat/>
    <w:rsid w:val="003333DF"/>
    <w:pPr>
      <w:tabs>
        <w:tab w:val="left" w:pos="-720"/>
      </w:tabs>
      <w:suppressAutoHyphens/>
      <w:overflowPunct/>
      <w:autoSpaceDE/>
      <w:autoSpaceDN/>
      <w:adjustRightInd/>
      <w:spacing w:line="480" w:lineRule="auto"/>
      <w:ind w:left="720"/>
      <w:contextualSpacing/>
      <w:textAlignment w:val="auto"/>
    </w:pPr>
    <w:rPr>
      <w:spacing w:val="-3"/>
    </w:rPr>
  </w:style>
  <w:style w:type="character" w:customStyle="1" w:styleId="ListParagraphChar">
    <w:name w:val="List Paragraph Char"/>
    <w:basedOn w:val="DefaultParagraphFont"/>
    <w:link w:val="ListParagraph"/>
    <w:uiPriority w:val="34"/>
    <w:locked/>
    <w:rsid w:val="001A3A4F"/>
    <w:rPr>
      <w:spacing w:val="-3"/>
      <w:sz w:val="24"/>
    </w:rPr>
  </w:style>
  <w:style w:type="table" w:customStyle="1" w:styleId="TableGrid1">
    <w:name w:val="Table Grid1"/>
    <w:basedOn w:val="TableNormal"/>
    <w:next w:val="TableGrid"/>
    <w:uiPriority w:val="39"/>
    <w:rsid w:val="007E1999"/>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SBody">
    <w:name w:val="IES Body"/>
    <w:basedOn w:val="ListParagraph"/>
    <w:link w:val="IESBodyChar"/>
    <w:qFormat/>
    <w:rsid w:val="00C736A2"/>
    <w:pPr>
      <w:widowControl/>
      <w:tabs>
        <w:tab w:val="clear" w:pos="-720"/>
      </w:tabs>
      <w:suppressAutoHyphens w:val="0"/>
      <w:spacing w:after="200"/>
      <w:ind w:left="0"/>
      <w:contextualSpacing w:val="0"/>
      <w:jc w:val="both"/>
    </w:pPr>
    <w:rPr>
      <w:rFonts w:eastAsia="Calibri"/>
      <w:bCs/>
      <w:spacing w:val="0"/>
      <w:szCs w:val="24"/>
    </w:rPr>
  </w:style>
  <w:style w:type="character" w:customStyle="1" w:styleId="IESBodyChar">
    <w:name w:val="IES Body Char"/>
    <w:basedOn w:val="DefaultParagraphFont"/>
    <w:link w:val="IESBody"/>
    <w:rsid w:val="00C736A2"/>
    <w:rPr>
      <w:rFonts w:eastAsia="Calibri"/>
      <w:bCs/>
      <w:sz w:val="24"/>
      <w:szCs w:val="24"/>
    </w:rPr>
  </w:style>
  <w:style w:type="paragraph" w:styleId="NoSpacing">
    <w:name w:val="No Spacing"/>
    <w:link w:val="NoSpacingChar"/>
    <w:uiPriority w:val="1"/>
    <w:qFormat/>
    <w:rsid w:val="00C736A2"/>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C736A2"/>
    <w:rPr>
      <w:rFonts w:asciiTheme="minorHAnsi" w:eastAsiaTheme="minorHAnsi" w:hAnsiTheme="minorHAnsi" w:cstheme="minorBidi"/>
      <w:sz w:val="22"/>
      <w:szCs w:val="22"/>
    </w:rPr>
  </w:style>
  <w:style w:type="table" w:customStyle="1" w:styleId="GridTable1Light-Accent31">
    <w:name w:val="Grid Table 1 Light - Accent 31"/>
    <w:basedOn w:val="TableNormal"/>
    <w:uiPriority w:val="46"/>
    <w:rsid w:val="009A7C6E"/>
    <w:rPr>
      <w:rFonts w:asciiTheme="minorHAnsi" w:eastAsiaTheme="minorHAnsi" w:hAnsiTheme="minorHAnsi" w:cstheme="minorBidi"/>
      <w:sz w:val="22"/>
      <w:szCs w:val="22"/>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EA5580"/>
    <w:pPr>
      <w:keepLines/>
      <w:widowControl/>
      <w:tabs>
        <w:tab w:val="clear" w:pos="4680"/>
      </w:tabs>
      <w:suppressAutoHyphens w:val="0"/>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sz w:val="32"/>
      <w:szCs w:val="32"/>
    </w:rPr>
  </w:style>
  <w:style w:type="table" w:customStyle="1" w:styleId="ListTable7Colorful-Accent11">
    <w:name w:val="List Table 7 Colorful - Accent 11"/>
    <w:basedOn w:val="TableNormal"/>
    <w:uiPriority w:val="52"/>
    <w:rsid w:val="000367D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11">
    <w:name w:val="Grid Table 1 Light - Accent 11"/>
    <w:basedOn w:val="TableNormal"/>
    <w:uiPriority w:val="46"/>
    <w:rsid w:val="000367D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31">
    <w:name w:val="Grid Table 2 - Accent 31"/>
    <w:basedOn w:val="TableNormal"/>
    <w:uiPriority w:val="47"/>
    <w:rsid w:val="006400B3"/>
    <w:rPr>
      <w:rFonts w:ascii="Arial" w:eastAsiaTheme="minorHAnsi" w:hAnsi="Arial" w:cstheme="minorBidi"/>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pple-converted-space">
    <w:name w:val="apple-converted-space"/>
    <w:basedOn w:val="DefaultParagraphFont"/>
    <w:rsid w:val="006400B3"/>
  </w:style>
  <w:style w:type="character" w:styleId="Emphasis">
    <w:name w:val="Emphasis"/>
    <w:basedOn w:val="DefaultParagraphFont"/>
    <w:uiPriority w:val="20"/>
    <w:qFormat/>
    <w:rsid w:val="006400B3"/>
    <w:rPr>
      <w:i/>
      <w:iCs/>
    </w:rPr>
  </w:style>
  <w:style w:type="paragraph" w:customStyle="1" w:styleId="lead">
    <w:name w:val="lead"/>
    <w:basedOn w:val="Normal"/>
    <w:rsid w:val="006400B3"/>
    <w:pPr>
      <w:widowControl/>
      <w:overflowPunct/>
      <w:autoSpaceDE/>
      <w:autoSpaceDN/>
      <w:adjustRightInd/>
      <w:spacing w:before="100" w:beforeAutospacing="1" w:after="100" w:afterAutospacing="1"/>
      <w:textAlignment w:val="auto"/>
    </w:pPr>
    <w:rPr>
      <w:szCs w:val="24"/>
    </w:rPr>
  </w:style>
  <w:style w:type="table" w:customStyle="1" w:styleId="PlainTable42">
    <w:name w:val="Plain Table 42"/>
    <w:basedOn w:val="TableNormal"/>
    <w:uiPriority w:val="44"/>
    <w:rsid w:val="006400B3"/>
    <w:rPr>
      <w:rFonts w:ascii="Arial" w:eastAsiaTheme="minorHAnsi" w:hAnsi="Arial"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6400B3"/>
    <w:rPr>
      <w:rFonts w:ascii="Arial" w:eastAsiaTheme="minorHAnsi" w:hAnsi="Arial"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32">
    <w:name w:val="Grid Table 1 Light - Accent 32"/>
    <w:basedOn w:val="TableNormal"/>
    <w:uiPriority w:val="46"/>
    <w:rsid w:val="00741006"/>
    <w:rPr>
      <w:rFonts w:asciiTheme="minorHAnsi" w:eastAsiaTheme="minorHAnsi" w:hAnsiTheme="minorHAnsi" w:cstheme="minorBidi"/>
      <w:sz w:val="22"/>
      <w:szCs w:val="22"/>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TableofFigures">
    <w:name w:val="table of figures"/>
    <w:basedOn w:val="Normal"/>
    <w:next w:val="Normal"/>
    <w:uiPriority w:val="99"/>
    <w:unhideWhenUsed/>
    <w:rsid w:val="00F15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5307148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08400433">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65797945">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8525562">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diagramQuickStyle" Target="diagrams/quickStyle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hyperlink" Target="mailto:ALEXM@ers.usda.gov" TargetMode="External"/><Relationship Id="rId10" Type="http://schemas.openxmlformats.org/officeDocument/2006/relationships/footer" Target="footer1.xml"/><Relationship Id="rId19" Type="http://schemas.openxmlformats.org/officeDocument/2006/relationships/diagramQuickStyle" Target="diagrams/quickStyle2.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hyperlink" Target="mailto:dgeller@manhattanstrategy.com" TargetMode="External"/><Relationship Id="rId30"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313F10-8345-4A53-82E5-FC7A5B6A1091}" type="doc">
      <dgm:prSet loTypeId="urn:microsoft.com/office/officeart/2005/8/layout/hProcess9" loCatId="process" qsTypeId="urn:microsoft.com/office/officeart/2005/8/quickstyle/simple1" qsCatId="simple" csTypeId="urn:microsoft.com/office/officeart/2005/8/colors/accent1_2" csCatId="accent1" phldr="1"/>
      <dgm:spPr/>
    </dgm:pt>
    <dgm:pt modelId="{C15AC64E-E1FF-449E-8C7B-DED5975E6B1D}">
      <dgm:prSet phldrT="[Text]" custT="1"/>
      <dgm:spPr>
        <a:xfrm>
          <a:off x="0" y="192404"/>
          <a:ext cx="1295590" cy="25654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100" b="1">
              <a:solidFill>
                <a:sysClr val="window" lastClr="FFFFFF"/>
              </a:solidFill>
              <a:latin typeface="Times New Roman" panose="02020603050405020304" pitchFamily="18" charset="0"/>
              <a:ea typeface="+mn-ea"/>
              <a:cs typeface="Times New Roman" panose="02020603050405020304" pitchFamily="18" charset="0"/>
            </a:rPr>
            <a:t>1. SNAP Retailers</a:t>
          </a:r>
        </a:p>
      </dgm:t>
    </dgm:pt>
    <dgm:pt modelId="{E52393C9-775F-4281-871C-A47B64ABD137}" type="parTrans" cxnId="{473757A2-1886-4255-85F9-91F8F44B4A45}">
      <dgm:prSet/>
      <dgm:spPr/>
      <dgm:t>
        <a:bodyPr/>
        <a:lstStyle/>
        <a:p>
          <a:pPr algn="ctr"/>
          <a:endParaRPr lang="en-US" sz="1200" b="1"/>
        </a:p>
      </dgm:t>
    </dgm:pt>
    <dgm:pt modelId="{F170DFAD-79BB-4D66-AC54-0AB848C3D474}" type="sibTrans" cxnId="{473757A2-1886-4255-85F9-91F8F44B4A45}">
      <dgm:prSet/>
      <dgm:spPr/>
      <dgm:t>
        <a:bodyPr/>
        <a:lstStyle/>
        <a:p>
          <a:pPr algn="ctr"/>
          <a:endParaRPr lang="en-US" sz="1200" b="1"/>
        </a:p>
      </dgm:t>
    </dgm:pt>
    <dgm:pt modelId="{AC318CF1-2234-48A0-B0C1-72B26A2066B9}">
      <dgm:prSet phldrT="[Text]" custT="1"/>
      <dgm:spPr>
        <a:xfrm>
          <a:off x="1511522" y="192404"/>
          <a:ext cx="1295590" cy="25654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100" b="1">
              <a:solidFill>
                <a:sysClr val="window" lastClr="FFFFFF"/>
              </a:solidFill>
              <a:latin typeface="Times New Roman" panose="02020603050405020304" pitchFamily="18" charset="0"/>
              <a:ea typeface="+mn-ea"/>
              <a:cs typeface="Times New Roman" panose="02020603050405020304" pitchFamily="18" charset="0"/>
            </a:rPr>
            <a:t>2. TPPs</a:t>
          </a:r>
        </a:p>
      </dgm:t>
    </dgm:pt>
    <dgm:pt modelId="{31F28A10-2031-40C0-A313-6EC1CFEF6FE5}" type="parTrans" cxnId="{426E8391-71CE-4BBD-AF75-8CC3A3081B18}">
      <dgm:prSet/>
      <dgm:spPr/>
      <dgm:t>
        <a:bodyPr/>
        <a:lstStyle/>
        <a:p>
          <a:pPr algn="ctr"/>
          <a:endParaRPr lang="en-US" sz="1200" b="1"/>
        </a:p>
      </dgm:t>
    </dgm:pt>
    <dgm:pt modelId="{1B8B7243-55A9-4DCE-B465-2DE64185B5D5}" type="sibTrans" cxnId="{426E8391-71CE-4BBD-AF75-8CC3A3081B18}">
      <dgm:prSet/>
      <dgm:spPr/>
      <dgm:t>
        <a:bodyPr/>
        <a:lstStyle/>
        <a:p>
          <a:pPr algn="ctr"/>
          <a:endParaRPr lang="en-US" sz="1200" b="1"/>
        </a:p>
      </dgm:t>
    </dgm:pt>
    <dgm:pt modelId="{94E219A8-025D-44FC-911F-B06807106E9F}">
      <dgm:prSet phldrT="[Text]" custT="1"/>
      <dgm:spPr>
        <a:xfrm>
          <a:off x="3023044" y="192404"/>
          <a:ext cx="1295590" cy="25654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100" b="1">
              <a:solidFill>
                <a:sysClr val="window" lastClr="FFFFFF"/>
              </a:solidFill>
              <a:latin typeface="Times New Roman" panose="02020603050405020304" pitchFamily="18" charset="0"/>
              <a:ea typeface="+mn-ea"/>
              <a:cs typeface="Times New Roman" panose="02020603050405020304" pitchFamily="18" charset="0"/>
            </a:rPr>
            <a:t>3. ISOs</a:t>
          </a:r>
        </a:p>
      </dgm:t>
    </dgm:pt>
    <dgm:pt modelId="{A772A825-72EC-4FA1-9F04-2D2DC839EA46}" type="parTrans" cxnId="{9DF86623-31FD-4DE8-80C6-6E7C7CE823D7}">
      <dgm:prSet/>
      <dgm:spPr/>
      <dgm:t>
        <a:bodyPr/>
        <a:lstStyle/>
        <a:p>
          <a:pPr algn="ctr"/>
          <a:endParaRPr lang="en-US" sz="1200" b="1"/>
        </a:p>
      </dgm:t>
    </dgm:pt>
    <dgm:pt modelId="{B6F5B430-F8FC-42A0-BFA9-36B41E66DB27}" type="sibTrans" cxnId="{9DF86623-31FD-4DE8-80C6-6E7C7CE823D7}">
      <dgm:prSet/>
      <dgm:spPr/>
      <dgm:t>
        <a:bodyPr/>
        <a:lstStyle/>
        <a:p>
          <a:pPr algn="ctr"/>
          <a:endParaRPr lang="en-US" sz="1200" b="1"/>
        </a:p>
      </dgm:t>
    </dgm:pt>
    <dgm:pt modelId="{377C6787-F05D-42F3-BD1C-691AB09382EE}" type="pres">
      <dgm:prSet presAssocID="{DD313F10-8345-4A53-82E5-FC7A5B6A1091}" presName="CompostProcess" presStyleCnt="0">
        <dgm:presLayoutVars>
          <dgm:dir/>
          <dgm:resizeHandles val="exact"/>
        </dgm:presLayoutVars>
      </dgm:prSet>
      <dgm:spPr/>
    </dgm:pt>
    <dgm:pt modelId="{AB5B5E7D-E79B-4393-B7DB-B6313F8B1269}" type="pres">
      <dgm:prSet presAssocID="{DD313F10-8345-4A53-82E5-FC7A5B6A1091}" presName="arrow" presStyleLbl="bgShp" presStyleIdx="0" presStyleCnt="1"/>
      <dgm:spPr>
        <a:xfrm>
          <a:off x="323897" y="0"/>
          <a:ext cx="3670839" cy="641349"/>
        </a:xfrm>
        <a:prstGeom prst="rightArrow">
          <a:avLst/>
        </a:prstGeom>
        <a:solidFill>
          <a:srgbClr val="5B9BD5">
            <a:tint val="40000"/>
            <a:hueOff val="0"/>
            <a:satOff val="0"/>
            <a:lumOff val="0"/>
            <a:alphaOff val="0"/>
          </a:srgbClr>
        </a:solidFill>
        <a:ln>
          <a:noFill/>
        </a:ln>
        <a:effectLst/>
      </dgm:spPr>
    </dgm:pt>
    <dgm:pt modelId="{E661457D-9E52-4344-98D4-8B216EE14513}" type="pres">
      <dgm:prSet presAssocID="{DD313F10-8345-4A53-82E5-FC7A5B6A1091}" presName="linearProcess" presStyleCnt="0"/>
      <dgm:spPr/>
    </dgm:pt>
    <dgm:pt modelId="{BAB61962-7A15-46BC-A6D4-A58B75FA2001}" type="pres">
      <dgm:prSet presAssocID="{C15AC64E-E1FF-449E-8C7B-DED5975E6B1D}" presName="textNode" presStyleLbl="node1" presStyleIdx="0" presStyleCnt="3">
        <dgm:presLayoutVars>
          <dgm:bulletEnabled val="1"/>
        </dgm:presLayoutVars>
      </dgm:prSet>
      <dgm:spPr>
        <a:prstGeom prst="roundRect">
          <a:avLst/>
        </a:prstGeom>
      </dgm:spPr>
      <dgm:t>
        <a:bodyPr/>
        <a:lstStyle/>
        <a:p>
          <a:endParaRPr lang="en-US"/>
        </a:p>
      </dgm:t>
    </dgm:pt>
    <dgm:pt modelId="{A8AE9C44-8E25-44B0-B717-CFBE69CAA217}" type="pres">
      <dgm:prSet presAssocID="{F170DFAD-79BB-4D66-AC54-0AB848C3D474}" presName="sibTrans" presStyleCnt="0"/>
      <dgm:spPr/>
    </dgm:pt>
    <dgm:pt modelId="{7F27CC83-2252-4C02-AC81-78F5F9004563}" type="pres">
      <dgm:prSet presAssocID="{AC318CF1-2234-48A0-B0C1-72B26A2066B9}" presName="textNode" presStyleLbl="node1" presStyleIdx="1" presStyleCnt="3">
        <dgm:presLayoutVars>
          <dgm:bulletEnabled val="1"/>
        </dgm:presLayoutVars>
      </dgm:prSet>
      <dgm:spPr>
        <a:prstGeom prst="roundRect">
          <a:avLst/>
        </a:prstGeom>
      </dgm:spPr>
      <dgm:t>
        <a:bodyPr/>
        <a:lstStyle/>
        <a:p>
          <a:endParaRPr lang="en-US"/>
        </a:p>
      </dgm:t>
    </dgm:pt>
    <dgm:pt modelId="{168A1E45-A444-475B-B1BA-43DECBAB0CEA}" type="pres">
      <dgm:prSet presAssocID="{1B8B7243-55A9-4DCE-B465-2DE64185B5D5}" presName="sibTrans" presStyleCnt="0"/>
      <dgm:spPr/>
    </dgm:pt>
    <dgm:pt modelId="{75104215-8EC4-4A8D-A7E1-021A61E7CDFA}" type="pres">
      <dgm:prSet presAssocID="{94E219A8-025D-44FC-911F-B06807106E9F}" presName="textNode" presStyleLbl="node1" presStyleIdx="2" presStyleCnt="3">
        <dgm:presLayoutVars>
          <dgm:bulletEnabled val="1"/>
        </dgm:presLayoutVars>
      </dgm:prSet>
      <dgm:spPr>
        <a:prstGeom prst="roundRect">
          <a:avLst/>
        </a:prstGeom>
      </dgm:spPr>
      <dgm:t>
        <a:bodyPr/>
        <a:lstStyle/>
        <a:p>
          <a:endParaRPr lang="en-US"/>
        </a:p>
      </dgm:t>
    </dgm:pt>
  </dgm:ptLst>
  <dgm:cxnLst>
    <dgm:cxn modelId="{AF1831BB-83BC-42A0-81C3-BE703A925579}" type="presOf" srcId="{DD313F10-8345-4A53-82E5-FC7A5B6A1091}" destId="{377C6787-F05D-42F3-BD1C-691AB09382EE}" srcOrd="0" destOrd="0" presId="urn:microsoft.com/office/officeart/2005/8/layout/hProcess9"/>
    <dgm:cxn modelId="{0576F4BA-A82D-4E29-A0F5-2D6A80762AE2}" type="presOf" srcId="{AC318CF1-2234-48A0-B0C1-72B26A2066B9}" destId="{7F27CC83-2252-4C02-AC81-78F5F9004563}" srcOrd="0" destOrd="0" presId="urn:microsoft.com/office/officeart/2005/8/layout/hProcess9"/>
    <dgm:cxn modelId="{9DF86623-31FD-4DE8-80C6-6E7C7CE823D7}" srcId="{DD313F10-8345-4A53-82E5-FC7A5B6A1091}" destId="{94E219A8-025D-44FC-911F-B06807106E9F}" srcOrd="2" destOrd="0" parTransId="{A772A825-72EC-4FA1-9F04-2D2DC839EA46}" sibTransId="{B6F5B430-F8FC-42A0-BFA9-36B41E66DB27}"/>
    <dgm:cxn modelId="{0D1D8514-4A32-4783-99A8-07799CD3CA6A}" type="presOf" srcId="{C15AC64E-E1FF-449E-8C7B-DED5975E6B1D}" destId="{BAB61962-7A15-46BC-A6D4-A58B75FA2001}" srcOrd="0" destOrd="0" presId="urn:microsoft.com/office/officeart/2005/8/layout/hProcess9"/>
    <dgm:cxn modelId="{45E5EFAC-D66F-45FE-B732-2162C724FB7D}" type="presOf" srcId="{94E219A8-025D-44FC-911F-B06807106E9F}" destId="{75104215-8EC4-4A8D-A7E1-021A61E7CDFA}" srcOrd="0" destOrd="0" presId="urn:microsoft.com/office/officeart/2005/8/layout/hProcess9"/>
    <dgm:cxn modelId="{426E8391-71CE-4BBD-AF75-8CC3A3081B18}" srcId="{DD313F10-8345-4A53-82E5-FC7A5B6A1091}" destId="{AC318CF1-2234-48A0-B0C1-72B26A2066B9}" srcOrd="1" destOrd="0" parTransId="{31F28A10-2031-40C0-A313-6EC1CFEF6FE5}" sibTransId="{1B8B7243-55A9-4DCE-B465-2DE64185B5D5}"/>
    <dgm:cxn modelId="{473757A2-1886-4255-85F9-91F8F44B4A45}" srcId="{DD313F10-8345-4A53-82E5-FC7A5B6A1091}" destId="{C15AC64E-E1FF-449E-8C7B-DED5975E6B1D}" srcOrd="0" destOrd="0" parTransId="{E52393C9-775F-4281-871C-A47B64ABD137}" sibTransId="{F170DFAD-79BB-4D66-AC54-0AB848C3D474}"/>
    <dgm:cxn modelId="{BE9D95B7-861F-4F72-BA9C-403C340D53DB}" type="presParOf" srcId="{377C6787-F05D-42F3-BD1C-691AB09382EE}" destId="{AB5B5E7D-E79B-4393-B7DB-B6313F8B1269}" srcOrd="0" destOrd="0" presId="urn:microsoft.com/office/officeart/2005/8/layout/hProcess9"/>
    <dgm:cxn modelId="{9AF5D11D-0D50-4D6C-9102-405C2255B9AF}" type="presParOf" srcId="{377C6787-F05D-42F3-BD1C-691AB09382EE}" destId="{E661457D-9E52-4344-98D4-8B216EE14513}" srcOrd="1" destOrd="0" presId="urn:microsoft.com/office/officeart/2005/8/layout/hProcess9"/>
    <dgm:cxn modelId="{4BEDEFB6-E33C-45E1-941A-C31291B6DE20}" type="presParOf" srcId="{E661457D-9E52-4344-98D4-8B216EE14513}" destId="{BAB61962-7A15-46BC-A6D4-A58B75FA2001}" srcOrd="0" destOrd="0" presId="urn:microsoft.com/office/officeart/2005/8/layout/hProcess9"/>
    <dgm:cxn modelId="{1A2B47BA-F98A-471B-919D-89C66CA06577}" type="presParOf" srcId="{E661457D-9E52-4344-98D4-8B216EE14513}" destId="{A8AE9C44-8E25-44B0-B717-CFBE69CAA217}" srcOrd="1" destOrd="0" presId="urn:microsoft.com/office/officeart/2005/8/layout/hProcess9"/>
    <dgm:cxn modelId="{48C8C5BB-1E25-462A-B10F-93635C363BD4}" type="presParOf" srcId="{E661457D-9E52-4344-98D4-8B216EE14513}" destId="{7F27CC83-2252-4C02-AC81-78F5F9004563}" srcOrd="2" destOrd="0" presId="urn:microsoft.com/office/officeart/2005/8/layout/hProcess9"/>
    <dgm:cxn modelId="{B28C0F3D-F816-4F6E-8FD0-F9FB1C06D0F9}" type="presParOf" srcId="{E661457D-9E52-4344-98D4-8B216EE14513}" destId="{168A1E45-A444-475B-B1BA-43DECBAB0CEA}" srcOrd="3" destOrd="0" presId="urn:microsoft.com/office/officeart/2005/8/layout/hProcess9"/>
    <dgm:cxn modelId="{89D724F4-EC68-4A74-9387-FE0B74B8B2A8}" type="presParOf" srcId="{E661457D-9E52-4344-98D4-8B216EE14513}" destId="{75104215-8EC4-4A8D-A7E1-021A61E7CDFA}" srcOrd="4"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4C12ED2-787A-4A61-A91B-C90E4FF8DF34}"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n-US"/>
        </a:p>
      </dgm:t>
    </dgm:pt>
    <dgm:pt modelId="{D4B4ED47-F82B-4ECB-810F-BB095696CAB9}">
      <dgm:prSet phldrT="[Text]" custT="1"/>
      <dgm:spPr>
        <a:xfrm rot="10800000">
          <a:off x="0" y="768"/>
          <a:ext cx="5937250" cy="62388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00">
              <a:solidFill>
                <a:sysClr val="window" lastClr="FFFFFF"/>
              </a:solidFill>
              <a:latin typeface="Times New Roman" panose="02020603050405020304" pitchFamily="18" charset="0"/>
              <a:ea typeface="+mn-ea"/>
              <a:cs typeface="Times New Roman" panose="02020603050405020304" pitchFamily="18" charset="0"/>
            </a:rPr>
            <a:t>IDENTIFY</a:t>
          </a:r>
        </a:p>
      </dgm:t>
    </dgm:pt>
    <dgm:pt modelId="{98D75B22-703D-4D9D-861A-3E0B055C3D9A}" type="parTrans" cxnId="{0E19EF73-EDD3-49C5-8531-126B4A24C107}">
      <dgm:prSet/>
      <dgm:spPr/>
      <dgm:t>
        <a:bodyPr/>
        <a:lstStyle/>
        <a:p>
          <a:endParaRPr lang="en-US"/>
        </a:p>
      </dgm:t>
    </dgm:pt>
    <dgm:pt modelId="{C8790CA3-7040-48C5-810D-2E37404E9023}" type="sibTrans" cxnId="{0E19EF73-EDD3-49C5-8531-126B4A24C107}">
      <dgm:prSet/>
      <dgm:spPr/>
      <dgm:t>
        <a:bodyPr/>
        <a:lstStyle/>
        <a:p>
          <a:endParaRPr lang="en-US"/>
        </a:p>
      </dgm:t>
    </dgm:pt>
    <dgm:pt modelId="{E561E498-D069-4BD7-A2A3-E7DAA87BFB66}">
      <dgm:prSet phldrT="[Text]" custT="1"/>
      <dgm:spPr>
        <a:xfrm>
          <a:off x="0" y="219753"/>
          <a:ext cx="1484312" cy="186542"/>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buNone/>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Snowball Approach</a:t>
          </a:r>
        </a:p>
      </dgm:t>
    </dgm:pt>
    <dgm:pt modelId="{0C789A9E-51E3-4ED9-873B-C38C6B2F7046}" type="parTrans" cxnId="{A793ABF9-D08B-4652-AF73-A7AC86A44F0F}">
      <dgm:prSet/>
      <dgm:spPr/>
      <dgm:t>
        <a:bodyPr/>
        <a:lstStyle/>
        <a:p>
          <a:endParaRPr lang="en-US"/>
        </a:p>
      </dgm:t>
    </dgm:pt>
    <dgm:pt modelId="{FD1E9922-322E-4F5F-A95C-60109D5FAC50}" type="sibTrans" cxnId="{A793ABF9-D08B-4652-AF73-A7AC86A44F0F}">
      <dgm:prSet/>
      <dgm:spPr/>
      <dgm:t>
        <a:bodyPr/>
        <a:lstStyle/>
        <a:p>
          <a:endParaRPr lang="en-US"/>
        </a:p>
      </dgm:t>
    </dgm:pt>
    <dgm:pt modelId="{1E37485C-95EF-4E5D-ACD0-74A1F379E59C}">
      <dgm:prSet phldrT="[Text]" custT="1"/>
      <dgm:spPr>
        <a:xfrm>
          <a:off x="1484312" y="219753"/>
          <a:ext cx="1484312" cy="186542"/>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buNone/>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FNS Contacts</a:t>
          </a:r>
        </a:p>
      </dgm:t>
    </dgm:pt>
    <dgm:pt modelId="{A8F0842B-3666-43DD-89A1-B1037C0BC733}" type="parTrans" cxnId="{B2FE84E3-8087-44B0-9BCE-1280288286B7}">
      <dgm:prSet/>
      <dgm:spPr/>
      <dgm:t>
        <a:bodyPr/>
        <a:lstStyle/>
        <a:p>
          <a:endParaRPr lang="en-US"/>
        </a:p>
      </dgm:t>
    </dgm:pt>
    <dgm:pt modelId="{B8D9C9BB-8B25-4FEF-A3BE-EF9F72BAA039}" type="sibTrans" cxnId="{B2FE84E3-8087-44B0-9BCE-1280288286B7}">
      <dgm:prSet/>
      <dgm:spPr/>
      <dgm:t>
        <a:bodyPr/>
        <a:lstStyle/>
        <a:p>
          <a:endParaRPr lang="en-US"/>
        </a:p>
      </dgm:t>
    </dgm:pt>
    <dgm:pt modelId="{7DB361C0-EBE9-4618-8B6F-CAA657DD5EB8}">
      <dgm:prSet phldrT="[Text]" custT="1"/>
      <dgm:spPr>
        <a:xfrm rot="10800000">
          <a:off x="0" y="618572"/>
          <a:ext cx="5937250" cy="62388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00">
              <a:solidFill>
                <a:sysClr val="window" lastClr="FFFFFF"/>
              </a:solidFill>
              <a:latin typeface="Times New Roman" panose="02020603050405020304" pitchFamily="18" charset="0"/>
              <a:ea typeface="+mn-ea"/>
              <a:cs typeface="Times New Roman" panose="02020603050405020304" pitchFamily="18" charset="0"/>
            </a:rPr>
            <a:t>VALIDATE</a:t>
          </a:r>
        </a:p>
      </dgm:t>
    </dgm:pt>
    <dgm:pt modelId="{0C83100C-7EB7-4C1D-BF96-C958BED8E665}" type="parTrans" cxnId="{5B062B40-5933-4F8B-8268-CB2E96B01D93}">
      <dgm:prSet/>
      <dgm:spPr/>
      <dgm:t>
        <a:bodyPr/>
        <a:lstStyle/>
        <a:p>
          <a:endParaRPr lang="en-US"/>
        </a:p>
      </dgm:t>
    </dgm:pt>
    <dgm:pt modelId="{5ECAC578-5F61-4580-B7A9-7C2D6E1BB04A}" type="sibTrans" cxnId="{5B062B40-5933-4F8B-8268-CB2E96B01D93}">
      <dgm:prSet/>
      <dgm:spPr/>
      <dgm:t>
        <a:bodyPr/>
        <a:lstStyle/>
        <a:p>
          <a:endParaRPr lang="en-US"/>
        </a:p>
      </dgm:t>
    </dgm:pt>
    <dgm:pt modelId="{085B6B72-B656-48CB-B74E-2D60D3886CFE}">
      <dgm:prSet phldrT="[Text]" custT="1"/>
      <dgm:spPr>
        <a:xfrm>
          <a:off x="0" y="837558"/>
          <a:ext cx="1484312" cy="186542"/>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buNone/>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Active Status</a:t>
          </a:r>
        </a:p>
      </dgm:t>
    </dgm:pt>
    <dgm:pt modelId="{C2E8DF69-AF7A-488D-AABB-694E5D8735EE}" type="parTrans" cxnId="{89E9BDF0-45F7-480C-8B61-88BE8FF0001D}">
      <dgm:prSet/>
      <dgm:spPr/>
      <dgm:t>
        <a:bodyPr/>
        <a:lstStyle/>
        <a:p>
          <a:endParaRPr lang="en-US"/>
        </a:p>
      </dgm:t>
    </dgm:pt>
    <dgm:pt modelId="{10F0E333-8EAB-4292-B7E2-C43C486E41EA}" type="sibTrans" cxnId="{89E9BDF0-45F7-480C-8B61-88BE8FF0001D}">
      <dgm:prSet/>
      <dgm:spPr/>
      <dgm:t>
        <a:bodyPr/>
        <a:lstStyle/>
        <a:p>
          <a:endParaRPr lang="en-US"/>
        </a:p>
      </dgm:t>
    </dgm:pt>
    <dgm:pt modelId="{1C6F6489-F698-4FE8-AF1D-2D98EB1271EE}">
      <dgm:prSet phldrT="[Text]" custT="1"/>
      <dgm:spPr>
        <a:xfrm>
          <a:off x="1484312" y="837558"/>
          <a:ext cx="1484312" cy="186542"/>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buNone/>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Geographic Reach </a:t>
          </a:r>
        </a:p>
      </dgm:t>
    </dgm:pt>
    <dgm:pt modelId="{537A215A-1BC8-479A-B726-FCE31437091B}" type="parTrans" cxnId="{A5AFF281-CB95-4997-9F86-968D154B6A68}">
      <dgm:prSet/>
      <dgm:spPr/>
      <dgm:t>
        <a:bodyPr/>
        <a:lstStyle/>
        <a:p>
          <a:endParaRPr lang="en-US"/>
        </a:p>
      </dgm:t>
    </dgm:pt>
    <dgm:pt modelId="{B01AD96D-8DC4-488B-9770-2DBD02F60E9C}" type="sibTrans" cxnId="{A5AFF281-CB95-4997-9F86-968D154B6A68}">
      <dgm:prSet/>
      <dgm:spPr/>
      <dgm:t>
        <a:bodyPr/>
        <a:lstStyle/>
        <a:p>
          <a:endParaRPr lang="en-US"/>
        </a:p>
      </dgm:t>
    </dgm:pt>
    <dgm:pt modelId="{4DC60D1E-E064-444B-919B-EC056AE84832}">
      <dgm:prSet phldrT="[Text]" custT="1"/>
      <dgm:spPr>
        <a:xfrm rot="10800000">
          <a:off x="0" y="1236377"/>
          <a:ext cx="5937250" cy="62388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00">
              <a:solidFill>
                <a:sysClr val="window" lastClr="FFFFFF"/>
              </a:solidFill>
              <a:latin typeface="Times New Roman" panose="02020603050405020304" pitchFamily="18" charset="0"/>
              <a:ea typeface="+mn-ea"/>
              <a:cs typeface="Times New Roman" panose="02020603050405020304" pitchFamily="18" charset="0"/>
            </a:rPr>
            <a:t>RECRUIT and INTERVIEW</a:t>
          </a:r>
          <a:r>
            <a:rPr lang="en-US" sz="1200">
              <a:solidFill>
                <a:sysClr val="window" lastClr="FFFFFF"/>
              </a:solidFill>
              <a:latin typeface="Calibri" panose="020F0502020204030204"/>
              <a:ea typeface="+mn-ea"/>
              <a:cs typeface="+mn-cs"/>
            </a:rPr>
            <a:t>	</a:t>
          </a:r>
        </a:p>
      </dgm:t>
    </dgm:pt>
    <dgm:pt modelId="{27852E9F-7292-42F4-9BF2-E715D9DA41AB}" type="parTrans" cxnId="{3E2D2C1A-F6ED-402A-9008-159466C6F520}">
      <dgm:prSet/>
      <dgm:spPr/>
      <dgm:t>
        <a:bodyPr/>
        <a:lstStyle/>
        <a:p>
          <a:endParaRPr lang="en-US"/>
        </a:p>
      </dgm:t>
    </dgm:pt>
    <dgm:pt modelId="{66F0CA4E-56B6-4F24-9F43-4FBBCA3D8FA6}" type="sibTrans" cxnId="{3E2D2C1A-F6ED-402A-9008-159466C6F520}">
      <dgm:prSet/>
      <dgm:spPr/>
      <dgm:t>
        <a:bodyPr/>
        <a:lstStyle/>
        <a:p>
          <a:endParaRPr lang="en-US"/>
        </a:p>
      </dgm:t>
    </dgm:pt>
    <dgm:pt modelId="{C6D8F5D5-E8D2-47B8-A3F5-677D11D45424}">
      <dgm:prSet phldrT="[Text]" custT="1"/>
      <dgm:spPr>
        <a:xfrm>
          <a:off x="0" y="1455362"/>
          <a:ext cx="2968624" cy="186542"/>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buNone/>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Solicit Participation</a:t>
          </a:r>
        </a:p>
      </dgm:t>
    </dgm:pt>
    <dgm:pt modelId="{BF0626CD-E334-437D-8626-C34D3759A7C6}" type="parTrans" cxnId="{50ABE8F9-47F5-4241-86B6-E054F01B9F0D}">
      <dgm:prSet/>
      <dgm:spPr/>
      <dgm:t>
        <a:bodyPr/>
        <a:lstStyle/>
        <a:p>
          <a:endParaRPr lang="en-US"/>
        </a:p>
      </dgm:t>
    </dgm:pt>
    <dgm:pt modelId="{D93399B1-4FE2-4621-A449-7F125F2D7CB1}" type="sibTrans" cxnId="{50ABE8F9-47F5-4241-86B6-E054F01B9F0D}">
      <dgm:prSet/>
      <dgm:spPr/>
      <dgm:t>
        <a:bodyPr/>
        <a:lstStyle/>
        <a:p>
          <a:endParaRPr lang="en-US"/>
        </a:p>
      </dgm:t>
    </dgm:pt>
    <dgm:pt modelId="{D1B884CE-6CF4-4125-BB08-9247EA372516}">
      <dgm:prSet phldrT="[Text]" custT="1"/>
      <dgm:spPr>
        <a:xfrm>
          <a:off x="2968625" y="1455362"/>
          <a:ext cx="2968624" cy="186542"/>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buNone/>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Confirm Eligibility</a:t>
          </a:r>
        </a:p>
      </dgm:t>
    </dgm:pt>
    <dgm:pt modelId="{2E52ED27-A639-49D0-AF22-71930F54A704}" type="parTrans" cxnId="{573A1FE1-8CB3-402F-84FB-2449A015F65F}">
      <dgm:prSet/>
      <dgm:spPr/>
      <dgm:t>
        <a:bodyPr/>
        <a:lstStyle/>
        <a:p>
          <a:endParaRPr lang="en-US"/>
        </a:p>
      </dgm:t>
    </dgm:pt>
    <dgm:pt modelId="{06196C78-E531-4C8F-A5B4-41075EDC30DA}" type="sibTrans" cxnId="{573A1FE1-8CB3-402F-84FB-2449A015F65F}">
      <dgm:prSet/>
      <dgm:spPr/>
      <dgm:t>
        <a:bodyPr/>
        <a:lstStyle/>
        <a:p>
          <a:endParaRPr lang="en-US"/>
        </a:p>
      </dgm:t>
    </dgm:pt>
    <dgm:pt modelId="{6BE0E734-B09E-4844-A2EB-537B4350E32B}">
      <dgm:prSet custT="1"/>
      <dgm:spPr>
        <a:xfrm>
          <a:off x="2968625" y="219753"/>
          <a:ext cx="1484312" cy="186542"/>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buNone/>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Study Team Contacts</a:t>
          </a:r>
        </a:p>
      </dgm:t>
    </dgm:pt>
    <dgm:pt modelId="{E3C99863-762F-45F8-BC2E-AAAB9CA40073}" type="parTrans" cxnId="{5E09457C-41B1-46EF-83B0-6191F9743239}">
      <dgm:prSet/>
      <dgm:spPr/>
      <dgm:t>
        <a:bodyPr/>
        <a:lstStyle/>
        <a:p>
          <a:endParaRPr lang="en-US"/>
        </a:p>
      </dgm:t>
    </dgm:pt>
    <dgm:pt modelId="{71AB3F23-37DF-4D90-B69E-6351E37BEBB6}" type="sibTrans" cxnId="{5E09457C-41B1-46EF-83B0-6191F9743239}">
      <dgm:prSet/>
      <dgm:spPr/>
      <dgm:t>
        <a:bodyPr/>
        <a:lstStyle/>
        <a:p>
          <a:endParaRPr lang="en-US"/>
        </a:p>
      </dgm:t>
    </dgm:pt>
    <dgm:pt modelId="{DD2E33B6-D724-493D-BB47-F8FA40A2143B}">
      <dgm:prSet custT="1"/>
      <dgm:spPr>
        <a:xfrm>
          <a:off x="4452937" y="219753"/>
          <a:ext cx="1484312" cy="186542"/>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buNone/>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Secondary Research</a:t>
          </a:r>
        </a:p>
      </dgm:t>
    </dgm:pt>
    <dgm:pt modelId="{B8E393E4-CF80-49CF-B3DF-4F7AC0585866}" type="parTrans" cxnId="{B3AC6AD3-7FD3-4F0C-A2CB-7F7AC59F9373}">
      <dgm:prSet/>
      <dgm:spPr/>
      <dgm:t>
        <a:bodyPr/>
        <a:lstStyle/>
        <a:p>
          <a:endParaRPr lang="en-US"/>
        </a:p>
      </dgm:t>
    </dgm:pt>
    <dgm:pt modelId="{835B0726-A2EE-4DF5-BF7B-FC1054026C89}" type="sibTrans" cxnId="{B3AC6AD3-7FD3-4F0C-A2CB-7F7AC59F9373}">
      <dgm:prSet/>
      <dgm:spPr/>
      <dgm:t>
        <a:bodyPr/>
        <a:lstStyle/>
        <a:p>
          <a:endParaRPr lang="en-US"/>
        </a:p>
      </dgm:t>
    </dgm:pt>
    <dgm:pt modelId="{0917C3F6-06D7-413C-A30D-F2E7EB24695A}">
      <dgm:prSet custT="1"/>
      <dgm:spPr>
        <a:xfrm>
          <a:off x="2968625" y="837558"/>
          <a:ext cx="1484312" cy="186542"/>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buNone/>
          </a:pP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Industry Supported</a:t>
          </a:r>
        </a:p>
      </dgm:t>
    </dgm:pt>
    <dgm:pt modelId="{1F47AA21-8F03-4DF0-B054-A4ABD2921ABC}" type="parTrans" cxnId="{533AE105-EF97-4CB2-B501-51DF8B38DD5C}">
      <dgm:prSet/>
      <dgm:spPr/>
      <dgm:t>
        <a:bodyPr/>
        <a:lstStyle/>
        <a:p>
          <a:endParaRPr lang="en-US"/>
        </a:p>
      </dgm:t>
    </dgm:pt>
    <dgm:pt modelId="{96264A95-D3C3-44D9-AA0D-F23B291DBF67}" type="sibTrans" cxnId="{533AE105-EF97-4CB2-B501-51DF8B38DD5C}">
      <dgm:prSet/>
      <dgm:spPr/>
      <dgm:t>
        <a:bodyPr/>
        <a:lstStyle/>
        <a:p>
          <a:endParaRPr lang="en-US"/>
        </a:p>
      </dgm:t>
    </dgm:pt>
    <dgm:pt modelId="{EB188FE4-87E4-491E-8714-D70B846C75A1}" type="pres">
      <dgm:prSet presAssocID="{A4C12ED2-787A-4A61-A91B-C90E4FF8DF34}" presName="Name0" presStyleCnt="0">
        <dgm:presLayoutVars>
          <dgm:dir/>
          <dgm:animLvl val="lvl"/>
          <dgm:resizeHandles val="exact"/>
        </dgm:presLayoutVars>
      </dgm:prSet>
      <dgm:spPr/>
      <dgm:t>
        <a:bodyPr/>
        <a:lstStyle/>
        <a:p>
          <a:endParaRPr lang="en-US"/>
        </a:p>
      </dgm:t>
    </dgm:pt>
    <dgm:pt modelId="{AEA0E40E-116D-49A7-9058-44C50B87E60D}" type="pres">
      <dgm:prSet presAssocID="{4DC60D1E-E064-444B-919B-EC056AE84832}" presName="boxAndChildren" presStyleCnt="0"/>
      <dgm:spPr/>
    </dgm:pt>
    <dgm:pt modelId="{C35EA641-E35F-4AFB-840C-C9B0A1B5D3BF}" type="pres">
      <dgm:prSet presAssocID="{4DC60D1E-E064-444B-919B-EC056AE84832}" presName="parentTextBox" presStyleLbl="node1" presStyleIdx="0" presStyleCnt="3"/>
      <dgm:spPr/>
      <dgm:t>
        <a:bodyPr/>
        <a:lstStyle/>
        <a:p>
          <a:endParaRPr lang="en-US"/>
        </a:p>
      </dgm:t>
    </dgm:pt>
    <dgm:pt modelId="{36456295-62B7-4E30-8BB2-371F37E428ED}" type="pres">
      <dgm:prSet presAssocID="{4DC60D1E-E064-444B-919B-EC056AE84832}" presName="entireBox" presStyleLbl="node1" presStyleIdx="0" presStyleCnt="3"/>
      <dgm:spPr/>
      <dgm:t>
        <a:bodyPr/>
        <a:lstStyle/>
        <a:p>
          <a:endParaRPr lang="en-US"/>
        </a:p>
      </dgm:t>
    </dgm:pt>
    <dgm:pt modelId="{39C82CB5-AC59-4E9C-8DD4-14C87B1A72A7}" type="pres">
      <dgm:prSet presAssocID="{4DC60D1E-E064-444B-919B-EC056AE84832}" presName="descendantBox" presStyleCnt="0"/>
      <dgm:spPr/>
    </dgm:pt>
    <dgm:pt modelId="{20DA4CB4-03F2-4284-A0F1-C34947BA5EE3}" type="pres">
      <dgm:prSet presAssocID="{C6D8F5D5-E8D2-47B8-A3F5-677D11D45424}" presName="childTextBox" presStyleLbl="fgAccFollowNode1" presStyleIdx="0" presStyleCnt="9">
        <dgm:presLayoutVars>
          <dgm:bulletEnabled val="1"/>
        </dgm:presLayoutVars>
      </dgm:prSet>
      <dgm:spPr/>
      <dgm:t>
        <a:bodyPr/>
        <a:lstStyle/>
        <a:p>
          <a:endParaRPr lang="en-US"/>
        </a:p>
      </dgm:t>
    </dgm:pt>
    <dgm:pt modelId="{6D7EA6CE-FADC-4C6B-9B2F-05EA0638F48C}" type="pres">
      <dgm:prSet presAssocID="{D1B884CE-6CF4-4125-BB08-9247EA372516}" presName="childTextBox" presStyleLbl="fgAccFollowNode1" presStyleIdx="1" presStyleCnt="9">
        <dgm:presLayoutVars>
          <dgm:bulletEnabled val="1"/>
        </dgm:presLayoutVars>
      </dgm:prSet>
      <dgm:spPr/>
      <dgm:t>
        <a:bodyPr/>
        <a:lstStyle/>
        <a:p>
          <a:endParaRPr lang="en-US"/>
        </a:p>
      </dgm:t>
    </dgm:pt>
    <dgm:pt modelId="{96C2C775-4152-4FE4-9BB8-80C06AA92AFA}" type="pres">
      <dgm:prSet presAssocID="{5ECAC578-5F61-4580-B7A9-7C2D6E1BB04A}" presName="sp" presStyleCnt="0"/>
      <dgm:spPr/>
    </dgm:pt>
    <dgm:pt modelId="{FB128EC2-1FB7-4EF6-9F19-425B5CAAB4A1}" type="pres">
      <dgm:prSet presAssocID="{7DB361C0-EBE9-4618-8B6F-CAA657DD5EB8}" presName="arrowAndChildren" presStyleCnt="0"/>
      <dgm:spPr/>
    </dgm:pt>
    <dgm:pt modelId="{EF4747CC-40D4-493F-9D56-9DFE9E9DBC0C}" type="pres">
      <dgm:prSet presAssocID="{7DB361C0-EBE9-4618-8B6F-CAA657DD5EB8}" presName="parentTextArrow" presStyleLbl="node1" presStyleIdx="0" presStyleCnt="3"/>
      <dgm:spPr>
        <a:prstGeom prst="upArrowCallout">
          <a:avLst/>
        </a:prstGeom>
      </dgm:spPr>
      <dgm:t>
        <a:bodyPr/>
        <a:lstStyle/>
        <a:p>
          <a:endParaRPr lang="en-US"/>
        </a:p>
      </dgm:t>
    </dgm:pt>
    <dgm:pt modelId="{B5A253B4-0C0F-404D-9CA5-8645397E715E}" type="pres">
      <dgm:prSet presAssocID="{7DB361C0-EBE9-4618-8B6F-CAA657DD5EB8}" presName="arrow" presStyleLbl="node1" presStyleIdx="1" presStyleCnt="3"/>
      <dgm:spPr/>
      <dgm:t>
        <a:bodyPr/>
        <a:lstStyle/>
        <a:p>
          <a:endParaRPr lang="en-US"/>
        </a:p>
      </dgm:t>
    </dgm:pt>
    <dgm:pt modelId="{D8FC91A3-E8FC-47B6-A656-77B3B5624E87}" type="pres">
      <dgm:prSet presAssocID="{7DB361C0-EBE9-4618-8B6F-CAA657DD5EB8}" presName="descendantArrow" presStyleCnt="0"/>
      <dgm:spPr/>
    </dgm:pt>
    <dgm:pt modelId="{EF4F0B7F-F93B-48B3-A62A-19771D062ECF}" type="pres">
      <dgm:prSet presAssocID="{085B6B72-B656-48CB-B74E-2D60D3886CFE}" presName="childTextArrow" presStyleLbl="fgAccFollowNode1" presStyleIdx="2" presStyleCnt="9">
        <dgm:presLayoutVars>
          <dgm:bulletEnabled val="1"/>
        </dgm:presLayoutVars>
      </dgm:prSet>
      <dgm:spPr>
        <a:prstGeom prst="rect">
          <a:avLst/>
        </a:prstGeom>
      </dgm:spPr>
      <dgm:t>
        <a:bodyPr/>
        <a:lstStyle/>
        <a:p>
          <a:endParaRPr lang="en-US"/>
        </a:p>
      </dgm:t>
    </dgm:pt>
    <dgm:pt modelId="{E2E4A17B-9E28-4F6F-9C19-6869CFE6D31A}" type="pres">
      <dgm:prSet presAssocID="{1C6F6489-F698-4FE8-AF1D-2D98EB1271EE}" presName="childTextArrow" presStyleLbl="fgAccFollowNode1" presStyleIdx="3" presStyleCnt="9" custLinFactNeighborX="-630" custLinFactNeighborY="-1547">
        <dgm:presLayoutVars>
          <dgm:bulletEnabled val="1"/>
        </dgm:presLayoutVars>
      </dgm:prSet>
      <dgm:spPr>
        <a:prstGeom prst="rect">
          <a:avLst/>
        </a:prstGeom>
      </dgm:spPr>
      <dgm:t>
        <a:bodyPr/>
        <a:lstStyle/>
        <a:p>
          <a:endParaRPr lang="en-US"/>
        </a:p>
      </dgm:t>
    </dgm:pt>
    <dgm:pt modelId="{9BC7E434-812B-4EE6-B7CE-87D2B18EA0FC}" type="pres">
      <dgm:prSet presAssocID="{0917C3F6-06D7-413C-A30D-F2E7EB24695A}" presName="childTextArrow" presStyleLbl="fgAccFollowNode1" presStyleIdx="4" presStyleCnt="9">
        <dgm:presLayoutVars>
          <dgm:bulletEnabled val="1"/>
        </dgm:presLayoutVars>
      </dgm:prSet>
      <dgm:spPr>
        <a:prstGeom prst="rect">
          <a:avLst/>
        </a:prstGeom>
      </dgm:spPr>
      <dgm:t>
        <a:bodyPr/>
        <a:lstStyle/>
        <a:p>
          <a:endParaRPr lang="en-US"/>
        </a:p>
      </dgm:t>
    </dgm:pt>
    <dgm:pt modelId="{87B5C952-2CD4-4F01-8113-D08F03305EA5}" type="pres">
      <dgm:prSet presAssocID="{C8790CA3-7040-48C5-810D-2E37404E9023}" presName="sp" presStyleCnt="0"/>
      <dgm:spPr/>
    </dgm:pt>
    <dgm:pt modelId="{25BD2D95-E42B-4279-9EB4-A961702EE3C0}" type="pres">
      <dgm:prSet presAssocID="{D4B4ED47-F82B-4ECB-810F-BB095696CAB9}" presName="arrowAndChildren" presStyleCnt="0"/>
      <dgm:spPr/>
    </dgm:pt>
    <dgm:pt modelId="{AD25326C-5EE7-42F2-BD79-3C6662C20F00}" type="pres">
      <dgm:prSet presAssocID="{D4B4ED47-F82B-4ECB-810F-BB095696CAB9}" presName="parentTextArrow" presStyleLbl="node1" presStyleIdx="1" presStyleCnt="3"/>
      <dgm:spPr>
        <a:prstGeom prst="upArrowCallout">
          <a:avLst/>
        </a:prstGeom>
      </dgm:spPr>
      <dgm:t>
        <a:bodyPr/>
        <a:lstStyle/>
        <a:p>
          <a:endParaRPr lang="en-US"/>
        </a:p>
      </dgm:t>
    </dgm:pt>
    <dgm:pt modelId="{D743A021-F91C-4718-A5B9-A2B14428C13B}" type="pres">
      <dgm:prSet presAssocID="{D4B4ED47-F82B-4ECB-810F-BB095696CAB9}" presName="arrow" presStyleLbl="node1" presStyleIdx="2" presStyleCnt="3" custLinFactNeighborX="1158" custLinFactNeighborY="-46"/>
      <dgm:spPr/>
      <dgm:t>
        <a:bodyPr/>
        <a:lstStyle/>
        <a:p>
          <a:endParaRPr lang="en-US"/>
        </a:p>
      </dgm:t>
    </dgm:pt>
    <dgm:pt modelId="{AC675FF2-C8DA-4F49-A995-FB9E8F3EA4B9}" type="pres">
      <dgm:prSet presAssocID="{D4B4ED47-F82B-4ECB-810F-BB095696CAB9}" presName="descendantArrow" presStyleCnt="0"/>
      <dgm:spPr/>
    </dgm:pt>
    <dgm:pt modelId="{D69A7279-8B0F-4721-A2DD-49952BAF6ED9}" type="pres">
      <dgm:prSet presAssocID="{E561E498-D069-4BD7-A2A3-E7DAA87BFB66}" presName="childTextArrow" presStyleLbl="fgAccFollowNode1" presStyleIdx="5" presStyleCnt="9">
        <dgm:presLayoutVars>
          <dgm:bulletEnabled val="1"/>
        </dgm:presLayoutVars>
      </dgm:prSet>
      <dgm:spPr>
        <a:prstGeom prst="rect">
          <a:avLst/>
        </a:prstGeom>
      </dgm:spPr>
      <dgm:t>
        <a:bodyPr/>
        <a:lstStyle/>
        <a:p>
          <a:endParaRPr lang="en-US"/>
        </a:p>
      </dgm:t>
    </dgm:pt>
    <dgm:pt modelId="{846B4830-4148-41F7-9BE4-1CA38A2B27A2}" type="pres">
      <dgm:prSet presAssocID="{1E37485C-95EF-4E5D-ACD0-74A1F379E59C}" presName="childTextArrow" presStyleLbl="fgAccFollowNode1" presStyleIdx="6" presStyleCnt="9">
        <dgm:presLayoutVars>
          <dgm:bulletEnabled val="1"/>
        </dgm:presLayoutVars>
      </dgm:prSet>
      <dgm:spPr>
        <a:prstGeom prst="rect">
          <a:avLst/>
        </a:prstGeom>
      </dgm:spPr>
      <dgm:t>
        <a:bodyPr/>
        <a:lstStyle/>
        <a:p>
          <a:endParaRPr lang="en-US"/>
        </a:p>
      </dgm:t>
    </dgm:pt>
    <dgm:pt modelId="{08F5E183-D710-4AA1-B7D7-2F5978D40412}" type="pres">
      <dgm:prSet presAssocID="{6BE0E734-B09E-4844-A2EB-537B4350E32B}" presName="childTextArrow" presStyleLbl="fgAccFollowNode1" presStyleIdx="7" presStyleCnt="9">
        <dgm:presLayoutVars>
          <dgm:bulletEnabled val="1"/>
        </dgm:presLayoutVars>
      </dgm:prSet>
      <dgm:spPr>
        <a:prstGeom prst="rect">
          <a:avLst/>
        </a:prstGeom>
      </dgm:spPr>
      <dgm:t>
        <a:bodyPr/>
        <a:lstStyle/>
        <a:p>
          <a:endParaRPr lang="en-US"/>
        </a:p>
      </dgm:t>
    </dgm:pt>
    <dgm:pt modelId="{C503956C-4421-4876-87DA-7E412A6D6905}" type="pres">
      <dgm:prSet presAssocID="{DD2E33B6-D724-493D-BB47-F8FA40A2143B}" presName="childTextArrow" presStyleLbl="fgAccFollowNode1" presStyleIdx="8" presStyleCnt="9">
        <dgm:presLayoutVars>
          <dgm:bulletEnabled val="1"/>
        </dgm:presLayoutVars>
      </dgm:prSet>
      <dgm:spPr>
        <a:prstGeom prst="rect">
          <a:avLst/>
        </a:prstGeom>
      </dgm:spPr>
      <dgm:t>
        <a:bodyPr/>
        <a:lstStyle/>
        <a:p>
          <a:endParaRPr lang="en-US"/>
        </a:p>
      </dgm:t>
    </dgm:pt>
  </dgm:ptLst>
  <dgm:cxnLst>
    <dgm:cxn modelId="{65A78235-52AB-41BB-9D60-7643AB1C1B1B}" type="presOf" srcId="{0917C3F6-06D7-413C-A30D-F2E7EB24695A}" destId="{9BC7E434-812B-4EE6-B7CE-87D2B18EA0FC}" srcOrd="0" destOrd="0" presId="urn:microsoft.com/office/officeart/2005/8/layout/process4"/>
    <dgm:cxn modelId="{C75EEEFA-1C27-4B9E-9AD2-5AD6BEB910F1}" type="presOf" srcId="{A4C12ED2-787A-4A61-A91B-C90E4FF8DF34}" destId="{EB188FE4-87E4-491E-8714-D70B846C75A1}" srcOrd="0" destOrd="0" presId="urn:microsoft.com/office/officeart/2005/8/layout/process4"/>
    <dgm:cxn modelId="{477EACC0-07CD-4F91-B103-196F96A392DB}" type="presOf" srcId="{7DB361C0-EBE9-4618-8B6F-CAA657DD5EB8}" destId="{B5A253B4-0C0F-404D-9CA5-8645397E715E}" srcOrd="1" destOrd="0" presId="urn:microsoft.com/office/officeart/2005/8/layout/process4"/>
    <dgm:cxn modelId="{ABBAEBA6-4E0D-447D-9CA9-E5EAB8CBF2C8}" type="presOf" srcId="{D4B4ED47-F82B-4ECB-810F-BB095696CAB9}" destId="{D743A021-F91C-4718-A5B9-A2B14428C13B}" srcOrd="1" destOrd="0" presId="urn:microsoft.com/office/officeart/2005/8/layout/process4"/>
    <dgm:cxn modelId="{5418BD09-8591-47D1-A3AD-D25A22460C3D}" type="presOf" srcId="{E561E498-D069-4BD7-A2A3-E7DAA87BFB66}" destId="{D69A7279-8B0F-4721-A2DD-49952BAF6ED9}" srcOrd="0" destOrd="0" presId="urn:microsoft.com/office/officeart/2005/8/layout/process4"/>
    <dgm:cxn modelId="{B2FE84E3-8087-44B0-9BCE-1280288286B7}" srcId="{D4B4ED47-F82B-4ECB-810F-BB095696CAB9}" destId="{1E37485C-95EF-4E5D-ACD0-74A1F379E59C}" srcOrd="1" destOrd="0" parTransId="{A8F0842B-3666-43DD-89A1-B1037C0BC733}" sibTransId="{B8D9C9BB-8B25-4FEF-A3BE-EF9F72BAA039}"/>
    <dgm:cxn modelId="{616D4385-8822-4B46-A829-1CE33DD066B2}" type="presOf" srcId="{4DC60D1E-E064-444B-919B-EC056AE84832}" destId="{36456295-62B7-4E30-8BB2-371F37E428ED}" srcOrd="1" destOrd="0" presId="urn:microsoft.com/office/officeart/2005/8/layout/process4"/>
    <dgm:cxn modelId="{20F9D3CC-6E77-44C2-95D2-68D2FA3973CD}" type="presOf" srcId="{6BE0E734-B09E-4844-A2EB-537B4350E32B}" destId="{08F5E183-D710-4AA1-B7D7-2F5978D40412}" srcOrd="0" destOrd="0" presId="urn:microsoft.com/office/officeart/2005/8/layout/process4"/>
    <dgm:cxn modelId="{E3CB2C31-A676-49CE-8848-648A46F15F87}" type="presOf" srcId="{1E37485C-95EF-4E5D-ACD0-74A1F379E59C}" destId="{846B4830-4148-41F7-9BE4-1CA38A2B27A2}" srcOrd="0" destOrd="0" presId="urn:microsoft.com/office/officeart/2005/8/layout/process4"/>
    <dgm:cxn modelId="{573A1FE1-8CB3-402F-84FB-2449A015F65F}" srcId="{4DC60D1E-E064-444B-919B-EC056AE84832}" destId="{D1B884CE-6CF4-4125-BB08-9247EA372516}" srcOrd="1" destOrd="0" parTransId="{2E52ED27-A639-49D0-AF22-71930F54A704}" sibTransId="{06196C78-E531-4C8F-A5B4-41075EDC30DA}"/>
    <dgm:cxn modelId="{3A61DD0A-FE93-420D-ABD5-B55F6EFF561E}" type="presOf" srcId="{7DB361C0-EBE9-4618-8B6F-CAA657DD5EB8}" destId="{EF4747CC-40D4-493F-9D56-9DFE9E9DBC0C}" srcOrd="0" destOrd="0" presId="urn:microsoft.com/office/officeart/2005/8/layout/process4"/>
    <dgm:cxn modelId="{5B062B40-5933-4F8B-8268-CB2E96B01D93}" srcId="{A4C12ED2-787A-4A61-A91B-C90E4FF8DF34}" destId="{7DB361C0-EBE9-4618-8B6F-CAA657DD5EB8}" srcOrd="1" destOrd="0" parTransId="{0C83100C-7EB7-4C1D-BF96-C958BED8E665}" sibTransId="{5ECAC578-5F61-4580-B7A9-7C2D6E1BB04A}"/>
    <dgm:cxn modelId="{3E2D2C1A-F6ED-402A-9008-159466C6F520}" srcId="{A4C12ED2-787A-4A61-A91B-C90E4FF8DF34}" destId="{4DC60D1E-E064-444B-919B-EC056AE84832}" srcOrd="2" destOrd="0" parTransId="{27852E9F-7292-42F4-9BF2-E715D9DA41AB}" sibTransId="{66F0CA4E-56B6-4F24-9F43-4FBBCA3D8FA6}"/>
    <dgm:cxn modelId="{A5AFF281-CB95-4997-9F86-968D154B6A68}" srcId="{7DB361C0-EBE9-4618-8B6F-CAA657DD5EB8}" destId="{1C6F6489-F698-4FE8-AF1D-2D98EB1271EE}" srcOrd="1" destOrd="0" parTransId="{537A215A-1BC8-479A-B726-FCE31437091B}" sibTransId="{B01AD96D-8DC4-488B-9770-2DBD02F60E9C}"/>
    <dgm:cxn modelId="{16525E56-6613-48C6-B02D-B2A1D016606A}" type="presOf" srcId="{DD2E33B6-D724-493D-BB47-F8FA40A2143B}" destId="{C503956C-4421-4876-87DA-7E412A6D6905}" srcOrd="0" destOrd="0" presId="urn:microsoft.com/office/officeart/2005/8/layout/process4"/>
    <dgm:cxn modelId="{50ABE8F9-47F5-4241-86B6-E054F01B9F0D}" srcId="{4DC60D1E-E064-444B-919B-EC056AE84832}" destId="{C6D8F5D5-E8D2-47B8-A3F5-677D11D45424}" srcOrd="0" destOrd="0" parTransId="{BF0626CD-E334-437D-8626-C34D3759A7C6}" sibTransId="{D93399B1-4FE2-4621-A449-7F125F2D7CB1}"/>
    <dgm:cxn modelId="{533AE105-EF97-4CB2-B501-51DF8B38DD5C}" srcId="{7DB361C0-EBE9-4618-8B6F-CAA657DD5EB8}" destId="{0917C3F6-06D7-413C-A30D-F2E7EB24695A}" srcOrd="2" destOrd="0" parTransId="{1F47AA21-8F03-4DF0-B054-A4ABD2921ABC}" sibTransId="{96264A95-D3C3-44D9-AA0D-F23B291DBF67}"/>
    <dgm:cxn modelId="{7767CEE9-4355-4ED1-8A3E-774C38B25341}" type="presOf" srcId="{4DC60D1E-E064-444B-919B-EC056AE84832}" destId="{C35EA641-E35F-4AFB-840C-C9B0A1B5D3BF}" srcOrd="0" destOrd="0" presId="urn:microsoft.com/office/officeart/2005/8/layout/process4"/>
    <dgm:cxn modelId="{89E9BDF0-45F7-480C-8B61-88BE8FF0001D}" srcId="{7DB361C0-EBE9-4618-8B6F-CAA657DD5EB8}" destId="{085B6B72-B656-48CB-B74E-2D60D3886CFE}" srcOrd="0" destOrd="0" parTransId="{C2E8DF69-AF7A-488D-AABB-694E5D8735EE}" sibTransId="{10F0E333-8EAB-4292-B7E2-C43C486E41EA}"/>
    <dgm:cxn modelId="{B3AC6AD3-7FD3-4F0C-A2CB-7F7AC59F9373}" srcId="{D4B4ED47-F82B-4ECB-810F-BB095696CAB9}" destId="{DD2E33B6-D724-493D-BB47-F8FA40A2143B}" srcOrd="3" destOrd="0" parTransId="{B8E393E4-CF80-49CF-B3DF-4F7AC0585866}" sibTransId="{835B0726-A2EE-4DF5-BF7B-FC1054026C89}"/>
    <dgm:cxn modelId="{D3E4AA32-54C4-4E62-BAC0-4D477D39DA5A}" type="presOf" srcId="{C6D8F5D5-E8D2-47B8-A3F5-677D11D45424}" destId="{20DA4CB4-03F2-4284-A0F1-C34947BA5EE3}" srcOrd="0" destOrd="0" presId="urn:microsoft.com/office/officeart/2005/8/layout/process4"/>
    <dgm:cxn modelId="{5E09457C-41B1-46EF-83B0-6191F9743239}" srcId="{D4B4ED47-F82B-4ECB-810F-BB095696CAB9}" destId="{6BE0E734-B09E-4844-A2EB-537B4350E32B}" srcOrd="2" destOrd="0" parTransId="{E3C99863-762F-45F8-BC2E-AAAB9CA40073}" sibTransId="{71AB3F23-37DF-4D90-B69E-6351E37BEBB6}"/>
    <dgm:cxn modelId="{A793ABF9-D08B-4652-AF73-A7AC86A44F0F}" srcId="{D4B4ED47-F82B-4ECB-810F-BB095696CAB9}" destId="{E561E498-D069-4BD7-A2A3-E7DAA87BFB66}" srcOrd="0" destOrd="0" parTransId="{0C789A9E-51E3-4ED9-873B-C38C6B2F7046}" sibTransId="{FD1E9922-322E-4F5F-A95C-60109D5FAC50}"/>
    <dgm:cxn modelId="{99EDEF91-C940-4F72-A1BF-CC0BF10D8431}" type="presOf" srcId="{085B6B72-B656-48CB-B74E-2D60D3886CFE}" destId="{EF4F0B7F-F93B-48B3-A62A-19771D062ECF}" srcOrd="0" destOrd="0" presId="urn:microsoft.com/office/officeart/2005/8/layout/process4"/>
    <dgm:cxn modelId="{DD3BE2D1-7627-442A-B483-CAD6E37C5348}" type="presOf" srcId="{D4B4ED47-F82B-4ECB-810F-BB095696CAB9}" destId="{AD25326C-5EE7-42F2-BD79-3C6662C20F00}" srcOrd="0" destOrd="0" presId="urn:microsoft.com/office/officeart/2005/8/layout/process4"/>
    <dgm:cxn modelId="{8FCD706D-766C-4818-9524-0B25E1CA9F1F}" type="presOf" srcId="{D1B884CE-6CF4-4125-BB08-9247EA372516}" destId="{6D7EA6CE-FADC-4C6B-9B2F-05EA0638F48C}" srcOrd="0" destOrd="0" presId="urn:microsoft.com/office/officeart/2005/8/layout/process4"/>
    <dgm:cxn modelId="{0E19EF73-EDD3-49C5-8531-126B4A24C107}" srcId="{A4C12ED2-787A-4A61-A91B-C90E4FF8DF34}" destId="{D4B4ED47-F82B-4ECB-810F-BB095696CAB9}" srcOrd="0" destOrd="0" parTransId="{98D75B22-703D-4D9D-861A-3E0B055C3D9A}" sibTransId="{C8790CA3-7040-48C5-810D-2E37404E9023}"/>
    <dgm:cxn modelId="{A199A58A-C122-4CF8-B7C4-DE2D4089B90F}" type="presOf" srcId="{1C6F6489-F698-4FE8-AF1D-2D98EB1271EE}" destId="{E2E4A17B-9E28-4F6F-9C19-6869CFE6D31A}" srcOrd="0" destOrd="0" presId="urn:microsoft.com/office/officeart/2005/8/layout/process4"/>
    <dgm:cxn modelId="{933AACD2-0B6F-4CCB-BCAD-845EE628E8E7}" type="presParOf" srcId="{EB188FE4-87E4-491E-8714-D70B846C75A1}" destId="{AEA0E40E-116D-49A7-9058-44C50B87E60D}" srcOrd="0" destOrd="0" presId="urn:microsoft.com/office/officeart/2005/8/layout/process4"/>
    <dgm:cxn modelId="{F6274D32-831F-418B-89E4-C16DF094386E}" type="presParOf" srcId="{AEA0E40E-116D-49A7-9058-44C50B87E60D}" destId="{C35EA641-E35F-4AFB-840C-C9B0A1B5D3BF}" srcOrd="0" destOrd="0" presId="urn:microsoft.com/office/officeart/2005/8/layout/process4"/>
    <dgm:cxn modelId="{71BDBC9A-4FB6-4F21-8500-DC242A17BA1C}" type="presParOf" srcId="{AEA0E40E-116D-49A7-9058-44C50B87E60D}" destId="{36456295-62B7-4E30-8BB2-371F37E428ED}" srcOrd="1" destOrd="0" presId="urn:microsoft.com/office/officeart/2005/8/layout/process4"/>
    <dgm:cxn modelId="{C3075D98-AE11-4406-96A5-636078ADE5E7}" type="presParOf" srcId="{AEA0E40E-116D-49A7-9058-44C50B87E60D}" destId="{39C82CB5-AC59-4E9C-8DD4-14C87B1A72A7}" srcOrd="2" destOrd="0" presId="urn:microsoft.com/office/officeart/2005/8/layout/process4"/>
    <dgm:cxn modelId="{45D3D420-5092-4927-BCC9-DDCB3A781B2B}" type="presParOf" srcId="{39C82CB5-AC59-4E9C-8DD4-14C87B1A72A7}" destId="{20DA4CB4-03F2-4284-A0F1-C34947BA5EE3}" srcOrd="0" destOrd="0" presId="urn:microsoft.com/office/officeart/2005/8/layout/process4"/>
    <dgm:cxn modelId="{46222C52-88A5-4DEF-AACA-C547E5D24FA8}" type="presParOf" srcId="{39C82CB5-AC59-4E9C-8DD4-14C87B1A72A7}" destId="{6D7EA6CE-FADC-4C6B-9B2F-05EA0638F48C}" srcOrd="1" destOrd="0" presId="urn:microsoft.com/office/officeart/2005/8/layout/process4"/>
    <dgm:cxn modelId="{ED09C0EF-19F2-4CBF-BC98-1F75242FC696}" type="presParOf" srcId="{EB188FE4-87E4-491E-8714-D70B846C75A1}" destId="{96C2C775-4152-4FE4-9BB8-80C06AA92AFA}" srcOrd="1" destOrd="0" presId="urn:microsoft.com/office/officeart/2005/8/layout/process4"/>
    <dgm:cxn modelId="{2A7C1F4F-3F05-4D73-B2AE-F5E589F4A0D6}" type="presParOf" srcId="{EB188FE4-87E4-491E-8714-D70B846C75A1}" destId="{FB128EC2-1FB7-4EF6-9F19-425B5CAAB4A1}" srcOrd="2" destOrd="0" presId="urn:microsoft.com/office/officeart/2005/8/layout/process4"/>
    <dgm:cxn modelId="{3C22C233-8C2D-41C5-8FC6-F156779B4C41}" type="presParOf" srcId="{FB128EC2-1FB7-4EF6-9F19-425B5CAAB4A1}" destId="{EF4747CC-40D4-493F-9D56-9DFE9E9DBC0C}" srcOrd="0" destOrd="0" presId="urn:microsoft.com/office/officeart/2005/8/layout/process4"/>
    <dgm:cxn modelId="{B5442C6F-4B6E-4BB6-8C64-E010B40A75DE}" type="presParOf" srcId="{FB128EC2-1FB7-4EF6-9F19-425B5CAAB4A1}" destId="{B5A253B4-0C0F-404D-9CA5-8645397E715E}" srcOrd="1" destOrd="0" presId="urn:microsoft.com/office/officeart/2005/8/layout/process4"/>
    <dgm:cxn modelId="{CC78AA7E-095B-4627-BEB2-1B833A17E676}" type="presParOf" srcId="{FB128EC2-1FB7-4EF6-9F19-425B5CAAB4A1}" destId="{D8FC91A3-E8FC-47B6-A656-77B3B5624E87}" srcOrd="2" destOrd="0" presId="urn:microsoft.com/office/officeart/2005/8/layout/process4"/>
    <dgm:cxn modelId="{221C3438-D042-4CC7-B756-4A8134E1D1EF}" type="presParOf" srcId="{D8FC91A3-E8FC-47B6-A656-77B3B5624E87}" destId="{EF4F0B7F-F93B-48B3-A62A-19771D062ECF}" srcOrd="0" destOrd="0" presId="urn:microsoft.com/office/officeart/2005/8/layout/process4"/>
    <dgm:cxn modelId="{98D2CF6F-6E2C-4B79-AA49-7B3CFD6FC751}" type="presParOf" srcId="{D8FC91A3-E8FC-47B6-A656-77B3B5624E87}" destId="{E2E4A17B-9E28-4F6F-9C19-6869CFE6D31A}" srcOrd="1" destOrd="0" presId="urn:microsoft.com/office/officeart/2005/8/layout/process4"/>
    <dgm:cxn modelId="{E03263D0-41A9-4915-9F78-1132606883C6}" type="presParOf" srcId="{D8FC91A3-E8FC-47B6-A656-77B3B5624E87}" destId="{9BC7E434-812B-4EE6-B7CE-87D2B18EA0FC}" srcOrd="2" destOrd="0" presId="urn:microsoft.com/office/officeart/2005/8/layout/process4"/>
    <dgm:cxn modelId="{226C1E34-AF2B-4BEB-BAB8-C17580194F1E}" type="presParOf" srcId="{EB188FE4-87E4-491E-8714-D70B846C75A1}" destId="{87B5C952-2CD4-4F01-8113-D08F03305EA5}" srcOrd="3" destOrd="0" presId="urn:microsoft.com/office/officeart/2005/8/layout/process4"/>
    <dgm:cxn modelId="{5F58FB88-6C57-4518-932E-76491DEA4067}" type="presParOf" srcId="{EB188FE4-87E4-491E-8714-D70B846C75A1}" destId="{25BD2D95-E42B-4279-9EB4-A961702EE3C0}" srcOrd="4" destOrd="0" presId="urn:microsoft.com/office/officeart/2005/8/layout/process4"/>
    <dgm:cxn modelId="{1885FD4E-F83B-432C-BFA7-D91FBAB067A6}" type="presParOf" srcId="{25BD2D95-E42B-4279-9EB4-A961702EE3C0}" destId="{AD25326C-5EE7-42F2-BD79-3C6662C20F00}" srcOrd="0" destOrd="0" presId="urn:microsoft.com/office/officeart/2005/8/layout/process4"/>
    <dgm:cxn modelId="{0C2388EB-F79A-4ECB-B7E8-9960C9D671FC}" type="presParOf" srcId="{25BD2D95-E42B-4279-9EB4-A961702EE3C0}" destId="{D743A021-F91C-4718-A5B9-A2B14428C13B}" srcOrd="1" destOrd="0" presId="urn:microsoft.com/office/officeart/2005/8/layout/process4"/>
    <dgm:cxn modelId="{92DEE5D3-58C0-4FAB-95CF-B56C358D132D}" type="presParOf" srcId="{25BD2D95-E42B-4279-9EB4-A961702EE3C0}" destId="{AC675FF2-C8DA-4F49-A995-FB9E8F3EA4B9}" srcOrd="2" destOrd="0" presId="urn:microsoft.com/office/officeart/2005/8/layout/process4"/>
    <dgm:cxn modelId="{61BF5049-D06D-41EA-BD53-A71E15DF14D9}" type="presParOf" srcId="{AC675FF2-C8DA-4F49-A995-FB9E8F3EA4B9}" destId="{D69A7279-8B0F-4721-A2DD-49952BAF6ED9}" srcOrd="0" destOrd="0" presId="urn:microsoft.com/office/officeart/2005/8/layout/process4"/>
    <dgm:cxn modelId="{83D0BD76-340B-4566-9E27-C551F1BD95EB}" type="presParOf" srcId="{AC675FF2-C8DA-4F49-A995-FB9E8F3EA4B9}" destId="{846B4830-4148-41F7-9BE4-1CA38A2B27A2}" srcOrd="1" destOrd="0" presId="urn:microsoft.com/office/officeart/2005/8/layout/process4"/>
    <dgm:cxn modelId="{B79FAC75-84F1-4766-AE53-F55BA8684BA1}" type="presParOf" srcId="{AC675FF2-C8DA-4F49-A995-FB9E8F3EA4B9}" destId="{08F5E183-D710-4AA1-B7D7-2F5978D40412}" srcOrd="2" destOrd="0" presId="urn:microsoft.com/office/officeart/2005/8/layout/process4"/>
    <dgm:cxn modelId="{1B688048-99AA-4650-B124-0E604A962EC6}" type="presParOf" srcId="{AC675FF2-C8DA-4F49-A995-FB9E8F3EA4B9}" destId="{C503956C-4421-4876-87DA-7E412A6D6905}" srcOrd="3" destOrd="0" presId="urn:microsoft.com/office/officeart/2005/8/layout/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97EFCE6-580F-4669-92C1-F875E7536252}" type="doc">
      <dgm:prSet loTypeId="urn:microsoft.com/office/officeart/2005/8/layout/process1" loCatId="process" qsTypeId="urn:microsoft.com/office/officeart/2005/8/quickstyle/simple1" qsCatId="simple" csTypeId="urn:microsoft.com/office/officeart/2005/8/colors/accent1_2" csCatId="accent1" phldr="1"/>
      <dgm:spPr/>
    </dgm:pt>
    <dgm:pt modelId="{125E6DAB-0181-4CD7-BDE5-C6B3538E6051}">
      <dgm:prSet phldrT="[Text]" custT="1"/>
      <dgm:spPr>
        <a:xfrm>
          <a:off x="4378452" y="0"/>
          <a:ext cx="1560830" cy="71745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nchor="t" anchorCtr="0"/>
        <a:lstStyle/>
        <a:p>
          <a:pPr>
            <a:buNone/>
          </a:pPr>
          <a:r>
            <a:rPr lang="en-US" sz="1100" b="1">
              <a:solidFill>
                <a:sysClr val="window" lastClr="FFFFFF"/>
              </a:solidFill>
              <a:latin typeface="Times New Roman" panose="02020603050405020304" pitchFamily="18" charset="0"/>
              <a:ea typeface="+mn-ea"/>
              <a:cs typeface="Times New Roman" panose="02020603050405020304" pitchFamily="18" charset="0"/>
            </a:rPr>
            <a:t>STEP 3: </a:t>
          </a:r>
        </a:p>
        <a:p>
          <a:pPr>
            <a:buNone/>
          </a:pPr>
          <a:r>
            <a:rPr lang="en-US" sz="1100" b="0">
              <a:solidFill>
                <a:sysClr val="window" lastClr="FFFFFF"/>
              </a:solidFill>
              <a:latin typeface="Times New Roman" panose="02020603050405020304" pitchFamily="18" charset="0"/>
              <a:ea typeface="+mn-ea"/>
              <a:cs typeface="Times New Roman" panose="02020603050405020304" pitchFamily="18" charset="0"/>
            </a:rPr>
            <a:t>Conduct Telephone Follow-Up with Nonresponders</a:t>
          </a:r>
        </a:p>
      </dgm:t>
    </dgm:pt>
    <dgm:pt modelId="{8ADDD9E0-FB27-4E80-BE97-BBAB581A1E6D}" type="parTrans" cxnId="{544DFDF7-7390-4C85-97C7-71829556CAFF}">
      <dgm:prSet/>
      <dgm:spPr/>
      <dgm:t>
        <a:bodyPr/>
        <a:lstStyle/>
        <a:p>
          <a:endParaRPr lang="en-US" sz="1000" b="1"/>
        </a:p>
      </dgm:t>
    </dgm:pt>
    <dgm:pt modelId="{4D1198D3-0D55-497E-9CC2-2AFB6469D151}" type="sibTrans" cxnId="{544DFDF7-7390-4C85-97C7-71829556CAFF}">
      <dgm:prSet/>
      <dgm:spPr/>
      <dgm:t>
        <a:bodyPr/>
        <a:lstStyle/>
        <a:p>
          <a:endParaRPr lang="en-US" sz="1000" b="1"/>
        </a:p>
      </dgm:t>
    </dgm:pt>
    <dgm:pt modelId="{BAE5D922-0424-4F1A-8F9C-A360A4C59612}">
      <dgm:prSet custT="1"/>
      <dgm:spPr>
        <a:xfrm>
          <a:off x="8126" y="0"/>
          <a:ext cx="1560830" cy="71745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nchor="t" anchorCtr="0"/>
        <a:lstStyle/>
        <a:p>
          <a:pPr>
            <a:buNone/>
          </a:pPr>
          <a:r>
            <a:rPr lang="en-US" sz="1100" b="1">
              <a:solidFill>
                <a:sysClr val="window" lastClr="FFFFFF"/>
              </a:solidFill>
              <a:latin typeface="Times New Roman" panose="02020603050405020304" pitchFamily="18" charset="0"/>
              <a:ea typeface="+mn-ea"/>
              <a:cs typeface="Times New Roman" panose="02020603050405020304" pitchFamily="18" charset="0"/>
            </a:rPr>
            <a:t>STEP 1:</a:t>
          </a:r>
        </a:p>
        <a:p>
          <a:pPr>
            <a:buNone/>
          </a:pPr>
          <a:r>
            <a:rPr lang="en-US" sz="1100" b="0">
              <a:solidFill>
                <a:sysClr val="window" lastClr="FFFFFF"/>
              </a:solidFill>
              <a:latin typeface="Times New Roman" panose="02020603050405020304" pitchFamily="18" charset="0"/>
              <a:ea typeface="+mn-ea"/>
              <a:cs typeface="Times New Roman" panose="02020603050405020304" pitchFamily="18" charset="0"/>
            </a:rPr>
            <a:t>Send Advance Letter and Invitation to Online and IVR Survey</a:t>
          </a:r>
          <a:r>
            <a:rPr lang="en-US" sz="1100" b="1">
              <a:solidFill>
                <a:sysClr val="window" lastClr="FFFFFF"/>
              </a:solidFill>
              <a:latin typeface="Times New Roman" panose="02020603050405020304" pitchFamily="18" charset="0"/>
              <a:ea typeface="+mn-ea"/>
              <a:cs typeface="Times New Roman" panose="02020603050405020304" pitchFamily="18" charset="0"/>
            </a:rPr>
            <a:t> </a:t>
          </a:r>
        </a:p>
      </dgm:t>
    </dgm:pt>
    <dgm:pt modelId="{2234B2ED-5F0D-4E2D-B8F5-C853ACBDCED7}" type="parTrans" cxnId="{BD7EF443-3F7A-48FB-8752-03852B4335CD}">
      <dgm:prSet/>
      <dgm:spPr/>
      <dgm:t>
        <a:bodyPr/>
        <a:lstStyle/>
        <a:p>
          <a:endParaRPr lang="en-US" sz="1000"/>
        </a:p>
      </dgm:t>
    </dgm:pt>
    <dgm:pt modelId="{01BE943E-53ED-4F58-9823-53C0523CE3BE}" type="sibTrans" cxnId="{BD7EF443-3F7A-48FB-8752-03852B4335CD}">
      <dgm:prSet custT="1"/>
      <dgm:spPr>
        <a:xfrm>
          <a:off x="1725040" y="165182"/>
          <a:ext cx="330896" cy="387086"/>
        </a:xfrm>
        <a:solidFill>
          <a:srgbClr val="5B9BD5">
            <a:tint val="60000"/>
            <a:hueOff val="0"/>
            <a:satOff val="0"/>
            <a:lumOff val="0"/>
            <a:alphaOff val="0"/>
          </a:srgbClr>
        </a:solidFill>
        <a:ln>
          <a:noFill/>
        </a:ln>
        <a:effectLst/>
      </dgm:spPr>
      <dgm:t>
        <a:bodyPr/>
        <a:lstStyle/>
        <a:p>
          <a:pPr>
            <a:buNone/>
          </a:pPr>
          <a:endParaRPr lang="en-US" sz="1000">
            <a:solidFill>
              <a:sysClr val="window" lastClr="FFFFFF"/>
            </a:solidFill>
            <a:latin typeface="Calibri" panose="020F0502020204030204"/>
            <a:ea typeface="+mn-ea"/>
            <a:cs typeface="+mn-cs"/>
          </a:endParaRPr>
        </a:p>
      </dgm:t>
    </dgm:pt>
    <dgm:pt modelId="{D9196916-1C09-42BB-A7E9-1A59D0A457C0}">
      <dgm:prSet custT="1"/>
      <dgm:spPr>
        <a:xfrm>
          <a:off x="2193289" y="0"/>
          <a:ext cx="1560830" cy="71745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nchor="t" anchorCtr="0"/>
        <a:lstStyle/>
        <a:p>
          <a:pPr>
            <a:buNone/>
          </a:pPr>
          <a:r>
            <a:rPr lang="en-US" sz="1100" b="1">
              <a:solidFill>
                <a:sysClr val="window" lastClr="FFFFFF"/>
              </a:solidFill>
              <a:latin typeface="Times New Roman" panose="02020603050405020304" pitchFamily="18" charset="0"/>
              <a:ea typeface="+mn-ea"/>
              <a:cs typeface="Times New Roman" panose="02020603050405020304" pitchFamily="18" charset="0"/>
            </a:rPr>
            <a:t>STEP 2:</a:t>
          </a:r>
        </a:p>
        <a:p>
          <a:pPr>
            <a:buNone/>
          </a:pPr>
          <a:r>
            <a:rPr lang="en-US" sz="1100" b="0">
              <a:solidFill>
                <a:sysClr val="window" lastClr="FFFFFF"/>
              </a:solidFill>
              <a:latin typeface="Times New Roman" panose="02020603050405020304" pitchFamily="18" charset="0"/>
              <a:ea typeface="+mn-ea"/>
              <a:cs typeface="Times New Roman" panose="02020603050405020304" pitchFamily="18" charset="0"/>
            </a:rPr>
            <a:t>Priroity Mail Reminder to Nonresponders</a:t>
          </a:r>
          <a:r>
            <a:rPr lang="en-US" sz="1100" b="1">
              <a:solidFill>
                <a:sysClr val="window" lastClr="FFFFFF"/>
              </a:solidFill>
              <a:latin typeface="Times New Roman" panose="02020603050405020304" pitchFamily="18" charset="0"/>
              <a:ea typeface="+mn-ea"/>
              <a:cs typeface="Times New Roman" panose="02020603050405020304" pitchFamily="18" charset="0"/>
            </a:rPr>
            <a:t> </a:t>
          </a:r>
        </a:p>
      </dgm:t>
    </dgm:pt>
    <dgm:pt modelId="{9BF14E86-1285-4D4C-8111-23285D03828E}" type="parTrans" cxnId="{9ADC6CAF-C783-40AB-B46B-933CB348BD6F}">
      <dgm:prSet/>
      <dgm:spPr/>
      <dgm:t>
        <a:bodyPr/>
        <a:lstStyle/>
        <a:p>
          <a:endParaRPr lang="en-US" sz="1000"/>
        </a:p>
      </dgm:t>
    </dgm:pt>
    <dgm:pt modelId="{A45ABEEE-BF02-45D2-A814-D2487F7286C3}" type="sibTrans" cxnId="{9ADC6CAF-C783-40AB-B46B-933CB348BD6F}">
      <dgm:prSet custT="1"/>
      <dgm:spPr>
        <a:xfrm>
          <a:off x="3910203" y="165182"/>
          <a:ext cx="330896" cy="387086"/>
        </a:xfrm>
        <a:solidFill>
          <a:srgbClr val="5B9BD5">
            <a:tint val="60000"/>
            <a:hueOff val="0"/>
            <a:satOff val="0"/>
            <a:lumOff val="0"/>
            <a:alphaOff val="0"/>
          </a:srgbClr>
        </a:solidFill>
        <a:ln>
          <a:noFill/>
        </a:ln>
        <a:effectLst/>
      </dgm:spPr>
      <dgm:t>
        <a:bodyPr/>
        <a:lstStyle/>
        <a:p>
          <a:pPr>
            <a:buNone/>
          </a:pPr>
          <a:endParaRPr lang="en-US" sz="1000">
            <a:solidFill>
              <a:sysClr val="window" lastClr="FFFFFF"/>
            </a:solidFill>
            <a:latin typeface="Calibri" panose="020F0502020204030204"/>
            <a:ea typeface="+mn-ea"/>
            <a:cs typeface="+mn-cs"/>
          </a:endParaRPr>
        </a:p>
      </dgm:t>
    </dgm:pt>
    <dgm:pt modelId="{BD05CEB8-C635-41F0-9334-390A5E2A92B5}" type="pres">
      <dgm:prSet presAssocID="{E97EFCE6-580F-4669-92C1-F875E7536252}" presName="Name0" presStyleCnt="0">
        <dgm:presLayoutVars>
          <dgm:dir/>
          <dgm:resizeHandles val="exact"/>
        </dgm:presLayoutVars>
      </dgm:prSet>
      <dgm:spPr/>
    </dgm:pt>
    <dgm:pt modelId="{A8CE3639-4DAD-4C23-A72B-3D3289BA1129}" type="pres">
      <dgm:prSet presAssocID="{BAE5D922-0424-4F1A-8F9C-A360A4C59612}" presName="node" presStyleLbl="node1" presStyleIdx="0" presStyleCnt="3">
        <dgm:presLayoutVars>
          <dgm:bulletEnabled val="1"/>
        </dgm:presLayoutVars>
      </dgm:prSet>
      <dgm:spPr>
        <a:prstGeom prst="roundRect">
          <a:avLst>
            <a:gd name="adj" fmla="val 10000"/>
          </a:avLst>
        </a:prstGeom>
      </dgm:spPr>
      <dgm:t>
        <a:bodyPr/>
        <a:lstStyle/>
        <a:p>
          <a:endParaRPr lang="en-US"/>
        </a:p>
      </dgm:t>
    </dgm:pt>
    <dgm:pt modelId="{CBD740E0-9907-4370-A26E-6AB83AE0F438}" type="pres">
      <dgm:prSet presAssocID="{01BE943E-53ED-4F58-9823-53C0523CE3BE}" presName="sibTrans" presStyleLbl="sibTrans2D1" presStyleIdx="0" presStyleCnt="2"/>
      <dgm:spPr>
        <a:prstGeom prst="rightArrow">
          <a:avLst>
            <a:gd name="adj1" fmla="val 60000"/>
            <a:gd name="adj2" fmla="val 50000"/>
          </a:avLst>
        </a:prstGeom>
      </dgm:spPr>
      <dgm:t>
        <a:bodyPr/>
        <a:lstStyle/>
        <a:p>
          <a:endParaRPr lang="en-US"/>
        </a:p>
      </dgm:t>
    </dgm:pt>
    <dgm:pt modelId="{FF23DFCF-FF61-4A41-888A-55D1CF985426}" type="pres">
      <dgm:prSet presAssocID="{01BE943E-53ED-4F58-9823-53C0523CE3BE}" presName="connectorText" presStyleLbl="sibTrans2D1" presStyleIdx="0" presStyleCnt="2"/>
      <dgm:spPr/>
      <dgm:t>
        <a:bodyPr/>
        <a:lstStyle/>
        <a:p>
          <a:endParaRPr lang="en-US"/>
        </a:p>
      </dgm:t>
    </dgm:pt>
    <dgm:pt modelId="{C7AF47A3-4091-486E-8724-19D8D494D581}" type="pres">
      <dgm:prSet presAssocID="{D9196916-1C09-42BB-A7E9-1A59D0A457C0}" presName="node" presStyleLbl="node1" presStyleIdx="1" presStyleCnt="3">
        <dgm:presLayoutVars>
          <dgm:bulletEnabled val="1"/>
        </dgm:presLayoutVars>
      </dgm:prSet>
      <dgm:spPr>
        <a:prstGeom prst="roundRect">
          <a:avLst>
            <a:gd name="adj" fmla="val 10000"/>
          </a:avLst>
        </a:prstGeom>
      </dgm:spPr>
      <dgm:t>
        <a:bodyPr/>
        <a:lstStyle/>
        <a:p>
          <a:endParaRPr lang="en-US"/>
        </a:p>
      </dgm:t>
    </dgm:pt>
    <dgm:pt modelId="{8474A650-DD86-40D7-8F35-8E0E720CE519}" type="pres">
      <dgm:prSet presAssocID="{A45ABEEE-BF02-45D2-A814-D2487F7286C3}" presName="sibTrans" presStyleLbl="sibTrans2D1" presStyleIdx="1" presStyleCnt="2"/>
      <dgm:spPr>
        <a:prstGeom prst="rightArrow">
          <a:avLst>
            <a:gd name="adj1" fmla="val 60000"/>
            <a:gd name="adj2" fmla="val 50000"/>
          </a:avLst>
        </a:prstGeom>
      </dgm:spPr>
      <dgm:t>
        <a:bodyPr/>
        <a:lstStyle/>
        <a:p>
          <a:endParaRPr lang="en-US"/>
        </a:p>
      </dgm:t>
    </dgm:pt>
    <dgm:pt modelId="{B62C7D51-3E0D-4430-B701-D8E01F6C3253}" type="pres">
      <dgm:prSet presAssocID="{A45ABEEE-BF02-45D2-A814-D2487F7286C3}" presName="connectorText" presStyleLbl="sibTrans2D1" presStyleIdx="1" presStyleCnt="2"/>
      <dgm:spPr/>
      <dgm:t>
        <a:bodyPr/>
        <a:lstStyle/>
        <a:p>
          <a:endParaRPr lang="en-US"/>
        </a:p>
      </dgm:t>
    </dgm:pt>
    <dgm:pt modelId="{516D2B74-48AD-4841-AC4D-A41053AF9DCF}" type="pres">
      <dgm:prSet presAssocID="{125E6DAB-0181-4CD7-BDE5-C6B3538E6051}" presName="node" presStyleLbl="node1" presStyleIdx="2" presStyleCnt="3">
        <dgm:presLayoutVars>
          <dgm:bulletEnabled val="1"/>
        </dgm:presLayoutVars>
      </dgm:prSet>
      <dgm:spPr>
        <a:prstGeom prst="roundRect">
          <a:avLst>
            <a:gd name="adj" fmla="val 10000"/>
          </a:avLst>
        </a:prstGeom>
      </dgm:spPr>
      <dgm:t>
        <a:bodyPr/>
        <a:lstStyle/>
        <a:p>
          <a:endParaRPr lang="en-US"/>
        </a:p>
      </dgm:t>
    </dgm:pt>
  </dgm:ptLst>
  <dgm:cxnLst>
    <dgm:cxn modelId="{967E44C1-8A74-4257-9B74-2BE1FED6936D}" type="presOf" srcId="{BAE5D922-0424-4F1A-8F9C-A360A4C59612}" destId="{A8CE3639-4DAD-4C23-A72B-3D3289BA1129}" srcOrd="0" destOrd="0" presId="urn:microsoft.com/office/officeart/2005/8/layout/process1"/>
    <dgm:cxn modelId="{8B116460-50B8-4C07-B702-F92AF35C3E1C}" type="presOf" srcId="{125E6DAB-0181-4CD7-BDE5-C6B3538E6051}" destId="{516D2B74-48AD-4841-AC4D-A41053AF9DCF}" srcOrd="0" destOrd="0" presId="urn:microsoft.com/office/officeart/2005/8/layout/process1"/>
    <dgm:cxn modelId="{693B792B-A848-4571-9C18-008F04E92998}" type="presOf" srcId="{01BE943E-53ED-4F58-9823-53C0523CE3BE}" destId="{CBD740E0-9907-4370-A26E-6AB83AE0F438}" srcOrd="0" destOrd="0" presId="urn:microsoft.com/office/officeart/2005/8/layout/process1"/>
    <dgm:cxn modelId="{EC36D88F-85BD-4C8C-9F6A-0064B861404C}" type="presOf" srcId="{01BE943E-53ED-4F58-9823-53C0523CE3BE}" destId="{FF23DFCF-FF61-4A41-888A-55D1CF985426}" srcOrd="1" destOrd="0" presId="urn:microsoft.com/office/officeart/2005/8/layout/process1"/>
    <dgm:cxn modelId="{544DFDF7-7390-4C85-97C7-71829556CAFF}" srcId="{E97EFCE6-580F-4669-92C1-F875E7536252}" destId="{125E6DAB-0181-4CD7-BDE5-C6B3538E6051}" srcOrd="2" destOrd="0" parTransId="{8ADDD9E0-FB27-4E80-BE97-BBAB581A1E6D}" sibTransId="{4D1198D3-0D55-497E-9CC2-2AFB6469D151}"/>
    <dgm:cxn modelId="{0208BB2B-E543-4B22-8883-1CB8A4E14F75}" type="presOf" srcId="{E97EFCE6-580F-4669-92C1-F875E7536252}" destId="{BD05CEB8-C635-41F0-9334-390A5E2A92B5}" srcOrd="0" destOrd="0" presId="urn:microsoft.com/office/officeart/2005/8/layout/process1"/>
    <dgm:cxn modelId="{BD7EF443-3F7A-48FB-8752-03852B4335CD}" srcId="{E97EFCE6-580F-4669-92C1-F875E7536252}" destId="{BAE5D922-0424-4F1A-8F9C-A360A4C59612}" srcOrd="0" destOrd="0" parTransId="{2234B2ED-5F0D-4E2D-B8F5-C853ACBDCED7}" sibTransId="{01BE943E-53ED-4F58-9823-53C0523CE3BE}"/>
    <dgm:cxn modelId="{8F3994D8-97D5-4C8E-867A-6BBE74DD076B}" type="presOf" srcId="{D9196916-1C09-42BB-A7E9-1A59D0A457C0}" destId="{C7AF47A3-4091-486E-8724-19D8D494D581}" srcOrd="0" destOrd="0" presId="urn:microsoft.com/office/officeart/2005/8/layout/process1"/>
    <dgm:cxn modelId="{9ADC6CAF-C783-40AB-B46B-933CB348BD6F}" srcId="{E97EFCE6-580F-4669-92C1-F875E7536252}" destId="{D9196916-1C09-42BB-A7E9-1A59D0A457C0}" srcOrd="1" destOrd="0" parTransId="{9BF14E86-1285-4D4C-8111-23285D03828E}" sibTransId="{A45ABEEE-BF02-45D2-A814-D2487F7286C3}"/>
    <dgm:cxn modelId="{AD0BBF7E-8344-4215-9FF5-438FDC18AC94}" type="presOf" srcId="{A45ABEEE-BF02-45D2-A814-D2487F7286C3}" destId="{B62C7D51-3E0D-4430-B701-D8E01F6C3253}" srcOrd="1" destOrd="0" presId="urn:microsoft.com/office/officeart/2005/8/layout/process1"/>
    <dgm:cxn modelId="{414F1AD0-9741-441E-AB43-1E889538C31C}" type="presOf" srcId="{A45ABEEE-BF02-45D2-A814-D2487F7286C3}" destId="{8474A650-DD86-40D7-8F35-8E0E720CE519}" srcOrd="0" destOrd="0" presId="urn:microsoft.com/office/officeart/2005/8/layout/process1"/>
    <dgm:cxn modelId="{0F85C67A-1429-4870-ADD5-C414C73E2BC5}" type="presParOf" srcId="{BD05CEB8-C635-41F0-9334-390A5E2A92B5}" destId="{A8CE3639-4DAD-4C23-A72B-3D3289BA1129}" srcOrd="0" destOrd="0" presId="urn:microsoft.com/office/officeart/2005/8/layout/process1"/>
    <dgm:cxn modelId="{D9FDBD2C-0D2E-4129-AA69-6A5B84F1261A}" type="presParOf" srcId="{BD05CEB8-C635-41F0-9334-390A5E2A92B5}" destId="{CBD740E0-9907-4370-A26E-6AB83AE0F438}" srcOrd="1" destOrd="0" presId="urn:microsoft.com/office/officeart/2005/8/layout/process1"/>
    <dgm:cxn modelId="{8F36250D-6A6F-41A9-9A2F-58872B3980DB}" type="presParOf" srcId="{CBD740E0-9907-4370-A26E-6AB83AE0F438}" destId="{FF23DFCF-FF61-4A41-888A-55D1CF985426}" srcOrd="0" destOrd="0" presId="urn:microsoft.com/office/officeart/2005/8/layout/process1"/>
    <dgm:cxn modelId="{F2C6D583-BF90-4E24-B61F-47296462220D}" type="presParOf" srcId="{BD05CEB8-C635-41F0-9334-390A5E2A92B5}" destId="{C7AF47A3-4091-486E-8724-19D8D494D581}" srcOrd="2" destOrd="0" presId="urn:microsoft.com/office/officeart/2005/8/layout/process1"/>
    <dgm:cxn modelId="{E992B573-D671-4910-8845-0C081483C24E}" type="presParOf" srcId="{BD05CEB8-C635-41F0-9334-390A5E2A92B5}" destId="{8474A650-DD86-40D7-8F35-8E0E720CE519}" srcOrd="3" destOrd="0" presId="urn:microsoft.com/office/officeart/2005/8/layout/process1"/>
    <dgm:cxn modelId="{EB302C69-8B31-4A40-96C0-E613E073CEA0}" type="presParOf" srcId="{8474A650-DD86-40D7-8F35-8E0E720CE519}" destId="{B62C7D51-3E0D-4430-B701-D8E01F6C3253}" srcOrd="0" destOrd="0" presId="urn:microsoft.com/office/officeart/2005/8/layout/process1"/>
    <dgm:cxn modelId="{C12F907F-4DC0-49B2-BA8A-41D4609DC834}" type="presParOf" srcId="{BD05CEB8-C635-41F0-9334-390A5E2A92B5}" destId="{516D2B74-48AD-4841-AC4D-A41053AF9DCF}" srcOrd="4" destOrd="0" presId="urn:microsoft.com/office/officeart/2005/8/layout/process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5B5E7D-E79B-4393-B7DB-B6313F8B1269}">
      <dsp:nvSpPr>
        <dsp:cNvPr id="0" name=""/>
        <dsp:cNvSpPr/>
      </dsp:nvSpPr>
      <dsp:spPr>
        <a:xfrm>
          <a:off x="305514" y="0"/>
          <a:ext cx="3462496" cy="715618"/>
        </a:xfrm>
        <a:prstGeom prst="rightArrow">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BAB61962-7A15-46BC-A6D4-A58B75FA2001}">
      <dsp:nvSpPr>
        <dsp:cNvPr id="0" name=""/>
        <dsp:cNvSpPr/>
      </dsp:nvSpPr>
      <dsp:spPr>
        <a:xfrm>
          <a:off x="0" y="214685"/>
          <a:ext cx="1222057" cy="286247"/>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en-US" sz="1100" b="1" kern="1200">
              <a:solidFill>
                <a:sysClr val="window" lastClr="FFFFFF"/>
              </a:solidFill>
              <a:latin typeface="Times New Roman" panose="02020603050405020304" pitchFamily="18" charset="0"/>
              <a:ea typeface="+mn-ea"/>
              <a:cs typeface="Times New Roman" panose="02020603050405020304" pitchFamily="18" charset="0"/>
            </a:rPr>
            <a:t>1. SNAP Retailers</a:t>
          </a:r>
        </a:p>
      </dsp:txBody>
      <dsp:txXfrm>
        <a:off x="13973" y="228658"/>
        <a:ext cx="1194111" cy="258301"/>
      </dsp:txXfrm>
    </dsp:sp>
    <dsp:sp modelId="{7F27CC83-2252-4C02-AC81-78F5F9004563}">
      <dsp:nvSpPr>
        <dsp:cNvPr id="0" name=""/>
        <dsp:cNvSpPr/>
      </dsp:nvSpPr>
      <dsp:spPr>
        <a:xfrm>
          <a:off x="1425733" y="214685"/>
          <a:ext cx="1222057" cy="286247"/>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en-US" sz="1100" b="1" kern="1200">
              <a:solidFill>
                <a:sysClr val="window" lastClr="FFFFFF"/>
              </a:solidFill>
              <a:latin typeface="Times New Roman" panose="02020603050405020304" pitchFamily="18" charset="0"/>
              <a:ea typeface="+mn-ea"/>
              <a:cs typeface="Times New Roman" panose="02020603050405020304" pitchFamily="18" charset="0"/>
            </a:rPr>
            <a:t>2. TPPs</a:t>
          </a:r>
        </a:p>
      </dsp:txBody>
      <dsp:txXfrm>
        <a:off x="1439706" y="228658"/>
        <a:ext cx="1194111" cy="258301"/>
      </dsp:txXfrm>
    </dsp:sp>
    <dsp:sp modelId="{75104215-8EC4-4A8D-A7E1-021A61E7CDFA}">
      <dsp:nvSpPr>
        <dsp:cNvPr id="0" name=""/>
        <dsp:cNvSpPr/>
      </dsp:nvSpPr>
      <dsp:spPr>
        <a:xfrm>
          <a:off x="2851467" y="214685"/>
          <a:ext cx="1222057" cy="286247"/>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en-US" sz="1100" b="1" kern="1200">
              <a:solidFill>
                <a:sysClr val="window" lastClr="FFFFFF"/>
              </a:solidFill>
              <a:latin typeface="Times New Roman" panose="02020603050405020304" pitchFamily="18" charset="0"/>
              <a:ea typeface="+mn-ea"/>
              <a:cs typeface="Times New Roman" panose="02020603050405020304" pitchFamily="18" charset="0"/>
            </a:rPr>
            <a:t>3. ISOs</a:t>
          </a:r>
        </a:p>
      </dsp:txBody>
      <dsp:txXfrm>
        <a:off x="2865440" y="228658"/>
        <a:ext cx="1194111" cy="25830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456295-62B7-4E30-8BB2-371F37E428ED}">
      <dsp:nvSpPr>
        <dsp:cNvPr id="0" name=""/>
        <dsp:cNvSpPr/>
      </dsp:nvSpPr>
      <dsp:spPr>
        <a:xfrm>
          <a:off x="0" y="1155321"/>
          <a:ext cx="6042659" cy="37920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buNone/>
          </a:pPr>
          <a:r>
            <a:rPr lang="en-US" sz="1100" kern="1200">
              <a:solidFill>
                <a:sysClr val="window" lastClr="FFFFFF"/>
              </a:solidFill>
              <a:latin typeface="Times New Roman" panose="02020603050405020304" pitchFamily="18" charset="0"/>
              <a:ea typeface="+mn-ea"/>
              <a:cs typeface="Times New Roman" panose="02020603050405020304" pitchFamily="18" charset="0"/>
            </a:rPr>
            <a:t>RECRUIT and INTERVIEW</a:t>
          </a:r>
          <a:r>
            <a:rPr lang="en-US" sz="1200" kern="1200">
              <a:solidFill>
                <a:sysClr val="window" lastClr="FFFFFF"/>
              </a:solidFill>
              <a:latin typeface="Calibri" panose="020F0502020204030204"/>
              <a:ea typeface="+mn-ea"/>
              <a:cs typeface="+mn-cs"/>
            </a:rPr>
            <a:t>	</a:t>
          </a:r>
        </a:p>
      </dsp:txBody>
      <dsp:txXfrm>
        <a:off x="0" y="1155321"/>
        <a:ext cx="6042659" cy="204769"/>
      </dsp:txXfrm>
    </dsp:sp>
    <dsp:sp modelId="{20DA4CB4-03F2-4284-A0F1-C34947BA5EE3}">
      <dsp:nvSpPr>
        <dsp:cNvPr id="0" name=""/>
        <dsp:cNvSpPr/>
      </dsp:nvSpPr>
      <dsp:spPr>
        <a:xfrm>
          <a:off x="0" y="1352506"/>
          <a:ext cx="3021330" cy="174433"/>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Solicit Participation</a:t>
          </a:r>
        </a:p>
      </dsp:txBody>
      <dsp:txXfrm>
        <a:off x="0" y="1352506"/>
        <a:ext cx="3021330" cy="174433"/>
      </dsp:txXfrm>
    </dsp:sp>
    <dsp:sp modelId="{6D7EA6CE-FADC-4C6B-9B2F-05EA0638F48C}">
      <dsp:nvSpPr>
        <dsp:cNvPr id="0" name=""/>
        <dsp:cNvSpPr/>
      </dsp:nvSpPr>
      <dsp:spPr>
        <a:xfrm>
          <a:off x="3021329" y="1352506"/>
          <a:ext cx="3021330" cy="174433"/>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Confirm Eligibility</a:t>
          </a:r>
        </a:p>
      </dsp:txBody>
      <dsp:txXfrm>
        <a:off x="3021329" y="1352506"/>
        <a:ext cx="3021330" cy="174433"/>
      </dsp:txXfrm>
    </dsp:sp>
    <dsp:sp modelId="{B5A253B4-0C0F-404D-9CA5-8645397E715E}">
      <dsp:nvSpPr>
        <dsp:cNvPr id="0" name=""/>
        <dsp:cNvSpPr/>
      </dsp:nvSpPr>
      <dsp:spPr>
        <a:xfrm rot="10800000">
          <a:off x="0" y="577796"/>
          <a:ext cx="6042659" cy="583213"/>
        </a:xfrm>
        <a:prstGeom prst="upArrowCallou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buNone/>
          </a:pPr>
          <a:r>
            <a:rPr lang="en-US" sz="1100" kern="1200">
              <a:solidFill>
                <a:sysClr val="window" lastClr="FFFFFF"/>
              </a:solidFill>
              <a:latin typeface="Times New Roman" panose="02020603050405020304" pitchFamily="18" charset="0"/>
              <a:ea typeface="+mn-ea"/>
              <a:cs typeface="Times New Roman" panose="02020603050405020304" pitchFamily="18" charset="0"/>
            </a:rPr>
            <a:t>VALIDATE</a:t>
          </a:r>
        </a:p>
      </dsp:txBody>
      <dsp:txXfrm rot="-10800000">
        <a:off x="0" y="649491"/>
        <a:ext cx="6042659" cy="133012"/>
      </dsp:txXfrm>
    </dsp:sp>
    <dsp:sp modelId="{EF4F0B7F-F93B-48B3-A62A-19771D062ECF}">
      <dsp:nvSpPr>
        <dsp:cNvPr id="0" name=""/>
        <dsp:cNvSpPr/>
      </dsp:nvSpPr>
      <dsp:spPr>
        <a:xfrm>
          <a:off x="2950" y="782504"/>
          <a:ext cx="2012252" cy="174380"/>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Active Status</a:t>
          </a:r>
        </a:p>
      </dsp:txBody>
      <dsp:txXfrm>
        <a:off x="2950" y="782504"/>
        <a:ext cx="2012252" cy="174380"/>
      </dsp:txXfrm>
    </dsp:sp>
    <dsp:sp modelId="{E2E4A17B-9E28-4F6F-9C19-6869CFE6D31A}">
      <dsp:nvSpPr>
        <dsp:cNvPr id="0" name=""/>
        <dsp:cNvSpPr/>
      </dsp:nvSpPr>
      <dsp:spPr>
        <a:xfrm>
          <a:off x="2002526" y="779806"/>
          <a:ext cx="2012252" cy="174380"/>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Geographic Reach </a:t>
          </a:r>
        </a:p>
      </dsp:txBody>
      <dsp:txXfrm>
        <a:off x="2002526" y="779806"/>
        <a:ext cx="2012252" cy="174380"/>
      </dsp:txXfrm>
    </dsp:sp>
    <dsp:sp modelId="{9BC7E434-812B-4EE6-B7CE-87D2B18EA0FC}">
      <dsp:nvSpPr>
        <dsp:cNvPr id="0" name=""/>
        <dsp:cNvSpPr/>
      </dsp:nvSpPr>
      <dsp:spPr>
        <a:xfrm>
          <a:off x="4027456" y="782504"/>
          <a:ext cx="2012252" cy="174380"/>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Industry Supported</a:t>
          </a:r>
        </a:p>
      </dsp:txBody>
      <dsp:txXfrm>
        <a:off x="4027456" y="782504"/>
        <a:ext cx="2012252" cy="174380"/>
      </dsp:txXfrm>
    </dsp:sp>
    <dsp:sp modelId="{D743A021-F91C-4718-A5B9-A2B14428C13B}">
      <dsp:nvSpPr>
        <dsp:cNvPr id="0" name=""/>
        <dsp:cNvSpPr/>
      </dsp:nvSpPr>
      <dsp:spPr>
        <a:xfrm rot="10800000">
          <a:off x="0" y="3"/>
          <a:ext cx="6042659" cy="583213"/>
        </a:xfrm>
        <a:prstGeom prst="upArrowCallou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buNone/>
          </a:pPr>
          <a:r>
            <a:rPr lang="en-US" sz="1100" kern="1200">
              <a:solidFill>
                <a:sysClr val="window" lastClr="FFFFFF"/>
              </a:solidFill>
              <a:latin typeface="Times New Roman" panose="02020603050405020304" pitchFamily="18" charset="0"/>
              <a:ea typeface="+mn-ea"/>
              <a:cs typeface="Times New Roman" panose="02020603050405020304" pitchFamily="18" charset="0"/>
            </a:rPr>
            <a:t>IDENTIFY</a:t>
          </a:r>
        </a:p>
      </dsp:txBody>
      <dsp:txXfrm rot="-10800000">
        <a:off x="0" y="71698"/>
        <a:ext cx="6042659" cy="133012"/>
      </dsp:txXfrm>
    </dsp:sp>
    <dsp:sp modelId="{D69A7279-8B0F-4721-A2DD-49952BAF6ED9}">
      <dsp:nvSpPr>
        <dsp:cNvPr id="0" name=""/>
        <dsp:cNvSpPr/>
      </dsp:nvSpPr>
      <dsp:spPr>
        <a:xfrm>
          <a:off x="0" y="204979"/>
          <a:ext cx="1510665" cy="174380"/>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Snowball Approach</a:t>
          </a:r>
        </a:p>
      </dsp:txBody>
      <dsp:txXfrm>
        <a:off x="0" y="204979"/>
        <a:ext cx="1510665" cy="174380"/>
      </dsp:txXfrm>
    </dsp:sp>
    <dsp:sp modelId="{846B4830-4148-41F7-9BE4-1CA38A2B27A2}">
      <dsp:nvSpPr>
        <dsp:cNvPr id="0" name=""/>
        <dsp:cNvSpPr/>
      </dsp:nvSpPr>
      <dsp:spPr>
        <a:xfrm>
          <a:off x="1510664" y="204979"/>
          <a:ext cx="1510665" cy="174380"/>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FNS Contacts</a:t>
          </a:r>
        </a:p>
      </dsp:txBody>
      <dsp:txXfrm>
        <a:off x="1510664" y="204979"/>
        <a:ext cx="1510665" cy="174380"/>
      </dsp:txXfrm>
    </dsp:sp>
    <dsp:sp modelId="{08F5E183-D710-4AA1-B7D7-2F5978D40412}">
      <dsp:nvSpPr>
        <dsp:cNvPr id="0" name=""/>
        <dsp:cNvSpPr/>
      </dsp:nvSpPr>
      <dsp:spPr>
        <a:xfrm>
          <a:off x="3021329" y="204979"/>
          <a:ext cx="1510665" cy="174380"/>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Study Team Contacts</a:t>
          </a:r>
        </a:p>
      </dsp:txBody>
      <dsp:txXfrm>
        <a:off x="3021329" y="204979"/>
        <a:ext cx="1510665" cy="174380"/>
      </dsp:txXfrm>
    </dsp:sp>
    <dsp:sp modelId="{C503956C-4421-4876-87DA-7E412A6D6905}">
      <dsp:nvSpPr>
        <dsp:cNvPr id="0" name=""/>
        <dsp:cNvSpPr/>
      </dsp:nvSpPr>
      <dsp:spPr>
        <a:xfrm>
          <a:off x="4531995" y="204979"/>
          <a:ext cx="1510665" cy="174380"/>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Secondary Research</a:t>
          </a:r>
        </a:p>
      </dsp:txBody>
      <dsp:txXfrm>
        <a:off x="4531995" y="204979"/>
        <a:ext cx="1510665" cy="1743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CE3639-4DAD-4C23-A72B-3D3289BA1129}">
      <dsp:nvSpPr>
        <dsp:cNvPr id="0" name=""/>
        <dsp:cNvSpPr/>
      </dsp:nvSpPr>
      <dsp:spPr>
        <a:xfrm>
          <a:off x="5227" y="0"/>
          <a:ext cx="1562356" cy="81898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lvl="0" algn="ctr" defTabSz="488950">
            <a:lnSpc>
              <a:spcPct val="90000"/>
            </a:lnSpc>
            <a:spcBef>
              <a:spcPct val="0"/>
            </a:spcBef>
            <a:spcAft>
              <a:spcPct val="35000"/>
            </a:spcAft>
            <a:buNone/>
          </a:pPr>
          <a:r>
            <a:rPr lang="en-US" sz="1100" b="1" kern="1200">
              <a:solidFill>
                <a:sysClr val="window" lastClr="FFFFFF"/>
              </a:solidFill>
              <a:latin typeface="Times New Roman" panose="02020603050405020304" pitchFamily="18" charset="0"/>
              <a:ea typeface="+mn-ea"/>
              <a:cs typeface="Times New Roman" panose="02020603050405020304" pitchFamily="18" charset="0"/>
            </a:rPr>
            <a:t>STEP 1:</a:t>
          </a:r>
        </a:p>
        <a:p>
          <a:pPr lvl="0" algn="ctr" defTabSz="488950">
            <a:lnSpc>
              <a:spcPct val="90000"/>
            </a:lnSpc>
            <a:spcBef>
              <a:spcPct val="0"/>
            </a:spcBef>
            <a:spcAft>
              <a:spcPct val="35000"/>
            </a:spcAft>
            <a:buNone/>
          </a:pPr>
          <a:r>
            <a:rPr lang="en-US" sz="1100" b="0" kern="1200">
              <a:solidFill>
                <a:sysClr val="window" lastClr="FFFFFF"/>
              </a:solidFill>
              <a:latin typeface="Times New Roman" panose="02020603050405020304" pitchFamily="18" charset="0"/>
              <a:ea typeface="+mn-ea"/>
              <a:cs typeface="Times New Roman" panose="02020603050405020304" pitchFamily="18" charset="0"/>
            </a:rPr>
            <a:t>Send Advance Letter and Invitation to Online and IVR Survey</a:t>
          </a:r>
          <a:r>
            <a:rPr lang="en-US" sz="1100" b="1" kern="1200">
              <a:solidFill>
                <a:sysClr val="window" lastClr="FFFFFF"/>
              </a:solidFill>
              <a:latin typeface="Times New Roman" panose="02020603050405020304" pitchFamily="18" charset="0"/>
              <a:ea typeface="+mn-ea"/>
              <a:cs typeface="Times New Roman" panose="02020603050405020304" pitchFamily="18" charset="0"/>
            </a:rPr>
            <a:t> </a:t>
          </a:r>
        </a:p>
      </dsp:txBody>
      <dsp:txXfrm>
        <a:off x="29214" y="23987"/>
        <a:ext cx="1514382" cy="771011"/>
      </dsp:txXfrm>
    </dsp:sp>
    <dsp:sp modelId="{CBD740E0-9907-4370-A26E-6AB83AE0F438}">
      <dsp:nvSpPr>
        <dsp:cNvPr id="0" name=""/>
        <dsp:cNvSpPr/>
      </dsp:nvSpPr>
      <dsp:spPr>
        <a:xfrm>
          <a:off x="1723819" y="215760"/>
          <a:ext cx="331219" cy="38746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 lastClr="FFFFFF"/>
            </a:solidFill>
            <a:latin typeface="Calibri" panose="020F0502020204030204"/>
            <a:ea typeface="+mn-ea"/>
            <a:cs typeface="+mn-cs"/>
          </a:endParaRPr>
        </a:p>
      </dsp:txBody>
      <dsp:txXfrm>
        <a:off x="1723819" y="293253"/>
        <a:ext cx="231853" cy="232478"/>
      </dsp:txXfrm>
    </dsp:sp>
    <dsp:sp modelId="{C7AF47A3-4091-486E-8724-19D8D494D581}">
      <dsp:nvSpPr>
        <dsp:cNvPr id="0" name=""/>
        <dsp:cNvSpPr/>
      </dsp:nvSpPr>
      <dsp:spPr>
        <a:xfrm>
          <a:off x="2192526" y="0"/>
          <a:ext cx="1562356" cy="81898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lvl="0" algn="ctr" defTabSz="488950">
            <a:lnSpc>
              <a:spcPct val="90000"/>
            </a:lnSpc>
            <a:spcBef>
              <a:spcPct val="0"/>
            </a:spcBef>
            <a:spcAft>
              <a:spcPct val="35000"/>
            </a:spcAft>
            <a:buNone/>
          </a:pPr>
          <a:r>
            <a:rPr lang="en-US" sz="1100" b="1" kern="1200">
              <a:solidFill>
                <a:sysClr val="window" lastClr="FFFFFF"/>
              </a:solidFill>
              <a:latin typeface="Times New Roman" panose="02020603050405020304" pitchFamily="18" charset="0"/>
              <a:ea typeface="+mn-ea"/>
              <a:cs typeface="Times New Roman" panose="02020603050405020304" pitchFamily="18" charset="0"/>
            </a:rPr>
            <a:t>STEP 2:</a:t>
          </a:r>
        </a:p>
        <a:p>
          <a:pPr lvl="0" algn="ctr" defTabSz="488950">
            <a:lnSpc>
              <a:spcPct val="90000"/>
            </a:lnSpc>
            <a:spcBef>
              <a:spcPct val="0"/>
            </a:spcBef>
            <a:spcAft>
              <a:spcPct val="35000"/>
            </a:spcAft>
            <a:buNone/>
          </a:pPr>
          <a:r>
            <a:rPr lang="en-US" sz="1100" b="0" kern="1200">
              <a:solidFill>
                <a:sysClr val="window" lastClr="FFFFFF"/>
              </a:solidFill>
              <a:latin typeface="Times New Roman" panose="02020603050405020304" pitchFamily="18" charset="0"/>
              <a:ea typeface="+mn-ea"/>
              <a:cs typeface="Times New Roman" panose="02020603050405020304" pitchFamily="18" charset="0"/>
            </a:rPr>
            <a:t>Priroity Mail Reminder to Nonresponders</a:t>
          </a:r>
          <a:r>
            <a:rPr lang="en-US" sz="1100" b="1" kern="1200">
              <a:solidFill>
                <a:sysClr val="window" lastClr="FFFFFF"/>
              </a:solidFill>
              <a:latin typeface="Times New Roman" panose="02020603050405020304" pitchFamily="18" charset="0"/>
              <a:ea typeface="+mn-ea"/>
              <a:cs typeface="Times New Roman" panose="02020603050405020304" pitchFamily="18" charset="0"/>
            </a:rPr>
            <a:t> </a:t>
          </a:r>
        </a:p>
      </dsp:txBody>
      <dsp:txXfrm>
        <a:off x="2216513" y="23987"/>
        <a:ext cx="1514382" cy="771011"/>
      </dsp:txXfrm>
    </dsp:sp>
    <dsp:sp modelId="{8474A650-DD86-40D7-8F35-8E0E720CE519}">
      <dsp:nvSpPr>
        <dsp:cNvPr id="0" name=""/>
        <dsp:cNvSpPr/>
      </dsp:nvSpPr>
      <dsp:spPr>
        <a:xfrm>
          <a:off x="3911119" y="215760"/>
          <a:ext cx="331219" cy="38746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 lastClr="FFFFFF"/>
            </a:solidFill>
            <a:latin typeface="Calibri" panose="020F0502020204030204"/>
            <a:ea typeface="+mn-ea"/>
            <a:cs typeface="+mn-cs"/>
          </a:endParaRPr>
        </a:p>
      </dsp:txBody>
      <dsp:txXfrm>
        <a:off x="3911119" y="293253"/>
        <a:ext cx="231853" cy="232478"/>
      </dsp:txXfrm>
    </dsp:sp>
    <dsp:sp modelId="{516D2B74-48AD-4841-AC4D-A41053AF9DCF}">
      <dsp:nvSpPr>
        <dsp:cNvPr id="0" name=""/>
        <dsp:cNvSpPr/>
      </dsp:nvSpPr>
      <dsp:spPr>
        <a:xfrm>
          <a:off x="4379826" y="0"/>
          <a:ext cx="1562356" cy="81898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lvl="0" algn="ctr" defTabSz="488950">
            <a:lnSpc>
              <a:spcPct val="90000"/>
            </a:lnSpc>
            <a:spcBef>
              <a:spcPct val="0"/>
            </a:spcBef>
            <a:spcAft>
              <a:spcPct val="35000"/>
            </a:spcAft>
            <a:buNone/>
          </a:pPr>
          <a:r>
            <a:rPr lang="en-US" sz="1100" b="1" kern="1200">
              <a:solidFill>
                <a:sysClr val="window" lastClr="FFFFFF"/>
              </a:solidFill>
              <a:latin typeface="Times New Roman" panose="02020603050405020304" pitchFamily="18" charset="0"/>
              <a:ea typeface="+mn-ea"/>
              <a:cs typeface="Times New Roman" panose="02020603050405020304" pitchFamily="18" charset="0"/>
            </a:rPr>
            <a:t>STEP 3: </a:t>
          </a:r>
        </a:p>
        <a:p>
          <a:pPr lvl="0" algn="ctr" defTabSz="488950">
            <a:lnSpc>
              <a:spcPct val="90000"/>
            </a:lnSpc>
            <a:spcBef>
              <a:spcPct val="0"/>
            </a:spcBef>
            <a:spcAft>
              <a:spcPct val="35000"/>
            </a:spcAft>
            <a:buNone/>
          </a:pPr>
          <a:r>
            <a:rPr lang="en-US" sz="1100" b="0" kern="1200">
              <a:solidFill>
                <a:sysClr val="window" lastClr="FFFFFF"/>
              </a:solidFill>
              <a:latin typeface="Times New Roman" panose="02020603050405020304" pitchFamily="18" charset="0"/>
              <a:ea typeface="+mn-ea"/>
              <a:cs typeface="Times New Roman" panose="02020603050405020304" pitchFamily="18" charset="0"/>
            </a:rPr>
            <a:t>Conduct Telephone Follow-Up with Nonresponders</a:t>
          </a:r>
        </a:p>
      </dsp:txBody>
      <dsp:txXfrm>
        <a:off x="4403813" y="23987"/>
        <a:ext cx="1514382" cy="77101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DD9DF-681E-4D04-AEEC-A0A6EF115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4915</Words>
  <Characters>28021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32871</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2017-12-07T17:13:00Z</cp:lastPrinted>
  <dcterms:created xsi:type="dcterms:W3CDTF">2018-01-29T13:32:00Z</dcterms:created>
  <dcterms:modified xsi:type="dcterms:W3CDTF">2018-01-29T13:32:00Z</dcterms:modified>
</cp:coreProperties>
</file>