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83" w:rsidRDefault="00950E83">
      <w:pPr>
        <w:jc w:val="center"/>
        <w:rPr>
          <w:b/>
          <w:bCs/>
        </w:rPr>
      </w:pPr>
      <w:bookmarkStart w:id="0" w:name="_GoBack"/>
      <w:bookmarkEnd w:id="0"/>
      <w:r>
        <w:rPr>
          <w:b/>
          <w:bCs/>
        </w:rPr>
        <w:t>SUPPORTING STATEMENT</w:t>
      </w:r>
    </w:p>
    <w:p w:rsidR="00950E83" w:rsidRDefault="002C27ED">
      <w:pPr>
        <w:jc w:val="center"/>
        <w:rPr>
          <w:b/>
          <w:bCs/>
        </w:rPr>
      </w:pPr>
      <w:r>
        <w:rPr>
          <w:b/>
          <w:bCs/>
        </w:rPr>
        <w:t xml:space="preserve">BILLFISH </w:t>
      </w:r>
      <w:r w:rsidR="00950E83">
        <w:rPr>
          <w:b/>
          <w:bCs/>
        </w:rPr>
        <w:t>CERTIFICATE OF ELIGIBILITY</w:t>
      </w:r>
    </w:p>
    <w:p w:rsidR="00950E83" w:rsidRDefault="00950E83">
      <w:pPr>
        <w:jc w:val="center"/>
      </w:pPr>
      <w:r>
        <w:rPr>
          <w:b/>
          <w:bCs/>
        </w:rPr>
        <w:t>OMB CONTROL</w:t>
      </w:r>
      <w:r w:rsidR="00D96C8A">
        <w:rPr>
          <w:b/>
          <w:bCs/>
        </w:rPr>
        <w:t xml:space="preserve"> </w:t>
      </w:r>
      <w:r>
        <w:rPr>
          <w:b/>
          <w:bCs/>
        </w:rPr>
        <w:t>N</w:t>
      </w:r>
      <w:r w:rsidR="00D96C8A">
        <w:rPr>
          <w:b/>
          <w:bCs/>
        </w:rPr>
        <w:t>UMBER</w:t>
      </w:r>
      <w:r>
        <w:rPr>
          <w:b/>
          <w:bCs/>
        </w:rPr>
        <w:t xml:space="preserve"> 0648-0216</w:t>
      </w:r>
    </w:p>
    <w:p w:rsidR="00950E83" w:rsidRDefault="00950E83"/>
    <w:p w:rsidR="00950E83" w:rsidRDefault="00950E83"/>
    <w:p w:rsidR="00950E83" w:rsidRDefault="00950E83">
      <w:pPr>
        <w:tabs>
          <w:tab w:val="left" w:pos="720"/>
        </w:tabs>
        <w:ind w:left="720" w:hanging="720"/>
      </w:pPr>
      <w:r>
        <w:rPr>
          <w:b/>
          <w:bCs/>
        </w:rPr>
        <w:t xml:space="preserve">A. </w:t>
      </w:r>
      <w:r>
        <w:rPr>
          <w:b/>
          <w:bCs/>
        </w:rPr>
        <w:tab/>
        <w:t>JUSTIFICATION</w:t>
      </w:r>
    </w:p>
    <w:p w:rsidR="00950E83" w:rsidRDefault="00950E83"/>
    <w:p w:rsidR="00950E83" w:rsidRDefault="00950E83">
      <w:pPr>
        <w:sectPr w:rsidR="00950E83">
          <w:footerReference w:type="default" r:id="rId8"/>
          <w:footnotePr>
            <w:numRestart w:val="eachSect"/>
          </w:footnotePr>
          <w:endnotePr>
            <w:numFmt w:val="decimal"/>
          </w:endnotePr>
          <w:type w:val="continuous"/>
          <w:pgSz w:w="12240" w:h="15840"/>
          <w:pgMar w:top="1440" w:right="1440" w:bottom="1080" w:left="1440" w:header="720" w:footer="720" w:gutter="0"/>
          <w:cols w:space="720"/>
        </w:sectPr>
      </w:pPr>
    </w:p>
    <w:p w:rsidR="00950E83" w:rsidRDefault="00950E83">
      <w:pPr>
        <w:rPr>
          <w:b/>
          <w:bCs/>
          <w:u w:val="single"/>
        </w:rPr>
      </w:pPr>
      <w:r>
        <w:rPr>
          <w:b/>
          <w:bCs/>
        </w:rPr>
        <w:lastRenderedPageBreak/>
        <w:t xml:space="preserve">1.  </w:t>
      </w:r>
      <w:r>
        <w:rPr>
          <w:b/>
          <w:bCs/>
          <w:u w:val="single"/>
        </w:rPr>
        <w:t>Explain the circumstances that make the collection of information necessary.</w:t>
      </w:r>
    </w:p>
    <w:p w:rsidR="00950E83" w:rsidRDefault="005B168B" w:rsidP="005B168B">
      <w:pPr>
        <w:tabs>
          <w:tab w:val="left" w:pos="7893"/>
        </w:tabs>
      </w:pPr>
      <w:r>
        <w:tab/>
      </w:r>
    </w:p>
    <w:p w:rsidR="00F147B3" w:rsidRDefault="00950E83" w:rsidP="00035390">
      <w:pPr>
        <w:pStyle w:val="NormalWeb"/>
      </w:pPr>
      <w:r>
        <w:t xml:space="preserve">This </w:t>
      </w:r>
      <w:r w:rsidR="00F147B3">
        <w:t xml:space="preserve">request is for </w:t>
      </w:r>
      <w:r w:rsidR="00A14BF1">
        <w:t xml:space="preserve">extension </w:t>
      </w:r>
      <w:r w:rsidR="00F147B3">
        <w:t xml:space="preserve">of this information collection, </w:t>
      </w:r>
      <w:r>
        <w:t xml:space="preserve">Certificate of Eligibility </w:t>
      </w:r>
      <w:r w:rsidR="00874251">
        <w:t xml:space="preserve">(COE) </w:t>
      </w:r>
      <w:r>
        <w:t xml:space="preserve">for Billfishes.  </w:t>
      </w:r>
    </w:p>
    <w:p w:rsidR="00CE5A14" w:rsidRDefault="0013702D" w:rsidP="00035390">
      <w:pPr>
        <w:pStyle w:val="NormalWeb"/>
      </w:pPr>
      <w:r>
        <w:t>Under current regulations, a</w:t>
      </w:r>
      <w:r w:rsidR="00950E83">
        <w:t xml:space="preserve"> COE is required for a</w:t>
      </w:r>
      <w:r w:rsidR="00E839F8">
        <w:t xml:space="preserve">ll first receivers of billfish – </w:t>
      </w:r>
      <w:r w:rsidR="00950E83">
        <w:t>except for billfish landed in a Pacific state and rem</w:t>
      </w:r>
      <w:r w:rsidR="00E839F8">
        <w:t xml:space="preserve">aining in the state of landing – </w:t>
      </w:r>
      <w:r w:rsidR="00950E83">
        <w:t>as a condition for the domestic trade of fresh or frozen billfish shipments</w:t>
      </w:r>
      <w:r w:rsidR="009E496E">
        <w:t xml:space="preserve">. </w:t>
      </w:r>
      <w:r w:rsidR="00035390">
        <w:t>A “f</w:t>
      </w:r>
      <w:r w:rsidR="00035390" w:rsidRPr="004D6AB5">
        <w:rPr>
          <w:iCs/>
        </w:rPr>
        <w:t>irst receiver</w:t>
      </w:r>
      <w:r w:rsidR="00035390">
        <w:rPr>
          <w:iCs/>
        </w:rPr>
        <w:t>”</w:t>
      </w:r>
      <w:r w:rsidR="00035390" w:rsidRPr="004D6AB5">
        <w:rPr>
          <w:i/>
          <w:iCs/>
        </w:rPr>
        <w:t xml:space="preserve"> </w:t>
      </w:r>
      <w:r w:rsidR="00035390" w:rsidRPr="004D6AB5">
        <w:t>means any entity,</w:t>
      </w:r>
      <w:r w:rsidR="00035390">
        <w:t xml:space="preserve"> </w:t>
      </w:r>
      <w:r w:rsidR="00035390" w:rsidRPr="004D6AB5">
        <w:t>person, or company that takes, for commercial purposes (other than solely for transport), immediate possession of the fish, or any part of the fish, as the fish are offloaded from a fishing vessel of the United States</w:t>
      </w:r>
      <w:r w:rsidR="00035390">
        <w:t xml:space="preserve"> </w:t>
      </w:r>
      <w:r w:rsidR="00035390" w:rsidRPr="004D6AB5">
        <w:t>whose owner or operator has been issued, or should have been issued, a valid permit under</w:t>
      </w:r>
      <w:hyperlink r:id="rId9" w:history="1">
        <w:r w:rsidR="00035390" w:rsidRPr="00BC4A46">
          <w:rPr>
            <w:rStyle w:val="Hyperlink"/>
          </w:rPr>
          <w:t xml:space="preserve"> 50 CFR part 635</w:t>
        </w:r>
      </w:hyperlink>
      <w:r w:rsidR="009E496E" w:rsidRPr="004D6AB5">
        <w:t>.</w:t>
      </w:r>
      <w:r w:rsidR="009E496E">
        <w:t xml:space="preserve"> </w:t>
      </w:r>
      <w:r w:rsidR="00950E83">
        <w:t>Dealers or processors who subsequently receive or possess billfish must also retain a copy of the COE while processing the billfish</w:t>
      </w:r>
      <w:r w:rsidR="009E496E">
        <w:t xml:space="preserve">. </w:t>
      </w:r>
      <w:r w:rsidR="00950E83">
        <w:t>The document certifies that the accompanying billfish was not harvested from the Atlantic Ocean management unit</w:t>
      </w:r>
      <w:r w:rsidR="001C6BF5">
        <w:t>. The</w:t>
      </w:r>
      <w:r w:rsidR="00F147B3">
        <w:t xml:space="preserve"> </w:t>
      </w:r>
      <w:r w:rsidR="001C6BF5">
        <w:t>management unit</w:t>
      </w:r>
      <w:r w:rsidR="00D915DD">
        <w:t>s</w:t>
      </w:r>
      <w:r w:rsidR="001C6BF5">
        <w:t xml:space="preserve"> and applicable species are </w:t>
      </w:r>
      <w:r w:rsidR="00F147B3">
        <w:t>described on the certificate form</w:t>
      </w:r>
      <w:r w:rsidR="00D915DD">
        <w:t xml:space="preserve"> and in Question 2.</w:t>
      </w:r>
    </w:p>
    <w:p w:rsidR="00950E83" w:rsidRDefault="00CE5A14" w:rsidP="00035390">
      <w:pPr>
        <w:pStyle w:val="NormalWeb"/>
      </w:pPr>
      <w:r>
        <w:t xml:space="preserve"> </w:t>
      </w:r>
      <w:r w:rsidR="00950E83">
        <w:t xml:space="preserve">This requirement has been implemented under the </w:t>
      </w:r>
      <w:hyperlink r:id="rId10" w:history="1">
        <w:r w:rsidR="00950E83" w:rsidRPr="00BC4A46">
          <w:rPr>
            <w:rStyle w:val="Hyperlink"/>
          </w:rPr>
          <w:t>Magnuson-Stevens Fishery Conservation and Management Act</w:t>
        </w:r>
      </w:hyperlink>
      <w:r w:rsidR="00AF0F5C">
        <w:t xml:space="preserve"> and codified in </w:t>
      </w:r>
      <w:hyperlink r:id="rId11" w:history="1">
        <w:r w:rsidR="00AF0F5C" w:rsidRPr="008B0B56">
          <w:rPr>
            <w:rStyle w:val="Hyperlink"/>
          </w:rPr>
          <w:t>50 CFR 635</w:t>
        </w:r>
      </w:hyperlink>
      <w:r w:rsidR="00950E83">
        <w:t xml:space="preserve">. The authority to issue these regulations has been delegated from the Secretary </w:t>
      </w:r>
      <w:r w:rsidR="00664EB0">
        <w:t xml:space="preserve">of Commerce </w:t>
      </w:r>
      <w:r w:rsidR="00950E83">
        <w:t>to the Assistant Administration for Fisheries, NOAA.</w:t>
      </w:r>
    </w:p>
    <w:p w:rsidR="00293ABC" w:rsidRDefault="00950E83" w:rsidP="000660A1">
      <w:r>
        <w:t xml:space="preserve">The purpose of the collection of this information is to maintain the </w:t>
      </w:r>
      <w:r w:rsidR="00CD6640">
        <w:t>recreation</w:t>
      </w:r>
      <w:r w:rsidR="00D144E1">
        <w:t>al</w:t>
      </w:r>
      <w:r w:rsidR="00CD6640">
        <w:t xml:space="preserve"> </w:t>
      </w:r>
      <w:r>
        <w:t xml:space="preserve">nature of the Atlantic billfish fishery with no commercial trade, as designated in the </w:t>
      </w:r>
      <w:r w:rsidR="0011100D">
        <w:t xml:space="preserve">2006 </w:t>
      </w:r>
      <w:r w:rsidR="00CD6640">
        <w:t xml:space="preserve">Consolidated Highly Migratory Species </w:t>
      </w:r>
      <w:r>
        <w:t>Fishery Management Plan (FMP)</w:t>
      </w:r>
      <w:r w:rsidR="0053039D">
        <w:t>, as amended</w:t>
      </w:r>
      <w:r w:rsidR="009E496E">
        <w:t xml:space="preserve">. </w:t>
      </w:r>
      <w:r w:rsidR="00034EAF">
        <w:t>The latest</w:t>
      </w:r>
      <w:r w:rsidR="00BC4A46">
        <w:t xml:space="preserve"> </w:t>
      </w:r>
      <w:r w:rsidR="00BC4A46" w:rsidRPr="00BC4A46">
        <w:rPr>
          <w:rStyle w:val="Strong"/>
          <w:b w:val="0"/>
          <w:color w:val="000000"/>
          <w:shd w:val="clear" w:color="auto" w:fill="FFFFFF"/>
        </w:rPr>
        <w:t xml:space="preserve">International Commission for the Conservation of Atlantic </w:t>
      </w:r>
      <w:r w:rsidR="00BC4A46" w:rsidRPr="00874251">
        <w:rPr>
          <w:rStyle w:val="Strong"/>
          <w:b w:val="0"/>
          <w:color w:val="000000"/>
          <w:shd w:val="clear" w:color="auto" w:fill="FFFFFF"/>
        </w:rPr>
        <w:t>Tunas</w:t>
      </w:r>
      <w:r w:rsidR="00BC4A46" w:rsidRPr="00874251">
        <w:rPr>
          <w:rStyle w:val="apple-converted-space"/>
          <w:b/>
          <w:color w:val="000000"/>
          <w:shd w:val="clear" w:color="auto" w:fill="FFFFFF"/>
        </w:rPr>
        <w:t> </w:t>
      </w:r>
      <w:r w:rsidR="00BC4A46" w:rsidRPr="00874251">
        <w:t>(</w:t>
      </w:r>
      <w:r w:rsidR="00034EAF">
        <w:t>ICCAT</w:t>
      </w:r>
      <w:r w:rsidR="00BC4A46">
        <w:t>)</w:t>
      </w:r>
      <w:r w:rsidR="00034EAF">
        <w:t xml:space="preserve"> stock assessments for </w:t>
      </w:r>
      <w:r w:rsidR="00034EAF" w:rsidRPr="009240FE">
        <w:t xml:space="preserve">Atlantic blue </w:t>
      </w:r>
      <w:r w:rsidR="00ED3B26" w:rsidRPr="009240FE">
        <w:t>marlin (2011)</w:t>
      </w:r>
      <w:r w:rsidR="00ED3B26">
        <w:t xml:space="preserve"> </w:t>
      </w:r>
      <w:r w:rsidR="00034EAF">
        <w:t xml:space="preserve">and </w:t>
      </w:r>
      <w:r w:rsidR="00034EAF" w:rsidRPr="009240FE">
        <w:t>white marlin (20</w:t>
      </w:r>
      <w:r w:rsidR="00ED3B26" w:rsidRPr="009240FE">
        <w:t>12</w:t>
      </w:r>
      <w:r w:rsidR="00034EAF" w:rsidRPr="00ED3B26">
        <w:t>)</w:t>
      </w:r>
      <w:r w:rsidR="00034EAF">
        <w:t xml:space="preserve"> indicate that these species are overfished</w:t>
      </w:r>
      <w:r w:rsidR="0039320D">
        <w:t xml:space="preserve">, overfishing is occurring for blue marlin, and overfishing is “not likely” </w:t>
      </w:r>
      <w:r w:rsidR="0053039D">
        <w:t xml:space="preserve">occurring </w:t>
      </w:r>
      <w:r w:rsidR="0039320D">
        <w:t>for white marlin</w:t>
      </w:r>
      <w:r w:rsidR="009E496E">
        <w:t xml:space="preserve">. </w:t>
      </w:r>
      <w:r w:rsidR="0039320D">
        <w:t>A more definitive determination than “not likely” by the ICCAT Standing Committee for Research and Statistics</w:t>
      </w:r>
      <w:r w:rsidR="00960961">
        <w:t xml:space="preserve"> (SCRS)</w:t>
      </w:r>
      <w:r w:rsidR="0039320D">
        <w:t xml:space="preserve"> was not made due to uncertainty associated with the species composition and magnitude of the catch and landings data following the ICCAT requirement that countries release billfish that were alive at haulback.  The SCRS expressed specific concern that</w:t>
      </w:r>
      <w:r w:rsidR="0093250D">
        <w:t xml:space="preserve"> some</w:t>
      </w:r>
      <w:r w:rsidR="0039320D">
        <w:t xml:space="preserve"> landings may be unreported, such as </w:t>
      </w:r>
      <w:r w:rsidR="0093250D">
        <w:t xml:space="preserve">those from </w:t>
      </w:r>
      <w:r w:rsidR="0039320D">
        <w:t>artisanal fisheries</w:t>
      </w:r>
      <w:r w:rsidR="0093250D">
        <w:t xml:space="preserve"> (t</w:t>
      </w:r>
      <w:r w:rsidR="0093250D" w:rsidRPr="00557946">
        <w:t>he Food and Agricultural Organization (FAO) of the United Nations describes artisanal or small-scale fisheries, as traditional fisheries involving fishing households (as opposed to commercial companies), using relatively small amounts of capital and energy, relatively small fishing vessels (if any), and making short fishing trips, close to shore, and mainly for local consumption</w:t>
      </w:r>
      <w:r w:rsidR="0093250D">
        <w:t>)</w:t>
      </w:r>
      <w:r w:rsidR="009E496E">
        <w:t xml:space="preserve">. </w:t>
      </w:r>
      <w:r w:rsidRPr="00D02D00">
        <w:t>In the 20</w:t>
      </w:r>
      <w:r w:rsidR="00034EAF" w:rsidRPr="00D02D00">
        <w:t>1</w:t>
      </w:r>
      <w:r w:rsidR="00D15A23">
        <w:t>7</w:t>
      </w:r>
      <w:r w:rsidRPr="00D02D00">
        <w:t xml:space="preserve"> National Marine Fisheries Service (NMFS) </w:t>
      </w:r>
      <w:r w:rsidR="00035390" w:rsidRPr="00D02D00">
        <w:t>R</w:t>
      </w:r>
      <w:r w:rsidRPr="00D02D00">
        <w:t>eport to Congress on the status of U.S. fisheries</w:t>
      </w:r>
      <w:r w:rsidR="001C6BF5" w:rsidRPr="00D02D00">
        <w:t>,</w:t>
      </w:r>
      <w:r w:rsidRPr="00D02D00">
        <w:t xml:space="preserve"> Atlantic blue marlin</w:t>
      </w:r>
      <w:r w:rsidR="00512423" w:rsidRPr="00D02D00">
        <w:t xml:space="preserve"> and </w:t>
      </w:r>
      <w:r w:rsidRPr="00D02D00">
        <w:t>white marlin</w:t>
      </w:r>
      <w:r w:rsidR="00DD5EDA" w:rsidRPr="00D02D00">
        <w:t xml:space="preserve"> </w:t>
      </w:r>
      <w:r w:rsidRPr="00D02D00">
        <w:t xml:space="preserve">were </w:t>
      </w:r>
      <w:r w:rsidR="00595E1F" w:rsidRPr="00D02D00">
        <w:t xml:space="preserve">both </w:t>
      </w:r>
      <w:r w:rsidRPr="00D02D00">
        <w:t>listed as overfished</w:t>
      </w:r>
      <w:r w:rsidR="00F95604" w:rsidRPr="00D02D00">
        <w:t>,</w:t>
      </w:r>
      <w:r w:rsidR="00DD5EDA" w:rsidRPr="00D02D00">
        <w:t xml:space="preserve"> </w:t>
      </w:r>
      <w:r w:rsidR="00595E1F" w:rsidRPr="00D02D00">
        <w:t xml:space="preserve">and </w:t>
      </w:r>
      <w:r w:rsidR="00DD5EDA" w:rsidRPr="00D02D00">
        <w:t>with overfishing occurring</w:t>
      </w:r>
      <w:r w:rsidR="00960961" w:rsidRPr="00D02D00">
        <w:t xml:space="preserve"> (white marlin was listed as </w:t>
      </w:r>
      <w:r w:rsidR="00BC4A46" w:rsidRPr="00D02D00">
        <w:t>“</w:t>
      </w:r>
      <w:r w:rsidR="00960961" w:rsidRPr="00D02D00">
        <w:t>overfishing occurring</w:t>
      </w:r>
      <w:r w:rsidR="00BC4A46" w:rsidRPr="00D02D00">
        <w:t>”</w:t>
      </w:r>
      <w:r w:rsidR="00960961" w:rsidRPr="00D02D00">
        <w:t xml:space="preserve"> b</w:t>
      </w:r>
      <w:r w:rsidR="0039320D" w:rsidRPr="00D02D00">
        <w:t>ecause of the range of stock assessment model ou</w:t>
      </w:r>
      <w:r w:rsidR="00BC4A46" w:rsidRPr="00D02D00">
        <w:t>t</w:t>
      </w:r>
      <w:r w:rsidR="0039320D" w:rsidRPr="00D02D00">
        <w:t>puts and the high degree of uncertainty</w:t>
      </w:r>
      <w:r w:rsidR="00960961" w:rsidRPr="00D02D00">
        <w:t xml:space="preserve"> described above).</w:t>
      </w:r>
      <w:r w:rsidR="00960961">
        <w:t xml:space="preserve"> </w:t>
      </w:r>
      <w:r w:rsidR="00595E1F">
        <w:t>The latest ICCAT stock assessments for Western Atlantic sailfish (</w:t>
      </w:r>
      <w:r w:rsidR="00595E1F" w:rsidRPr="00692E88">
        <w:t>20</w:t>
      </w:r>
      <w:r w:rsidR="00A20694">
        <w:t>16</w:t>
      </w:r>
      <w:r w:rsidR="00595E1F">
        <w:t xml:space="preserve">) indicates that </w:t>
      </w:r>
      <w:r w:rsidR="00A20694">
        <w:t xml:space="preserve">the stock is not </w:t>
      </w:r>
      <w:r w:rsidR="00A20694">
        <w:lastRenderedPageBreak/>
        <w:t>likely to be overfished and overfishing is not likely occurring</w:t>
      </w:r>
      <w:r w:rsidR="009E496E">
        <w:t xml:space="preserve">. </w:t>
      </w:r>
      <w:r w:rsidR="00595E1F" w:rsidRPr="00595E1F">
        <w:t>In the 201</w:t>
      </w:r>
      <w:r w:rsidR="00D15A23">
        <w:t>7</w:t>
      </w:r>
      <w:r w:rsidR="00595E1F" w:rsidRPr="00595E1F">
        <w:t xml:space="preserve"> NMFS Report to Congress on the status of U.S. fisheries, </w:t>
      </w:r>
      <w:r w:rsidR="00595E1F">
        <w:t xml:space="preserve">Western </w:t>
      </w:r>
      <w:r w:rsidR="00595E1F" w:rsidRPr="00595E1F">
        <w:t>Atlantic</w:t>
      </w:r>
      <w:r w:rsidR="00595E1F">
        <w:t xml:space="preserve"> sailfish was </w:t>
      </w:r>
      <w:r w:rsidR="00595E1F" w:rsidRPr="00595E1F">
        <w:t xml:space="preserve">listed </w:t>
      </w:r>
      <w:r w:rsidR="00595E1F">
        <w:t xml:space="preserve">as </w:t>
      </w:r>
      <w:r w:rsidR="00D15A23">
        <w:t>rebuilding and overfishing not</w:t>
      </w:r>
      <w:r w:rsidR="00595E1F" w:rsidRPr="00595E1F">
        <w:t xml:space="preserve"> occurring.</w:t>
      </w:r>
      <w:r w:rsidR="00595E1F">
        <w:t xml:space="preserve"> </w:t>
      </w:r>
    </w:p>
    <w:p w:rsidR="000660A1" w:rsidRDefault="000660A1" w:rsidP="000660A1"/>
    <w:p w:rsidR="00950E83" w:rsidRDefault="00950E83">
      <w:r>
        <w:t>NMFS regulations</w:t>
      </w:r>
      <w:r w:rsidR="001C6BF5">
        <w:t xml:space="preserve"> </w:t>
      </w:r>
      <w:r>
        <w:t>require a COE as a condition for the domestic commercial trade of fresh or frozen billfish shipments. These requirements augment NMFS' ability to quantify all billfish that enter into commerce of the United States, and to guarantee that these fish were not harvested in or from the Atlantic billfish management unit.</w:t>
      </w:r>
    </w:p>
    <w:p w:rsidR="00F06D43" w:rsidRDefault="00F06D43"/>
    <w:p w:rsidR="00F06D43" w:rsidRPr="00F06D43" w:rsidRDefault="00F06D43">
      <w:r w:rsidRPr="00F06D43">
        <w:t>On October 5, 2012, the President signed Public Law 112-183 entitled the “</w:t>
      </w:r>
      <w:hyperlink r:id="rId12" w:history="1">
        <w:r w:rsidRPr="00BC4A46">
          <w:rPr>
            <w:rStyle w:val="Hyperlink"/>
          </w:rPr>
          <w:t>Billfish Conservation Act of 2012</w:t>
        </w:r>
      </w:hyperlink>
      <w:r w:rsidRPr="00F06D43">
        <w:t>,” which prohibits the sale of billfish (or products containing billfish), or the custody, control, or possession of billfish (or products containing billfish) for purposes of sale.  The only exemptions to this prohibition include billfish landed by U.S. fishing vessels in Hawaii and Pacific Insular Areas, and billfish landed by foreign fishing vessels in the Pacific Insular Areas when the foreign</w:t>
      </w:r>
      <w:r w:rsidR="00E23BE7">
        <w:t>-</w:t>
      </w:r>
      <w:r w:rsidRPr="00F06D43">
        <w:t>caught billfish are exported to non-U.S. markets or retained within Hawaii and the Pacific Insular Areas for local consumption</w:t>
      </w:r>
      <w:r w:rsidR="009E496E" w:rsidRPr="00F06D43">
        <w:t xml:space="preserve">. </w:t>
      </w:r>
      <w:r w:rsidRPr="00F06D43">
        <w:t xml:space="preserve">The Billfish Conservation Act of 2012 is fully in effect and NMFS is </w:t>
      </w:r>
      <w:r w:rsidR="008352FF">
        <w:t xml:space="preserve">considering the </w:t>
      </w:r>
      <w:r w:rsidRPr="00F06D43">
        <w:t>develop</w:t>
      </w:r>
      <w:r w:rsidR="008352FF">
        <w:t xml:space="preserve">ment of </w:t>
      </w:r>
      <w:r w:rsidRPr="00F06D43">
        <w:t xml:space="preserve">implementing regulations.  </w:t>
      </w:r>
      <w:r w:rsidR="008352FF">
        <w:t>If necessary, u</w:t>
      </w:r>
      <w:r w:rsidRPr="00F06D43">
        <w:t xml:space="preserve">pon publication of </w:t>
      </w:r>
      <w:r w:rsidR="008352FF">
        <w:t>a</w:t>
      </w:r>
      <w:r w:rsidR="008352FF" w:rsidRPr="00F06D43">
        <w:t xml:space="preserve"> </w:t>
      </w:r>
      <w:r w:rsidRPr="00F06D43">
        <w:t xml:space="preserve">proposed rule to implement the provisions of the Act, the information collection associated with the Billfish Certificate of Eligibility (0648-0216) </w:t>
      </w:r>
      <w:r w:rsidR="00BC4A46">
        <w:t>will</w:t>
      </w:r>
      <w:r w:rsidRPr="00F06D43">
        <w:t xml:space="preserve"> be revised</w:t>
      </w:r>
      <w:r w:rsidR="008352FF">
        <w:t xml:space="preserve"> accordingly</w:t>
      </w:r>
      <w:r w:rsidRPr="00F06D43">
        <w:t>.</w:t>
      </w:r>
    </w:p>
    <w:p w:rsidR="00950E83" w:rsidRDefault="00950E83"/>
    <w:p w:rsidR="00950E83" w:rsidRDefault="00950E83">
      <w:pPr>
        <w:rPr>
          <w:b/>
          <w:bCs/>
        </w:rPr>
      </w:pPr>
      <w:r>
        <w:rPr>
          <w:b/>
          <w:bCs/>
        </w:rPr>
        <w:t xml:space="preserve">2.  </w:t>
      </w:r>
      <w:r w:rsidR="00F75AE7">
        <w:rPr>
          <w:lang w:val="en-CA"/>
        </w:rPr>
        <w:fldChar w:fldCharType="begin"/>
      </w:r>
      <w:r>
        <w:rPr>
          <w:lang w:val="en-CA"/>
        </w:rPr>
        <w:instrText xml:space="preserve"> SEQ CHAPTER \h \r 1</w:instrText>
      </w:r>
      <w:r w:rsidR="00F75AE7">
        <w:rPr>
          <w:lang w:val="en-CA"/>
        </w:rPr>
        <w:fldChar w:fldCharType="end"/>
      </w:r>
      <w:r>
        <w:rPr>
          <w:b/>
          <w:bCs/>
          <w:u w:val="single"/>
        </w:rPr>
        <w:t xml:space="preserve">Explain how, by whom, how frequently, and for what purpose the information will be used.  </w:t>
      </w:r>
      <w:r w:rsidR="00F75AE7">
        <w:rPr>
          <w:lang w:val="en-CA"/>
        </w:rPr>
        <w:fldChar w:fldCharType="begin"/>
      </w:r>
      <w:r>
        <w:rPr>
          <w:lang w:val="en-CA"/>
        </w:rPr>
        <w:instrText xml:space="preserve"> SEQ CHAPTER \h \r 1</w:instrText>
      </w:r>
      <w:r w:rsidR="00F75AE7">
        <w:rPr>
          <w:lang w:val="en-CA"/>
        </w:rPr>
        <w:fldChar w:fldCharType="end"/>
      </w:r>
      <w:r>
        <w:rPr>
          <w:b/>
          <w:bCs/>
          <w:u w:val="single"/>
        </w:rPr>
        <w:t>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950E83" w:rsidRDefault="00950E83">
      <w:pPr>
        <w:rPr>
          <w:b/>
          <w:bCs/>
        </w:rPr>
      </w:pPr>
    </w:p>
    <w:p w:rsidR="00950E83" w:rsidRDefault="00950E83">
      <w:r>
        <w:t xml:space="preserve">A COE is considered complete and approved for trade if all of the required information </w:t>
      </w:r>
      <w:r w:rsidR="00081754">
        <w:t xml:space="preserve">is </w:t>
      </w:r>
      <w:r>
        <w:t>recorded</w:t>
      </w:r>
      <w:r w:rsidR="009E496E">
        <w:t xml:space="preserve">. </w:t>
      </w:r>
      <w:r w:rsidR="00081754">
        <w:t>A COE is required for all first receivers of billfish, except for billfish landed in a Pacific state and remaining in the state of landing</w:t>
      </w:r>
      <w:r w:rsidR="009E496E">
        <w:t xml:space="preserve">. </w:t>
      </w:r>
      <w:r w:rsidR="00081754">
        <w:t>Dealers or processors who subsequently receive or possess billfish must also retain a copy of the COE while processing or handling the billfish</w:t>
      </w:r>
      <w:r w:rsidR="009E496E">
        <w:t xml:space="preserve">. </w:t>
      </w:r>
      <w:r w:rsidR="00F64AD3">
        <w:t xml:space="preserve">A </w:t>
      </w:r>
      <w:r>
        <w:t xml:space="preserve">COE </w:t>
      </w:r>
      <w:r w:rsidR="00081754">
        <w:t>is als</w:t>
      </w:r>
      <w:r w:rsidR="00F64AD3">
        <w:t>o</w:t>
      </w:r>
      <w:r w:rsidR="00081754">
        <w:t xml:space="preserve"> required to </w:t>
      </w:r>
      <w:r>
        <w:t xml:space="preserve">accompany billfish landed in a Pacific state </w:t>
      </w:r>
      <w:r w:rsidR="00D144E1">
        <w:t xml:space="preserve">and </w:t>
      </w:r>
      <w:r w:rsidR="00081754">
        <w:t>shipped to any dealers or processors located outside of that state</w:t>
      </w:r>
      <w:r>
        <w:t>, who subsequently receive or possess the billfish</w:t>
      </w:r>
      <w:r w:rsidR="009E496E">
        <w:t xml:space="preserve">. </w:t>
      </w:r>
      <w:r>
        <w:t>The COE documentation certifies that the accompanying billfish was not harvested from the Atlantic Ocean management unit</w:t>
      </w:r>
      <w:r w:rsidR="009E496E">
        <w:t xml:space="preserve">. </w:t>
      </w:r>
      <w:r>
        <w:t>The following information is required on all COEs:</w:t>
      </w:r>
    </w:p>
    <w:p w:rsidR="00950E83" w:rsidRDefault="00950E83"/>
    <w:p w:rsidR="00950E83" w:rsidRDefault="00950E83">
      <w:r>
        <w:tab/>
        <w:t xml:space="preserve">(A) Information </w:t>
      </w:r>
      <w:r w:rsidR="00D144E1">
        <w:t xml:space="preserve">on </w:t>
      </w:r>
      <w:r w:rsidR="00081754">
        <w:t xml:space="preserve">the </w:t>
      </w:r>
      <w:r>
        <w:t xml:space="preserve">Fishing Vessel that Caught </w:t>
      </w:r>
      <w:r w:rsidR="00081754">
        <w:t xml:space="preserve">the </w:t>
      </w:r>
      <w:r>
        <w:t>Billfishes</w:t>
      </w:r>
    </w:p>
    <w:p w:rsidR="00950E83" w:rsidRDefault="00950E83">
      <w:r>
        <w:tab/>
      </w:r>
      <w:r>
        <w:tab/>
        <w:t>(1) name of the fishing vessel</w:t>
      </w:r>
    </w:p>
    <w:p w:rsidR="00950E83" w:rsidRDefault="00950E83">
      <w:r>
        <w:tab/>
      </w:r>
      <w:r>
        <w:tab/>
        <w:t>(2) homeport of the fishing vessel</w:t>
      </w:r>
    </w:p>
    <w:p w:rsidR="00950E83" w:rsidRDefault="00950E83">
      <w:r>
        <w:tab/>
      </w:r>
      <w:r>
        <w:tab/>
        <w:t>(3) port of offloading</w:t>
      </w:r>
    </w:p>
    <w:p w:rsidR="00950E83" w:rsidRDefault="00950E83">
      <w:r>
        <w:tab/>
      </w:r>
      <w:r>
        <w:tab/>
        <w:t>(4) date of offloading</w:t>
      </w:r>
    </w:p>
    <w:p w:rsidR="00950E83" w:rsidRDefault="00950E83"/>
    <w:p w:rsidR="00950E83" w:rsidRDefault="00950E83">
      <w:r>
        <w:tab/>
        <w:t>(B) Dealer’s/Processor’s Declaration</w:t>
      </w:r>
    </w:p>
    <w:p w:rsidR="00950E83" w:rsidRDefault="00950E83">
      <w:r>
        <w:tab/>
      </w:r>
      <w:r>
        <w:tab/>
        <w:t>(1) name (printed or typed)</w:t>
      </w:r>
    </w:p>
    <w:p w:rsidR="00950E83" w:rsidRDefault="00950E83">
      <w:r>
        <w:tab/>
      </w:r>
      <w:r>
        <w:tab/>
        <w:t>(2) signature</w:t>
      </w:r>
    </w:p>
    <w:p w:rsidR="00950E83" w:rsidRDefault="00950E83">
      <w:r>
        <w:tab/>
      </w:r>
      <w:r>
        <w:tab/>
        <w:t>(3) date</w:t>
      </w:r>
    </w:p>
    <w:p w:rsidR="00950E83" w:rsidRDefault="00950E83"/>
    <w:p w:rsidR="00950E83" w:rsidRDefault="00950E83">
      <w:r>
        <w:t>The person who first receives billfish by way of purchase, barter, or trade must provide information on the fishing vessel that caught the billfishes (</w:t>
      </w:r>
      <w:r w:rsidR="00C834D5">
        <w:t xml:space="preserve">the </w:t>
      </w:r>
      <w:r>
        <w:t>items listed under (A)</w:t>
      </w:r>
      <w:r w:rsidR="00C834D5">
        <w:t xml:space="preserve"> ab</w:t>
      </w:r>
      <w:r>
        <w:t xml:space="preserve">ove), and </w:t>
      </w:r>
      <w:r w:rsidR="00C834D5">
        <w:t xml:space="preserve">must also </w:t>
      </w:r>
      <w:r>
        <w:t>sign and date the Dealer’s/Processor</w:t>
      </w:r>
      <w:r w:rsidR="00D34025">
        <w:t>’</w:t>
      </w:r>
      <w:r>
        <w:t>s Declaration certifying that the billfish were not harvested from the management unit</w:t>
      </w:r>
      <w:r w:rsidR="00D915DD">
        <w:t>s</w:t>
      </w:r>
      <w:r>
        <w:t xml:space="preserve"> described below:</w:t>
      </w:r>
    </w:p>
    <w:p w:rsidR="00950E83" w:rsidRDefault="00950E83">
      <w:r w:rsidRPr="00C834D5">
        <w:rPr>
          <w:u w:val="single"/>
        </w:rPr>
        <w:t>Blue Marlin</w:t>
      </w:r>
      <w:r w:rsidR="00565836">
        <w:rPr>
          <w:u w:val="single"/>
        </w:rPr>
        <w:t xml:space="preserve">, </w:t>
      </w:r>
      <w:r w:rsidRPr="00C834D5">
        <w:rPr>
          <w:u w:val="single"/>
        </w:rPr>
        <w:t>White Marlin</w:t>
      </w:r>
      <w:r w:rsidR="00565836">
        <w:rPr>
          <w:u w:val="single"/>
        </w:rPr>
        <w:t>, Longbill Spearfish, and Roundscale Spearfish</w:t>
      </w:r>
      <w:r>
        <w:t>: Waters of the entire North and South Atlantic Oceans (including the Gulf of Mexico and Caribbean Sea)</w:t>
      </w:r>
      <w:r w:rsidR="00204C5F">
        <w:t>;</w:t>
      </w:r>
    </w:p>
    <w:p w:rsidR="00950E83" w:rsidRDefault="00950E83"/>
    <w:p w:rsidR="00950E83" w:rsidRDefault="00950E83">
      <w:r w:rsidRPr="00C834D5">
        <w:rPr>
          <w:u w:val="single"/>
        </w:rPr>
        <w:t>Sailfish</w:t>
      </w:r>
      <w:r>
        <w:t>: Waters of the North and South Atlantic Oceans (including the Gulf of Mexico and Caribbean Sea) west of 30</w:t>
      </w:r>
      <w:r>
        <w:rPr>
          <w:vertAlign w:val="superscript"/>
        </w:rPr>
        <w:t xml:space="preserve">o </w:t>
      </w:r>
      <w:r>
        <w:t>W. longitude</w:t>
      </w:r>
      <w:r w:rsidR="00204C5F">
        <w:t>; and,</w:t>
      </w:r>
    </w:p>
    <w:p w:rsidR="00950E83" w:rsidRDefault="00950E83"/>
    <w:p w:rsidR="00950E83" w:rsidRDefault="00950E83">
      <w:r w:rsidRPr="00C834D5">
        <w:rPr>
          <w:u w:val="single"/>
        </w:rPr>
        <w:t>Black Marlin, Striped Marlin, and Shortbill Spearfish</w:t>
      </w:r>
      <w:r>
        <w:t>: Waters of the entire North and South Atlantic Oceans (including the Gulf of Mexico and Caribbean Sea).</w:t>
      </w:r>
    </w:p>
    <w:p w:rsidR="00950E83" w:rsidRDefault="00950E83"/>
    <w:p w:rsidR="00950E83" w:rsidRDefault="00F64AD3">
      <w:pPr>
        <w:pStyle w:val="BodyText"/>
      </w:pPr>
      <w:r>
        <w:t xml:space="preserve">The COE must accompany </w:t>
      </w:r>
      <w:r w:rsidR="00D144E1">
        <w:t xml:space="preserve">each </w:t>
      </w:r>
      <w:r>
        <w:t xml:space="preserve">billfish throughout its chain of custody.  </w:t>
      </w:r>
      <w:r w:rsidR="00950E83">
        <w:t>A dealer or processor who subsequently receives or possesses billfish covered by an original COE is required</w:t>
      </w:r>
      <w:r w:rsidR="00D144E1">
        <w:t xml:space="preserve"> only</w:t>
      </w:r>
      <w:r w:rsidR="00950E83">
        <w:t xml:space="preserve"> to complete the Dealer’s/Processor</w:t>
      </w:r>
      <w:r w:rsidR="00204C5F">
        <w:t>’</w:t>
      </w:r>
      <w:r w:rsidR="00BC4A46">
        <w:t>s Declaration</w:t>
      </w:r>
      <w:r w:rsidR="00950E83">
        <w:t xml:space="preserve"> and retain a copy of the COE while processing </w:t>
      </w:r>
      <w:r w:rsidR="00A56365">
        <w:t xml:space="preserve">or handling </w:t>
      </w:r>
      <w:r w:rsidR="00950E83">
        <w:t>the billfish.  The Billfish C</w:t>
      </w:r>
      <w:r w:rsidR="009E4C44">
        <w:t>O</w:t>
      </w:r>
      <w:r w:rsidR="00950E83">
        <w:t>E</w:t>
      </w:r>
      <w:r w:rsidR="009E4C44">
        <w:t xml:space="preserve"> </w:t>
      </w:r>
      <w:r w:rsidR="00950E83">
        <w:t xml:space="preserve">information is not required on a specific form – the same information can be provided in another format.  </w:t>
      </w:r>
      <w:r w:rsidR="00F73960" w:rsidRPr="00086674">
        <w:rPr>
          <w:color w:val="000000"/>
          <w:shd w:val="clear" w:color="auto" w:fill="FFFFFF"/>
        </w:rPr>
        <w:t>The physical piece of paper is intended to be passed along through the chain of custody.  It is accompanied by the shipment and signed (printed or typed) by each "custodian" of the product.  That would be difficult to accomplish if it were solely electronic. It goes on the trucks, with processors, wholesalers, and then retail establishments (and I do not know how practical or convenient it would be  for all custodians to have a tablet handy, or be near a computer in what I would presume would be a 'wet' environment).  The chain of custody is the chronological documentation or paper trail that records the sequence of custody, control, transfer, and disposition of physical evidence or product, in this case a billfish.  Having the physical hard copy accompanying the billfish would be the easiest and least expensive method indicating the origin, and history of fish.  All custodians of the product can sign and date in a matter of seconds.  Suggesting that electronic submission replace paper submission to be appears to be a financial burden on every custodian to purchase electronic equipment</w:t>
      </w:r>
      <w:r w:rsidR="00086674">
        <w:rPr>
          <w:color w:val="000000"/>
          <w:shd w:val="clear" w:color="auto" w:fill="FFFFFF"/>
        </w:rPr>
        <w:t xml:space="preserve">. </w:t>
      </w:r>
      <w:r w:rsidR="00950E83" w:rsidRPr="004D1E1F">
        <w:t xml:space="preserve">NMFS provides a standard form on the Internet </w:t>
      </w:r>
      <w:r w:rsidR="00481072" w:rsidRPr="004D1E1F">
        <w:t xml:space="preserve">at </w:t>
      </w:r>
      <w:hyperlink r:id="rId13" w:history="1">
        <w:r w:rsidR="004D1E1F" w:rsidRPr="00866B73">
          <w:rPr>
            <w:rStyle w:val="Hyperlink"/>
          </w:rPr>
          <w:t>http://www.nmfs.noaa.gov/sfa/hms/compliance/permits_reporting/0216_billfish_coeform.pdf</w:t>
        </w:r>
      </w:hyperlink>
      <w:r w:rsidR="004D1E1F">
        <w:t xml:space="preserve"> </w:t>
      </w:r>
      <w:r w:rsidR="00950E83" w:rsidRPr="004D1E1F">
        <w:t>and upon request to help facilitate the data collection.</w:t>
      </w:r>
    </w:p>
    <w:p w:rsidR="00950E83" w:rsidRDefault="00950E83"/>
    <w:p w:rsidR="00950E83" w:rsidRDefault="00950E83">
      <w:r>
        <w:t>The information collected on the COE is not disseminated to the public, nor is it used to support information that is disseminated to the public.  It is used solely to declare that the accompanying billfish was not harvested from the aforementioned Atlantic billfish management units</w:t>
      </w:r>
      <w:r w:rsidR="00D915DD">
        <w:t>,</w:t>
      </w:r>
      <w:r>
        <w:t xml:space="preserve"> to document compliance, and for enforcement purposes.     </w:t>
      </w:r>
    </w:p>
    <w:p w:rsidR="00950E83" w:rsidRDefault="00950E83"/>
    <w:p w:rsidR="00950E83" w:rsidRDefault="00950E83">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950E83" w:rsidRDefault="00950E83"/>
    <w:p w:rsidR="00950E83" w:rsidRDefault="00D915DD">
      <w:r>
        <w:t>The COE form is downloadable, fillable</w:t>
      </w:r>
      <w:r w:rsidR="0053039D">
        <w:t>,</w:t>
      </w:r>
      <w:r>
        <w:t xml:space="preserve"> and printable.</w:t>
      </w:r>
      <w:r w:rsidR="00950E83">
        <w:t xml:space="preserve">  The certificate must be retained</w:t>
      </w:r>
      <w:r>
        <w:t xml:space="preserve"> in paper form, and thus readily available for reference,</w:t>
      </w:r>
      <w:r w:rsidR="00950E83">
        <w:t xml:space="preserve"> by </w:t>
      </w:r>
      <w:r w:rsidR="00E07F85">
        <w:t xml:space="preserve">all </w:t>
      </w:r>
      <w:r w:rsidR="00950E83">
        <w:t xml:space="preserve">purchasers </w:t>
      </w:r>
      <w:r w:rsidR="00E07F85">
        <w:t xml:space="preserve">and processors </w:t>
      </w:r>
      <w:r w:rsidR="00950E83">
        <w:t>of the fish</w:t>
      </w:r>
      <w:r w:rsidR="00E07F85">
        <w:t xml:space="preserve"> throughout its chain of custody</w:t>
      </w:r>
      <w:r w:rsidR="00950E83">
        <w:t>.</w:t>
      </w:r>
    </w:p>
    <w:p w:rsidR="00950E83" w:rsidRDefault="00950E83"/>
    <w:p w:rsidR="00950E83" w:rsidRDefault="00950E83">
      <w:r>
        <w:rPr>
          <w:b/>
          <w:bCs/>
        </w:rPr>
        <w:t xml:space="preserve">4.  </w:t>
      </w:r>
      <w:r>
        <w:rPr>
          <w:b/>
          <w:bCs/>
          <w:u w:val="single"/>
        </w:rPr>
        <w:t>Describe efforts to identify duplication</w:t>
      </w:r>
      <w:r>
        <w:rPr>
          <w:b/>
          <w:bCs/>
        </w:rPr>
        <w:t>.</w:t>
      </w:r>
    </w:p>
    <w:p w:rsidR="00950E83" w:rsidRDefault="00950E83"/>
    <w:p w:rsidR="00950E83" w:rsidRDefault="00950E83">
      <w:r>
        <w:t xml:space="preserve">Coordination with existing programs is always explored to avoid unnecessary duplication of effort.  Duplication of certain elements of dealer reports </w:t>
      </w:r>
      <w:r w:rsidR="00E07F85">
        <w:t>(</w:t>
      </w:r>
      <w:r w:rsidRPr="00E07F85">
        <w:rPr>
          <w:i/>
        </w:rPr>
        <w:t>e.g</w:t>
      </w:r>
      <w:r>
        <w:t>.</w:t>
      </w:r>
      <w:r w:rsidR="00E07F85">
        <w:t>,</w:t>
      </w:r>
      <w:r>
        <w:t xml:space="preserve"> date of landing, vessel name, etc</w:t>
      </w:r>
      <w:r w:rsidR="00E07F85">
        <w:t xml:space="preserve">) </w:t>
      </w:r>
      <w:r>
        <w:t>is unavoidable.  In response to a related international recommendation regarding trade tracking, NMFS evaluated whether this information collection could be combined with trade tracking forms for other marine species.  NMFS decided that, due to differing objectives,</w:t>
      </w:r>
      <w:r w:rsidR="00BC4A46">
        <w:t xml:space="preserve"> </w:t>
      </w:r>
      <w:r>
        <w:t xml:space="preserve">trade tracking programs should not be consolidated at this time.  </w:t>
      </w:r>
    </w:p>
    <w:p w:rsidR="00950E83" w:rsidRDefault="00950E83"/>
    <w:p w:rsidR="00950E83" w:rsidRDefault="00950E83">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950E83" w:rsidRDefault="00950E83"/>
    <w:p w:rsidR="00950E83" w:rsidRDefault="000900CF">
      <w:r>
        <w:t>All respondents for this information collection are s</w:t>
      </w:r>
      <w:r w:rsidR="00950E83">
        <w:t>mall businesses.  The information requested is presented in a format that is compatible with the dealer operation of landing, purchasing, and processing of billfishes.  This consistency will minimize the compliance burden.  Thus, there is no significant impact on small entities.</w:t>
      </w:r>
    </w:p>
    <w:p w:rsidR="00086674" w:rsidRDefault="00086674">
      <w:pPr>
        <w:rPr>
          <w:b/>
          <w:bCs/>
        </w:rPr>
      </w:pPr>
    </w:p>
    <w:p w:rsidR="00950E83" w:rsidRDefault="00950E83">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950E83" w:rsidRDefault="00950E83"/>
    <w:p w:rsidR="00950E83" w:rsidRDefault="00950E83">
      <w:r>
        <w:t xml:space="preserve">The </w:t>
      </w:r>
      <w:r w:rsidR="00D144E1">
        <w:t>limitations on</w:t>
      </w:r>
      <w:r>
        <w:t xml:space="preserve"> where billfish can legally be landed for purchase, barter</w:t>
      </w:r>
      <w:r w:rsidR="0053039D">
        <w:t>,</w:t>
      </w:r>
      <w:r>
        <w:t xml:space="preserve"> or trade, relative to the wide area of occurrence of billfishes in the Atlantic and Pacific Oceans, necessitate the current level of reporting to ensure compliance with regulatory requirements.  If the information were not collected, or collected less frequently, it would be difficult, if not impossible, to ensure that billfish in commercial trade were not harvested from the management units described in Question 2. </w:t>
      </w:r>
      <w:r w:rsidR="00693135">
        <w:t xml:space="preserve">  The </w:t>
      </w:r>
      <w:r w:rsidR="000900CF">
        <w:t>B</w:t>
      </w:r>
      <w:r w:rsidR="00693135">
        <w:t>illfish COE helps to ensure that Atlantic billfish remain a recreational resource.</w:t>
      </w:r>
      <w:r>
        <w:t xml:space="preserve"> </w:t>
      </w:r>
    </w:p>
    <w:p w:rsidR="00950E83" w:rsidRDefault="00950E83"/>
    <w:p w:rsidR="00950E83" w:rsidRDefault="00950E83">
      <w:r>
        <w:rPr>
          <w:b/>
          <w:bCs/>
        </w:rPr>
        <w:t xml:space="preserve">7.  </w:t>
      </w:r>
      <w:r>
        <w:rPr>
          <w:b/>
          <w:bCs/>
          <w:u w:val="single"/>
        </w:rPr>
        <w:t>Explain any special circumstances that require the collection to be conducted in a manner inconsistent with OMB guidelines</w:t>
      </w:r>
      <w:r>
        <w:rPr>
          <w:b/>
          <w:bCs/>
        </w:rPr>
        <w:t xml:space="preserve">. </w:t>
      </w:r>
    </w:p>
    <w:p w:rsidR="00950E83" w:rsidRDefault="00950E83"/>
    <w:p w:rsidR="00950E83" w:rsidRDefault="00950E83">
      <w:r>
        <w:t>The collection of information will be made in a manner consistent with OMB guidelines.</w:t>
      </w:r>
    </w:p>
    <w:p w:rsidR="00950E83" w:rsidRDefault="00950E83"/>
    <w:p w:rsidR="00950E83" w:rsidRDefault="00950E83">
      <w:r>
        <w:rPr>
          <w:b/>
          <w:bCs/>
        </w:rPr>
        <w:t xml:space="preserve">8.  </w:t>
      </w:r>
      <w:r>
        <w:rPr>
          <w:b/>
          <w:bCs/>
          <w:u w:val="single"/>
        </w:rPr>
        <w:t xml:space="preserve">Provide </w:t>
      </w:r>
      <w:r w:rsidR="00D915DD">
        <w:rPr>
          <w:b/>
          <w:bCs/>
          <w:u w:val="single"/>
        </w:rPr>
        <w:t>information on the PRA Federal Register 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950E83" w:rsidRDefault="00950E83"/>
    <w:p w:rsidR="007C2C1B" w:rsidRDefault="007C2C1B" w:rsidP="007C2C1B">
      <w:pPr>
        <w:shd w:val="clear" w:color="auto" w:fill="FFFFFF"/>
        <w:spacing w:after="240"/>
      </w:pPr>
      <w:r>
        <w:t xml:space="preserve">A Federal Register Notice published on August 18, 2017 (82 FR 39412) solicited public comment on this proposed renewal.  NMFS contacted interested constituents by telephone, e-mail, and through the Atlantic HMS Advisory Panel to inform them of publication of the Federal Register notice.  The comment period closed on October 17, 2017. </w:t>
      </w:r>
    </w:p>
    <w:p w:rsidR="008B0B56" w:rsidRDefault="007C2C1B" w:rsidP="003D1092">
      <w:pPr>
        <w:shd w:val="clear" w:color="auto" w:fill="FFFFFF"/>
        <w:spacing w:after="240"/>
      </w:pPr>
      <w:r>
        <w:t xml:space="preserve">Two public comments were received. The first comment supported continued use of the Billfish COE </w:t>
      </w:r>
      <w:r>
        <w:rPr>
          <w:color w:val="222222"/>
        </w:rPr>
        <w:t>for</w:t>
      </w:r>
      <w:r w:rsidRPr="00C756A7">
        <w:rPr>
          <w:color w:val="222222"/>
        </w:rPr>
        <w:t xml:space="preserve"> continu</w:t>
      </w:r>
      <w:r>
        <w:rPr>
          <w:color w:val="222222"/>
        </w:rPr>
        <w:t>ing</w:t>
      </w:r>
      <w:r w:rsidRPr="00C756A7">
        <w:rPr>
          <w:color w:val="222222"/>
        </w:rPr>
        <w:t xml:space="preserve"> effort</w:t>
      </w:r>
      <w:r>
        <w:rPr>
          <w:color w:val="222222"/>
        </w:rPr>
        <w:t>s to monitor billfish</w:t>
      </w:r>
      <w:r w:rsidRPr="00C756A7">
        <w:rPr>
          <w:color w:val="222222"/>
        </w:rPr>
        <w:t xml:space="preserve"> </w:t>
      </w:r>
      <w:r>
        <w:rPr>
          <w:color w:val="222222"/>
        </w:rPr>
        <w:t xml:space="preserve">and conduct </w:t>
      </w:r>
      <w:r w:rsidRPr="00C756A7">
        <w:rPr>
          <w:color w:val="222222"/>
        </w:rPr>
        <w:t>responsible man</w:t>
      </w:r>
      <w:r>
        <w:rPr>
          <w:color w:val="222222"/>
        </w:rPr>
        <w:t>agement of our marine fisheries</w:t>
      </w:r>
      <w:r>
        <w:t xml:space="preserve">. The second comment recognized the need for </w:t>
      </w:r>
      <w:r w:rsidR="008B0B56">
        <w:t xml:space="preserve">an </w:t>
      </w:r>
      <w:r w:rsidRPr="00CB102A">
        <w:t xml:space="preserve">accurate, reliable, simple, paper or electronic trail </w:t>
      </w:r>
      <w:r>
        <w:t>to track product from</w:t>
      </w:r>
      <w:r w:rsidRPr="00CB102A">
        <w:t xml:space="preserve"> billfish caught in the Pacific or Indian </w:t>
      </w:r>
      <w:r>
        <w:t>O</w:t>
      </w:r>
      <w:r w:rsidRPr="00CB102A">
        <w:t>cean</w:t>
      </w:r>
      <w:r>
        <w:t>s through commerce to the consumer to distinguish product that can be legally sold from product that cannot be legally sold.  N</w:t>
      </w:r>
      <w:r w:rsidRPr="00CB102A">
        <w:t>o billfish sales are allowed from A</w:t>
      </w:r>
      <w:r>
        <w:t>tlantic Ocean or Gulf of Mexico</w:t>
      </w:r>
      <w:r w:rsidRPr="00CB102A">
        <w:t>.</w:t>
      </w:r>
      <w:r w:rsidRPr="000E25D3">
        <w:t xml:space="preserve"> </w:t>
      </w:r>
    </w:p>
    <w:p w:rsidR="0049033A" w:rsidRDefault="007C2C1B" w:rsidP="003D1092">
      <w:pPr>
        <w:shd w:val="clear" w:color="auto" w:fill="FFFFFF"/>
        <w:spacing w:after="240"/>
      </w:pPr>
      <w:r>
        <w:t xml:space="preserve">No action has been taken in response to these comments.  The Billfish COE has been an effective tool to document the origin of billfish product that has entered commerce and prevent the sale of Atlantic billfish or billfish that are prohibited from sale under the Billfish Conservation Act.  </w:t>
      </w:r>
    </w:p>
    <w:p w:rsidR="00086674" w:rsidRPr="00086674" w:rsidRDefault="00086674" w:rsidP="00086674">
      <w:pPr>
        <w:widowControl/>
        <w:shd w:val="clear" w:color="auto" w:fill="FFFFFF"/>
        <w:autoSpaceDE/>
        <w:autoSpaceDN/>
        <w:adjustRightInd/>
        <w:rPr>
          <w:color w:val="000000"/>
        </w:rPr>
      </w:pPr>
      <w:r w:rsidRPr="00086674">
        <w:rPr>
          <w:color w:val="000000"/>
        </w:rPr>
        <w:t xml:space="preserve">HMS did request public comment regarding an electronic form, from the Advisory Panel meeting that took place March 7-9, 2018, per OIRA’s request.  On March 19, 2018, </w:t>
      </w:r>
      <w:r w:rsidR="00087A0E">
        <w:rPr>
          <w:color w:val="000000"/>
        </w:rPr>
        <w:t xml:space="preserve">an Advisory Panel member representing the recreational constituency </w:t>
      </w:r>
      <w:r w:rsidR="00ED6CA0">
        <w:rPr>
          <w:color w:val="000000"/>
        </w:rPr>
        <w:t>made a follow-up call</w:t>
      </w:r>
      <w:r w:rsidRPr="00086674">
        <w:rPr>
          <w:color w:val="000000"/>
        </w:rPr>
        <w:t xml:space="preserve"> to comment on the U.S. Department of Commerce NOAA Billfish Certificate of Eligibility. His comment was "It is the best we can do right now and digitizing this form would is a waste of time and effort."</w:t>
      </w:r>
    </w:p>
    <w:p w:rsidR="00086674" w:rsidRDefault="00086674">
      <w:pPr>
        <w:rPr>
          <w:b/>
          <w:bCs/>
        </w:rPr>
      </w:pPr>
    </w:p>
    <w:p w:rsidR="00950E83" w:rsidRDefault="00950E83">
      <w:r>
        <w:rPr>
          <w:b/>
          <w:bCs/>
        </w:rPr>
        <w:t xml:space="preserve">9.  </w:t>
      </w:r>
      <w:r>
        <w:rPr>
          <w:b/>
          <w:bCs/>
          <w:u w:val="single"/>
        </w:rPr>
        <w:t>Explain any decisions to provide payments or gifts to respondents, other than remuneration of contractors or grantees</w:t>
      </w:r>
      <w:r>
        <w:rPr>
          <w:b/>
          <w:bCs/>
        </w:rPr>
        <w:t>.</w:t>
      </w:r>
    </w:p>
    <w:p w:rsidR="00950E83" w:rsidRDefault="00950E83"/>
    <w:p w:rsidR="00950E83" w:rsidRDefault="00D915DD">
      <w:r>
        <w:t>NMFS</w:t>
      </w:r>
      <w:r w:rsidR="00950E83">
        <w:t xml:space="preserve"> does not provide gifts or payment for completion of the </w:t>
      </w:r>
      <w:r w:rsidR="004A4A0F">
        <w:t>B</w:t>
      </w:r>
      <w:r w:rsidR="00EF5CCD">
        <w:t xml:space="preserve">illfish </w:t>
      </w:r>
      <w:r w:rsidR="00874251">
        <w:t>COE</w:t>
      </w:r>
      <w:r w:rsidR="00950E83">
        <w:t>.</w:t>
      </w:r>
    </w:p>
    <w:p w:rsidR="00950E83" w:rsidRDefault="00950E83"/>
    <w:p w:rsidR="00950E83" w:rsidRDefault="00950E83">
      <w:pPr>
        <w:rPr>
          <w:b/>
          <w:bCs/>
        </w:rPr>
      </w:pPr>
      <w:r>
        <w:rPr>
          <w:b/>
          <w:bCs/>
        </w:rPr>
        <w:t xml:space="preserve">10.  </w:t>
      </w:r>
      <w:r>
        <w:rPr>
          <w:b/>
          <w:bCs/>
          <w:u w:val="single"/>
        </w:rPr>
        <w:t>Describe any assurance of confidentiality provided to respondents and the basis for assurance in statute, regulation, or agency policy</w:t>
      </w:r>
      <w:r>
        <w:rPr>
          <w:b/>
          <w:bCs/>
        </w:rPr>
        <w:t>.</w:t>
      </w:r>
    </w:p>
    <w:p w:rsidR="00D915DD" w:rsidRDefault="00D915DD"/>
    <w:p w:rsidR="00950E83" w:rsidRDefault="004A4A0F">
      <w:r>
        <w:t>As stated on the form, i</w:t>
      </w:r>
      <w:r w:rsidR="00950E83">
        <w:t xml:space="preserve">t is </w:t>
      </w:r>
      <w:r w:rsidR="00D915DD">
        <w:t>NMFS</w:t>
      </w:r>
      <w:r w:rsidR="00950E83">
        <w:t xml:space="preserve"> policy not to release confidential data, other than in aggregate form, as the Magnuson-Stevens Fisheries Conservation and Management Act protects (in perpetuity) the confidentiality of those submitting data</w:t>
      </w:r>
      <w:r w:rsidR="0005698F">
        <w:t>.</w:t>
      </w:r>
      <w:r w:rsidR="00CE5A14">
        <w:t xml:space="preserve">  </w:t>
      </w:r>
      <w:hyperlink r:id="rId14" w:history="1">
        <w:r w:rsidR="0005698F" w:rsidRPr="00293ABC">
          <w:rPr>
            <w:rStyle w:val="Hyperlink"/>
          </w:rPr>
          <w:t xml:space="preserve">NOAA Administrative Order 216-100 </w:t>
        </w:r>
      </w:hyperlink>
      <w:r w:rsidR="0005698F">
        <w:t xml:space="preserve">also applies.  </w:t>
      </w:r>
      <w:r w:rsidR="00950E83">
        <w:t>Whenever data are requested, the Agency ensures that information identifying the pecuniary business activity of a particular dealer is not identified.</w:t>
      </w:r>
      <w:r w:rsidR="00C102BC">
        <w:t xml:space="preserve">  </w:t>
      </w:r>
    </w:p>
    <w:p w:rsidR="00950E83" w:rsidRDefault="00950E83"/>
    <w:p w:rsidR="00950E83" w:rsidRDefault="00950E83">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950E83" w:rsidRDefault="00950E83"/>
    <w:p w:rsidR="00950E83" w:rsidRDefault="00950E83">
      <w:r>
        <w:t>No information of a sensitive nature is requested.</w:t>
      </w:r>
    </w:p>
    <w:p w:rsidR="00950E83" w:rsidRDefault="00950E83"/>
    <w:p w:rsidR="00950E83" w:rsidRDefault="00950E83">
      <w:r>
        <w:rPr>
          <w:b/>
          <w:bCs/>
        </w:rPr>
        <w:t xml:space="preserve">12.  </w:t>
      </w:r>
      <w:r>
        <w:rPr>
          <w:b/>
          <w:bCs/>
          <w:u w:val="single"/>
        </w:rPr>
        <w:t>Provide an estimate in hours of the burden of the collection of information</w:t>
      </w:r>
      <w:r>
        <w:rPr>
          <w:b/>
          <w:bCs/>
        </w:rPr>
        <w:t>.</w:t>
      </w:r>
    </w:p>
    <w:p w:rsidR="00950E83" w:rsidRDefault="00950E83"/>
    <w:p w:rsidR="00950E83" w:rsidRDefault="00950E83">
      <w:r>
        <w:t>It is estimated that approximately 100</w:t>
      </w:r>
      <w:r w:rsidR="00D144E1">
        <w:t xml:space="preserve"> initial</w:t>
      </w:r>
      <w:r>
        <w:t xml:space="preserve"> shipments of billfish </w:t>
      </w:r>
      <w:r w:rsidR="00811BB2">
        <w:t xml:space="preserve">are annually </w:t>
      </w:r>
      <w:r>
        <w:t>completed by approximately 50 dealers.  The average response time for COE completion for the first purchaser is estimated to be 20 minutes</w:t>
      </w:r>
      <w:r w:rsidR="00444EB1">
        <w:t>.</w:t>
      </w:r>
      <w:r>
        <w:t xml:space="preserve"> </w:t>
      </w:r>
      <w:r w:rsidR="00444EB1">
        <w:t xml:space="preserve">Approximately three additional dealers/processors are involved from </w:t>
      </w:r>
      <w:r w:rsidR="00936E88">
        <w:t xml:space="preserve">billfish </w:t>
      </w:r>
      <w:r w:rsidR="00444EB1">
        <w:t>purchase to</w:t>
      </w:r>
      <w:r w:rsidR="00936E88">
        <w:t xml:space="preserve"> its </w:t>
      </w:r>
      <w:r w:rsidR="00444EB1">
        <w:t xml:space="preserve">final destination.  Therefore, approximately 300 subsequent </w:t>
      </w:r>
      <w:r w:rsidR="00936E88">
        <w:t xml:space="preserve">responses </w:t>
      </w:r>
      <w:r w:rsidR="00444EB1">
        <w:t xml:space="preserve">occur (100 shipments </w:t>
      </w:r>
      <w:r w:rsidR="00936E88">
        <w:t>x</w:t>
      </w:r>
      <w:r w:rsidR="00444EB1">
        <w:t xml:space="preserve"> </w:t>
      </w:r>
      <w:r w:rsidR="00936E88">
        <w:t xml:space="preserve">3 </w:t>
      </w:r>
      <w:r w:rsidR="00444EB1">
        <w:t xml:space="preserve">subsequent </w:t>
      </w:r>
      <w:r w:rsidR="00DF3F19">
        <w:t>responses</w:t>
      </w:r>
      <w:r w:rsidR="00444EB1">
        <w:t>).  Each subsequent dealer/processor is estimated to complete 2</w:t>
      </w:r>
      <w:r w:rsidR="00D144E1">
        <w:t xml:space="preserve"> of those 300</w:t>
      </w:r>
      <w:r w:rsidR="00444EB1">
        <w:t xml:space="preserve"> </w:t>
      </w:r>
      <w:r w:rsidR="00DF3F19">
        <w:t>responses</w:t>
      </w:r>
      <w:r w:rsidR="00936E88">
        <w:t xml:space="preserve"> </w:t>
      </w:r>
      <w:r w:rsidR="00444EB1">
        <w:t xml:space="preserve">(300 </w:t>
      </w:r>
      <w:r w:rsidR="00DF3F19">
        <w:t xml:space="preserve">responses </w:t>
      </w:r>
      <w:r w:rsidR="00444EB1">
        <w:t>÷</w:t>
      </w:r>
      <w:r w:rsidR="00936E88">
        <w:t xml:space="preserve"> </w:t>
      </w:r>
      <w:r w:rsidR="00444EB1">
        <w:t xml:space="preserve">2 </w:t>
      </w:r>
      <w:r w:rsidR="00DF3F19">
        <w:t xml:space="preserve">responses </w:t>
      </w:r>
      <w:r w:rsidR="00936E88">
        <w:t>per dealer/processor = 150 dealer/processors)</w:t>
      </w:r>
      <w:r w:rsidR="00444EB1">
        <w:t>.  T</w:t>
      </w:r>
      <w:r>
        <w:t xml:space="preserve">he </w:t>
      </w:r>
      <w:r w:rsidR="00811BB2">
        <w:t xml:space="preserve">COE </w:t>
      </w:r>
      <w:r>
        <w:t>re</w:t>
      </w:r>
      <w:r w:rsidR="00444EB1">
        <w:t xml:space="preserve">sponse time </w:t>
      </w:r>
      <w:r>
        <w:t>for subsequent billfish purchase</w:t>
      </w:r>
      <w:r w:rsidR="00444EB1">
        <w:t>s</w:t>
      </w:r>
      <w:r>
        <w:t xml:space="preserve"> is estimated to be 2 minutes</w:t>
      </w:r>
      <w:r w:rsidR="008F6886">
        <w:t xml:space="preserve"> (dealer’s name, signature and date, only)</w:t>
      </w:r>
      <w:r w:rsidR="00444EB1">
        <w:t>.</w:t>
      </w:r>
      <w:r w:rsidR="00936E88">
        <w:t xml:space="preserve">  </w:t>
      </w:r>
      <w:r>
        <w:t xml:space="preserve">Therefore, the total burden estimate for the collection of information associated with the </w:t>
      </w:r>
      <w:r w:rsidR="00874251">
        <w:t>B</w:t>
      </w:r>
      <w:r>
        <w:t>illfish COE is estimated as follows:</w:t>
      </w:r>
    </w:p>
    <w:p w:rsidR="00950E83" w:rsidRDefault="00950E83"/>
    <w:p w:rsidR="00950E83" w:rsidRDefault="00950E83" w:rsidP="00AE5C55">
      <w:pPr>
        <w:ind w:left="720"/>
      </w:pPr>
      <w:r>
        <w:t xml:space="preserve">50 </w:t>
      </w:r>
      <w:r w:rsidR="00DF3F19">
        <w:t xml:space="preserve">initial </w:t>
      </w:r>
      <w:r>
        <w:t>dealers x 2 COEs</w:t>
      </w:r>
      <w:r w:rsidR="00936E88">
        <w:t xml:space="preserve"> per </w:t>
      </w:r>
      <w:r>
        <w:t>dealer x 20 min</w:t>
      </w:r>
      <w:r w:rsidR="00936E88">
        <w:t xml:space="preserve">utes per </w:t>
      </w:r>
      <w:r>
        <w:t>COE =</w:t>
      </w:r>
      <w:r w:rsidR="00D144E1">
        <w:t xml:space="preserve"> 2,000 minutes/60 minutes = </w:t>
      </w:r>
      <w:r>
        <w:t>33.3</w:t>
      </w:r>
      <w:r w:rsidR="00D144E1">
        <w:t xml:space="preserve"> (33)</w:t>
      </w:r>
      <w:r>
        <w:t xml:space="preserve"> hours</w:t>
      </w:r>
      <w:r w:rsidR="00F65424">
        <w:t>.</w:t>
      </w:r>
      <w:r>
        <w:t xml:space="preserve"> (100 COEs)</w:t>
      </w:r>
    </w:p>
    <w:p w:rsidR="00950E83" w:rsidRDefault="00950E83">
      <w:r>
        <w:tab/>
        <w:t>+</w:t>
      </w:r>
    </w:p>
    <w:p w:rsidR="00950E83" w:rsidRDefault="00936E88">
      <w:pPr>
        <w:ind w:left="720"/>
      </w:pPr>
      <w:r>
        <w:t xml:space="preserve">150 </w:t>
      </w:r>
      <w:r w:rsidR="00DF3F19">
        <w:t xml:space="preserve">subsequent </w:t>
      </w:r>
      <w:r w:rsidR="00950E83">
        <w:t xml:space="preserve">dealers/processors </w:t>
      </w:r>
      <w:r>
        <w:t xml:space="preserve">x 2 COEs per dealer/processor </w:t>
      </w:r>
      <w:r w:rsidR="00950E83">
        <w:t>x 2 minutes</w:t>
      </w:r>
      <w:r>
        <w:t xml:space="preserve"> per </w:t>
      </w:r>
      <w:r w:rsidR="00950E83">
        <w:t xml:space="preserve">COE = </w:t>
      </w:r>
      <w:r w:rsidR="00D144E1">
        <w:t xml:space="preserve">600 minutes/60 minutes = </w:t>
      </w:r>
      <w:r w:rsidR="00950E83">
        <w:t>10 hours. (300 COEs)</w:t>
      </w:r>
    </w:p>
    <w:p w:rsidR="00950E83" w:rsidRDefault="00950E83"/>
    <w:p w:rsidR="00950E83" w:rsidRDefault="00950E83">
      <w:r>
        <w:tab/>
      </w:r>
      <w:r w:rsidR="00DF3F19">
        <w:t>Thus, t</w:t>
      </w:r>
      <w:r>
        <w:t xml:space="preserve">he total estimates </w:t>
      </w:r>
      <w:r w:rsidR="00DF3F19">
        <w:t xml:space="preserve">would be </w:t>
      </w:r>
      <w:r w:rsidR="00936E88">
        <w:t xml:space="preserve">200 </w:t>
      </w:r>
      <w:r>
        <w:t>respondents, 400 responses, and 43.3</w:t>
      </w:r>
      <w:r w:rsidR="00D144E1">
        <w:t xml:space="preserve"> (43)</w:t>
      </w:r>
      <w:r>
        <w:t xml:space="preserve"> hours.</w:t>
      </w:r>
    </w:p>
    <w:p w:rsidR="00950E83" w:rsidRDefault="00950E83"/>
    <w:p w:rsidR="00950E83" w:rsidRDefault="00950E83">
      <w:r>
        <w:rPr>
          <w:b/>
          <w:bCs/>
        </w:rPr>
        <w:t xml:space="preserve">13.  </w:t>
      </w:r>
      <w:r>
        <w:rPr>
          <w:b/>
          <w:bCs/>
          <w:u w:val="single"/>
        </w:rPr>
        <w:t xml:space="preserve">Provide an estimate of the total annual cost burden to the respondents or record-keepers resulting from the collection (excluding the value of the burden hours in </w:t>
      </w:r>
      <w:r w:rsidR="008F6886">
        <w:rPr>
          <w:b/>
          <w:bCs/>
          <w:u w:val="single"/>
        </w:rPr>
        <w:t xml:space="preserve">Question </w:t>
      </w:r>
      <w:r>
        <w:rPr>
          <w:b/>
          <w:bCs/>
          <w:u w:val="single"/>
        </w:rPr>
        <w:t>12 above)</w:t>
      </w:r>
      <w:r>
        <w:rPr>
          <w:b/>
          <w:bCs/>
        </w:rPr>
        <w:t>.</w:t>
      </w:r>
    </w:p>
    <w:p w:rsidR="00950E83" w:rsidRDefault="00950E83"/>
    <w:p w:rsidR="00950E83" w:rsidRDefault="008B0B56">
      <w:r>
        <w:t>There are no recordkeeping/reporting costs to respondents</w:t>
      </w:r>
      <w:r w:rsidR="001F5FB1">
        <w:t>.</w:t>
      </w:r>
      <w:r w:rsidR="00042C45">
        <w:t xml:space="preserve"> </w:t>
      </w:r>
      <w:r w:rsidR="000660A1">
        <w:t xml:space="preserve"> </w:t>
      </w:r>
      <w:r w:rsidR="000660A1" w:rsidRPr="000660A1">
        <w:t xml:space="preserve">The Billfish COE information is not required on a specific form – the same information can be provided in another format.  NMFS provides a standard form on the Internet at </w:t>
      </w:r>
      <w:hyperlink r:id="rId15" w:history="1">
        <w:r w:rsidR="000660A1" w:rsidRPr="000660A1">
          <w:rPr>
            <w:rStyle w:val="Hyperlink"/>
          </w:rPr>
          <w:t>http://www.nmfs.noaa.gov/sfa/hms/compliance/permits_reporting/0216_billfish_coeform.pdf</w:t>
        </w:r>
      </w:hyperlink>
      <w:r w:rsidR="000660A1" w:rsidRPr="000660A1">
        <w:t xml:space="preserve"> and upon request to help facilitate the data collection.</w:t>
      </w:r>
      <w:r w:rsidR="000660A1">
        <w:t xml:space="preserve"> The form is then transferred manually, along with any billfish products, through the chain of custody.</w:t>
      </w:r>
      <w:r w:rsidR="00042C45">
        <w:t xml:space="preserve"> </w:t>
      </w:r>
    </w:p>
    <w:p w:rsidR="00950E83" w:rsidRDefault="00950E83"/>
    <w:p w:rsidR="003D1092" w:rsidRDefault="003D1092">
      <w:pPr>
        <w:widowControl/>
        <w:autoSpaceDE/>
        <w:autoSpaceDN/>
        <w:adjustRightInd/>
        <w:rPr>
          <w:b/>
          <w:bCs/>
        </w:rPr>
      </w:pPr>
      <w:r>
        <w:rPr>
          <w:b/>
          <w:bCs/>
        </w:rPr>
        <w:br w:type="page"/>
      </w:r>
    </w:p>
    <w:p w:rsidR="00950E83" w:rsidRDefault="00950E83">
      <w:r>
        <w:rPr>
          <w:b/>
          <w:bCs/>
        </w:rPr>
        <w:t xml:space="preserve">14.  </w:t>
      </w:r>
      <w:r>
        <w:rPr>
          <w:b/>
          <w:bCs/>
          <w:u w:val="single"/>
        </w:rPr>
        <w:t>Provide estimates of annualized cost to the Federal government</w:t>
      </w:r>
      <w:r>
        <w:rPr>
          <w:b/>
          <w:bCs/>
        </w:rPr>
        <w:t>.</w:t>
      </w:r>
    </w:p>
    <w:p w:rsidR="00950E83" w:rsidRDefault="00950E83"/>
    <w:p w:rsidR="00950E83" w:rsidRDefault="00950E83">
      <w:r>
        <w:t xml:space="preserve">The annual cost is estimated at less than $100 for printing and distributing </w:t>
      </w:r>
      <w:r w:rsidR="00FB0AF4">
        <w:t xml:space="preserve">the </w:t>
      </w:r>
      <w:r>
        <w:t>COEs.</w:t>
      </w:r>
    </w:p>
    <w:p w:rsidR="00950E83" w:rsidRDefault="00950E83"/>
    <w:p w:rsidR="00950E83" w:rsidRDefault="00950E83">
      <w:r>
        <w:rPr>
          <w:b/>
          <w:bCs/>
        </w:rPr>
        <w:t xml:space="preserve">15.  </w:t>
      </w:r>
      <w:r>
        <w:rPr>
          <w:b/>
          <w:bCs/>
          <w:u w:val="single"/>
        </w:rPr>
        <w:t>Explain the reasons for any program changes or adjustments</w:t>
      </w:r>
      <w:r>
        <w:rPr>
          <w:b/>
          <w:bCs/>
        </w:rPr>
        <w:t>.</w:t>
      </w:r>
    </w:p>
    <w:p w:rsidR="00950E83" w:rsidRDefault="00950E83"/>
    <w:p w:rsidR="00950E83" w:rsidRDefault="00950E83">
      <w:r>
        <w:t>No</w:t>
      </w:r>
      <w:r w:rsidR="001F5FB1">
        <w:t>t</w:t>
      </w:r>
      <w:r>
        <w:t xml:space="preserve"> </w:t>
      </w:r>
      <w:r w:rsidR="001F5FB1">
        <w:t>applicable</w:t>
      </w:r>
      <w:r>
        <w:t>.</w:t>
      </w:r>
      <w:r w:rsidR="00FB0AF4">
        <w:t xml:space="preserve">  </w:t>
      </w:r>
    </w:p>
    <w:p w:rsidR="00C102BC" w:rsidRDefault="00C102BC"/>
    <w:p w:rsidR="00950E83" w:rsidRDefault="00950E83">
      <w:r>
        <w:rPr>
          <w:b/>
          <w:bCs/>
        </w:rPr>
        <w:t xml:space="preserve">16.  </w:t>
      </w:r>
      <w:r>
        <w:rPr>
          <w:b/>
          <w:bCs/>
          <w:u w:val="single"/>
        </w:rPr>
        <w:t>For collections whose results will be published, outline the plans for tabulation and publication</w:t>
      </w:r>
      <w:r>
        <w:rPr>
          <w:b/>
          <w:bCs/>
        </w:rPr>
        <w:t>.</w:t>
      </w:r>
    </w:p>
    <w:p w:rsidR="00950E83" w:rsidRDefault="00950E83"/>
    <w:p w:rsidR="00950E83" w:rsidRDefault="00950E83">
      <w:r>
        <w:t>No publication is planned.</w:t>
      </w:r>
    </w:p>
    <w:p w:rsidR="00950E83" w:rsidRDefault="00950E83"/>
    <w:p w:rsidR="00950E83" w:rsidRDefault="00950E83">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950E83" w:rsidRDefault="00950E83"/>
    <w:p w:rsidR="00950E83" w:rsidRDefault="00950E83">
      <w:r>
        <w:t>The expiration date will be displayed.</w:t>
      </w:r>
    </w:p>
    <w:p w:rsidR="00950E83" w:rsidRDefault="00950E83"/>
    <w:p w:rsidR="00950E83" w:rsidRPr="008F6886" w:rsidRDefault="00950E83">
      <w:pPr>
        <w:rPr>
          <w:b/>
          <w:bCs/>
          <w:u w:val="single"/>
        </w:rPr>
      </w:pPr>
      <w:r>
        <w:rPr>
          <w:b/>
          <w:bCs/>
        </w:rPr>
        <w:t xml:space="preserve">18.  </w:t>
      </w:r>
      <w:r>
        <w:rPr>
          <w:b/>
          <w:bCs/>
          <w:u w:val="single"/>
        </w:rPr>
        <w:t>Explain each exception to the certification statement</w:t>
      </w:r>
      <w:r>
        <w:rPr>
          <w:b/>
          <w:bCs/>
        </w:rPr>
        <w:t>.</w:t>
      </w:r>
    </w:p>
    <w:p w:rsidR="00950E83" w:rsidRDefault="00950E83"/>
    <w:p w:rsidR="00950E83" w:rsidRDefault="00950E83">
      <w:r>
        <w:t>There are no exceptions.</w:t>
      </w:r>
    </w:p>
    <w:p w:rsidR="00950E83" w:rsidRDefault="00950E83"/>
    <w:p w:rsidR="00950E83" w:rsidRDefault="00950E83">
      <w:r>
        <w:rPr>
          <w:b/>
          <w:bCs/>
        </w:rPr>
        <w:t>B.  COLLECTIONS OF INFORMATION EMPLOYING STATISTICAL METHODS</w:t>
      </w:r>
    </w:p>
    <w:p w:rsidR="00950E83" w:rsidRDefault="00950E83"/>
    <w:p w:rsidR="00950E83" w:rsidRDefault="00950E83">
      <w:pPr>
        <w:rPr>
          <w:i/>
          <w:iCs/>
        </w:rPr>
      </w:pPr>
      <w:r>
        <w:t>This information collection does not employ statistical methods such as sampling.</w:t>
      </w:r>
    </w:p>
    <w:p w:rsidR="00950E83" w:rsidRDefault="00950E83">
      <w:pPr>
        <w:rPr>
          <w:i/>
          <w:iCs/>
        </w:rPr>
      </w:pPr>
    </w:p>
    <w:p w:rsidR="00950E83" w:rsidRDefault="00950E83"/>
    <w:sectPr w:rsidR="00950E83" w:rsidSect="000E744A">
      <w:footnotePr>
        <w:numRestart w:val="eachSect"/>
      </w:footnotePr>
      <w:endnotePr>
        <w:numFmt w:val="decimal"/>
      </w:endnotePr>
      <w:type w:val="continuous"/>
      <w:pgSz w:w="12240" w:h="15840"/>
      <w:pgMar w:top="1440" w:right="1440" w:bottom="108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6961E" w15:done="0"/>
  <w15:commentEx w15:paraId="5DFF73D8" w15:done="0"/>
  <w15:commentEx w15:paraId="689448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37" w:rsidRDefault="00182337">
      <w:r>
        <w:separator/>
      </w:r>
    </w:p>
  </w:endnote>
  <w:endnote w:type="continuationSeparator" w:id="0">
    <w:p w:rsidR="00182337" w:rsidRDefault="0018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87" w:rsidRDefault="00F75AE7">
    <w:pPr>
      <w:pStyle w:val="Footer"/>
      <w:framePr w:w="576" w:wrap="auto" w:vAnchor="page" w:hAnchor="page" w:x="5545" w:y="15121"/>
      <w:jc w:val="right"/>
      <w:rPr>
        <w:rStyle w:val="PageNumber"/>
      </w:rPr>
    </w:pPr>
    <w:r>
      <w:rPr>
        <w:rStyle w:val="PageNumber"/>
      </w:rPr>
      <w:fldChar w:fldCharType="begin"/>
    </w:r>
    <w:r w:rsidR="00034287">
      <w:rPr>
        <w:rStyle w:val="PageNumber"/>
      </w:rPr>
      <w:instrText xml:space="preserve">PAGE  </w:instrText>
    </w:r>
    <w:r>
      <w:rPr>
        <w:rStyle w:val="PageNumber"/>
      </w:rPr>
      <w:fldChar w:fldCharType="separate"/>
    </w:r>
    <w:r w:rsidR="00851A1C">
      <w:rPr>
        <w:rStyle w:val="PageNumber"/>
        <w:noProof/>
      </w:rPr>
      <w:t>1</w:t>
    </w:r>
    <w:r>
      <w:rPr>
        <w:rStyle w:val="PageNumber"/>
      </w:rPr>
      <w:fldChar w:fldCharType="end"/>
    </w:r>
  </w:p>
  <w:p w:rsidR="00034287" w:rsidRDefault="0003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37" w:rsidRDefault="00182337">
      <w:r>
        <w:separator/>
      </w:r>
    </w:p>
  </w:footnote>
  <w:footnote w:type="continuationSeparator" w:id="0">
    <w:p w:rsidR="00182337" w:rsidRDefault="0018233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o_Schulze-Haugen">
    <w15:presenceInfo w15:providerId="None" w15:userId="Margo_Schulze-Hau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B0"/>
    <w:rsid w:val="00034287"/>
    <w:rsid w:val="00034EAF"/>
    <w:rsid w:val="00035390"/>
    <w:rsid w:val="00042C45"/>
    <w:rsid w:val="0005698F"/>
    <w:rsid w:val="000660A1"/>
    <w:rsid w:val="00081754"/>
    <w:rsid w:val="00086674"/>
    <w:rsid w:val="00087A0E"/>
    <w:rsid w:val="000900CF"/>
    <w:rsid w:val="000B4DEE"/>
    <w:rsid w:val="000E17D6"/>
    <w:rsid w:val="000E744A"/>
    <w:rsid w:val="000F1E6C"/>
    <w:rsid w:val="0011100D"/>
    <w:rsid w:val="0013702D"/>
    <w:rsid w:val="00160E92"/>
    <w:rsid w:val="0016345C"/>
    <w:rsid w:val="00182337"/>
    <w:rsid w:val="001C1270"/>
    <w:rsid w:val="001C6BF5"/>
    <w:rsid w:val="001D5079"/>
    <w:rsid w:val="001F3348"/>
    <w:rsid w:val="001F5FB1"/>
    <w:rsid w:val="00204C5F"/>
    <w:rsid w:val="002434EF"/>
    <w:rsid w:val="00293ABC"/>
    <w:rsid w:val="002C27ED"/>
    <w:rsid w:val="0030007D"/>
    <w:rsid w:val="00322D09"/>
    <w:rsid w:val="00335D9B"/>
    <w:rsid w:val="003373EC"/>
    <w:rsid w:val="0034595D"/>
    <w:rsid w:val="0039320D"/>
    <w:rsid w:val="003C16B9"/>
    <w:rsid w:val="003D1092"/>
    <w:rsid w:val="00444EB1"/>
    <w:rsid w:val="0045370B"/>
    <w:rsid w:val="00481072"/>
    <w:rsid w:val="0049033A"/>
    <w:rsid w:val="004A3162"/>
    <w:rsid w:val="004A4A0F"/>
    <w:rsid w:val="004C7E73"/>
    <w:rsid w:val="004D1E1F"/>
    <w:rsid w:val="004D79FA"/>
    <w:rsid w:val="004F2E3C"/>
    <w:rsid w:val="004F5EEB"/>
    <w:rsid w:val="00502C45"/>
    <w:rsid w:val="00512423"/>
    <w:rsid w:val="0053039D"/>
    <w:rsid w:val="00550A1F"/>
    <w:rsid w:val="00565836"/>
    <w:rsid w:val="00595E1F"/>
    <w:rsid w:val="005B168B"/>
    <w:rsid w:val="005C5F3B"/>
    <w:rsid w:val="006074D1"/>
    <w:rsid w:val="00664EB0"/>
    <w:rsid w:val="00681F0D"/>
    <w:rsid w:val="00692E88"/>
    <w:rsid w:val="00693135"/>
    <w:rsid w:val="00694A6B"/>
    <w:rsid w:val="006D44C6"/>
    <w:rsid w:val="00701C8B"/>
    <w:rsid w:val="00754274"/>
    <w:rsid w:val="00792338"/>
    <w:rsid w:val="007B53A1"/>
    <w:rsid w:val="007C2C1B"/>
    <w:rsid w:val="007C6DD4"/>
    <w:rsid w:val="007E110C"/>
    <w:rsid w:val="007F3592"/>
    <w:rsid w:val="00811BB2"/>
    <w:rsid w:val="00825BD9"/>
    <w:rsid w:val="00832F3E"/>
    <w:rsid w:val="008352FF"/>
    <w:rsid w:val="00851A1C"/>
    <w:rsid w:val="00866F42"/>
    <w:rsid w:val="00874251"/>
    <w:rsid w:val="008B0B56"/>
    <w:rsid w:val="008C7411"/>
    <w:rsid w:val="008F6886"/>
    <w:rsid w:val="00921C21"/>
    <w:rsid w:val="009240FE"/>
    <w:rsid w:val="00925763"/>
    <w:rsid w:val="0093250D"/>
    <w:rsid w:val="00936E88"/>
    <w:rsid w:val="00950E83"/>
    <w:rsid w:val="00960961"/>
    <w:rsid w:val="009A02E7"/>
    <w:rsid w:val="009E496E"/>
    <w:rsid w:val="009E4C44"/>
    <w:rsid w:val="00A14BF1"/>
    <w:rsid w:val="00A20694"/>
    <w:rsid w:val="00A35607"/>
    <w:rsid w:val="00A430EA"/>
    <w:rsid w:val="00A56365"/>
    <w:rsid w:val="00AC5663"/>
    <w:rsid w:val="00AD5764"/>
    <w:rsid w:val="00AE5C55"/>
    <w:rsid w:val="00AF0F5C"/>
    <w:rsid w:val="00AF6369"/>
    <w:rsid w:val="00B11946"/>
    <w:rsid w:val="00B16CA1"/>
    <w:rsid w:val="00B46C77"/>
    <w:rsid w:val="00B9146E"/>
    <w:rsid w:val="00B96227"/>
    <w:rsid w:val="00BC4A46"/>
    <w:rsid w:val="00C01C69"/>
    <w:rsid w:val="00C102BC"/>
    <w:rsid w:val="00C52121"/>
    <w:rsid w:val="00C834D5"/>
    <w:rsid w:val="00CD6640"/>
    <w:rsid w:val="00CE5A14"/>
    <w:rsid w:val="00D00133"/>
    <w:rsid w:val="00D02D00"/>
    <w:rsid w:val="00D144E1"/>
    <w:rsid w:val="00D15A23"/>
    <w:rsid w:val="00D34025"/>
    <w:rsid w:val="00D37D00"/>
    <w:rsid w:val="00D915DD"/>
    <w:rsid w:val="00D96C8A"/>
    <w:rsid w:val="00DD5EDA"/>
    <w:rsid w:val="00DF0A8E"/>
    <w:rsid w:val="00DF3F19"/>
    <w:rsid w:val="00E07F85"/>
    <w:rsid w:val="00E2353C"/>
    <w:rsid w:val="00E23BE7"/>
    <w:rsid w:val="00E63F0F"/>
    <w:rsid w:val="00E7565C"/>
    <w:rsid w:val="00E839F8"/>
    <w:rsid w:val="00ED0F83"/>
    <w:rsid w:val="00ED3B26"/>
    <w:rsid w:val="00ED6CA0"/>
    <w:rsid w:val="00EF5CCD"/>
    <w:rsid w:val="00F06D43"/>
    <w:rsid w:val="00F147B3"/>
    <w:rsid w:val="00F64AD3"/>
    <w:rsid w:val="00F65424"/>
    <w:rsid w:val="00F73960"/>
    <w:rsid w:val="00F75AE7"/>
    <w:rsid w:val="00F8422F"/>
    <w:rsid w:val="00F95604"/>
    <w:rsid w:val="00FB0AF4"/>
    <w:rsid w:val="00FB7E19"/>
    <w:rsid w:val="00FB7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E74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E744A"/>
    <w:pPr>
      <w:widowControl w:val="0"/>
      <w:autoSpaceDE w:val="0"/>
      <w:autoSpaceDN w:val="0"/>
      <w:adjustRightInd w:val="0"/>
      <w:ind w:left="-1440"/>
      <w:jc w:val="both"/>
    </w:pPr>
  </w:style>
  <w:style w:type="paragraph" w:customStyle="1" w:styleId="2AutoList1">
    <w:name w:val="2AutoList1"/>
    <w:rsid w:val="000E744A"/>
    <w:pPr>
      <w:widowControl w:val="0"/>
      <w:autoSpaceDE w:val="0"/>
      <w:autoSpaceDN w:val="0"/>
      <w:adjustRightInd w:val="0"/>
      <w:ind w:left="-1440"/>
      <w:jc w:val="both"/>
    </w:pPr>
  </w:style>
  <w:style w:type="paragraph" w:customStyle="1" w:styleId="3AutoList1">
    <w:name w:val="3AutoList1"/>
    <w:rsid w:val="000E744A"/>
    <w:pPr>
      <w:widowControl w:val="0"/>
      <w:autoSpaceDE w:val="0"/>
      <w:autoSpaceDN w:val="0"/>
      <w:adjustRightInd w:val="0"/>
      <w:ind w:left="-1440"/>
      <w:jc w:val="both"/>
    </w:pPr>
  </w:style>
  <w:style w:type="paragraph" w:customStyle="1" w:styleId="4AutoList1">
    <w:name w:val="4AutoList1"/>
    <w:rsid w:val="000E744A"/>
    <w:pPr>
      <w:widowControl w:val="0"/>
      <w:autoSpaceDE w:val="0"/>
      <w:autoSpaceDN w:val="0"/>
      <w:adjustRightInd w:val="0"/>
      <w:ind w:left="-1440"/>
      <w:jc w:val="both"/>
    </w:pPr>
  </w:style>
  <w:style w:type="paragraph" w:customStyle="1" w:styleId="5AutoList1">
    <w:name w:val="5AutoList1"/>
    <w:rsid w:val="000E744A"/>
    <w:pPr>
      <w:widowControl w:val="0"/>
      <w:autoSpaceDE w:val="0"/>
      <w:autoSpaceDN w:val="0"/>
      <w:adjustRightInd w:val="0"/>
      <w:ind w:left="-1440"/>
      <w:jc w:val="both"/>
    </w:pPr>
  </w:style>
  <w:style w:type="paragraph" w:customStyle="1" w:styleId="6AutoList1">
    <w:name w:val="6AutoList1"/>
    <w:rsid w:val="000E744A"/>
    <w:pPr>
      <w:widowControl w:val="0"/>
      <w:autoSpaceDE w:val="0"/>
      <w:autoSpaceDN w:val="0"/>
      <w:adjustRightInd w:val="0"/>
      <w:ind w:left="-1440"/>
      <w:jc w:val="both"/>
    </w:pPr>
  </w:style>
  <w:style w:type="paragraph" w:customStyle="1" w:styleId="7AutoList1">
    <w:name w:val="7AutoList1"/>
    <w:rsid w:val="000E744A"/>
    <w:pPr>
      <w:widowControl w:val="0"/>
      <w:autoSpaceDE w:val="0"/>
      <w:autoSpaceDN w:val="0"/>
      <w:adjustRightInd w:val="0"/>
      <w:ind w:left="-1440"/>
      <w:jc w:val="both"/>
    </w:pPr>
  </w:style>
  <w:style w:type="paragraph" w:customStyle="1" w:styleId="8AutoList1">
    <w:name w:val="8AutoList1"/>
    <w:rsid w:val="000E744A"/>
    <w:pPr>
      <w:widowControl w:val="0"/>
      <w:autoSpaceDE w:val="0"/>
      <w:autoSpaceDN w:val="0"/>
      <w:adjustRightInd w:val="0"/>
      <w:ind w:left="-1440"/>
      <w:jc w:val="both"/>
    </w:pPr>
  </w:style>
  <w:style w:type="paragraph" w:styleId="Footer">
    <w:name w:val="footer"/>
    <w:basedOn w:val="Normal"/>
    <w:rsid w:val="000E744A"/>
    <w:pPr>
      <w:tabs>
        <w:tab w:val="center" w:pos="4320"/>
        <w:tab w:val="right" w:pos="8640"/>
      </w:tabs>
    </w:pPr>
  </w:style>
  <w:style w:type="character" w:styleId="PageNumber">
    <w:name w:val="page number"/>
    <w:basedOn w:val="DefaultParagraphFont"/>
    <w:rsid w:val="000E744A"/>
  </w:style>
  <w:style w:type="paragraph" w:styleId="Header">
    <w:name w:val="header"/>
    <w:basedOn w:val="Normal"/>
    <w:rsid w:val="000E744A"/>
    <w:pPr>
      <w:tabs>
        <w:tab w:val="center" w:pos="4320"/>
        <w:tab w:val="right" w:pos="8640"/>
      </w:tabs>
    </w:pPr>
  </w:style>
  <w:style w:type="paragraph" w:styleId="BodyText">
    <w:name w:val="Body Text"/>
    <w:basedOn w:val="Normal"/>
    <w:rsid w:val="000E744A"/>
  </w:style>
  <w:style w:type="character" w:styleId="CommentReference">
    <w:name w:val="annotation reference"/>
    <w:basedOn w:val="DefaultParagraphFont"/>
    <w:uiPriority w:val="99"/>
    <w:semiHidden/>
    <w:rsid w:val="00681F0D"/>
    <w:rPr>
      <w:sz w:val="16"/>
      <w:szCs w:val="16"/>
    </w:rPr>
  </w:style>
  <w:style w:type="paragraph" w:styleId="CommentText">
    <w:name w:val="annotation text"/>
    <w:basedOn w:val="Normal"/>
    <w:link w:val="CommentTextChar"/>
    <w:uiPriority w:val="99"/>
    <w:semiHidden/>
    <w:rsid w:val="00681F0D"/>
  </w:style>
  <w:style w:type="paragraph" w:styleId="CommentSubject">
    <w:name w:val="annotation subject"/>
    <w:basedOn w:val="CommentText"/>
    <w:next w:val="CommentText"/>
    <w:semiHidden/>
    <w:rsid w:val="00681F0D"/>
    <w:rPr>
      <w:b/>
      <w:bCs/>
    </w:rPr>
  </w:style>
  <w:style w:type="paragraph" w:styleId="BalloonText">
    <w:name w:val="Balloon Text"/>
    <w:basedOn w:val="Normal"/>
    <w:semiHidden/>
    <w:rsid w:val="00681F0D"/>
    <w:rPr>
      <w:rFonts w:ascii="Tahoma" w:hAnsi="Tahoma" w:cs="Tahoma"/>
      <w:sz w:val="16"/>
      <w:szCs w:val="16"/>
    </w:rPr>
  </w:style>
  <w:style w:type="character" w:styleId="Hyperlink">
    <w:name w:val="Hyperlink"/>
    <w:basedOn w:val="DefaultParagraphFont"/>
    <w:rsid w:val="00481072"/>
    <w:rPr>
      <w:color w:val="0000FF"/>
      <w:u w:val="single"/>
    </w:rPr>
  </w:style>
  <w:style w:type="paragraph" w:styleId="NormalWeb">
    <w:name w:val="Normal (Web)"/>
    <w:basedOn w:val="Normal"/>
    <w:uiPriority w:val="99"/>
    <w:unhideWhenUsed/>
    <w:rsid w:val="00035390"/>
    <w:pPr>
      <w:widowControl/>
      <w:autoSpaceDE/>
      <w:autoSpaceDN/>
      <w:adjustRightInd/>
      <w:spacing w:before="100" w:beforeAutospacing="1" w:after="100" w:afterAutospacing="1"/>
    </w:pPr>
  </w:style>
  <w:style w:type="character" w:styleId="FollowedHyperlink">
    <w:name w:val="FollowedHyperlink"/>
    <w:basedOn w:val="DefaultParagraphFont"/>
    <w:rsid w:val="00D915DD"/>
    <w:rPr>
      <w:color w:val="800080" w:themeColor="followedHyperlink"/>
      <w:u w:val="single"/>
    </w:rPr>
  </w:style>
  <w:style w:type="character" w:styleId="Strong">
    <w:name w:val="Strong"/>
    <w:basedOn w:val="DefaultParagraphFont"/>
    <w:uiPriority w:val="22"/>
    <w:qFormat/>
    <w:rsid w:val="00BC4A46"/>
    <w:rPr>
      <w:b/>
      <w:bCs/>
    </w:rPr>
  </w:style>
  <w:style w:type="character" w:customStyle="1" w:styleId="apple-converted-space">
    <w:name w:val="apple-converted-space"/>
    <w:basedOn w:val="DefaultParagraphFont"/>
    <w:rsid w:val="00BC4A46"/>
  </w:style>
  <w:style w:type="character" w:customStyle="1" w:styleId="CommentTextChar">
    <w:name w:val="Comment Text Char"/>
    <w:basedOn w:val="DefaultParagraphFont"/>
    <w:link w:val="CommentText"/>
    <w:uiPriority w:val="99"/>
    <w:semiHidden/>
    <w:rsid w:val="00925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E74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E744A"/>
    <w:pPr>
      <w:widowControl w:val="0"/>
      <w:autoSpaceDE w:val="0"/>
      <w:autoSpaceDN w:val="0"/>
      <w:adjustRightInd w:val="0"/>
      <w:ind w:left="-1440"/>
      <w:jc w:val="both"/>
    </w:pPr>
  </w:style>
  <w:style w:type="paragraph" w:customStyle="1" w:styleId="2AutoList1">
    <w:name w:val="2AutoList1"/>
    <w:rsid w:val="000E744A"/>
    <w:pPr>
      <w:widowControl w:val="0"/>
      <w:autoSpaceDE w:val="0"/>
      <w:autoSpaceDN w:val="0"/>
      <w:adjustRightInd w:val="0"/>
      <w:ind w:left="-1440"/>
      <w:jc w:val="both"/>
    </w:pPr>
  </w:style>
  <w:style w:type="paragraph" w:customStyle="1" w:styleId="3AutoList1">
    <w:name w:val="3AutoList1"/>
    <w:rsid w:val="000E744A"/>
    <w:pPr>
      <w:widowControl w:val="0"/>
      <w:autoSpaceDE w:val="0"/>
      <w:autoSpaceDN w:val="0"/>
      <w:adjustRightInd w:val="0"/>
      <w:ind w:left="-1440"/>
      <w:jc w:val="both"/>
    </w:pPr>
  </w:style>
  <w:style w:type="paragraph" w:customStyle="1" w:styleId="4AutoList1">
    <w:name w:val="4AutoList1"/>
    <w:rsid w:val="000E744A"/>
    <w:pPr>
      <w:widowControl w:val="0"/>
      <w:autoSpaceDE w:val="0"/>
      <w:autoSpaceDN w:val="0"/>
      <w:adjustRightInd w:val="0"/>
      <w:ind w:left="-1440"/>
      <w:jc w:val="both"/>
    </w:pPr>
  </w:style>
  <w:style w:type="paragraph" w:customStyle="1" w:styleId="5AutoList1">
    <w:name w:val="5AutoList1"/>
    <w:rsid w:val="000E744A"/>
    <w:pPr>
      <w:widowControl w:val="0"/>
      <w:autoSpaceDE w:val="0"/>
      <w:autoSpaceDN w:val="0"/>
      <w:adjustRightInd w:val="0"/>
      <w:ind w:left="-1440"/>
      <w:jc w:val="both"/>
    </w:pPr>
  </w:style>
  <w:style w:type="paragraph" w:customStyle="1" w:styleId="6AutoList1">
    <w:name w:val="6AutoList1"/>
    <w:rsid w:val="000E744A"/>
    <w:pPr>
      <w:widowControl w:val="0"/>
      <w:autoSpaceDE w:val="0"/>
      <w:autoSpaceDN w:val="0"/>
      <w:adjustRightInd w:val="0"/>
      <w:ind w:left="-1440"/>
      <w:jc w:val="both"/>
    </w:pPr>
  </w:style>
  <w:style w:type="paragraph" w:customStyle="1" w:styleId="7AutoList1">
    <w:name w:val="7AutoList1"/>
    <w:rsid w:val="000E744A"/>
    <w:pPr>
      <w:widowControl w:val="0"/>
      <w:autoSpaceDE w:val="0"/>
      <w:autoSpaceDN w:val="0"/>
      <w:adjustRightInd w:val="0"/>
      <w:ind w:left="-1440"/>
      <w:jc w:val="both"/>
    </w:pPr>
  </w:style>
  <w:style w:type="paragraph" w:customStyle="1" w:styleId="8AutoList1">
    <w:name w:val="8AutoList1"/>
    <w:rsid w:val="000E744A"/>
    <w:pPr>
      <w:widowControl w:val="0"/>
      <w:autoSpaceDE w:val="0"/>
      <w:autoSpaceDN w:val="0"/>
      <w:adjustRightInd w:val="0"/>
      <w:ind w:left="-1440"/>
      <w:jc w:val="both"/>
    </w:pPr>
  </w:style>
  <w:style w:type="paragraph" w:styleId="Footer">
    <w:name w:val="footer"/>
    <w:basedOn w:val="Normal"/>
    <w:rsid w:val="000E744A"/>
    <w:pPr>
      <w:tabs>
        <w:tab w:val="center" w:pos="4320"/>
        <w:tab w:val="right" w:pos="8640"/>
      </w:tabs>
    </w:pPr>
  </w:style>
  <w:style w:type="character" w:styleId="PageNumber">
    <w:name w:val="page number"/>
    <w:basedOn w:val="DefaultParagraphFont"/>
    <w:rsid w:val="000E744A"/>
  </w:style>
  <w:style w:type="paragraph" w:styleId="Header">
    <w:name w:val="header"/>
    <w:basedOn w:val="Normal"/>
    <w:rsid w:val="000E744A"/>
    <w:pPr>
      <w:tabs>
        <w:tab w:val="center" w:pos="4320"/>
        <w:tab w:val="right" w:pos="8640"/>
      </w:tabs>
    </w:pPr>
  </w:style>
  <w:style w:type="paragraph" w:styleId="BodyText">
    <w:name w:val="Body Text"/>
    <w:basedOn w:val="Normal"/>
    <w:rsid w:val="000E744A"/>
  </w:style>
  <w:style w:type="character" w:styleId="CommentReference">
    <w:name w:val="annotation reference"/>
    <w:basedOn w:val="DefaultParagraphFont"/>
    <w:uiPriority w:val="99"/>
    <w:semiHidden/>
    <w:rsid w:val="00681F0D"/>
    <w:rPr>
      <w:sz w:val="16"/>
      <w:szCs w:val="16"/>
    </w:rPr>
  </w:style>
  <w:style w:type="paragraph" w:styleId="CommentText">
    <w:name w:val="annotation text"/>
    <w:basedOn w:val="Normal"/>
    <w:link w:val="CommentTextChar"/>
    <w:uiPriority w:val="99"/>
    <w:semiHidden/>
    <w:rsid w:val="00681F0D"/>
  </w:style>
  <w:style w:type="paragraph" w:styleId="CommentSubject">
    <w:name w:val="annotation subject"/>
    <w:basedOn w:val="CommentText"/>
    <w:next w:val="CommentText"/>
    <w:semiHidden/>
    <w:rsid w:val="00681F0D"/>
    <w:rPr>
      <w:b/>
      <w:bCs/>
    </w:rPr>
  </w:style>
  <w:style w:type="paragraph" w:styleId="BalloonText">
    <w:name w:val="Balloon Text"/>
    <w:basedOn w:val="Normal"/>
    <w:semiHidden/>
    <w:rsid w:val="00681F0D"/>
    <w:rPr>
      <w:rFonts w:ascii="Tahoma" w:hAnsi="Tahoma" w:cs="Tahoma"/>
      <w:sz w:val="16"/>
      <w:szCs w:val="16"/>
    </w:rPr>
  </w:style>
  <w:style w:type="character" w:styleId="Hyperlink">
    <w:name w:val="Hyperlink"/>
    <w:basedOn w:val="DefaultParagraphFont"/>
    <w:rsid w:val="00481072"/>
    <w:rPr>
      <w:color w:val="0000FF"/>
      <w:u w:val="single"/>
    </w:rPr>
  </w:style>
  <w:style w:type="paragraph" w:styleId="NormalWeb">
    <w:name w:val="Normal (Web)"/>
    <w:basedOn w:val="Normal"/>
    <w:uiPriority w:val="99"/>
    <w:unhideWhenUsed/>
    <w:rsid w:val="00035390"/>
    <w:pPr>
      <w:widowControl/>
      <w:autoSpaceDE/>
      <w:autoSpaceDN/>
      <w:adjustRightInd/>
      <w:spacing w:before="100" w:beforeAutospacing="1" w:after="100" w:afterAutospacing="1"/>
    </w:pPr>
  </w:style>
  <w:style w:type="character" w:styleId="FollowedHyperlink">
    <w:name w:val="FollowedHyperlink"/>
    <w:basedOn w:val="DefaultParagraphFont"/>
    <w:rsid w:val="00D915DD"/>
    <w:rPr>
      <w:color w:val="800080" w:themeColor="followedHyperlink"/>
      <w:u w:val="single"/>
    </w:rPr>
  </w:style>
  <w:style w:type="character" w:styleId="Strong">
    <w:name w:val="Strong"/>
    <w:basedOn w:val="DefaultParagraphFont"/>
    <w:uiPriority w:val="22"/>
    <w:qFormat/>
    <w:rsid w:val="00BC4A46"/>
    <w:rPr>
      <w:b/>
      <w:bCs/>
    </w:rPr>
  </w:style>
  <w:style w:type="character" w:customStyle="1" w:styleId="apple-converted-space">
    <w:name w:val="apple-converted-space"/>
    <w:basedOn w:val="DefaultParagraphFont"/>
    <w:rsid w:val="00BC4A46"/>
  </w:style>
  <w:style w:type="character" w:customStyle="1" w:styleId="CommentTextChar">
    <w:name w:val="Comment Text Char"/>
    <w:basedOn w:val="DefaultParagraphFont"/>
    <w:link w:val="CommentText"/>
    <w:uiPriority w:val="99"/>
    <w:semiHidden/>
    <w:rsid w:val="0092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159033">
      <w:bodyDiv w:val="1"/>
      <w:marLeft w:val="0"/>
      <w:marRight w:val="0"/>
      <w:marTop w:val="0"/>
      <w:marBottom w:val="0"/>
      <w:divBdr>
        <w:top w:val="none" w:sz="0" w:space="0" w:color="auto"/>
        <w:left w:val="none" w:sz="0" w:space="0" w:color="auto"/>
        <w:bottom w:val="none" w:sz="0" w:space="0" w:color="auto"/>
        <w:right w:val="none" w:sz="0" w:space="0" w:color="auto"/>
      </w:divBdr>
      <w:divsChild>
        <w:div w:id="610403337">
          <w:marLeft w:val="0"/>
          <w:marRight w:val="0"/>
          <w:marTop w:val="0"/>
          <w:marBottom w:val="0"/>
          <w:divBdr>
            <w:top w:val="none" w:sz="0" w:space="0" w:color="auto"/>
            <w:left w:val="none" w:sz="0" w:space="0" w:color="auto"/>
            <w:bottom w:val="none" w:sz="0" w:space="0" w:color="auto"/>
            <w:right w:val="none" w:sz="0" w:space="0" w:color="auto"/>
          </w:divBdr>
        </w:div>
        <w:div w:id="1143236491">
          <w:marLeft w:val="0"/>
          <w:marRight w:val="0"/>
          <w:marTop w:val="0"/>
          <w:marBottom w:val="0"/>
          <w:divBdr>
            <w:top w:val="none" w:sz="0" w:space="0" w:color="auto"/>
            <w:left w:val="none" w:sz="0" w:space="0" w:color="auto"/>
            <w:bottom w:val="none" w:sz="0" w:space="0" w:color="auto"/>
            <w:right w:val="none" w:sz="0" w:space="0" w:color="auto"/>
          </w:divBdr>
        </w:div>
        <w:div w:id="182048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mfs.noaa.gov/sfa/hms/compliance/permits_reporting/0216_billfish_coeform.pdf"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track.us/congress/bills/112/hr2706/tex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2fa11185eb662add43d387525c7801d8&amp;mc=true&amp;node=pt50.12.635&amp;rgn=div5" TargetMode="External"/><Relationship Id="rId5" Type="http://schemas.openxmlformats.org/officeDocument/2006/relationships/webSettings" Target="webSettings.xml"/><Relationship Id="rId15" Type="http://schemas.openxmlformats.org/officeDocument/2006/relationships/hyperlink" Target="http://www.nmfs.noaa.gov/sfa/hms/compliance/permits_reporting/0216_billfish_coeform.pdf" TargetMode="External"/><Relationship Id="rId10" Type="http://schemas.openxmlformats.org/officeDocument/2006/relationships/hyperlink" Target="http://www.nmfs.noaa.gov/sfa/laws_policies/msa/documents/msa_amended_2007.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cfr.gov/cgi-bin/text-idx?SID=321791ac05864f0b66e6cbda24259569&amp;tpl=/ecfrbrowse/Title50/50cfr635_main_02.tpl" TargetMode="Externa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E5B1-A7E2-4C25-BEF7-07A49ACB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SYSTEM</cp:lastModifiedBy>
  <cp:revision>2</cp:revision>
  <cp:lastPrinted>2008-01-10T19:55:00Z</cp:lastPrinted>
  <dcterms:created xsi:type="dcterms:W3CDTF">2018-03-22T14:25:00Z</dcterms:created>
  <dcterms:modified xsi:type="dcterms:W3CDTF">2018-03-22T14:25:00Z</dcterms:modified>
</cp:coreProperties>
</file>