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155A7C" w14:textId="77777777" w:rsidR="00DA1FAE" w:rsidRDefault="00B43EDF" w:rsidP="00B43EDF">
      <w:pPr>
        <w:pStyle w:val="NoSpacing"/>
        <w:jc w:val="center"/>
        <w:rPr>
          <w:b/>
        </w:rPr>
      </w:pPr>
      <w:bookmarkStart w:id="0" w:name="_GoBack"/>
      <w:bookmarkEnd w:id="0"/>
      <w:r>
        <w:rPr>
          <w:b/>
        </w:rPr>
        <w:t>JUSTIFICATION FOR NONMATERIAL/NONSUBSTANTIVE CHANGE</w:t>
      </w:r>
    </w:p>
    <w:p w14:paraId="36155A7D" w14:textId="77777777" w:rsidR="00B43EDF" w:rsidRDefault="00B43EDF" w:rsidP="00B43EDF">
      <w:pPr>
        <w:pStyle w:val="NoSpacing"/>
        <w:jc w:val="center"/>
        <w:rPr>
          <w:b/>
        </w:rPr>
      </w:pPr>
      <w:r>
        <w:rPr>
          <w:b/>
        </w:rPr>
        <w:t>Patent Reexamination and Supplemental Examinations</w:t>
      </w:r>
    </w:p>
    <w:p w14:paraId="36155A7E" w14:textId="77777777" w:rsidR="00B43EDF" w:rsidRDefault="00B43EDF" w:rsidP="00B43EDF">
      <w:pPr>
        <w:pStyle w:val="NoSpacing"/>
        <w:jc w:val="center"/>
        <w:rPr>
          <w:b/>
        </w:rPr>
      </w:pPr>
      <w:r>
        <w:rPr>
          <w:b/>
        </w:rPr>
        <w:t>OMB Control Number 0651-0064</w:t>
      </w:r>
    </w:p>
    <w:p w14:paraId="36155A7F" w14:textId="77777777" w:rsidR="00B43EDF" w:rsidRDefault="00B43EDF" w:rsidP="00B43EDF">
      <w:pPr>
        <w:pStyle w:val="NoSpacing"/>
      </w:pPr>
    </w:p>
    <w:p w14:paraId="36155A80" w14:textId="77777777" w:rsidR="00B43EDF" w:rsidRDefault="00B43EDF" w:rsidP="00B43EDF">
      <w:pPr>
        <w:pStyle w:val="NoSpacing"/>
        <w:jc w:val="both"/>
        <w:rPr>
          <w:rFonts w:cs="Arial"/>
        </w:rPr>
      </w:pPr>
      <w:r>
        <w:rPr>
          <w:rFonts w:cs="Arial"/>
        </w:rPr>
        <w:t>The United States Patent and Trademark Office (UPSTO) administers the Leahy-Smith America Invents Act (AIA), Section 10, which sets or adjusts patent fees established authorized, or charged under Title 35, United States Code (U.S.C.). Section 10 prescribes that fees may be set or adjusted only to recover the aggregate estimated costs to the Office for processing, activities, services, and materials related to patent. Section 10 authorities also includes flexibility to set individual fees in a way that furthers key policies factors, while taking into account the cost of the respective services.</w:t>
      </w:r>
    </w:p>
    <w:p w14:paraId="36155A81" w14:textId="77777777" w:rsidR="00B43EDF" w:rsidRDefault="00B43EDF" w:rsidP="00B43EDF">
      <w:pPr>
        <w:pStyle w:val="NoSpacing"/>
        <w:jc w:val="both"/>
        <w:rPr>
          <w:rFonts w:cs="Arial"/>
        </w:rPr>
      </w:pPr>
    </w:p>
    <w:p w14:paraId="36155A84" w14:textId="18C2BAC1" w:rsidR="00B43EDF" w:rsidRDefault="00B43EDF" w:rsidP="00B43EDF">
      <w:pPr>
        <w:pStyle w:val="NoSpacing"/>
        <w:jc w:val="both"/>
        <w:rPr>
          <w:rFonts w:cs="Arial"/>
        </w:rPr>
      </w:pPr>
      <w:r>
        <w:rPr>
          <w:rFonts w:cs="Arial"/>
        </w:rPr>
        <w:t>The request is to update the fees attached to this collection that are affected by the rulemaking NPRM 0651-AD02, and also to incorpo</w:t>
      </w:r>
      <w:r w:rsidR="008B710B">
        <w:rPr>
          <w:rFonts w:cs="Arial"/>
        </w:rPr>
        <w:t>rate fees were not counted in p</w:t>
      </w:r>
      <w:r>
        <w:rPr>
          <w:rFonts w:cs="Arial"/>
        </w:rPr>
        <w:t>r</w:t>
      </w:r>
      <w:r w:rsidR="008B710B">
        <w:rPr>
          <w:rFonts w:cs="Arial"/>
        </w:rPr>
        <w:t>e</w:t>
      </w:r>
      <w:r>
        <w:rPr>
          <w:rFonts w:cs="Arial"/>
        </w:rPr>
        <w:t xml:space="preserve">vious approvals. </w:t>
      </w:r>
      <w:r w:rsidR="003F7960">
        <w:rPr>
          <w:rFonts w:cs="Arial"/>
        </w:rPr>
        <w:t xml:space="preserve">There are </w:t>
      </w:r>
      <w:r w:rsidR="008B710B">
        <w:rPr>
          <w:rFonts w:cs="Arial"/>
        </w:rPr>
        <w:t>two</w:t>
      </w:r>
      <w:r w:rsidR="00E935FF">
        <w:rPr>
          <w:rFonts w:cs="Arial"/>
        </w:rPr>
        <w:t xml:space="preserve"> fees (</w:t>
      </w:r>
      <w:r w:rsidR="008B710B">
        <w:rPr>
          <w:rFonts w:cs="Arial"/>
        </w:rPr>
        <w:t>Reexamination In Excess of Three, etc., Reexamination Claims in Excess of 20, etc.</w:t>
      </w:r>
      <w:r w:rsidR="00E935FF">
        <w:rPr>
          <w:rFonts w:cs="Arial"/>
        </w:rPr>
        <w:t>)</w:t>
      </w:r>
      <w:r w:rsidR="003F7960">
        <w:rPr>
          <w:rFonts w:cs="Arial"/>
        </w:rPr>
        <w:t xml:space="preserve"> </w:t>
      </w:r>
      <w:r w:rsidR="008B710B">
        <w:rPr>
          <w:rFonts w:cs="Arial"/>
        </w:rPr>
        <w:t xml:space="preserve">being </w:t>
      </w:r>
      <w:r w:rsidR="003F7960">
        <w:rPr>
          <w:rFonts w:cs="Arial"/>
        </w:rPr>
        <w:t>adjusted as a result of the 201</w:t>
      </w:r>
      <w:r w:rsidR="00652EA6">
        <w:rPr>
          <w:rFonts w:cs="Arial"/>
        </w:rPr>
        <w:t>7 Patent</w:t>
      </w:r>
      <w:r w:rsidR="003F7960">
        <w:rPr>
          <w:rFonts w:cs="Arial"/>
        </w:rPr>
        <w:t xml:space="preserve"> Biennial Fee Review. </w:t>
      </w:r>
      <w:r w:rsidR="008B710B">
        <w:rPr>
          <w:rFonts w:cs="Arial"/>
        </w:rPr>
        <w:t>Two additional fees (Ex Parte Reexamination (</w:t>
      </w:r>
      <w:r w:rsidR="008B710B" w:rsidRPr="008B710B">
        <w:rPr>
          <w:rFonts w:cs="Arial"/>
        </w:rPr>
        <w:t>(§ 1.510(a)) Streamlined</w:t>
      </w:r>
      <w:r w:rsidR="008B710B">
        <w:rPr>
          <w:rFonts w:cs="Arial"/>
        </w:rPr>
        <w:t xml:space="preserve"> and Non-Streamlined) are being added to this collection that were not previously counted.</w:t>
      </w:r>
    </w:p>
    <w:p w14:paraId="2D0D88F4" w14:textId="77777777" w:rsidR="005022F0" w:rsidRDefault="005022F0" w:rsidP="00B43EDF">
      <w:pPr>
        <w:pStyle w:val="NoSpacing"/>
        <w:jc w:val="both"/>
        <w:rPr>
          <w:rFonts w:cs="Arial"/>
        </w:rPr>
      </w:pPr>
    </w:p>
    <w:p w14:paraId="36155A85" w14:textId="2A531BC4" w:rsidR="003F7960" w:rsidRPr="005022F0" w:rsidRDefault="005022F0" w:rsidP="00B43EDF">
      <w:pPr>
        <w:pStyle w:val="NoSpacing"/>
        <w:jc w:val="both"/>
        <w:rPr>
          <w:rFonts w:cs="Arial"/>
          <w:b/>
        </w:rPr>
      </w:pPr>
      <w:r w:rsidRPr="005022F0">
        <w:rPr>
          <w:rFonts w:cs="Arial"/>
          <w:b/>
        </w:rPr>
        <w:t>Table 1: New Fees</w:t>
      </w:r>
    </w:p>
    <w:tbl>
      <w:tblPr>
        <w:tblStyle w:val="TableGrid"/>
        <w:tblW w:w="5000" w:type="pct"/>
        <w:tblLook w:val="04A0" w:firstRow="1" w:lastRow="0" w:firstColumn="1" w:lastColumn="0" w:noHBand="0" w:noVBand="1"/>
      </w:tblPr>
      <w:tblGrid>
        <w:gridCol w:w="513"/>
        <w:gridCol w:w="5129"/>
        <w:gridCol w:w="1180"/>
        <w:gridCol w:w="940"/>
        <w:gridCol w:w="1814"/>
      </w:tblGrid>
      <w:tr w:rsidR="005022F0" w14:paraId="35F8490B" w14:textId="77777777" w:rsidTr="009E7C98">
        <w:tc>
          <w:tcPr>
            <w:tcW w:w="268" w:type="pct"/>
            <w:vAlign w:val="center"/>
          </w:tcPr>
          <w:p w14:paraId="7DC383EC" w14:textId="77777777" w:rsidR="005022F0" w:rsidRPr="001179E3" w:rsidRDefault="005022F0" w:rsidP="00500031">
            <w:pPr>
              <w:pStyle w:val="NoSpacing"/>
              <w:jc w:val="center"/>
              <w:rPr>
                <w:b/>
              </w:rPr>
            </w:pPr>
            <w:r>
              <w:rPr>
                <w:b/>
              </w:rPr>
              <w:t>IC #</w:t>
            </w:r>
          </w:p>
        </w:tc>
        <w:tc>
          <w:tcPr>
            <w:tcW w:w="2678" w:type="pct"/>
            <w:vAlign w:val="center"/>
          </w:tcPr>
          <w:p w14:paraId="50A90100" w14:textId="77777777" w:rsidR="005022F0" w:rsidRPr="001179E3" w:rsidRDefault="005022F0" w:rsidP="00500031">
            <w:pPr>
              <w:pStyle w:val="NoSpacing"/>
              <w:jc w:val="center"/>
              <w:rPr>
                <w:b/>
              </w:rPr>
            </w:pPr>
            <w:r>
              <w:rPr>
                <w:b/>
              </w:rPr>
              <w:t>Item</w:t>
            </w:r>
          </w:p>
        </w:tc>
        <w:tc>
          <w:tcPr>
            <w:tcW w:w="616" w:type="pct"/>
            <w:vAlign w:val="center"/>
          </w:tcPr>
          <w:p w14:paraId="7E983809" w14:textId="77777777" w:rsidR="005022F0" w:rsidRPr="001179E3" w:rsidRDefault="005022F0" w:rsidP="00500031">
            <w:pPr>
              <w:pStyle w:val="NoSpacing"/>
              <w:jc w:val="center"/>
              <w:rPr>
                <w:b/>
              </w:rPr>
            </w:pPr>
            <w:r>
              <w:rPr>
                <w:b/>
              </w:rPr>
              <w:t>Responses</w:t>
            </w:r>
          </w:p>
        </w:tc>
        <w:tc>
          <w:tcPr>
            <w:tcW w:w="491" w:type="pct"/>
            <w:vAlign w:val="center"/>
          </w:tcPr>
          <w:p w14:paraId="30AAA5B6" w14:textId="2D68B49D" w:rsidR="005022F0" w:rsidRPr="001179E3" w:rsidRDefault="005022F0" w:rsidP="00500031">
            <w:pPr>
              <w:pStyle w:val="NoSpacing"/>
              <w:jc w:val="center"/>
              <w:rPr>
                <w:b/>
              </w:rPr>
            </w:pPr>
            <w:r>
              <w:rPr>
                <w:b/>
              </w:rPr>
              <w:t>Fee</w:t>
            </w:r>
          </w:p>
        </w:tc>
        <w:tc>
          <w:tcPr>
            <w:tcW w:w="948" w:type="pct"/>
            <w:vAlign w:val="center"/>
          </w:tcPr>
          <w:p w14:paraId="1DA3F4EF" w14:textId="25D3A4FF" w:rsidR="005022F0" w:rsidRPr="00D26274" w:rsidRDefault="005022F0" w:rsidP="00485810">
            <w:pPr>
              <w:pStyle w:val="NoSpacing"/>
              <w:jc w:val="center"/>
              <w:rPr>
                <w:b/>
              </w:rPr>
            </w:pPr>
            <w:r>
              <w:rPr>
                <w:b/>
              </w:rPr>
              <w:t>Non-hour Burden ($)</w:t>
            </w:r>
          </w:p>
        </w:tc>
      </w:tr>
      <w:tr w:rsidR="005022F0" w14:paraId="783A8B42" w14:textId="77777777" w:rsidTr="009E7C98">
        <w:tc>
          <w:tcPr>
            <w:tcW w:w="268" w:type="pct"/>
            <w:vAlign w:val="center"/>
          </w:tcPr>
          <w:p w14:paraId="11170B22" w14:textId="148DB726" w:rsidR="005022F0" w:rsidRDefault="00E33742" w:rsidP="00500031">
            <w:pPr>
              <w:pStyle w:val="NoSpacing"/>
              <w:jc w:val="center"/>
            </w:pPr>
            <w:r>
              <w:t>4</w:t>
            </w:r>
          </w:p>
        </w:tc>
        <w:tc>
          <w:tcPr>
            <w:tcW w:w="2678" w:type="pct"/>
            <w:vAlign w:val="center"/>
          </w:tcPr>
          <w:p w14:paraId="3C12CC8D" w14:textId="23D5DA14" w:rsidR="005022F0" w:rsidRDefault="005022F0" w:rsidP="005022F0">
            <w:pPr>
              <w:pStyle w:val="NoSpacing"/>
            </w:pPr>
            <w:r w:rsidRPr="005022F0">
              <w:t>Ex Parte Reexamination (§ 1.510(a)) Streamlined (</w:t>
            </w:r>
            <w:r>
              <w:t>large</w:t>
            </w:r>
            <w:r w:rsidRPr="005022F0">
              <w:t xml:space="preserve"> entity)</w:t>
            </w:r>
          </w:p>
        </w:tc>
        <w:tc>
          <w:tcPr>
            <w:tcW w:w="616" w:type="pct"/>
            <w:vAlign w:val="center"/>
          </w:tcPr>
          <w:p w14:paraId="383E15B7" w14:textId="6557EBE4" w:rsidR="005022F0" w:rsidRDefault="00E33742" w:rsidP="00500031">
            <w:pPr>
              <w:pStyle w:val="NoSpacing"/>
              <w:jc w:val="center"/>
            </w:pPr>
            <w:r>
              <w:t>42</w:t>
            </w:r>
          </w:p>
        </w:tc>
        <w:tc>
          <w:tcPr>
            <w:tcW w:w="491" w:type="pct"/>
            <w:vAlign w:val="center"/>
          </w:tcPr>
          <w:p w14:paraId="40D3D4D0" w14:textId="006E00BB" w:rsidR="005022F0" w:rsidRDefault="005022F0" w:rsidP="00485810">
            <w:pPr>
              <w:pStyle w:val="NoSpacing"/>
              <w:jc w:val="center"/>
            </w:pPr>
            <w:r>
              <w:t>$</w:t>
            </w:r>
            <w:r w:rsidR="00485810">
              <w:t>6,000</w:t>
            </w:r>
          </w:p>
        </w:tc>
        <w:tc>
          <w:tcPr>
            <w:tcW w:w="948" w:type="pct"/>
            <w:vAlign w:val="center"/>
          </w:tcPr>
          <w:p w14:paraId="19980668" w14:textId="624B2EC9" w:rsidR="005022F0" w:rsidRDefault="005022F0" w:rsidP="00E33742">
            <w:pPr>
              <w:pStyle w:val="NoSpacing"/>
              <w:jc w:val="center"/>
            </w:pPr>
            <w:r>
              <w:t>$</w:t>
            </w:r>
            <w:r w:rsidR="00E33742">
              <w:t>252,000</w:t>
            </w:r>
          </w:p>
        </w:tc>
      </w:tr>
      <w:tr w:rsidR="005022F0" w14:paraId="6049DE80" w14:textId="77777777" w:rsidTr="009E7C98">
        <w:tc>
          <w:tcPr>
            <w:tcW w:w="268" w:type="pct"/>
            <w:vAlign w:val="center"/>
          </w:tcPr>
          <w:p w14:paraId="78FD6E1E" w14:textId="7AD2FCEA" w:rsidR="005022F0" w:rsidRDefault="00E33742" w:rsidP="00500031">
            <w:pPr>
              <w:pStyle w:val="NoSpacing"/>
              <w:jc w:val="center"/>
            </w:pPr>
            <w:r>
              <w:t>4</w:t>
            </w:r>
          </w:p>
        </w:tc>
        <w:tc>
          <w:tcPr>
            <w:tcW w:w="2678" w:type="pct"/>
            <w:vAlign w:val="center"/>
          </w:tcPr>
          <w:p w14:paraId="2D765A94" w14:textId="70E38A85" w:rsidR="005022F0" w:rsidRPr="00142663" w:rsidRDefault="005022F0" w:rsidP="005022F0">
            <w:pPr>
              <w:pStyle w:val="NoSpacing"/>
            </w:pPr>
            <w:r w:rsidRPr="005022F0">
              <w:t>Ex Parte Reexamination (§ 1.510(a)) Streamlined (</w:t>
            </w:r>
            <w:r>
              <w:t>small</w:t>
            </w:r>
            <w:r w:rsidRPr="005022F0">
              <w:t xml:space="preserve"> entity)</w:t>
            </w:r>
          </w:p>
        </w:tc>
        <w:tc>
          <w:tcPr>
            <w:tcW w:w="616" w:type="pct"/>
            <w:vAlign w:val="center"/>
          </w:tcPr>
          <w:p w14:paraId="307DA5FA" w14:textId="47928F30" w:rsidR="005022F0" w:rsidRDefault="00E33742" w:rsidP="00500031">
            <w:pPr>
              <w:pStyle w:val="NoSpacing"/>
              <w:jc w:val="center"/>
            </w:pPr>
            <w:r>
              <w:t>27</w:t>
            </w:r>
          </w:p>
        </w:tc>
        <w:tc>
          <w:tcPr>
            <w:tcW w:w="491" w:type="pct"/>
            <w:vAlign w:val="center"/>
          </w:tcPr>
          <w:p w14:paraId="5F5522DD" w14:textId="0F06D67A" w:rsidR="005022F0" w:rsidRDefault="005022F0" w:rsidP="00485810">
            <w:pPr>
              <w:pStyle w:val="NoSpacing"/>
              <w:jc w:val="center"/>
            </w:pPr>
            <w:r>
              <w:t>$</w:t>
            </w:r>
            <w:r w:rsidR="00485810">
              <w:t>3,000</w:t>
            </w:r>
          </w:p>
        </w:tc>
        <w:tc>
          <w:tcPr>
            <w:tcW w:w="948" w:type="pct"/>
            <w:vAlign w:val="center"/>
          </w:tcPr>
          <w:p w14:paraId="60275738" w14:textId="78F32AA1" w:rsidR="005022F0" w:rsidRDefault="005022F0" w:rsidP="00E33742">
            <w:pPr>
              <w:pStyle w:val="NoSpacing"/>
              <w:jc w:val="center"/>
            </w:pPr>
            <w:r>
              <w:t>$</w:t>
            </w:r>
            <w:r w:rsidR="00E33742">
              <w:t>81,000</w:t>
            </w:r>
          </w:p>
        </w:tc>
      </w:tr>
      <w:tr w:rsidR="005022F0" w14:paraId="6DF222B1" w14:textId="77777777" w:rsidTr="009E7C98">
        <w:tc>
          <w:tcPr>
            <w:tcW w:w="268" w:type="pct"/>
            <w:vAlign w:val="center"/>
          </w:tcPr>
          <w:p w14:paraId="0CE9C891" w14:textId="5793BD77" w:rsidR="005022F0" w:rsidRDefault="00E33742" w:rsidP="00500031">
            <w:pPr>
              <w:pStyle w:val="NoSpacing"/>
              <w:jc w:val="center"/>
            </w:pPr>
            <w:r>
              <w:t>4</w:t>
            </w:r>
          </w:p>
        </w:tc>
        <w:tc>
          <w:tcPr>
            <w:tcW w:w="2678" w:type="pct"/>
            <w:vAlign w:val="center"/>
          </w:tcPr>
          <w:p w14:paraId="7FC02402" w14:textId="7B409B9D" w:rsidR="005022F0" w:rsidRPr="00142663" w:rsidRDefault="005022F0" w:rsidP="005022F0">
            <w:pPr>
              <w:pStyle w:val="NoSpacing"/>
            </w:pPr>
            <w:r w:rsidRPr="005022F0">
              <w:t>Ex Parte Reexamination (§ 1.510(a)) Streamlined</w:t>
            </w:r>
            <w:r>
              <w:t xml:space="preserve"> (micro entity)</w:t>
            </w:r>
          </w:p>
        </w:tc>
        <w:tc>
          <w:tcPr>
            <w:tcW w:w="616" w:type="pct"/>
            <w:vAlign w:val="center"/>
          </w:tcPr>
          <w:p w14:paraId="09326FEB" w14:textId="0008CE18" w:rsidR="005022F0" w:rsidRDefault="00E33742" w:rsidP="00500031">
            <w:pPr>
              <w:pStyle w:val="NoSpacing"/>
              <w:jc w:val="center"/>
            </w:pPr>
            <w:r>
              <w:t>1</w:t>
            </w:r>
          </w:p>
        </w:tc>
        <w:tc>
          <w:tcPr>
            <w:tcW w:w="491" w:type="pct"/>
            <w:vAlign w:val="center"/>
          </w:tcPr>
          <w:p w14:paraId="6EFC4257" w14:textId="14957FFB" w:rsidR="005022F0" w:rsidRDefault="005022F0" w:rsidP="00485810">
            <w:pPr>
              <w:pStyle w:val="NoSpacing"/>
              <w:jc w:val="center"/>
            </w:pPr>
            <w:r>
              <w:t>$</w:t>
            </w:r>
            <w:r w:rsidR="00485810">
              <w:t>1,500</w:t>
            </w:r>
          </w:p>
        </w:tc>
        <w:tc>
          <w:tcPr>
            <w:tcW w:w="948" w:type="pct"/>
            <w:vAlign w:val="center"/>
          </w:tcPr>
          <w:p w14:paraId="5E89F7BE" w14:textId="5BF15004" w:rsidR="005022F0" w:rsidRDefault="005022F0" w:rsidP="00E33742">
            <w:pPr>
              <w:pStyle w:val="NoSpacing"/>
              <w:jc w:val="center"/>
            </w:pPr>
            <w:r>
              <w:t>$</w:t>
            </w:r>
            <w:r w:rsidR="00E33742">
              <w:t>1,500</w:t>
            </w:r>
          </w:p>
        </w:tc>
      </w:tr>
      <w:tr w:rsidR="005022F0" w14:paraId="0F5FEDF9" w14:textId="77777777" w:rsidTr="009E7C98">
        <w:tc>
          <w:tcPr>
            <w:tcW w:w="268" w:type="pct"/>
            <w:vAlign w:val="center"/>
          </w:tcPr>
          <w:p w14:paraId="7D29C500" w14:textId="5FB3EE4C" w:rsidR="005022F0" w:rsidRDefault="00E33742" w:rsidP="00500031">
            <w:pPr>
              <w:pStyle w:val="NoSpacing"/>
              <w:jc w:val="center"/>
            </w:pPr>
            <w:r>
              <w:t>4</w:t>
            </w:r>
          </w:p>
        </w:tc>
        <w:tc>
          <w:tcPr>
            <w:tcW w:w="2678" w:type="pct"/>
            <w:vAlign w:val="center"/>
          </w:tcPr>
          <w:p w14:paraId="467795FF" w14:textId="0A5D6A3E" w:rsidR="005022F0" w:rsidRDefault="005022F0" w:rsidP="00500031">
            <w:pPr>
              <w:pStyle w:val="NoSpacing"/>
            </w:pPr>
            <w:r w:rsidRPr="005022F0">
              <w:t xml:space="preserve">Ex Parte Reexamination (§ 1.510(a)) </w:t>
            </w:r>
            <w:r>
              <w:t>Non-</w:t>
            </w:r>
            <w:r w:rsidRPr="005022F0">
              <w:t>Streamlined (</w:t>
            </w:r>
            <w:r>
              <w:t>large</w:t>
            </w:r>
            <w:r w:rsidRPr="005022F0">
              <w:t xml:space="preserve"> entity)</w:t>
            </w:r>
          </w:p>
        </w:tc>
        <w:tc>
          <w:tcPr>
            <w:tcW w:w="616" w:type="pct"/>
            <w:vAlign w:val="center"/>
          </w:tcPr>
          <w:p w14:paraId="74C2415C" w14:textId="11288DCB" w:rsidR="005022F0" w:rsidRDefault="00E33742" w:rsidP="00500031">
            <w:pPr>
              <w:pStyle w:val="NoSpacing"/>
              <w:jc w:val="center"/>
            </w:pPr>
            <w:r>
              <w:t>78</w:t>
            </w:r>
          </w:p>
        </w:tc>
        <w:tc>
          <w:tcPr>
            <w:tcW w:w="491" w:type="pct"/>
            <w:vAlign w:val="center"/>
          </w:tcPr>
          <w:p w14:paraId="5B524B93" w14:textId="40DF148F" w:rsidR="005022F0" w:rsidRDefault="005022F0" w:rsidP="00485810">
            <w:pPr>
              <w:pStyle w:val="NoSpacing"/>
              <w:jc w:val="center"/>
            </w:pPr>
            <w:r>
              <w:t>$</w:t>
            </w:r>
            <w:r w:rsidR="00485810">
              <w:t>12,000</w:t>
            </w:r>
          </w:p>
        </w:tc>
        <w:tc>
          <w:tcPr>
            <w:tcW w:w="948" w:type="pct"/>
            <w:vAlign w:val="center"/>
          </w:tcPr>
          <w:p w14:paraId="7F2A287B" w14:textId="1379AB0F" w:rsidR="005022F0" w:rsidRDefault="005022F0" w:rsidP="00485810">
            <w:pPr>
              <w:pStyle w:val="NoSpacing"/>
              <w:jc w:val="center"/>
            </w:pPr>
            <w:r>
              <w:t>$</w:t>
            </w:r>
            <w:r w:rsidR="00E33742">
              <w:t>936,000</w:t>
            </w:r>
          </w:p>
        </w:tc>
      </w:tr>
      <w:tr w:rsidR="005022F0" w14:paraId="16144209" w14:textId="77777777" w:rsidTr="009E7C98">
        <w:tc>
          <w:tcPr>
            <w:tcW w:w="268" w:type="pct"/>
            <w:vAlign w:val="center"/>
          </w:tcPr>
          <w:p w14:paraId="6E392386" w14:textId="1DDE3BF0" w:rsidR="005022F0" w:rsidRDefault="00E33742" w:rsidP="00500031">
            <w:pPr>
              <w:pStyle w:val="NoSpacing"/>
              <w:jc w:val="center"/>
            </w:pPr>
            <w:r>
              <w:t>4</w:t>
            </w:r>
          </w:p>
        </w:tc>
        <w:tc>
          <w:tcPr>
            <w:tcW w:w="2678" w:type="pct"/>
            <w:vAlign w:val="center"/>
          </w:tcPr>
          <w:p w14:paraId="2114C31E" w14:textId="3CC18E63" w:rsidR="005022F0" w:rsidRPr="00142663" w:rsidRDefault="005022F0" w:rsidP="00500031">
            <w:pPr>
              <w:pStyle w:val="NoSpacing"/>
            </w:pPr>
            <w:r w:rsidRPr="005022F0">
              <w:t xml:space="preserve">Ex Parte Reexamination (§ 1.510(a)) </w:t>
            </w:r>
            <w:r>
              <w:t>Non-</w:t>
            </w:r>
            <w:r w:rsidRPr="005022F0">
              <w:t>Streamlined (</w:t>
            </w:r>
            <w:r>
              <w:t>small</w:t>
            </w:r>
            <w:r w:rsidRPr="005022F0">
              <w:t xml:space="preserve"> entity)</w:t>
            </w:r>
          </w:p>
        </w:tc>
        <w:tc>
          <w:tcPr>
            <w:tcW w:w="616" w:type="pct"/>
            <w:vAlign w:val="center"/>
          </w:tcPr>
          <w:p w14:paraId="348E1DE8" w14:textId="7D7A06AB" w:rsidR="005022F0" w:rsidRDefault="00E33742" w:rsidP="00500031">
            <w:pPr>
              <w:pStyle w:val="NoSpacing"/>
              <w:jc w:val="center"/>
            </w:pPr>
            <w:r>
              <w:t>51</w:t>
            </w:r>
          </w:p>
        </w:tc>
        <w:tc>
          <w:tcPr>
            <w:tcW w:w="491" w:type="pct"/>
            <w:vAlign w:val="center"/>
          </w:tcPr>
          <w:p w14:paraId="4B1E161C" w14:textId="1830ABC9" w:rsidR="005022F0" w:rsidRDefault="005022F0" w:rsidP="00485810">
            <w:pPr>
              <w:pStyle w:val="NoSpacing"/>
              <w:jc w:val="center"/>
            </w:pPr>
            <w:r>
              <w:t>$</w:t>
            </w:r>
            <w:r w:rsidR="00485810">
              <w:t>6,000</w:t>
            </w:r>
          </w:p>
        </w:tc>
        <w:tc>
          <w:tcPr>
            <w:tcW w:w="948" w:type="pct"/>
            <w:vAlign w:val="center"/>
          </w:tcPr>
          <w:p w14:paraId="5C431F4A" w14:textId="4233724D" w:rsidR="005022F0" w:rsidRDefault="005022F0" w:rsidP="00E33742">
            <w:pPr>
              <w:pStyle w:val="NoSpacing"/>
              <w:jc w:val="center"/>
            </w:pPr>
            <w:r>
              <w:t>$</w:t>
            </w:r>
            <w:r w:rsidR="00E33742">
              <w:t>306,000</w:t>
            </w:r>
          </w:p>
        </w:tc>
      </w:tr>
      <w:tr w:rsidR="005022F0" w14:paraId="5D6AC2D0" w14:textId="77777777" w:rsidTr="009E7C98">
        <w:tc>
          <w:tcPr>
            <w:tcW w:w="268" w:type="pct"/>
            <w:vAlign w:val="center"/>
          </w:tcPr>
          <w:p w14:paraId="2236192E" w14:textId="3F5D7D75" w:rsidR="005022F0" w:rsidRDefault="00E33742" w:rsidP="00500031">
            <w:pPr>
              <w:pStyle w:val="NoSpacing"/>
              <w:jc w:val="center"/>
            </w:pPr>
            <w:r>
              <w:t>4</w:t>
            </w:r>
          </w:p>
        </w:tc>
        <w:tc>
          <w:tcPr>
            <w:tcW w:w="2678" w:type="pct"/>
            <w:vAlign w:val="center"/>
          </w:tcPr>
          <w:p w14:paraId="1070BF3F" w14:textId="688038D7" w:rsidR="005022F0" w:rsidRPr="00142663" w:rsidRDefault="005022F0" w:rsidP="00500031">
            <w:pPr>
              <w:pStyle w:val="NoSpacing"/>
            </w:pPr>
            <w:r w:rsidRPr="005022F0">
              <w:t xml:space="preserve">Ex Parte Reexamination (§ 1.510(a)) </w:t>
            </w:r>
            <w:r>
              <w:t>Non-</w:t>
            </w:r>
            <w:r w:rsidRPr="005022F0">
              <w:t>Streamlined</w:t>
            </w:r>
            <w:r>
              <w:t xml:space="preserve"> (micro entity)</w:t>
            </w:r>
          </w:p>
        </w:tc>
        <w:tc>
          <w:tcPr>
            <w:tcW w:w="616" w:type="pct"/>
            <w:vAlign w:val="center"/>
          </w:tcPr>
          <w:p w14:paraId="50659CF1" w14:textId="46D3B248" w:rsidR="005022F0" w:rsidRDefault="00E33742" w:rsidP="00500031">
            <w:pPr>
              <w:pStyle w:val="NoSpacing"/>
              <w:jc w:val="center"/>
            </w:pPr>
            <w:r>
              <w:t>1</w:t>
            </w:r>
          </w:p>
        </w:tc>
        <w:tc>
          <w:tcPr>
            <w:tcW w:w="491" w:type="pct"/>
            <w:vAlign w:val="center"/>
          </w:tcPr>
          <w:p w14:paraId="6542A736" w14:textId="5683247B" w:rsidR="005022F0" w:rsidRDefault="005022F0" w:rsidP="00485810">
            <w:pPr>
              <w:pStyle w:val="NoSpacing"/>
              <w:jc w:val="center"/>
            </w:pPr>
            <w:r>
              <w:t>$</w:t>
            </w:r>
            <w:r w:rsidR="00485810">
              <w:t>3,000</w:t>
            </w:r>
          </w:p>
        </w:tc>
        <w:tc>
          <w:tcPr>
            <w:tcW w:w="948" w:type="pct"/>
            <w:vAlign w:val="center"/>
          </w:tcPr>
          <w:p w14:paraId="49159E67" w14:textId="2A179BC0" w:rsidR="005022F0" w:rsidRDefault="005022F0" w:rsidP="00E33742">
            <w:pPr>
              <w:pStyle w:val="NoSpacing"/>
              <w:jc w:val="center"/>
            </w:pPr>
            <w:r>
              <w:t>$</w:t>
            </w:r>
            <w:r w:rsidR="00E33742">
              <w:t>3,000</w:t>
            </w:r>
          </w:p>
        </w:tc>
      </w:tr>
      <w:tr w:rsidR="005022F0" w14:paraId="095C17E6" w14:textId="77777777" w:rsidTr="009E7C98">
        <w:tc>
          <w:tcPr>
            <w:tcW w:w="268" w:type="pct"/>
          </w:tcPr>
          <w:p w14:paraId="63C086E4" w14:textId="77777777" w:rsidR="005022F0" w:rsidRPr="00A831EC" w:rsidRDefault="005022F0" w:rsidP="00500031">
            <w:pPr>
              <w:pStyle w:val="NoSpacing"/>
              <w:rPr>
                <w:b/>
              </w:rPr>
            </w:pPr>
          </w:p>
        </w:tc>
        <w:tc>
          <w:tcPr>
            <w:tcW w:w="2678" w:type="pct"/>
          </w:tcPr>
          <w:p w14:paraId="6C03D728" w14:textId="77777777" w:rsidR="005022F0" w:rsidRPr="00A831EC" w:rsidRDefault="005022F0" w:rsidP="00500031">
            <w:pPr>
              <w:pStyle w:val="NoSpacing"/>
              <w:rPr>
                <w:b/>
              </w:rPr>
            </w:pPr>
            <w:r>
              <w:rPr>
                <w:b/>
              </w:rPr>
              <w:t>Totals</w:t>
            </w:r>
          </w:p>
        </w:tc>
        <w:tc>
          <w:tcPr>
            <w:tcW w:w="616" w:type="pct"/>
            <w:vAlign w:val="center"/>
          </w:tcPr>
          <w:p w14:paraId="6A61FCCF" w14:textId="05B01AF0" w:rsidR="005022F0" w:rsidRPr="00A831EC" w:rsidRDefault="005022F0" w:rsidP="00500031">
            <w:pPr>
              <w:pStyle w:val="NoSpacing"/>
              <w:jc w:val="center"/>
              <w:rPr>
                <w:b/>
              </w:rPr>
            </w:pPr>
            <w:r>
              <w:rPr>
                <w:b/>
              </w:rPr>
              <w:t>#</w:t>
            </w:r>
          </w:p>
        </w:tc>
        <w:tc>
          <w:tcPr>
            <w:tcW w:w="491" w:type="pct"/>
            <w:vAlign w:val="center"/>
          </w:tcPr>
          <w:p w14:paraId="4C2C84F7" w14:textId="77777777" w:rsidR="005022F0" w:rsidRPr="00A831EC" w:rsidRDefault="005022F0" w:rsidP="00500031">
            <w:pPr>
              <w:pStyle w:val="NoSpacing"/>
              <w:jc w:val="center"/>
              <w:rPr>
                <w:b/>
              </w:rPr>
            </w:pPr>
            <w:r>
              <w:rPr>
                <w:b/>
              </w:rPr>
              <w:t>- - -</w:t>
            </w:r>
          </w:p>
        </w:tc>
        <w:tc>
          <w:tcPr>
            <w:tcW w:w="948" w:type="pct"/>
            <w:vAlign w:val="center"/>
          </w:tcPr>
          <w:p w14:paraId="62F5C38E" w14:textId="60B18641" w:rsidR="005022F0" w:rsidRPr="00A831EC" w:rsidRDefault="005022F0" w:rsidP="00485810">
            <w:pPr>
              <w:pStyle w:val="NoSpacing"/>
              <w:jc w:val="center"/>
              <w:rPr>
                <w:b/>
              </w:rPr>
            </w:pPr>
            <w:r>
              <w:rPr>
                <w:b/>
              </w:rPr>
              <w:t>$</w:t>
            </w:r>
            <w:r w:rsidR="00E33742">
              <w:rPr>
                <w:b/>
              </w:rPr>
              <w:t>1,579,500</w:t>
            </w:r>
          </w:p>
        </w:tc>
      </w:tr>
    </w:tbl>
    <w:p w14:paraId="33DC4076" w14:textId="77777777" w:rsidR="00652EA6" w:rsidRDefault="00652EA6" w:rsidP="00B43EDF">
      <w:pPr>
        <w:pStyle w:val="NoSpacing"/>
        <w:jc w:val="both"/>
        <w:rPr>
          <w:rFonts w:cs="Arial"/>
        </w:rPr>
      </w:pPr>
    </w:p>
    <w:p w14:paraId="36155A86" w14:textId="0B5A75D5" w:rsidR="0024685B" w:rsidRPr="002B7262" w:rsidRDefault="004539CC" w:rsidP="002B7262">
      <w:pPr>
        <w:pStyle w:val="NoSpacing"/>
        <w:jc w:val="both"/>
        <w:rPr>
          <w:rFonts w:cs="Arial"/>
        </w:rPr>
      </w:pPr>
      <w:r>
        <w:rPr>
          <w:rFonts w:cs="Arial"/>
          <w:b/>
        </w:rPr>
        <w:t>Table 2: Increase in Fee Amounts</w:t>
      </w:r>
    </w:p>
    <w:tbl>
      <w:tblPr>
        <w:tblStyle w:val="TableGrid"/>
        <w:tblW w:w="5000" w:type="pct"/>
        <w:tblLook w:val="04A0" w:firstRow="1" w:lastRow="0" w:firstColumn="1" w:lastColumn="0" w:noHBand="0" w:noVBand="1"/>
      </w:tblPr>
      <w:tblGrid>
        <w:gridCol w:w="435"/>
        <w:gridCol w:w="4623"/>
        <w:gridCol w:w="1944"/>
        <w:gridCol w:w="1339"/>
        <w:gridCol w:w="1235"/>
      </w:tblGrid>
      <w:tr w:rsidR="008E35C1" w14:paraId="36155A8C" w14:textId="77777777" w:rsidTr="009E7C98">
        <w:trPr>
          <w:cantSplit/>
        </w:trPr>
        <w:tc>
          <w:tcPr>
            <w:tcW w:w="227" w:type="pct"/>
          </w:tcPr>
          <w:p w14:paraId="36155A87" w14:textId="77777777" w:rsidR="008E35C1" w:rsidRPr="005A2703" w:rsidRDefault="008E35C1" w:rsidP="007D07B4">
            <w:pPr>
              <w:pStyle w:val="NoSpacing"/>
              <w:jc w:val="center"/>
              <w:rPr>
                <w:b/>
              </w:rPr>
            </w:pPr>
            <w:r>
              <w:rPr>
                <w:b/>
              </w:rPr>
              <w:t>IC #</w:t>
            </w:r>
          </w:p>
        </w:tc>
        <w:tc>
          <w:tcPr>
            <w:tcW w:w="2414" w:type="pct"/>
          </w:tcPr>
          <w:p w14:paraId="36155A88" w14:textId="77777777" w:rsidR="008E35C1" w:rsidRPr="005A2703" w:rsidRDefault="008E35C1" w:rsidP="007D07B4">
            <w:pPr>
              <w:pStyle w:val="NoSpacing"/>
              <w:jc w:val="center"/>
              <w:rPr>
                <w:b/>
              </w:rPr>
            </w:pPr>
            <w:r>
              <w:rPr>
                <w:b/>
              </w:rPr>
              <w:t>Item</w:t>
            </w:r>
          </w:p>
        </w:tc>
        <w:tc>
          <w:tcPr>
            <w:tcW w:w="1015" w:type="pct"/>
          </w:tcPr>
          <w:p w14:paraId="36155A89" w14:textId="77777777" w:rsidR="008E35C1" w:rsidRPr="005A2703" w:rsidRDefault="008E35C1" w:rsidP="007D07B4">
            <w:pPr>
              <w:pStyle w:val="NoSpacing"/>
              <w:jc w:val="center"/>
              <w:rPr>
                <w:b/>
              </w:rPr>
            </w:pPr>
            <w:r>
              <w:rPr>
                <w:b/>
              </w:rPr>
              <w:t>Current Fee</w:t>
            </w:r>
          </w:p>
        </w:tc>
        <w:tc>
          <w:tcPr>
            <w:tcW w:w="699" w:type="pct"/>
          </w:tcPr>
          <w:p w14:paraId="36155A8A" w14:textId="77777777" w:rsidR="008E35C1" w:rsidRPr="005A2703" w:rsidRDefault="008E35C1" w:rsidP="007D07B4">
            <w:pPr>
              <w:pStyle w:val="NoSpacing"/>
              <w:jc w:val="center"/>
              <w:rPr>
                <w:b/>
              </w:rPr>
            </w:pPr>
            <w:r>
              <w:rPr>
                <w:b/>
              </w:rPr>
              <w:t>Proposed Fee</w:t>
            </w:r>
          </w:p>
        </w:tc>
        <w:tc>
          <w:tcPr>
            <w:tcW w:w="645" w:type="pct"/>
          </w:tcPr>
          <w:p w14:paraId="36155A8B" w14:textId="71A4A4EF" w:rsidR="008E35C1" w:rsidRPr="005A2703" w:rsidRDefault="008E35C1" w:rsidP="00652EA6">
            <w:pPr>
              <w:pStyle w:val="NoSpacing"/>
              <w:jc w:val="center"/>
              <w:rPr>
                <w:b/>
              </w:rPr>
            </w:pPr>
            <w:r>
              <w:rPr>
                <w:b/>
              </w:rPr>
              <w:t>Fee Increase</w:t>
            </w:r>
          </w:p>
        </w:tc>
      </w:tr>
      <w:tr w:rsidR="008E35C1" w14:paraId="36155A98" w14:textId="77777777" w:rsidTr="009E7C98">
        <w:trPr>
          <w:cantSplit/>
        </w:trPr>
        <w:tc>
          <w:tcPr>
            <w:tcW w:w="227" w:type="pct"/>
            <w:vAlign w:val="center"/>
          </w:tcPr>
          <w:p w14:paraId="36155A8D" w14:textId="77777777" w:rsidR="008E35C1" w:rsidRDefault="008E35C1" w:rsidP="00E119FC">
            <w:pPr>
              <w:pStyle w:val="NoSpacing"/>
              <w:jc w:val="center"/>
            </w:pPr>
            <w:r>
              <w:t>2</w:t>
            </w:r>
          </w:p>
        </w:tc>
        <w:tc>
          <w:tcPr>
            <w:tcW w:w="2414" w:type="pct"/>
            <w:vAlign w:val="center"/>
          </w:tcPr>
          <w:p w14:paraId="36155A8E" w14:textId="77777777" w:rsidR="008E35C1" w:rsidRDefault="008E35C1" w:rsidP="00E119FC">
            <w:pPr>
              <w:pStyle w:val="NoSpacing"/>
            </w:pPr>
            <w:r w:rsidRPr="00142663">
              <w:t>Each Reexamination Independent Claim in Excess of Three and Also in Excess of the Number of Such Claims in the Patent Under Reexamination</w:t>
            </w:r>
          </w:p>
        </w:tc>
        <w:tc>
          <w:tcPr>
            <w:tcW w:w="1015" w:type="pct"/>
            <w:vAlign w:val="center"/>
          </w:tcPr>
          <w:p w14:paraId="36155A8F" w14:textId="2D3B80B8" w:rsidR="008E35C1" w:rsidRDefault="008E35C1" w:rsidP="00E119FC">
            <w:pPr>
              <w:pStyle w:val="NoSpacing"/>
              <w:jc w:val="center"/>
            </w:pPr>
            <w:r>
              <w:t xml:space="preserve">$420 (large </w:t>
            </w:r>
            <w:r w:rsidR="00CA676B">
              <w:t>entity</w:t>
            </w:r>
            <w:r>
              <w:t>)</w:t>
            </w:r>
          </w:p>
          <w:p w14:paraId="36155A90" w14:textId="37042FB0" w:rsidR="008E35C1" w:rsidRDefault="008E35C1" w:rsidP="00E119FC">
            <w:pPr>
              <w:pStyle w:val="NoSpacing"/>
              <w:jc w:val="center"/>
            </w:pPr>
            <w:r>
              <w:t xml:space="preserve">$210 (small </w:t>
            </w:r>
            <w:r w:rsidR="00CA676B">
              <w:t>entity</w:t>
            </w:r>
            <w:r>
              <w:t>)</w:t>
            </w:r>
          </w:p>
          <w:p w14:paraId="36155A91" w14:textId="2401C9CC" w:rsidR="008E35C1" w:rsidRDefault="008E35C1" w:rsidP="00E119FC">
            <w:pPr>
              <w:pStyle w:val="NoSpacing"/>
              <w:jc w:val="center"/>
            </w:pPr>
            <w:r>
              <w:t xml:space="preserve">$105 (micro </w:t>
            </w:r>
            <w:r w:rsidR="00CA676B">
              <w:t>entity</w:t>
            </w:r>
            <w:r>
              <w:t>)</w:t>
            </w:r>
          </w:p>
        </w:tc>
        <w:tc>
          <w:tcPr>
            <w:tcW w:w="699" w:type="pct"/>
            <w:vAlign w:val="center"/>
          </w:tcPr>
          <w:p w14:paraId="36155A92" w14:textId="7732C222" w:rsidR="008E35C1" w:rsidRDefault="008E35C1" w:rsidP="00E119FC">
            <w:pPr>
              <w:pStyle w:val="NoSpacing"/>
              <w:jc w:val="center"/>
            </w:pPr>
            <w:r>
              <w:t xml:space="preserve">$460 (large </w:t>
            </w:r>
            <w:r w:rsidR="00CA676B">
              <w:t>entity</w:t>
            </w:r>
            <w:r>
              <w:t>)</w:t>
            </w:r>
          </w:p>
          <w:p w14:paraId="36155A93" w14:textId="2FEE7C55" w:rsidR="008E35C1" w:rsidRDefault="008E35C1" w:rsidP="00E119FC">
            <w:pPr>
              <w:pStyle w:val="NoSpacing"/>
              <w:jc w:val="center"/>
            </w:pPr>
            <w:r>
              <w:t xml:space="preserve">$230 (small </w:t>
            </w:r>
            <w:r w:rsidR="00CA676B">
              <w:t>entity</w:t>
            </w:r>
            <w:r>
              <w:t>)</w:t>
            </w:r>
          </w:p>
          <w:p w14:paraId="36155A94" w14:textId="44E3AA7F" w:rsidR="008E35C1" w:rsidRDefault="008E35C1" w:rsidP="00E119FC">
            <w:pPr>
              <w:pStyle w:val="NoSpacing"/>
              <w:jc w:val="center"/>
            </w:pPr>
            <w:r>
              <w:t xml:space="preserve">$115 (micro </w:t>
            </w:r>
            <w:r w:rsidR="00CA676B">
              <w:t>entity</w:t>
            </w:r>
            <w:r>
              <w:t>)</w:t>
            </w:r>
          </w:p>
        </w:tc>
        <w:tc>
          <w:tcPr>
            <w:tcW w:w="645" w:type="pct"/>
            <w:vAlign w:val="center"/>
          </w:tcPr>
          <w:p w14:paraId="36155A95" w14:textId="6A74AD40" w:rsidR="008E35C1" w:rsidRDefault="008E35C1" w:rsidP="00E119FC">
            <w:pPr>
              <w:pStyle w:val="NoSpacing"/>
              <w:jc w:val="center"/>
            </w:pPr>
            <w:r>
              <w:t xml:space="preserve">$40 (large </w:t>
            </w:r>
            <w:r w:rsidR="00CA676B">
              <w:t>entity</w:t>
            </w:r>
            <w:r>
              <w:t>)</w:t>
            </w:r>
          </w:p>
          <w:p w14:paraId="36155A96" w14:textId="7BE40EB1" w:rsidR="008E35C1" w:rsidRDefault="008E35C1" w:rsidP="00E119FC">
            <w:pPr>
              <w:pStyle w:val="NoSpacing"/>
              <w:jc w:val="center"/>
            </w:pPr>
            <w:r>
              <w:t xml:space="preserve">$20 (small </w:t>
            </w:r>
            <w:r w:rsidR="00CA676B">
              <w:t>entity</w:t>
            </w:r>
            <w:r>
              <w:t>)</w:t>
            </w:r>
          </w:p>
          <w:p w14:paraId="36155A97" w14:textId="5A80C5B3" w:rsidR="008E35C1" w:rsidRDefault="008E35C1" w:rsidP="00E119FC">
            <w:pPr>
              <w:pStyle w:val="NoSpacing"/>
              <w:jc w:val="center"/>
            </w:pPr>
            <w:r>
              <w:t xml:space="preserve">$10 (micro </w:t>
            </w:r>
            <w:r w:rsidR="00CA676B">
              <w:t>entity</w:t>
            </w:r>
            <w:r>
              <w:t>)</w:t>
            </w:r>
          </w:p>
        </w:tc>
      </w:tr>
      <w:tr w:rsidR="008E35C1" w14:paraId="36155AA4" w14:textId="77777777" w:rsidTr="009E7C98">
        <w:trPr>
          <w:cantSplit/>
        </w:trPr>
        <w:tc>
          <w:tcPr>
            <w:tcW w:w="227" w:type="pct"/>
            <w:vAlign w:val="center"/>
          </w:tcPr>
          <w:p w14:paraId="36155A99" w14:textId="77777777" w:rsidR="008E35C1" w:rsidRDefault="008E35C1" w:rsidP="00E119FC">
            <w:pPr>
              <w:pStyle w:val="NoSpacing"/>
              <w:jc w:val="center"/>
            </w:pPr>
            <w:r>
              <w:lastRenderedPageBreak/>
              <w:t>2</w:t>
            </w:r>
          </w:p>
        </w:tc>
        <w:tc>
          <w:tcPr>
            <w:tcW w:w="2414" w:type="pct"/>
            <w:vAlign w:val="center"/>
          </w:tcPr>
          <w:p w14:paraId="36155A9A" w14:textId="77777777" w:rsidR="008E35C1" w:rsidRDefault="008E35C1" w:rsidP="00E119FC">
            <w:pPr>
              <w:pStyle w:val="NoSpacing"/>
            </w:pPr>
            <w:r w:rsidRPr="00142663">
              <w:t>Each Reexamination Claim in Excess of 20 and Also in Excess of the Number of Claims in the Patent Under Reexamination</w:t>
            </w:r>
          </w:p>
        </w:tc>
        <w:tc>
          <w:tcPr>
            <w:tcW w:w="1015" w:type="pct"/>
            <w:vAlign w:val="center"/>
          </w:tcPr>
          <w:p w14:paraId="36155A9B" w14:textId="74C56413" w:rsidR="008E35C1" w:rsidRDefault="008E35C1" w:rsidP="00E119FC">
            <w:pPr>
              <w:pStyle w:val="NoSpacing"/>
              <w:jc w:val="center"/>
            </w:pPr>
            <w:r>
              <w:t xml:space="preserve">$80 (large </w:t>
            </w:r>
            <w:r w:rsidR="00CA676B">
              <w:t>entity</w:t>
            </w:r>
            <w:r>
              <w:t>)</w:t>
            </w:r>
          </w:p>
          <w:p w14:paraId="36155A9C" w14:textId="4D99506C" w:rsidR="008E35C1" w:rsidRDefault="008E35C1" w:rsidP="00E119FC">
            <w:pPr>
              <w:pStyle w:val="NoSpacing"/>
              <w:jc w:val="center"/>
            </w:pPr>
            <w:r>
              <w:t xml:space="preserve">$40 (small </w:t>
            </w:r>
            <w:r w:rsidR="00CA676B">
              <w:t>entity</w:t>
            </w:r>
            <w:r>
              <w:t>)</w:t>
            </w:r>
          </w:p>
          <w:p w14:paraId="36155A9D" w14:textId="0F64F678" w:rsidR="008E35C1" w:rsidRDefault="008E35C1" w:rsidP="00E119FC">
            <w:pPr>
              <w:pStyle w:val="NoSpacing"/>
              <w:jc w:val="center"/>
            </w:pPr>
            <w:r>
              <w:t xml:space="preserve">$20 (micro </w:t>
            </w:r>
            <w:r w:rsidR="00CA676B">
              <w:t>entity</w:t>
            </w:r>
            <w:r>
              <w:t>)</w:t>
            </w:r>
          </w:p>
        </w:tc>
        <w:tc>
          <w:tcPr>
            <w:tcW w:w="699" w:type="pct"/>
            <w:vAlign w:val="center"/>
          </w:tcPr>
          <w:p w14:paraId="36155A9E" w14:textId="19745BCD" w:rsidR="008E35C1" w:rsidRDefault="008E35C1" w:rsidP="00E119FC">
            <w:pPr>
              <w:pStyle w:val="NoSpacing"/>
              <w:jc w:val="center"/>
            </w:pPr>
            <w:r>
              <w:t xml:space="preserve">$100 (large </w:t>
            </w:r>
            <w:r w:rsidR="00CA676B">
              <w:t>entity</w:t>
            </w:r>
            <w:r>
              <w:t>)</w:t>
            </w:r>
          </w:p>
          <w:p w14:paraId="36155A9F" w14:textId="50885236" w:rsidR="008E35C1" w:rsidRDefault="008E35C1" w:rsidP="00E119FC">
            <w:pPr>
              <w:pStyle w:val="NoSpacing"/>
              <w:jc w:val="center"/>
            </w:pPr>
            <w:r>
              <w:t xml:space="preserve">$50 (small </w:t>
            </w:r>
            <w:r w:rsidR="00CA676B">
              <w:t>entity</w:t>
            </w:r>
            <w:r>
              <w:t>)</w:t>
            </w:r>
          </w:p>
          <w:p w14:paraId="36155AA0" w14:textId="6E592355" w:rsidR="008E35C1" w:rsidRDefault="008E35C1" w:rsidP="00E119FC">
            <w:pPr>
              <w:pStyle w:val="NoSpacing"/>
              <w:jc w:val="center"/>
            </w:pPr>
            <w:r>
              <w:t xml:space="preserve">$25 (micro </w:t>
            </w:r>
            <w:r w:rsidR="00CA676B">
              <w:t>entity</w:t>
            </w:r>
            <w:r>
              <w:t>)</w:t>
            </w:r>
          </w:p>
        </w:tc>
        <w:tc>
          <w:tcPr>
            <w:tcW w:w="645" w:type="pct"/>
            <w:vAlign w:val="center"/>
          </w:tcPr>
          <w:p w14:paraId="36155AA1" w14:textId="0E2800C0" w:rsidR="008E35C1" w:rsidRDefault="008E35C1" w:rsidP="00E119FC">
            <w:pPr>
              <w:pStyle w:val="NoSpacing"/>
              <w:jc w:val="center"/>
            </w:pPr>
            <w:r>
              <w:t xml:space="preserve">$20 (large </w:t>
            </w:r>
            <w:r w:rsidR="00CA676B">
              <w:t>entity</w:t>
            </w:r>
            <w:r>
              <w:t>)</w:t>
            </w:r>
          </w:p>
          <w:p w14:paraId="36155AA2" w14:textId="26B0E547" w:rsidR="008E35C1" w:rsidRDefault="008E35C1" w:rsidP="00E119FC">
            <w:pPr>
              <w:pStyle w:val="NoSpacing"/>
              <w:jc w:val="center"/>
            </w:pPr>
            <w:r>
              <w:t xml:space="preserve">$10 (small </w:t>
            </w:r>
            <w:r w:rsidR="00CA676B">
              <w:t>entity</w:t>
            </w:r>
            <w:r>
              <w:t>)</w:t>
            </w:r>
          </w:p>
          <w:p w14:paraId="36155AA3" w14:textId="150CD21D" w:rsidR="008E35C1" w:rsidRDefault="008E35C1" w:rsidP="00E119FC">
            <w:pPr>
              <w:pStyle w:val="NoSpacing"/>
              <w:jc w:val="center"/>
            </w:pPr>
            <w:r>
              <w:t xml:space="preserve">$5 (micro </w:t>
            </w:r>
            <w:r w:rsidR="00CA676B">
              <w:t>entity</w:t>
            </w:r>
            <w:r>
              <w:t>)</w:t>
            </w:r>
          </w:p>
        </w:tc>
      </w:tr>
    </w:tbl>
    <w:p w14:paraId="644253AF" w14:textId="77777777" w:rsidR="004539CC" w:rsidRDefault="004539CC" w:rsidP="00B43EDF">
      <w:pPr>
        <w:pStyle w:val="NoSpacing"/>
      </w:pPr>
    </w:p>
    <w:p w14:paraId="7523805C" w14:textId="34EB9DBC" w:rsidR="009E7C98" w:rsidRPr="009E7C98" w:rsidRDefault="009E7C98" w:rsidP="00B43EDF">
      <w:pPr>
        <w:pStyle w:val="NoSpacing"/>
        <w:rPr>
          <w:b/>
        </w:rPr>
      </w:pPr>
      <w:r w:rsidRPr="009E7C98">
        <w:rPr>
          <w:b/>
        </w:rPr>
        <w:t xml:space="preserve">Table 3: Existing Fee Increases </w:t>
      </w:r>
    </w:p>
    <w:tbl>
      <w:tblPr>
        <w:tblStyle w:val="TableGrid"/>
        <w:tblW w:w="0" w:type="auto"/>
        <w:tblLook w:val="04A0" w:firstRow="1" w:lastRow="0" w:firstColumn="1" w:lastColumn="0" w:noHBand="0" w:noVBand="1"/>
      </w:tblPr>
      <w:tblGrid>
        <w:gridCol w:w="468"/>
        <w:gridCol w:w="4680"/>
        <w:gridCol w:w="1530"/>
        <w:gridCol w:w="1440"/>
        <w:gridCol w:w="1458"/>
      </w:tblGrid>
      <w:tr w:rsidR="009E7C98" w14:paraId="19308EE9" w14:textId="77777777" w:rsidTr="00500031">
        <w:tc>
          <w:tcPr>
            <w:tcW w:w="468" w:type="dxa"/>
            <w:vAlign w:val="center"/>
          </w:tcPr>
          <w:p w14:paraId="7A9042D7" w14:textId="77777777" w:rsidR="009E7C98" w:rsidRPr="001179E3" w:rsidRDefault="009E7C98" w:rsidP="00500031">
            <w:pPr>
              <w:pStyle w:val="NoSpacing"/>
              <w:jc w:val="center"/>
              <w:rPr>
                <w:b/>
              </w:rPr>
            </w:pPr>
            <w:r>
              <w:rPr>
                <w:b/>
              </w:rPr>
              <w:t>IC #</w:t>
            </w:r>
          </w:p>
        </w:tc>
        <w:tc>
          <w:tcPr>
            <w:tcW w:w="4680" w:type="dxa"/>
            <w:vAlign w:val="center"/>
          </w:tcPr>
          <w:p w14:paraId="0B61219A" w14:textId="77777777" w:rsidR="009E7C98" w:rsidRPr="001179E3" w:rsidRDefault="009E7C98" w:rsidP="00500031">
            <w:pPr>
              <w:pStyle w:val="NoSpacing"/>
              <w:jc w:val="center"/>
              <w:rPr>
                <w:b/>
              </w:rPr>
            </w:pPr>
            <w:r>
              <w:rPr>
                <w:b/>
              </w:rPr>
              <w:t>Item</w:t>
            </w:r>
          </w:p>
        </w:tc>
        <w:tc>
          <w:tcPr>
            <w:tcW w:w="1530" w:type="dxa"/>
            <w:vAlign w:val="center"/>
          </w:tcPr>
          <w:p w14:paraId="2852CF36" w14:textId="77777777" w:rsidR="009E7C98" w:rsidRPr="001179E3" w:rsidRDefault="009E7C98" w:rsidP="00500031">
            <w:pPr>
              <w:pStyle w:val="NoSpacing"/>
              <w:jc w:val="center"/>
              <w:rPr>
                <w:b/>
              </w:rPr>
            </w:pPr>
            <w:r>
              <w:rPr>
                <w:b/>
              </w:rPr>
              <w:t>Responses</w:t>
            </w:r>
          </w:p>
        </w:tc>
        <w:tc>
          <w:tcPr>
            <w:tcW w:w="1440" w:type="dxa"/>
            <w:vAlign w:val="center"/>
          </w:tcPr>
          <w:p w14:paraId="0BE42249" w14:textId="64EC3BA0" w:rsidR="009E7C98" w:rsidRPr="001179E3" w:rsidRDefault="00C3166A" w:rsidP="00500031">
            <w:pPr>
              <w:pStyle w:val="NoSpacing"/>
              <w:jc w:val="center"/>
              <w:rPr>
                <w:b/>
              </w:rPr>
            </w:pPr>
            <w:r>
              <w:rPr>
                <w:b/>
              </w:rPr>
              <w:t>Proposed</w:t>
            </w:r>
            <w:r w:rsidR="009E7C98">
              <w:rPr>
                <w:b/>
              </w:rPr>
              <w:t xml:space="preserve"> Fee</w:t>
            </w:r>
          </w:p>
        </w:tc>
        <w:tc>
          <w:tcPr>
            <w:tcW w:w="1458" w:type="dxa"/>
            <w:vAlign w:val="center"/>
          </w:tcPr>
          <w:p w14:paraId="4A0411ED" w14:textId="410DB97B" w:rsidR="009E7C98" w:rsidRPr="00D26274" w:rsidRDefault="009E7C98" w:rsidP="00500031">
            <w:pPr>
              <w:pStyle w:val="NoSpacing"/>
              <w:jc w:val="center"/>
              <w:rPr>
                <w:b/>
              </w:rPr>
            </w:pPr>
            <w:r>
              <w:rPr>
                <w:b/>
              </w:rPr>
              <w:t>Non-hour Burden ($)</w:t>
            </w:r>
          </w:p>
        </w:tc>
      </w:tr>
      <w:tr w:rsidR="009E7C98" w14:paraId="7C6F61F1" w14:textId="77777777" w:rsidTr="00500031">
        <w:tc>
          <w:tcPr>
            <w:tcW w:w="468" w:type="dxa"/>
            <w:vAlign w:val="center"/>
          </w:tcPr>
          <w:p w14:paraId="76E74401" w14:textId="77777777" w:rsidR="009E7C98" w:rsidRDefault="009E7C98" w:rsidP="00500031">
            <w:pPr>
              <w:pStyle w:val="NoSpacing"/>
              <w:jc w:val="center"/>
            </w:pPr>
            <w:r>
              <w:t>2</w:t>
            </w:r>
          </w:p>
        </w:tc>
        <w:tc>
          <w:tcPr>
            <w:tcW w:w="4680" w:type="dxa"/>
            <w:vAlign w:val="center"/>
          </w:tcPr>
          <w:p w14:paraId="2128BF85" w14:textId="77777777" w:rsidR="009E7C98" w:rsidRDefault="009E7C98" w:rsidP="00500031">
            <w:pPr>
              <w:pStyle w:val="NoSpacing"/>
            </w:pPr>
            <w:r w:rsidRPr="00142663">
              <w:t>Each Reexamination Independent Claim in Excess of Three and Also in Excess of the Number of Such Claims in the Patent Under Reexamination</w:t>
            </w:r>
            <w:r>
              <w:t xml:space="preserve"> (large entity)</w:t>
            </w:r>
          </w:p>
        </w:tc>
        <w:tc>
          <w:tcPr>
            <w:tcW w:w="1530" w:type="dxa"/>
            <w:vAlign w:val="center"/>
          </w:tcPr>
          <w:p w14:paraId="33480D09" w14:textId="77777777" w:rsidR="009E7C98" w:rsidRDefault="009E7C98" w:rsidP="00500031">
            <w:pPr>
              <w:pStyle w:val="NoSpacing"/>
              <w:jc w:val="center"/>
            </w:pPr>
            <w:r>
              <w:t>350</w:t>
            </w:r>
          </w:p>
        </w:tc>
        <w:tc>
          <w:tcPr>
            <w:tcW w:w="1440" w:type="dxa"/>
            <w:vAlign w:val="center"/>
          </w:tcPr>
          <w:p w14:paraId="6E28E331" w14:textId="77777777" w:rsidR="009E7C98" w:rsidRDefault="009E7C98" w:rsidP="00500031">
            <w:pPr>
              <w:pStyle w:val="NoSpacing"/>
              <w:jc w:val="center"/>
            </w:pPr>
            <w:r>
              <w:t>$460.00</w:t>
            </w:r>
          </w:p>
        </w:tc>
        <w:tc>
          <w:tcPr>
            <w:tcW w:w="1458" w:type="dxa"/>
            <w:vAlign w:val="center"/>
          </w:tcPr>
          <w:p w14:paraId="31A0AF3C" w14:textId="77777777" w:rsidR="009E7C98" w:rsidRDefault="009E7C98" w:rsidP="00500031">
            <w:pPr>
              <w:pStyle w:val="NoSpacing"/>
              <w:jc w:val="center"/>
            </w:pPr>
            <w:r>
              <w:t>$161,000</w:t>
            </w:r>
          </w:p>
        </w:tc>
      </w:tr>
      <w:tr w:rsidR="009E7C98" w14:paraId="5EA0D03F" w14:textId="77777777" w:rsidTr="00500031">
        <w:tc>
          <w:tcPr>
            <w:tcW w:w="468" w:type="dxa"/>
            <w:vAlign w:val="center"/>
          </w:tcPr>
          <w:p w14:paraId="580D4FE3" w14:textId="77777777" w:rsidR="009E7C98" w:rsidRDefault="009E7C98" w:rsidP="00500031">
            <w:pPr>
              <w:pStyle w:val="NoSpacing"/>
              <w:jc w:val="center"/>
            </w:pPr>
            <w:r>
              <w:t>2</w:t>
            </w:r>
          </w:p>
        </w:tc>
        <w:tc>
          <w:tcPr>
            <w:tcW w:w="4680" w:type="dxa"/>
            <w:vAlign w:val="center"/>
          </w:tcPr>
          <w:p w14:paraId="11BEA28A" w14:textId="77777777" w:rsidR="009E7C98" w:rsidRPr="00142663" w:rsidRDefault="009E7C98" w:rsidP="00500031">
            <w:pPr>
              <w:pStyle w:val="NoSpacing"/>
            </w:pPr>
            <w:r w:rsidRPr="00142663">
              <w:t>Each Reexamination Independent Claim in Excess of Three and Also in Excess of the Number of Such Claims in the Patent Under Reexamination</w:t>
            </w:r>
            <w:r>
              <w:t xml:space="preserve"> (small entity)</w:t>
            </w:r>
          </w:p>
        </w:tc>
        <w:tc>
          <w:tcPr>
            <w:tcW w:w="1530" w:type="dxa"/>
            <w:vAlign w:val="center"/>
          </w:tcPr>
          <w:p w14:paraId="596E5143" w14:textId="77777777" w:rsidR="009E7C98" w:rsidRDefault="009E7C98" w:rsidP="00500031">
            <w:pPr>
              <w:pStyle w:val="NoSpacing"/>
              <w:jc w:val="center"/>
            </w:pPr>
            <w:r>
              <w:t>130</w:t>
            </w:r>
          </w:p>
        </w:tc>
        <w:tc>
          <w:tcPr>
            <w:tcW w:w="1440" w:type="dxa"/>
            <w:vAlign w:val="center"/>
          </w:tcPr>
          <w:p w14:paraId="78305BF7" w14:textId="77777777" w:rsidR="009E7C98" w:rsidRDefault="009E7C98" w:rsidP="00500031">
            <w:pPr>
              <w:pStyle w:val="NoSpacing"/>
              <w:jc w:val="center"/>
            </w:pPr>
            <w:r>
              <w:t>$230.00</w:t>
            </w:r>
          </w:p>
        </w:tc>
        <w:tc>
          <w:tcPr>
            <w:tcW w:w="1458" w:type="dxa"/>
            <w:vAlign w:val="center"/>
          </w:tcPr>
          <w:p w14:paraId="724510C2" w14:textId="77777777" w:rsidR="009E7C98" w:rsidRDefault="009E7C98" w:rsidP="00500031">
            <w:pPr>
              <w:pStyle w:val="NoSpacing"/>
              <w:jc w:val="center"/>
            </w:pPr>
            <w:r>
              <w:t>$29,900</w:t>
            </w:r>
          </w:p>
        </w:tc>
      </w:tr>
      <w:tr w:rsidR="009E7C98" w14:paraId="7ED89209" w14:textId="77777777" w:rsidTr="00500031">
        <w:tc>
          <w:tcPr>
            <w:tcW w:w="468" w:type="dxa"/>
            <w:vAlign w:val="center"/>
          </w:tcPr>
          <w:p w14:paraId="5A61DEC5" w14:textId="77777777" w:rsidR="009E7C98" w:rsidRDefault="009E7C98" w:rsidP="00500031">
            <w:pPr>
              <w:pStyle w:val="NoSpacing"/>
              <w:jc w:val="center"/>
            </w:pPr>
            <w:r>
              <w:t>2</w:t>
            </w:r>
          </w:p>
        </w:tc>
        <w:tc>
          <w:tcPr>
            <w:tcW w:w="4680" w:type="dxa"/>
            <w:vAlign w:val="center"/>
          </w:tcPr>
          <w:p w14:paraId="77AC1C41" w14:textId="77777777" w:rsidR="009E7C98" w:rsidRPr="00142663" w:rsidRDefault="009E7C98" w:rsidP="00500031">
            <w:pPr>
              <w:pStyle w:val="NoSpacing"/>
            </w:pPr>
            <w:r w:rsidRPr="00142663">
              <w:t>Each Reexamination Independent Claim in Excess of Three and Also in Excess of the Number of Such Claims in the Patent Under Reexamination</w:t>
            </w:r>
            <w:r>
              <w:t xml:space="preserve"> (micro entity) </w:t>
            </w:r>
          </w:p>
        </w:tc>
        <w:tc>
          <w:tcPr>
            <w:tcW w:w="1530" w:type="dxa"/>
            <w:vAlign w:val="center"/>
          </w:tcPr>
          <w:p w14:paraId="20C4F103" w14:textId="77777777" w:rsidR="009E7C98" w:rsidRDefault="009E7C98" w:rsidP="00500031">
            <w:pPr>
              <w:pStyle w:val="NoSpacing"/>
              <w:jc w:val="center"/>
            </w:pPr>
            <w:r>
              <w:t>26</w:t>
            </w:r>
          </w:p>
        </w:tc>
        <w:tc>
          <w:tcPr>
            <w:tcW w:w="1440" w:type="dxa"/>
            <w:vAlign w:val="center"/>
          </w:tcPr>
          <w:p w14:paraId="3E5EBC42" w14:textId="77777777" w:rsidR="009E7C98" w:rsidRDefault="009E7C98" w:rsidP="00500031">
            <w:pPr>
              <w:pStyle w:val="NoSpacing"/>
              <w:jc w:val="center"/>
            </w:pPr>
            <w:r>
              <w:t>$115.00</w:t>
            </w:r>
          </w:p>
        </w:tc>
        <w:tc>
          <w:tcPr>
            <w:tcW w:w="1458" w:type="dxa"/>
            <w:vAlign w:val="center"/>
          </w:tcPr>
          <w:p w14:paraId="53690458" w14:textId="77777777" w:rsidR="009E7C98" w:rsidRDefault="009E7C98" w:rsidP="00500031">
            <w:pPr>
              <w:pStyle w:val="NoSpacing"/>
              <w:jc w:val="center"/>
            </w:pPr>
            <w:r>
              <w:t>$2,990</w:t>
            </w:r>
          </w:p>
        </w:tc>
      </w:tr>
      <w:tr w:rsidR="009E7C98" w14:paraId="159D2B2B" w14:textId="77777777" w:rsidTr="00500031">
        <w:tc>
          <w:tcPr>
            <w:tcW w:w="468" w:type="dxa"/>
            <w:vAlign w:val="center"/>
          </w:tcPr>
          <w:p w14:paraId="55675CF4" w14:textId="77777777" w:rsidR="009E7C98" w:rsidRDefault="009E7C98" w:rsidP="00500031">
            <w:pPr>
              <w:pStyle w:val="NoSpacing"/>
              <w:jc w:val="center"/>
            </w:pPr>
            <w:r>
              <w:t>2</w:t>
            </w:r>
          </w:p>
        </w:tc>
        <w:tc>
          <w:tcPr>
            <w:tcW w:w="4680" w:type="dxa"/>
            <w:vAlign w:val="center"/>
          </w:tcPr>
          <w:p w14:paraId="7965D5E1" w14:textId="77777777" w:rsidR="009E7C98" w:rsidRDefault="009E7C98" w:rsidP="00500031">
            <w:pPr>
              <w:pStyle w:val="NoSpacing"/>
            </w:pPr>
            <w:r w:rsidRPr="00142663">
              <w:t>Each Reexamination Claim in Excess of 20 and Also in Excess of the Number of Claims in the Patent Under Reexamination</w:t>
            </w:r>
            <w:r>
              <w:t xml:space="preserve"> (large entity)</w:t>
            </w:r>
          </w:p>
        </w:tc>
        <w:tc>
          <w:tcPr>
            <w:tcW w:w="1530" w:type="dxa"/>
            <w:vAlign w:val="center"/>
          </w:tcPr>
          <w:p w14:paraId="52CAFF64" w14:textId="77777777" w:rsidR="009E7C98" w:rsidRDefault="009E7C98" w:rsidP="00500031">
            <w:pPr>
              <w:pStyle w:val="NoSpacing"/>
              <w:jc w:val="center"/>
            </w:pPr>
            <w:r>
              <w:t>2,915</w:t>
            </w:r>
          </w:p>
        </w:tc>
        <w:tc>
          <w:tcPr>
            <w:tcW w:w="1440" w:type="dxa"/>
            <w:vAlign w:val="center"/>
          </w:tcPr>
          <w:p w14:paraId="50B47352" w14:textId="77777777" w:rsidR="009E7C98" w:rsidRDefault="009E7C98" w:rsidP="00500031">
            <w:pPr>
              <w:pStyle w:val="NoSpacing"/>
              <w:jc w:val="center"/>
            </w:pPr>
            <w:r>
              <w:t>$100.00</w:t>
            </w:r>
          </w:p>
        </w:tc>
        <w:tc>
          <w:tcPr>
            <w:tcW w:w="1458" w:type="dxa"/>
            <w:vAlign w:val="center"/>
          </w:tcPr>
          <w:p w14:paraId="35B90262" w14:textId="77777777" w:rsidR="009E7C98" w:rsidRDefault="009E7C98" w:rsidP="00500031">
            <w:pPr>
              <w:pStyle w:val="NoSpacing"/>
              <w:jc w:val="center"/>
            </w:pPr>
            <w:r>
              <w:t>$291,500</w:t>
            </w:r>
          </w:p>
        </w:tc>
      </w:tr>
      <w:tr w:rsidR="009E7C98" w14:paraId="5E6C3C3C" w14:textId="77777777" w:rsidTr="00500031">
        <w:tc>
          <w:tcPr>
            <w:tcW w:w="468" w:type="dxa"/>
            <w:vAlign w:val="center"/>
          </w:tcPr>
          <w:p w14:paraId="498DC1A0" w14:textId="77777777" w:rsidR="009E7C98" w:rsidRDefault="009E7C98" w:rsidP="00500031">
            <w:pPr>
              <w:pStyle w:val="NoSpacing"/>
              <w:jc w:val="center"/>
            </w:pPr>
            <w:r>
              <w:t>2</w:t>
            </w:r>
          </w:p>
        </w:tc>
        <w:tc>
          <w:tcPr>
            <w:tcW w:w="4680" w:type="dxa"/>
            <w:vAlign w:val="center"/>
          </w:tcPr>
          <w:p w14:paraId="5E49E905" w14:textId="77777777" w:rsidR="009E7C98" w:rsidRPr="00142663" w:rsidRDefault="009E7C98" w:rsidP="00500031">
            <w:pPr>
              <w:pStyle w:val="NoSpacing"/>
            </w:pPr>
            <w:r w:rsidRPr="00142663">
              <w:t>Each Reexamination Claim in Excess of 20 and Also in Excess of the Number of Claims in the Patent Under Reexamination</w:t>
            </w:r>
            <w:r>
              <w:t xml:space="preserve"> (small entity)</w:t>
            </w:r>
          </w:p>
        </w:tc>
        <w:tc>
          <w:tcPr>
            <w:tcW w:w="1530" w:type="dxa"/>
            <w:vAlign w:val="center"/>
          </w:tcPr>
          <w:p w14:paraId="547D531C" w14:textId="77777777" w:rsidR="009E7C98" w:rsidRDefault="009E7C98" w:rsidP="00500031">
            <w:pPr>
              <w:pStyle w:val="NoSpacing"/>
              <w:jc w:val="center"/>
            </w:pPr>
            <w:r>
              <w:t>1,060</w:t>
            </w:r>
          </w:p>
        </w:tc>
        <w:tc>
          <w:tcPr>
            <w:tcW w:w="1440" w:type="dxa"/>
            <w:vAlign w:val="center"/>
          </w:tcPr>
          <w:p w14:paraId="66EA4165" w14:textId="77777777" w:rsidR="009E7C98" w:rsidRDefault="009E7C98" w:rsidP="00500031">
            <w:pPr>
              <w:pStyle w:val="NoSpacing"/>
              <w:jc w:val="center"/>
            </w:pPr>
            <w:r>
              <w:t>$50.00</w:t>
            </w:r>
          </w:p>
        </w:tc>
        <w:tc>
          <w:tcPr>
            <w:tcW w:w="1458" w:type="dxa"/>
            <w:vAlign w:val="center"/>
          </w:tcPr>
          <w:p w14:paraId="43DBB2EE" w14:textId="77777777" w:rsidR="009E7C98" w:rsidRDefault="009E7C98" w:rsidP="00500031">
            <w:pPr>
              <w:pStyle w:val="NoSpacing"/>
              <w:jc w:val="center"/>
            </w:pPr>
            <w:r>
              <w:t>$53,000</w:t>
            </w:r>
          </w:p>
        </w:tc>
      </w:tr>
      <w:tr w:rsidR="009E7C98" w14:paraId="27D582FF" w14:textId="77777777" w:rsidTr="00500031">
        <w:tc>
          <w:tcPr>
            <w:tcW w:w="468" w:type="dxa"/>
            <w:vAlign w:val="center"/>
          </w:tcPr>
          <w:p w14:paraId="794FB996" w14:textId="77777777" w:rsidR="009E7C98" w:rsidRDefault="009E7C98" w:rsidP="00500031">
            <w:pPr>
              <w:pStyle w:val="NoSpacing"/>
              <w:jc w:val="center"/>
            </w:pPr>
            <w:r>
              <w:t>2</w:t>
            </w:r>
          </w:p>
        </w:tc>
        <w:tc>
          <w:tcPr>
            <w:tcW w:w="4680" w:type="dxa"/>
            <w:vAlign w:val="center"/>
          </w:tcPr>
          <w:p w14:paraId="028FB000" w14:textId="77777777" w:rsidR="009E7C98" w:rsidRPr="00142663" w:rsidRDefault="009E7C98" w:rsidP="00500031">
            <w:pPr>
              <w:pStyle w:val="NoSpacing"/>
            </w:pPr>
            <w:r w:rsidRPr="00142663">
              <w:t>Each Reexamination Claim in Excess of 20 and Also in Excess of the Number of Claims in the Patent Under Reexamination</w:t>
            </w:r>
            <w:r>
              <w:t xml:space="preserve"> (micro entity)</w:t>
            </w:r>
          </w:p>
        </w:tc>
        <w:tc>
          <w:tcPr>
            <w:tcW w:w="1530" w:type="dxa"/>
            <w:vAlign w:val="center"/>
          </w:tcPr>
          <w:p w14:paraId="5D5F90E4" w14:textId="77777777" w:rsidR="009E7C98" w:rsidRDefault="009E7C98" w:rsidP="00500031">
            <w:pPr>
              <w:pStyle w:val="NoSpacing"/>
              <w:jc w:val="center"/>
            </w:pPr>
            <w:r>
              <w:t>265</w:t>
            </w:r>
          </w:p>
        </w:tc>
        <w:tc>
          <w:tcPr>
            <w:tcW w:w="1440" w:type="dxa"/>
            <w:vAlign w:val="center"/>
          </w:tcPr>
          <w:p w14:paraId="36467111" w14:textId="77777777" w:rsidR="009E7C98" w:rsidRDefault="009E7C98" w:rsidP="00500031">
            <w:pPr>
              <w:pStyle w:val="NoSpacing"/>
              <w:jc w:val="center"/>
            </w:pPr>
            <w:r>
              <w:t>$25.00</w:t>
            </w:r>
          </w:p>
        </w:tc>
        <w:tc>
          <w:tcPr>
            <w:tcW w:w="1458" w:type="dxa"/>
            <w:vAlign w:val="center"/>
          </w:tcPr>
          <w:p w14:paraId="476C7BC8" w14:textId="77777777" w:rsidR="009E7C98" w:rsidRDefault="009E7C98" w:rsidP="00500031">
            <w:pPr>
              <w:pStyle w:val="NoSpacing"/>
              <w:jc w:val="center"/>
            </w:pPr>
            <w:r>
              <w:t>$6,625</w:t>
            </w:r>
          </w:p>
        </w:tc>
      </w:tr>
      <w:tr w:rsidR="009E7C98" w14:paraId="217DE0BD" w14:textId="77777777" w:rsidTr="00500031">
        <w:tc>
          <w:tcPr>
            <w:tcW w:w="468" w:type="dxa"/>
          </w:tcPr>
          <w:p w14:paraId="450F3439" w14:textId="77777777" w:rsidR="009E7C98" w:rsidRPr="00A831EC" w:rsidRDefault="009E7C98" w:rsidP="00500031">
            <w:pPr>
              <w:pStyle w:val="NoSpacing"/>
              <w:rPr>
                <w:b/>
              </w:rPr>
            </w:pPr>
          </w:p>
        </w:tc>
        <w:tc>
          <w:tcPr>
            <w:tcW w:w="4680" w:type="dxa"/>
          </w:tcPr>
          <w:p w14:paraId="73534266" w14:textId="77777777" w:rsidR="009E7C98" w:rsidRPr="00A831EC" w:rsidRDefault="009E7C98" w:rsidP="00500031">
            <w:pPr>
              <w:pStyle w:val="NoSpacing"/>
              <w:rPr>
                <w:b/>
              </w:rPr>
            </w:pPr>
            <w:r>
              <w:rPr>
                <w:b/>
              </w:rPr>
              <w:t>Totals</w:t>
            </w:r>
          </w:p>
        </w:tc>
        <w:tc>
          <w:tcPr>
            <w:tcW w:w="1530" w:type="dxa"/>
            <w:vAlign w:val="center"/>
          </w:tcPr>
          <w:p w14:paraId="5C273F22" w14:textId="77777777" w:rsidR="009E7C98" w:rsidRPr="00A831EC" w:rsidRDefault="009E7C98" w:rsidP="00500031">
            <w:pPr>
              <w:pStyle w:val="NoSpacing"/>
              <w:jc w:val="center"/>
              <w:rPr>
                <w:b/>
              </w:rPr>
            </w:pPr>
            <w:r>
              <w:rPr>
                <w:b/>
              </w:rPr>
              <w:t>4,746</w:t>
            </w:r>
          </w:p>
        </w:tc>
        <w:tc>
          <w:tcPr>
            <w:tcW w:w="1440" w:type="dxa"/>
            <w:vAlign w:val="center"/>
          </w:tcPr>
          <w:p w14:paraId="68ADF3C2" w14:textId="77777777" w:rsidR="009E7C98" w:rsidRPr="00A831EC" w:rsidRDefault="009E7C98" w:rsidP="00500031">
            <w:pPr>
              <w:pStyle w:val="NoSpacing"/>
              <w:jc w:val="center"/>
              <w:rPr>
                <w:b/>
              </w:rPr>
            </w:pPr>
            <w:r>
              <w:rPr>
                <w:b/>
              </w:rPr>
              <w:t>- - -</w:t>
            </w:r>
          </w:p>
        </w:tc>
        <w:tc>
          <w:tcPr>
            <w:tcW w:w="1458" w:type="dxa"/>
            <w:vAlign w:val="center"/>
          </w:tcPr>
          <w:p w14:paraId="746D55B4" w14:textId="77777777" w:rsidR="009E7C98" w:rsidRPr="00A831EC" w:rsidRDefault="009E7C98" w:rsidP="00500031">
            <w:pPr>
              <w:pStyle w:val="NoSpacing"/>
              <w:jc w:val="center"/>
              <w:rPr>
                <w:b/>
              </w:rPr>
            </w:pPr>
            <w:r>
              <w:rPr>
                <w:b/>
              </w:rPr>
              <w:t>$545,015</w:t>
            </w:r>
          </w:p>
        </w:tc>
      </w:tr>
    </w:tbl>
    <w:p w14:paraId="328DA334" w14:textId="77777777" w:rsidR="009E7C98" w:rsidRDefault="009E7C98" w:rsidP="00B43EDF">
      <w:pPr>
        <w:pStyle w:val="NoSpacing"/>
        <w:rPr>
          <w:b/>
        </w:rPr>
      </w:pPr>
    </w:p>
    <w:p w14:paraId="63F049DB" w14:textId="2F634A51" w:rsidR="004539CC" w:rsidRPr="004539CC" w:rsidRDefault="004539CC" w:rsidP="00B43EDF">
      <w:pPr>
        <w:pStyle w:val="NoSpacing"/>
      </w:pPr>
      <w:r>
        <w:rPr>
          <w:b/>
        </w:rPr>
        <w:t xml:space="preserve">Table </w:t>
      </w:r>
      <w:r w:rsidR="009E7C98">
        <w:rPr>
          <w:b/>
        </w:rPr>
        <w:t>4</w:t>
      </w:r>
      <w:r>
        <w:rPr>
          <w:b/>
        </w:rPr>
        <w:t>: Increases in Non-Hourly Costs (Fees)</w:t>
      </w:r>
    </w:p>
    <w:tbl>
      <w:tblPr>
        <w:tblStyle w:val="TableGrid"/>
        <w:tblW w:w="0" w:type="auto"/>
        <w:tblLook w:val="04A0" w:firstRow="1" w:lastRow="0" w:firstColumn="1" w:lastColumn="0" w:noHBand="0" w:noVBand="1"/>
      </w:tblPr>
      <w:tblGrid>
        <w:gridCol w:w="467"/>
        <w:gridCol w:w="4640"/>
        <w:gridCol w:w="1577"/>
        <w:gridCol w:w="1437"/>
        <w:gridCol w:w="1455"/>
      </w:tblGrid>
      <w:tr w:rsidR="0078226E" w14:paraId="31BACB90" w14:textId="77777777" w:rsidTr="0078226E">
        <w:trPr>
          <w:cantSplit/>
        </w:trPr>
        <w:tc>
          <w:tcPr>
            <w:tcW w:w="467" w:type="dxa"/>
            <w:vAlign w:val="center"/>
          </w:tcPr>
          <w:p w14:paraId="461D3134" w14:textId="3D967A55" w:rsidR="004539CC" w:rsidRPr="004539CC" w:rsidRDefault="004539CC" w:rsidP="00677D12">
            <w:pPr>
              <w:pStyle w:val="NoSpacing"/>
              <w:jc w:val="center"/>
              <w:rPr>
                <w:b/>
              </w:rPr>
            </w:pPr>
            <w:r>
              <w:rPr>
                <w:b/>
              </w:rPr>
              <w:t>IC #</w:t>
            </w:r>
          </w:p>
        </w:tc>
        <w:tc>
          <w:tcPr>
            <w:tcW w:w="4640" w:type="dxa"/>
            <w:vAlign w:val="center"/>
          </w:tcPr>
          <w:p w14:paraId="68F57D57" w14:textId="50DFE07A" w:rsidR="004539CC" w:rsidRPr="004539CC" w:rsidRDefault="004539CC" w:rsidP="00677D12">
            <w:pPr>
              <w:pStyle w:val="NoSpacing"/>
              <w:jc w:val="center"/>
              <w:rPr>
                <w:b/>
              </w:rPr>
            </w:pPr>
            <w:r>
              <w:rPr>
                <w:b/>
              </w:rPr>
              <w:t>Item</w:t>
            </w:r>
          </w:p>
        </w:tc>
        <w:tc>
          <w:tcPr>
            <w:tcW w:w="1577" w:type="dxa"/>
            <w:vAlign w:val="center"/>
          </w:tcPr>
          <w:p w14:paraId="2CD67090" w14:textId="37B37ABE" w:rsidR="004539CC" w:rsidRPr="004539CC" w:rsidRDefault="004539CC" w:rsidP="00677D12">
            <w:pPr>
              <w:pStyle w:val="NoSpacing"/>
              <w:jc w:val="center"/>
              <w:rPr>
                <w:b/>
              </w:rPr>
            </w:pPr>
            <w:r>
              <w:rPr>
                <w:b/>
              </w:rPr>
              <w:t>Current Total Cost ($)</w:t>
            </w:r>
          </w:p>
        </w:tc>
        <w:tc>
          <w:tcPr>
            <w:tcW w:w="1437" w:type="dxa"/>
            <w:vAlign w:val="center"/>
          </w:tcPr>
          <w:p w14:paraId="39A904C0" w14:textId="7B789D5E" w:rsidR="004539CC" w:rsidRPr="004539CC" w:rsidRDefault="004539CC" w:rsidP="00677D12">
            <w:pPr>
              <w:pStyle w:val="NoSpacing"/>
              <w:jc w:val="center"/>
              <w:rPr>
                <w:b/>
              </w:rPr>
            </w:pPr>
            <w:r>
              <w:rPr>
                <w:b/>
              </w:rPr>
              <w:t>Proposed Total Cost ($)</w:t>
            </w:r>
          </w:p>
        </w:tc>
        <w:tc>
          <w:tcPr>
            <w:tcW w:w="1455" w:type="dxa"/>
            <w:vAlign w:val="center"/>
          </w:tcPr>
          <w:p w14:paraId="24281BAF" w14:textId="66EC712C" w:rsidR="004539CC" w:rsidRPr="004539CC" w:rsidRDefault="004539CC" w:rsidP="0078226E">
            <w:pPr>
              <w:pStyle w:val="NoSpacing"/>
              <w:jc w:val="center"/>
              <w:rPr>
                <w:b/>
              </w:rPr>
            </w:pPr>
            <w:r>
              <w:rPr>
                <w:b/>
              </w:rPr>
              <w:t xml:space="preserve">Total Cost </w:t>
            </w:r>
            <w:r w:rsidR="0078226E">
              <w:rPr>
                <w:b/>
              </w:rPr>
              <w:t>Change</w:t>
            </w:r>
          </w:p>
        </w:tc>
      </w:tr>
      <w:tr w:rsidR="0078226E" w14:paraId="42AB9F53" w14:textId="77777777" w:rsidTr="0078226E">
        <w:trPr>
          <w:cantSplit/>
        </w:trPr>
        <w:tc>
          <w:tcPr>
            <w:tcW w:w="467" w:type="dxa"/>
            <w:vAlign w:val="center"/>
          </w:tcPr>
          <w:p w14:paraId="6620159F" w14:textId="041E97EB" w:rsidR="0078226E" w:rsidRDefault="0078226E" w:rsidP="00677D12">
            <w:pPr>
              <w:pStyle w:val="NoSpacing"/>
              <w:jc w:val="center"/>
            </w:pPr>
            <w:r>
              <w:t>2</w:t>
            </w:r>
          </w:p>
        </w:tc>
        <w:tc>
          <w:tcPr>
            <w:tcW w:w="4640" w:type="dxa"/>
            <w:vAlign w:val="center"/>
          </w:tcPr>
          <w:p w14:paraId="77EA6B72" w14:textId="24B6CB8B" w:rsidR="0078226E" w:rsidRDefault="0078226E" w:rsidP="00677D12">
            <w:pPr>
              <w:pStyle w:val="NoSpacing"/>
            </w:pPr>
            <w:r w:rsidRPr="00142663">
              <w:t>Each Reexamination Independent Claim in Excess of Three and Also in Excess of the Number of Such Claims in the Patent Under Reexamination</w:t>
            </w:r>
            <w:r>
              <w:t xml:space="preserve"> (large entity)</w:t>
            </w:r>
          </w:p>
        </w:tc>
        <w:tc>
          <w:tcPr>
            <w:tcW w:w="1577" w:type="dxa"/>
            <w:vMerge w:val="restart"/>
            <w:vAlign w:val="center"/>
          </w:tcPr>
          <w:p w14:paraId="65A4B7A4" w14:textId="77777777" w:rsidR="0078226E" w:rsidRPr="0078226E" w:rsidRDefault="0078226E" w:rsidP="00677D12">
            <w:pPr>
              <w:pStyle w:val="NoSpacing"/>
              <w:jc w:val="center"/>
            </w:pPr>
            <w:r w:rsidRPr="0078226E">
              <w:t xml:space="preserve">$196,770* </w:t>
            </w:r>
          </w:p>
          <w:p w14:paraId="7728E9D3" w14:textId="7B260616" w:rsidR="0078226E" w:rsidRPr="00C3166A" w:rsidRDefault="0078226E" w:rsidP="00677D12">
            <w:pPr>
              <w:pStyle w:val="NoSpacing"/>
              <w:jc w:val="center"/>
              <w:rPr>
                <w:highlight w:val="yellow"/>
              </w:rPr>
            </w:pPr>
            <w:r w:rsidRPr="0078226E">
              <w:rPr>
                <w:sz w:val="18"/>
              </w:rPr>
              <w:t>(Cost not broken into large/small/micro)</w:t>
            </w:r>
          </w:p>
        </w:tc>
        <w:tc>
          <w:tcPr>
            <w:tcW w:w="1437" w:type="dxa"/>
            <w:vAlign w:val="center"/>
          </w:tcPr>
          <w:p w14:paraId="779F35C4" w14:textId="1BFCDD1C" w:rsidR="0078226E" w:rsidRDefault="0078226E" w:rsidP="005022F0">
            <w:pPr>
              <w:pStyle w:val="NoSpacing"/>
              <w:jc w:val="center"/>
            </w:pPr>
            <w:r>
              <w:t>$161,000</w:t>
            </w:r>
          </w:p>
        </w:tc>
        <w:tc>
          <w:tcPr>
            <w:tcW w:w="1455" w:type="dxa"/>
            <w:vMerge w:val="restart"/>
            <w:vAlign w:val="center"/>
          </w:tcPr>
          <w:p w14:paraId="31DE929F" w14:textId="38E22AC5" w:rsidR="0078226E" w:rsidRDefault="0078226E" w:rsidP="00D654E5">
            <w:pPr>
              <w:pStyle w:val="NoSpacing"/>
              <w:jc w:val="center"/>
            </w:pPr>
            <w:r>
              <w:t>-$</w:t>
            </w:r>
            <w:r w:rsidR="00D654E5">
              <w:t>2,880</w:t>
            </w:r>
          </w:p>
        </w:tc>
      </w:tr>
      <w:tr w:rsidR="0078226E" w14:paraId="0883E465" w14:textId="77777777" w:rsidTr="0078226E">
        <w:trPr>
          <w:cantSplit/>
        </w:trPr>
        <w:tc>
          <w:tcPr>
            <w:tcW w:w="467" w:type="dxa"/>
            <w:vAlign w:val="center"/>
          </w:tcPr>
          <w:p w14:paraId="4D0C0A85" w14:textId="13AB6B55" w:rsidR="0078226E" w:rsidRDefault="0078226E" w:rsidP="00677D12">
            <w:pPr>
              <w:pStyle w:val="NoSpacing"/>
              <w:jc w:val="center"/>
            </w:pPr>
            <w:r>
              <w:t>2</w:t>
            </w:r>
          </w:p>
        </w:tc>
        <w:tc>
          <w:tcPr>
            <w:tcW w:w="4640" w:type="dxa"/>
            <w:vAlign w:val="center"/>
          </w:tcPr>
          <w:p w14:paraId="61FC6236" w14:textId="3241695B" w:rsidR="0078226E" w:rsidRDefault="0078226E" w:rsidP="00677D12">
            <w:pPr>
              <w:pStyle w:val="NoSpacing"/>
            </w:pPr>
            <w:r w:rsidRPr="00142663">
              <w:t>Each Reexamination Independent Claim in Excess of Three and Also in Excess of the Number of Such Claims in the Patent Under Reexamination</w:t>
            </w:r>
            <w:r>
              <w:t xml:space="preserve"> (small entity)</w:t>
            </w:r>
          </w:p>
        </w:tc>
        <w:tc>
          <w:tcPr>
            <w:tcW w:w="1577" w:type="dxa"/>
            <w:vMerge/>
            <w:vAlign w:val="center"/>
          </w:tcPr>
          <w:p w14:paraId="2A509FEA" w14:textId="00168228" w:rsidR="0078226E" w:rsidRPr="00C3166A" w:rsidRDefault="0078226E" w:rsidP="00677D12">
            <w:pPr>
              <w:pStyle w:val="NoSpacing"/>
              <w:jc w:val="center"/>
              <w:rPr>
                <w:highlight w:val="yellow"/>
              </w:rPr>
            </w:pPr>
          </w:p>
        </w:tc>
        <w:tc>
          <w:tcPr>
            <w:tcW w:w="1437" w:type="dxa"/>
            <w:vAlign w:val="center"/>
          </w:tcPr>
          <w:p w14:paraId="721395DE" w14:textId="01B3BD0B" w:rsidR="0078226E" w:rsidRDefault="0078226E" w:rsidP="005022F0">
            <w:pPr>
              <w:pStyle w:val="NoSpacing"/>
              <w:jc w:val="center"/>
            </w:pPr>
            <w:r>
              <w:t>$29,900</w:t>
            </w:r>
          </w:p>
        </w:tc>
        <w:tc>
          <w:tcPr>
            <w:tcW w:w="1455" w:type="dxa"/>
            <w:vMerge/>
            <w:vAlign w:val="center"/>
          </w:tcPr>
          <w:p w14:paraId="746958E3" w14:textId="0360F65A" w:rsidR="0078226E" w:rsidRDefault="0078226E" w:rsidP="005022F0">
            <w:pPr>
              <w:pStyle w:val="NoSpacing"/>
              <w:jc w:val="center"/>
            </w:pPr>
          </w:p>
        </w:tc>
      </w:tr>
      <w:tr w:rsidR="0078226E" w14:paraId="48FBB5CF" w14:textId="77777777" w:rsidTr="0078226E">
        <w:trPr>
          <w:cantSplit/>
        </w:trPr>
        <w:tc>
          <w:tcPr>
            <w:tcW w:w="467" w:type="dxa"/>
            <w:vAlign w:val="center"/>
          </w:tcPr>
          <w:p w14:paraId="46DDA7C5" w14:textId="12739ADC" w:rsidR="0078226E" w:rsidRDefault="0078226E" w:rsidP="00677D12">
            <w:pPr>
              <w:pStyle w:val="NoSpacing"/>
              <w:jc w:val="center"/>
            </w:pPr>
            <w:r>
              <w:t>2</w:t>
            </w:r>
          </w:p>
        </w:tc>
        <w:tc>
          <w:tcPr>
            <w:tcW w:w="4640" w:type="dxa"/>
            <w:vAlign w:val="center"/>
          </w:tcPr>
          <w:p w14:paraId="407A096F" w14:textId="78089261" w:rsidR="0078226E" w:rsidRDefault="0078226E" w:rsidP="00677D12">
            <w:pPr>
              <w:pStyle w:val="NoSpacing"/>
            </w:pPr>
            <w:r w:rsidRPr="00142663">
              <w:t>Each Reexamination Independent Claim in Excess of Three and Also in Excess of the Number of Such Claims in the Patent Under Reexamination</w:t>
            </w:r>
            <w:r>
              <w:t xml:space="preserve"> (micro entity) </w:t>
            </w:r>
          </w:p>
        </w:tc>
        <w:tc>
          <w:tcPr>
            <w:tcW w:w="1577" w:type="dxa"/>
            <w:vMerge/>
            <w:vAlign w:val="center"/>
          </w:tcPr>
          <w:p w14:paraId="24C8AB23" w14:textId="20FD5159" w:rsidR="0078226E" w:rsidRPr="00C3166A" w:rsidRDefault="0078226E" w:rsidP="00677D12">
            <w:pPr>
              <w:pStyle w:val="NoSpacing"/>
              <w:jc w:val="center"/>
              <w:rPr>
                <w:highlight w:val="yellow"/>
              </w:rPr>
            </w:pPr>
          </w:p>
        </w:tc>
        <w:tc>
          <w:tcPr>
            <w:tcW w:w="1437" w:type="dxa"/>
            <w:vAlign w:val="center"/>
          </w:tcPr>
          <w:p w14:paraId="415A1FF4" w14:textId="1E10D82A" w:rsidR="0078226E" w:rsidRDefault="0078226E" w:rsidP="005022F0">
            <w:pPr>
              <w:pStyle w:val="NoSpacing"/>
              <w:jc w:val="center"/>
            </w:pPr>
            <w:r>
              <w:t>$2,990</w:t>
            </w:r>
          </w:p>
        </w:tc>
        <w:tc>
          <w:tcPr>
            <w:tcW w:w="1455" w:type="dxa"/>
            <w:vMerge/>
            <w:vAlign w:val="center"/>
          </w:tcPr>
          <w:p w14:paraId="39889CFF" w14:textId="4C736272" w:rsidR="0078226E" w:rsidRDefault="0078226E" w:rsidP="005022F0">
            <w:pPr>
              <w:pStyle w:val="NoSpacing"/>
              <w:jc w:val="center"/>
            </w:pPr>
          </w:p>
        </w:tc>
      </w:tr>
      <w:tr w:rsidR="0078226E" w14:paraId="2EB6C27D" w14:textId="77777777" w:rsidTr="0078226E">
        <w:trPr>
          <w:cantSplit/>
        </w:trPr>
        <w:tc>
          <w:tcPr>
            <w:tcW w:w="467" w:type="dxa"/>
            <w:vAlign w:val="center"/>
          </w:tcPr>
          <w:p w14:paraId="7B7A9180" w14:textId="7BE496BC" w:rsidR="0078226E" w:rsidRDefault="0078226E" w:rsidP="00677D12">
            <w:pPr>
              <w:pStyle w:val="NoSpacing"/>
              <w:jc w:val="center"/>
            </w:pPr>
            <w:r>
              <w:t>2</w:t>
            </w:r>
          </w:p>
        </w:tc>
        <w:tc>
          <w:tcPr>
            <w:tcW w:w="4640" w:type="dxa"/>
            <w:vAlign w:val="center"/>
          </w:tcPr>
          <w:p w14:paraId="282CCA65" w14:textId="0B77A21C" w:rsidR="0078226E" w:rsidRDefault="0078226E" w:rsidP="00677D12">
            <w:pPr>
              <w:pStyle w:val="NoSpacing"/>
            </w:pPr>
            <w:r w:rsidRPr="00142663">
              <w:t>Each Reexamination Claim in Excess of 20 and Also in Excess of the Number of Claims in the Patent Under Reexamination</w:t>
            </w:r>
            <w:r>
              <w:t xml:space="preserve"> (large entity)</w:t>
            </w:r>
          </w:p>
        </w:tc>
        <w:tc>
          <w:tcPr>
            <w:tcW w:w="1577" w:type="dxa"/>
            <w:vMerge w:val="restart"/>
            <w:vAlign w:val="center"/>
          </w:tcPr>
          <w:p w14:paraId="6A6126C0" w14:textId="353EABFA" w:rsidR="0078226E" w:rsidRPr="0078226E" w:rsidRDefault="0078226E" w:rsidP="0078226E">
            <w:pPr>
              <w:pStyle w:val="NoSpacing"/>
              <w:jc w:val="center"/>
            </w:pPr>
            <w:r w:rsidRPr="0078226E">
              <w:t>$</w:t>
            </w:r>
            <w:r>
              <w:t>322,480</w:t>
            </w:r>
            <w:r w:rsidRPr="0078226E">
              <w:t xml:space="preserve">* </w:t>
            </w:r>
          </w:p>
          <w:p w14:paraId="595D57EF" w14:textId="2C189467" w:rsidR="0078226E" w:rsidRPr="00C3166A" w:rsidRDefault="0078226E" w:rsidP="0078226E">
            <w:pPr>
              <w:pStyle w:val="NoSpacing"/>
              <w:jc w:val="center"/>
              <w:rPr>
                <w:highlight w:val="yellow"/>
              </w:rPr>
            </w:pPr>
            <w:r w:rsidRPr="0078226E">
              <w:rPr>
                <w:sz w:val="18"/>
              </w:rPr>
              <w:t>(Cost not broken into large/small/micro)</w:t>
            </w:r>
          </w:p>
        </w:tc>
        <w:tc>
          <w:tcPr>
            <w:tcW w:w="1437" w:type="dxa"/>
            <w:vAlign w:val="center"/>
          </w:tcPr>
          <w:p w14:paraId="6D036475" w14:textId="79CD49EB" w:rsidR="0078226E" w:rsidRDefault="0078226E" w:rsidP="005022F0">
            <w:pPr>
              <w:pStyle w:val="NoSpacing"/>
              <w:jc w:val="center"/>
            </w:pPr>
            <w:r>
              <w:t>$291,500</w:t>
            </w:r>
          </w:p>
        </w:tc>
        <w:tc>
          <w:tcPr>
            <w:tcW w:w="1455" w:type="dxa"/>
            <w:vMerge w:val="restart"/>
            <w:vAlign w:val="center"/>
          </w:tcPr>
          <w:p w14:paraId="3631C747" w14:textId="1856B7DF" w:rsidR="0078226E" w:rsidRDefault="0078226E" w:rsidP="0078226E">
            <w:pPr>
              <w:pStyle w:val="NoSpacing"/>
              <w:jc w:val="center"/>
            </w:pPr>
            <w:r>
              <w:t>$</w:t>
            </w:r>
            <w:r w:rsidRPr="0078226E">
              <w:t>28,645</w:t>
            </w:r>
          </w:p>
        </w:tc>
      </w:tr>
      <w:tr w:rsidR="0078226E" w14:paraId="02C4670E" w14:textId="77777777" w:rsidTr="0078226E">
        <w:trPr>
          <w:cantSplit/>
        </w:trPr>
        <w:tc>
          <w:tcPr>
            <w:tcW w:w="467" w:type="dxa"/>
            <w:vAlign w:val="center"/>
          </w:tcPr>
          <w:p w14:paraId="34500B21" w14:textId="0792D0BC" w:rsidR="0078226E" w:rsidRDefault="0078226E" w:rsidP="00677D12">
            <w:pPr>
              <w:pStyle w:val="NoSpacing"/>
              <w:jc w:val="center"/>
            </w:pPr>
            <w:r>
              <w:t>2</w:t>
            </w:r>
          </w:p>
        </w:tc>
        <w:tc>
          <w:tcPr>
            <w:tcW w:w="4640" w:type="dxa"/>
            <w:vAlign w:val="center"/>
          </w:tcPr>
          <w:p w14:paraId="7DC7C308" w14:textId="265E777E" w:rsidR="0078226E" w:rsidRDefault="0078226E" w:rsidP="00677D12">
            <w:pPr>
              <w:pStyle w:val="NoSpacing"/>
            </w:pPr>
            <w:r w:rsidRPr="00142663">
              <w:t>Each Reexamination Claim in Excess of 20 and Also in Excess of the Number of Claims in the Patent Under Reexamination</w:t>
            </w:r>
            <w:r>
              <w:t xml:space="preserve"> (small entity)</w:t>
            </w:r>
          </w:p>
        </w:tc>
        <w:tc>
          <w:tcPr>
            <w:tcW w:w="1577" w:type="dxa"/>
            <w:vMerge/>
            <w:vAlign w:val="center"/>
          </w:tcPr>
          <w:p w14:paraId="73920622" w14:textId="08BCB88B" w:rsidR="0078226E" w:rsidRPr="00C3166A" w:rsidRDefault="0078226E" w:rsidP="00677D12">
            <w:pPr>
              <w:pStyle w:val="NoSpacing"/>
              <w:jc w:val="center"/>
              <w:rPr>
                <w:highlight w:val="yellow"/>
              </w:rPr>
            </w:pPr>
          </w:p>
        </w:tc>
        <w:tc>
          <w:tcPr>
            <w:tcW w:w="1437" w:type="dxa"/>
            <w:vAlign w:val="center"/>
          </w:tcPr>
          <w:p w14:paraId="44024CD9" w14:textId="4888ABBE" w:rsidR="0078226E" w:rsidRDefault="0078226E" w:rsidP="005022F0">
            <w:pPr>
              <w:pStyle w:val="NoSpacing"/>
              <w:jc w:val="center"/>
            </w:pPr>
            <w:r>
              <w:t>$53,000</w:t>
            </w:r>
          </w:p>
        </w:tc>
        <w:tc>
          <w:tcPr>
            <w:tcW w:w="1455" w:type="dxa"/>
            <w:vMerge/>
            <w:vAlign w:val="center"/>
          </w:tcPr>
          <w:p w14:paraId="274AFC79" w14:textId="7707F04C" w:rsidR="0078226E" w:rsidRDefault="0078226E" w:rsidP="005022F0">
            <w:pPr>
              <w:pStyle w:val="NoSpacing"/>
              <w:jc w:val="center"/>
            </w:pPr>
          </w:p>
        </w:tc>
      </w:tr>
      <w:tr w:rsidR="0078226E" w14:paraId="166E35EC" w14:textId="77777777" w:rsidTr="0078226E">
        <w:trPr>
          <w:cantSplit/>
        </w:trPr>
        <w:tc>
          <w:tcPr>
            <w:tcW w:w="467" w:type="dxa"/>
            <w:vAlign w:val="center"/>
          </w:tcPr>
          <w:p w14:paraId="43B2474C" w14:textId="111AE349" w:rsidR="0078226E" w:rsidRDefault="0078226E" w:rsidP="00677D12">
            <w:pPr>
              <w:pStyle w:val="NoSpacing"/>
              <w:jc w:val="center"/>
            </w:pPr>
            <w:r>
              <w:t>2</w:t>
            </w:r>
          </w:p>
        </w:tc>
        <w:tc>
          <w:tcPr>
            <w:tcW w:w="4640" w:type="dxa"/>
            <w:vAlign w:val="center"/>
          </w:tcPr>
          <w:p w14:paraId="296605D4" w14:textId="4F8E1813" w:rsidR="0078226E" w:rsidRDefault="0078226E" w:rsidP="00677D12">
            <w:pPr>
              <w:pStyle w:val="NoSpacing"/>
            </w:pPr>
            <w:r w:rsidRPr="00142663">
              <w:t>Each Reexamination Claim in Excess of 20 and Also in Excess of the Number of Claims in the Patent Under Reexamination</w:t>
            </w:r>
            <w:r>
              <w:t xml:space="preserve"> (micro entity)</w:t>
            </w:r>
          </w:p>
        </w:tc>
        <w:tc>
          <w:tcPr>
            <w:tcW w:w="1577" w:type="dxa"/>
            <w:vMerge/>
            <w:vAlign w:val="center"/>
          </w:tcPr>
          <w:p w14:paraId="49FA70FA" w14:textId="4A1F1F42" w:rsidR="0078226E" w:rsidRPr="00C3166A" w:rsidRDefault="0078226E" w:rsidP="00677D12">
            <w:pPr>
              <w:pStyle w:val="NoSpacing"/>
              <w:jc w:val="center"/>
              <w:rPr>
                <w:highlight w:val="yellow"/>
              </w:rPr>
            </w:pPr>
          </w:p>
        </w:tc>
        <w:tc>
          <w:tcPr>
            <w:tcW w:w="1437" w:type="dxa"/>
            <w:vAlign w:val="center"/>
          </w:tcPr>
          <w:p w14:paraId="27CD144B" w14:textId="0A8815D9" w:rsidR="0078226E" w:rsidRDefault="0078226E" w:rsidP="005022F0">
            <w:pPr>
              <w:pStyle w:val="NoSpacing"/>
              <w:jc w:val="center"/>
            </w:pPr>
            <w:r>
              <w:t>$6,625</w:t>
            </w:r>
          </w:p>
        </w:tc>
        <w:tc>
          <w:tcPr>
            <w:tcW w:w="1455" w:type="dxa"/>
            <w:vMerge/>
            <w:vAlign w:val="center"/>
          </w:tcPr>
          <w:p w14:paraId="01904330" w14:textId="418A1963" w:rsidR="0078226E" w:rsidRDefault="0078226E" w:rsidP="005022F0">
            <w:pPr>
              <w:pStyle w:val="NoSpacing"/>
              <w:jc w:val="center"/>
            </w:pPr>
          </w:p>
        </w:tc>
      </w:tr>
      <w:tr w:rsidR="0078226E" w14:paraId="64375928" w14:textId="77777777" w:rsidTr="0078226E">
        <w:trPr>
          <w:cantSplit/>
        </w:trPr>
        <w:tc>
          <w:tcPr>
            <w:tcW w:w="467" w:type="dxa"/>
            <w:vAlign w:val="center"/>
          </w:tcPr>
          <w:p w14:paraId="5316BDF7" w14:textId="66F83A44" w:rsidR="00C3166A" w:rsidRDefault="00C3166A" w:rsidP="00677D12">
            <w:pPr>
              <w:pStyle w:val="NoSpacing"/>
              <w:jc w:val="center"/>
            </w:pPr>
            <w:r>
              <w:t>2</w:t>
            </w:r>
          </w:p>
        </w:tc>
        <w:tc>
          <w:tcPr>
            <w:tcW w:w="4640" w:type="dxa"/>
            <w:vAlign w:val="center"/>
          </w:tcPr>
          <w:p w14:paraId="2A829B8D" w14:textId="28985A06" w:rsidR="00C3166A" w:rsidRPr="00142663" w:rsidRDefault="00C3166A" w:rsidP="00677D12">
            <w:pPr>
              <w:pStyle w:val="NoSpacing"/>
            </w:pPr>
            <w:r w:rsidRPr="005022F0">
              <w:t>Ex Parte Reexamination (§ 1.510(a)) Streamlined (</w:t>
            </w:r>
            <w:r>
              <w:t>large</w:t>
            </w:r>
            <w:r w:rsidRPr="005022F0">
              <w:t xml:space="preserve"> entity)</w:t>
            </w:r>
          </w:p>
        </w:tc>
        <w:tc>
          <w:tcPr>
            <w:tcW w:w="1577" w:type="dxa"/>
            <w:vAlign w:val="center"/>
          </w:tcPr>
          <w:p w14:paraId="6F963C7F" w14:textId="427B8EBD" w:rsidR="00C3166A" w:rsidRDefault="00C3166A" w:rsidP="00677D12">
            <w:pPr>
              <w:pStyle w:val="NoSpacing"/>
              <w:jc w:val="center"/>
            </w:pPr>
            <w:r>
              <w:t>$0</w:t>
            </w:r>
          </w:p>
        </w:tc>
        <w:tc>
          <w:tcPr>
            <w:tcW w:w="1437" w:type="dxa"/>
            <w:vAlign w:val="center"/>
          </w:tcPr>
          <w:p w14:paraId="719BD0E4" w14:textId="0944CC63" w:rsidR="00C3166A" w:rsidRDefault="00C3166A" w:rsidP="005022F0">
            <w:pPr>
              <w:pStyle w:val="NoSpacing"/>
              <w:jc w:val="center"/>
            </w:pPr>
            <w:r>
              <w:t>$252,000</w:t>
            </w:r>
          </w:p>
        </w:tc>
        <w:tc>
          <w:tcPr>
            <w:tcW w:w="1455" w:type="dxa"/>
            <w:vAlign w:val="center"/>
          </w:tcPr>
          <w:p w14:paraId="01A9A54E" w14:textId="32995861" w:rsidR="00C3166A" w:rsidRDefault="00C3166A" w:rsidP="005022F0">
            <w:pPr>
              <w:pStyle w:val="NoSpacing"/>
              <w:jc w:val="center"/>
            </w:pPr>
            <w:r>
              <w:t>$252,000</w:t>
            </w:r>
          </w:p>
        </w:tc>
      </w:tr>
      <w:tr w:rsidR="0078226E" w14:paraId="72A8A68D" w14:textId="77777777" w:rsidTr="0078226E">
        <w:trPr>
          <w:cantSplit/>
        </w:trPr>
        <w:tc>
          <w:tcPr>
            <w:tcW w:w="467" w:type="dxa"/>
            <w:vAlign w:val="center"/>
          </w:tcPr>
          <w:p w14:paraId="130790FA" w14:textId="5BE041DB" w:rsidR="00C3166A" w:rsidRDefault="00C3166A" w:rsidP="00677D12">
            <w:pPr>
              <w:pStyle w:val="NoSpacing"/>
              <w:jc w:val="center"/>
            </w:pPr>
            <w:r>
              <w:t>2</w:t>
            </w:r>
          </w:p>
        </w:tc>
        <w:tc>
          <w:tcPr>
            <w:tcW w:w="4640" w:type="dxa"/>
            <w:vAlign w:val="center"/>
          </w:tcPr>
          <w:p w14:paraId="24517CB2" w14:textId="77C2594A" w:rsidR="00C3166A" w:rsidRPr="00142663" w:rsidRDefault="00C3166A" w:rsidP="00677D12">
            <w:pPr>
              <w:pStyle w:val="NoSpacing"/>
            </w:pPr>
            <w:r w:rsidRPr="005022F0">
              <w:t>Ex Parte Reexamination (§ 1.510(a)) Streamlined (</w:t>
            </w:r>
            <w:r>
              <w:t>small</w:t>
            </w:r>
            <w:r w:rsidRPr="005022F0">
              <w:t xml:space="preserve"> entity)</w:t>
            </w:r>
          </w:p>
        </w:tc>
        <w:tc>
          <w:tcPr>
            <w:tcW w:w="1577" w:type="dxa"/>
            <w:vAlign w:val="center"/>
          </w:tcPr>
          <w:p w14:paraId="65298324" w14:textId="5CEA669C" w:rsidR="00C3166A" w:rsidRDefault="00C3166A" w:rsidP="00677D12">
            <w:pPr>
              <w:pStyle w:val="NoSpacing"/>
              <w:jc w:val="center"/>
            </w:pPr>
            <w:r>
              <w:t>$0</w:t>
            </w:r>
          </w:p>
        </w:tc>
        <w:tc>
          <w:tcPr>
            <w:tcW w:w="1437" w:type="dxa"/>
            <w:vAlign w:val="center"/>
          </w:tcPr>
          <w:p w14:paraId="0498EB0D" w14:textId="2F61ADE9" w:rsidR="00C3166A" w:rsidRDefault="00C3166A" w:rsidP="005022F0">
            <w:pPr>
              <w:pStyle w:val="NoSpacing"/>
              <w:jc w:val="center"/>
            </w:pPr>
            <w:r>
              <w:t>$81,000</w:t>
            </w:r>
          </w:p>
        </w:tc>
        <w:tc>
          <w:tcPr>
            <w:tcW w:w="1455" w:type="dxa"/>
            <w:vAlign w:val="center"/>
          </w:tcPr>
          <w:p w14:paraId="797E0592" w14:textId="3FE04785" w:rsidR="00C3166A" w:rsidRDefault="00C3166A" w:rsidP="005022F0">
            <w:pPr>
              <w:pStyle w:val="NoSpacing"/>
              <w:jc w:val="center"/>
            </w:pPr>
            <w:r>
              <w:t>$81,000</w:t>
            </w:r>
          </w:p>
        </w:tc>
      </w:tr>
      <w:tr w:rsidR="0078226E" w14:paraId="3FB6D27B" w14:textId="77777777" w:rsidTr="0078226E">
        <w:trPr>
          <w:cantSplit/>
        </w:trPr>
        <w:tc>
          <w:tcPr>
            <w:tcW w:w="467" w:type="dxa"/>
            <w:vAlign w:val="center"/>
          </w:tcPr>
          <w:p w14:paraId="4B0A5A72" w14:textId="454B51C3" w:rsidR="00C3166A" w:rsidRDefault="00C3166A" w:rsidP="00677D12">
            <w:pPr>
              <w:pStyle w:val="NoSpacing"/>
              <w:jc w:val="center"/>
            </w:pPr>
            <w:r>
              <w:t>2</w:t>
            </w:r>
          </w:p>
        </w:tc>
        <w:tc>
          <w:tcPr>
            <w:tcW w:w="4640" w:type="dxa"/>
            <w:vAlign w:val="center"/>
          </w:tcPr>
          <w:p w14:paraId="673C9E8E" w14:textId="75E8662A" w:rsidR="00C3166A" w:rsidRPr="00142663" w:rsidRDefault="00C3166A" w:rsidP="00677D12">
            <w:pPr>
              <w:pStyle w:val="NoSpacing"/>
            </w:pPr>
            <w:r w:rsidRPr="005022F0">
              <w:t>Ex Parte Reexamination (§ 1.510(a)) Streamlined</w:t>
            </w:r>
            <w:r>
              <w:t xml:space="preserve"> (micro entity)</w:t>
            </w:r>
          </w:p>
        </w:tc>
        <w:tc>
          <w:tcPr>
            <w:tcW w:w="1577" w:type="dxa"/>
            <w:vAlign w:val="center"/>
          </w:tcPr>
          <w:p w14:paraId="1B9B90F2" w14:textId="6BDB4D87" w:rsidR="00C3166A" w:rsidRDefault="00C3166A" w:rsidP="00677D12">
            <w:pPr>
              <w:pStyle w:val="NoSpacing"/>
              <w:jc w:val="center"/>
            </w:pPr>
            <w:r w:rsidRPr="004819AA">
              <w:t>$0</w:t>
            </w:r>
          </w:p>
        </w:tc>
        <w:tc>
          <w:tcPr>
            <w:tcW w:w="1437" w:type="dxa"/>
            <w:vAlign w:val="center"/>
          </w:tcPr>
          <w:p w14:paraId="3A1441D9" w14:textId="5159831C" w:rsidR="00C3166A" w:rsidRDefault="00C3166A" w:rsidP="005022F0">
            <w:pPr>
              <w:pStyle w:val="NoSpacing"/>
              <w:jc w:val="center"/>
            </w:pPr>
            <w:r>
              <w:t>$1,500</w:t>
            </w:r>
          </w:p>
        </w:tc>
        <w:tc>
          <w:tcPr>
            <w:tcW w:w="1455" w:type="dxa"/>
            <w:vAlign w:val="center"/>
          </w:tcPr>
          <w:p w14:paraId="362EE292" w14:textId="1A24A1B2" w:rsidR="00C3166A" w:rsidRDefault="00C3166A" w:rsidP="005022F0">
            <w:pPr>
              <w:pStyle w:val="NoSpacing"/>
              <w:jc w:val="center"/>
            </w:pPr>
            <w:r>
              <w:t>$1,500</w:t>
            </w:r>
          </w:p>
        </w:tc>
      </w:tr>
      <w:tr w:rsidR="0078226E" w14:paraId="73F1B445" w14:textId="77777777" w:rsidTr="0078226E">
        <w:trPr>
          <w:cantSplit/>
        </w:trPr>
        <w:tc>
          <w:tcPr>
            <w:tcW w:w="467" w:type="dxa"/>
            <w:vAlign w:val="center"/>
          </w:tcPr>
          <w:p w14:paraId="63B5918C" w14:textId="758C928F" w:rsidR="00C3166A" w:rsidRDefault="00C3166A" w:rsidP="00677D12">
            <w:pPr>
              <w:pStyle w:val="NoSpacing"/>
              <w:jc w:val="center"/>
            </w:pPr>
            <w:r>
              <w:t>2</w:t>
            </w:r>
          </w:p>
        </w:tc>
        <w:tc>
          <w:tcPr>
            <w:tcW w:w="4640" w:type="dxa"/>
            <w:vAlign w:val="center"/>
          </w:tcPr>
          <w:p w14:paraId="479D9208" w14:textId="6FA443E1" w:rsidR="00C3166A" w:rsidRPr="00142663" w:rsidRDefault="00C3166A" w:rsidP="00677D12">
            <w:pPr>
              <w:pStyle w:val="NoSpacing"/>
            </w:pPr>
            <w:r w:rsidRPr="005022F0">
              <w:t xml:space="preserve">Ex Parte Reexamination (§ 1.510(a)) </w:t>
            </w:r>
            <w:r>
              <w:t>Non-</w:t>
            </w:r>
            <w:r w:rsidRPr="005022F0">
              <w:t>Streamlined (</w:t>
            </w:r>
            <w:r>
              <w:t>large</w:t>
            </w:r>
            <w:r w:rsidRPr="005022F0">
              <w:t xml:space="preserve"> entity)</w:t>
            </w:r>
          </w:p>
        </w:tc>
        <w:tc>
          <w:tcPr>
            <w:tcW w:w="1577" w:type="dxa"/>
            <w:vAlign w:val="center"/>
          </w:tcPr>
          <w:p w14:paraId="02F82583" w14:textId="68B13A0E" w:rsidR="00C3166A" w:rsidRDefault="00C3166A" w:rsidP="00677D12">
            <w:pPr>
              <w:pStyle w:val="NoSpacing"/>
              <w:jc w:val="center"/>
            </w:pPr>
            <w:r w:rsidRPr="004819AA">
              <w:t>$0</w:t>
            </w:r>
          </w:p>
        </w:tc>
        <w:tc>
          <w:tcPr>
            <w:tcW w:w="1437" w:type="dxa"/>
            <w:vAlign w:val="center"/>
          </w:tcPr>
          <w:p w14:paraId="04C3B596" w14:textId="72079D3D" w:rsidR="00C3166A" w:rsidRDefault="00C3166A" w:rsidP="005022F0">
            <w:pPr>
              <w:pStyle w:val="NoSpacing"/>
              <w:jc w:val="center"/>
            </w:pPr>
            <w:r>
              <w:t>$936,000</w:t>
            </w:r>
          </w:p>
        </w:tc>
        <w:tc>
          <w:tcPr>
            <w:tcW w:w="1455" w:type="dxa"/>
            <w:vAlign w:val="center"/>
          </w:tcPr>
          <w:p w14:paraId="6319E84D" w14:textId="0A5BDE1E" w:rsidR="00C3166A" w:rsidRDefault="00C3166A" w:rsidP="005022F0">
            <w:pPr>
              <w:pStyle w:val="NoSpacing"/>
              <w:jc w:val="center"/>
            </w:pPr>
            <w:r>
              <w:t>$936,000</w:t>
            </w:r>
          </w:p>
        </w:tc>
      </w:tr>
      <w:tr w:rsidR="0078226E" w14:paraId="129AFFD4" w14:textId="77777777" w:rsidTr="0078226E">
        <w:trPr>
          <w:cantSplit/>
        </w:trPr>
        <w:tc>
          <w:tcPr>
            <w:tcW w:w="467" w:type="dxa"/>
            <w:vAlign w:val="center"/>
          </w:tcPr>
          <w:p w14:paraId="1A9DBF9E" w14:textId="2CDF674B" w:rsidR="00C3166A" w:rsidRDefault="00C3166A" w:rsidP="00677D12">
            <w:pPr>
              <w:pStyle w:val="NoSpacing"/>
              <w:jc w:val="center"/>
            </w:pPr>
            <w:r>
              <w:t>2</w:t>
            </w:r>
          </w:p>
        </w:tc>
        <w:tc>
          <w:tcPr>
            <w:tcW w:w="4640" w:type="dxa"/>
            <w:vAlign w:val="center"/>
          </w:tcPr>
          <w:p w14:paraId="30CCD050" w14:textId="0BCCFADD" w:rsidR="00C3166A" w:rsidRPr="00142663" w:rsidRDefault="00C3166A" w:rsidP="00677D12">
            <w:pPr>
              <w:pStyle w:val="NoSpacing"/>
            </w:pPr>
            <w:r w:rsidRPr="005022F0">
              <w:t xml:space="preserve">Ex Parte Reexamination (§ 1.510(a)) </w:t>
            </w:r>
            <w:r>
              <w:t>Non-</w:t>
            </w:r>
            <w:r w:rsidRPr="005022F0">
              <w:t>Streamlined (</w:t>
            </w:r>
            <w:r>
              <w:t>small</w:t>
            </w:r>
            <w:r w:rsidRPr="005022F0">
              <w:t xml:space="preserve"> entity)</w:t>
            </w:r>
          </w:p>
        </w:tc>
        <w:tc>
          <w:tcPr>
            <w:tcW w:w="1577" w:type="dxa"/>
            <w:vAlign w:val="center"/>
          </w:tcPr>
          <w:p w14:paraId="3C606494" w14:textId="6AADA14E" w:rsidR="00C3166A" w:rsidRDefault="00C3166A" w:rsidP="00677D12">
            <w:pPr>
              <w:pStyle w:val="NoSpacing"/>
              <w:jc w:val="center"/>
            </w:pPr>
            <w:r w:rsidRPr="004819AA">
              <w:t>$0</w:t>
            </w:r>
          </w:p>
        </w:tc>
        <w:tc>
          <w:tcPr>
            <w:tcW w:w="1437" w:type="dxa"/>
            <w:vAlign w:val="center"/>
          </w:tcPr>
          <w:p w14:paraId="58FF6199" w14:textId="292825B9" w:rsidR="00C3166A" w:rsidRDefault="00C3166A" w:rsidP="005022F0">
            <w:pPr>
              <w:pStyle w:val="NoSpacing"/>
              <w:jc w:val="center"/>
            </w:pPr>
            <w:r>
              <w:t>$306,000</w:t>
            </w:r>
          </w:p>
        </w:tc>
        <w:tc>
          <w:tcPr>
            <w:tcW w:w="1455" w:type="dxa"/>
            <w:vAlign w:val="center"/>
          </w:tcPr>
          <w:p w14:paraId="585010A2" w14:textId="0164DE13" w:rsidR="00C3166A" w:rsidRDefault="00C3166A" w:rsidP="005022F0">
            <w:pPr>
              <w:pStyle w:val="NoSpacing"/>
              <w:jc w:val="center"/>
            </w:pPr>
            <w:r>
              <w:t>$306,000</w:t>
            </w:r>
          </w:p>
        </w:tc>
      </w:tr>
      <w:tr w:rsidR="0078226E" w14:paraId="16D8F8BC" w14:textId="77777777" w:rsidTr="0078226E">
        <w:trPr>
          <w:cantSplit/>
        </w:trPr>
        <w:tc>
          <w:tcPr>
            <w:tcW w:w="467" w:type="dxa"/>
            <w:vAlign w:val="center"/>
          </w:tcPr>
          <w:p w14:paraId="5F552DD9" w14:textId="118A7EF1" w:rsidR="00C3166A" w:rsidRDefault="00C3166A" w:rsidP="00677D12">
            <w:pPr>
              <w:pStyle w:val="NoSpacing"/>
              <w:jc w:val="center"/>
            </w:pPr>
            <w:r>
              <w:t>2</w:t>
            </w:r>
          </w:p>
        </w:tc>
        <w:tc>
          <w:tcPr>
            <w:tcW w:w="4640" w:type="dxa"/>
            <w:vAlign w:val="center"/>
          </w:tcPr>
          <w:p w14:paraId="61CCC2C2" w14:textId="51C0A7F5" w:rsidR="00C3166A" w:rsidRPr="00142663" w:rsidRDefault="00C3166A" w:rsidP="00677D12">
            <w:pPr>
              <w:pStyle w:val="NoSpacing"/>
            </w:pPr>
            <w:r w:rsidRPr="005022F0">
              <w:t xml:space="preserve">Ex Parte Reexamination (§ 1.510(a)) </w:t>
            </w:r>
            <w:r>
              <w:t>Non-</w:t>
            </w:r>
            <w:r w:rsidRPr="005022F0">
              <w:t>Streamlined</w:t>
            </w:r>
            <w:r>
              <w:t xml:space="preserve"> (micro entity)</w:t>
            </w:r>
          </w:p>
        </w:tc>
        <w:tc>
          <w:tcPr>
            <w:tcW w:w="1577" w:type="dxa"/>
            <w:vAlign w:val="center"/>
          </w:tcPr>
          <w:p w14:paraId="07588005" w14:textId="366DA726" w:rsidR="00C3166A" w:rsidRDefault="00C3166A" w:rsidP="00677D12">
            <w:pPr>
              <w:pStyle w:val="NoSpacing"/>
              <w:jc w:val="center"/>
            </w:pPr>
            <w:r w:rsidRPr="004819AA">
              <w:t>$0</w:t>
            </w:r>
          </w:p>
        </w:tc>
        <w:tc>
          <w:tcPr>
            <w:tcW w:w="1437" w:type="dxa"/>
            <w:vAlign w:val="center"/>
          </w:tcPr>
          <w:p w14:paraId="6933F6BD" w14:textId="043BE7BA" w:rsidR="00C3166A" w:rsidRDefault="00C3166A" w:rsidP="005022F0">
            <w:pPr>
              <w:pStyle w:val="NoSpacing"/>
              <w:jc w:val="center"/>
            </w:pPr>
            <w:r>
              <w:t>$3,000</w:t>
            </w:r>
          </w:p>
        </w:tc>
        <w:tc>
          <w:tcPr>
            <w:tcW w:w="1455" w:type="dxa"/>
            <w:vAlign w:val="center"/>
          </w:tcPr>
          <w:p w14:paraId="098D8FF9" w14:textId="15A822B9" w:rsidR="00C3166A" w:rsidRDefault="00C3166A" w:rsidP="005022F0">
            <w:pPr>
              <w:pStyle w:val="NoSpacing"/>
              <w:jc w:val="center"/>
            </w:pPr>
            <w:r>
              <w:t>$3,000</w:t>
            </w:r>
          </w:p>
        </w:tc>
      </w:tr>
      <w:tr w:rsidR="0078226E" w14:paraId="08CD88D2" w14:textId="77777777" w:rsidTr="0078226E">
        <w:trPr>
          <w:cantSplit/>
        </w:trPr>
        <w:tc>
          <w:tcPr>
            <w:tcW w:w="467" w:type="dxa"/>
            <w:vAlign w:val="center"/>
          </w:tcPr>
          <w:p w14:paraId="1D175C08" w14:textId="77777777" w:rsidR="00652EA6" w:rsidRPr="004539CC" w:rsidRDefault="00652EA6" w:rsidP="00677D12">
            <w:pPr>
              <w:pStyle w:val="NoSpacing"/>
              <w:jc w:val="center"/>
              <w:rPr>
                <w:b/>
              </w:rPr>
            </w:pPr>
          </w:p>
        </w:tc>
        <w:tc>
          <w:tcPr>
            <w:tcW w:w="4640" w:type="dxa"/>
            <w:vAlign w:val="center"/>
          </w:tcPr>
          <w:p w14:paraId="24324DDA" w14:textId="09349D19" w:rsidR="00652EA6" w:rsidRPr="004539CC" w:rsidRDefault="00652EA6" w:rsidP="00677D12">
            <w:pPr>
              <w:pStyle w:val="NoSpacing"/>
              <w:rPr>
                <w:b/>
              </w:rPr>
            </w:pPr>
            <w:r>
              <w:rPr>
                <w:b/>
              </w:rPr>
              <w:t>Total</w:t>
            </w:r>
            <w:r w:rsidR="004819AA">
              <w:rPr>
                <w:b/>
              </w:rPr>
              <w:t>s</w:t>
            </w:r>
          </w:p>
        </w:tc>
        <w:tc>
          <w:tcPr>
            <w:tcW w:w="1577" w:type="dxa"/>
            <w:vAlign w:val="center"/>
          </w:tcPr>
          <w:p w14:paraId="38E16319" w14:textId="7E9915AA" w:rsidR="00652EA6" w:rsidRPr="004539CC" w:rsidRDefault="00C3166A" w:rsidP="0078226E">
            <w:pPr>
              <w:pStyle w:val="NoSpacing"/>
              <w:jc w:val="center"/>
              <w:rPr>
                <w:b/>
              </w:rPr>
            </w:pPr>
            <w:r>
              <w:rPr>
                <w:b/>
              </w:rPr>
              <w:t>$</w:t>
            </w:r>
            <w:r w:rsidR="0078226E">
              <w:rPr>
                <w:b/>
              </w:rPr>
              <w:t>519,250</w:t>
            </w:r>
          </w:p>
        </w:tc>
        <w:tc>
          <w:tcPr>
            <w:tcW w:w="1437" w:type="dxa"/>
            <w:vAlign w:val="center"/>
          </w:tcPr>
          <w:p w14:paraId="39A38F6F" w14:textId="457ADAB0" w:rsidR="00652EA6" w:rsidRPr="00693F3A" w:rsidRDefault="00C3166A" w:rsidP="005022F0">
            <w:pPr>
              <w:pStyle w:val="NoSpacing"/>
              <w:jc w:val="center"/>
              <w:rPr>
                <w:b/>
              </w:rPr>
            </w:pPr>
            <w:r w:rsidRPr="00693F3A">
              <w:rPr>
                <w:b/>
              </w:rPr>
              <w:t>$2,124,515</w:t>
            </w:r>
          </w:p>
        </w:tc>
        <w:tc>
          <w:tcPr>
            <w:tcW w:w="1455" w:type="dxa"/>
            <w:vAlign w:val="center"/>
          </w:tcPr>
          <w:p w14:paraId="52C27349" w14:textId="3062EB68" w:rsidR="00652EA6" w:rsidRPr="00693F3A" w:rsidRDefault="00C3166A" w:rsidP="005022F0">
            <w:pPr>
              <w:pStyle w:val="NoSpacing"/>
              <w:jc w:val="center"/>
              <w:rPr>
                <w:b/>
              </w:rPr>
            </w:pPr>
            <w:r w:rsidRPr="00693F3A">
              <w:rPr>
                <w:b/>
              </w:rPr>
              <w:t>$</w:t>
            </w:r>
            <w:r w:rsidR="001D50AA" w:rsidRPr="00693F3A">
              <w:rPr>
                <w:b/>
              </w:rPr>
              <w:t>1,605,265</w:t>
            </w:r>
          </w:p>
        </w:tc>
      </w:tr>
    </w:tbl>
    <w:p w14:paraId="5F914AD2" w14:textId="77777777" w:rsidR="004539CC" w:rsidRDefault="004539CC" w:rsidP="00B43EDF">
      <w:pPr>
        <w:pStyle w:val="NoSpacing"/>
        <w:rPr>
          <w:b/>
        </w:rPr>
      </w:pPr>
    </w:p>
    <w:p w14:paraId="36155B1B" w14:textId="77777777" w:rsidR="00B43EDF" w:rsidRDefault="00B43EDF" w:rsidP="00B43EDF">
      <w:pPr>
        <w:pStyle w:val="NoSpacing"/>
        <w:jc w:val="both"/>
        <w:rPr>
          <w:rFonts w:cs="Arial"/>
        </w:rPr>
      </w:pPr>
      <w:r>
        <w:rPr>
          <w:rFonts w:cs="Arial"/>
          <w:u w:val="single"/>
        </w:rPr>
        <w:t>Summary of Changes</w:t>
      </w:r>
    </w:p>
    <w:p w14:paraId="36155B1C" w14:textId="77777777" w:rsidR="00B43EDF" w:rsidRDefault="00B43EDF" w:rsidP="00B43EDF">
      <w:pPr>
        <w:pStyle w:val="NoSpacing"/>
        <w:jc w:val="both"/>
        <w:rPr>
          <w:rFonts w:cs="Arial"/>
        </w:rPr>
      </w:pPr>
    </w:p>
    <w:p w14:paraId="48B7C386" w14:textId="49521F6D" w:rsidR="008C2BE8" w:rsidRDefault="008C2BE8" w:rsidP="00B43EDF">
      <w:pPr>
        <w:pStyle w:val="NoSpacing"/>
        <w:jc w:val="both"/>
        <w:rPr>
          <w:rFonts w:cs="Arial"/>
        </w:rPr>
      </w:pPr>
      <w:r>
        <w:rPr>
          <w:rFonts w:cs="Arial"/>
        </w:rPr>
        <w:t>The revision of two fees and</w:t>
      </w:r>
      <w:r w:rsidR="009E7C98">
        <w:rPr>
          <w:rFonts w:cs="Arial"/>
        </w:rPr>
        <w:t xml:space="preserve"> the addition of two fees led to</w:t>
      </w:r>
      <w:r>
        <w:rPr>
          <w:rFonts w:cs="Arial"/>
        </w:rPr>
        <w:t xml:space="preserve"> the </w:t>
      </w:r>
      <w:r w:rsidR="00652EA6">
        <w:rPr>
          <w:rFonts w:cs="Arial"/>
        </w:rPr>
        <w:t xml:space="preserve">increase of </w:t>
      </w:r>
      <w:r w:rsidR="0093695A" w:rsidRPr="0093695A">
        <w:rPr>
          <w:rFonts w:cs="Arial"/>
        </w:rPr>
        <w:t xml:space="preserve">$1,605,265 </w:t>
      </w:r>
      <w:r>
        <w:rPr>
          <w:rFonts w:cs="Arial"/>
        </w:rPr>
        <w:t>in non-hourly costs to collection 0651-0064</w:t>
      </w:r>
      <w:r w:rsidR="009E7C98">
        <w:rPr>
          <w:rFonts w:cs="Arial"/>
        </w:rPr>
        <w:t>. This is to</w:t>
      </w:r>
      <w:r>
        <w:rPr>
          <w:rFonts w:cs="Arial"/>
        </w:rPr>
        <w:t xml:space="preserve"> account for changes following the rulemaking action NPRM 0651-AD02.</w:t>
      </w:r>
    </w:p>
    <w:p w14:paraId="4CD4BABB" w14:textId="77777777" w:rsidR="008C2BE8" w:rsidRDefault="008C2BE8" w:rsidP="00B43EDF">
      <w:pPr>
        <w:pStyle w:val="NoSpacing"/>
        <w:jc w:val="both"/>
        <w:rPr>
          <w:rFonts w:cs="Arial"/>
        </w:rPr>
      </w:pPr>
    </w:p>
    <w:p w14:paraId="36155B1D" w14:textId="77777777" w:rsidR="00B43EDF" w:rsidRPr="00225708" w:rsidRDefault="00B43EDF" w:rsidP="00B43EDF">
      <w:pPr>
        <w:pStyle w:val="NoSpacing"/>
        <w:jc w:val="both"/>
        <w:rPr>
          <w:rFonts w:cs="Arial"/>
        </w:rPr>
      </w:pPr>
      <w:r>
        <w:rPr>
          <w:rFonts w:cs="Arial"/>
          <w:u w:val="single"/>
        </w:rPr>
        <w:t>Changes in Burden</w:t>
      </w:r>
    </w:p>
    <w:p w14:paraId="36155B1E" w14:textId="77777777" w:rsidR="00B43EDF" w:rsidRDefault="00B43EDF" w:rsidP="00B43EDF">
      <w:pPr>
        <w:pStyle w:val="NoSpacing"/>
        <w:rPr>
          <w:b/>
        </w:rPr>
      </w:pPr>
    </w:p>
    <w:tbl>
      <w:tblPr>
        <w:tblStyle w:val="TableGrid"/>
        <w:tblW w:w="0" w:type="auto"/>
        <w:tblLook w:val="04A0" w:firstRow="1" w:lastRow="0" w:firstColumn="1" w:lastColumn="0" w:noHBand="0" w:noVBand="1"/>
      </w:tblPr>
      <w:tblGrid>
        <w:gridCol w:w="2394"/>
        <w:gridCol w:w="2394"/>
        <w:gridCol w:w="2394"/>
        <w:gridCol w:w="2394"/>
      </w:tblGrid>
      <w:tr w:rsidR="00FF3B36" w14:paraId="4A589511" w14:textId="77777777" w:rsidTr="00FF3B36">
        <w:tc>
          <w:tcPr>
            <w:tcW w:w="2394" w:type="dxa"/>
            <w:vAlign w:val="center"/>
          </w:tcPr>
          <w:p w14:paraId="6056DAFB" w14:textId="657EA806" w:rsidR="00FF3B36" w:rsidRDefault="00FF3B36" w:rsidP="00FF3B36">
            <w:pPr>
              <w:pStyle w:val="NoSpacing"/>
              <w:jc w:val="center"/>
              <w:rPr>
                <w:b/>
              </w:rPr>
            </w:pPr>
            <w:r>
              <w:rPr>
                <w:b/>
              </w:rPr>
              <w:t>Burden Type</w:t>
            </w:r>
          </w:p>
        </w:tc>
        <w:tc>
          <w:tcPr>
            <w:tcW w:w="2394" w:type="dxa"/>
            <w:vAlign w:val="center"/>
          </w:tcPr>
          <w:p w14:paraId="7F1BA7AC" w14:textId="4700D37C" w:rsidR="00FF3B36" w:rsidRDefault="00FF3B36" w:rsidP="00FF3B36">
            <w:pPr>
              <w:pStyle w:val="NoSpacing"/>
              <w:jc w:val="center"/>
              <w:rPr>
                <w:b/>
              </w:rPr>
            </w:pPr>
            <w:r>
              <w:rPr>
                <w:b/>
              </w:rPr>
              <w:t>Currently Approved</w:t>
            </w:r>
          </w:p>
        </w:tc>
        <w:tc>
          <w:tcPr>
            <w:tcW w:w="2394" w:type="dxa"/>
            <w:vAlign w:val="center"/>
          </w:tcPr>
          <w:p w14:paraId="62FC5F2D" w14:textId="297CCA52" w:rsidR="00FF3B36" w:rsidRDefault="002F59B1" w:rsidP="00FF3B36">
            <w:pPr>
              <w:pStyle w:val="NoSpacing"/>
              <w:jc w:val="center"/>
              <w:rPr>
                <w:b/>
              </w:rPr>
            </w:pPr>
            <w:r>
              <w:rPr>
                <w:b/>
              </w:rPr>
              <w:t>Proposed Change</w:t>
            </w:r>
          </w:p>
        </w:tc>
        <w:tc>
          <w:tcPr>
            <w:tcW w:w="2394" w:type="dxa"/>
            <w:vAlign w:val="center"/>
          </w:tcPr>
          <w:p w14:paraId="06DC3E8F" w14:textId="336A785E" w:rsidR="00FF3B36" w:rsidRDefault="002F59B1" w:rsidP="00FF3B36">
            <w:pPr>
              <w:pStyle w:val="NoSpacing"/>
              <w:jc w:val="center"/>
              <w:rPr>
                <w:b/>
              </w:rPr>
            </w:pPr>
            <w:r>
              <w:rPr>
                <w:b/>
              </w:rPr>
              <w:t>New Estimate</w:t>
            </w:r>
          </w:p>
        </w:tc>
      </w:tr>
      <w:tr w:rsidR="007B6799" w14:paraId="06F48826" w14:textId="77777777" w:rsidTr="00652EA6">
        <w:trPr>
          <w:trHeight w:val="242"/>
        </w:trPr>
        <w:tc>
          <w:tcPr>
            <w:tcW w:w="2394" w:type="dxa"/>
            <w:vAlign w:val="center"/>
          </w:tcPr>
          <w:p w14:paraId="1DD7E183" w14:textId="6E17D5E5" w:rsidR="007B6799" w:rsidRDefault="007B6799" w:rsidP="00FF3B36">
            <w:pPr>
              <w:pStyle w:val="NoSpacing"/>
            </w:pPr>
            <w:r>
              <w:t>Respondents</w:t>
            </w:r>
          </w:p>
        </w:tc>
        <w:tc>
          <w:tcPr>
            <w:tcW w:w="2394" w:type="dxa"/>
            <w:vAlign w:val="center"/>
          </w:tcPr>
          <w:p w14:paraId="7DF315CF" w14:textId="19B6DD5B" w:rsidR="007B6799" w:rsidRDefault="007B6799" w:rsidP="002F59B1">
            <w:pPr>
              <w:pStyle w:val="NoSpacing"/>
              <w:jc w:val="right"/>
            </w:pPr>
            <w:r>
              <w:t>13,814</w:t>
            </w:r>
          </w:p>
        </w:tc>
        <w:tc>
          <w:tcPr>
            <w:tcW w:w="2394" w:type="dxa"/>
            <w:vAlign w:val="center"/>
          </w:tcPr>
          <w:p w14:paraId="7198A161" w14:textId="20C4FE46" w:rsidR="007B6799" w:rsidRDefault="007B6799" w:rsidP="002F59B1">
            <w:pPr>
              <w:pStyle w:val="NoSpacing"/>
              <w:jc w:val="right"/>
            </w:pPr>
            <w:r>
              <w:t>0</w:t>
            </w:r>
          </w:p>
        </w:tc>
        <w:tc>
          <w:tcPr>
            <w:tcW w:w="2394" w:type="dxa"/>
            <w:vAlign w:val="center"/>
          </w:tcPr>
          <w:p w14:paraId="0773F7C2" w14:textId="38E3DBEA" w:rsidR="007B6799" w:rsidRDefault="007B6799" w:rsidP="002F59B1">
            <w:pPr>
              <w:pStyle w:val="NoSpacing"/>
              <w:jc w:val="right"/>
            </w:pPr>
            <w:r>
              <w:t>13,814</w:t>
            </w:r>
          </w:p>
        </w:tc>
      </w:tr>
      <w:tr w:rsidR="007B6799" w14:paraId="138F6450" w14:textId="77777777" w:rsidTr="00652EA6">
        <w:trPr>
          <w:trHeight w:val="242"/>
        </w:trPr>
        <w:tc>
          <w:tcPr>
            <w:tcW w:w="2394" w:type="dxa"/>
            <w:vAlign w:val="center"/>
          </w:tcPr>
          <w:p w14:paraId="62C926E0" w14:textId="2375A5F5" w:rsidR="007B6799" w:rsidRDefault="007B6799" w:rsidP="00FF3B36">
            <w:pPr>
              <w:pStyle w:val="NoSpacing"/>
            </w:pPr>
            <w:r>
              <w:t>Hourly Burden</w:t>
            </w:r>
          </w:p>
        </w:tc>
        <w:tc>
          <w:tcPr>
            <w:tcW w:w="2394" w:type="dxa"/>
            <w:vAlign w:val="center"/>
          </w:tcPr>
          <w:p w14:paraId="59E53A30" w14:textId="72D6C98F" w:rsidR="007B6799" w:rsidRDefault="007B6799" w:rsidP="002F59B1">
            <w:pPr>
              <w:pStyle w:val="NoSpacing"/>
              <w:jc w:val="right"/>
            </w:pPr>
            <w:r>
              <w:t>196,099</w:t>
            </w:r>
          </w:p>
        </w:tc>
        <w:tc>
          <w:tcPr>
            <w:tcW w:w="2394" w:type="dxa"/>
            <w:vAlign w:val="center"/>
          </w:tcPr>
          <w:p w14:paraId="49F622F9" w14:textId="0437622C" w:rsidR="007B6799" w:rsidRDefault="007B6799" w:rsidP="002F59B1">
            <w:pPr>
              <w:pStyle w:val="NoSpacing"/>
              <w:jc w:val="right"/>
            </w:pPr>
            <w:r>
              <w:t>0</w:t>
            </w:r>
          </w:p>
        </w:tc>
        <w:tc>
          <w:tcPr>
            <w:tcW w:w="2394" w:type="dxa"/>
            <w:vAlign w:val="center"/>
          </w:tcPr>
          <w:p w14:paraId="02A874A4" w14:textId="61E4401F" w:rsidR="007B6799" w:rsidRDefault="007B6799" w:rsidP="002F59B1">
            <w:pPr>
              <w:pStyle w:val="NoSpacing"/>
              <w:jc w:val="right"/>
            </w:pPr>
            <w:r>
              <w:t>196,099</w:t>
            </w:r>
          </w:p>
        </w:tc>
      </w:tr>
      <w:tr w:rsidR="00FF3B36" w14:paraId="5D8F8218" w14:textId="77777777" w:rsidTr="00652EA6">
        <w:trPr>
          <w:trHeight w:val="242"/>
        </w:trPr>
        <w:tc>
          <w:tcPr>
            <w:tcW w:w="2394" w:type="dxa"/>
            <w:vAlign w:val="center"/>
          </w:tcPr>
          <w:p w14:paraId="034ECBCC" w14:textId="728F1EA2" w:rsidR="00FF3B36" w:rsidRPr="00FF3B36" w:rsidRDefault="002F59B1" w:rsidP="00FF3B36">
            <w:pPr>
              <w:pStyle w:val="NoSpacing"/>
            </w:pPr>
            <w:r>
              <w:t>Non-Hour Costs</w:t>
            </w:r>
          </w:p>
        </w:tc>
        <w:tc>
          <w:tcPr>
            <w:tcW w:w="2394" w:type="dxa"/>
            <w:vAlign w:val="center"/>
          </w:tcPr>
          <w:p w14:paraId="00ECF90D" w14:textId="632D8BE8" w:rsidR="00FF3B36" w:rsidRPr="00FF3B36" w:rsidRDefault="0093695A" w:rsidP="00693F3A">
            <w:pPr>
              <w:pStyle w:val="NoSpacing"/>
              <w:jc w:val="right"/>
            </w:pPr>
            <w:r>
              <w:t>$33,15</w:t>
            </w:r>
            <w:r w:rsidR="00693F3A">
              <w:t>7,075</w:t>
            </w:r>
          </w:p>
        </w:tc>
        <w:tc>
          <w:tcPr>
            <w:tcW w:w="2394" w:type="dxa"/>
            <w:vAlign w:val="center"/>
          </w:tcPr>
          <w:p w14:paraId="1E1B1416" w14:textId="5B85C39C" w:rsidR="00FF3B36" w:rsidRPr="00FF3B36" w:rsidRDefault="0093695A" w:rsidP="002F59B1">
            <w:pPr>
              <w:pStyle w:val="NoSpacing"/>
              <w:jc w:val="right"/>
            </w:pPr>
            <w:r w:rsidRPr="0093695A">
              <w:t>$1,605,265</w:t>
            </w:r>
          </w:p>
        </w:tc>
        <w:tc>
          <w:tcPr>
            <w:tcW w:w="2394" w:type="dxa"/>
            <w:vAlign w:val="center"/>
          </w:tcPr>
          <w:p w14:paraId="0FDE487C" w14:textId="44B68BF2" w:rsidR="00FF3B36" w:rsidRPr="00FF3B36" w:rsidRDefault="00652EA6" w:rsidP="00693F3A">
            <w:pPr>
              <w:pStyle w:val="NoSpacing"/>
              <w:jc w:val="right"/>
            </w:pPr>
            <w:r>
              <w:t>$</w:t>
            </w:r>
            <w:r w:rsidR="0093695A">
              <w:t>34,76</w:t>
            </w:r>
            <w:r w:rsidR="00693F3A">
              <w:t>2,340</w:t>
            </w:r>
          </w:p>
        </w:tc>
      </w:tr>
    </w:tbl>
    <w:p w14:paraId="3FCBDEAD" w14:textId="77777777" w:rsidR="002F59B1" w:rsidRDefault="002F59B1" w:rsidP="00B43EDF">
      <w:pPr>
        <w:pStyle w:val="NoSpacing"/>
      </w:pPr>
    </w:p>
    <w:p w14:paraId="0B2A7695" w14:textId="50006CA1" w:rsidR="002F59B1" w:rsidRDefault="002F59B1" w:rsidP="00B43EDF">
      <w:pPr>
        <w:pStyle w:val="NoSpacing"/>
      </w:pPr>
      <w:r>
        <w:t>The 0651-0064 revised total burden is as follows:</w:t>
      </w:r>
    </w:p>
    <w:p w14:paraId="3B5435E1" w14:textId="22ACA291" w:rsidR="00652EA6" w:rsidRPr="002F59B1" w:rsidRDefault="00652EA6" w:rsidP="00652EA6">
      <w:pPr>
        <w:pStyle w:val="NoSpacing"/>
      </w:pPr>
    </w:p>
    <w:p w14:paraId="7EB572C7" w14:textId="2BCFB6AF" w:rsidR="005022F0" w:rsidRDefault="007B6799" w:rsidP="002F59B1">
      <w:pPr>
        <w:pStyle w:val="NoSpacing"/>
        <w:numPr>
          <w:ilvl w:val="0"/>
          <w:numId w:val="1"/>
        </w:numPr>
      </w:pPr>
      <w:r>
        <w:t>13,814</w:t>
      </w:r>
      <w:r w:rsidR="006C0EE9">
        <w:t xml:space="preserve"> responses</w:t>
      </w:r>
    </w:p>
    <w:p w14:paraId="120129D7" w14:textId="6235A0B3" w:rsidR="005022F0" w:rsidRDefault="007B6799" w:rsidP="002F59B1">
      <w:pPr>
        <w:pStyle w:val="NoSpacing"/>
        <w:numPr>
          <w:ilvl w:val="0"/>
          <w:numId w:val="1"/>
        </w:numPr>
      </w:pPr>
      <w:r w:rsidRPr="007B6799">
        <w:t>196,099</w:t>
      </w:r>
      <w:r>
        <w:t xml:space="preserve"> </w:t>
      </w:r>
      <w:r w:rsidR="006C0EE9">
        <w:t>burden hours</w:t>
      </w:r>
    </w:p>
    <w:p w14:paraId="7E84EAA5" w14:textId="1A30BAAD" w:rsidR="002F59B1" w:rsidRPr="002F59B1" w:rsidRDefault="00693F3A" w:rsidP="002F59B1">
      <w:pPr>
        <w:pStyle w:val="NoSpacing"/>
        <w:numPr>
          <w:ilvl w:val="0"/>
          <w:numId w:val="1"/>
        </w:numPr>
      </w:pPr>
      <w:r w:rsidRPr="00693F3A">
        <w:t xml:space="preserve">$34,762,340 </w:t>
      </w:r>
      <w:r w:rsidR="00652EA6" w:rsidRPr="00693F3A">
        <w:t>in annual</w:t>
      </w:r>
      <w:r w:rsidR="00652EA6">
        <w:t xml:space="preserve"> non-hour</w:t>
      </w:r>
      <w:r w:rsidR="0093695A">
        <w:t>ly</w:t>
      </w:r>
      <w:r w:rsidR="00652EA6">
        <w:t xml:space="preserve"> costs</w:t>
      </w:r>
    </w:p>
    <w:sectPr w:rsidR="002F59B1" w:rsidRPr="002F59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B51EAB"/>
    <w:multiLevelType w:val="hybridMultilevel"/>
    <w:tmpl w:val="61D25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EDF"/>
    <w:rsid w:val="0012697E"/>
    <w:rsid w:val="001D50AA"/>
    <w:rsid w:val="0024685B"/>
    <w:rsid w:val="002B7262"/>
    <w:rsid w:val="002F59B1"/>
    <w:rsid w:val="003F7960"/>
    <w:rsid w:val="004539CC"/>
    <w:rsid w:val="004819AA"/>
    <w:rsid w:val="00485810"/>
    <w:rsid w:val="005022F0"/>
    <w:rsid w:val="00520D28"/>
    <w:rsid w:val="005D768E"/>
    <w:rsid w:val="00652EA6"/>
    <w:rsid w:val="00692F90"/>
    <w:rsid w:val="00693F3A"/>
    <w:rsid w:val="006C0EE9"/>
    <w:rsid w:val="0078226E"/>
    <w:rsid w:val="007B6799"/>
    <w:rsid w:val="008B710B"/>
    <w:rsid w:val="008C2BE8"/>
    <w:rsid w:val="008E35C1"/>
    <w:rsid w:val="00900860"/>
    <w:rsid w:val="0092084E"/>
    <w:rsid w:val="0093695A"/>
    <w:rsid w:val="009E7C98"/>
    <w:rsid w:val="00AD154E"/>
    <w:rsid w:val="00B43EDF"/>
    <w:rsid w:val="00C3166A"/>
    <w:rsid w:val="00CA676B"/>
    <w:rsid w:val="00CD4D89"/>
    <w:rsid w:val="00D1696B"/>
    <w:rsid w:val="00D654E5"/>
    <w:rsid w:val="00DA1FAE"/>
    <w:rsid w:val="00DD056C"/>
    <w:rsid w:val="00E119FC"/>
    <w:rsid w:val="00E33742"/>
    <w:rsid w:val="00E90D82"/>
    <w:rsid w:val="00E935FF"/>
    <w:rsid w:val="00F81994"/>
    <w:rsid w:val="00FF3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5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9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3EDF"/>
    <w:pPr>
      <w:spacing w:after="0" w:line="240" w:lineRule="auto"/>
    </w:pPr>
  </w:style>
  <w:style w:type="table" w:styleId="TableGrid">
    <w:name w:val="Table Grid"/>
    <w:basedOn w:val="TableNormal"/>
    <w:uiPriority w:val="59"/>
    <w:rsid w:val="00B43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B710B"/>
    <w:pPr>
      <w:spacing w:line="240" w:lineRule="auto"/>
    </w:pPr>
    <w:rPr>
      <w:sz w:val="20"/>
      <w:szCs w:val="20"/>
    </w:rPr>
  </w:style>
  <w:style w:type="character" w:customStyle="1" w:styleId="CommentTextChar">
    <w:name w:val="Comment Text Char"/>
    <w:basedOn w:val="DefaultParagraphFont"/>
    <w:link w:val="CommentText"/>
    <w:uiPriority w:val="99"/>
    <w:semiHidden/>
    <w:rsid w:val="008B710B"/>
    <w:rPr>
      <w:sz w:val="20"/>
      <w:szCs w:val="20"/>
    </w:rPr>
  </w:style>
  <w:style w:type="character" w:styleId="CommentReference">
    <w:name w:val="annotation reference"/>
    <w:uiPriority w:val="99"/>
    <w:rsid w:val="008B710B"/>
    <w:rPr>
      <w:sz w:val="16"/>
      <w:szCs w:val="16"/>
    </w:rPr>
  </w:style>
  <w:style w:type="paragraph" w:styleId="BalloonText">
    <w:name w:val="Balloon Text"/>
    <w:basedOn w:val="Normal"/>
    <w:link w:val="BalloonTextChar"/>
    <w:uiPriority w:val="99"/>
    <w:semiHidden/>
    <w:unhideWhenUsed/>
    <w:rsid w:val="008B71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1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9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3EDF"/>
    <w:pPr>
      <w:spacing w:after="0" w:line="240" w:lineRule="auto"/>
    </w:pPr>
  </w:style>
  <w:style w:type="table" w:styleId="TableGrid">
    <w:name w:val="Table Grid"/>
    <w:basedOn w:val="TableNormal"/>
    <w:uiPriority w:val="59"/>
    <w:rsid w:val="00B43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B710B"/>
    <w:pPr>
      <w:spacing w:line="240" w:lineRule="auto"/>
    </w:pPr>
    <w:rPr>
      <w:sz w:val="20"/>
      <w:szCs w:val="20"/>
    </w:rPr>
  </w:style>
  <w:style w:type="character" w:customStyle="1" w:styleId="CommentTextChar">
    <w:name w:val="Comment Text Char"/>
    <w:basedOn w:val="DefaultParagraphFont"/>
    <w:link w:val="CommentText"/>
    <w:uiPriority w:val="99"/>
    <w:semiHidden/>
    <w:rsid w:val="008B710B"/>
    <w:rPr>
      <w:sz w:val="20"/>
      <w:szCs w:val="20"/>
    </w:rPr>
  </w:style>
  <w:style w:type="character" w:styleId="CommentReference">
    <w:name w:val="annotation reference"/>
    <w:uiPriority w:val="99"/>
    <w:rsid w:val="008B710B"/>
    <w:rPr>
      <w:sz w:val="16"/>
      <w:szCs w:val="16"/>
    </w:rPr>
  </w:style>
  <w:style w:type="paragraph" w:styleId="BalloonText">
    <w:name w:val="Balloon Text"/>
    <w:basedOn w:val="Normal"/>
    <w:link w:val="BalloonTextChar"/>
    <w:uiPriority w:val="99"/>
    <w:semiHidden/>
    <w:unhideWhenUsed/>
    <w:rsid w:val="008B71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1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032423">
      <w:bodyDiv w:val="1"/>
      <w:marLeft w:val="0"/>
      <w:marRight w:val="0"/>
      <w:marTop w:val="0"/>
      <w:marBottom w:val="0"/>
      <w:divBdr>
        <w:top w:val="none" w:sz="0" w:space="0" w:color="auto"/>
        <w:left w:val="none" w:sz="0" w:space="0" w:color="auto"/>
        <w:bottom w:val="none" w:sz="0" w:space="0" w:color="auto"/>
        <w:right w:val="none" w:sz="0" w:space="0" w:color="auto"/>
      </w:divBdr>
    </w:div>
    <w:div w:id="1251044362">
      <w:bodyDiv w:val="1"/>
      <w:marLeft w:val="0"/>
      <w:marRight w:val="0"/>
      <w:marTop w:val="0"/>
      <w:marBottom w:val="0"/>
      <w:divBdr>
        <w:top w:val="none" w:sz="0" w:space="0" w:color="auto"/>
        <w:left w:val="none" w:sz="0" w:space="0" w:color="auto"/>
        <w:bottom w:val="none" w:sz="0" w:space="0" w:color="auto"/>
        <w:right w:val="none" w:sz="0" w:space="0" w:color="auto"/>
      </w:divBdr>
    </w:div>
    <w:div w:id="1341005937">
      <w:bodyDiv w:val="1"/>
      <w:marLeft w:val="0"/>
      <w:marRight w:val="0"/>
      <w:marTop w:val="0"/>
      <w:marBottom w:val="0"/>
      <w:divBdr>
        <w:top w:val="none" w:sz="0" w:space="0" w:color="auto"/>
        <w:left w:val="none" w:sz="0" w:space="0" w:color="auto"/>
        <w:bottom w:val="none" w:sz="0" w:space="0" w:color="auto"/>
        <w:right w:val="none" w:sz="0" w:space="0" w:color="auto"/>
      </w:divBdr>
    </w:div>
    <w:div w:id="1387223107">
      <w:bodyDiv w:val="1"/>
      <w:marLeft w:val="0"/>
      <w:marRight w:val="0"/>
      <w:marTop w:val="0"/>
      <w:marBottom w:val="0"/>
      <w:divBdr>
        <w:top w:val="none" w:sz="0" w:space="0" w:color="auto"/>
        <w:left w:val="none" w:sz="0" w:space="0" w:color="auto"/>
        <w:bottom w:val="none" w:sz="0" w:space="0" w:color="auto"/>
        <w:right w:val="none" w:sz="0" w:space="0" w:color="auto"/>
      </w:divBdr>
    </w:div>
    <w:div w:id="147942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nitiation_x0020__x0028_Start_x0029_ xmlns="e85de8a9-5cd3-41fe-a1a0-70bc17107555" xsi:nil="true"/>
    <IC_x0020_Category xmlns="E85DE8A9-5CD3-41FE-A1A0-70BC17107555">Change Worksheet</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2017</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III</Leve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0" ma:contentTypeDescription="Create a new document." ma:contentTypeScope="" ma:versionID="47b50a2959ea27c530f28f87cc489c8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fcca90b7dc0b01867a5e00f6edc1d93c"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9E0AB6-EBA4-4942-A5E7-CBAC1BB5FAB9}">
  <ds:schemaRefs>
    <ds:schemaRef ds:uri="http://purl.org/dc/dcmitype/"/>
    <ds:schemaRef ds:uri="http://schemas.microsoft.com/office/2006/documentManagement/types"/>
    <ds:schemaRef ds:uri="http://schemas.openxmlformats.org/package/2006/metadata/core-properties"/>
    <ds:schemaRef ds:uri="http://purl.org/dc/elements/1.1/"/>
    <ds:schemaRef ds:uri="5DFC53CF-7C17-4489-98AB-5F87C96333B9"/>
    <ds:schemaRef ds:uri="http://schemas.microsoft.com/office/infopath/2007/PartnerControls"/>
    <ds:schemaRef ds:uri="e85de8a9-5cd3-41fe-a1a0-70bc17107555"/>
    <ds:schemaRef ds:uri="http://purl.org/dc/terms/"/>
    <ds:schemaRef ds:uri="http://schemas.microsoft.com/office/2006/metadata/properties"/>
    <ds:schemaRef ds:uri="5dfc53cf-7c17-4489-98ab-5f87c96333b9"/>
    <ds:schemaRef ds:uri="E85DE8A9-5CD3-41FE-A1A0-70BC17107555"/>
    <ds:schemaRef ds:uri="http://www.w3.org/XML/1998/namespace"/>
  </ds:schemaRefs>
</ds:datastoreItem>
</file>

<file path=customXml/itemProps2.xml><?xml version="1.0" encoding="utf-8"?>
<ds:datastoreItem xmlns:ds="http://schemas.openxmlformats.org/officeDocument/2006/customXml" ds:itemID="{7FE15BE0-B47F-46EE-B4C5-3390624B8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83AC1D-DFBC-4A7A-AF37-36F9DCF587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SYSTEM</cp:lastModifiedBy>
  <cp:revision>2</cp:revision>
  <dcterms:created xsi:type="dcterms:W3CDTF">2017-11-09T17:34:00Z</dcterms:created>
  <dcterms:modified xsi:type="dcterms:W3CDTF">2017-11-09T17:34:00Z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