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5FB5" w14:textId="77777777" w:rsidR="00DA1FAE" w:rsidRDefault="00530D85" w:rsidP="00530D85">
      <w:pPr>
        <w:pStyle w:val="NoSpacing"/>
        <w:jc w:val="center"/>
        <w:rPr>
          <w:b/>
        </w:rPr>
      </w:pPr>
      <w:bookmarkStart w:id="0" w:name="_GoBack"/>
      <w:bookmarkEnd w:id="0"/>
      <w:r>
        <w:rPr>
          <w:b/>
        </w:rPr>
        <w:t>JUSTIFICATION FOR NONMATERIAL/NONSUBSTANTIVE CHANGE</w:t>
      </w:r>
    </w:p>
    <w:p w14:paraId="05105FB6" w14:textId="77777777" w:rsidR="00530D85" w:rsidRDefault="00530D85" w:rsidP="00530D85">
      <w:pPr>
        <w:pStyle w:val="NoSpacing"/>
        <w:jc w:val="center"/>
        <w:rPr>
          <w:b/>
        </w:rPr>
      </w:pPr>
      <w:r>
        <w:rPr>
          <w:b/>
        </w:rPr>
        <w:t>Patent Trial and Appeal Board (PTAB) Actions</w:t>
      </w:r>
    </w:p>
    <w:p w14:paraId="05105FB7" w14:textId="77777777" w:rsidR="00530D85" w:rsidRDefault="00530D85" w:rsidP="00530D85">
      <w:pPr>
        <w:pStyle w:val="NoSpacing"/>
        <w:jc w:val="center"/>
        <w:rPr>
          <w:b/>
        </w:rPr>
      </w:pPr>
      <w:r>
        <w:rPr>
          <w:b/>
        </w:rPr>
        <w:t>OMB Control Number 0651-0063</w:t>
      </w:r>
    </w:p>
    <w:p w14:paraId="05105FB8" w14:textId="77777777" w:rsidR="00530D85" w:rsidRDefault="00530D85" w:rsidP="00530D85">
      <w:pPr>
        <w:pStyle w:val="NoSpacing"/>
      </w:pPr>
    </w:p>
    <w:p w14:paraId="05105FB9" w14:textId="77777777" w:rsidR="00530D85" w:rsidRDefault="00530D85" w:rsidP="00530D85">
      <w:pPr>
        <w:pStyle w:val="NoSpacing"/>
        <w:rPr>
          <w:rFonts w:cs="Arial"/>
          <w:u w:val="single"/>
        </w:rPr>
      </w:pPr>
      <w:r>
        <w:rPr>
          <w:rFonts w:cs="Arial"/>
          <w:u w:val="single"/>
        </w:rPr>
        <w:t>Background</w:t>
      </w:r>
    </w:p>
    <w:p w14:paraId="05105FBA" w14:textId="77777777" w:rsidR="00530D85" w:rsidRDefault="00530D85" w:rsidP="00530D85">
      <w:pPr>
        <w:pStyle w:val="NoSpacing"/>
        <w:jc w:val="both"/>
        <w:rPr>
          <w:rFonts w:cs="Arial"/>
        </w:rPr>
      </w:pPr>
    </w:p>
    <w:p w14:paraId="05105FBB" w14:textId="77777777" w:rsidR="00530D85" w:rsidRDefault="00530D85" w:rsidP="00530D85">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05105FBC" w14:textId="77777777" w:rsidR="00530D85" w:rsidRDefault="00530D85" w:rsidP="00530D85">
      <w:pPr>
        <w:pStyle w:val="NoSpacing"/>
        <w:jc w:val="both"/>
        <w:rPr>
          <w:rFonts w:cs="Arial"/>
        </w:rPr>
      </w:pPr>
    </w:p>
    <w:p w14:paraId="05105FBD" w14:textId="35332306" w:rsidR="00530D85" w:rsidRDefault="00530D85" w:rsidP="00530D85">
      <w:pPr>
        <w:pStyle w:val="NoSpacing"/>
        <w:jc w:val="both"/>
        <w:rPr>
          <w:rFonts w:cs="Arial"/>
        </w:rPr>
      </w:pPr>
      <w:r>
        <w:rPr>
          <w:rFonts w:cs="Arial"/>
        </w:rPr>
        <w:t xml:space="preserve">The request is to update </w:t>
      </w:r>
      <w:r w:rsidR="003801A1">
        <w:rPr>
          <w:rFonts w:cs="Arial"/>
        </w:rPr>
        <w:t>a fee (</w:t>
      </w:r>
      <w:r w:rsidR="003801A1" w:rsidRPr="003801A1">
        <w:rPr>
          <w:rFonts w:cs="Arial"/>
        </w:rPr>
        <w:t>Forwarding an Appeal in an Application or Ex Parte Reexamination Proceeding to the Board</w:t>
      </w:r>
      <w:r w:rsidR="003801A1">
        <w:rPr>
          <w:rFonts w:cs="Arial"/>
        </w:rPr>
        <w:t>)</w:t>
      </w:r>
      <w:r>
        <w:rPr>
          <w:rFonts w:cs="Arial"/>
        </w:rPr>
        <w:t xml:space="preserve"> attached to this collection that </w:t>
      </w:r>
      <w:r w:rsidR="003801A1">
        <w:rPr>
          <w:rFonts w:cs="Arial"/>
        </w:rPr>
        <w:t>is</w:t>
      </w:r>
      <w:r>
        <w:rPr>
          <w:rFonts w:cs="Arial"/>
        </w:rPr>
        <w:t xml:space="preserve"> </w:t>
      </w:r>
      <w:r w:rsidR="003801A1">
        <w:rPr>
          <w:rFonts w:cs="Arial"/>
        </w:rPr>
        <w:t xml:space="preserve">being updated as a result of </w:t>
      </w:r>
      <w:r>
        <w:rPr>
          <w:rFonts w:cs="Arial"/>
        </w:rPr>
        <w:t xml:space="preserve">the rulemaking </w:t>
      </w:r>
      <w:r w:rsidR="003801A1">
        <w:rPr>
          <w:rFonts w:cs="Arial"/>
        </w:rPr>
        <w:t xml:space="preserve">action </w:t>
      </w:r>
      <w:r>
        <w:rPr>
          <w:rFonts w:cs="Arial"/>
        </w:rPr>
        <w:t xml:space="preserve">NPRM 0651-AD02. </w:t>
      </w:r>
    </w:p>
    <w:p w14:paraId="05105FC0" w14:textId="77777777" w:rsidR="00700876" w:rsidRDefault="00700876" w:rsidP="00530D85">
      <w:pPr>
        <w:pStyle w:val="NoSpacing"/>
        <w:jc w:val="both"/>
        <w:rPr>
          <w:rFonts w:cs="Arial"/>
        </w:rPr>
      </w:pPr>
    </w:p>
    <w:p w14:paraId="0AAEE9D0" w14:textId="3135E35A" w:rsidR="00720BE4" w:rsidRPr="00720BE4" w:rsidRDefault="00720BE4" w:rsidP="00530D85">
      <w:pPr>
        <w:pStyle w:val="NoSpacing"/>
        <w:jc w:val="both"/>
        <w:rPr>
          <w:rFonts w:cs="Arial"/>
          <w:b/>
        </w:rPr>
      </w:pPr>
      <w:r>
        <w:rPr>
          <w:rFonts w:cs="Arial"/>
          <w:b/>
        </w:rPr>
        <w:t>Table 1: Total Fee Increases</w:t>
      </w:r>
    </w:p>
    <w:tbl>
      <w:tblPr>
        <w:tblStyle w:val="TableGrid"/>
        <w:tblW w:w="0" w:type="auto"/>
        <w:tblInd w:w="-252" w:type="dxa"/>
        <w:tblLook w:val="04A0" w:firstRow="1" w:lastRow="0" w:firstColumn="1" w:lastColumn="0" w:noHBand="0" w:noVBand="1"/>
      </w:tblPr>
      <w:tblGrid>
        <w:gridCol w:w="450"/>
        <w:gridCol w:w="5060"/>
        <w:gridCol w:w="1404"/>
        <w:gridCol w:w="1244"/>
        <w:gridCol w:w="1670"/>
      </w:tblGrid>
      <w:tr w:rsidR="00720BE4" w14:paraId="093DAA73" w14:textId="77777777" w:rsidTr="003801A1">
        <w:tc>
          <w:tcPr>
            <w:tcW w:w="450" w:type="dxa"/>
          </w:tcPr>
          <w:p w14:paraId="28D8E751" w14:textId="77777777" w:rsidR="00720BE4" w:rsidRPr="005A2703" w:rsidRDefault="00720BE4" w:rsidP="00706C7E">
            <w:pPr>
              <w:pStyle w:val="NoSpacing"/>
              <w:jc w:val="center"/>
              <w:rPr>
                <w:b/>
              </w:rPr>
            </w:pPr>
            <w:r>
              <w:rPr>
                <w:b/>
              </w:rPr>
              <w:t>IC #</w:t>
            </w:r>
          </w:p>
        </w:tc>
        <w:tc>
          <w:tcPr>
            <w:tcW w:w="5060" w:type="dxa"/>
          </w:tcPr>
          <w:p w14:paraId="242ECF8A" w14:textId="77777777" w:rsidR="00720BE4" w:rsidRPr="005A2703" w:rsidRDefault="00720BE4" w:rsidP="00706C7E">
            <w:pPr>
              <w:pStyle w:val="NoSpacing"/>
              <w:jc w:val="center"/>
              <w:rPr>
                <w:b/>
              </w:rPr>
            </w:pPr>
            <w:r>
              <w:rPr>
                <w:b/>
              </w:rPr>
              <w:t>Item</w:t>
            </w:r>
          </w:p>
        </w:tc>
        <w:tc>
          <w:tcPr>
            <w:tcW w:w="0" w:type="auto"/>
          </w:tcPr>
          <w:p w14:paraId="32DCB50E" w14:textId="7B5FCDE8" w:rsidR="00720BE4" w:rsidRPr="005A2703" w:rsidRDefault="00720BE4" w:rsidP="00706C7E">
            <w:pPr>
              <w:pStyle w:val="NoSpacing"/>
              <w:jc w:val="center"/>
              <w:rPr>
                <w:b/>
              </w:rPr>
            </w:pPr>
            <w:r>
              <w:rPr>
                <w:b/>
              </w:rPr>
              <w:t>Respondents</w:t>
            </w:r>
          </w:p>
        </w:tc>
        <w:tc>
          <w:tcPr>
            <w:tcW w:w="0" w:type="auto"/>
          </w:tcPr>
          <w:p w14:paraId="581A9E58" w14:textId="77777777" w:rsidR="00720BE4" w:rsidRPr="005A2703" w:rsidRDefault="00720BE4" w:rsidP="00706C7E">
            <w:pPr>
              <w:pStyle w:val="NoSpacing"/>
              <w:jc w:val="center"/>
              <w:rPr>
                <w:b/>
              </w:rPr>
            </w:pPr>
            <w:r>
              <w:rPr>
                <w:b/>
              </w:rPr>
              <w:t>Proposed Fee</w:t>
            </w:r>
          </w:p>
        </w:tc>
        <w:tc>
          <w:tcPr>
            <w:tcW w:w="0" w:type="auto"/>
          </w:tcPr>
          <w:p w14:paraId="10398205" w14:textId="77777777" w:rsidR="00720BE4" w:rsidRPr="005A2703" w:rsidRDefault="00720BE4" w:rsidP="00706C7E">
            <w:pPr>
              <w:pStyle w:val="NoSpacing"/>
              <w:jc w:val="center"/>
              <w:rPr>
                <w:b/>
              </w:rPr>
            </w:pPr>
            <w:r>
              <w:rPr>
                <w:b/>
              </w:rPr>
              <w:t>Non-hour Burden ($)</w:t>
            </w:r>
          </w:p>
        </w:tc>
      </w:tr>
      <w:tr w:rsidR="00973706" w14:paraId="5129A60A" w14:textId="77777777" w:rsidTr="003801A1">
        <w:tc>
          <w:tcPr>
            <w:tcW w:w="450" w:type="dxa"/>
          </w:tcPr>
          <w:p w14:paraId="1EEACE6C" w14:textId="77777777" w:rsidR="00973706" w:rsidRDefault="00973706" w:rsidP="00E608C0">
            <w:pPr>
              <w:pStyle w:val="NoSpacing"/>
              <w:jc w:val="center"/>
            </w:pPr>
            <w:r>
              <w:t>2</w:t>
            </w:r>
          </w:p>
        </w:tc>
        <w:tc>
          <w:tcPr>
            <w:tcW w:w="5060" w:type="dxa"/>
          </w:tcPr>
          <w:p w14:paraId="30FDBDE2" w14:textId="77777777" w:rsidR="00973706" w:rsidRDefault="00973706" w:rsidP="00706C7E">
            <w:pPr>
              <w:pStyle w:val="NoSpacing"/>
            </w:pPr>
            <w:r>
              <w:t>Forwarding an Appeal in an Application or Ex Parte Reexamination Proceeding to the Board (large entity)</w:t>
            </w:r>
          </w:p>
        </w:tc>
        <w:tc>
          <w:tcPr>
            <w:tcW w:w="0" w:type="auto"/>
            <w:vAlign w:val="center"/>
          </w:tcPr>
          <w:p w14:paraId="352D7C3B" w14:textId="47C89542" w:rsidR="00973706" w:rsidRDefault="00973706" w:rsidP="00706C7E">
            <w:pPr>
              <w:pStyle w:val="NoSpacing"/>
              <w:jc w:val="center"/>
            </w:pPr>
            <w:r>
              <w:t>11,341</w:t>
            </w:r>
          </w:p>
        </w:tc>
        <w:tc>
          <w:tcPr>
            <w:tcW w:w="0" w:type="auto"/>
            <w:vAlign w:val="center"/>
          </w:tcPr>
          <w:p w14:paraId="2D03A526" w14:textId="76CB6CEE" w:rsidR="00973706" w:rsidRDefault="00973706" w:rsidP="00973706">
            <w:pPr>
              <w:pStyle w:val="NoSpacing"/>
              <w:jc w:val="center"/>
            </w:pPr>
            <w:r>
              <w:t>$2,240</w:t>
            </w:r>
          </w:p>
        </w:tc>
        <w:tc>
          <w:tcPr>
            <w:tcW w:w="0" w:type="auto"/>
            <w:vAlign w:val="center"/>
          </w:tcPr>
          <w:p w14:paraId="7FE361BE" w14:textId="1AF2362C" w:rsidR="00973706" w:rsidRDefault="00973706" w:rsidP="00973706">
            <w:pPr>
              <w:pStyle w:val="NoSpacing"/>
              <w:jc w:val="center"/>
            </w:pPr>
            <w:r>
              <w:t>$25,403,840</w:t>
            </w:r>
          </w:p>
        </w:tc>
      </w:tr>
      <w:tr w:rsidR="00973706" w14:paraId="4FFB1587" w14:textId="77777777" w:rsidTr="003801A1">
        <w:tc>
          <w:tcPr>
            <w:tcW w:w="450" w:type="dxa"/>
          </w:tcPr>
          <w:p w14:paraId="45D3BCC0" w14:textId="77777777" w:rsidR="00973706" w:rsidRDefault="00973706" w:rsidP="00E608C0">
            <w:pPr>
              <w:pStyle w:val="NoSpacing"/>
              <w:jc w:val="center"/>
            </w:pPr>
            <w:r>
              <w:t>2</w:t>
            </w:r>
          </w:p>
        </w:tc>
        <w:tc>
          <w:tcPr>
            <w:tcW w:w="5060" w:type="dxa"/>
          </w:tcPr>
          <w:p w14:paraId="66FCF9E6" w14:textId="77777777" w:rsidR="00973706" w:rsidRDefault="00973706" w:rsidP="00706C7E">
            <w:pPr>
              <w:pStyle w:val="NoSpacing"/>
            </w:pPr>
            <w:r>
              <w:t>Forwarding an Appeal in an Application or Ex Parte Reexamination Proceeding to the Board (small entity)</w:t>
            </w:r>
          </w:p>
        </w:tc>
        <w:tc>
          <w:tcPr>
            <w:tcW w:w="0" w:type="auto"/>
            <w:vAlign w:val="center"/>
          </w:tcPr>
          <w:p w14:paraId="120BD8D4" w14:textId="3B81099F" w:rsidR="00973706" w:rsidRDefault="00973706" w:rsidP="0056204C">
            <w:pPr>
              <w:pStyle w:val="NoSpacing"/>
              <w:jc w:val="center"/>
            </w:pPr>
            <w:r>
              <w:t>4,051</w:t>
            </w:r>
          </w:p>
        </w:tc>
        <w:tc>
          <w:tcPr>
            <w:tcW w:w="0" w:type="auto"/>
            <w:vAlign w:val="center"/>
          </w:tcPr>
          <w:p w14:paraId="6B8A028C" w14:textId="21A5F597" w:rsidR="00973706" w:rsidRDefault="00973706" w:rsidP="00973706">
            <w:pPr>
              <w:pStyle w:val="NoSpacing"/>
              <w:jc w:val="center"/>
            </w:pPr>
            <w:r>
              <w:t>$1,120</w:t>
            </w:r>
          </w:p>
        </w:tc>
        <w:tc>
          <w:tcPr>
            <w:tcW w:w="0" w:type="auto"/>
            <w:vAlign w:val="center"/>
          </w:tcPr>
          <w:p w14:paraId="2890A448" w14:textId="591501BC" w:rsidR="00973706" w:rsidRDefault="00973706" w:rsidP="00973706">
            <w:pPr>
              <w:pStyle w:val="NoSpacing"/>
              <w:jc w:val="center"/>
            </w:pPr>
            <w:r>
              <w:t>$4,537,120</w:t>
            </w:r>
          </w:p>
        </w:tc>
      </w:tr>
      <w:tr w:rsidR="00973706" w14:paraId="3E58B960" w14:textId="77777777" w:rsidTr="003801A1">
        <w:tc>
          <w:tcPr>
            <w:tcW w:w="450" w:type="dxa"/>
          </w:tcPr>
          <w:p w14:paraId="6E75BECC" w14:textId="77777777" w:rsidR="00973706" w:rsidRDefault="00973706" w:rsidP="00E608C0">
            <w:pPr>
              <w:pStyle w:val="NoSpacing"/>
              <w:jc w:val="center"/>
            </w:pPr>
            <w:r>
              <w:t>2</w:t>
            </w:r>
          </w:p>
        </w:tc>
        <w:tc>
          <w:tcPr>
            <w:tcW w:w="5060" w:type="dxa"/>
          </w:tcPr>
          <w:p w14:paraId="36258162" w14:textId="77777777" w:rsidR="00973706" w:rsidRDefault="00973706" w:rsidP="00706C7E">
            <w:pPr>
              <w:pStyle w:val="NoSpacing"/>
            </w:pPr>
            <w:r>
              <w:t>Forwarding an Appeal in an Application or Ex Parte Reexamination Proceeding to the Board (micro entity)</w:t>
            </w:r>
          </w:p>
        </w:tc>
        <w:tc>
          <w:tcPr>
            <w:tcW w:w="0" w:type="auto"/>
            <w:vAlign w:val="center"/>
          </w:tcPr>
          <w:p w14:paraId="57E16E62" w14:textId="605AFE96" w:rsidR="00973706" w:rsidRDefault="00973706" w:rsidP="0056204C">
            <w:pPr>
              <w:pStyle w:val="NoSpacing"/>
              <w:jc w:val="center"/>
            </w:pPr>
            <w:r>
              <w:t>810</w:t>
            </w:r>
          </w:p>
        </w:tc>
        <w:tc>
          <w:tcPr>
            <w:tcW w:w="0" w:type="auto"/>
            <w:vAlign w:val="center"/>
          </w:tcPr>
          <w:p w14:paraId="7E548103" w14:textId="0AD17C9B" w:rsidR="00973706" w:rsidRDefault="00973706" w:rsidP="00973706">
            <w:pPr>
              <w:pStyle w:val="NoSpacing"/>
              <w:jc w:val="center"/>
            </w:pPr>
            <w:r>
              <w:t>$560</w:t>
            </w:r>
          </w:p>
        </w:tc>
        <w:tc>
          <w:tcPr>
            <w:tcW w:w="0" w:type="auto"/>
            <w:vAlign w:val="center"/>
          </w:tcPr>
          <w:p w14:paraId="0AE64103" w14:textId="15F07BA4" w:rsidR="00973706" w:rsidRDefault="00973706" w:rsidP="00973706">
            <w:pPr>
              <w:pStyle w:val="NoSpacing"/>
              <w:jc w:val="center"/>
            </w:pPr>
            <w:r>
              <w:t>$453,600</w:t>
            </w:r>
          </w:p>
        </w:tc>
      </w:tr>
      <w:tr w:rsidR="00973706" w:rsidRPr="00F0307C" w14:paraId="25B72F84" w14:textId="77777777" w:rsidTr="003801A1">
        <w:tc>
          <w:tcPr>
            <w:tcW w:w="450" w:type="dxa"/>
          </w:tcPr>
          <w:p w14:paraId="06AB4169" w14:textId="77777777" w:rsidR="00973706" w:rsidRPr="00F0307C" w:rsidRDefault="00973706" w:rsidP="00706C7E">
            <w:pPr>
              <w:pStyle w:val="NoSpacing"/>
              <w:rPr>
                <w:b/>
              </w:rPr>
            </w:pPr>
          </w:p>
        </w:tc>
        <w:tc>
          <w:tcPr>
            <w:tcW w:w="5060" w:type="dxa"/>
          </w:tcPr>
          <w:p w14:paraId="72F90041" w14:textId="0047390A" w:rsidR="00973706" w:rsidRPr="00F0307C" w:rsidRDefault="00973706" w:rsidP="00706C7E">
            <w:pPr>
              <w:pStyle w:val="NoSpacing"/>
              <w:rPr>
                <w:b/>
              </w:rPr>
            </w:pPr>
            <w:r>
              <w:rPr>
                <w:b/>
              </w:rPr>
              <w:t>Total</w:t>
            </w:r>
          </w:p>
        </w:tc>
        <w:tc>
          <w:tcPr>
            <w:tcW w:w="0" w:type="auto"/>
            <w:vAlign w:val="center"/>
          </w:tcPr>
          <w:p w14:paraId="558BB6C5" w14:textId="5D4887E3" w:rsidR="00973706" w:rsidRPr="00F0307C" w:rsidRDefault="00973706" w:rsidP="0056204C">
            <w:pPr>
              <w:pStyle w:val="NoSpacing"/>
              <w:jc w:val="center"/>
              <w:rPr>
                <w:b/>
              </w:rPr>
            </w:pPr>
            <w:r>
              <w:rPr>
                <w:b/>
              </w:rPr>
              <w:t>- - -</w:t>
            </w:r>
          </w:p>
        </w:tc>
        <w:tc>
          <w:tcPr>
            <w:tcW w:w="0" w:type="auto"/>
            <w:vAlign w:val="center"/>
          </w:tcPr>
          <w:p w14:paraId="6BEF98D4" w14:textId="0DF3CE93" w:rsidR="00973706" w:rsidRPr="00F0307C" w:rsidRDefault="00973706" w:rsidP="0056204C">
            <w:pPr>
              <w:pStyle w:val="NoSpacing"/>
              <w:jc w:val="center"/>
              <w:rPr>
                <w:b/>
              </w:rPr>
            </w:pPr>
            <w:r>
              <w:rPr>
                <w:b/>
              </w:rPr>
              <w:t>- - -</w:t>
            </w:r>
          </w:p>
        </w:tc>
        <w:tc>
          <w:tcPr>
            <w:tcW w:w="0" w:type="auto"/>
            <w:vAlign w:val="center"/>
          </w:tcPr>
          <w:p w14:paraId="61C6E11E" w14:textId="45C3FD19" w:rsidR="00973706" w:rsidRPr="00F0307C" w:rsidRDefault="00973706" w:rsidP="00973706">
            <w:pPr>
              <w:pStyle w:val="NoSpacing"/>
              <w:jc w:val="center"/>
              <w:rPr>
                <w:b/>
              </w:rPr>
            </w:pPr>
            <w:r>
              <w:rPr>
                <w:b/>
              </w:rPr>
              <w:t>$30,394,560</w:t>
            </w:r>
          </w:p>
        </w:tc>
      </w:tr>
    </w:tbl>
    <w:p w14:paraId="510F161E" w14:textId="77777777" w:rsidR="00720BE4" w:rsidRDefault="00720BE4" w:rsidP="00530D85">
      <w:pPr>
        <w:pStyle w:val="NoSpacing"/>
        <w:jc w:val="both"/>
        <w:rPr>
          <w:rFonts w:cs="Arial"/>
        </w:rPr>
      </w:pPr>
    </w:p>
    <w:p w14:paraId="05105FC1" w14:textId="49BAADA8" w:rsidR="00530D85" w:rsidRDefault="00720BE4" w:rsidP="00530D85">
      <w:pPr>
        <w:pStyle w:val="NoSpacing"/>
        <w:jc w:val="both"/>
        <w:rPr>
          <w:rFonts w:cs="Arial"/>
        </w:rPr>
      </w:pPr>
      <w:r>
        <w:rPr>
          <w:rFonts w:cs="Arial"/>
          <w:b/>
        </w:rPr>
        <w:t xml:space="preserve">Table 2: Increases in Fee Amounts </w:t>
      </w:r>
    </w:p>
    <w:tbl>
      <w:tblPr>
        <w:tblStyle w:val="TableGrid"/>
        <w:tblW w:w="0" w:type="auto"/>
        <w:tblInd w:w="-252" w:type="dxa"/>
        <w:tblLook w:val="04A0" w:firstRow="1" w:lastRow="0" w:firstColumn="1" w:lastColumn="0" w:noHBand="0" w:noVBand="1"/>
      </w:tblPr>
      <w:tblGrid>
        <w:gridCol w:w="470"/>
        <w:gridCol w:w="4210"/>
        <w:gridCol w:w="1800"/>
        <w:gridCol w:w="1800"/>
        <w:gridCol w:w="1548"/>
      </w:tblGrid>
      <w:tr w:rsidR="0021497B" w14:paraId="05105FC7" w14:textId="77777777" w:rsidTr="00E608C0">
        <w:tc>
          <w:tcPr>
            <w:tcW w:w="0" w:type="auto"/>
          </w:tcPr>
          <w:p w14:paraId="05105FC2" w14:textId="77777777" w:rsidR="0021497B" w:rsidRPr="005A2703" w:rsidRDefault="0021497B" w:rsidP="007D07B4">
            <w:pPr>
              <w:pStyle w:val="NoSpacing"/>
              <w:jc w:val="center"/>
              <w:rPr>
                <w:b/>
              </w:rPr>
            </w:pPr>
            <w:r>
              <w:rPr>
                <w:b/>
              </w:rPr>
              <w:t>IC #</w:t>
            </w:r>
          </w:p>
        </w:tc>
        <w:tc>
          <w:tcPr>
            <w:tcW w:w="4210" w:type="dxa"/>
          </w:tcPr>
          <w:p w14:paraId="05105FC3" w14:textId="77777777" w:rsidR="0021497B" w:rsidRPr="005A2703" w:rsidRDefault="0021497B" w:rsidP="007D07B4">
            <w:pPr>
              <w:pStyle w:val="NoSpacing"/>
              <w:jc w:val="center"/>
              <w:rPr>
                <w:b/>
              </w:rPr>
            </w:pPr>
            <w:r>
              <w:rPr>
                <w:b/>
              </w:rPr>
              <w:t>Item</w:t>
            </w:r>
          </w:p>
        </w:tc>
        <w:tc>
          <w:tcPr>
            <w:tcW w:w="1800" w:type="dxa"/>
          </w:tcPr>
          <w:p w14:paraId="05105FC4" w14:textId="77777777" w:rsidR="0021497B" w:rsidRPr="005A2703" w:rsidRDefault="0021497B" w:rsidP="007D07B4">
            <w:pPr>
              <w:pStyle w:val="NoSpacing"/>
              <w:jc w:val="center"/>
              <w:rPr>
                <w:b/>
              </w:rPr>
            </w:pPr>
            <w:r>
              <w:rPr>
                <w:b/>
              </w:rPr>
              <w:t>Current Fee</w:t>
            </w:r>
          </w:p>
        </w:tc>
        <w:tc>
          <w:tcPr>
            <w:tcW w:w="1800" w:type="dxa"/>
          </w:tcPr>
          <w:p w14:paraId="05105FC5" w14:textId="77777777" w:rsidR="0021497B" w:rsidRPr="005A2703" w:rsidRDefault="0021497B" w:rsidP="007D07B4">
            <w:pPr>
              <w:pStyle w:val="NoSpacing"/>
              <w:jc w:val="center"/>
              <w:rPr>
                <w:b/>
              </w:rPr>
            </w:pPr>
            <w:r>
              <w:rPr>
                <w:b/>
              </w:rPr>
              <w:t>Proposed Fee</w:t>
            </w:r>
          </w:p>
        </w:tc>
        <w:tc>
          <w:tcPr>
            <w:tcW w:w="1548" w:type="dxa"/>
          </w:tcPr>
          <w:p w14:paraId="05105FC6" w14:textId="61FA3E73" w:rsidR="0021497B" w:rsidRPr="005A2703" w:rsidRDefault="0056204C" w:rsidP="0056204C">
            <w:pPr>
              <w:pStyle w:val="NoSpacing"/>
              <w:jc w:val="center"/>
              <w:rPr>
                <w:b/>
              </w:rPr>
            </w:pPr>
            <w:r>
              <w:rPr>
                <w:b/>
              </w:rPr>
              <w:t>Fee Increase</w:t>
            </w:r>
          </w:p>
        </w:tc>
      </w:tr>
      <w:tr w:rsidR="0021497B" w14:paraId="05105FE3" w14:textId="77777777" w:rsidTr="00E608C0">
        <w:tc>
          <w:tcPr>
            <w:tcW w:w="0" w:type="auto"/>
          </w:tcPr>
          <w:p w14:paraId="05105FD8" w14:textId="77777777" w:rsidR="0021497B" w:rsidRDefault="0021497B" w:rsidP="00E608C0">
            <w:pPr>
              <w:pStyle w:val="NoSpacing"/>
              <w:jc w:val="center"/>
            </w:pPr>
            <w:r>
              <w:t>2</w:t>
            </w:r>
          </w:p>
        </w:tc>
        <w:tc>
          <w:tcPr>
            <w:tcW w:w="4210" w:type="dxa"/>
          </w:tcPr>
          <w:p w14:paraId="05105FD9" w14:textId="77777777" w:rsidR="0021497B" w:rsidRDefault="0021497B" w:rsidP="007D07B4">
            <w:pPr>
              <w:pStyle w:val="NoSpacing"/>
            </w:pPr>
            <w:r>
              <w:t xml:space="preserve">Forwarding an Appeal in an Application or Ex Parte Reexamination Proceeding to the Board </w:t>
            </w:r>
          </w:p>
        </w:tc>
        <w:tc>
          <w:tcPr>
            <w:tcW w:w="1800" w:type="dxa"/>
          </w:tcPr>
          <w:p w14:paraId="05105FDA" w14:textId="42AB81B9" w:rsidR="0021497B" w:rsidRDefault="0021497B" w:rsidP="007D07B4">
            <w:pPr>
              <w:pStyle w:val="NoSpacing"/>
              <w:jc w:val="center"/>
            </w:pPr>
            <w:r>
              <w:t xml:space="preserve">$2,000 (large </w:t>
            </w:r>
            <w:r w:rsidR="00F0307C">
              <w:t>entity</w:t>
            </w:r>
            <w:r>
              <w:t>)</w:t>
            </w:r>
          </w:p>
          <w:p w14:paraId="05105FDB" w14:textId="33AE979A" w:rsidR="0021497B" w:rsidRDefault="0021497B" w:rsidP="007D07B4">
            <w:pPr>
              <w:pStyle w:val="NoSpacing"/>
              <w:jc w:val="center"/>
            </w:pPr>
            <w:r>
              <w:t xml:space="preserve">$1,000 (small </w:t>
            </w:r>
            <w:r w:rsidR="00F0307C">
              <w:t>entity</w:t>
            </w:r>
            <w:r>
              <w:t>)</w:t>
            </w:r>
          </w:p>
          <w:p w14:paraId="05105FDC" w14:textId="6E999CD4" w:rsidR="0021497B" w:rsidRDefault="0021497B" w:rsidP="007D07B4">
            <w:pPr>
              <w:pStyle w:val="NoSpacing"/>
              <w:jc w:val="center"/>
            </w:pPr>
            <w:r>
              <w:t xml:space="preserve">$500 (micro </w:t>
            </w:r>
            <w:r w:rsidR="00F0307C">
              <w:t>entity</w:t>
            </w:r>
            <w:r>
              <w:t>)</w:t>
            </w:r>
          </w:p>
        </w:tc>
        <w:tc>
          <w:tcPr>
            <w:tcW w:w="1800" w:type="dxa"/>
          </w:tcPr>
          <w:p w14:paraId="05105FDD" w14:textId="58FB0E83" w:rsidR="0021497B" w:rsidRDefault="0021497B" w:rsidP="007D07B4">
            <w:pPr>
              <w:pStyle w:val="NoSpacing"/>
              <w:jc w:val="center"/>
            </w:pPr>
            <w:r>
              <w:t>$2,</w:t>
            </w:r>
            <w:r w:rsidR="00F44E36">
              <w:t>240</w:t>
            </w:r>
            <w:r>
              <w:t xml:space="preserve"> (large </w:t>
            </w:r>
            <w:r w:rsidR="00F0307C">
              <w:t>entity</w:t>
            </w:r>
            <w:r>
              <w:t>)</w:t>
            </w:r>
          </w:p>
          <w:p w14:paraId="05105FDE" w14:textId="70639D59" w:rsidR="0021497B" w:rsidRDefault="0021497B" w:rsidP="007D07B4">
            <w:pPr>
              <w:pStyle w:val="NoSpacing"/>
              <w:jc w:val="center"/>
            </w:pPr>
            <w:r>
              <w:t>$1,</w:t>
            </w:r>
            <w:r w:rsidR="00F44E36">
              <w:t>120</w:t>
            </w:r>
            <w:r>
              <w:t xml:space="preserve"> (small </w:t>
            </w:r>
            <w:r w:rsidR="00F0307C">
              <w:t>entity</w:t>
            </w:r>
            <w:r>
              <w:t>)</w:t>
            </w:r>
          </w:p>
          <w:p w14:paraId="05105FDF" w14:textId="443D6E7E" w:rsidR="0021497B" w:rsidRDefault="0021497B" w:rsidP="00F44E36">
            <w:pPr>
              <w:pStyle w:val="NoSpacing"/>
              <w:jc w:val="center"/>
            </w:pPr>
            <w:r>
              <w:t>$</w:t>
            </w:r>
            <w:r w:rsidR="00F44E36">
              <w:t>560</w:t>
            </w:r>
            <w:r>
              <w:t xml:space="preserve"> (micro </w:t>
            </w:r>
            <w:r w:rsidR="00F0307C">
              <w:t>entity</w:t>
            </w:r>
            <w:r>
              <w:t>)</w:t>
            </w:r>
          </w:p>
        </w:tc>
        <w:tc>
          <w:tcPr>
            <w:tcW w:w="1548" w:type="dxa"/>
          </w:tcPr>
          <w:p w14:paraId="05105FE0" w14:textId="3D941DF7" w:rsidR="0021497B" w:rsidRDefault="00F44E36" w:rsidP="007D07B4">
            <w:pPr>
              <w:pStyle w:val="NoSpacing"/>
              <w:jc w:val="center"/>
            </w:pPr>
            <w:r>
              <w:t>$24</w:t>
            </w:r>
            <w:r w:rsidR="0021497B">
              <w:t xml:space="preserve">0 (large </w:t>
            </w:r>
            <w:r w:rsidR="00F0307C">
              <w:t>entity</w:t>
            </w:r>
            <w:r w:rsidR="0021497B">
              <w:t>)</w:t>
            </w:r>
          </w:p>
          <w:p w14:paraId="05105FE1" w14:textId="0FB1CD92" w:rsidR="0021497B" w:rsidRDefault="00F44E36" w:rsidP="007D07B4">
            <w:pPr>
              <w:pStyle w:val="NoSpacing"/>
              <w:jc w:val="center"/>
            </w:pPr>
            <w:r>
              <w:t>$12</w:t>
            </w:r>
            <w:r w:rsidR="0021497B">
              <w:t xml:space="preserve">0 (small </w:t>
            </w:r>
            <w:r w:rsidR="00F0307C">
              <w:t>entity</w:t>
            </w:r>
            <w:r w:rsidR="0021497B">
              <w:t>)</w:t>
            </w:r>
          </w:p>
          <w:p w14:paraId="05105FE2" w14:textId="2957E2CF" w:rsidR="0021497B" w:rsidRDefault="0021497B" w:rsidP="00F44E36">
            <w:pPr>
              <w:pStyle w:val="NoSpacing"/>
              <w:jc w:val="center"/>
            </w:pPr>
            <w:r>
              <w:t>$</w:t>
            </w:r>
            <w:r w:rsidR="00F44E36">
              <w:t>60</w:t>
            </w:r>
            <w:r>
              <w:t xml:space="preserve"> (micro </w:t>
            </w:r>
            <w:r w:rsidR="00F0307C">
              <w:t>entity</w:t>
            </w:r>
            <w:r>
              <w:t>)</w:t>
            </w:r>
          </w:p>
        </w:tc>
      </w:tr>
    </w:tbl>
    <w:p w14:paraId="53B9A52F" w14:textId="77777777" w:rsidR="00720BE4" w:rsidRDefault="00720BE4" w:rsidP="00530D85">
      <w:pPr>
        <w:pStyle w:val="NoSpacing"/>
      </w:pPr>
    </w:p>
    <w:p w14:paraId="3E7C5C5C" w14:textId="1C6223F9" w:rsidR="00720BE4" w:rsidRPr="00720BE4" w:rsidRDefault="00720BE4" w:rsidP="00530D85">
      <w:pPr>
        <w:pStyle w:val="NoSpacing"/>
        <w:rPr>
          <w:b/>
        </w:rPr>
      </w:pPr>
      <w:r>
        <w:rPr>
          <w:b/>
        </w:rPr>
        <w:t xml:space="preserve">Table </w:t>
      </w:r>
      <w:r w:rsidR="0056204C">
        <w:rPr>
          <w:b/>
        </w:rPr>
        <w:t>3</w:t>
      </w:r>
      <w:r>
        <w:rPr>
          <w:b/>
        </w:rPr>
        <w:t>: Increases in Non-Hourly Costs (Fees)</w:t>
      </w:r>
    </w:p>
    <w:tbl>
      <w:tblPr>
        <w:tblStyle w:val="TableGrid"/>
        <w:tblW w:w="0" w:type="auto"/>
        <w:tblInd w:w="-252" w:type="dxa"/>
        <w:tblLook w:val="04A0" w:firstRow="1" w:lastRow="0" w:firstColumn="1" w:lastColumn="0" w:noHBand="0" w:noVBand="1"/>
      </w:tblPr>
      <w:tblGrid>
        <w:gridCol w:w="443"/>
        <w:gridCol w:w="4144"/>
        <w:gridCol w:w="1636"/>
        <w:gridCol w:w="1730"/>
        <w:gridCol w:w="1875"/>
      </w:tblGrid>
      <w:tr w:rsidR="00730C35" w14:paraId="4DF933A9" w14:textId="77777777" w:rsidTr="00B33B7A">
        <w:trPr>
          <w:cantSplit/>
        </w:trPr>
        <w:tc>
          <w:tcPr>
            <w:tcW w:w="443" w:type="dxa"/>
            <w:vAlign w:val="center"/>
          </w:tcPr>
          <w:p w14:paraId="448BA905" w14:textId="77777777" w:rsidR="00730C35" w:rsidRPr="003475E1" w:rsidRDefault="00730C35" w:rsidP="00CF77FD">
            <w:pPr>
              <w:pStyle w:val="NoSpacing"/>
              <w:jc w:val="center"/>
              <w:rPr>
                <w:b/>
              </w:rPr>
            </w:pPr>
            <w:r>
              <w:rPr>
                <w:b/>
              </w:rPr>
              <w:t>IC #</w:t>
            </w:r>
          </w:p>
        </w:tc>
        <w:tc>
          <w:tcPr>
            <w:tcW w:w="4144" w:type="dxa"/>
            <w:vAlign w:val="center"/>
          </w:tcPr>
          <w:p w14:paraId="3CDFFA29" w14:textId="77777777" w:rsidR="00730C35" w:rsidRPr="003475E1" w:rsidRDefault="00730C35" w:rsidP="00CF77FD">
            <w:pPr>
              <w:pStyle w:val="NoSpacing"/>
              <w:jc w:val="center"/>
              <w:rPr>
                <w:b/>
              </w:rPr>
            </w:pPr>
            <w:r>
              <w:rPr>
                <w:b/>
              </w:rPr>
              <w:t>Item</w:t>
            </w:r>
          </w:p>
        </w:tc>
        <w:tc>
          <w:tcPr>
            <w:tcW w:w="0" w:type="auto"/>
            <w:vAlign w:val="center"/>
          </w:tcPr>
          <w:p w14:paraId="778CCC76" w14:textId="2CB7796E" w:rsidR="00730C35" w:rsidRPr="003475E1" w:rsidRDefault="00C64F7F" w:rsidP="00730C35">
            <w:pPr>
              <w:pStyle w:val="NoSpacing"/>
              <w:jc w:val="center"/>
              <w:rPr>
                <w:b/>
              </w:rPr>
            </w:pPr>
            <w:r>
              <w:rPr>
                <w:b/>
              </w:rPr>
              <w:t xml:space="preserve">Current Total Cost </w:t>
            </w:r>
          </w:p>
        </w:tc>
        <w:tc>
          <w:tcPr>
            <w:tcW w:w="0" w:type="auto"/>
            <w:vAlign w:val="center"/>
          </w:tcPr>
          <w:p w14:paraId="6F8CB556" w14:textId="13864FE6" w:rsidR="00730C35" w:rsidRPr="003475E1" w:rsidRDefault="00730C35" w:rsidP="00C64F7F">
            <w:pPr>
              <w:pStyle w:val="NoSpacing"/>
              <w:jc w:val="center"/>
              <w:rPr>
                <w:b/>
              </w:rPr>
            </w:pPr>
            <w:r>
              <w:rPr>
                <w:b/>
              </w:rPr>
              <w:t xml:space="preserve">Proposed Total Cost </w:t>
            </w:r>
          </w:p>
        </w:tc>
        <w:tc>
          <w:tcPr>
            <w:tcW w:w="0" w:type="auto"/>
            <w:vAlign w:val="center"/>
          </w:tcPr>
          <w:p w14:paraId="0415A8CB" w14:textId="1C0C00C5" w:rsidR="00730C35" w:rsidRPr="003475E1" w:rsidRDefault="00C64F7F" w:rsidP="00730C35">
            <w:pPr>
              <w:pStyle w:val="NoSpacing"/>
              <w:jc w:val="center"/>
              <w:rPr>
                <w:b/>
              </w:rPr>
            </w:pPr>
            <w:r>
              <w:rPr>
                <w:b/>
              </w:rPr>
              <w:t xml:space="preserve">Proposed </w:t>
            </w:r>
            <w:r w:rsidR="00730C35">
              <w:rPr>
                <w:b/>
              </w:rPr>
              <w:t xml:space="preserve"> Cost Increase</w:t>
            </w:r>
          </w:p>
        </w:tc>
      </w:tr>
      <w:tr w:rsidR="0056204C" w14:paraId="2D7ED315" w14:textId="77777777" w:rsidTr="00B33B7A">
        <w:trPr>
          <w:cantSplit/>
        </w:trPr>
        <w:tc>
          <w:tcPr>
            <w:tcW w:w="443" w:type="dxa"/>
          </w:tcPr>
          <w:p w14:paraId="2EB6A103" w14:textId="77777777" w:rsidR="0056204C" w:rsidRDefault="0056204C" w:rsidP="00CF77FD">
            <w:pPr>
              <w:pStyle w:val="NoSpacing"/>
              <w:jc w:val="center"/>
            </w:pPr>
            <w:r>
              <w:t>2</w:t>
            </w:r>
          </w:p>
        </w:tc>
        <w:tc>
          <w:tcPr>
            <w:tcW w:w="4144" w:type="dxa"/>
          </w:tcPr>
          <w:p w14:paraId="2F4BBF97" w14:textId="77777777" w:rsidR="0056204C" w:rsidRDefault="0056204C" w:rsidP="00CF77FD">
            <w:pPr>
              <w:pStyle w:val="NoSpacing"/>
            </w:pPr>
            <w:r>
              <w:t>Forwarding an Appeal in an Application or Ex Parte Reexamination Proceeding to the Board (large entity)</w:t>
            </w:r>
          </w:p>
        </w:tc>
        <w:tc>
          <w:tcPr>
            <w:tcW w:w="0" w:type="auto"/>
            <w:vAlign w:val="center"/>
          </w:tcPr>
          <w:p w14:paraId="0801D2FC" w14:textId="0E7C79FA" w:rsidR="0056204C" w:rsidRDefault="0056204C" w:rsidP="00973706">
            <w:pPr>
              <w:pStyle w:val="NoSpacing"/>
              <w:jc w:val="center"/>
            </w:pPr>
            <w:r>
              <w:t>$22,682,000</w:t>
            </w:r>
          </w:p>
        </w:tc>
        <w:tc>
          <w:tcPr>
            <w:tcW w:w="0" w:type="auto"/>
            <w:vAlign w:val="center"/>
          </w:tcPr>
          <w:p w14:paraId="4907B9D4" w14:textId="5860122F" w:rsidR="0056204C" w:rsidRDefault="0056204C" w:rsidP="00973706">
            <w:pPr>
              <w:pStyle w:val="NoSpacing"/>
              <w:jc w:val="center"/>
            </w:pPr>
            <w:r>
              <w:t>$25,403,840</w:t>
            </w:r>
          </w:p>
        </w:tc>
        <w:tc>
          <w:tcPr>
            <w:tcW w:w="0" w:type="auto"/>
            <w:vAlign w:val="center"/>
          </w:tcPr>
          <w:p w14:paraId="4870E144" w14:textId="42FA649A" w:rsidR="0056204C" w:rsidRDefault="00973706" w:rsidP="00973706">
            <w:pPr>
              <w:pStyle w:val="NoSpacing"/>
              <w:jc w:val="center"/>
            </w:pPr>
            <w:r>
              <w:t>$2,721,840</w:t>
            </w:r>
          </w:p>
        </w:tc>
      </w:tr>
      <w:tr w:rsidR="0056204C" w14:paraId="1C545CD0" w14:textId="77777777" w:rsidTr="00B33B7A">
        <w:trPr>
          <w:cantSplit/>
        </w:trPr>
        <w:tc>
          <w:tcPr>
            <w:tcW w:w="443" w:type="dxa"/>
          </w:tcPr>
          <w:p w14:paraId="75749D40" w14:textId="77777777" w:rsidR="0056204C" w:rsidRDefault="0056204C" w:rsidP="00CF77FD">
            <w:pPr>
              <w:pStyle w:val="NoSpacing"/>
              <w:jc w:val="center"/>
            </w:pPr>
            <w:r>
              <w:t>2</w:t>
            </w:r>
          </w:p>
        </w:tc>
        <w:tc>
          <w:tcPr>
            <w:tcW w:w="4144" w:type="dxa"/>
          </w:tcPr>
          <w:p w14:paraId="15C18B2D" w14:textId="77777777" w:rsidR="0056204C" w:rsidRDefault="0056204C" w:rsidP="00CF77FD">
            <w:pPr>
              <w:pStyle w:val="NoSpacing"/>
            </w:pPr>
            <w:r>
              <w:t>Forwarding an Appeal in an Application or Ex Parte Reexamination Proceeding to the Board (small entity)</w:t>
            </w:r>
          </w:p>
        </w:tc>
        <w:tc>
          <w:tcPr>
            <w:tcW w:w="0" w:type="auto"/>
            <w:vAlign w:val="center"/>
          </w:tcPr>
          <w:p w14:paraId="3D04F89E" w14:textId="0A237CEE" w:rsidR="0056204C" w:rsidRDefault="0056204C" w:rsidP="00973706">
            <w:pPr>
              <w:pStyle w:val="NoSpacing"/>
              <w:jc w:val="center"/>
            </w:pPr>
            <w:r>
              <w:t>$4,051,000</w:t>
            </w:r>
          </w:p>
        </w:tc>
        <w:tc>
          <w:tcPr>
            <w:tcW w:w="0" w:type="auto"/>
            <w:vAlign w:val="center"/>
          </w:tcPr>
          <w:p w14:paraId="02C292E1" w14:textId="50387EFC" w:rsidR="0056204C" w:rsidRDefault="0056204C" w:rsidP="00973706">
            <w:pPr>
              <w:pStyle w:val="NoSpacing"/>
              <w:jc w:val="center"/>
            </w:pPr>
            <w:r>
              <w:t>$4,537,120</w:t>
            </w:r>
          </w:p>
        </w:tc>
        <w:tc>
          <w:tcPr>
            <w:tcW w:w="0" w:type="auto"/>
            <w:vAlign w:val="center"/>
          </w:tcPr>
          <w:p w14:paraId="7D896E2B" w14:textId="7CF5D17D" w:rsidR="0056204C" w:rsidRDefault="0056204C" w:rsidP="00973706">
            <w:pPr>
              <w:pStyle w:val="NoSpacing"/>
              <w:jc w:val="center"/>
            </w:pPr>
            <w:r>
              <w:t>$486,120</w:t>
            </w:r>
          </w:p>
        </w:tc>
      </w:tr>
      <w:tr w:rsidR="0056204C" w14:paraId="0DC264BD" w14:textId="77777777" w:rsidTr="00B33B7A">
        <w:trPr>
          <w:cantSplit/>
        </w:trPr>
        <w:tc>
          <w:tcPr>
            <w:tcW w:w="443" w:type="dxa"/>
          </w:tcPr>
          <w:p w14:paraId="6B796569" w14:textId="77777777" w:rsidR="0056204C" w:rsidRDefault="0056204C" w:rsidP="00CF77FD">
            <w:pPr>
              <w:pStyle w:val="NoSpacing"/>
              <w:jc w:val="center"/>
            </w:pPr>
            <w:r>
              <w:lastRenderedPageBreak/>
              <w:t>2</w:t>
            </w:r>
          </w:p>
        </w:tc>
        <w:tc>
          <w:tcPr>
            <w:tcW w:w="4144" w:type="dxa"/>
          </w:tcPr>
          <w:p w14:paraId="2B3462C9" w14:textId="77777777" w:rsidR="0056204C" w:rsidRDefault="0056204C" w:rsidP="00CF77FD">
            <w:pPr>
              <w:pStyle w:val="NoSpacing"/>
            </w:pPr>
            <w:r>
              <w:t>Forwarding an Appeal in an Application or Ex Parte Reexamination Proceeding to the Board (micro entity)</w:t>
            </w:r>
          </w:p>
        </w:tc>
        <w:tc>
          <w:tcPr>
            <w:tcW w:w="0" w:type="auto"/>
            <w:vAlign w:val="center"/>
          </w:tcPr>
          <w:p w14:paraId="13BE7364" w14:textId="226C5993" w:rsidR="0056204C" w:rsidRDefault="0056204C" w:rsidP="00973706">
            <w:pPr>
              <w:pStyle w:val="NoSpacing"/>
              <w:jc w:val="center"/>
            </w:pPr>
            <w:r>
              <w:t>$405,000</w:t>
            </w:r>
          </w:p>
        </w:tc>
        <w:tc>
          <w:tcPr>
            <w:tcW w:w="0" w:type="auto"/>
            <w:vAlign w:val="center"/>
          </w:tcPr>
          <w:p w14:paraId="0C5D89EA" w14:textId="2F4048E0" w:rsidR="0056204C" w:rsidRDefault="0056204C" w:rsidP="00973706">
            <w:pPr>
              <w:pStyle w:val="NoSpacing"/>
              <w:jc w:val="center"/>
            </w:pPr>
            <w:r>
              <w:t>$453,600</w:t>
            </w:r>
          </w:p>
        </w:tc>
        <w:tc>
          <w:tcPr>
            <w:tcW w:w="0" w:type="auto"/>
            <w:vAlign w:val="center"/>
          </w:tcPr>
          <w:p w14:paraId="7B808D87" w14:textId="04990231" w:rsidR="0056204C" w:rsidRDefault="0056204C" w:rsidP="00973706">
            <w:pPr>
              <w:pStyle w:val="NoSpacing"/>
              <w:jc w:val="center"/>
            </w:pPr>
            <w:r>
              <w:t>$48,600</w:t>
            </w:r>
          </w:p>
        </w:tc>
      </w:tr>
      <w:tr w:rsidR="0056204C" w14:paraId="2F12409F" w14:textId="77777777" w:rsidTr="00B33B7A">
        <w:trPr>
          <w:cantSplit/>
        </w:trPr>
        <w:tc>
          <w:tcPr>
            <w:tcW w:w="443" w:type="dxa"/>
            <w:vAlign w:val="center"/>
          </w:tcPr>
          <w:p w14:paraId="1224536F" w14:textId="77777777" w:rsidR="0056204C" w:rsidRPr="003475E1" w:rsidRDefault="0056204C" w:rsidP="00CF77FD">
            <w:pPr>
              <w:pStyle w:val="NoSpacing"/>
              <w:jc w:val="center"/>
              <w:rPr>
                <w:b/>
              </w:rPr>
            </w:pPr>
          </w:p>
        </w:tc>
        <w:tc>
          <w:tcPr>
            <w:tcW w:w="4144" w:type="dxa"/>
            <w:vAlign w:val="center"/>
          </w:tcPr>
          <w:p w14:paraId="16A19514" w14:textId="77777777" w:rsidR="0056204C" w:rsidRPr="003475E1" w:rsidRDefault="0056204C" w:rsidP="00CF77FD">
            <w:pPr>
              <w:pStyle w:val="NoSpacing"/>
              <w:rPr>
                <w:b/>
              </w:rPr>
            </w:pPr>
            <w:r>
              <w:rPr>
                <w:b/>
              </w:rPr>
              <w:t>Totals</w:t>
            </w:r>
          </w:p>
        </w:tc>
        <w:tc>
          <w:tcPr>
            <w:tcW w:w="0" w:type="auto"/>
            <w:vAlign w:val="center"/>
          </w:tcPr>
          <w:p w14:paraId="4FE0EC3E" w14:textId="31B50F94" w:rsidR="0056204C" w:rsidRPr="003475E1" w:rsidRDefault="0056204C" w:rsidP="00973706">
            <w:pPr>
              <w:pStyle w:val="NoSpacing"/>
              <w:jc w:val="center"/>
              <w:rPr>
                <w:b/>
              </w:rPr>
            </w:pPr>
            <w:r>
              <w:rPr>
                <w:b/>
              </w:rPr>
              <w:t>$27,138,000</w:t>
            </w:r>
          </w:p>
        </w:tc>
        <w:tc>
          <w:tcPr>
            <w:tcW w:w="0" w:type="auto"/>
            <w:vAlign w:val="center"/>
          </w:tcPr>
          <w:p w14:paraId="02D3E769" w14:textId="7D729162" w:rsidR="0056204C" w:rsidRPr="003475E1" w:rsidRDefault="0056204C" w:rsidP="00973706">
            <w:pPr>
              <w:pStyle w:val="NoSpacing"/>
              <w:jc w:val="center"/>
              <w:rPr>
                <w:b/>
              </w:rPr>
            </w:pPr>
            <w:r>
              <w:rPr>
                <w:b/>
              </w:rPr>
              <w:t>$30,394,560</w:t>
            </w:r>
          </w:p>
        </w:tc>
        <w:tc>
          <w:tcPr>
            <w:tcW w:w="0" w:type="auto"/>
            <w:vAlign w:val="center"/>
          </w:tcPr>
          <w:p w14:paraId="1661554E" w14:textId="2FC07017" w:rsidR="0056204C" w:rsidRPr="003475E1" w:rsidRDefault="0056204C" w:rsidP="00973706">
            <w:pPr>
              <w:pStyle w:val="NoSpacing"/>
              <w:jc w:val="center"/>
              <w:rPr>
                <w:b/>
              </w:rPr>
            </w:pPr>
            <w:r>
              <w:rPr>
                <w:b/>
              </w:rPr>
              <w:t>$3,256,560</w:t>
            </w:r>
          </w:p>
        </w:tc>
      </w:tr>
    </w:tbl>
    <w:p w14:paraId="43EFFAF5" w14:textId="77777777" w:rsidR="00720BE4" w:rsidRDefault="00720BE4" w:rsidP="00530D85">
      <w:pPr>
        <w:pStyle w:val="NoSpacing"/>
      </w:pPr>
    </w:p>
    <w:p w14:paraId="05106011" w14:textId="77777777" w:rsidR="00530D85" w:rsidRDefault="00530D85" w:rsidP="00530D85">
      <w:pPr>
        <w:pStyle w:val="NoSpacing"/>
        <w:jc w:val="both"/>
        <w:rPr>
          <w:rFonts w:cs="Arial"/>
        </w:rPr>
      </w:pPr>
      <w:r>
        <w:rPr>
          <w:rFonts w:cs="Arial"/>
          <w:u w:val="single"/>
        </w:rPr>
        <w:t>Summary of Changes</w:t>
      </w:r>
    </w:p>
    <w:p w14:paraId="05106012" w14:textId="77777777" w:rsidR="00530D85" w:rsidRDefault="00530D85" w:rsidP="00530D85">
      <w:pPr>
        <w:pStyle w:val="NoSpacing"/>
        <w:jc w:val="both"/>
        <w:rPr>
          <w:rFonts w:cs="Arial"/>
        </w:rPr>
      </w:pPr>
    </w:p>
    <w:p w14:paraId="5EF4F186" w14:textId="45E8EAE1" w:rsidR="0056204C" w:rsidRDefault="0056204C" w:rsidP="00530D85">
      <w:pPr>
        <w:pStyle w:val="NoSpacing"/>
        <w:jc w:val="both"/>
        <w:rPr>
          <w:rFonts w:cs="Arial"/>
        </w:rPr>
      </w:pPr>
      <w:r>
        <w:rPr>
          <w:rFonts w:cs="Arial"/>
        </w:rPr>
        <w:t xml:space="preserve">The revision of </w:t>
      </w:r>
      <w:r w:rsidR="00E608C0">
        <w:rPr>
          <w:rFonts w:cs="Arial"/>
        </w:rPr>
        <w:t>one fee</w:t>
      </w:r>
      <w:r>
        <w:rPr>
          <w:rFonts w:cs="Arial"/>
        </w:rPr>
        <w:t xml:space="preserve"> in this collection </w:t>
      </w:r>
      <w:r w:rsidR="00E608C0">
        <w:rPr>
          <w:rFonts w:cs="Arial"/>
        </w:rPr>
        <w:t xml:space="preserve">and the addition </w:t>
      </w:r>
      <w:r w:rsidR="00973706">
        <w:rPr>
          <w:rFonts w:cs="Arial"/>
        </w:rPr>
        <w:t>of $</w:t>
      </w:r>
      <w:r w:rsidR="00973706" w:rsidRPr="00973706">
        <w:rPr>
          <w:rFonts w:cs="Arial"/>
        </w:rPr>
        <w:t>3,256,560</w:t>
      </w:r>
      <w:r w:rsidR="00E608C0">
        <w:rPr>
          <w:rFonts w:cs="Arial"/>
        </w:rPr>
        <w:t xml:space="preserve"> in non-hourly costs to collection 0651-0063 account for the changes following the rulemaking action NPRM 0651-AD02.</w:t>
      </w:r>
    </w:p>
    <w:p w14:paraId="75E286AE" w14:textId="77777777" w:rsidR="0056204C" w:rsidRDefault="0056204C" w:rsidP="00530D85">
      <w:pPr>
        <w:pStyle w:val="NoSpacing"/>
        <w:jc w:val="both"/>
        <w:rPr>
          <w:rFonts w:cs="Arial"/>
        </w:rPr>
      </w:pPr>
    </w:p>
    <w:p w14:paraId="05106013" w14:textId="77777777" w:rsidR="00530D85" w:rsidRPr="00225708" w:rsidRDefault="00530D85" w:rsidP="00530D85">
      <w:pPr>
        <w:pStyle w:val="NoSpacing"/>
        <w:jc w:val="both"/>
        <w:rPr>
          <w:rFonts w:cs="Arial"/>
        </w:rPr>
      </w:pPr>
      <w:r>
        <w:rPr>
          <w:rFonts w:cs="Arial"/>
          <w:u w:val="single"/>
        </w:rPr>
        <w:t>Changes in Burden</w:t>
      </w:r>
    </w:p>
    <w:p w14:paraId="05106014" w14:textId="77777777" w:rsidR="00530D85" w:rsidRDefault="00530D85" w:rsidP="00530D85">
      <w:pPr>
        <w:pStyle w:val="NoSpacing"/>
      </w:pPr>
    </w:p>
    <w:tbl>
      <w:tblPr>
        <w:tblStyle w:val="TableGrid"/>
        <w:tblW w:w="0" w:type="auto"/>
        <w:tblLook w:val="04A0" w:firstRow="1" w:lastRow="0" w:firstColumn="1" w:lastColumn="0" w:noHBand="0" w:noVBand="1"/>
      </w:tblPr>
      <w:tblGrid>
        <w:gridCol w:w="2394"/>
        <w:gridCol w:w="2394"/>
        <w:gridCol w:w="2394"/>
        <w:gridCol w:w="2394"/>
      </w:tblGrid>
      <w:tr w:rsidR="00720BE4" w14:paraId="0F3A8A48" w14:textId="77777777" w:rsidTr="00720BE4">
        <w:tc>
          <w:tcPr>
            <w:tcW w:w="2394" w:type="dxa"/>
            <w:vAlign w:val="center"/>
          </w:tcPr>
          <w:p w14:paraId="61891F0D" w14:textId="7A2448E2" w:rsidR="00720BE4" w:rsidRPr="00720BE4" w:rsidRDefault="00720BE4" w:rsidP="00720BE4">
            <w:pPr>
              <w:pStyle w:val="NoSpacing"/>
              <w:jc w:val="center"/>
              <w:rPr>
                <w:b/>
              </w:rPr>
            </w:pPr>
            <w:r>
              <w:rPr>
                <w:b/>
              </w:rPr>
              <w:t>Burden Type</w:t>
            </w:r>
          </w:p>
        </w:tc>
        <w:tc>
          <w:tcPr>
            <w:tcW w:w="2394" w:type="dxa"/>
            <w:vAlign w:val="center"/>
          </w:tcPr>
          <w:p w14:paraId="6479219E" w14:textId="5D0CF392" w:rsidR="00720BE4" w:rsidRPr="00720BE4" w:rsidRDefault="00720BE4" w:rsidP="00720BE4">
            <w:pPr>
              <w:pStyle w:val="NoSpacing"/>
              <w:jc w:val="center"/>
              <w:rPr>
                <w:b/>
              </w:rPr>
            </w:pPr>
            <w:r>
              <w:rPr>
                <w:b/>
              </w:rPr>
              <w:t>Currently Approved</w:t>
            </w:r>
          </w:p>
        </w:tc>
        <w:tc>
          <w:tcPr>
            <w:tcW w:w="2394" w:type="dxa"/>
            <w:vAlign w:val="center"/>
          </w:tcPr>
          <w:p w14:paraId="160B99D2" w14:textId="54E9106A" w:rsidR="00720BE4" w:rsidRPr="00720BE4" w:rsidRDefault="00720BE4" w:rsidP="00720BE4">
            <w:pPr>
              <w:pStyle w:val="NoSpacing"/>
              <w:jc w:val="center"/>
              <w:rPr>
                <w:b/>
              </w:rPr>
            </w:pPr>
            <w:r>
              <w:rPr>
                <w:b/>
              </w:rPr>
              <w:t>Proposed Change</w:t>
            </w:r>
          </w:p>
        </w:tc>
        <w:tc>
          <w:tcPr>
            <w:tcW w:w="2394" w:type="dxa"/>
            <w:vAlign w:val="center"/>
          </w:tcPr>
          <w:p w14:paraId="5618C496" w14:textId="0C278D53" w:rsidR="00720BE4" w:rsidRPr="00720BE4" w:rsidRDefault="00720BE4" w:rsidP="00720BE4">
            <w:pPr>
              <w:pStyle w:val="NoSpacing"/>
              <w:jc w:val="center"/>
              <w:rPr>
                <w:b/>
              </w:rPr>
            </w:pPr>
            <w:r>
              <w:rPr>
                <w:b/>
              </w:rPr>
              <w:t xml:space="preserve"> New Estimate</w:t>
            </w:r>
          </w:p>
        </w:tc>
      </w:tr>
      <w:tr w:rsidR="00700B72" w14:paraId="52E40B52" w14:textId="77777777" w:rsidTr="00720BE4">
        <w:tc>
          <w:tcPr>
            <w:tcW w:w="2394" w:type="dxa"/>
            <w:vAlign w:val="center"/>
          </w:tcPr>
          <w:p w14:paraId="5067B0F6" w14:textId="119334EA" w:rsidR="00700B72" w:rsidRDefault="00700B72" w:rsidP="00720BE4">
            <w:pPr>
              <w:pStyle w:val="NoSpacing"/>
            </w:pPr>
            <w:r>
              <w:t>Respondents</w:t>
            </w:r>
          </w:p>
        </w:tc>
        <w:tc>
          <w:tcPr>
            <w:tcW w:w="2394" w:type="dxa"/>
            <w:vAlign w:val="center"/>
          </w:tcPr>
          <w:p w14:paraId="34FCB465" w14:textId="13878FAF" w:rsidR="00700B72" w:rsidRDefault="00700B72" w:rsidP="00720BE4">
            <w:pPr>
              <w:pStyle w:val="NoSpacing"/>
              <w:jc w:val="right"/>
            </w:pPr>
            <w:r>
              <w:t>23,660</w:t>
            </w:r>
          </w:p>
        </w:tc>
        <w:tc>
          <w:tcPr>
            <w:tcW w:w="2394" w:type="dxa"/>
            <w:vAlign w:val="center"/>
          </w:tcPr>
          <w:p w14:paraId="5DA1572A" w14:textId="4763D9B9" w:rsidR="00700B72" w:rsidRDefault="00700B72" w:rsidP="00720BE4">
            <w:pPr>
              <w:pStyle w:val="NoSpacing"/>
              <w:jc w:val="right"/>
            </w:pPr>
            <w:r>
              <w:t>0</w:t>
            </w:r>
          </w:p>
        </w:tc>
        <w:tc>
          <w:tcPr>
            <w:tcW w:w="2394" w:type="dxa"/>
            <w:vAlign w:val="center"/>
          </w:tcPr>
          <w:p w14:paraId="1199C33F" w14:textId="42B6B2C0" w:rsidR="00700B72" w:rsidRDefault="00700B72" w:rsidP="00720BE4">
            <w:pPr>
              <w:pStyle w:val="NoSpacing"/>
              <w:jc w:val="right"/>
            </w:pPr>
            <w:r>
              <w:t>23,660</w:t>
            </w:r>
          </w:p>
        </w:tc>
      </w:tr>
      <w:tr w:rsidR="00700B72" w14:paraId="5219BF4D" w14:textId="77777777" w:rsidTr="00720BE4">
        <w:tc>
          <w:tcPr>
            <w:tcW w:w="2394" w:type="dxa"/>
            <w:vAlign w:val="center"/>
          </w:tcPr>
          <w:p w14:paraId="470F0365" w14:textId="5761AC9A" w:rsidR="00700B72" w:rsidRDefault="00700B72" w:rsidP="00720BE4">
            <w:pPr>
              <w:pStyle w:val="NoSpacing"/>
            </w:pPr>
            <w:r>
              <w:t>Hourly Burden</w:t>
            </w:r>
          </w:p>
        </w:tc>
        <w:tc>
          <w:tcPr>
            <w:tcW w:w="2394" w:type="dxa"/>
            <w:vAlign w:val="center"/>
          </w:tcPr>
          <w:p w14:paraId="26021A33" w14:textId="529FED29" w:rsidR="00700B72" w:rsidRDefault="00700B72" w:rsidP="00720BE4">
            <w:pPr>
              <w:pStyle w:val="NoSpacing"/>
              <w:jc w:val="right"/>
            </w:pPr>
            <w:r>
              <w:t>555,098</w:t>
            </w:r>
          </w:p>
        </w:tc>
        <w:tc>
          <w:tcPr>
            <w:tcW w:w="2394" w:type="dxa"/>
            <w:vAlign w:val="center"/>
          </w:tcPr>
          <w:p w14:paraId="39B3EE92" w14:textId="5CA464AD" w:rsidR="00700B72" w:rsidRDefault="00700B72" w:rsidP="00720BE4">
            <w:pPr>
              <w:pStyle w:val="NoSpacing"/>
              <w:jc w:val="right"/>
            </w:pPr>
            <w:r>
              <w:t>0</w:t>
            </w:r>
          </w:p>
        </w:tc>
        <w:tc>
          <w:tcPr>
            <w:tcW w:w="2394" w:type="dxa"/>
            <w:vAlign w:val="center"/>
          </w:tcPr>
          <w:p w14:paraId="46D41AED" w14:textId="75F458CC" w:rsidR="00700B72" w:rsidRDefault="00700B72" w:rsidP="00720BE4">
            <w:pPr>
              <w:pStyle w:val="NoSpacing"/>
              <w:jc w:val="right"/>
            </w:pPr>
            <w:r>
              <w:t>555,098</w:t>
            </w:r>
          </w:p>
        </w:tc>
      </w:tr>
      <w:tr w:rsidR="00720BE4" w14:paraId="5BBCEEDC" w14:textId="77777777" w:rsidTr="00720BE4">
        <w:tc>
          <w:tcPr>
            <w:tcW w:w="2394" w:type="dxa"/>
            <w:vAlign w:val="center"/>
          </w:tcPr>
          <w:p w14:paraId="4793EC90" w14:textId="5927879B" w:rsidR="00720BE4" w:rsidRDefault="00720BE4" w:rsidP="00720BE4">
            <w:pPr>
              <w:pStyle w:val="NoSpacing"/>
            </w:pPr>
            <w:r>
              <w:t>Non-hour</w:t>
            </w:r>
            <w:r w:rsidR="007043D1">
              <w:t>ly</w:t>
            </w:r>
            <w:r>
              <w:t xml:space="preserve"> Costs</w:t>
            </w:r>
          </w:p>
        </w:tc>
        <w:tc>
          <w:tcPr>
            <w:tcW w:w="2394" w:type="dxa"/>
            <w:vAlign w:val="center"/>
          </w:tcPr>
          <w:p w14:paraId="10E72762" w14:textId="369AA805" w:rsidR="00720BE4" w:rsidRDefault="0056204C" w:rsidP="00720BE4">
            <w:pPr>
              <w:pStyle w:val="NoSpacing"/>
              <w:jc w:val="right"/>
            </w:pPr>
            <w:r>
              <w:t>$45,260,187.65</w:t>
            </w:r>
          </w:p>
        </w:tc>
        <w:tc>
          <w:tcPr>
            <w:tcW w:w="2394" w:type="dxa"/>
            <w:vAlign w:val="center"/>
          </w:tcPr>
          <w:p w14:paraId="0EDE90A1" w14:textId="47E821C0" w:rsidR="00720BE4" w:rsidRDefault="0056204C" w:rsidP="00720BE4">
            <w:pPr>
              <w:pStyle w:val="NoSpacing"/>
              <w:jc w:val="right"/>
            </w:pPr>
            <w:r>
              <w:t>$3,256,560.00</w:t>
            </w:r>
          </w:p>
        </w:tc>
        <w:tc>
          <w:tcPr>
            <w:tcW w:w="2394" w:type="dxa"/>
            <w:vAlign w:val="center"/>
          </w:tcPr>
          <w:p w14:paraId="0B5F228B" w14:textId="57A48E53" w:rsidR="00720BE4" w:rsidRDefault="0056204C" w:rsidP="00720BE4">
            <w:pPr>
              <w:pStyle w:val="NoSpacing"/>
              <w:jc w:val="right"/>
            </w:pPr>
            <w:r>
              <w:t>$48,516,747.65</w:t>
            </w:r>
          </w:p>
        </w:tc>
      </w:tr>
    </w:tbl>
    <w:p w14:paraId="4C187663" w14:textId="77777777" w:rsidR="00720BE4" w:rsidRDefault="00720BE4" w:rsidP="00530D85">
      <w:pPr>
        <w:pStyle w:val="NoSpacing"/>
      </w:pPr>
    </w:p>
    <w:p w14:paraId="7CD393F9" w14:textId="2F83B7B0" w:rsidR="00720BE4" w:rsidRDefault="00E608C0" w:rsidP="00530D85">
      <w:pPr>
        <w:pStyle w:val="NoSpacing"/>
      </w:pPr>
      <w:r>
        <w:t>The 0651-006</w:t>
      </w:r>
      <w:r w:rsidR="00720BE4">
        <w:t>3 revised total burden is as follows:</w:t>
      </w:r>
    </w:p>
    <w:p w14:paraId="764E6E22" w14:textId="77777777" w:rsidR="00F44E36" w:rsidRDefault="00F44E36" w:rsidP="00530D85">
      <w:pPr>
        <w:pStyle w:val="NoSpacing"/>
      </w:pPr>
    </w:p>
    <w:p w14:paraId="60CBBC0A" w14:textId="706C48D0" w:rsidR="00E608C0" w:rsidRDefault="00700B72" w:rsidP="00F44E36">
      <w:pPr>
        <w:pStyle w:val="NoSpacing"/>
        <w:numPr>
          <w:ilvl w:val="0"/>
          <w:numId w:val="1"/>
        </w:numPr>
      </w:pPr>
      <w:r w:rsidRPr="00700B72">
        <w:t>23,660</w:t>
      </w:r>
      <w:r w:rsidR="00E608C0">
        <w:t xml:space="preserve"> responses</w:t>
      </w:r>
    </w:p>
    <w:p w14:paraId="454F4A36" w14:textId="287E075E" w:rsidR="00E608C0" w:rsidRDefault="00700B72" w:rsidP="00F44E36">
      <w:pPr>
        <w:pStyle w:val="NoSpacing"/>
        <w:numPr>
          <w:ilvl w:val="0"/>
          <w:numId w:val="1"/>
        </w:numPr>
      </w:pPr>
      <w:r w:rsidRPr="00700B72">
        <w:t>555,098</w:t>
      </w:r>
      <w:r w:rsidR="00E608C0">
        <w:t xml:space="preserve"> hourly burden</w:t>
      </w:r>
    </w:p>
    <w:p w14:paraId="39E413A6" w14:textId="56624239" w:rsidR="00F44E36" w:rsidRPr="00530D85" w:rsidRDefault="00FF6948" w:rsidP="00F44E36">
      <w:pPr>
        <w:pStyle w:val="NoSpacing"/>
        <w:numPr>
          <w:ilvl w:val="0"/>
          <w:numId w:val="1"/>
        </w:numPr>
      </w:pPr>
      <w:r w:rsidRPr="00FF6948">
        <w:t>$48,516,747.65</w:t>
      </w:r>
      <w:r w:rsidR="00B165E5">
        <w:t xml:space="preserve"> </w:t>
      </w:r>
      <w:r w:rsidR="00E608C0">
        <w:t xml:space="preserve">in </w:t>
      </w:r>
      <w:r w:rsidR="0056204C">
        <w:t>non-hour</w:t>
      </w:r>
      <w:r w:rsidR="00E608C0">
        <w:t>ly</w:t>
      </w:r>
      <w:r w:rsidR="0056204C">
        <w:t xml:space="preserve"> cost burden</w:t>
      </w:r>
    </w:p>
    <w:sectPr w:rsidR="00F44E36" w:rsidRPr="00530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5429"/>
    <w:multiLevelType w:val="hybridMultilevel"/>
    <w:tmpl w:val="0212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85"/>
    <w:rsid w:val="00096EAD"/>
    <w:rsid w:val="00124619"/>
    <w:rsid w:val="0021497B"/>
    <w:rsid w:val="003475E1"/>
    <w:rsid w:val="003801A1"/>
    <w:rsid w:val="003C29F5"/>
    <w:rsid w:val="00530D85"/>
    <w:rsid w:val="0056204C"/>
    <w:rsid w:val="00656178"/>
    <w:rsid w:val="00700876"/>
    <w:rsid w:val="00700B72"/>
    <w:rsid w:val="007043D1"/>
    <w:rsid w:val="00720BE4"/>
    <w:rsid w:val="00730C35"/>
    <w:rsid w:val="00736E75"/>
    <w:rsid w:val="00937716"/>
    <w:rsid w:val="00973706"/>
    <w:rsid w:val="00B165E5"/>
    <w:rsid w:val="00B33B7A"/>
    <w:rsid w:val="00C64F7F"/>
    <w:rsid w:val="00D739F8"/>
    <w:rsid w:val="00DA1FAE"/>
    <w:rsid w:val="00E608C0"/>
    <w:rsid w:val="00F0307C"/>
    <w:rsid w:val="00F032F4"/>
    <w:rsid w:val="00F44E36"/>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D85"/>
    <w:pPr>
      <w:spacing w:after="0" w:line="240" w:lineRule="auto"/>
    </w:pPr>
  </w:style>
  <w:style w:type="table" w:styleId="TableGrid">
    <w:name w:val="Table Grid"/>
    <w:basedOn w:val="TableNormal"/>
    <w:uiPriority w:val="59"/>
    <w:rsid w:val="0053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D85"/>
    <w:pPr>
      <w:spacing w:after="0" w:line="240" w:lineRule="auto"/>
    </w:pPr>
  </w:style>
  <w:style w:type="table" w:styleId="TableGrid">
    <w:name w:val="Table Grid"/>
    <w:basedOn w:val="TableNormal"/>
    <w:uiPriority w:val="59"/>
    <w:rsid w:val="0053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3387-CBE3-4C97-B94E-8660B71FFDA7}">
  <ds:schemaRefs>
    <ds:schemaRef ds:uri="http://schemas.microsoft.com/sharepoint/v3/contenttype/forms"/>
  </ds:schemaRefs>
</ds:datastoreItem>
</file>

<file path=customXml/itemProps2.xml><?xml version="1.0" encoding="utf-8"?>
<ds:datastoreItem xmlns:ds="http://schemas.openxmlformats.org/officeDocument/2006/customXml" ds:itemID="{D443E10E-EC20-4523-B565-A581B475E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D031C-DE0E-47FD-9DF5-9779EF782052}">
  <ds:schemaRefs>
    <ds:schemaRef ds:uri="http://schemas.microsoft.com/office/infopath/2007/PartnerControls"/>
    <ds:schemaRef ds:uri="http://purl.org/dc/terms/"/>
    <ds:schemaRef ds:uri="e85de8a9-5cd3-41fe-a1a0-70bc17107555"/>
    <ds:schemaRef ds:uri="http://schemas.microsoft.com/office/2006/documentManagement/types"/>
    <ds:schemaRef ds:uri="http://purl.org/dc/elements/1.1/"/>
    <ds:schemaRef ds:uri="http://schemas.microsoft.com/office/2006/metadata/properties"/>
    <ds:schemaRef ds:uri="http://purl.org/dc/dcmitype/"/>
    <ds:schemaRef ds:uri="5DFC53CF-7C17-4489-98AB-5F87C96333B9"/>
    <ds:schemaRef ds:uri="E85DE8A9-5CD3-41FE-A1A0-70BC17107555"/>
    <ds:schemaRef ds:uri="http://schemas.openxmlformats.org/package/2006/metadata/core-properties"/>
    <ds:schemaRef ds:uri="5dfc53cf-7c17-4489-98ab-5f87c96333b9"/>
    <ds:schemaRef ds:uri="http://www.w3.org/XML/1998/namespace"/>
  </ds:schemaRefs>
</ds:datastoreItem>
</file>

<file path=customXml/itemProps4.xml><?xml version="1.0" encoding="utf-8"?>
<ds:datastoreItem xmlns:ds="http://schemas.openxmlformats.org/officeDocument/2006/customXml" ds:itemID="{B798B410-AA7A-4EF9-B5F9-30CE2ADD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2017-11-09T17:37:00Z</dcterms:created>
  <dcterms:modified xsi:type="dcterms:W3CDTF">2017-11-09T17:37:00Z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