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505" w:rsidRDefault="0034770C" w:rsidP="0034770C">
      <w:pPr>
        <w:pStyle w:val="NoSpacing"/>
        <w:jc w:val="center"/>
        <w:rPr>
          <w:b/>
        </w:rPr>
      </w:pPr>
      <w:r>
        <w:rPr>
          <w:b/>
        </w:rPr>
        <w:t>JUSTIFICATION FOR NONMATERIAL/NONSUBSTANTIVE CHANGE</w:t>
      </w:r>
    </w:p>
    <w:p w:rsidR="0034770C" w:rsidRDefault="006D70E2" w:rsidP="0034770C">
      <w:pPr>
        <w:pStyle w:val="NoSpacing"/>
        <w:jc w:val="center"/>
        <w:rPr>
          <w:b/>
        </w:rPr>
      </w:pPr>
      <w:r>
        <w:rPr>
          <w:b/>
        </w:rPr>
        <w:t>Applications for Trademark Registration</w:t>
      </w:r>
    </w:p>
    <w:p w:rsidR="0034770C" w:rsidRDefault="006D70E2" w:rsidP="0034770C">
      <w:pPr>
        <w:pStyle w:val="NoSpacing"/>
        <w:jc w:val="center"/>
      </w:pPr>
      <w:r>
        <w:rPr>
          <w:b/>
        </w:rPr>
        <w:t>OMB Control Number 0651-0009</w:t>
      </w:r>
    </w:p>
    <w:p w:rsidR="0034770C" w:rsidRDefault="0034770C" w:rsidP="0034770C">
      <w:pPr>
        <w:pStyle w:val="NoSpacing"/>
      </w:pPr>
    </w:p>
    <w:p w:rsidR="0034770C" w:rsidRDefault="0034770C" w:rsidP="0034770C">
      <w:pPr>
        <w:pStyle w:val="NoSpacing"/>
      </w:pPr>
      <w:r>
        <w:rPr>
          <w:u w:val="single"/>
        </w:rPr>
        <w:t xml:space="preserve">Background </w:t>
      </w:r>
    </w:p>
    <w:p w:rsidR="0034770C" w:rsidRDefault="0034770C" w:rsidP="0034770C">
      <w:pPr>
        <w:pStyle w:val="NoSpacing"/>
      </w:pPr>
    </w:p>
    <w:p w:rsidR="006D70E2" w:rsidRPr="006D70E2" w:rsidRDefault="006D70E2" w:rsidP="006D70E2">
      <w:pPr>
        <w:pStyle w:val="NoSpacing"/>
      </w:pPr>
      <w:r w:rsidRPr="006D70E2">
        <w:t xml:space="preserve">The United States Patent and Trademark Office (USPTO) administers the Trademark Act, 15 U.S.C. § 1051 et seq., which provides for the Federal registration of trademarks, service marks, collective trademarks and service marks, collective membership marks, and certification marks.  Individuals and businesses who use their marks, or intend to use their marks, in commerce </w:t>
      </w:r>
      <w:r w:rsidR="00CC79A7">
        <w:t>regulated</w:t>
      </w:r>
      <w:r w:rsidRPr="006D70E2">
        <w:t xml:space="preserve"> by Congress, may file an application with the USPTO to register their marks.  Registered marks remain on the register indefinitely, so long as the owner of the registration files the necessary maintenance documents.  </w:t>
      </w:r>
    </w:p>
    <w:p w:rsidR="0034770C" w:rsidRDefault="0034770C" w:rsidP="0034770C">
      <w:pPr>
        <w:pStyle w:val="NoSpacing"/>
      </w:pPr>
    </w:p>
    <w:p w:rsidR="0034770C" w:rsidRDefault="0034770C" w:rsidP="0034770C">
      <w:pPr>
        <w:pStyle w:val="NoSpacing"/>
      </w:pPr>
      <w:r>
        <w:t xml:space="preserve">The request is to </w:t>
      </w:r>
      <w:r w:rsidR="006D70E2">
        <w:t xml:space="preserve">update the fees </w:t>
      </w:r>
      <w:r w:rsidR="00F75F36">
        <w:t>in</w:t>
      </w:r>
      <w:r w:rsidR="006D70E2">
        <w:t xml:space="preserve"> this collection that are affected by the rulemaking NPRM 0651-AD08.</w:t>
      </w:r>
      <w:r>
        <w:t xml:space="preserve"> </w:t>
      </w:r>
      <w:r w:rsidR="00D75F0F">
        <w:t xml:space="preserve"> Respondent numbers are also changing due to agency discretion in conjunction with the rule.</w:t>
      </w:r>
    </w:p>
    <w:p w:rsidR="0034770C" w:rsidRDefault="0034770C" w:rsidP="0034770C">
      <w:pPr>
        <w:pStyle w:val="NoSpacing"/>
      </w:pPr>
    </w:p>
    <w:p w:rsidR="00CD7384" w:rsidRPr="000D36D4" w:rsidRDefault="0034770C" w:rsidP="0034770C">
      <w:pPr>
        <w:pStyle w:val="NoSpacing"/>
        <w:rPr>
          <w:b/>
        </w:rPr>
      </w:pPr>
      <w:r>
        <w:rPr>
          <w:b/>
        </w:rPr>
        <w:t xml:space="preserve">Fees </w:t>
      </w:r>
    </w:p>
    <w:tbl>
      <w:tblPr>
        <w:tblStyle w:val="TableGrid"/>
        <w:tblW w:w="0" w:type="auto"/>
        <w:jc w:val="center"/>
        <w:tblLook w:val="04A0" w:firstRow="1" w:lastRow="0" w:firstColumn="1" w:lastColumn="0" w:noHBand="0" w:noVBand="1"/>
      </w:tblPr>
      <w:tblGrid>
        <w:gridCol w:w="3627"/>
        <w:gridCol w:w="2421"/>
        <w:gridCol w:w="1679"/>
        <w:gridCol w:w="1849"/>
      </w:tblGrid>
      <w:tr w:rsidR="00D75F0F" w:rsidRPr="001D083E" w:rsidTr="00D75F0F">
        <w:trPr>
          <w:jc w:val="center"/>
        </w:trPr>
        <w:tc>
          <w:tcPr>
            <w:tcW w:w="3627" w:type="dxa"/>
          </w:tcPr>
          <w:p w:rsidR="00D75F0F" w:rsidRPr="001D083E" w:rsidRDefault="00D75F0F" w:rsidP="00201C38">
            <w:pPr>
              <w:pStyle w:val="NoSpacing"/>
              <w:jc w:val="center"/>
              <w:rPr>
                <w:b/>
              </w:rPr>
            </w:pPr>
            <w:r w:rsidRPr="001D083E">
              <w:rPr>
                <w:b/>
              </w:rPr>
              <w:t>Item</w:t>
            </w:r>
          </w:p>
        </w:tc>
        <w:tc>
          <w:tcPr>
            <w:tcW w:w="2421" w:type="dxa"/>
          </w:tcPr>
          <w:p w:rsidR="00D75F0F" w:rsidRPr="001D083E" w:rsidRDefault="00D75F0F" w:rsidP="00201C38">
            <w:pPr>
              <w:pStyle w:val="NoSpacing"/>
              <w:jc w:val="center"/>
              <w:rPr>
                <w:b/>
              </w:rPr>
            </w:pPr>
            <w:r>
              <w:rPr>
                <w:b/>
              </w:rPr>
              <w:t>Currently Approved Fee</w:t>
            </w:r>
          </w:p>
        </w:tc>
        <w:tc>
          <w:tcPr>
            <w:tcW w:w="1679" w:type="dxa"/>
          </w:tcPr>
          <w:p w:rsidR="00D75F0F" w:rsidRPr="001D083E" w:rsidRDefault="00D75F0F" w:rsidP="00201C38">
            <w:pPr>
              <w:pStyle w:val="NoSpacing"/>
              <w:jc w:val="center"/>
              <w:rPr>
                <w:b/>
              </w:rPr>
            </w:pPr>
            <w:r>
              <w:rPr>
                <w:b/>
              </w:rPr>
              <w:t>Proposed Fee</w:t>
            </w:r>
          </w:p>
        </w:tc>
        <w:tc>
          <w:tcPr>
            <w:tcW w:w="1849" w:type="dxa"/>
          </w:tcPr>
          <w:p w:rsidR="00D75F0F" w:rsidRPr="001D083E" w:rsidRDefault="000D36D4" w:rsidP="00201C38">
            <w:pPr>
              <w:pStyle w:val="NoSpacing"/>
              <w:jc w:val="center"/>
              <w:rPr>
                <w:b/>
              </w:rPr>
            </w:pPr>
            <w:r>
              <w:rPr>
                <w:b/>
              </w:rPr>
              <w:t>Fee Increase</w:t>
            </w:r>
          </w:p>
        </w:tc>
      </w:tr>
      <w:tr w:rsidR="00D75F0F" w:rsidTr="00D75F0F">
        <w:trPr>
          <w:jc w:val="center"/>
        </w:trPr>
        <w:tc>
          <w:tcPr>
            <w:tcW w:w="3627" w:type="dxa"/>
          </w:tcPr>
          <w:p w:rsidR="00D75F0F" w:rsidRDefault="00D75F0F" w:rsidP="00F3782C">
            <w:pPr>
              <w:pStyle w:val="NoSpacing"/>
            </w:pPr>
            <w:r w:rsidRPr="00F3782C">
              <w:t>Filing an Application on Paper, per Class</w:t>
            </w:r>
          </w:p>
        </w:tc>
        <w:tc>
          <w:tcPr>
            <w:tcW w:w="2421" w:type="dxa"/>
          </w:tcPr>
          <w:p w:rsidR="00D75F0F" w:rsidRDefault="00D75F0F" w:rsidP="00201C38">
            <w:pPr>
              <w:pStyle w:val="NoSpacing"/>
              <w:jc w:val="right"/>
            </w:pPr>
            <w:r>
              <w:t>$375</w:t>
            </w:r>
          </w:p>
        </w:tc>
        <w:tc>
          <w:tcPr>
            <w:tcW w:w="1679" w:type="dxa"/>
          </w:tcPr>
          <w:p w:rsidR="00D75F0F" w:rsidRDefault="00D75F0F" w:rsidP="00F3782C">
            <w:pPr>
              <w:pStyle w:val="NoSpacing"/>
              <w:jc w:val="right"/>
            </w:pPr>
            <w:r>
              <w:t>$600</w:t>
            </w:r>
          </w:p>
        </w:tc>
        <w:tc>
          <w:tcPr>
            <w:tcW w:w="1849" w:type="dxa"/>
          </w:tcPr>
          <w:p w:rsidR="00D75F0F" w:rsidRDefault="00D75F0F" w:rsidP="000D36D4">
            <w:pPr>
              <w:pStyle w:val="NoSpacing"/>
              <w:jc w:val="right"/>
            </w:pPr>
            <w:r>
              <w:t>$</w:t>
            </w:r>
            <w:r w:rsidR="000D36D4">
              <w:t>225</w:t>
            </w:r>
          </w:p>
        </w:tc>
      </w:tr>
      <w:tr w:rsidR="00D75F0F" w:rsidTr="00D75F0F">
        <w:trPr>
          <w:jc w:val="center"/>
        </w:trPr>
        <w:tc>
          <w:tcPr>
            <w:tcW w:w="3627" w:type="dxa"/>
          </w:tcPr>
          <w:p w:rsidR="00D75F0F" w:rsidRDefault="00D75F0F" w:rsidP="00201C38">
            <w:pPr>
              <w:pStyle w:val="NoSpacing"/>
            </w:pPr>
            <w:r w:rsidRPr="00F3782C">
              <w:t>Filing and Application through TEAS, per Class</w:t>
            </w:r>
          </w:p>
        </w:tc>
        <w:tc>
          <w:tcPr>
            <w:tcW w:w="2421" w:type="dxa"/>
          </w:tcPr>
          <w:p w:rsidR="00D75F0F" w:rsidRDefault="00D75F0F" w:rsidP="00201C38">
            <w:pPr>
              <w:pStyle w:val="NoSpacing"/>
              <w:jc w:val="right"/>
            </w:pPr>
            <w:r>
              <w:t>$325</w:t>
            </w:r>
          </w:p>
        </w:tc>
        <w:tc>
          <w:tcPr>
            <w:tcW w:w="1679" w:type="dxa"/>
          </w:tcPr>
          <w:p w:rsidR="00D75F0F" w:rsidRDefault="00D75F0F" w:rsidP="00F3782C">
            <w:pPr>
              <w:pStyle w:val="NoSpacing"/>
              <w:jc w:val="right"/>
            </w:pPr>
            <w:r>
              <w:t>$400</w:t>
            </w:r>
          </w:p>
        </w:tc>
        <w:tc>
          <w:tcPr>
            <w:tcW w:w="1849" w:type="dxa"/>
          </w:tcPr>
          <w:p w:rsidR="00D75F0F" w:rsidRDefault="00D75F0F" w:rsidP="000D36D4">
            <w:pPr>
              <w:pStyle w:val="NoSpacing"/>
              <w:jc w:val="right"/>
            </w:pPr>
            <w:r>
              <w:t>$</w:t>
            </w:r>
            <w:r w:rsidR="000D36D4">
              <w:t>75</w:t>
            </w:r>
          </w:p>
        </w:tc>
      </w:tr>
    </w:tbl>
    <w:p w:rsidR="0034770C" w:rsidRDefault="0034770C" w:rsidP="0034770C">
      <w:pPr>
        <w:pStyle w:val="NoSpacing"/>
      </w:pPr>
    </w:p>
    <w:p w:rsidR="00D75F0F" w:rsidRDefault="00D75F0F" w:rsidP="0034770C">
      <w:pPr>
        <w:pStyle w:val="NoSpacing"/>
        <w:rPr>
          <w:b/>
        </w:rPr>
      </w:pPr>
      <w:r>
        <w:rPr>
          <w:b/>
        </w:rPr>
        <w:t>Respondents</w:t>
      </w:r>
    </w:p>
    <w:tbl>
      <w:tblPr>
        <w:tblStyle w:val="TableGrid"/>
        <w:tblW w:w="0" w:type="auto"/>
        <w:jc w:val="center"/>
        <w:tblLook w:val="04A0" w:firstRow="1" w:lastRow="0" w:firstColumn="1" w:lastColumn="0" w:noHBand="0" w:noVBand="1"/>
      </w:tblPr>
      <w:tblGrid>
        <w:gridCol w:w="3627"/>
        <w:gridCol w:w="2421"/>
        <w:gridCol w:w="1679"/>
        <w:gridCol w:w="1849"/>
      </w:tblGrid>
      <w:tr w:rsidR="00D75F0F" w:rsidRPr="001D083E" w:rsidTr="00965608">
        <w:trPr>
          <w:jc w:val="center"/>
        </w:trPr>
        <w:tc>
          <w:tcPr>
            <w:tcW w:w="3627" w:type="dxa"/>
          </w:tcPr>
          <w:p w:rsidR="00D75F0F" w:rsidRPr="001D083E" w:rsidRDefault="00D75F0F" w:rsidP="00965608">
            <w:pPr>
              <w:pStyle w:val="NoSpacing"/>
              <w:jc w:val="center"/>
              <w:rPr>
                <w:b/>
              </w:rPr>
            </w:pPr>
            <w:r w:rsidRPr="001D083E">
              <w:rPr>
                <w:b/>
              </w:rPr>
              <w:t>Item</w:t>
            </w:r>
          </w:p>
        </w:tc>
        <w:tc>
          <w:tcPr>
            <w:tcW w:w="2421" w:type="dxa"/>
          </w:tcPr>
          <w:p w:rsidR="00D75F0F" w:rsidRPr="001D083E" w:rsidRDefault="00D75F0F" w:rsidP="00D75F0F">
            <w:pPr>
              <w:pStyle w:val="NoSpacing"/>
              <w:jc w:val="center"/>
              <w:rPr>
                <w:b/>
              </w:rPr>
            </w:pPr>
            <w:r>
              <w:rPr>
                <w:b/>
              </w:rPr>
              <w:t>Currently Approved Respondents</w:t>
            </w:r>
          </w:p>
        </w:tc>
        <w:tc>
          <w:tcPr>
            <w:tcW w:w="1679" w:type="dxa"/>
          </w:tcPr>
          <w:p w:rsidR="00D75F0F" w:rsidRPr="001D083E" w:rsidRDefault="00D75F0F" w:rsidP="00D75F0F">
            <w:pPr>
              <w:pStyle w:val="NoSpacing"/>
              <w:jc w:val="center"/>
              <w:rPr>
                <w:b/>
              </w:rPr>
            </w:pPr>
            <w:r>
              <w:rPr>
                <w:b/>
              </w:rPr>
              <w:t>Proposed Respondents</w:t>
            </w:r>
          </w:p>
        </w:tc>
        <w:tc>
          <w:tcPr>
            <w:tcW w:w="1849" w:type="dxa"/>
          </w:tcPr>
          <w:p w:rsidR="00D75F0F" w:rsidRPr="001D083E" w:rsidRDefault="000D36D4" w:rsidP="00965608">
            <w:pPr>
              <w:pStyle w:val="NoSpacing"/>
              <w:jc w:val="center"/>
              <w:rPr>
                <w:b/>
              </w:rPr>
            </w:pPr>
            <w:r>
              <w:rPr>
                <w:b/>
              </w:rPr>
              <w:t>Respondent Increase</w:t>
            </w:r>
          </w:p>
        </w:tc>
      </w:tr>
      <w:tr w:rsidR="00D75F0F" w:rsidTr="00965608">
        <w:trPr>
          <w:jc w:val="center"/>
        </w:trPr>
        <w:tc>
          <w:tcPr>
            <w:tcW w:w="3627" w:type="dxa"/>
          </w:tcPr>
          <w:p w:rsidR="00D75F0F" w:rsidRDefault="00D75F0F" w:rsidP="00965608">
            <w:pPr>
              <w:pStyle w:val="NoSpacing"/>
            </w:pPr>
            <w:r w:rsidRPr="00F3782C">
              <w:t>Filing an Application on Paper, per Class</w:t>
            </w:r>
          </w:p>
        </w:tc>
        <w:tc>
          <w:tcPr>
            <w:tcW w:w="2421" w:type="dxa"/>
          </w:tcPr>
          <w:p w:rsidR="00D75F0F" w:rsidRDefault="00E04376" w:rsidP="00965608">
            <w:pPr>
              <w:pStyle w:val="NoSpacing"/>
              <w:jc w:val="right"/>
            </w:pPr>
            <w:r>
              <w:t>214</w:t>
            </w:r>
          </w:p>
        </w:tc>
        <w:tc>
          <w:tcPr>
            <w:tcW w:w="1679" w:type="dxa"/>
          </w:tcPr>
          <w:p w:rsidR="00D75F0F" w:rsidRDefault="00E04376" w:rsidP="00965608">
            <w:pPr>
              <w:pStyle w:val="NoSpacing"/>
              <w:jc w:val="right"/>
            </w:pPr>
            <w:r>
              <w:t>1,142</w:t>
            </w:r>
          </w:p>
        </w:tc>
        <w:tc>
          <w:tcPr>
            <w:tcW w:w="1849" w:type="dxa"/>
          </w:tcPr>
          <w:p w:rsidR="00D75F0F" w:rsidRDefault="000D36D4" w:rsidP="00965608">
            <w:pPr>
              <w:pStyle w:val="NoSpacing"/>
              <w:jc w:val="right"/>
            </w:pPr>
            <w:r>
              <w:t>928</w:t>
            </w:r>
          </w:p>
        </w:tc>
      </w:tr>
      <w:tr w:rsidR="00D75F0F" w:rsidTr="00965608">
        <w:trPr>
          <w:jc w:val="center"/>
        </w:trPr>
        <w:tc>
          <w:tcPr>
            <w:tcW w:w="3627" w:type="dxa"/>
          </w:tcPr>
          <w:p w:rsidR="00D75F0F" w:rsidRDefault="00D75F0F" w:rsidP="00965608">
            <w:pPr>
              <w:pStyle w:val="NoSpacing"/>
            </w:pPr>
            <w:r w:rsidRPr="00F3782C">
              <w:t>Filing and Application through TEAS, per Class</w:t>
            </w:r>
          </w:p>
        </w:tc>
        <w:tc>
          <w:tcPr>
            <w:tcW w:w="2421" w:type="dxa"/>
          </w:tcPr>
          <w:p w:rsidR="00D75F0F" w:rsidRDefault="00E04376" w:rsidP="00965608">
            <w:pPr>
              <w:pStyle w:val="NoSpacing"/>
              <w:jc w:val="right"/>
            </w:pPr>
            <w:r>
              <w:t>5,783</w:t>
            </w:r>
          </w:p>
        </w:tc>
        <w:tc>
          <w:tcPr>
            <w:tcW w:w="1679" w:type="dxa"/>
          </w:tcPr>
          <w:p w:rsidR="00D75F0F" w:rsidRDefault="00E04376" w:rsidP="00965608">
            <w:pPr>
              <w:pStyle w:val="NoSpacing"/>
              <w:jc w:val="right"/>
            </w:pPr>
            <w:r>
              <w:t>41,996</w:t>
            </w:r>
          </w:p>
        </w:tc>
        <w:tc>
          <w:tcPr>
            <w:tcW w:w="1849" w:type="dxa"/>
          </w:tcPr>
          <w:p w:rsidR="00D75F0F" w:rsidRDefault="000D36D4" w:rsidP="000D36D4">
            <w:pPr>
              <w:pStyle w:val="NoSpacing"/>
              <w:jc w:val="right"/>
            </w:pPr>
            <w:r>
              <w:t>36,213</w:t>
            </w:r>
          </w:p>
        </w:tc>
      </w:tr>
      <w:tr w:rsidR="000D36D4" w:rsidTr="00965608">
        <w:trPr>
          <w:jc w:val="center"/>
        </w:trPr>
        <w:tc>
          <w:tcPr>
            <w:tcW w:w="3627" w:type="dxa"/>
          </w:tcPr>
          <w:p w:rsidR="000D36D4" w:rsidRPr="000D36D4" w:rsidRDefault="000D36D4" w:rsidP="00965608">
            <w:pPr>
              <w:pStyle w:val="NoSpacing"/>
              <w:rPr>
                <w:b/>
              </w:rPr>
            </w:pPr>
            <w:r w:rsidRPr="000D36D4">
              <w:rPr>
                <w:b/>
              </w:rPr>
              <w:t>Total</w:t>
            </w:r>
            <w:r>
              <w:rPr>
                <w:b/>
              </w:rPr>
              <w:t>s</w:t>
            </w:r>
          </w:p>
        </w:tc>
        <w:tc>
          <w:tcPr>
            <w:tcW w:w="2421" w:type="dxa"/>
          </w:tcPr>
          <w:p w:rsidR="000D36D4" w:rsidRDefault="00D95F98" w:rsidP="00965608">
            <w:pPr>
              <w:pStyle w:val="NoSpacing"/>
              <w:jc w:val="right"/>
            </w:pPr>
            <w:r>
              <w:t>---</w:t>
            </w:r>
          </w:p>
        </w:tc>
        <w:tc>
          <w:tcPr>
            <w:tcW w:w="1679" w:type="dxa"/>
          </w:tcPr>
          <w:p w:rsidR="000D36D4" w:rsidRDefault="000D36D4" w:rsidP="00965608">
            <w:pPr>
              <w:pStyle w:val="NoSpacing"/>
              <w:jc w:val="right"/>
            </w:pPr>
            <w:r>
              <w:t>---</w:t>
            </w:r>
          </w:p>
        </w:tc>
        <w:tc>
          <w:tcPr>
            <w:tcW w:w="1849" w:type="dxa"/>
          </w:tcPr>
          <w:p w:rsidR="000D36D4" w:rsidRPr="000D36D4" w:rsidRDefault="001022C9" w:rsidP="000D36D4">
            <w:pPr>
              <w:pStyle w:val="NoSpacing"/>
              <w:jc w:val="right"/>
              <w:rPr>
                <w:b/>
              </w:rPr>
            </w:pPr>
            <w:r>
              <w:rPr>
                <w:b/>
              </w:rPr>
              <w:t>37,141</w:t>
            </w:r>
          </w:p>
        </w:tc>
      </w:tr>
    </w:tbl>
    <w:p w:rsidR="00D75F0F" w:rsidRDefault="00D75F0F" w:rsidP="0034770C">
      <w:pPr>
        <w:pStyle w:val="NoSpacing"/>
        <w:rPr>
          <w:b/>
        </w:rPr>
      </w:pPr>
    </w:p>
    <w:p w:rsidR="00D75F0F" w:rsidRPr="00D75F0F" w:rsidRDefault="00C37C91" w:rsidP="0034770C">
      <w:pPr>
        <w:pStyle w:val="NoSpacing"/>
        <w:rPr>
          <w:b/>
        </w:rPr>
      </w:pPr>
      <w:r>
        <w:rPr>
          <w:b/>
        </w:rPr>
        <w:t>Fee Total Increases</w:t>
      </w:r>
    </w:p>
    <w:tbl>
      <w:tblPr>
        <w:tblStyle w:val="TableGrid"/>
        <w:tblW w:w="5000" w:type="pct"/>
        <w:jc w:val="center"/>
        <w:tblLook w:val="04A0" w:firstRow="1" w:lastRow="0" w:firstColumn="1" w:lastColumn="0" w:noHBand="0" w:noVBand="1"/>
      </w:tblPr>
      <w:tblGrid>
        <w:gridCol w:w="4001"/>
        <w:gridCol w:w="1831"/>
        <w:gridCol w:w="1873"/>
        <w:gridCol w:w="1871"/>
      </w:tblGrid>
      <w:tr w:rsidR="00C37C91" w:rsidRPr="001D083E" w:rsidTr="00C37C91">
        <w:trPr>
          <w:jc w:val="center"/>
        </w:trPr>
        <w:tc>
          <w:tcPr>
            <w:tcW w:w="2089" w:type="pct"/>
          </w:tcPr>
          <w:p w:rsidR="00C37C91" w:rsidRPr="001D083E" w:rsidRDefault="00C37C91" w:rsidP="00965608">
            <w:pPr>
              <w:pStyle w:val="NoSpacing"/>
              <w:jc w:val="center"/>
              <w:rPr>
                <w:b/>
              </w:rPr>
            </w:pPr>
            <w:r w:rsidRPr="001D083E">
              <w:rPr>
                <w:b/>
              </w:rPr>
              <w:t>Item</w:t>
            </w:r>
          </w:p>
        </w:tc>
        <w:tc>
          <w:tcPr>
            <w:tcW w:w="956" w:type="pct"/>
          </w:tcPr>
          <w:p w:rsidR="00C37C91" w:rsidRDefault="00C37C91" w:rsidP="00965608">
            <w:pPr>
              <w:pStyle w:val="NoSpacing"/>
              <w:jc w:val="center"/>
              <w:rPr>
                <w:b/>
              </w:rPr>
            </w:pPr>
            <w:r>
              <w:rPr>
                <w:b/>
              </w:rPr>
              <w:t>Currently Approved Estimate</w:t>
            </w:r>
          </w:p>
        </w:tc>
        <w:tc>
          <w:tcPr>
            <w:tcW w:w="978" w:type="pct"/>
          </w:tcPr>
          <w:p w:rsidR="00C37C91" w:rsidRPr="001D083E" w:rsidRDefault="00C37C91" w:rsidP="00965608">
            <w:pPr>
              <w:pStyle w:val="NoSpacing"/>
              <w:jc w:val="center"/>
              <w:rPr>
                <w:b/>
              </w:rPr>
            </w:pPr>
            <w:r>
              <w:rPr>
                <w:b/>
              </w:rPr>
              <w:t>Proposed  Estimate</w:t>
            </w:r>
          </w:p>
        </w:tc>
        <w:tc>
          <w:tcPr>
            <w:tcW w:w="978" w:type="pct"/>
          </w:tcPr>
          <w:p w:rsidR="00C37C91" w:rsidRDefault="00C37C91" w:rsidP="00965608">
            <w:pPr>
              <w:pStyle w:val="NoSpacing"/>
              <w:jc w:val="center"/>
              <w:rPr>
                <w:b/>
              </w:rPr>
            </w:pPr>
            <w:r>
              <w:rPr>
                <w:b/>
              </w:rPr>
              <w:t>Fee Increases</w:t>
            </w:r>
          </w:p>
        </w:tc>
      </w:tr>
      <w:tr w:rsidR="00C37C91" w:rsidTr="00C37C91">
        <w:trPr>
          <w:jc w:val="center"/>
        </w:trPr>
        <w:tc>
          <w:tcPr>
            <w:tcW w:w="2089" w:type="pct"/>
          </w:tcPr>
          <w:p w:rsidR="00C37C91" w:rsidRDefault="00C37C91" w:rsidP="00965608">
            <w:pPr>
              <w:pStyle w:val="NoSpacing"/>
            </w:pPr>
            <w:r w:rsidRPr="00F3782C">
              <w:t>Filing an Application on Paper, per Class</w:t>
            </w:r>
          </w:p>
        </w:tc>
        <w:tc>
          <w:tcPr>
            <w:tcW w:w="956" w:type="pct"/>
          </w:tcPr>
          <w:p w:rsidR="00C37C91" w:rsidRDefault="00C37C91" w:rsidP="00965608">
            <w:pPr>
              <w:pStyle w:val="NoSpacing"/>
              <w:jc w:val="right"/>
            </w:pPr>
            <w:r>
              <w:t>$80,250</w:t>
            </w:r>
          </w:p>
        </w:tc>
        <w:tc>
          <w:tcPr>
            <w:tcW w:w="978" w:type="pct"/>
          </w:tcPr>
          <w:p w:rsidR="00C37C91" w:rsidRDefault="00C37C91" w:rsidP="00C37C91">
            <w:pPr>
              <w:pStyle w:val="NoSpacing"/>
              <w:jc w:val="right"/>
            </w:pPr>
            <w:r>
              <w:t>$685,200</w:t>
            </w:r>
          </w:p>
        </w:tc>
        <w:tc>
          <w:tcPr>
            <w:tcW w:w="978" w:type="pct"/>
          </w:tcPr>
          <w:p w:rsidR="00C37C91" w:rsidRDefault="00C37C91" w:rsidP="00965608">
            <w:pPr>
              <w:pStyle w:val="NoSpacing"/>
              <w:jc w:val="right"/>
            </w:pPr>
            <w:r>
              <w:t>$604,950</w:t>
            </w:r>
          </w:p>
        </w:tc>
      </w:tr>
      <w:tr w:rsidR="00C37C91" w:rsidTr="00C37C91">
        <w:trPr>
          <w:jc w:val="center"/>
        </w:trPr>
        <w:tc>
          <w:tcPr>
            <w:tcW w:w="2089" w:type="pct"/>
          </w:tcPr>
          <w:p w:rsidR="00C37C91" w:rsidRDefault="00C37C91" w:rsidP="00965608">
            <w:pPr>
              <w:pStyle w:val="NoSpacing"/>
            </w:pPr>
            <w:r w:rsidRPr="00F3782C">
              <w:t>Filing and Application through TEAS, per Class</w:t>
            </w:r>
          </w:p>
        </w:tc>
        <w:tc>
          <w:tcPr>
            <w:tcW w:w="956" w:type="pct"/>
          </w:tcPr>
          <w:p w:rsidR="00C37C91" w:rsidRDefault="00C37C91" w:rsidP="00965608">
            <w:pPr>
              <w:pStyle w:val="NoSpacing"/>
              <w:jc w:val="right"/>
            </w:pPr>
            <w:r>
              <w:t>$1,879,475</w:t>
            </w:r>
          </w:p>
        </w:tc>
        <w:tc>
          <w:tcPr>
            <w:tcW w:w="978" w:type="pct"/>
          </w:tcPr>
          <w:p w:rsidR="00C37C91" w:rsidRDefault="00C37C91" w:rsidP="00965608">
            <w:pPr>
              <w:pStyle w:val="NoSpacing"/>
              <w:jc w:val="right"/>
            </w:pPr>
            <w:r>
              <w:t>$16,798,400</w:t>
            </w:r>
          </w:p>
        </w:tc>
        <w:tc>
          <w:tcPr>
            <w:tcW w:w="978" w:type="pct"/>
          </w:tcPr>
          <w:p w:rsidR="00C37C91" w:rsidRDefault="00C37C91" w:rsidP="00965608">
            <w:pPr>
              <w:pStyle w:val="NoSpacing"/>
              <w:jc w:val="right"/>
            </w:pPr>
            <w:r>
              <w:t>$14,918,925</w:t>
            </w:r>
          </w:p>
        </w:tc>
      </w:tr>
      <w:tr w:rsidR="00C37C91" w:rsidTr="00C37C91">
        <w:trPr>
          <w:jc w:val="center"/>
        </w:trPr>
        <w:tc>
          <w:tcPr>
            <w:tcW w:w="2089" w:type="pct"/>
          </w:tcPr>
          <w:p w:rsidR="00C37C91" w:rsidRPr="000D36D4" w:rsidRDefault="00C37C91" w:rsidP="00965608">
            <w:pPr>
              <w:pStyle w:val="NoSpacing"/>
              <w:rPr>
                <w:b/>
              </w:rPr>
            </w:pPr>
            <w:r>
              <w:rPr>
                <w:b/>
              </w:rPr>
              <w:t>Totals</w:t>
            </w:r>
          </w:p>
        </w:tc>
        <w:tc>
          <w:tcPr>
            <w:tcW w:w="956" w:type="pct"/>
          </w:tcPr>
          <w:p w:rsidR="00C37C91" w:rsidRPr="00C37C91" w:rsidRDefault="00D95F98" w:rsidP="00965608">
            <w:pPr>
              <w:pStyle w:val="NoSpacing"/>
              <w:jc w:val="right"/>
              <w:rPr>
                <w:b/>
              </w:rPr>
            </w:pPr>
            <w:r>
              <w:rPr>
                <w:b/>
              </w:rPr>
              <w:t>---</w:t>
            </w:r>
          </w:p>
        </w:tc>
        <w:tc>
          <w:tcPr>
            <w:tcW w:w="978" w:type="pct"/>
          </w:tcPr>
          <w:p w:rsidR="00C37C91" w:rsidRPr="00C37C91" w:rsidRDefault="00D95F98" w:rsidP="00965608">
            <w:pPr>
              <w:pStyle w:val="NoSpacing"/>
              <w:jc w:val="right"/>
              <w:rPr>
                <w:b/>
              </w:rPr>
            </w:pPr>
            <w:r>
              <w:rPr>
                <w:b/>
              </w:rPr>
              <w:t>---</w:t>
            </w:r>
          </w:p>
        </w:tc>
        <w:tc>
          <w:tcPr>
            <w:tcW w:w="978" w:type="pct"/>
          </w:tcPr>
          <w:p w:rsidR="00C37C91" w:rsidRPr="00C37C91" w:rsidRDefault="00C37C91" w:rsidP="00965608">
            <w:pPr>
              <w:pStyle w:val="NoSpacing"/>
              <w:jc w:val="right"/>
              <w:rPr>
                <w:b/>
              </w:rPr>
            </w:pPr>
            <w:r>
              <w:rPr>
                <w:b/>
              </w:rPr>
              <w:t>$15,523,875</w:t>
            </w:r>
          </w:p>
        </w:tc>
      </w:tr>
    </w:tbl>
    <w:p w:rsidR="00E04376" w:rsidRDefault="00E04376" w:rsidP="0034770C">
      <w:pPr>
        <w:pStyle w:val="NoSpacing"/>
      </w:pPr>
    </w:p>
    <w:p w:rsidR="00E04376" w:rsidRDefault="00E04376" w:rsidP="0034770C">
      <w:pPr>
        <w:pStyle w:val="NoSpacing"/>
      </w:pPr>
    </w:p>
    <w:p w:rsidR="00EA1642" w:rsidRDefault="00EA1642" w:rsidP="0034770C">
      <w:pPr>
        <w:pStyle w:val="NoSpacing"/>
      </w:pPr>
      <w:r>
        <w:rPr>
          <w:u w:val="single"/>
        </w:rPr>
        <w:t>Summary of Changes</w:t>
      </w:r>
    </w:p>
    <w:p w:rsidR="00EA1642" w:rsidRDefault="00EA1642" w:rsidP="0034770C">
      <w:pPr>
        <w:pStyle w:val="NoSpacing"/>
      </w:pPr>
    </w:p>
    <w:p w:rsidR="00A04A7A" w:rsidRDefault="00A04A7A" w:rsidP="0034770C">
      <w:pPr>
        <w:pStyle w:val="NoSpacing"/>
      </w:pPr>
      <w:r>
        <w:t xml:space="preserve">The addition of </w:t>
      </w:r>
      <w:r w:rsidR="00D47E71">
        <w:t>$</w:t>
      </w:r>
      <w:r w:rsidR="001022C9">
        <w:t>15,523,875</w:t>
      </w:r>
      <w:r>
        <w:t xml:space="preserve"> in fees</w:t>
      </w:r>
      <w:r w:rsidR="00515455">
        <w:t xml:space="preserve"> and 37,141</w:t>
      </w:r>
      <w:r w:rsidR="00F1298E">
        <w:t xml:space="preserve"> responses</w:t>
      </w:r>
      <w:r>
        <w:t xml:space="preserve"> to collection 0651-00</w:t>
      </w:r>
      <w:r w:rsidR="006D70E2">
        <w:t>09</w:t>
      </w:r>
      <w:r w:rsidR="00C311EB">
        <w:t xml:space="preserve"> is to account for the</w:t>
      </w:r>
      <w:r>
        <w:t xml:space="preserve"> </w:t>
      </w:r>
      <w:r w:rsidR="00F1298E">
        <w:t>changes</w:t>
      </w:r>
      <w:r>
        <w:t xml:space="preserve"> following </w:t>
      </w:r>
      <w:r w:rsidR="00F1298E">
        <w:t xml:space="preserve">the </w:t>
      </w:r>
      <w:r w:rsidR="00CC79A7">
        <w:t>rulemaking</w:t>
      </w:r>
      <w:r w:rsidR="006D70E2">
        <w:t xml:space="preserve"> action NPRM 0651-AD08</w:t>
      </w:r>
      <w:r>
        <w:t xml:space="preserve">. </w:t>
      </w:r>
    </w:p>
    <w:p w:rsidR="00EA1642" w:rsidRDefault="00EA1642" w:rsidP="0034770C">
      <w:pPr>
        <w:pStyle w:val="NoSpacing"/>
      </w:pPr>
    </w:p>
    <w:p w:rsidR="00EA1642" w:rsidRDefault="00EA1642" w:rsidP="0034770C">
      <w:pPr>
        <w:pStyle w:val="NoSpacing"/>
      </w:pPr>
      <w:r>
        <w:rPr>
          <w:u w:val="single"/>
        </w:rPr>
        <w:lastRenderedPageBreak/>
        <w:t>Changes in Burden</w:t>
      </w:r>
    </w:p>
    <w:p w:rsidR="00EA1642" w:rsidRDefault="00EA1642" w:rsidP="0034770C">
      <w:pPr>
        <w:pStyle w:val="NoSpacing"/>
      </w:pPr>
    </w:p>
    <w:tbl>
      <w:tblPr>
        <w:tblStyle w:val="TableGrid"/>
        <w:tblW w:w="0" w:type="auto"/>
        <w:tblLook w:val="04A0" w:firstRow="1" w:lastRow="0" w:firstColumn="1" w:lastColumn="0" w:noHBand="0" w:noVBand="1"/>
      </w:tblPr>
      <w:tblGrid>
        <w:gridCol w:w="3078"/>
        <w:gridCol w:w="2340"/>
        <w:gridCol w:w="2250"/>
        <w:gridCol w:w="1908"/>
      </w:tblGrid>
      <w:tr w:rsidR="00D47E71" w:rsidTr="00EA1642">
        <w:tc>
          <w:tcPr>
            <w:tcW w:w="3078" w:type="dxa"/>
          </w:tcPr>
          <w:p w:rsidR="00EA1642" w:rsidRPr="00181ED5" w:rsidRDefault="00EA1642" w:rsidP="00201C38">
            <w:pPr>
              <w:pStyle w:val="NoSpacing"/>
              <w:jc w:val="center"/>
              <w:rPr>
                <w:b/>
              </w:rPr>
            </w:pPr>
            <w:r>
              <w:rPr>
                <w:b/>
              </w:rPr>
              <w:t>Burden Type</w:t>
            </w:r>
          </w:p>
        </w:tc>
        <w:tc>
          <w:tcPr>
            <w:tcW w:w="2340" w:type="dxa"/>
          </w:tcPr>
          <w:p w:rsidR="00EA1642" w:rsidRPr="00181ED5" w:rsidRDefault="00EA1642" w:rsidP="00201C38">
            <w:pPr>
              <w:pStyle w:val="NoSpacing"/>
              <w:jc w:val="center"/>
              <w:rPr>
                <w:b/>
              </w:rPr>
            </w:pPr>
            <w:r>
              <w:rPr>
                <w:b/>
              </w:rPr>
              <w:t>Currently Approved</w:t>
            </w:r>
          </w:p>
        </w:tc>
        <w:tc>
          <w:tcPr>
            <w:tcW w:w="2250" w:type="dxa"/>
          </w:tcPr>
          <w:p w:rsidR="00EA1642" w:rsidRPr="00181ED5" w:rsidRDefault="00EA1642" w:rsidP="00201C38">
            <w:pPr>
              <w:pStyle w:val="NoSpacing"/>
              <w:jc w:val="center"/>
              <w:rPr>
                <w:b/>
              </w:rPr>
            </w:pPr>
            <w:r>
              <w:rPr>
                <w:b/>
              </w:rPr>
              <w:t>Proposed Change</w:t>
            </w:r>
          </w:p>
        </w:tc>
        <w:tc>
          <w:tcPr>
            <w:tcW w:w="1908" w:type="dxa"/>
          </w:tcPr>
          <w:p w:rsidR="00EA1642" w:rsidRPr="00181ED5" w:rsidRDefault="00EA1642" w:rsidP="00201C38">
            <w:pPr>
              <w:pStyle w:val="NoSpacing"/>
              <w:jc w:val="center"/>
              <w:rPr>
                <w:b/>
              </w:rPr>
            </w:pPr>
            <w:r>
              <w:rPr>
                <w:b/>
              </w:rPr>
              <w:t>New Estimate</w:t>
            </w:r>
          </w:p>
        </w:tc>
      </w:tr>
      <w:tr w:rsidR="00D47E71" w:rsidTr="00EA1642">
        <w:tc>
          <w:tcPr>
            <w:tcW w:w="3078" w:type="dxa"/>
          </w:tcPr>
          <w:p w:rsidR="00EA1642" w:rsidRDefault="00D75F0F" w:rsidP="00201C38">
            <w:pPr>
              <w:pStyle w:val="NoSpacing"/>
            </w:pPr>
            <w:r>
              <w:t>Respondents</w:t>
            </w:r>
          </w:p>
        </w:tc>
        <w:tc>
          <w:tcPr>
            <w:tcW w:w="2340" w:type="dxa"/>
          </w:tcPr>
          <w:p w:rsidR="00EA1642" w:rsidRDefault="003F7226" w:rsidP="00EA1642">
            <w:pPr>
              <w:pStyle w:val="NoSpacing"/>
              <w:jc w:val="right"/>
            </w:pPr>
            <w:r>
              <w:t>387,981</w:t>
            </w:r>
          </w:p>
        </w:tc>
        <w:tc>
          <w:tcPr>
            <w:tcW w:w="2250" w:type="dxa"/>
          </w:tcPr>
          <w:p w:rsidR="00EA1642" w:rsidRDefault="003F7226" w:rsidP="00EA1642">
            <w:pPr>
              <w:pStyle w:val="NoSpacing"/>
              <w:jc w:val="right"/>
            </w:pPr>
            <w:r>
              <w:t>37,</w:t>
            </w:r>
            <w:r w:rsidR="00515455">
              <w:t>141</w:t>
            </w:r>
          </w:p>
        </w:tc>
        <w:tc>
          <w:tcPr>
            <w:tcW w:w="1908" w:type="dxa"/>
          </w:tcPr>
          <w:p w:rsidR="00EA1642" w:rsidRDefault="00F1298E" w:rsidP="00EA1642">
            <w:pPr>
              <w:pStyle w:val="NoSpacing"/>
              <w:jc w:val="right"/>
            </w:pPr>
            <w:r>
              <w:t>425,</w:t>
            </w:r>
            <w:r w:rsidR="00515455">
              <w:t>122</w:t>
            </w:r>
          </w:p>
        </w:tc>
      </w:tr>
      <w:tr w:rsidR="00D47E71" w:rsidTr="00EA1642">
        <w:tc>
          <w:tcPr>
            <w:tcW w:w="3078" w:type="dxa"/>
          </w:tcPr>
          <w:p w:rsidR="00EA1642" w:rsidRDefault="00B47F1D" w:rsidP="00201C38">
            <w:pPr>
              <w:pStyle w:val="NoSpacing"/>
            </w:pPr>
            <w:r>
              <w:t>Non-hour costs</w:t>
            </w:r>
          </w:p>
        </w:tc>
        <w:tc>
          <w:tcPr>
            <w:tcW w:w="2340" w:type="dxa"/>
          </w:tcPr>
          <w:p w:rsidR="00EA1642" w:rsidRDefault="007D56B0" w:rsidP="005B052E">
            <w:pPr>
              <w:pStyle w:val="NoSpacing"/>
              <w:jc w:val="right"/>
            </w:pPr>
            <w:r>
              <w:t>$</w:t>
            </w:r>
            <w:r w:rsidR="00B47F1D">
              <w:t>103,00</w:t>
            </w:r>
            <w:r w:rsidR="005B052E">
              <w:t>1,414</w:t>
            </w:r>
          </w:p>
        </w:tc>
        <w:tc>
          <w:tcPr>
            <w:tcW w:w="2250" w:type="dxa"/>
          </w:tcPr>
          <w:p w:rsidR="00EA1642" w:rsidRDefault="00D47E71" w:rsidP="00F1298E">
            <w:pPr>
              <w:pStyle w:val="NoSpacing"/>
              <w:jc w:val="right"/>
            </w:pPr>
            <w:r>
              <w:t>$</w:t>
            </w:r>
            <w:r w:rsidR="00986111">
              <w:t>15,523,875</w:t>
            </w:r>
          </w:p>
        </w:tc>
        <w:tc>
          <w:tcPr>
            <w:tcW w:w="1908" w:type="dxa"/>
          </w:tcPr>
          <w:p w:rsidR="00EA1642" w:rsidRDefault="00D47E71" w:rsidP="005B052E">
            <w:pPr>
              <w:pStyle w:val="NoSpacing"/>
              <w:jc w:val="right"/>
            </w:pPr>
            <w:r>
              <w:t>$</w:t>
            </w:r>
            <w:r w:rsidR="00986111">
              <w:t>118,</w:t>
            </w:r>
            <w:r w:rsidR="005B052E">
              <w:t>525,289</w:t>
            </w:r>
          </w:p>
        </w:tc>
      </w:tr>
    </w:tbl>
    <w:p w:rsidR="00EA1642" w:rsidRDefault="00EA1642" w:rsidP="0034770C">
      <w:pPr>
        <w:pStyle w:val="NoSpacing"/>
      </w:pPr>
    </w:p>
    <w:p w:rsidR="00EA1642" w:rsidRDefault="00EA1642" w:rsidP="0034770C">
      <w:pPr>
        <w:pStyle w:val="NoSpacing"/>
      </w:pPr>
      <w:r>
        <w:t>Consequently, this collection tak</w:t>
      </w:r>
      <w:r w:rsidR="00D96144">
        <w:t xml:space="preserve">es a net burden increase of </w:t>
      </w:r>
      <w:r w:rsidR="00D47E71">
        <w:t>$</w:t>
      </w:r>
      <w:r w:rsidR="00986111">
        <w:t>15,523,875</w:t>
      </w:r>
      <w:r w:rsidR="00B47F1D">
        <w:t xml:space="preserve"> </w:t>
      </w:r>
      <w:r>
        <w:t>in annual (non-hour) costs as a program change.</w:t>
      </w:r>
    </w:p>
    <w:p w:rsidR="00EA1642" w:rsidRDefault="00EA1642" w:rsidP="0034770C">
      <w:pPr>
        <w:pStyle w:val="NoSpacing"/>
      </w:pPr>
    </w:p>
    <w:p w:rsidR="00EA1642" w:rsidRDefault="00EA1642" w:rsidP="0034770C">
      <w:pPr>
        <w:pStyle w:val="NoSpacing"/>
      </w:pPr>
      <w:r>
        <w:t>The 0651-00</w:t>
      </w:r>
      <w:r w:rsidR="006D70E2">
        <w:t>09</w:t>
      </w:r>
      <w:r>
        <w:t xml:space="preserve"> revised total burden is as follows:</w:t>
      </w:r>
    </w:p>
    <w:p w:rsidR="00EA1642" w:rsidRDefault="00EA1642" w:rsidP="0034770C">
      <w:pPr>
        <w:pStyle w:val="NoSpacing"/>
      </w:pPr>
    </w:p>
    <w:p w:rsidR="00EA1642" w:rsidRDefault="00515455" w:rsidP="00EA1642">
      <w:pPr>
        <w:pStyle w:val="NoSpacing"/>
        <w:numPr>
          <w:ilvl w:val="0"/>
          <w:numId w:val="1"/>
        </w:numPr>
      </w:pPr>
      <w:r>
        <w:t>425,122</w:t>
      </w:r>
      <w:r w:rsidR="00D75F0F">
        <w:t xml:space="preserve"> responden</w:t>
      </w:r>
      <w:bookmarkStart w:id="0" w:name="_GoBack"/>
      <w:bookmarkEnd w:id="0"/>
      <w:r w:rsidR="00D75F0F">
        <w:t>ts</w:t>
      </w:r>
    </w:p>
    <w:p w:rsidR="00EA1642" w:rsidRDefault="000B18DA" w:rsidP="00EA1642">
      <w:pPr>
        <w:pStyle w:val="NoSpacing"/>
        <w:numPr>
          <w:ilvl w:val="0"/>
          <w:numId w:val="1"/>
        </w:numPr>
      </w:pPr>
      <w:r>
        <w:t>$</w:t>
      </w:r>
      <w:r w:rsidR="00986111" w:rsidRPr="00986111">
        <w:t>118,</w:t>
      </w:r>
      <w:r w:rsidR="005B052E" w:rsidRPr="005B052E">
        <w:t xml:space="preserve"> 525,289</w:t>
      </w:r>
      <w:r w:rsidR="005B052E">
        <w:t xml:space="preserve"> </w:t>
      </w:r>
      <w:r w:rsidR="00EA1642">
        <w:t>in annual (non-hour) fees</w:t>
      </w:r>
    </w:p>
    <w:p w:rsidR="00E33D90" w:rsidRDefault="00E33D90" w:rsidP="00E33D90">
      <w:pPr>
        <w:pStyle w:val="NoSpacing"/>
      </w:pPr>
    </w:p>
    <w:p w:rsidR="00E33D90" w:rsidRPr="00EA1642" w:rsidRDefault="00E33D90" w:rsidP="00E33D90">
      <w:pPr>
        <w:pStyle w:val="NoSpacing"/>
      </w:pPr>
    </w:p>
    <w:sectPr w:rsidR="00E33D90" w:rsidRPr="00EA1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24409"/>
    <w:multiLevelType w:val="hybridMultilevel"/>
    <w:tmpl w:val="B3C4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02514A"/>
    <w:multiLevelType w:val="hybridMultilevel"/>
    <w:tmpl w:val="9006A356"/>
    <w:lvl w:ilvl="0" w:tplc="04090001">
      <w:start w:val="1"/>
      <w:numFmt w:val="bullet"/>
      <w:lvlText w:val=""/>
      <w:lvlJc w:val="left"/>
      <w:pPr>
        <w:tabs>
          <w:tab w:val="num" w:pos="720"/>
        </w:tabs>
        <w:ind w:left="720" w:hanging="360"/>
      </w:pPr>
      <w:rPr>
        <w:rFonts w:ascii="Symbol" w:hAnsi="Symbol" w:hint="default"/>
      </w:rPr>
    </w:lvl>
    <w:lvl w:ilvl="1" w:tplc="E0FCC3CC">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nther, Sarah [USA]">
    <w15:presenceInfo w15:providerId="AD" w15:userId="S-1-5-21-1314303383-2379350573-4036118543-543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70C"/>
    <w:rsid w:val="00022D63"/>
    <w:rsid w:val="00071D7F"/>
    <w:rsid w:val="000B18DA"/>
    <w:rsid w:val="000B728F"/>
    <w:rsid w:val="000D36D4"/>
    <w:rsid w:val="001022C9"/>
    <w:rsid w:val="0034770C"/>
    <w:rsid w:val="00381DCC"/>
    <w:rsid w:val="003A4588"/>
    <w:rsid w:val="003F7226"/>
    <w:rsid w:val="0045767C"/>
    <w:rsid w:val="004D4DEA"/>
    <w:rsid w:val="00515455"/>
    <w:rsid w:val="005B052E"/>
    <w:rsid w:val="005B2505"/>
    <w:rsid w:val="005E5B88"/>
    <w:rsid w:val="006D70E2"/>
    <w:rsid w:val="007D56B0"/>
    <w:rsid w:val="00942CC2"/>
    <w:rsid w:val="00986111"/>
    <w:rsid w:val="00A04A7A"/>
    <w:rsid w:val="00A325C4"/>
    <w:rsid w:val="00AE0E1A"/>
    <w:rsid w:val="00B47F1D"/>
    <w:rsid w:val="00BB3814"/>
    <w:rsid w:val="00C311EB"/>
    <w:rsid w:val="00C37C91"/>
    <w:rsid w:val="00CC79A7"/>
    <w:rsid w:val="00CD7384"/>
    <w:rsid w:val="00D47E71"/>
    <w:rsid w:val="00D75F0F"/>
    <w:rsid w:val="00D95F98"/>
    <w:rsid w:val="00D96144"/>
    <w:rsid w:val="00E04376"/>
    <w:rsid w:val="00E33D90"/>
    <w:rsid w:val="00E90884"/>
    <w:rsid w:val="00EA1642"/>
    <w:rsid w:val="00F1298E"/>
    <w:rsid w:val="00F3782C"/>
    <w:rsid w:val="00F75F36"/>
    <w:rsid w:val="00FB7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70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770C"/>
    <w:pPr>
      <w:spacing w:after="0" w:line="240" w:lineRule="auto"/>
    </w:pPr>
  </w:style>
  <w:style w:type="table" w:styleId="TableGrid">
    <w:name w:val="Table Grid"/>
    <w:basedOn w:val="TableNormal"/>
    <w:uiPriority w:val="59"/>
    <w:rsid w:val="00347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7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285"/>
    <w:rPr>
      <w:rFonts w:ascii="Segoe UI" w:hAnsi="Segoe UI" w:cs="Segoe UI"/>
      <w:sz w:val="18"/>
      <w:szCs w:val="18"/>
    </w:rPr>
  </w:style>
  <w:style w:type="paragraph" w:styleId="Title">
    <w:name w:val="Title"/>
    <w:basedOn w:val="Normal"/>
    <w:link w:val="TitleChar"/>
    <w:qFormat/>
    <w:rsid w:val="00F3782C"/>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F3782C"/>
    <w:rPr>
      <w:rFonts w:ascii="Arial" w:eastAsia="Times New Roman" w:hAnsi="Arial"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70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770C"/>
    <w:pPr>
      <w:spacing w:after="0" w:line="240" w:lineRule="auto"/>
    </w:pPr>
  </w:style>
  <w:style w:type="table" w:styleId="TableGrid">
    <w:name w:val="Table Grid"/>
    <w:basedOn w:val="TableNormal"/>
    <w:uiPriority w:val="59"/>
    <w:rsid w:val="00347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7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285"/>
    <w:rPr>
      <w:rFonts w:ascii="Segoe UI" w:hAnsi="Segoe UI" w:cs="Segoe UI"/>
      <w:sz w:val="18"/>
      <w:szCs w:val="18"/>
    </w:rPr>
  </w:style>
  <w:style w:type="paragraph" w:styleId="Title">
    <w:name w:val="Title"/>
    <w:basedOn w:val="Normal"/>
    <w:link w:val="TitleChar"/>
    <w:qFormat/>
    <w:rsid w:val="00F3782C"/>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F3782C"/>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82" ma:contentTypeDescription="Create a new document." ma:contentTypeScope="" ma:versionID="85f20ffdc72c43d9032cecb556110047">
  <xsd:schema xmlns:xsd="http://www.w3.org/2001/XMLSchema" xmlns:xs="http://www.w3.org/2001/XMLSchema" xmlns:p="http://schemas.microsoft.com/office/2006/metadata/properties" xmlns:ns2="E85DE8A9-5CD3-41FE-A1A0-70BC17107555" xmlns:ns3="5DFC53CF-7C17-4489-98AB-5F87C96333B9" xmlns:ns4="e85de8a9-5cd3-41fe-a1a0-70bc17107555" xmlns:ns5="5dfc53cf-7c17-4489-98ab-5f87c96333b9" targetNamespace="http://schemas.microsoft.com/office/2006/metadata/properties" ma:root="true" ma:fieldsID="dd66f83d166a7a7f2193b13ed60f968b" ns2:_="" ns3:_="" ns4:_="" ns5:_="">
    <xsd:import namespace="E85DE8A9-5CD3-41FE-A1A0-70BC17107555"/>
    <xsd:import namespace="5DFC53CF-7C17-4489-98AB-5F87C96333B9"/>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element ref="ns4:Office" minOccurs="0"/>
                <xsd:element ref="ns4:Business_x0020_Unit" minOccurs="0"/>
                <xsd:element ref="ns4:Expiration_x0020_Date0" minOccurs="0"/>
                <xsd:element ref="ns5:SharedWithUsers" minOccurs="0"/>
                <xsd:element ref="ns5:SharedWithDetails" minOccurs="0"/>
                <xsd:element ref="ns4:ICR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hidden="true" ma:internalName="Collection_x0020_Number" ma:readOnly="false">
      <xsd:simpleType>
        <xsd:restriction base="dms:Text"/>
      </xsd:simpleType>
    </xsd:element>
    <xsd:element name="IC_x0020_Category" ma:index="3" nillable="true" ma:displayName="ICR Type" ma:description="None value is created to show a null" ma:format="Dropdown" ma:internalName="IC_x0020_Category">
      <xsd:simpleType>
        <xsd:restriction base="dms:Choice">
          <xsd:enumeration value="-"/>
          <xsd:enumeration value="Renewal"/>
          <xsd:enumeration value="Regular"/>
          <xsd:enumeration value="Rule Making"/>
          <xsd:enumeration value="Change Worksheet"/>
          <xsd:enumeration value="Emergency"/>
          <xsd:enumeration value="Fast Track"/>
          <xsd:enumeration value="Discontinue"/>
          <xsd:enumeration value="Other"/>
        </xsd:restriction>
      </xsd:simpleType>
    </xsd:element>
    <xsd:element name="Document_x0020_Type" ma:index="4" nillable="true" ma:displayName="Document Type" ma:format="Dropdown" ma:hidden="true" ma:internalName="Document_x0020_Type" ma:readOnly="fals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hidden="true" ma:internalName="Document_x0020_State" ma:readOnly="fals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maxLength value="255"/>
        </xsd:restriction>
      </xsd:simpleType>
    </xsd:element>
    <xsd:element name="Approved_x0020_by_x0020_Business_x0020_Area" ma:index="8" nillable="true" ma:displayName="Approved by Business Area" ma:default="No" ma:format="Dropdown" ma:hidden="true" ma:internalName="Approved_x0020_by_x0020_Business_x0020_Area" ma:readOnly="false">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hidden="true" ma:internalName="Approved_x0020_by_x0020_PTO" ma:readOnly="false">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ffice/Business Unit POC" ma:indexed="true" ma:list="UserInfo" ma:SearchPeopleOnly="false"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Office" ma:index="16" nillable="true" ma:displayName="Office" ma:format="Dropdown" ma:hidden="true" ma:internalName="Office" ma:readOnly="false">
      <xsd:simpleType>
        <xsd:restriction base="dms:Choice">
          <xsd:enumeration value="Patents"/>
          <xsd:enumeration value="Trademarks"/>
          <xsd:enumeration value="OCAO"/>
          <xsd:enumeration value="OCCO"/>
          <xsd:enumeration value="OCFO"/>
          <xsd:enumeration value="OCIO"/>
          <xsd:enumeration value="OGC"/>
          <xsd:enumeration value="PTAB"/>
          <xsd:enumeration value="TTAB"/>
          <xsd:enumeration value="Other"/>
        </xsd:restriction>
      </xsd:simpleType>
    </xsd:element>
    <xsd:element name="Business_x0020_Unit" ma:index="17" nillable="true" ma:displayName="Business Unit" ma:hidden="true" ma:internalName="Business_x0020_Unit" ma:readOnly="false">
      <xsd:simpleType>
        <xsd:restriction base="dms:Text">
          <xsd:maxLength value="255"/>
        </xsd:restriction>
      </xsd:simpleType>
    </xsd:element>
    <xsd:element name="Expiration_x0020_Date0" ma:index="18" nillable="true" ma:displayName="Expiration Date" ma:format="DateOnly" ma:hidden="true" ma:internalName="Expiration_x0020_Date0" ma:readOnly="false">
      <xsd:simpleType>
        <xsd:restriction base="dms:DateTime"/>
      </xsd:simpleType>
    </xsd:element>
    <xsd:element name="ICR_x0020_ID" ma:index="23" nillable="true" ma:displayName="ICR ID" ma:hidden="true" ma:internalName="ICR_x0020_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llection_x0020_Number xmlns="E85DE8A9-5CD3-41FE-A1A0-70BC17107555" xsi:nil="true"/>
    <Document_x0020_State xmlns="E85DE8A9-5CD3-41FE-A1A0-70BC17107555" xsi:nil="true"/>
    <Owner xmlns="5DFC53CF-7C17-4489-98AB-5F87C96333B9">
      <UserInfo>
        <DisplayName/>
        <AccountId xsi:nil="true"/>
        <AccountType/>
      </UserInfo>
    </Owner>
    <IC_x0020_Category xmlns="E85DE8A9-5CD3-41FE-A1A0-70BC17107555">Change Worksheet</IC_x0020_Category>
    <ICR_x0020_ID xmlns="e85de8a9-5cd3-41fe-a1a0-70bc17107555" xsi:nil="true"/>
    <Approved_x0020_by_x0020_Business_x0020_Area xmlns="E85DE8A9-5CD3-41FE-A1A0-70BC17107555">No</Approved_x0020_by_x0020_Business_x0020_Area>
    <Office xmlns="e85de8a9-5cd3-41fe-a1a0-70bc17107555" xsi:nil="true"/>
    <Year xmlns="E85DE8A9-5CD3-41FE-A1A0-70BC17107555" xsi:nil="true"/>
    <Business_x0020_Unit xmlns="e85de8a9-5cd3-41fe-a1a0-70bc17107555" xsi:nil="true"/>
    <Expiration_x0020_Date0 xmlns="e85de8a9-5cd3-41fe-a1a0-70bc17107555" xsi:nil="true"/>
    <Approved_x0020_by_x0020_PTO xmlns="E85DE8A9-5CD3-41FE-A1A0-70BC17107555">No</Approved_x0020_by_x0020_PTO>
    <Document_x0020_Type xmlns="E85DE8A9-5CD3-41FE-A1A0-70BC17107555" xsi:nil="true"/>
  </documentManagement>
</p:properties>
</file>

<file path=customXml/itemProps1.xml><?xml version="1.0" encoding="utf-8"?>
<ds:datastoreItem xmlns:ds="http://schemas.openxmlformats.org/officeDocument/2006/customXml" ds:itemID="{4FDDCE85-E3E5-403D-A013-708744AE1BCC}">
  <ds:schemaRefs>
    <ds:schemaRef ds:uri="http://schemas.microsoft.com/sharepoint/v3/contenttype/forms"/>
  </ds:schemaRefs>
</ds:datastoreItem>
</file>

<file path=customXml/itemProps2.xml><?xml version="1.0" encoding="utf-8"?>
<ds:datastoreItem xmlns:ds="http://schemas.openxmlformats.org/officeDocument/2006/customXml" ds:itemID="{ACFD59D8-EAE2-4E50-9890-F3E4AE998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2E54AD-883A-4FFB-BE0F-20D17D2BEC0B}">
  <ds:schemaRefs>
    <ds:schemaRef ds:uri="http://schemas.microsoft.com/office/2006/metadata/properties"/>
    <ds:schemaRef ds:uri="http://schemas.microsoft.com/office/infopath/2007/PartnerControls"/>
    <ds:schemaRef ds:uri="E85DE8A9-5CD3-41FE-A1A0-70BC17107555"/>
    <ds:schemaRef ds:uri="5DFC53CF-7C17-4489-98AB-5F87C96333B9"/>
    <ds:schemaRef ds:uri="e85de8a9-5cd3-41fe-a1a0-70bc17107555"/>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Sarah (AMBIT)</dc:creator>
  <cp:lastModifiedBy>Hall, Drew (AMBIT)</cp:lastModifiedBy>
  <cp:revision>22</cp:revision>
  <dcterms:created xsi:type="dcterms:W3CDTF">2016-01-25T20:32:00Z</dcterms:created>
  <dcterms:modified xsi:type="dcterms:W3CDTF">2016-07-19T14:30:00Z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0x010100F24456AF1700B74AA0CEDDAFE8B89B18</vt:lpwstr>
  </property>
</Properties>
</file>