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E3598" w14:textId="77777777" w:rsidR="00275AB8"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 xml:space="preserve">DOCUMENTATION FOR </w:t>
      </w:r>
      <w:r w:rsidR="00275AB8">
        <w:rPr>
          <w:sz w:val="28"/>
        </w:rPr>
        <w:t>THE GENERIC CLEARAN</w:t>
      </w:r>
      <w:r w:rsidR="003F1C7A">
        <w:rPr>
          <w:sz w:val="28"/>
        </w:rPr>
        <w:t>CE</w:t>
      </w:r>
      <w:r w:rsidR="00275AB8">
        <w:rPr>
          <w:sz w:val="28"/>
        </w:rPr>
        <w:t xml:space="preserve">, </w:t>
      </w:r>
    </w:p>
    <w:p w14:paraId="3A3B11A3" w14:textId="77777777" w:rsidR="0090456D" w:rsidRPr="008D2C93" w:rsidRDefault="0090456D" w:rsidP="0090456D">
      <w:pPr>
        <w:jc w:val="center"/>
        <w:rPr>
          <w:b/>
        </w:rPr>
      </w:pPr>
      <w:r w:rsidRPr="008D2C93">
        <w:rPr>
          <w:b/>
        </w:rPr>
        <w:t>“TESTING COMMUNICATIONS ON DRUG PRODUCTS”</w:t>
      </w:r>
      <w:r w:rsidRPr="008D2C93">
        <w:rPr>
          <w:b/>
        </w:rPr>
        <w:br/>
        <w:t>(0910-0695)</w:t>
      </w:r>
    </w:p>
    <w:p w14:paraId="07207927" w14:textId="77777777" w:rsidR="0090456D" w:rsidRDefault="0090456D" w:rsidP="00221498"/>
    <w:p w14:paraId="03D485F8" w14:textId="77777777" w:rsidR="003F1C7A" w:rsidRDefault="00471E29">
      <w:r>
        <w:rPr>
          <w:noProof/>
          <w:sz w:val="18"/>
          <w:szCs w:val="18"/>
        </w:rPr>
        <mc:AlternateContent>
          <mc:Choice Requires="wps">
            <w:drawing>
              <wp:anchor distT="0" distB="0" distL="114300" distR="114300" simplePos="0" relativeHeight="251657728" behindDoc="0" locked="0" layoutInCell="1" allowOverlap="1" wp14:anchorId="5B12F866" wp14:editId="01D05AB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ACF5A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0B24226F" w14:textId="77777777" w:rsidR="003F1C7A" w:rsidRPr="005E4981" w:rsidRDefault="003F1C7A" w:rsidP="005E23BA">
      <w:pPr>
        <w:spacing w:before="120"/>
      </w:pPr>
      <w:r>
        <w:rPr>
          <w:b/>
        </w:rPr>
        <w:t>TITLE OF INFORMATION COLLECTION:</w:t>
      </w:r>
      <w:r w:rsidR="00F44799">
        <w:t xml:space="preserve"> </w:t>
      </w:r>
      <w:r w:rsidR="00A52FA7" w:rsidRPr="00A52FA7">
        <w:t>Studies to Enhance FDA Communications Addressing Biosimilar Drug Products</w:t>
      </w:r>
      <w:r w:rsidR="00A52FA7">
        <w:t xml:space="preserve">: </w:t>
      </w:r>
      <w:r w:rsidR="000457EA">
        <w:t xml:space="preserve">Focus Groups </w:t>
      </w:r>
      <w:r w:rsidR="002E4785">
        <w:t xml:space="preserve">with </w:t>
      </w:r>
      <w:r w:rsidR="00AD08E4">
        <w:t>Patients</w:t>
      </w:r>
    </w:p>
    <w:p w14:paraId="0449BDAA" w14:textId="77777777" w:rsidR="003F1C7A" w:rsidRDefault="003F1C7A"/>
    <w:p w14:paraId="1BFDE539" w14:textId="77777777" w:rsidR="003F1C7A" w:rsidRDefault="003F1C7A">
      <w:pPr>
        <w:spacing w:after="120"/>
      </w:pPr>
      <w:r>
        <w:rPr>
          <w:b/>
        </w:rPr>
        <w:t>DESCRIPTION OF THIS SPECIFIC COLLECTION</w:t>
      </w:r>
    </w:p>
    <w:p w14:paraId="764F739A" w14:textId="77777777" w:rsidR="003F1C7A" w:rsidRDefault="0049419A" w:rsidP="00E12C15">
      <w:pPr>
        <w:numPr>
          <w:ilvl w:val="0"/>
          <w:numId w:val="15"/>
        </w:numPr>
        <w:ind w:left="360" w:firstLine="0"/>
      </w:pPr>
      <w:r>
        <w:rPr>
          <w:b/>
        </w:rPr>
        <w:t>Statement of n</w:t>
      </w:r>
      <w:r w:rsidR="00F12AEE">
        <w:rPr>
          <w:b/>
        </w:rPr>
        <w:t>eed</w:t>
      </w:r>
      <w:r w:rsidR="003F1C7A" w:rsidRPr="00E26798">
        <w:rPr>
          <w:b/>
        </w:rPr>
        <w:t>:</w:t>
      </w:r>
      <w:r w:rsidR="00F44799">
        <w:t xml:space="preserve"> </w:t>
      </w:r>
    </w:p>
    <w:p w14:paraId="6112C81D" w14:textId="77777777" w:rsidR="003A3F4C" w:rsidRDefault="003A3F4C" w:rsidP="002E4785">
      <w:pPr>
        <w:ind w:left="720"/>
        <w:rPr>
          <w:color w:val="000000"/>
        </w:rPr>
      </w:pPr>
    </w:p>
    <w:p w14:paraId="2893F367" w14:textId="1EC59106" w:rsidR="00882AE4" w:rsidRPr="0010666E" w:rsidRDefault="00B411A6" w:rsidP="0010666E">
      <w:pPr>
        <w:ind w:left="720"/>
        <w:rPr>
          <w:color w:val="000000"/>
        </w:rPr>
      </w:pPr>
      <w:r>
        <w:rPr>
          <w:color w:val="000000"/>
        </w:rPr>
        <w:t xml:space="preserve">The </w:t>
      </w:r>
      <w:r w:rsidR="00212808">
        <w:rPr>
          <w:color w:val="000000"/>
        </w:rPr>
        <w:t xml:space="preserve">primary </w:t>
      </w:r>
      <w:r>
        <w:rPr>
          <w:color w:val="000000"/>
        </w:rPr>
        <w:t>purpose of this project is to conduct focus groups</w:t>
      </w:r>
      <w:r w:rsidR="00015283">
        <w:rPr>
          <w:color w:val="000000"/>
        </w:rPr>
        <w:t xml:space="preserve"> </w:t>
      </w:r>
      <w:r>
        <w:rPr>
          <w:color w:val="000000"/>
        </w:rPr>
        <w:t xml:space="preserve">with </w:t>
      </w:r>
      <w:r w:rsidR="000E5ED1">
        <w:rPr>
          <w:color w:val="000000"/>
        </w:rPr>
        <w:t>patients</w:t>
      </w:r>
      <w:r>
        <w:rPr>
          <w:color w:val="000000"/>
        </w:rPr>
        <w:t xml:space="preserve"> to </w:t>
      </w:r>
      <w:r w:rsidR="00015283">
        <w:rPr>
          <w:color w:val="000000"/>
        </w:rPr>
        <w:t>understand their</w:t>
      </w:r>
      <w:r w:rsidR="00BC4C05">
        <w:rPr>
          <w:color w:val="000000"/>
        </w:rPr>
        <w:t xml:space="preserve"> </w:t>
      </w:r>
      <w:r w:rsidR="00212808">
        <w:rPr>
          <w:color w:val="000000"/>
        </w:rPr>
        <w:t>knowledge</w:t>
      </w:r>
      <w:r w:rsidR="00210E31">
        <w:rPr>
          <w:color w:val="000000"/>
        </w:rPr>
        <w:t>,</w:t>
      </w:r>
      <w:r w:rsidR="00212808">
        <w:rPr>
          <w:color w:val="000000"/>
        </w:rPr>
        <w:t xml:space="preserve"> </w:t>
      </w:r>
      <w:r w:rsidR="00BC4C05">
        <w:rPr>
          <w:color w:val="000000"/>
        </w:rPr>
        <w:t xml:space="preserve">awareness, </w:t>
      </w:r>
      <w:r w:rsidR="00212808">
        <w:rPr>
          <w:color w:val="000000"/>
        </w:rPr>
        <w:t xml:space="preserve">and attitudes </w:t>
      </w:r>
      <w:r w:rsidR="00210E31">
        <w:rPr>
          <w:color w:val="000000"/>
        </w:rPr>
        <w:t>related to biologic</w:t>
      </w:r>
      <w:r w:rsidR="00616865">
        <w:rPr>
          <w:color w:val="000000"/>
        </w:rPr>
        <w:t>al products, including</w:t>
      </w:r>
      <w:r w:rsidR="00210E31">
        <w:rPr>
          <w:color w:val="000000"/>
        </w:rPr>
        <w:t xml:space="preserve"> </w:t>
      </w:r>
      <w:r w:rsidR="00212808">
        <w:rPr>
          <w:color w:val="000000"/>
        </w:rPr>
        <w:t>biosimilars</w:t>
      </w:r>
      <w:r w:rsidR="00616865">
        <w:rPr>
          <w:color w:val="000000"/>
        </w:rPr>
        <w:t xml:space="preserve">, </w:t>
      </w:r>
      <w:r w:rsidR="00BC4C05">
        <w:rPr>
          <w:color w:val="000000"/>
        </w:rPr>
        <w:t xml:space="preserve">their experience </w:t>
      </w:r>
      <w:r w:rsidR="00BC4C05" w:rsidRPr="00BC4C05">
        <w:rPr>
          <w:color w:val="000000"/>
        </w:rPr>
        <w:t>communicating with healthcare professionals about these products</w:t>
      </w:r>
      <w:r w:rsidR="00BC4C05">
        <w:rPr>
          <w:color w:val="000000"/>
        </w:rPr>
        <w:t>,</w:t>
      </w:r>
      <w:r w:rsidR="00BC4C05" w:rsidRPr="00BC4C05">
        <w:rPr>
          <w:color w:val="000000"/>
        </w:rPr>
        <w:t xml:space="preserve"> </w:t>
      </w:r>
      <w:r w:rsidR="009F2A2E">
        <w:rPr>
          <w:color w:val="000000"/>
        </w:rPr>
        <w:t xml:space="preserve">and </w:t>
      </w:r>
      <w:r w:rsidR="00616865">
        <w:rPr>
          <w:color w:val="000000"/>
        </w:rPr>
        <w:t>what information needs they have with respect to these products</w:t>
      </w:r>
      <w:r w:rsidR="00212808">
        <w:rPr>
          <w:color w:val="000000"/>
        </w:rPr>
        <w:t>.</w:t>
      </w:r>
      <w:r w:rsidR="00015283">
        <w:rPr>
          <w:color w:val="000000"/>
        </w:rPr>
        <w:t xml:space="preserve"> </w:t>
      </w:r>
      <w:r w:rsidR="00212808">
        <w:rPr>
          <w:color w:val="000000"/>
        </w:rPr>
        <w:t xml:space="preserve">The secondary purpose is to </w:t>
      </w:r>
      <w:r w:rsidR="0010666E">
        <w:rPr>
          <w:color w:val="000000"/>
        </w:rPr>
        <w:t>gain feedback from patients on educational materials about biosimilars and</w:t>
      </w:r>
      <w:r w:rsidR="009404CC">
        <w:rPr>
          <w:color w:val="000000"/>
        </w:rPr>
        <w:t>/or</w:t>
      </w:r>
      <w:r w:rsidR="0010666E">
        <w:rPr>
          <w:color w:val="000000"/>
        </w:rPr>
        <w:t xml:space="preserve"> interchangeable biologic</w:t>
      </w:r>
      <w:r w:rsidR="00195D24">
        <w:rPr>
          <w:color w:val="000000"/>
        </w:rPr>
        <w:t>al products</w:t>
      </w:r>
      <w:r w:rsidR="0010666E">
        <w:rPr>
          <w:color w:val="000000"/>
        </w:rPr>
        <w:t xml:space="preserve">. </w:t>
      </w:r>
      <w:r w:rsidR="00135550">
        <w:rPr>
          <w:color w:val="000000"/>
        </w:rPr>
        <w:t>FDA will use the</w:t>
      </w:r>
      <w:r w:rsidR="00E12C15">
        <w:rPr>
          <w:color w:val="000000"/>
        </w:rPr>
        <w:t xml:space="preserve"> finding</w:t>
      </w:r>
      <w:r w:rsidR="00071B03">
        <w:rPr>
          <w:color w:val="000000"/>
        </w:rPr>
        <w:t>s</w:t>
      </w:r>
      <w:r w:rsidR="00135550">
        <w:rPr>
          <w:color w:val="000000"/>
        </w:rPr>
        <w:t xml:space="preserve"> to </w:t>
      </w:r>
      <w:r w:rsidR="00E12C15">
        <w:rPr>
          <w:color w:val="000000"/>
        </w:rPr>
        <w:t xml:space="preserve">inform enhancements to </w:t>
      </w:r>
      <w:r w:rsidR="00616865">
        <w:rPr>
          <w:color w:val="000000"/>
        </w:rPr>
        <w:t xml:space="preserve">existing information </w:t>
      </w:r>
      <w:r w:rsidR="00E12C15">
        <w:rPr>
          <w:color w:val="000000"/>
        </w:rPr>
        <w:t xml:space="preserve">resources and </w:t>
      </w:r>
      <w:r w:rsidR="00E66893">
        <w:rPr>
          <w:color w:val="000000"/>
        </w:rPr>
        <w:t xml:space="preserve">for the </w:t>
      </w:r>
      <w:r w:rsidR="00EF2BC3">
        <w:rPr>
          <w:color w:val="000000"/>
        </w:rPr>
        <w:t>develop</w:t>
      </w:r>
      <w:r w:rsidR="00E12C15">
        <w:rPr>
          <w:color w:val="000000"/>
        </w:rPr>
        <w:t>ment of</w:t>
      </w:r>
      <w:r w:rsidR="00EF2BC3">
        <w:rPr>
          <w:color w:val="000000"/>
        </w:rPr>
        <w:t xml:space="preserve"> </w:t>
      </w:r>
      <w:r w:rsidR="00E12C15">
        <w:rPr>
          <w:color w:val="000000"/>
        </w:rPr>
        <w:t xml:space="preserve">other </w:t>
      </w:r>
      <w:r w:rsidR="00EF2BC3">
        <w:rPr>
          <w:color w:val="000000"/>
        </w:rPr>
        <w:t xml:space="preserve">communications </w:t>
      </w:r>
      <w:r w:rsidR="00EF2BC3" w:rsidRPr="001D558C">
        <w:t>about</w:t>
      </w:r>
      <w:r w:rsidR="00E12C15">
        <w:t xml:space="preserve"> these products</w:t>
      </w:r>
      <w:r w:rsidR="00235F71">
        <w:t>.</w:t>
      </w:r>
    </w:p>
    <w:p w14:paraId="4EED7B5A" w14:textId="77777777" w:rsidR="00235F71" w:rsidRDefault="00235F71" w:rsidP="002E4785"/>
    <w:p w14:paraId="07A209BC" w14:textId="77777777" w:rsidR="00CE31FD" w:rsidRDefault="00DB01BD" w:rsidP="002E4785">
      <w:pPr>
        <w:ind w:left="720"/>
      </w:pPr>
      <w:r>
        <w:t xml:space="preserve">In 2010, President </w:t>
      </w:r>
      <w:r w:rsidR="002379C3">
        <w:t xml:space="preserve">Obama </w:t>
      </w:r>
      <w:r>
        <w:t xml:space="preserve">signed into law The Patient Protection and Affordable Care Act, which amended the Public Health Service Act (PHS Act) to create an abbreviated licensure pathway for biological products that are demonstrated to be </w:t>
      </w:r>
      <w:r w:rsidR="00641394">
        <w:t>“</w:t>
      </w:r>
      <w:r>
        <w:t>biosimilar</w:t>
      </w:r>
      <w:r w:rsidR="00641394">
        <w:t>”</w:t>
      </w:r>
      <w:r>
        <w:t xml:space="preserve"> to or </w:t>
      </w:r>
      <w:r w:rsidR="00641394">
        <w:t>“</w:t>
      </w:r>
      <w:r>
        <w:t>interchangeable</w:t>
      </w:r>
      <w:r w:rsidR="00641394">
        <w:t>”</w:t>
      </w:r>
      <w:r>
        <w:t xml:space="preserve"> with an FDA-licensed biological product. FDA requires licensed biosimilar and interchangeable biological products to meet the </w:t>
      </w:r>
      <w:r w:rsidR="002379C3">
        <w:t xml:space="preserve">agency’s </w:t>
      </w:r>
      <w:r>
        <w:t>rigorous standards for safety and efficacy. That means patients and health</w:t>
      </w:r>
      <w:r w:rsidR="002379C3">
        <w:t xml:space="preserve"> </w:t>
      </w:r>
      <w:r>
        <w:t xml:space="preserve">care professionals </w:t>
      </w:r>
      <w:r w:rsidR="00210E31">
        <w:t xml:space="preserve">(HCP) </w:t>
      </w:r>
      <w:r>
        <w:t xml:space="preserve">will be able to rely upon the safety and effectiveness of the biosimilar or interchangeable product, just as they would the original reference product. </w:t>
      </w:r>
      <w:r w:rsidR="000B522C">
        <w:t>Developing evidence-based communications about drug products can be challenging, especially when an entirely new type of drug product becomes available</w:t>
      </w:r>
      <w:r w:rsidR="002379C3">
        <w:t>,</w:t>
      </w:r>
      <w:r w:rsidR="000B522C">
        <w:t xml:space="preserve"> </w:t>
      </w:r>
      <w:r w:rsidR="00E12C15">
        <w:t xml:space="preserve">as </w:t>
      </w:r>
      <w:r w:rsidR="002379C3">
        <w:t xml:space="preserve">has </w:t>
      </w:r>
      <w:r w:rsidR="000B522C">
        <w:t xml:space="preserve">happened recently with the introduction of biosimilar drug products to </w:t>
      </w:r>
      <w:r w:rsidR="00E12C15">
        <w:t>U.S. HCPs and patients</w:t>
      </w:r>
      <w:r w:rsidR="000B522C">
        <w:t>.</w:t>
      </w:r>
      <w:r>
        <w:t xml:space="preserve"> </w:t>
      </w:r>
    </w:p>
    <w:p w14:paraId="6E5C2332" w14:textId="77777777" w:rsidR="00DB01BD" w:rsidRDefault="00DB01BD" w:rsidP="002E4785">
      <w:pPr>
        <w:ind w:left="720"/>
      </w:pPr>
    </w:p>
    <w:p w14:paraId="5FBF3451" w14:textId="77777777" w:rsidR="003F1C7A" w:rsidRPr="00E12C15" w:rsidRDefault="0049419A" w:rsidP="00CE31FD">
      <w:pPr>
        <w:numPr>
          <w:ilvl w:val="0"/>
          <w:numId w:val="15"/>
        </w:numPr>
        <w:rPr>
          <w:b/>
        </w:rPr>
      </w:pPr>
      <w:r>
        <w:rPr>
          <w:b/>
        </w:rPr>
        <w:t>Intended u</w:t>
      </w:r>
      <w:r w:rsidR="00F12AEE">
        <w:rPr>
          <w:b/>
        </w:rPr>
        <w:t>se</w:t>
      </w:r>
      <w:r>
        <w:rPr>
          <w:b/>
        </w:rPr>
        <w:t xml:space="preserve"> of information</w:t>
      </w:r>
      <w:r w:rsidR="003F1C7A">
        <w:rPr>
          <w:b/>
        </w:rPr>
        <w:t>:</w:t>
      </w:r>
      <w:r w:rsidR="00F44799">
        <w:t xml:space="preserve"> </w:t>
      </w:r>
    </w:p>
    <w:p w14:paraId="4546EAB5" w14:textId="77777777" w:rsidR="00E12C15" w:rsidRDefault="00E12C15" w:rsidP="00F26501">
      <w:pPr>
        <w:ind w:left="720"/>
      </w:pPr>
    </w:p>
    <w:p w14:paraId="4CA6EF14" w14:textId="375D7EA0" w:rsidR="00E12C15" w:rsidRDefault="00E12C15" w:rsidP="00E12C15">
      <w:pPr>
        <w:ind w:left="720"/>
      </w:pPr>
      <w:r w:rsidRPr="008D2C93">
        <w:t xml:space="preserve">FDA has determined </w:t>
      </w:r>
      <w:r w:rsidR="00AC144D">
        <w:t xml:space="preserve">that </w:t>
      </w:r>
      <w:r w:rsidRPr="008D2C93">
        <w:t xml:space="preserve">further research is needed to better understand how to most efficiently and effectively focus resources to educate and communicate </w:t>
      </w:r>
      <w:r w:rsidR="00716CB5" w:rsidRPr="008D2C93">
        <w:t>to various stakeholder audiences</w:t>
      </w:r>
      <w:r w:rsidR="00AC144D">
        <w:t>,</w:t>
      </w:r>
      <w:r w:rsidR="00716CB5" w:rsidRPr="008D2C93">
        <w:t xml:space="preserve"> </w:t>
      </w:r>
      <w:r w:rsidR="00031840">
        <w:t>such as HCPs and consumers/patients</w:t>
      </w:r>
      <w:r w:rsidR="00AC144D">
        <w:t>,</w:t>
      </w:r>
      <w:r w:rsidR="00031840">
        <w:t xml:space="preserve"> </w:t>
      </w:r>
      <w:r w:rsidRPr="008D2C93">
        <w:t xml:space="preserve">about </w:t>
      </w:r>
      <w:r>
        <w:t>biosimilars and interchangeable</w:t>
      </w:r>
      <w:r w:rsidR="00031840">
        <w:t xml:space="preserve"> product</w:t>
      </w:r>
      <w:r>
        <w:t xml:space="preserve">s </w:t>
      </w:r>
      <w:r w:rsidRPr="008D2C93">
        <w:t>and their safe and appropriate use.</w:t>
      </w:r>
      <w:r w:rsidR="00E4358E">
        <w:t xml:space="preserve"> </w:t>
      </w:r>
      <w:r w:rsidR="00BC1319">
        <w:t xml:space="preserve">OMB approved FDA focus groups and interviews with HCPs on </w:t>
      </w:r>
      <w:r w:rsidR="002C1597">
        <w:t>May 2, 2018</w:t>
      </w:r>
      <w:r w:rsidR="003F3FAF">
        <w:t>. FDA now seeks approval to conduct patient focus groups as</w:t>
      </w:r>
      <w:r w:rsidR="00E4358E">
        <w:t xml:space="preserve"> formative research to understand</w:t>
      </w:r>
      <w:r w:rsidR="003F3FAF">
        <w:t xml:space="preserve"> their</w:t>
      </w:r>
      <w:r w:rsidR="00E4358E">
        <w:t xml:space="preserve"> knowledge, experiences, </w:t>
      </w:r>
      <w:r w:rsidR="00031840">
        <w:t xml:space="preserve">attitudes, decision-making, </w:t>
      </w:r>
      <w:r w:rsidR="00C419AF">
        <w:t xml:space="preserve">and </w:t>
      </w:r>
      <w:r w:rsidR="00031840">
        <w:t>information needs related to biosimilars</w:t>
      </w:r>
      <w:r w:rsidR="00E4358E">
        <w:t xml:space="preserve">. </w:t>
      </w:r>
    </w:p>
    <w:p w14:paraId="3B2EBD7D" w14:textId="77777777" w:rsidR="00716CB5" w:rsidRPr="008D2C93" w:rsidRDefault="00716CB5" w:rsidP="00E12C15">
      <w:pPr>
        <w:ind w:left="720"/>
      </w:pPr>
    </w:p>
    <w:p w14:paraId="0B283B7B" w14:textId="13D59D9E" w:rsidR="00E215FA" w:rsidRDefault="00F26501" w:rsidP="00CE31FD">
      <w:pPr>
        <w:ind w:left="720"/>
      </w:pPr>
      <w:r>
        <w:t xml:space="preserve">FDA will use the results of this qualitative research to improve </w:t>
      </w:r>
      <w:r w:rsidR="00AE5589">
        <w:t>its</w:t>
      </w:r>
      <w:r>
        <w:t xml:space="preserve"> understanding of </w:t>
      </w:r>
      <w:r w:rsidR="00A47578">
        <w:t>patients’</w:t>
      </w:r>
      <w:r w:rsidR="00927C45">
        <w:t xml:space="preserve"> </w:t>
      </w:r>
      <w:r w:rsidR="00215B4B">
        <w:t xml:space="preserve">needed and </w:t>
      </w:r>
      <w:r w:rsidR="00E4358E">
        <w:t xml:space="preserve">desired </w:t>
      </w:r>
      <w:r>
        <w:t>communications about biological drug products</w:t>
      </w:r>
      <w:r w:rsidR="00716CB5">
        <w:t>, including biosimilars,</w:t>
      </w:r>
      <w:r>
        <w:t xml:space="preserve"> and </w:t>
      </w:r>
      <w:r w:rsidR="00716CB5">
        <w:t xml:space="preserve">to inform </w:t>
      </w:r>
      <w:r w:rsidR="0061252D">
        <w:t xml:space="preserve">the </w:t>
      </w:r>
      <w:r>
        <w:t>revis</w:t>
      </w:r>
      <w:r w:rsidR="00716CB5">
        <w:t xml:space="preserve">ion of </w:t>
      </w:r>
      <w:r w:rsidR="00071B03">
        <w:t xml:space="preserve">draft </w:t>
      </w:r>
      <w:r>
        <w:t>educational materials about these products</w:t>
      </w:r>
      <w:r w:rsidR="00716CB5">
        <w:t xml:space="preserve"> </w:t>
      </w:r>
      <w:r w:rsidR="00F37E30">
        <w:t>and</w:t>
      </w:r>
      <w:r w:rsidR="00215B4B">
        <w:t xml:space="preserve"> </w:t>
      </w:r>
      <w:r w:rsidR="0061252D">
        <w:t xml:space="preserve">the </w:t>
      </w:r>
      <w:r w:rsidR="00716CB5">
        <w:t xml:space="preserve">development of </w:t>
      </w:r>
      <w:r w:rsidR="00031840">
        <w:t>new</w:t>
      </w:r>
      <w:r w:rsidR="00716CB5">
        <w:t xml:space="preserve"> communications</w:t>
      </w:r>
      <w:r>
        <w:t xml:space="preserve">. The study results will </w:t>
      </w:r>
      <w:r w:rsidR="00716CB5">
        <w:t xml:space="preserve">help </w:t>
      </w:r>
      <w:r>
        <w:t>ensure that the messages</w:t>
      </w:r>
      <w:r w:rsidR="00071B03">
        <w:t xml:space="preserve"> and </w:t>
      </w:r>
      <w:r>
        <w:t>materials communicate key information</w:t>
      </w:r>
      <w:r w:rsidR="00716CB5">
        <w:t xml:space="preserve"> that </w:t>
      </w:r>
      <w:r w:rsidR="00210E31">
        <w:t xml:space="preserve">patients </w:t>
      </w:r>
      <w:r w:rsidR="00716CB5">
        <w:t xml:space="preserve">need and </w:t>
      </w:r>
      <w:r w:rsidR="00F3523C">
        <w:t xml:space="preserve">want </w:t>
      </w:r>
      <w:r w:rsidR="00716CB5">
        <w:t>about biosimilars and interchangeable</w:t>
      </w:r>
      <w:r w:rsidR="00AD08E4">
        <w:t xml:space="preserve"> product</w:t>
      </w:r>
      <w:r w:rsidR="00716CB5">
        <w:t xml:space="preserve">s and </w:t>
      </w:r>
      <w:r>
        <w:t xml:space="preserve">address </w:t>
      </w:r>
      <w:r w:rsidR="00716CB5">
        <w:t xml:space="preserve">information that may be lacking or </w:t>
      </w:r>
      <w:r w:rsidR="00716CB5">
        <w:lastRenderedPageBreak/>
        <w:t>misunderstood</w:t>
      </w:r>
      <w:r>
        <w:t>.</w:t>
      </w:r>
      <w:r w:rsidR="00F44799">
        <w:t xml:space="preserve"> </w:t>
      </w:r>
      <w:r w:rsidR="00BB23E4" w:rsidRPr="00BB23E4">
        <w:t xml:space="preserve">FDA recognizes that the data collected </w:t>
      </w:r>
      <w:r w:rsidR="00A875AE">
        <w:t xml:space="preserve">will only be representative of the participants and </w:t>
      </w:r>
      <w:r w:rsidR="002877BB">
        <w:t xml:space="preserve">will </w:t>
      </w:r>
      <w:r w:rsidR="00BB23E4" w:rsidRPr="00BB23E4">
        <w:t xml:space="preserve">not </w:t>
      </w:r>
      <w:r w:rsidR="002877BB">
        <w:t xml:space="preserve">be </w:t>
      </w:r>
      <w:r w:rsidR="00A875AE">
        <w:t>generalizable to the</w:t>
      </w:r>
      <w:r w:rsidR="00BB23E4" w:rsidRPr="00BB23E4">
        <w:t xml:space="preserve"> population segments characterized by the groups. </w:t>
      </w:r>
      <w:r>
        <w:t>The data will not be used for the purposes of making policy or regulatory decisions.</w:t>
      </w:r>
    </w:p>
    <w:p w14:paraId="217E93B6" w14:textId="77777777" w:rsidR="003F1C7A" w:rsidRDefault="003F1C7A" w:rsidP="00F12AEE">
      <w:pPr>
        <w:ind w:left="360"/>
      </w:pPr>
    </w:p>
    <w:p w14:paraId="0FF55F2C" w14:textId="77777777" w:rsidR="003F1C7A" w:rsidRDefault="0049419A" w:rsidP="00A517C3">
      <w:pPr>
        <w:numPr>
          <w:ilvl w:val="0"/>
          <w:numId w:val="15"/>
        </w:numPr>
      </w:pPr>
      <w:r>
        <w:rPr>
          <w:b/>
        </w:rPr>
        <w:t>Description of r</w:t>
      </w:r>
      <w:r w:rsidR="00F12AEE">
        <w:rPr>
          <w:b/>
        </w:rPr>
        <w:t>espondents</w:t>
      </w:r>
      <w:r w:rsidR="003F1C7A" w:rsidRPr="00E26798">
        <w:rPr>
          <w:b/>
        </w:rPr>
        <w:t>:</w:t>
      </w:r>
      <w:r w:rsidR="00F44799">
        <w:t xml:space="preserve"> </w:t>
      </w:r>
    </w:p>
    <w:p w14:paraId="5350DB59" w14:textId="77777777" w:rsidR="00CF4557" w:rsidRDefault="00CF4557" w:rsidP="00F12AEE">
      <w:pPr>
        <w:ind w:left="720"/>
      </w:pPr>
    </w:p>
    <w:p w14:paraId="5FFBC04B" w14:textId="5A6C4B53" w:rsidR="00E215FA" w:rsidRDefault="005C1150" w:rsidP="00F12AEE">
      <w:pPr>
        <w:ind w:left="720"/>
      </w:pPr>
      <w:r>
        <w:t>On behalf of FDA</w:t>
      </w:r>
      <w:r w:rsidR="00471E29">
        <w:t>’s Center for Drug Evaluation and Research (</w:t>
      </w:r>
      <w:r>
        <w:t>CDER</w:t>
      </w:r>
      <w:r w:rsidR="00471E29">
        <w:t>)</w:t>
      </w:r>
      <w:r>
        <w:t xml:space="preserve">, </w:t>
      </w:r>
      <w:r w:rsidR="00135F15">
        <w:t xml:space="preserve">the </w:t>
      </w:r>
      <w:r>
        <w:t xml:space="preserve">research company Fors Marsh Group </w:t>
      </w:r>
      <w:r w:rsidR="00E62D75">
        <w:t xml:space="preserve">will conduct </w:t>
      </w:r>
      <w:r w:rsidR="00135F15">
        <w:t xml:space="preserve">ten </w:t>
      </w:r>
      <w:r w:rsidR="00E62D75">
        <w:t xml:space="preserve">90-minute </w:t>
      </w:r>
      <w:r w:rsidR="00716CB5">
        <w:t xml:space="preserve">online </w:t>
      </w:r>
      <w:r w:rsidR="00E62D75">
        <w:t>focus groups</w:t>
      </w:r>
      <w:r w:rsidR="00716CB5">
        <w:t xml:space="preserve">, each consisting of </w:t>
      </w:r>
      <w:r w:rsidR="00F3523C">
        <w:t>six</w:t>
      </w:r>
      <w:r w:rsidR="00210E31">
        <w:t xml:space="preserve"> to </w:t>
      </w:r>
      <w:r w:rsidR="00C715DD">
        <w:t>ten</w:t>
      </w:r>
      <w:r w:rsidR="00E62D75">
        <w:t xml:space="preserve"> p</w:t>
      </w:r>
      <w:r w:rsidR="00716CB5">
        <w:t xml:space="preserve">articipants for a total of </w:t>
      </w:r>
      <w:r w:rsidR="00210E31">
        <w:t>up to 80</w:t>
      </w:r>
      <w:r w:rsidR="00071B03">
        <w:t xml:space="preserve"> participants</w:t>
      </w:r>
      <w:r w:rsidR="00716CB5">
        <w:t>.</w:t>
      </w:r>
      <w:r w:rsidR="00E62D75">
        <w:t xml:space="preserve"> </w:t>
      </w:r>
      <w:r w:rsidR="00135F15">
        <w:t xml:space="preserve">FMG </w:t>
      </w:r>
      <w:r w:rsidR="00F3523C">
        <w:t xml:space="preserve">will schedule </w:t>
      </w:r>
      <w:r w:rsidR="00135F15">
        <w:t xml:space="preserve">10 </w:t>
      </w:r>
      <w:r w:rsidR="00F3523C">
        <w:t xml:space="preserve">participants for each group with the goal </w:t>
      </w:r>
      <w:r w:rsidR="00806483">
        <w:t>of seating</w:t>
      </w:r>
      <w:r w:rsidR="00F3523C">
        <w:t xml:space="preserve"> eight. </w:t>
      </w:r>
      <w:r w:rsidR="00135F15">
        <w:t xml:space="preserve">FMG </w:t>
      </w:r>
      <w:r w:rsidR="00E62D75">
        <w:t xml:space="preserve">will conduct the groups with </w:t>
      </w:r>
      <w:r w:rsidR="00031840">
        <w:t xml:space="preserve">participants grouped into </w:t>
      </w:r>
      <w:r w:rsidR="004D320F">
        <w:t xml:space="preserve">six </w:t>
      </w:r>
      <w:r w:rsidR="00210E31">
        <w:t xml:space="preserve">segments of </w:t>
      </w:r>
      <w:r w:rsidR="004D320F">
        <w:t>diagnosed medical conditions</w:t>
      </w:r>
      <w:r w:rsidR="00031840">
        <w:t xml:space="preserve"> s</w:t>
      </w:r>
      <w:r w:rsidR="00284570">
        <w:t>uch</w:t>
      </w:r>
      <w:r w:rsidR="00031840">
        <w:t xml:space="preserve"> that each group will</w:t>
      </w:r>
      <w:r w:rsidR="00AE5589">
        <w:t xml:space="preserve"> include</w:t>
      </w:r>
      <w:r w:rsidR="00031840">
        <w:t xml:space="preserve"> participants with similar medical condition</w:t>
      </w:r>
      <w:r w:rsidR="00284570">
        <w:t>s</w:t>
      </w:r>
      <w:r w:rsidR="00031840">
        <w:t>.</w:t>
      </w:r>
      <w:r w:rsidR="00716CB5">
        <w:t xml:space="preserve"> </w:t>
      </w:r>
      <w:r w:rsidR="00031840">
        <w:t>A</w:t>
      </w:r>
      <w:r w:rsidR="00F337A7">
        <w:t xml:space="preserve">ll of the patients </w:t>
      </w:r>
      <w:r w:rsidR="00031840">
        <w:t xml:space="preserve">must be </w:t>
      </w:r>
      <w:r w:rsidR="00F337A7">
        <w:t xml:space="preserve">currently taking or </w:t>
      </w:r>
      <w:r w:rsidR="00031840">
        <w:t xml:space="preserve">have </w:t>
      </w:r>
      <w:r w:rsidR="006F593D">
        <w:t>recently tak</w:t>
      </w:r>
      <w:r w:rsidR="00031840">
        <w:t>en</w:t>
      </w:r>
      <w:r w:rsidR="00F337A7">
        <w:t xml:space="preserve"> a biologic in the past six months. The medical conditions were selected because they are illnesses that are</w:t>
      </w:r>
      <w:r w:rsidR="00210E31">
        <w:t xml:space="preserve"> commonly</w:t>
      </w:r>
      <w:r w:rsidR="00F337A7">
        <w:t xml:space="preserve"> treated with biologics. </w:t>
      </w:r>
    </w:p>
    <w:p w14:paraId="07929C07" w14:textId="77777777" w:rsidR="000B727C" w:rsidRDefault="000B727C" w:rsidP="00F12AEE">
      <w:pPr>
        <w:ind w:left="720"/>
      </w:pPr>
    </w:p>
    <w:p w14:paraId="580CEAB7" w14:textId="77777777" w:rsidR="00E62D75" w:rsidRDefault="004D320F" w:rsidP="00E62D75">
      <w:pPr>
        <w:numPr>
          <w:ilvl w:val="0"/>
          <w:numId w:val="20"/>
        </w:numPr>
      </w:pPr>
      <w:r>
        <w:t>Anemia (</w:t>
      </w:r>
      <w:r w:rsidR="00135F15">
        <w:t xml:space="preserve">one </w:t>
      </w:r>
      <w:r>
        <w:t>group)</w:t>
      </w:r>
    </w:p>
    <w:p w14:paraId="029556C9" w14:textId="77777777" w:rsidR="00E62D75" w:rsidRDefault="004D320F" w:rsidP="00E62D75">
      <w:pPr>
        <w:numPr>
          <w:ilvl w:val="0"/>
          <w:numId w:val="20"/>
        </w:numPr>
      </w:pPr>
      <w:r>
        <w:t xml:space="preserve">Kidney </w:t>
      </w:r>
      <w:r w:rsidR="00210E31">
        <w:t>c</w:t>
      </w:r>
      <w:r>
        <w:t xml:space="preserve">onditions </w:t>
      </w:r>
      <w:r w:rsidR="00E83555">
        <w:t>–</w:t>
      </w:r>
      <w:r>
        <w:t xml:space="preserve"> </w:t>
      </w:r>
      <w:r w:rsidR="00210E31">
        <w:t>g</w:t>
      </w:r>
      <w:r w:rsidR="00E83555">
        <w:t xml:space="preserve">lomerulonephritis, </w:t>
      </w:r>
      <w:r w:rsidR="00210E31">
        <w:t>v</w:t>
      </w:r>
      <w:r w:rsidR="00E83555">
        <w:t>asculitis (</w:t>
      </w:r>
      <w:r w:rsidR="00135F15">
        <w:t xml:space="preserve">one </w:t>
      </w:r>
      <w:r w:rsidR="00E83555">
        <w:t>group)</w:t>
      </w:r>
    </w:p>
    <w:p w14:paraId="362F0A80" w14:textId="685209F6" w:rsidR="00E62D75" w:rsidRDefault="00E83555" w:rsidP="00E62D75">
      <w:pPr>
        <w:numPr>
          <w:ilvl w:val="0"/>
          <w:numId w:val="20"/>
        </w:numPr>
      </w:pPr>
      <w:r>
        <w:t xml:space="preserve">Arthritis – </w:t>
      </w:r>
      <w:r w:rsidR="00210E31">
        <w:t>r</w:t>
      </w:r>
      <w:r>
        <w:t xml:space="preserve">heumatoid, </w:t>
      </w:r>
      <w:r w:rsidR="00210E31">
        <w:t>p</w:t>
      </w:r>
      <w:r>
        <w:t xml:space="preserve">soriatic, </w:t>
      </w:r>
      <w:r w:rsidR="00AE5589">
        <w:t>ankylosing spondylitis/</w:t>
      </w:r>
      <w:r w:rsidR="00210E31">
        <w:t>s</w:t>
      </w:r>
      <w:r>
        <w:t>pondyloarthritis (</w:t>
      </w:r>
      <w:r w:rsidR="00135F15">
        <w:t xml:space="preserve">two </w:t>
      </w:r>
      <w:r>
        <w:t>groups)</w:t>
      </w:r>
    </w:p>
    <w:p w14:paraId="45B2B428" w14:textId="77777777" w:rsidR="00E62D75" w:rsidRDefault="00E83555" w:rsidP="00E62D75">
      <w:pPr>
        <w:numPr>
          <w:ilvl w:val="0"/>
          <w:numId w:val="20"/>
        </w:numPr>
      </w:pPr>
      <w:r>
        <w:t xml:space="preserve">Skin </w:t>
      </w:r>
      <w:r w:rsidR="00210E31">
        <w:t>c</w:t>
      </w:r>
      <w:r>
        <w:t xml:space="preserve">onditions – </w:t>
      </w:r>
      <w:r w:rsidR="00210E31">
        <w:t>e</w:t>
      </w:r>
      <w:r>
        <w:t>czema/</w:t>
      </w:r>
      <w:r w:rsidR="00210E31">
        <w:t>a</w:t>
      </w:r>
      <w:r>
        <w:t xml:space="preserve">topic </w:t>
      </w:r>
      <w:r w:rsidR="00210E31">
        <w:t>d</w:t>
      </w:r>
      <w:r>
        <w:t xml:space="preserve">ermatitis, </w:t>
      </w:r>
      <w:r w:rsidR="00210E31">
        <w:t>p</w:t>
      </w:r>
      <w:r>
        <w:t xml:space="preserve">soriasis, </w:t>
      </w:r>
      <w:r w:rsidR="00210E31">
        <w:t>h</w:t>
      </w:r>
      <w:r>
        <w:t xml:space="preserve">idradenitis </w:t>
      </w:r>
      <w:r w:rsidR="00210E31">
        <w:t>s</w:t>
      </w:r>
      <w:r>
        <w:t>uppurativa (</w:t>
      </w:r>
      <w:r w:rsidR="00135F15">
        <w:t xml:space="preserve">two </w:t>
      </w:r>
      <w:r>
        <w:t>groups)</w:t>
      </w:r>
    </w:p>
    <w:p w14:paraId="73B64356" w14:textId="77777777" w:rsidR="00E62D75" w:rsidRDefault="00E83555" w:rsidP="00E62D75">
      <w:pPr>
        <w:numPr>
          <w:ilvl w:val="0"/>
          <w:numId w:val="20"/>
        </w:numPr>
      </w:pPr>
      <w:r>
        <w:t xml:space="preserve">Inflammatory </w:t>
      </w:r>
      <w:r w:rsidR="00210E31">
        <w:t>b</w:t>
      </w:r>
      <w:r>
        <w:t xml:space="preserve">owel </w:t>
      </w:r>
      <w:r w:rsidR="00210E31">
        <w:t>d</w:t>
      </w:r>
      <w:r>
        <w:t xml:space="preserve">isease – Crohn’s </w:t>
      </w:r>
      <w:r w:rsidR="00210E31">
        <w:t>d</w:t>
      </w:r>
      <w:r>
        <w:t xml:space="preserve">isease, </w:t>
      </w:r>
      <w:r w:rsidR="00210E31">
        <w:t>u</w:t>
      </w:r>
      <w:r>
        <w:t xml:space="preserve">lcerative </w:t>
      </w:r>
      <w:r w:rsidR="00210E31">
        <w:t>c</w:t>
      </w:r>
      <w:r>
        <w:t>olitis (</w:t>
      </w:r>
      <w:r w:rsidR="00135F15">
        <w:t xml:space="preserve">two </w:t>
      </w:r>
      <w:r>
        <w:t>groups)</w:t>
      </w:r>
    </w:p>
    <w:p w14:paraId="32422E28" w14:textId="77777777" w:rsidR="00E215FA" w:rsidRDefault="00E83555" w:rsidP="00E62D75">
      <w:pPr>
        <w:numPr>
          <w:ilvl w:val="0"/>
          <w:numId w:val="20"/>
        </w:numPr>
      </w:pPr>
      <w:r>
        <w:t xml:space="preserve">Cancer – </w:t>
      </w:r>
      <w:r w:rsidR="00210E31">
        <w:t>v</w:t>
      </w:r>
      <w:r>
        <w:t>arious types</w:t>
      </w:r>
      <w:r w:rsidR="00135F15">
        <w:t xml:space="preserve">: </w:t>
      </w:r>
      <w:r>
        <w:t>blood, lung, skin, breast, colorec</w:t>
      </w:r>
      <w:r w:rsidR="00AC4D16">
        <w:t>tal, and kidney and neutropenia (side effect of chemotherapy</w:t>
      </w:r>
      <w:r w:rsidR="00135F15">
        <w:t xml:space="preserve">; two </w:t>
      </w:r>
      <w:r w:rsidR="00AC4D16">
        <w:t>groups)</w:t>
      </w:r>
    </w:p>
    <w:p w14:paraId="2FF18E5F" w14:textId="77777777" w:rsidR="00CF1277" w:rsidRDefault="00CF1277" w:rsidP="002E4785"/>
    <w:p w14:paraId="60EFA42F" w14:textId="0862EA7B" w:rsidR="00A8567C" w:rsidRDefault="00DC5B57" w:rsidP="002E4785">
      <w:pPr>
        <w:ind w:left="720"/>
      </w:pPr>
      <w:r>
        <w:t xml:space="preserve">Focus group </w:t>
      </w:r>
      <w:r w:rsidR="00F337A7">
        <w:t xml:space="preserve">participants </w:t>
      </w:r>
      <w:r w:rsidR="00CF1277">
        <w:t xml:space="preserve">will be recruited by </w:t>
      </w:r>
      <w:r w:rsidR="00281DB1">
        <w:t xml:space="preserve">FieldGoals, </w:t>
      </w:r>
      <w:r w:rsidR="00281DB1" w:rsidRPr="00281DB1">
        <w:t xml:space="preserve">a recruiting and market research firm with more than 50 years of experience in </w:t>
      </w:r>
      <w:r w:rsidR="00135F15">
        <w:t xml:space="preserve">nationwide </w:t>
      </w:r>
      <w:r w:rsidR="00281DB1" w:rsidRPr="00281DB1">
        <w:t>field data collection and consulting. FieldGoals has a database of 50,000 vetted consumers across the nation</w:t>
      </w:r>
      <w:r w:rsidR="00C63B0D">
        <w:t xml:space="preserve"> in urban, suburban, and rural geographies</w:t>
      </w:r>
      <w:r w:rsidR="00C63B0D" w:rsidRPr="00281DB1">
        <w:t xml:space="preserve">. </w:t>
      </w:r>
      <w:r w:rsidR="00C63B0D">
        <w:t>The company’s panel includes many different kinds of respondents for diverse projects across virtually all industries. For its many health-related research efforts, FieldGoals p</w:t>
      </w:r>
      <w:r w:rsidR="00281DB1" w:rsidRPr="00281DB1">
        <w:t>artner</w:t>
      </w:r>
      <w:r w:rsidR="00C63B0D">
        <w:t>s</w:t>
      </w:r>
      <w:r w:rsidR="00281DB1" w:rsidRPr="00281DB1">
        <w:t xml:space="preserve"> with several organizations (e.g., American Cancer Society, American Heart Association, American Medical Association) to maintain their pool of consumers with </w:t>
      </w:r>
      <w:r w:rsidR="00C63B0D">
        <w:t xml:space="preserve">specific </w:t>
      </w:r>
      <w:r w:rsidR="00281DB1" w:rsidRPr="00281DB1">
        <w:t>medical conditions</w:t>
      </w:r>
      <w:r w:rsidR="00C63B0D">
        <w:t xml:space="preserve"> and dispositions</w:t>
      </w:r>
      <w:r w:rsidR="00281DB1" w:rsidRPr="00281DB1">
        <w:t>.</w:t>
      </w:r>
      <w:r w:rsidR="00C63B0D">
        <w:t xml:space="preserve"> </w:t>
      </w:r>
      <w:r w:rsidR="00C63B0D" w:rsidRPr="00C63B0D">
        <w:t xml:space="preserve">For this study, FieldGoals will recruit individuals with diagnosed medical conditions from a participant pool that is diverse in terms of gender, age, race/ethnicity, education, and geography. Although the panel is large and diverse, it is not probability-based or ideal for some quantitative studies. Both because of relatively small sample size of this </w:t>
      </w:r>
      <w:r w:rsidR="0026211E">
        <w:t xml:space="preserve">qualitative </w:t>
      </w:r>
      <w:r w:rsidR="00C63B0D" w:rsidRPr="00C63B0D">
        <w:t>study and the limitations of the panel, the study results will only represent the enrolled participants and will not be generalizable to a larger population.</w:t>
      </w:r>
    </w:p>
    <w:p w14:paraId="647A7876" w14:textId="77777777" w:rsidR="00281DB1" w:rsidRDefault="00281DB1" w:rsidP="002E4785">
      <w:pPr>
        <w:ind w:left="720"/>
      </w:pPr>
      <w:r w:rsidRPr="00281DB1">
        <w:t xml:space="preserve"> </w:t>
      </w:r>
    </w:p>
    <w:p w14:paraId="496C3B75" w14:textId="65228DB5" w:rsidR="00DC098F" w:rsidRDefault="00281DB1" w:rsidP="002E4785">
      <w:pPr>
        <w:ind w:left="720"/>
      </w:pPr>
      <w:r>
        <w:t xml:space="preserve">Recruiting will commence within two business days of the FDA project manager notifying FMG of approval by </w:t>
      </w:r>
      <w:r w:rsidR="00071B03">
        <w:t>FDA</w:t>
      </w:r>
      <w:r w:rsidR="00806483">
        <w:t>’s</w:t>
      </w:r>
      <w:r w:rsidR="00071B03">
        <w:t xml:space="preserve"> </w:t>
      </w:r>
      <w:r w:rsidR="00471E29">
        <w:t>Institutional Review Board (</w:t>
      </w:r>
      <w:r w:rsidR="00071B03">
        <w:t>IRB</w:t>
      </w:r>
      <w:r w:rsidR="00471E29">
        <w:t>)</w:t>
      </w:r>
      <w:r w:rsidR="00071B03">
        <w:t xml:space="preserve"> </w:t>
      </w:r>
      <w:r>
        <w:t>and OMB. FieldGoals will take the following steps to recruit patients/consumers who are currently or have taken a biologic medicine</w:t>
      </w:r>
      <w:r w:rsidR="006740D0">
        <w:t xml:space="preserve"> in the past six months</w:t>
      </w:r>
      <w:r>
        <w:t xml:space="preserve">. First, they will </w:t>
      </w:r>
      <w:r w:rsidR="00031840">
        <w:t xml:space="preserve">recruit participants from their panel who live </w:t>
      </w:r>
      <w:r w:rsidR="00616865">
        <w:t xml:space="preserve">in </w:t>
      </w:r>
      <w:r w:rsidR="00031840">
        <w:t xml:space="preserve">various </w:t>
      </w:r>
      <w:r w:rsidR="00616865">
        <w:t>regions</w:t>
      </w:r>
      <w:r w:rsidR="00031840">
        <w:t xml:space="preserve"> of the United States</w:t>
      </w:r>
      <w:r>
        <w:t xml:space="preserve"> to ensure </w:t>
      </w:r>
      <w:r w:rsidR="00060DDF">
        <w:t xml:space="preserve">geographic </w:t>
      </w:r>
      <w:r>
        <w:t>diversity</w:t>
      </w:r>
      <w:r w:rsidR="00031840">
        <w:t xml:space="preserve"> in the sample</w:t>
      </w:r>
      <w:r w:rsidR="00616865">
        <w:t>. The online nature of the focus groups also facilitates a wide geographic reach compared to focus groups conducted in person.</w:t>
      </w:r>
      <w:r>
        <w:t xml:space="preserve"> Second, within </w:t>
      </w:r>
      <w:r>
        <w:lastRenderedPageBreak/>
        <w:t>their participant panel, FieldGoals will</w:t>
      </w:r>
      <w:r w:rsidR="00060DDF">
        <w:t xml:space="preserve"> start by </w:t>
      </w:r>
      <w:r>
        <w:t>target</w:t>
      </w:r>
      <w:r w:rsidR="00060DDF">
        <w:t>ing</w:t>
      </w:r>
      <w:r>
        <w:t xml:space="preserve"> respondents diagnosed with illnesses that are sometimes treated with biologics, </w:t>
      </w:r>
      <w:r w:rsidR="00210E31">
        <w:t>as outlined above</w:t>
      </w:r>
      <w:r>
        <w:t>.</w:t>
      </w:r>
      <w:r w:rsidR="00210E31">
        <w:t xml:space="preserve"> </w:t>
      </w:r>
      <w:r w:rsidR="00060DDF">
        <w:t xml:space="preserve">Initial targeting will be based on medical condition information </w:t>
      </w:r>
      <w:r w:rsidR="00F513DB">
        <w:t xml:space="preserve">that was </w:t>
      </w:r>
      <w:r w:rsidR="00031840">
        <w:t xml:space="preserve">previously collected </w:t>
      </w:r>
      <w:r w:rsidR="00060DDF">
        <w:t xml:space="preserve">about </w:t>
      </w:r>
      <w:r w:rsidR="00060C0D">
        <w:t xml:space="preserve">the </w:t>
      </w:r>
      <w:r w:rsidR="00060DDF">
        <w:t>panel members</w:t>
      </w:r>
      <w:r w:rsidR="00031840">
        <w:t xml:space="preserve"> as part of their profile data</w:t>
      </w:r>
      <w:r w:rsidR="00616865">
        <w:t xml:space="preserve">. Outreach to additional potential participants </w:t>
      </w:r>
      <w:r w:rsidR="00060DDF">
        <w:t xml:space="preserve">will be expanded as needed. </w:t>
      </w:r>
      <w:r w:rsidR="00210E31">
        <w:t>FieldGoals will initially reach out to potential participants within their panel via email to inform them that there is an upcoming study</w:t>
      </w:r>
      <w:r w:rsidR="00060C0D">
        <w:t xml:space="preserve"> for which</w:t>
      </w:r>
      <w:r w:rsidR="00210E31">
        <w:t xml:space="preserve"> they may qualify (see </w:t>
      </w:r>
      <w:r w:rsidR="00071B03">
        <w:t>Screener Invitation Email</w:t>
      </w:r>
      <w:r w:rsidR="00210E31">
        <w:t xml:space="preserve">). Potential respondents will be able to click </w:t>
      </w:r>
      <w:r w:rsidR="00F513DB">
        <w:t xml:space="preserve">on </w:t>
      </w:r>
      <w:r w:rsidR="00210E31">
        <w:t xml:space="preserve">a link in the email to answer </w:t>
      </w:r>
      <w:r w:rsidR="00E869B7">
        <w:t xml:space="preserve">a number of </w:t>
      </w:r>
      <w:r w:rsidR="00210E31">
        <w:t>initial screening questions</w:t>
      </w:r>
      <w:r w:rsidR="00E4358E">
        <w:t xml:space="preserve"> (see Online Screener)</w:t>
      </w:r>
      <w:r w:rsidR="00210E31">
        <w:t>. If respondents qualify after those</w:t>
      </w:r>
      <w:r w:rsidR="00071B03">
        <w:t xml:space="preserve"> initial</w:t>
      </w:r>
      <w:r w:rsidR="00210E31">
        <w:t xml:space="preserve"> screening questions, a recruiter will contact the respondents via phone to complete the remaining screening questions </w:t>
      </w:r>
      <w:r w:rsidR="00F513DB">
        <w:t xml:space="preserve">that are </w:t>
      </w:r>
      <w:r w:rsidR="002C2550">
        <w:t>specific to biologic medicines they have taken</w:t>
      </w:r>
      <w:r w:rsidR="00F513DB">
        <w:t>,</w:t>
      </w:r>
      <w:r w:rsidR="00E869B7">
        <w:t xml:space="preserve"> </w:t>
      </w:r>
      <w:r w:rsidR="00F513DB">
        <w:t xml:space="preserve">to </w:t>
      </w:r>
      <w:r w:rsidR="00210E31">
        <w:t>determine eligibility</w:t>
      </w:r>
      <w:r w:rsidR="00514F43">
        <w:t xml:space="preserve">, </w:t>
      </w:r>
      <w:r w:rsidR="00F513DB">
        <w:t>and</w:t>
      </w:r>
      <w:r w:rsidR="00514F43">
        <w:t xml:space="preserve"> to confirm their interest, availability, and ability to </w:t>
      </w:r>
      <w:r w:rsidR="00F513DB">
        <w:t xml:space="preserve">fulfill the </w:t>
      </w:r>
      <w:r w:rsidR="00514F43">
        <w:t xml:space="preserve">requirements of being in the </w:t>
      </w:r>
      <w:r w:rsidR="008571A9">
        <w:t xml:space="preserve">online </w:t>
      </w:r>
      <w:r w:rsidR="00514F43">
        <w:t>focus group</w:t>
      </w:r>
      <w:r w:rsidR="00E4358E">
        <w:t xml:space="preserve"> (see Phone Screener)</w:t>
      </w:r>
      <w:r w:rsidR="00210E31">
        <w:t xml:space="preserve">. If a respondent is qualified and selected for the study, the recruiter will schedule </w:t>
      </w:r>
      <w:r w:rsidR="00F513DB">
        <w:t xml:space="preserve">him or her </w:t>
      </w:r>
      <w:r w:rsidR="00210E31">
        <w:t xml:space="preserve">over the phone. Recruiters will send out reminder </w:t>
      </w:r>
      <w:r w:rsidR="00071B03">
        <w:t xml:space="preserve">scheduling </w:t>
      </w:r>
      <w:r w:rsidR="00210E31">
        <w:t xml:space="preserve">emails </w:t>
      </w:r>
      <w:r w:rsidR="00071B03">
        <w:t xml:space="preserve">(see Confirmation Email) </w:t>
      </w:r>
      <w:r w:rsidR="00EC7825">
        <w:t xml:space="preserve">and </w:t>
      </w:r>
      <w:r w:rsidR="00F513DB">
        <w:t xml:space="preserve">will </w:t>
      </w:r>
      <w:r w:rsidR="00EC7825">
        <w:t xml:space="preserve">make reminder phone calls. </w:t>
      </w:r>
      <w:r w:rsidR="00071B03">
        <w:t>FocusVision</w:t>
      </w:r>
      <w:r w:rsidR="00616865">
        <w:t>, the online focus group platform provider,</w:t>
      </w:r>
      <w:r w:rsidR="00071B03">
        <w:t xml:space="preserve"> will send emails </w:t>
      </w:r>
      <w:r w:rsidR="00210E31">
        <w:t>with log</w:t>
      </w:r>
      <w:r w:rsidR="00060C0D">
        <w:t>-</w:t>
      </w:r>
      <w:r w:rsidR="00210E31">
        <w:t>in information for the group</w:t>
      </w:r>
      <w:r w:rsidR="00471E29">
        <w:t xml:space="preserve"> (see InterVu Respondent Invitation Template)</w:t>
      </w:r>
      <w:r w:rsidR="00210E31">
        <w:t xml:space="preserve">. </w:t>
      </w:r>
    </w:p>
    <w:p w14:paraId="5831C341" w14:textId="77777777" w:rsidR="00FC745E" w:rsidRDefault="00FC745E" w:rsidP="002E4785">
      <w:pPr>
        <w:ind w:left="720"/>
      </w:pPr>
    </w:p>
    <w:p w14:paraId="081C86F5" w14:textId="0C49945E" w:rsidR="00DC5B57" w:rsidRDefault="00674A2F" w:rsidP="00772815">
      <w:pPr>
        <w:ind w:left="720"/>
      </w:pPr>
      <w:r>
        <w:t>The focus group screener will ask</w:t>
      </w:r>
      <w:r w:rsidR="00FC745E">
        <w:t xml:space="preserve"> </w:t>
      </w:r>
      <w:r w:rsidR="003677C9">
        <w:t xml:space="preserve">participants </w:t>
      </w:r>
      <w:r>
        <w:t>questions about</w:t>
      </w:r>
      <w:r w:rsidR="003677C9">
        <w:t xml:space="preserve"> </w:t>
      </w:r>
      <w:r>
        <w:t xml:space="preserve">their </w:t>
      </w:r>
      <w:r w:rsidR="003677C9">
        <w:t xml:space="preserve">general </w:t>
      </w:r>
      <w:r>
        <w:t xml:space="preserve">demographics </w:t>
      </w:r>
      <w:r w:rsidR="003677C9">
        <w:t xml:space="preserve">(e.g., </w:t>
      </w:r>
      <w:r w:rsidR="00F30BDB">
        <w:t>age, gender</w:t>
      </w:r>
      <w:r w:rsidR="003677C9">
        <w:t xml:space="preserve">), </w:t>
      </w:r>
      <w:r w:rsidR="00F30BDB">
        <w:t>diagnosed medical condition</w:t>
      </w:r>
      <w:r w:rsidR="006F593D">
        <w:t>(s)</w:t>
      </w:r>
      <w:r w:rsidR="00F30BDB">
        <w:t xml:space="preserve">, and </w:t>
      </w:r>
      <w:r>
        <w:t xml:space="preserve">whether </w:t>
      </w:r>
      <w:r w:rsidR="00210E31">
        <w:t xml:space="preserve">they are currently taking </w:t>
      </w:r>
      <w:r w:rsidR="00DA6EA3">
        <w:t xml:space="preserve">or have recently taken a biologic </w:t>
      </w:r>
      <w:r w:rsidR="00195D24">
        <w:t xml:space="preserve">in the past six months </w:t>
      </w:r>
      <w:r w:rsidR="00772815">
        <w:t xml:space="preserve">(see </w:t>
      </w:r>
      <w:r w:rsidR="00471E29">
        <w:t>Phone Screener</w:t>
      </w:r>
      <w:r w:rsidR="003677C9">
        <w:t xml:space="preserve">). </w:t>
      </w:r>
      <w:r w:rsidR="00210E31">
        <w:t xml:space="preserve">Respondents </w:t>
      </w:r>
      <w:r w:rsidR="00426E84">
        <w:t xml:space="preserve">will be excluded if they </w:t>
      </w:r>
      <w:r w:rsidR="00210E31">
        <w:t xml:space="preserve">have participated in </w:t>
      </w:r>
      <w:r>
        <w:t xml:space="preserve">a </w:t>
      </w:r>
      <w:r w:rsidR="00210E31">
        <w:t>foc</w:t>
      </w:r>
      <w:r w:rsidR="006F593D">
        <w:t>us group or interview research</w:t>
      </w:r>
      <w:r w:rsidR="00210E31">
        <w:t xml:space="preserve"> in the last three months</w:t>
      </w:r>
      <w:r w:rsidR="00426E84">
        <w:t>,</w:t>
      </w:r>
      <w:r w:rsidR="00210E31">
        <w:t xml:space="preserve"> or </w:t>
      </w:r>
      <w:r w:rsidR="00426E84">
        <w:t xml:space="preserve">if they </w:t>
      </w:r>
      <w:r w:rsidR="00210E31">
        <w:t xml:space="preserve">have </w:t>
      </w:r>
      <w:r w:rsidR="003B2B3D">
        <w:t>worked</w:t>
      </w:r>
      <w:r w:rsidR="00363D5C">
        <w:t xml:space="preserve"> for a health care company or organization</w:t>
      </w:r>
      <w:r w:rsidR="00F90344">
        <w:t xml:space="preserve"> </w:t>
      </w:r>
      <w:r w:rsidR="00363D5C">
        <w:t xml:space="preserve">as a medical professional, </w:t>
      </w:r>
      <w:r w:rsidR="003B2B3D">
        <w:t xml:space="preserve">a drug company, </w:t>
      </w:r>
      <w:r>
        <w:t xml:space="preserve">a </w:t>
      </w:r>
      <w:r w:rsidR="003B2B3D">
        <w:t xml:space="preserve">market research or marketing company, </w:t>
      </w:r>
      <w:r>
        <w:t xml:space="preserve">the </w:t>
      </w:r>
      <w:r w:rsidR="003B2B3D">
        <w:t xml:space="preserve">FDA, National Institutes of Health (NIH), Centers for Medicare </w:t>
      </w:r>
      <w:r>
        <w:t xml:space="preserve">&amp; </w:t>
      </w:r>
      <w:r w:rsidR="003B2B3D">
        <w:t xml:space="preserve">Medicaid Services (CMS), Centers for Disease Control and Prevention (CDC), </w:t>
      </w:r>
      <w:r w:rsidR="00F90344">
        <w:t>or other parts of</w:t>
      </w:r>
      <w:r w:rsidR="003B2B3D">
        <w:t xml:space="preserve"> </w:t>
      </w:r>
      <w:r>
        <w:t xml:space="preserve">the </w:t>
      </w:r>
      <w:r w:rsidR="003B2B3D">
        <w:t xml:space="preserve">U.S. Department of Health and Human Services (HHS). </w:t>
      </w:r>
      <w:r w:rsidR="00847DBA">
        <w:t xml:space="preserve">FMG </w:t>
      </w:r>
      <w:r w:rsidR="00F3523C">
        <w:t xml:space="preserve">will </w:t>
      </w:r>
      <w:r w:rsidR="003677C9">
        <w:t>aim to recruit a mix of demographics to ensure adequate diversity</w:t>
      </w:r>
      <w:r w:rsidR="00DD3D02">
        <w:t xml:space="preserve"> in the sample</w:t>
      </w:r>
      <w:r w:rsidR="003677C9">
        <w:t>.</w:t>
      </w:r>
    </w:p>
    <w:p w14:paraId="49721F86" w14:textId="77777777" w:rsidR="00E62D75" w:rsidRDefault="00E62D75" w:rsidP="005627D8"/>
    <w:p w14:paraId="3A302C33" w14:textId="77777777" w:rsidR="003F1C7A" w:rsidRPr="00E215FA" w:rsidRDefault="003F1C7A" w:rsidP="00A517C3">
      <w:pPr>
        <w:numPr>
          <w:ilvl w:val="0"/>
          <w:numId w:val="15"/>
        </w:numPr>
      </w:pPr>
      <w:r w:rsidRPr="00E26798">
        <w:rPr>
          <w:b/>
        </w:rPr>
        <w:t xml:space="preserve">Date(s) </w:t>
      </w:r>
      <w:r w:rsidR="00674A2F">
        <w:rPr>
          <w:b/>
        </w:rPr>
        <w:t>that the focus groups will be</w:t>
      </w:r>
      <w:r w:rsidR="009404FA">
        <w:rPr>
          <w:b/>
        </w:rPr>
        <w:t xml:space="preserve"> conducted </w:t>
      </w:r>
      <w:r w:rsidRPr="00E26798">
        <w:rPr>
          <w:b/>
        </w:rPr>
        <w:t xml:space="preserve">and </w:t>
      </w:r>
      <w:r w:rsidR="00674A2F">
        <w:rPr>
          <w:b/>
        </w:rPr>
        <w:t xml:space="preserve">the </w:t>
      </w:r>
      <w:r w:rsidRPr="00E26798">
        <w:rPr>
          <w:b/>
        </w:rPr>
        <w:t>location(s)</w:t>
      </w:r>
      <w:r w:rsidR="0049419A">
        <w:rPr>
          <w:b/>
        </w:rPr>
        <w:t>:</w:t>
      </w:r>
      <w:r w:rsidR="00F44799">
        <w:rPr>
          <w:b/>
        </w:rPr>
        <w:t xml:space="preserve"> </w:t>
      </w:r>
    </w:p>
    <w:p w14:paraId="651C762B" w14:textId="77777777" w:rsidR="002223D8" w:rsidRDefault="002223D8" w:rsidP="00F12AEE">
      <w:pPr>
        <w:ind w:left="720"/>
        <w:jc w:val="both"/>
      </w:pPr>
    </w:p>
    <w:p w14:paraId="0FEE4111" w14:textId="77777777" w:rsidR="00A517C3" w:rsidRDefault="002223D8" w:rsidP="00A517C3">
      <w:pPr>
        <w:ind w:left="720"/>
        <w:jc w:val="both"/>
      </w:pPr>
      <w:r>
        <w:t xml:space="preserve">The </w:t>
      </w:r>
      <w:r w:rsidR="00DA6EA3">
        <w:t>patient</w:t>
      </w:r>
      <w:r>
        <w:t xml:space="preserve"> focus groups will be conducted over a </w:t>
      </w:r>
      <w:r w:rsidR="003B2B3D">
        <w:t>four</w:t>
      </w:r>
      <w:r>
        <w:t xml:space="preserve">-week period after OMB and </w:t>
      </w:r>
      <w:r w:rsidR="003B2B3D">
        <w:t xml:space="preserve">FDA IRB </w:t>
      </w:r>
      <w:r>
        <w:t xml:space="preserve">approvals have been obtained. </w:t>
      </w:r>
    </w:p>
    <w:p w14:paraId="4242DCCD" w14:textId="77777777" w:rsidR="00190AA2" w:rsidRDefault="00190AA2" w:rsidP="00F12AEE">
      <w:pPr>
        <w:ind w:left="360"/>
        <w:jc w:val="both"/>
      </w:pPr>
    </w:p>
    <w:p w14:paraId="1A1D8415" w14:textId="77777777" w:rsidR="00E26798" w:rsidRPr="00A517C3" w:rsidRDefault="00140A0D" w:rsidP="00A517C3">
      <w:pPr>
        <w:numPr>
          <w:ilvl w:val="0"/>
          <w:numId w:val="15"/>
        </w:numPr>
      </w:pPr>
      <w:r>
        <w:rPr>
          <w:b/>
        </w:rPr>
        <w:t xml:space="preserve">How the </w:t>
      </w:r>
      <w:r w:rsidR="005F3E18">
        <w:rPr>
          <w:b/>
        </w:rPr>
        <w:t>i</w:t>
      </w:r>
      <w:r>
        <w:rPr>
          <w:b/>
        </w:rPr>
        <w:t xml:space="preserve">nformation </w:t>
      </w:r>
      <w:r w:rsidR="00674A2F">
        <w:rPr>
          <w:b/>
        </w:rPr>
        <w:t>will be</w:t>
      </w:r>
      <w:r>
        <w:rPr>
          <w:b/>
        </w:rPr>
        <w:t xml:space="preserve"> collected</w:t>
      </w:r>
      <w:r w:rsidR="0049419A">
        <w:rPr>
          <w:b/>
        </w:rPr>
        <w:t>:</w:t>
      </w:r>
    </w:p>
    <w:p w14:paraId="7960EAC6" w14:textId="77777777" w:rsidR="00A517C3" w:rsidRDefault="00A517C3" w:rsidP="00A517C3">
      <w:pPr>
        <w:ind w:left="720"/>
      </w:pPr>
    </w:p>
    <w:p w14:paraId="161BA345" w14:textId="468E4867" w:rsidR="00E12C15" w:rsidRDefault="00674A2F" w:rsidP="00363D5C">
      <w:pPr>
        <w:ind w:left="720"/>
        <w:rPr>
          <w:color w:val="000000"/>
        </w:rPr>
      </w:pPr>
      <w:r>
        <w:t xml:space="preserve">FMG </w:t>
      </w:r>
      <w:r w:rsidR="00E12C15">
        <w:t>will conduct 1</w:t>
      </w:r>
      <w:r w:rsidR="00DA6EA3">
        <w:t>0</w:t>
      </w:r>
      <w:r w:rsidR="00E12C15">
        <w:t xml:space="preserve"> online focus groups with </w:t>
      </w:r>
      <w:r w:rsidR="00DA6EA3">
        <w:t>patients to understand their experiences</w:t>
      </w:r>
      <w:r w:rsidR="00514F43">
        <w:t>,</w:t>
      </w:r>
      <w:r w:rsidR="00DA6EA3">
        <w:t xml:space="preserve"> knowledge</w:t>
      </w:r>
      <w:r w:rsidR="00514F43">
        <w:t xml:space="preserve">, </w:t>
      </w:r>
      <w:r>
        <w:t xml:space="preserve">their </w:t>
      </w:r>
      <w:r w:rsidR="00514F43">
        <w:t>desired and needed information related to</w:t>
      </w:r>
      <w:r w:rsidR="00DA6EA3">
        <w:t xml:space="preserve"> biologic</w:t>
      </w:r>
      <w:r w:rsidR="00195D24">
        <w:t>al</w:t>
      </w:r>
      <w:r w:rsidR="00DA6EA3">
        <w:t xml:space="preserve"> products, including biosimilars</w:t>
      </w:r>
      <w:r w:rsidR="00781BAA">
        <w:t xml:space="preserve">, </w:t>
      </w:r>
      <w:r w:rsidR="00060C0D">
        <w:t>and</w:t>
      </w:r>
      <w:r w:rsidR="00781BAA">
        <w:t xml:space="preserve"> </w:t>
      </w:r>
      <w:r>
        <w:t xml:space="preserve">to </w:t>
      </w:r>
      <w:r w:rsidR="00781BAA">
        <w:t xml:space="preserve">gather their feedback </w:t>
      </w:r>
      <w:r w:rsidR="00195D24">
        <w:t>on</w:t>
      </w:r>
      <w:r w:rsidR="00781BAA">
        <w:t xml:space="preserve"> draft educational materials about biosimilar and/or interchangeable products created by </w:t>
      </w:r>
      <w:r>
        <w:t xml:space="preserve">the </w:t>
      </w:r>
      <w:r w:rsidR="00781BAA">
        <w:t>FDA</w:t>
      </w:r>
      <w:r w:rsidR="00E12C15">
        <w:rPr>
          <w:color w:val="000000"/>
        </w:rPr>
        <w:t>. Each focus group wi</w:t>
      </w:r>
      <w:r w:rsidR="00CB14C4">
        <w:rPr>
          <w:color w:val="000000"/>
        </w:rPr>
        <w:t xml:space="preserve">ll last 90 minutes and will consist of </w:t>
      </w:r>
      <w:r w:rsidR="003B2B3D">
        <w:rPr>
          <w:color w:val="000000"/>
        </w:rPr>
        <w:t>up to</w:t>
      </w:r>
      <w:r w:rsidR="00426E84">
        <w:rPr>
          <w:color w:val="000000"/>
        </w:rPr>
        <w:t xml:space="preserve"> ten</w:t>
      </w:r>
      <w:r>
        <w:rPr>
          <w:color w:val="000000"/>
        </w:rPr>
        <w:t xml:space="preserve"> </w:t>
      </w:r>
      <w:r w:rsidR="00E12C15">
        <w:rPr>
          <w:color w:val="000000"/>
        </w:rPr>
        <w:t>participants.</w:t>
      </w:r>
    </w:p>
    <w:p w14:paraId="3D5352ED" w14:textId="77777777" w:rsidR="00C016A6" w:rsidRDefault="00C016A6" w:rsidP="00363D5C">
      <w:pPr>
        <w:ind w:left="720"/>
        <w:rPr>
          <w:color w:val="000000"/>
        </w:rPr>
      </w:pPr>
    </w:p>
    <w:p w14:paraId="40A1252A" w14:textId="2FECD75E" w:rsidR="00323854" w:rsidRDefault="00323854" w:rsidP="002E4785">
      <w:pPr>
        <w:ind w:left="720"/>
      </w:pPr>
      <w:r w:rsidRPr="00AF4F5D">
        <w:t xml:space="preserve">All </w:t>
      </w:r>
      <w:r>
        <w:t>focus groups</w:t>
      </w:r>
      <w:r w:rsidRPr="00AF4F5D">
        <w:t xml:space="preserve"> will be conducted remo</w:t>
      </w:r>
      <w:r w:rsidR="000A2C1B">
        <w:t xml:space="preserve">tely via the FocusVision online </w:t>
      </w:r>
      <w:r w:rsidRPr="00AF4F5D">
        <w:t>platform, InterVu, which provides live, audio/video access for moderators and respondents in multiple locations to interact face</w:t>
      </w:r>
      <w:r w:rsidR="00A11195">
        <w:t>-</w:t>
      </w:r>
      <w:r w:rsidRPr="00AF4F5D">
        <w:t>to</w:t>
      </w:r>
      <w:r w:rsidR="00A11195">
        <w:t>-</w:t>
      </w:r>
      <w:r w:rsidRPr="00AF4F5D">
        <w:t xml:space="preserve">face. </w:t>
      </w:r>
      <w:r>
        <w:t xml:space="preserve">FocusVision InterVu is a secure, </w:t>
      </w:r>
      <w:r w:rsidR="00674A2F">
        <w:t>password-</w:t>
      </w:r>
      <w:r>
        <w:t xml:space="preserve">protected system. </w:t>
      </w:r>
      <w:r w:rsidRPr="00AF4F5D">
        <w:t xml:space="preserve">With the InterVu remote setup, members of the FDA team will be able to log in </w:t>
      </w:r>
      <w:r w:rsidR="008571A9">
        <w:t xml:space="preserve">remotely </w:t>
      </w:r>
      <w:r w:rsidRPr="00AF4F5D">
        <w:t xml:space="preserve">and </w:t>
      </w:r>
      <w:r w:rsidR="008571A9">
        <w:t>live stream each focus group</w:t>
      </w:r>
      <w:r w:rsidRPr="00AF4F5D">
        <w:t xml:space="preserve">, unobtrusively hearing the conversation and seeing what participants see in real time. </w:t>
      </w:r>
    </w:p>
    <w:p w14:paraId="011B98A6" w14:textId="77777777" w:rsidR="003A3F4C" w:rsidRDefault="003A3F4C" w:rsidP="00CB14C4">
      <w:pPr>
        <w:ind w:left="720" w:firstLine="720"/>
        <w:rPr>
          <w:b/>
        </w:rPr>
      </w:pPr>
    </w:p>
    <w:p w14:paraId="1ABBCA5C" w14:textId="7EA12D73" w:rsidR="007E7738" w:rsidRDefault="007E7738" w:rsidP="00D43AF7">
      <w:pPr>
        <w:ind w:left="720"/>
      </w:pPr>
      <w:r>
        <w:t>For each 90-minute focus group, a trained moderator</w:t>
      </w:r>
      <w:r w:rsidR="007C446B">
        <w:t xml:space="preserve"> </w:t>
      </w:r>
      <w:r>
        <w:t xml:space="preserve">will lead the discussion using a semi-structured </w:t>
      </w:r>
      <w:r w:rsidR="00674A2F">
        <w:t xml:space="preserve">moderator’s </w:t>
      </w:r>
      <w:r>
        <w:t xml:space="preserve">guide that ensures consistency in major topics but allows flexibility in probing each group </w:t>
      </w:r>
      <w:r w:rsidR="00674A2F">
        <w:t>depending on the discussion</w:t>
      </w:r>
      <w:r w:rsidR="007C446B">
        <w:t xml:space="preserve"> (</w:t>
      </w:r>
      <w:r w:rsidR="00674A2F">
        <w:t xml:space="preserve">see </w:t>
      </w:r>
      <w:r w:rsidR="007C446B">
        <w:t>the</w:t>
      </w:r>
      <w:r w:rsidR="00C016A6">
        <w:t xml:space="preserve"> </w:t>
      </w:r>
      <w:r w:rsidR="002A692E">
        <w:t>Patient Semi-</w:t>
      </w:r>
      <w:r w:rsidR="00674A2F">
        <w:t xml:space="preserve">Structured </w:t>
      </w:r>
      <w:r w:rsidR="002A692E">
        <w:t>Focus Group Moderator’s Guide</w:t>
      </w:r>
      <w:r w:rsidR="007C446B">
        <w:t>)</w:t>
      </w:r>
      <w:r>
        <w:t>.</w:t>
      </w:r>
    </w:p>
    <w:p w14:paraId="314EEBCA" w14:textId="77777777" w:rsidR="007E7738" w:rsidRDefault="007E7738" w:rsidP="007E7738">
      <w:pPr>
        <w:ind w:left="720"/>
      </w:pPr>
    </w:p>
    <w:p w14:paraId="3BB8647C" w14:textId="6BD85D39" w:rsidR="007E7738" w:rsidRDefault="007E7738" w:rsidP="007E7738">
      <w:pPr>
        <w:ind w:left="720"/>
      </w:pPr>
      <w:r>
        <w:t xml:space="preserve">During the </w:t>
      </w:r>
      <w:r w:rsidR="00674A2F">
        <w:t xml:space="preserve">focus </w:t>
      </w:r>
      <w:r>
        <w:t xml:space="preserve">groups, a notetaker will observe and document the major themes in each session. With the consent of participants, </w:t>
      </w:r>
      <w:r w:rsidR="00674A2F">
        <w:t xml:space="preserve">FMG </w:t>
      </w:r>
      <w:r>
        <w:t>will audio and video</w:t>
      </w:r>
      <w:r w:rsidR="00674A2F">
        <w:t xml:space="preserve"> </w:t>
      </w:r>
      <w:r>
        <w:t xml:space="preserve">record each session, produce a written transcript of the discussion, and use the transcript to supplement the team’s notes. </w:t>
      </w:r>
      <w:r w:rsidR="00155BAD">
        <w:t xml:space="preserve">The recruiting coordinators will provide the participants with </w:t>
      </w:r>
      <w:r w:rsidR="003B2B3D">
        <w:t xml:space="preserve">$75 </w:t>
      </w:r>
      <w:r w:rsidR="00423E8A">
        <w:t>via</w:t>
      </w:r>
      <w:r w:rsidR="003B2B3D">
        <w:t xml:space="preserve"> check or PayPal as a token of appreciation</w:t>
      </w:r>
      <w:r w:rsidR="002A692E">
        <w:t xml:space="preserve"> </w:t>
      </w:r>
      <w:r w:rsidR="00760030">
        <w:t>following</w:t>
      </w:r>
      <w:r w:rsidR="00155BAD">
        <w:t xml:space="preserve"> each session</w:t>
      </w:r>
      <w:r w:rsidR="000A2C1B">
        <w:t xml:space="preserve"> (see </w:t>
      </w:r>
      <w:r w:rsidR="00423E8A">
        <w:t xml:space="preserve">Section </w:t>
      </w:r>
      <w:r w:rsidR="000A2C1B">
        <w:t>7)</w:t>
      </w:r>
      <w:r w:rsidR="00155BAD">
        <w:t>.</w:t>
      </w:r>
    </w:p>
    <w:p w14:paraId="2BF3BECE" w14:textId="77777777" w:rsidR="00BB3285" w:rsidRDefault="00BB3285" w:rsidP="007E7738">
      <w:pPr>
        <w:ind w:left="720"/>
      </w:pPr>
    </w:p>
    <w:p w14:paraId="2B7B0D00" w14:textId="77777777" w:rsidR="003F1C7A" w:rsidRPr="00A517C3" w:rsidRDefault="00ED447A" w:rsidP="00CB14C4">
      <w:pPr>
        <w:numPr>
          <w:ilvl w:val="0"/>
          <w:numId w:val="15"/>
        </w:numPr>
      </w:pPr>
      <w:r>
        <w:rPr>
          <w:b/>
        </w:rPr>
        <w:t xml:space="preserve">Confidentiality of </w:t>
      </w:r>
      <w:r w:rsidR="005F3E18">
        <w:rPr>
          <w:b/>
        </w:rPr>
        <w:t>r</w:t>
      </w:r>
      <w:r>
        <w:rPr>
          <w:b/>
        </w:rPr>
        <w:t>espondents</w:t>
      </w:r>
      <w:r w:rsidR="0049419A">
        <w:rPr>
          <w:b/>
        </w:rPr>
        <w:t>:</w:t>
      </w:r>
    </w:p>
    <w:p w14:paraId="2AAE83EE" w14:textId="77777777" w:rsidR="00A517C3" w:rsidRPr="00E215FA" w:rsidRDefault="00A517C3" w:rsidP="00A517C3">
      <w:pPr>
        <w:ind w:left="720"/>
      </w:pPr>
    </w:p>
    <w:p w14:paraId="04080D84" w14:textId="57CCCC3B" w:rsidR="00261461" w:rsidRDefault="00261461" w:rsidP="00055969">
      <w:pPr>
        <w:ind w:left="720"/>
      </w:pPr>
      <w:r>
        <w:t xml:space="preserve">As the </w:t>
      </w:r>
      <w:r w:rsidR="00423E8A">
        <w:t xml:space="preserve">focus </w:t>
      </w:r>
      <w:r>
        <w:t xml:space="preserve">groups </w:t>
      </w:r>
      <w:r w:rsidR="00423E8A">
        <w:t xml:space="preserve">will be </w:t>
      </w:r>
      <w:r>
        <w:t xml:space="preserve">remote, a consent form will be emailed to each participant at the time of recruitment and scheduling. Participants will electronically sign a programmed version of the consent form so that their typed signature is collected in </w:t>
      </w:r>
      <w:r w:rsidR="00071B03">
        <w:t>FieldGoals</w:t>
      </w:r>
      <w:r w:rsidR="00F3523C">
        <w:t>’</w:t>
      </w:r>
      <w:r w:rsidR="00071B03">
        <w:t xml:space="preserve"> </w:t>
      </w:r>
      <w:r>
        <w:t>survey system</w:t>
      </w:r>
      <w:r w:rsidR="003A3F4C">
        <w:t xml:space="preserve"> (see </w:t>
      </w:r>
      <w:r w:rsidR="00363D5C">
        <w:t>C</w:t>
      </w:r>
      <w:r w:rsidR="003A3F4C">
        <w:t xml:space="preserve">onsent </w:t>
      </w:r>
      <w:r w:rsidR="00363D5C">
        <w:t>F</w:t>
      </w:r>
      <w:r w:rsidR="003A3F4C">
        <w:t>orm)</w:t>
      </w:r>
      <w:r>
        <w:t xml:space="preserve">. </w:t>
      </w:r>
      <w:r w:rsidR="000A328B">
        <w:t>No participants will be allowed to participate without a signed consent form.</w:t>
      </w:r>
    </w:p>
    <w:p w14:paraId="43FB4271" w14:textId="77777777" w:rsidR="00261461" w:rsidRDefault="00261461" w:rsidP="00055969">
      <w:pPr>
        <w:ind w:left="720"/>
      </w:pPr>
    </w:p>
    <w:p w14:paraId="1930B974" w14:textId="77777777" w:rsidR="00122FDE" w:rsidRDefault="00122FDE" w:rsidP="00055969">
      <w:pPr>
        <w:ind w:left="720"/>
      </w:pPr>
      <w:r>
        <w:t xml:space="preserve">The recruitment coordinator, </w:t>
      </w:r>
      <w:r w:rsidR="002A692E">
        <w:t>FieldGoals</w:t>
      </w:r>
      <w:r>
        <w:t>, will store information obtained through the screening processes (</w:t>
      </w:r>
      <w:r w:rsidR="00781BAA">
        <w:t xml:space="preserve">see </w:t>
      </w:r>
      <w:r w:rsidR="00471E29">
        <w:t>Online Screener and Phone</w:t>
      </w:r>
      <w:r>
        <w:t xml:space="preserve">) on a password-protected computer in order to invite respondents and send them reminder </w:t>
      </w:r>
      <w:r w:rsidR="00781BAA">
        <w:t xml:space="preserve">emails </w:t>
      </w:r>
      <w:r>
        <w:t xml:space="preserve">or </w:t>
      </w:r>
      <w:r w:rsidR="00DE7963">
        <w:t xml:space="preserve">to </w:t>
      </w:r>
      <w:r>
        <w:t>make reminder phone calls. Only the recruitment coordinators assigned specifically to this project will have access to this information. Once the screening and recruitment process</w:t>
      </w:r>
      <w:r w:rsidR="00846D50">
        <w:t xml:space="preserve"> is completed, the r</w:t>
      </w:r>
      <w:r>
        <w:t>ecruiting f</w:t>
      </w:r>
      <w:r w:rsidR="00846D50">
        <w:t>ir</w:t>
      </w:r>
      <w:r>
        <w:t xml:space="preserve">m will provide FMG with </w:t>
      </w:r>
      <w:r w:rsidR="002940FA">
        <w:t xml:space="preserve">the </w:t>
      </w:r>
      <w:r w:rsidR="00261461">
        <w:t xml:space="preserve">screening data for </w:t>
      </w:r>
      <w:r w:rsidR="002940FA">
        <w:t xml:space="preserve">the </w:t>
      </w:r>
      <w:r w:rsidR="00261461">
        <w:t>participants</w:t>
      </w:r>
      <w:r w:rsidR="002940FA">
        <w:t>, which will</w:t>
      </w:r>
      <w:r w:rsidR="001655AD">
        <w:t xml:space="preserve"> include first names and</w:t>
      </w:r>
      <w:r w:rsidR="00F44799">
        <w:t xml:space="preserve"> last initials, but no contact information</w:t>
      </w:r>
      <w:r>
        <w:t xml:space="preserve">. </w:t>
      </w:r>
      <w:r w:rsidR="001655AD">
        <w:t>FMG will keep this information on a password-protected computer</w:t>
      </w:r>
      <w:r w:rsidR="000C6E35">
        <w:t xml:space="preserve">. FMG will securely share with </w:t>
      </w:r>
      <w:r w:rsidR="002940FA">
        <w:t xml:space="preserve">the </w:t>
      </w:r>
      <w:r w:rsidR="000C6E35">
        <w:t xml:space="preserve">FDA weekly recruitment updates through </w:t>
      </w:r>
      <w:r w:rsidR="00616865">
        <w:t xml:space="preserve">FMG’s </w:t>
      </w:r>
      <w:r w:rsidR="000C6E35">
        <w:t>SFTP</w:t>
      </w:r>
      <w:r w:rsidR="00616865">
        <w:t xml:space="preserve"> (secure file transfer protocol);</w:t>
      </w:r>
      <w:r w:rsidR="000C6E35">
        <w:t xml:space="preserve"> participant information will include first name and last initial along with screening information. FMG</w:t>
      </w:r>
      <w:r w:rsidR="001655AD">
        <w:t xml:space="preserve"> will delete the information at the completion of the project. </w:t>
      </w:r>
      <w:r w:rsidR="008D643E">
        <w:t>FieldGoals will coordinate with the online focus group platform provider FocusVision to contact participants through email</w:t>
      </w:r>
      <w:r w:rsidR="00F44799">
        <w:t xml:space="preserve"> and/or phone</w:t>
      </w:r>
      <w:r w:rsidR="008D643E">
        <w:t xml:space="preserve"> and </w:t>
      </w:r>
      <w:r w:rsidR="002940FA">
        <w:t xml:space="preserve">will </w:t>
      </w:r>
      <w:r w:rsidR="00F44799">
        <w:t xml:space="preserve">assist them with </w:t>
      </w:r>
      <w:r w:rsidR="008D643E">
        <w:t>set</w:t>
      </w:r>
      <w:r w:rsidR="00F44799">
        <w:t>ting</w:t>
      </w:r>
      <w:r w:rsidR="008D643E">
        <w:t xml:space="preserve"> up the software</w:t>
      </w:r>
      <w:r w:rsidR="00C016A6">
        <w:t xml:space="preserve">, testing it, </w:t>
      </w:r>
      <w:r w:rsidR="00F44799">
        <w:t>and logging in to the group</w:t>
      </w:r>
      <w:r w:rsidR="008D643E">
        <w:t xml:space="preserve">. </w:t>
      </w:r>
      <w:r w:rsidR="00D82044">
        <w:t xml:space="preserve">Participant contact information will not be provided to </w:t>
      </w:r>
      <w:r w:rsidR="002940FA">
        <w:t xml:space="preserve">the </w:t>
      </w:r>
      <w:r w:rsidR="00D82044">
        <w:t xml:space="preserve">FDA. </w:t>
      </w:r>
    </w:p>
    <w:p w14:paraId="7D4746CB" w14:textId="77777777" w:rsidR="00122FDE" w:rsidRDefault="00122FDE" w:rsidP="00055969">
      <w:pPr>
        <w:ind w:left="720"/>
      </w:pPr>
    </w:p>
    <w:p w14:paraId="3273C7AB" w14:textId="77777777" w:rsidR="00055969" w:rsidRDefault="0046159E" w:rsidP="002511D3">
      <w:pPr>
        <w:ind w:left="720"/>
      </w:pPr>
      <w:r>
        <w:t xml:space="preserve">At the beginning of each group, </w:t>
      </w:r>
      <w:r w:rsidR="002940FA">
        <w:t xml:space="preserve">FMG </w:t>
      </w:r>
      <w:r>
        <w:t xml:space="preserve">will </w:t>
      </w:r>
      <w:r w:rsidR="005C71B3">
        <w:t>reiterate the information contained in the informed consent form</w:t>
      </w:r>
      <w:r w:rsidR="00055969">
        <w:t xml:space="preserve"> </w:t>
      </w:r>
      <w:r w:rsidR="002940FA">
        <w:t xml:space="preserve">that </w:t>
      </w:r>
      <w:r w:rsidR="00055969">
        <w:t>participants</w:t>
      </w:r>
      <w:r w:rsidR="005C71B3">
        <w:t xml:space="preserve"> </w:t>
      </w:r>
      <w:r w:rsidR="002940FA">
        <w:t xml:space="preserve">previously </w:t>
      </w:r>
      <w:r w:rsidR="005C71B3">
        <w:t>signed</w:t>
      </w:r>
      <w:r w:rsidR="007E1BEE">
        <w:t>:</w:t>
      </w:r>
      <w:r w:rsidR="005C71B3">
        <w:t xml:space="preserve"> </w:t>
      </w:r>
      <w:r>
        <w:t xml:space="preserve">participation is voluntary and they </w:t>
      </w:r>
      <w:r w:rsidR="005C71B3">
        <w:t xml:space="preserve">do not have to answer any </w:t>
      </w:r>
      <w:r>
        <w:t>questions</w:t>
      </w:r>
      <w:r w:rsidR="005C71B3">
        <w:t xml:space="preserve"> they do</w:t>
      </w:r>
      <w:r w:rsidR="000A2C1B">
        <w:t xml:space="preserve"> not</w:t>
      </w:r>
      <w:r w:rsidR="005C71B3">
        <w:t xml:space="preserve"> want to</w:t>
      </w:r>
      <w:r>
        <w:t xml:space="preserve"> </w:t>
      </w:r>
      <w:r w:rsidR="00055969">
        <w:t xml:space="preserve">and can </w:t>
      </w:r>
      <w:r>
        <w:t xml:space="preserve">stop participating at any time. </w:t>
      </w:r>
      <w:r w:rsidR="005C71B3">
        <w:t xml:space="preserve">Participants will be instructed to use only their first names during </w:t>
      </w:r>
      <w:r w:rsidR="00055969">
        <w:t>the groups</w:t>
      </w:r>
      <w:r w:rsidR="004F4367">
        <w:t>.</w:t>
      </w:r>
      <w:r w:rsidR="00055969">
        <w:t xml:space="preserve"> </w:t>
      </w:r>
      <w:r w:rsidR="002940FA">
        <w:t xml:space="preserve">FMG </w:t>
      </w:r>
      <w:r w:rsidR="004F4367">
        <w:t>will also inform participants</w:t>
      </w:r>
      <w:r w:rsidR="00055969">
        <w:t xml:space="preserve"> that n</w:t>
      </w:r>
      <w:r w:rsidR="005C71B3">
        <w:t xml:space="preserve">o </w:t>
      </w:r>
      <w:r>
        <w:t xml:space="preserve">full names </w:t>
      </w:r>
      <w:r w:rsidR="005C71B3">
        <w:t xml:space="preserve">or any personally identifying information </w:t>
      </w:r>
      <w:r w:rsidR="002940FA">
        <w:t xml:space="preserve">(PII) </w:t>
      </w:r>
      <w:r w:rsidR="005C71B3">
        <w:t xml:space="preserve">will be used </w:t>
      </w:r>
      <w:r>
        <w:t xml:space="preserve">in </w:t>
      </w:r>
      <w:r w:rsidR="005C71B3">
        <w:t xml:space="preserve">any </w:t>
      </w:r>
      <w:r>
        <w:t>notes</w:t>
      </w:r>
      <w:r w:rsidR="005C71B3">
        <w:t>, reports, or materials</w:t>
      </w:r>
      <w:r w:rsidR="002511D3">
        <w:t xml:space="preserve">; </w:t>
      </w:r>
      <w:r w:rsidR="00055969">
        <w:t xml:space="preserve">that only anonymized information reported in aggregate will be </w:t>
      </w:r>
      <w:r w:rsidR="005C71B3">
        <w:t>provided to the FDA</w:t>
      </w:r>
      <w:r w:rsidR="004F4367">
        <w:t>;</w:t>
      </w:r>
      <w:r w:rsidR="00055969">
        <w:t xml:space="preserve"> and that </w:t>
      </w:r>
      <w:r w:rsidR="00055969" w:rsidRPr="008D2C93">
        <w:t xml:space="preserve">their information will be kept private to the extent possible given the study methods. </w:t>
      </w:r>
      <w:r w:rsidR="002511D3">
        <w:t xml:space="preserve">As is the case </w:t>
      </w:r>
      <w:r w:rsidR="00781BAA">
        <w:t xml:space="preserve">for </w:t>
      </w:r>
      <w:r w:rsidR="002511D3">
        <w:t>in-person f</w:t>
      </w:r>
      <w:r w:rsidR="00055969" w:rsidRPr="008D2C93">
        <w:t>ocus group</w:t>
      </w:r>
      <w:r w:rsidR="002511D3">
        <w:t>s, online</w:t>
      </w:r>
      <w:r w:rsidR="00055969" w:rsidRPr="008D2C93">
        <w:t xml:space="preserve"> participants will be </w:t>
      </w:r>
      <w:r w:rsidR="00CA04D5">
        <w:t xml:space="preserve">able to see </w:t>
      </w:r>
      <w:r w:rsidR="002511D3">
        <w:t xml:space="preserve">the moderator and </w:t>
      </w:r>
      <w:r w:rsidR="00CA04D5">
        <w:t xml:space="preserve">each other </w:t>
      </w:r>
      <w:r w:rsidR="002511D3">
        <w:t xml:space="preserve">only while the </w:t>
      </w:r>
      <w:r w:rsidR="00CA04D5">
        <w:t>focus group</w:t>
      </w:r>
      <w:r w:rsidR="002511D3">
        <w:t xml:space="preserve"> is being conducted</w:t>
      </w:r>
      <w:r w:rsidR="00CA04D5">
        <w:t>,</w:t>
      </w:r>
      <w:r w:rsidR="002511D3">
        <w:t xml:space="preserve"> </w:t>
      </w:r>
      <w:r w:rsidR="00CA04D5">
        <w:t xml:space="preserve">and </w:t>
      </w:r>
      <w:r w:rsidR="002511D3">
        <w:t xml:space="preserve">participants </w:t>
      </w:r>
      <w:r w:rsidR="00CA04D5">
        <w:t xml:space="preserve">will be </w:t>
      </w:r>
      <w:r w:rsidR="00055969" w:rsidRPr="008D2C93">
        <w:t>asked not to share anything that is discussed during the group with anyone outside of the group.</w:t>
      </w:r>
      <w:r w:rsidR="00055969">
        <w:t xml:space="preserve"> </w:t>
      </w:r>
    </w:p>
    <w:p w14:paraId="1EBFB095" w14:textId="77777777" w:rsidR="0046159E" w:rsidRDefault="0046159E" w:rsidP="0046159E">
      <w:pPr>
        <w:ind w:left="720"/>
      </w:pPr>
    </w:p>
    <w:p w14:paraId="3AE60637" w14:textId="77777777" w:rsidR="00892C34" w:rsidRDefault="0046159E" w:rsidP="00C016A6">
      <w:pPr>
        <w:pStyle w:val="ListParagraph"/>
      </w:pPr>
      <w:r w:rsidRPr="0059205D">
        <w:t>FDA will not have the full names or any contact information for any of the participants. Therefore, there will be no link between the data collected and the participants’ identities.</w:t>
      </w:r>
    </w:p>
    <w:p w14:paraId="25894DC4" w14:textId="77777777" w:rsidR="00892C34" w:rsidRDefault="00892C34" w:rsidP="00892C34">
      <w:pPr>
        <w:ind w:left="720"/>
      </w:pPr>
      <w:r>
        <w:t>R</w:t>
      </w:r>
      <w:r w:rsidR="00CA44BF">
        <w:t>ecordings</w:t>
      </w:r>
      <w:r w:rsidR="002940FA">
        <w:t xml:space="preserve"> and </w:t>
      </w:r>
      <w:r>
        <w:t xml:space="preserve">electronic </w:t>
      </w:r>
      <w:r w:rsidR="00CA44BF">
        <w:t xml:space="preserve">and written </w:t>
      </w:r>
      <w:r>
        <w:t xml:space="preserve">materials obtained </w:t>
      </w:r>
      <w:r w:rsidR="00CA44BF">
        <w:t>during the</w:t>
      </w:r>
      <w:r w:rsidR="00122FDE">
        <w:t xml:space="preserve"> focus groups </w:t>
      </w:r>
      <w:r>
        <w:t xml:space="preserve">will be stored on a password-protected server </w:t>
      </w:r>
      <w:r w:rsidR="007A2545">
        <w:t xml:space="preserve">that will be </w:t>
      </w:r>
      <w:r>
        <w:t>accessible only to the research team.</w:t>
      </w:r>
      <w:r w:rsidR="00CA04D5">
        <w:t xml:space="preserve"> </w:t>
      </w:r>
      <w:r w:rsidR="003A3F4C">
        <w:t xml:space="preserve">FMG will retain these files for three years and then delete them. </w:t>
      </w:r>
      <w:r w:rsidR="00CA04D5" w:rsidRPr="008D2C93">
        <w:t>The information will be kept in a secured fashion that will permit access only by authorized project staff.</w:t>
      </w:r>
      <w:r w:rsidR="00F44799">
        <w:t xml:space="preserve"> </w:t>
      </w:r>
      <w:r w:rsidR="00CA04D5" w:rsidRPr="008D2C93">
        <w:t xml:space="preserve">All </w:t>
      </w:r>
      <w:r w:rsidR="002940FA">
        <w:t>PII</w:t>
      </w:r>
      <w:r w:rsidR="00CA04D5" w:rsidRPr="008D2C93">
        <w:t xml:space="preserve"> will be removed from transcripts, audio/video files, reports, and all other materials before </w:t>
      </w:r>
      <w:r w:rsidR="00CA04D5">
        <w:t>FMG</w:t>
      </w:r>
      <w:r w:rsidR="00CA04D5" w:rsidRPr="008D2C93">
        <w:t xml:space="preserve"> provides </w:t>
      </w:r>
      <w:r w:rsidR="002940FA">
        <w:t>the materials</w:t>
      </w:r>
      <w:r w:rsidR="002940FA" w:rsidRPr="008D2C93">
        <w:t xml:space="preserve"> </w:t>
      </w:r>
      <w:r w:rsidR="00CA04D5" w:rsidRPr="008D2C93">
        <w:t xml:space="preserve">to </w:t>
      </w:r>
      <w:r w:rsidR="002940FA">
        <w:t xml:space="preserve">the </w:t>
      </w:r>
      <w:r w:rsidR="00CA04D5" w:rsidRPr="008D2C93">
        <w:t>FDA.</w:t>
      </w:r>
      <w:r w:rsidR="00CA44BF">
        <w:t xml:space="preserve"> </w:t>
      </w:r>
      <w:r w:rsidR="002940FA">
        <w:t xml:space="preserve">The </w:t>
      </w:r>
      <w:r w:rsidR="00CA44BF">
        <w:t xml:space="preserve">FDA will store all study files and materials on password-protected computers for a period of </w:t>
      </w:r>
      <w:r w:rsidR="006F593D">
        <w:t xml:space="preserve">five </w:t>
      </w:r>
      <w:r w:rsidR="00CA44BF">
        <w:t>years.</w:t>
      </w:r>
      <w:r w:rsidR="00CA04D5" w:rsidRPr="008D2C93">
        <w:t xml:space="preserve"> These confidentiality methods will be approved by </w:t>
      </w:r>
      <w:r w:rsidR="002940FA">
        <w:t xml:space="preserve">the </w:t>
      </w:r>
      <w:r w:rsidR="00CA04D5" w:rsidRPr="008D2C93">
        <w:t xml:space="preserve">FDA’s </w:t>
      </w:r>
      <w:r w:rsidR="00781BAA">
        <w:t>IRB</w:t>
      </w:r>
      <w:r w:rsidR="00CA04D5" w:rsidRPr="008D2C93">
        <w:t xml:space="preserve"> prior to collecting any information.</w:t>
      </w:r>
    </w:p>
    <w:p w14:paraId="1F790D41" w14:textId="77777777" w:rsidR="0046159E" w:rsidRDefault="0046159E" w:rsidP="0046159E">
      <w:pPr>
        <w:ind w:left="720"/>
      </w:pPr>
    </w:p>
    <w:p w14:paraId="1216DE33" w14:textId="77777777" w:rsidR="00E26798" w:rsidRPr="00E215FA" w:rsidRDefault="0049419A" w:rsidP="00A517C3">
      <w:pPr>
        <w:numPr>
          <w:ilvl w:val="0"/>
          <w:numId w:val="15"/>
        </w:numPr>
        <w:rPr>
          <w:b/>
        </w:rPr>
      </w:pPr>
      <w:r>
        <w:rPr>
          <w:b/>
        </w:rPr>
        <w:t>Amount and justification for any proposed incentive:</w:t>
      </w:r>
      <w:r w:rsidR="003F1C7A">
        <w:t xml:space="preserve"> </w:t>
      </w:r>
    </w:p>
    <w:p w14:paraId="1256FA43" w14:textId="77777777" w:rsidR="00A517C3" w:rsidRDefault="00A517C3" w:rsidP="00A517C3">
      <w:pPr>
        <w:pStyle w:val="ListParagraph"/>
        <w:ind w:left="0"/>
      </w:pPr>
    </w:p>
    <w:p w14:paraId="7EE071C3" w14:textId="55CA27FB" w:rsidR="00564F48" w:rsidRDefault="002940FA" w:rsidP="00A517C3">
      <w:pPr>
        <w:pStyle w:val="ListParagraph"/>
      </w:pPr>
      <w:r>
        <w:t>FMG</w:t>
      </w:r>
      <w:r w:rsidRPr="003A2D5E">
        <w:t xml:space="preserve"> </w:t>
      </w:r>
      <w:r>
        <w:t xml:space="preserve">proposes </w:t>
      </w:r>
      <w:r w:rsidR="002A2F10">
        <w:t>an incentive amount of $75</w:t>
      </w:r>
      <w:r w:rsidR="00781BAA">
        <w:t xml:space="preserve"> as a token of appreciation</w:t>
      </w:r>
      <w:r w:rsidR="002A2F10" w:rsidRPr="003A2D5E">
        <w:t xml:space="preserve">. </w:t>
      </w:r>
      <w:r w:rsidR="00564F48">
        <w:t>This $75 will be the total amount paid to individuals for participation in this study, and it</w:t>
      </w:r>
      <w:r w:rsidR="00564F48" w:rsidRPr="00564F48">
        <w:t xml:space="preserve"> is not in addition to any incentive that </w:t>
      </w:r>
      <w:r w:rsidR="00564F48">
        <w:t>participants</w:t>
      </w:r>
      <w:r w:rsidR="00564F48" w:rsidRPr="00564F48">
        <w:t xml:space="preserve"> otherwise receive for being part of the </w:t>
      </w:r>
      <w:r w:rsidR="00564F48">
        <w:t xml:space="preserve">FieldGoals </w:t>
      </w:r>
      <w:r w:rsidR="00564F48" w:rsidRPr="00564F48">
        <w:t>panel (e.g., points, money)</w:t>
      </w:r>
      <w:r w:rsidR="00564F48">
        <w:t xml:space="preserve">. </w:t>
      </w:r>
      <w:r w:rsidR="00A72DAA">
        <w:t xml:space="preserve">All focus group participants will receive their incentive after their participation is completed, and they can elect to be paid by </w:t>
      </w:r>
      <w:r w:rsidR="00E76EC2">
        <w:t xml:space="preserve">FieldGoals through </w:t>
      </w:r>
      <w:r w:rsidR="00A72DAA">
        <w:t>check or PayPal.</w:t>
      </w:r>
    </w:p>
    <w:p w14:paraId="5DC8EE05" w14:textId="77777777" w:rsidR="00564F48" w:rsidRDefault="00564F48" w:rsidP="00A517C3">
      <w:pPr>
        <w:pStyle w:val="ListParagraph"/>
      </w:pPr>
    </w:p>
    <w:p w14:paraId="1F86BE91" w14:textId="300ECC78" w:rsidR="00A72DAA" w:rsidRPr="00A31357" w:rsidRDefault="00C63B0D" w:rsidP="00C66E99">
      <w:pPr>
        <w:spacing w:after="240"/>
        <w:ind w:left="720"/>
      </w:pPr>
      <w:r w:rsidRPr="00A875AE">
        <w:t>Th</w:t>
      </w:r>
      <w:r w:rsidR="00003E9D">
        <w:t>e proposed</w:t>
      </w:r>
      <w:r>
        <w:t xml:space="preserve"> incentive amount is</w:t>
      </w:r>
      <w:bookmarkStart w:id="1" w:name="_Hlk10624514"/>
      <w:r>
        <w:t xml:space="preserve"> </w:t>
      </w:r>
      <w:bookmarkEnd w:id="1"/>
      <w:r>
        <w:t xml:space="preserve">below market rate for an effort of this type. Recruiting firms and researchers determine market rates for research participation based on what other comparable studies in the field are offering and what rate will incentivize the required population to participate in the research. FieldGoals estimates that other studies being conducted with similar populations and levels of effort in this market at this time pay incentives of at least $100. </w:t>
      </w:r>
      <w:r w:rsidR="00A72DAA" w:rsidRPr="00A31357">
        <w:t>Th</w:t>
      </w:r>
      <w:r w:rsidR="00A72DAA">
        <w:t xml:space="preserve">is estimate is based on </w:t>
      </w:r>
      <w:r w:rsidR="00A72DAA" w:rsidRPr="00A31357">
        <w:t xml:space="preserve">participants spending approximately two hours of their time </w:t>
      </w:r>
      <w:r w:rsidR="00D43229">
        <w:t xml:space="preserve">on this effort, which includes </w:t>
      </w:r>
      <w:r w:rsidR="00E126D6" w:rsidRPr="00E126D6">
        <w:t>time for online and phone screening</w:t>
      </w:r>
      <w:r w:rsidR="00E126D6">
        <w:t xml:space="preserve">, </w:t>
      </w:r>
      <w:r w:rsidR="00A72DAA" w:rsidRPr="00A31357">
        <w:t xml:space="preserve">90 minutes per session, </w:t>
      </w:r>
      <w:r w:rsidR="00E126D6">
        <w:t>and the request</w:t>
      </w:r>
      <w:r w:rsidR="00A72DAA" w:rsidRPr="00A31357">
        <w:t xml:space="preserve"> </w:t>
      </w:r>
      <w:r w:rsidR="00D43229">
        <w:t>to log</w:t>
      </w:r>
      <w:r w:rsidR="00E126D6">
        <w:t xml:space="preserve"> </w:t>
      </w:r>
      <w:r w:rsidR="00D43229">
        <w:t xml:space="preserve">in </w:t>
      </w:r>
      <w:r w:rsidR="00E126D6">
        <w:t xml:space="preserve">15 minutes </w:t>
      </w:r>
      <w:r w:rsidR="00A72DAA" w:rsidRPr="00A31357">
        <w:t xml:space="preserve">early to confirm technical operation. The Bureau of Labor Statistics (BLS) </w:t>
      </w:r>
      <w:r w:rsidR="00003E9D">
        <w:t xml:space="preserve">calculated </w:t>
      </w:r>
      <w:r w:rsidR="00A72DAA" w:rsidRPr="00A31357">
        <w:t>that the average hourly wage of employees on private nonfarm payrolls in May 2019 is $27.83.</w:t>
      </w:r>
      <w:r w:rsidR="00A72DAA" w:rsidRPr="00A31357">
        <w:rPr>
          <w:vertAlign w:val="superscript"/>
        </w:rPr>
        <w:footnoteReference w:id="1"/>
      </w:r>
      <w:r w:rsidR="00A72DAA" w:rsidRPr="00A31357">
        <w:t xml:space="preserve"> At that hourly rate, compensation for two hours is approximately $56. </w:t>
      </w:r>
      <w:r w:rsidR="00B345BD">
        <w:t>A</w:t>
      </w:r>
      <w:r w:rsidR="00A72DAA" w:rsidRPr="00A31357">
        <w:t>dditional factors requir</w:t>
      </w:r>
      <w:r w:rsidR="00E76EC2">
        <w:t>ing</w:t>
      </w:r>
      <w:r w:rsidR="00A72DAA" w:rsidRPr="00A31357">
        <w:t xml:space="preserve"> an incentive </w:t>
      </w:r>
      <w:r w:rsidR="00E76EC2">
        <w:t xml:space="preserve">for this study that is </w:t>
      </w:r>
      <w:r w:rsidR="00A72DAA" w:rsidRPr="00A31357">
        <w:t xml:space="preserve">higher than </w:t>
      </w:r>
      <w:r w:rsidR="00E76EC2">
        <w:t xml:space="preserve">the BLS </w:t>
      </w:r>
      <w:r w:rsidR="00A72DAA" w:rsidRPr="00A31357">
        <w:t>average hourly rate</w:t>
      </w:r>
      <w:r w:rsidR="00B345BD">
        <w:t xml:space="preserve"> include</w:t>
      </w:r>
      <w:r w:rsidR="00A72DAA" w:rsidRPr="00A31357">
        <w:t>:</w:t>
      </w:r>
    </w:p>
    <w:p w14:paraId="1440FC92" w14:textId="1369BDE4" w:rsidR="00A72DAA" w:rsidRPr="00A31357" w:rsidRDefault="00A72DAA" w:rsidP="00B345BD">
      <w:pPr>
        <w:numPr>
          <w:ilvl w:val="0"/>
          <w:numId w:val="32"/>
        </w:numPr>
      </w:pPr>
      <w:r w:rsidRPr="00A31357">
        <w:t xml:space="preserve">Participants are </w:t>
      </w:r>
      <w:r w:rsidR="008911D5">
        <w:t xml:space="preserve">required </w:t>
      </w:r>
      <w:r w:rsidRPr="00A31357">
        <w:t xml:space="preserve">to </w:t>
      </w:r>
      <w:r w:rsidR="008911D5">
        <w:t>join</w:t>
      </w:r>
      <w:r w:rsidRPr="00A31357">
        <w:t xml:space="preserve"> the group from a quiet location where there are no distractions, </w:t>
      </w:r>
      <w:r w:rsidR="008911D5">
        <w:t xml:space="preserve">which </w:t>
      </w:r>
      <w:r w:rsidRPr="00A31357">
        <w:t xml:space="preserve">may require childcare </w:t>
      </w:r>
      <w:r w:rsidR="008911D5">
        <w:t xml:space="preserve">or special accommodations </w:t>
      </w:r>
      <w:r w:rsidRPr="00A31357">
        <w:t xml:space="preserve">during that time. BLS </w:t>
      </w:r>
      <w:r w:rsidR="00003E9D">
        <w:t>calculated</w:t>
      </w:r>
      <w:r w:rsidRPr="00A31357">
        <w:t xml:space="preserve"> </w:t>
      </w:r>
      <w:r>
        <w:t xml:space="preserve">in May 2018 </w:t>
      </w:r>
      <w:r w:rsidRPr="00A31357">
        <w:t>that the average hourly wage of childcare work</w:t>
      </w:r>
      <w:r>
        <w:t>ers</w:t>
      </w:r>
      <w:r w:rsidRPr="00A31357">
        <w:t xml:space="preserve"> </w:t>
      </w:r>
      <w:r>
        <w:t>i</w:t>
      </w:r>
      <w:r w:rsidRPr="00A31357">
        <w:t>s $11.83, making the average cost of two hours of childcare $24.</w:t>
      </w:r>
      <w:r w:rsidRPr="00A31357">
        <w:rPr>
          <w:vertAlign w:val="superscript"/>
        </w:rPr>
        <w:footnoteReference w:id="2"/>
      </w:r>
    </w:p>
    <w:p w14:paraId="1C2622D7" w14:textId="77777777" w:rsidR="00A72DAA" w:rsidRPr="00A31357" w:rsidRDefault="00A72DAA" w:rsidP="00A72DAA">
      <w:pPr>
        <w:numPr>
          <w:ilvl w:val="0"/>
          <w:numId w:val="32"/>
        </w:numPr>
      </w:pPr>
      <w:r w:rsidRPr="00A31357">
        <w:t>The focus groups will be conducted online and participants must have a computer and broadband internet to participate in the groups; participating will use approximately two hours of data on their internet plans.</w:t>
      </w:r>
    </w:p>
    <w:p w14:paraId="6B70B177" w14:textId="769BDE81" w:rsidR="002D0BB8" w:rsidRDefault="002D0BB8" w:rsidP="00A72DAA">
      <w:pPr>
        <w:numPr>
          <w:ilvl w:val="0"/>
          <w:numId w:val="32"/>
        </w:numPr>
      </w:pPr>
      <w:r w:rsidRPr="00B345BD">
        <w:t xml:space="preserve">Each </w:t>
      </w:r>
      <w:r w:rsidR="008911D5">
        <w:t xml:space="preserve">of the special </w:t>
      </w:r>
      <w:r w:rsidRPr="00B345BD">
        <w:t>medical condition</w:t>
      </w:r>
      <w:r w:rsidR="008911D5">
        <w:t>s (e.g., cancer patients)</w:t>
      </w:r>
      <w:r w:rsidRPr="00B345BD">
        <w:t xml:space="preserve"> constitutes a limited sub-category of the population with unique recruitment challenges. The incentive </w:t>
      </w:r>
      <w:r>
        <w:t xml:space="preserve">should </w:t>
      </w:r>
      <w:r w:rsidRPr="00B345BD">
        <w:t xml:space="preserve">demonstrate </w:t>
      </w:r>
      <w:r>
        <w:t>an</w:t>
      </w:r>
      <w:r w:rsidRPr="00B345BD">
        <w:t xml:space="preserve"> appreciation and respect for the time and effort </w:t>
      </w:r>
      <w:r w:rsidR="008911D5">
        <w:t xml:space="preserve">these unique </w:t>
      </w:r>
      <w:r>
        <w:t>patients</w:t>
      </w:r>
      <w:r w:rsidRPr="00B345BD">
        <w:t xml:space="preserve"> give in talking to researchers, and acknowledge any hardships they </w:t>
      </w:r>
      <w:r w:rsidR="008911D5">
        <w:t xml:space="preserve">may </w:t>
      </w:r>
      <w:r w:rsidRPr="00B345BD">
        <w:t>experience while participating in the focus groups (e.g., missed or postponed medical treatment, discomfort from pain or gastrointestinal issues</w:t>
      </w:r>
      <w:r w:rsidR="008911D5">
        <w:t>, fatigue</w:t>
      </w:r>
      <w:r w:rsidRPr="00B345BD">
        <w:t>).</w:t>
      </w:r>
    </w:p>
    <w:p w14:paraId="46C85B20" w14:textId="6E296C9C" w:rsidR="00A72DAA" w:rsidRDefault="00901EE5" w:rsidP="00901EE5">
      <w:pPr>
        <w:numPr>
          <w:ilvl w:val="0"/>
          <w:numId w:val="32"/>
        </w:numPr>
      </w:pPr>
      <w:r w:rsidRPr="00A31357">
        <w:t xml:space="preserve">Participants will be </w:t>
      </w:r>
      <w:r>
        <w:t xml:space="preserve">asked to </w:t>
      </w:r>
      <w:r w:rsidRPr="00A31357">
        <w:t>disclos</w:t>
      </w:r>
      <w:r>
        <w:t>e</w:t>
      </w:r>
      <w:r w:rsidRPr="00A31357">
        <w:t xml:space="preserve"> some personal medical information to the moderator and other participants during the group. </w:t>
      </w:r>
      <w:r w:rsidR="00A72DAA" w:rsidRPr="00A31357">
        <w:t>Webcams will be used for th</w:t>
      </w:r>
      <w:r w:rsidR="00A72DAA">
        <w:t>ese</w:t>
      </w:r>
      <w:r w:rsidR="00A72DAA" w:rsidRPr="00A31357">
        <w:t xml:space="preserve"> groups, requiring participants’ faces to be visible to the moderator and other group members. Participants can often be wary of being on camera in online groups like these, requiring a higher incentive to persuade them to participate. </w:t>
      </w:r>
    </w:p>
    <w:p w14:paraId="7893B06A" w14:textId="77777777" w:rsidR="00A72DAA" w:rsidRDefault="00A72DAA" w:rsidP="002D3D24"/>
    <w:p w14:paraId="1840F851" w14:textId="3C226425" w:rsidR="004B3A64" w:rsidRPr="00EB5C1F" w:rsidRDefault="004B3A64" w:rsidP="004B3A64">
      <w:pPr>
        <w:ind w:left="720"/>
      </w:pPr>
      <w:r>
        <w:t>Although t</w:t>
      </w:r>
      <w:r w:rsidRPr="005B458C">
        <w:t xml:space="preserve">he proposed </w:t>
      </w:r>
      <w:r>
        <w:t xml:space="preserve">incentive </w:t>
      </w:r>
      <w:r w:rsidRPr="005B458C">
        <w:t xml:space="preserve">amount </w:t>
      </w:r>
      <w:r>
        <w:t xml:space="preserve">of $75 is lower than market rate, it </w:t>
      </w:r>
      <w:r w:rsidRPr="005B458C">
        <w:t>is</w:t>
      </w:r>
      <w:r>
        <w:t xml:space="preserve"> consistent</w:t>
      </w:r>
      <w:r w:rsidRPr="005B458C">
        <w:t xml:space="preserve"> </w:t>
      </w:r>
      <w:r>
        <w:t>with</w:t>
      </w:r>
      <w:r w:rsidRPr="005B458C">
        <w:t xml:space="preserve"> what </w:t>
      </w:r>
      <w:r w:rsidRPr="008D2C93">
        <w:t xml:space="preserve">OMB approved </w:t>
      </w:r>
      <w:r w:rsidR="008911D5">
        <w:t xml:space="preserve">several years ago </w:t>
      </w:r>
      <w:r w:rsidRPr="008D2C93">
        <w:t xml:space="preserve">for </w:t>
      </w:r>
      <w:r w:rsidR="008911D5">
        <w:t xml:space="preserve">online </w:t>
      </w:r>
      <w:r w:rsidRPr="008D2C93">
        <w:t>focus group participants in prior CDER/OCOMM research</w:t>
      </w:r>
      <w:r w:rsidRPr="005B458C">
        <w:t xml:space="preserve">. </w:t>
      </w:r>
      <w:r w:rsidR="002522D7">
        <w:t>O</w:t>
      </w:r>
      <w:r>
        <w:t xml:space="preserve">n June 20, 2016, under control number </w:t>
      </w:r>
      <w:r w:rsidRPr="00C2280C">
        <w:t>0910-0695</w:t>
      </w:r>
      <w:r>
        <w:t xml:space="preserve">, </w:t>
      </w:r>
      <w:r w:rsidRPr="005B458C">
        <w:t>OMB approv</w:t>
      </w:r>
      <w:r>
        <w:t>ed</w:t>
      </w:r>
      <w:r w:rsidRPr="005B458C">
        <w:t xml:space="preserve"> </w:t>
      </w:r>
      <w:r>
        <w:t>$75 for online focus groups</w:t>
      </w:r>
      <w:r w:rsidRPr="005B458C">
        <w:t xml:space="preserve"> </w:t>
      </w:r>
      <w:r>
        <w:t xml:space="preserve">with general consumers, chronic pain patients using prescription opioids, and family or friends of people using prescription opioids for chronic pain. </w:t>
      </w:r>
      <w:r w:rsidR="00DC70D6" w:rsidRPr="00DC70D6">
        <w:t>FMG anticipates a successful data collection using $75 incentives</w:t>
      </w:r>
      <w:r w:rsidR="00DC70D6">
        <w:t>, and that this a</w:t>
      </w:r>
      <w:r w:rsidRPr="004B3A64">
        <w:t>mount will help ensure that respondents honor their commitment to participate in the focus groups.</w:t>
      </w:r>
    </w:p>
    <w:p w14:paraId="54215672" w14:textId="77777777" w:rsidR="004B3A64" w:rsidRDefault="004B3A64" w:rsidP="00C63B0D">
      <w:pPr>
        <w:pStyle w:val="ListParagraph"/>
      </w:pPr>
    </w:p>
    <w:p w14:paraId="3965144E" w14:textId="5D41734D" w:rsidR="00C63B0D" w:rsidRDefault="000374B0" w:rsidP="00C66E99">
      <w:pPr>
        <w:pStyle w:val="ListParagraph"/>
        <w:spacing w:after="240"/>
      </w:pPr>
      <w:r>
        <w:t xml:space="preserve">In </w:t>
      </w:r>
      <w:r w:rsidR="00DC70D6">
        <w:t>FMG’s</w:t>
      </w:r>
      <w:r w:rsidR="00C63B0D">
        <w:t xml:space="preserve"> </w:t>
      </w:r>
      <w:r>
        <w:t xml:space="preserve">and other researchers’ experiences, </w:t>
      </w:r>
      <w:r w:rsidR="00C63B0D">
        <w:t xml:space="preserve">offering lower </w:t>
      </w:r>
      <w:r w:rsidR="00272BED">
        <w:t xml:space="preserve">or nonmonetary incentives </w:t>
      </w:r>
      <w:r w:rsidRPr="000374B0">
        <w:t>will necessitate over-recruitment by higher percentages and result in longer recruiting time as well as higher overall project costs</w:t>
      </w:r>
      <w:r w:rsidR="00857248">
        <w:t xml:space="preserve"> to the government</w:t>
      </w:r>
      <w:r w:rsidR="002522D7">
        <w:t xml:space="preserve"> (for which additional funding is not available)</w:t>
      </w:r>
      <w:r w:rsidR="00C63B0D">
        <w:t xml:space="preserve">. </w:t>
      </w:r>
      <w:r>
        <w:t>N</w:t>
      </w:r>
      <w:r w:rsidRPr="00A31357">
        <w:t>onmonetary incentives generally produce participation rates no better than the complete absence of any incentives.</w:t>
      </w:r>
      <w:r w:rsidRPr="00A31357">
        <w:rPr>
          <w:vertAlign w:val="superscript"/>
        </w:rPr>
        <w:footnoteReference w:id="3"/>
      </w:r>
      <w:r w:rsidRPr="00A31357">
        <w:t xml:space="preserve"> </w:t>
      </w:r>
      <w:r w:rsidR="00C63B0D">
        <w:t xml:space="preserve">The consequences of an insufficient incentive include the following.  </w:t>
      </w:r>
    </w:p>
    <w:p w14:paraId="75C8C33C" w14:textId="68CFEABF" w:rsidR="00C63B0D" w:rsidRDefault="00C63B0D" w:rsidP="00C63B0D">
      <w:pPr>
        <w:pStyle w:val="ListParagraph"/>
        <w:numPr>
          <w:ilvl w:val="0"/>
          <w:numId w:val="31"/>
        </w:numPr>
        <w:ind w:left="1080"/>
      </w:pPr>
      <w:r>
        <w:t>Increased time and cost of recruitment due to lower response and sign-up levels</w:t>
      </w:r>
      <w:r w:rsidR="00857248">
        <w:t xml:space="preserve">, </w:t>
      </w:r>
      <w:r w:rsidR="00857248" w:rsidRPr="00857248">
        <w:t>and/or the need to schedule additional groups to ensure the overall number of participants.</w:t>
      </w:r>
    </w:p>
    <w:p w14:paraId="31F6B8E7" w14:textId="77777777" w:rsidR="00C63B0D" w:rsidRDefault="00C63B0D" w:rsidP="00C63B0D">
      <w:pPr>
        <w:pStyle w:val="ListParagraph"/>
        <w:numPr>
          <w:ilvl w:val="0"/>
          <w:numId w:val="31"/>
        </w:numPr>
        <w:ind w:left="1080"/>
      </w:pPr>
      <w:r>
        <w:t>Increased likelihood of “no-shows” (which may result in methodologically unsound focus groups with small numbers of participants).</w:t>
      </w:r>
    </w:p>
    <w:p w14:paraId="6120432B" w14:textId="77777777" w:rsidR="00C63B0D" w:rsidRDefault="00C63B0D" w:rsidP="00C63B0D">
      <w:pPr>
        <w:pStyle w:val="ListParagraph"/>
        <w:numPr>
          <w:ilvl w:val="0"/>
          <w:numId w:val="31"/>
        </w:numPr>
        <w:ind w:left="1080"/>
      </w:pPr>
      <w:r>
        <w:t>Skewed participant demographics, with increased representation of participants with lower incomes and lower education levels.</w:t>
      </w:r>
    </w:p>
    <w:p w14:paraId="2DBDACE0" w14:textId="307B6B44" w:rsidR="00C63B0D" w:rsidRDefault="00C63B0D" w:rsidP="00C63B0D">
      <w:pPr>
        <w:pStyle w:val="ListParagraph"/>
        <w:numPr>
          <w:ilvl w:val="0"/>
          <w:numId w:val="31"/>
        </w:numPr>
        <w:ind w:left="1080"/>
      </w:pPr>
      <w:r>
        <w:t>Increased probability that a focus group may need to be cancelled or postponed due to insufficient numbers recruited by the scheduled date of the focus group. This incurs additional costs and puts additional burden on the recruited participants who have to reschedule their participation in the focus group.</w:t>
      </w:r>
    </w:p>
    <w:p w14:paraId="09CEE1AE" w14:textId="6F04C06A" w:rsidR="00857248" w:rsidRDefault="00857248" w:rsidP="00C63B0D">
      <w:pPr>
        <w:pStyle w:val="ListParagraph"/>
        <w:numPr>
          <w:ilvl w:val="0"/>
          <w:numId w:val="31"/>
        </w:numPr>
        <w:ind w:left="1080"/>
      </w:pPr>
      <w:r>
        <w:t>Delays to the project, which is already on a tight timeline to finish before the contract ends and before a follow-up project begins.</w:t>
      </w:r>
    </w:p>
    <w:p w14:paraId="28AD4BEB" w14:textId="03EA8ED8" w:rsidR="000A328B" w:rsidRDefault="000A328B" w:rsidP="0008154D">
      <w:pPr>
        <w:pStyle w:val="ListParagraph"/>
      </w:pPr>
    </w:p>
    <w:p w14:paraId="6F07ECC2" w14:textId="77777777" w:rsidR="00140A0D" w:rsidRDefault="00140A0D" w:rsidP="00BE3473">
      <w:pPr>
        <w:numPr>
          <w:ilvl w:val="0"/>
          <w:numId w:val="15"/>
        </w:numPr>
        <w:rPr>
          <w:b/>
        </w:rPr>
      </w:pPr>
      <w:r>
        <w:rPr>
          <w:b/>
        </w:rPr>
        <w:t xml:space="preserve">Questions of a </w:t>
      </w:r>
      <w:r w:rsidR="00B67E28">
        <w:rPr>
          <w:b/>
        </w:rPr>
        <w:t>s</w:t>
      </w:r>
      <w:r>
        <w:rPr>
          <w:b/>
        </w:rPr>
        <w:t xml:space="preserve">ensitive </w:t>
      </w:r>
      <w:r w:rsidR="00B67E28">
        <w:rPr>
          <w:b/>
        </w:rPr>
        <w:t>n</w:t>
      </w:r>
      <w:r>
        <w:rPr>
          <w:b/>
        </w:rPr>
        <w:t>ature:</w:t>
      </w:r>
    </w:p>
    <w:p w14:paraId="0C64B289" w14:textId="77777777" w:rsidR="000B727C" w:rsidRDefault="000B727C" w:rsidP="0008154D">
      <w:pPr>
        <w:pStyle w:val="ListParagraph"/>
      </w:pPr>
    </w:p>
    <w:p w14:paraId="1E12C4CA" w14:textId="1E786919" w:rsidR="00140A0D" w:rsidRDefault="001E731F" w:rsidP="0008154D">
      <w:pPr>
        <w:pStyle w:val="ListParagraph"/>
      </w:pPr>
      <w:r>
        <w:t xml:space="preserve">Participants will be asked to </w:t>
      </w:r>
      <w:r w:rsidR="00EF3F07">
        <w:t>identify</w:t>
      </w:r>
      <w:r>
        <w:t xml:space="preserve"> </w:t>
      </w:r>
      <w:r w:rsidR="009D72EC">
        <w:t xml:space="preserve">their </w:t>
      </w:r>
      <w:r>
        <w:t>medical condition</w:t>
      </w:r>
      <w:r w:rsidR="00EF3F07">
        <w:t>,</w:t>
      </w:r>
      <w:r>
        <w:t xml:space="preserve"> </w:t>
      </w:r>
      <w:r w:rsidR="00EF3F07">
        <w:t>but the focus of the discussions will be on their experiences with and thoughts about the biologic medicines</w:t>
      </w:r>
      <w:r>
        <w:t xml:space="preserve"> </w:t>
      </w:r>
      <w:r w:rsidR="006F593D">
        <w:t>they take</w:t>
      </w:r>
      <w:r w:rsidR="00EF3F07">
        <w:t xml:space="preserve"> to treat their</w:t>
      </w:r>
      <w:r w:rsidR="008D643E">
        <w:t xml:space="preserve"> </w:t>
      </w:r>
      <w:r>
        <w:t xml:space="preserve">condition. </w:t>
      </w:r>
      <w:r w:rsidR="006E0DCE">
        <w:t>P</w:t>
      </w:r>
      <w:r w:rsidR="006E0DCE" w:rsidRPr="008D2C93">
        <w:t xml:space="preserve">articipants will know </w:t>
      </w:r>
      <w:r w:rsidR="00BE3473">
        <w:t xml:space="preserve">about </w:t>
      </w:r>
      <w:r w:rsidR="006E0DCE" w:rsidRPr="008D2C93">
        <w:t xml:space="preserve">these topics in advance </w:t>
      </w:r>
      <w:r w:rsidR="006E0DCE">
        <w:t xml:space="preserve">and </w:t>
      </w:r>
      <w:r>
        <w:t xml:space="preserve">will </w:t>
      </w:r>
      <w:r w:rsidR="006E0DCE" w:rsidRPr="008D2C93">
        <w:t>have the opportunity to decline to participate.</w:t>
      </w:r>
      <w:r w:rsidR="00F44799">
        <w:t xml:space="preserve"> </w:t>
      </w:r>
      <w:r w:rsidR="00C016A6">
        <w:t xml:space="preserve">Furthermore, the screener will include an item to </w:t>
      </w:r>
      <w:r w:rsidR="008D7F57">
        <w:t xml:space="preserve">confirm </w:t>
      </w:r>
      <w:r w:rsidR="00C016A6">
        <w:t xml:space="preserve">that participants feel comfortable discussing </w:t>
      </w:r>
      <w:r w:rsidR="007709F1">
        <w:t xml:space="preserve">in a focus group </w:t>
      </w:r>
      <w:r w:rsidR="00C016A6">
        <w:t xml:space="preserve">the medicines they take. </w:t>
      </w:r>
      <w:r w:rsidR="006E0DCE">
        <w:t>T</w:t>
      </w:r>
      <w:r w:rsidR="0008154D">
        <w:t xml:space="preserve">he </w:t>
      </w:r>
      <w:r w:rsidR="00C016A6">
        <w:t xml:space="preserve">focus group discussion </w:t>
      </w:r>
      <w:r w:rsidR="0008154D">
        <w:t xml:space="preserve">questions will focus </w:t>
      </w:r>
      <w:r w:rsidR="008367C8">
        <w:t xml:space="preserve">primarily </w:t>
      </w:r>
      <w:r w:rsidR="0008154D">
        <w:t xml:space="preserve">on respondents’ experiences </w:t>
      </w:r>
      <w:r w:rsidR="00AD08E4">
        <w:t xml:space="preserve">taking </w:t>
      </w:r>
      <w:r w:rsidR="002F1DD2">
        <w:t>and communicating with HCPs about</w:t>
      </w:r>
      <w:r w:rsidR="00AD08E4">
        <w:t xml:space="preserve"> biologic</w:t>
      </w:r>
      <w:r w:rsidR="002F1DD2">
        <w:t>s</w:t>
      </w:r>
      <w:r w:rsidR="00363D5C">
        <w:t>,</w:t>
      </w:r>
      <w:r w:rsidR="00AD08E4">
        <w:t xml:space="preserve"> </w:t>
      </w:r>
      <w:r w:rsidR="00F3395E">
        <w:t xml:space="preserve">their </w:t>
      </w:r>
      <w:r w:rsidR="00AD08E4">
        <w:t>knowledge</w:t>
      </w:r>
      <w:r w:rsidR="000D6DB0">
        <w:t xml:space="preserve"> of</w:t>
      </w:r>
      <w:r w:rsidR="00AD08E4">
        <w:t xml:space="preserve"> </w:t>
      </w:r>
      <w:r w:rsidR="007709F1">
        <w:t>biologics</w:t>
      </w:r>
      <w:r w:rsidR="00363D5C">
        <w:t xml:space="preserve">, and </w:t>
      </w:r>
      <w:r w:rsidR="00F3395E">
        <w:t xml:space="preserve">the </w:t>
      </w:r>
      <w:r w:rsidR="00363D5C">
        <w:t xml:space="preserve">information they would want to have about </w:t>
      </w:r>
      <w:r w:rsidR="007709F1">
        <w:t>biologics</w:t>
      </w:r>
      <w:r w:rsidR="00AD08E4">
        <w:t xml:space="preserve">. </w:t>
      </w:r>
      <w:r w:rsidR="008367C8">
        <w:t>All</w:t>
      </w:r>
      <w:r w:rsidR="004B6C41">
        <w:t xml:space="preserve"> participants will be told that they may skip any question that they do not want to answer or may stop participating at any time.</w:t>
      </w:r>
      <w:r w:rsidR="0008154D">
        <w:t xml:space="preserve"> </w:t>
      </w:r>
      <w:r w:rsidR="008D643E">
        <w:t xml:space="preserve">They will also be </w:t>
      </w:r>
      <w:r w:rsidR="00C016A6">
        <w:t>informed</w:t>
      </w:r>
      <w:r w:rsidR="008D643E">
        <w:t xml:space="preserve"> that their responses will not be tied to them individually.</w:t>
      </w:r>
    </w:p>
    <w:p w14:paraId="51144C07" w14:textId="77777777" w:rsidR="0008154D" w:rsidRDefault="0008154D" w:rsidP="0008154D">
      <w:pPr>
        <w:pStyle w:val="ListParagraph"/>
      </w:pPr>
    </w:p>
    <w:p w14:paraId="12B58FCC" w14:textId="77777777" w:rsidR="00140A0D" w:rsidRDefault="00140A0D" w:rsidP="00140A0D">
      <w:pPr>
        <w:numPr>
          <w:ilvl w:val="0"/>
          <w:numId w:val="15"/>
        </w:numPr>
        <w:tabs>
          <w:tab w:val="num" w:pos="900"/>
        </w:tabs>
        <w:rPr>
          <w:b/>
        </w:rPr>
      </w:pPr>
      <w:r>
        <w:rPr>
          <w:b/>
        </w:rPr>
        <w:t xml:space="preserve">Description of </w:t>
      </w:r>
      <w:r w:rsidR="00B67E28">
        <w:rPr>
          <w:b/>
        </w:rPr>
        <w:t>s</w:t>
      </w:r>
      <w:r>
        <w:rPr>
          <w:b/>
        </w:rPr>
        <w:t xml:space="preserve">tatistical </w:t>
      </w:r>
      <w:r w:rsidR="00B67E28">
        <w:rPr>
          <w:b/>
        </w:rPr>
        <w:t>m</w:t>
      </w:r>
      <w:r>
        <w:rPr>
          <w:b/>
        </w:rPr>
        <w:t>ethods (</w:t>
      </w:r>
      <w:r w:rsidR="00B67E28">
        <w:rPr>
          <w:b/>
        </w:rPr>
        <w:t>i</w:t>
      </w:r>
      <w:r w:rsidR="00E971FC">
        <w:rPr>
          <w:b/>
        </w:rPr>
        <w:t>.</w:t>
      </w:r>
      <w:r w:rsidR="00B67E28">
        <w:rPr>
          <w:b/>
        </w:rPr>
        <w:t>e</w:t>
      </w:r>
      <w:r w:rsidR="00E971FC">
        <w:rPr>
          <w:b/>
        </w:rPr>
        <w:t>.</w:t>
      </w:r>
      <w:r w:rsidR="00B67E28">
        <w:rPr>
          <w:b/>
        </w:rPr>
        <w:t>,</w:t>
      </w:r>
      <w:r w:rsidR="00E971FC">
        <w:rPr>
          <w:b/>
        </w:rPr>
        <w:t xml:space="preserve"> </w:t>
      </w:r>
      <w:r w:rsidR="00B67E28">
        <w:rPr>
          <w:b/>
        </w:rPr>
        <w:t>s</w:t>
      </w:r>
      <w:r>
        <w:rPr>
          <w:b/>
        </w:rPr>
        <w:t xml:space="preserve">ample </w:t>
      </w:r>
      <w:r w:rsidR="00B67E28">
        <w:rPr>
          <w:b/>
        </w:rPr>
        <w:t>s</w:t>
      </w:r>
      <w:r>
        <w:rPr>
          <w:b/>
        </w:rPr>
        <w:t xml:space="preserve">ize </w:t>
      </w:r>
      <w:r w:rsidR="00AB3313">
        <w:rPr>
          <w:b/>
        </w:rPr>
        <w:t xml:space="preserve">and </w:t>
      </w:r>
      <w:r w:rsidR="00B67E28">
        <w:rPr>
          <w:b/>
        </w:rPr>
        <w:t>m</w:t>
      </w:r>
      <w:r>
        <w:rPr>
          <w:b/>
        </w:rPr>
        <w:t xml:space="preserve">ethod of </w:t>
      </w:r>
      <w:r w:rsidR="00B67E28">
        <w:rPr>
          <w:b/>
        </w:rPr>
        <w:t>s</w:t>
      </w:r>
      <w:r>
        <w:rPr>
          <w:b/>
        </w:rPr>
        <w:t>election):</w:t>
      </w:r>
    </w:p>
    <w:p w14:paraId="466A07CA" w14:textId="77777777" w:rsidR="000B727C" w:rsidRDefault="000B727C" w:rsidP="00F12AEE">
      <w:pPr>
        <w:pStyle w:val="ListParagraph"/>
      </w:pPr>
    </w:p>
    <w:p w14:paraId="5A5A441F" w14:textId="0E21EC11" w:rsidR="00140A0D" w:rsidRDefault="006E0DCE" w:rsidP="00F12AEE">
      <w:pPr>
        <w:pStyle w:val="ListParagraph"/>
      </w:pPr>
      <w:r>
        <w:t>Q</w:t>
      </w:r>
      <w:r w:rsidR="00B203E2" w:rsidRPr="00B203E2">
        <w:t>ualitative methods</w:t>
      </w:r>
      <w:r>
        <w:t xml:space="preserve"> in the form of human </w:t>
      </w:r>
      <w:r w:rsidR="00BE3473">
        <w:t xml:space="preserve">coding via </w:t>
      </w:r>
      <w:r w:rsidR="009D72EC">
        <w:t xml:space="preserve">the </w:t>
      </w:r>
      <w:r>
        <w:t xml:space="preserve">software </w:t>
      </w:r>
      <w:r w:rsidR="00BE3473">
        <w:t>program</w:t>
      </w:r>
      <w:r w:rsidR="009D72EC">
        <w:t xml:space="preserve"> NVivo</w:t>
      </w:r>
      <w:r w:rsidR="00BE3473">
        <w:t xml:space="preserve"> </w:t>
      </w:r>
      <w:r w:rsidR="008367C8">
        <w:t xml:space="preserve">will be used </w:t>
      </w:r>
      <w:r>
        <w:t>to analyze the data from the focus groups</w:t>
      </w:r>
      <w:r w:rsidR="00B203E2" w:rsidRPr="00B203E2">
        <w:t>.</w:t>
      </w:r>
    </w:p>
    <w:p w14:paraId="53F4503F" w14:textId="77777777" w:rsidR="00B203E2" w:rsidRDefault="00B203E2" w:rsidP="00F12AEE">
      <w:pPr>
        <w:pStyle w:val="ListParagraph"/>
      </w:pPr>
    </w:p>
    <w:p w14:paraId="5EB76BCF" w14:textId="77777777" w:rsidR="00B203E2" w:rsidRDefault="00B911DA" w:rsidP="00F12AEE">
      <w:pPr>
        <w:pStyle w:val="ListParagraph"/>
      </w:pPr>
      <w:r w:rsidRPr="007550E5">
        <w:t xml:space="preserve">Specifically, </w:t>
      </w:r>
      <w:r>
        <w:t>organizational coding scheme</w:t>
      </w:r>
      <w:r w:rsidR="008367C8">
        <w:t>s</w:t>
      </w:r>
      <w:r>
        <w:t xml:space="preserve"> </w:t>
      </w:r>
      <w:r w:rsidR="008367C8">
        <w:t xml:space="preserve">will be developed based on the verbatim transcripts </w:t>
      </w:r>
      <w:r w:rsidR="00AB3313">
        <w:t xml:space="preserve">of </w:t>
      </w:r>
      <w:r w:rsidR="008367C8">
        <w:t>the focus groups. T</w:t>
      </w:r>
      <w:r w:rsidRPr="007550E5">
        <w:t xml:space="preserve">wo team members </w:t>
      </w:r>
      <w:r w:rsidR="008367C8">
        <w:t xml:space="preserve">will then </w:t>
      </w:r>
      <w:r w:rsidRPr="007550E5">
        <w:t xml:space="preserve">independently code </w:t>
      </w:r>
      <w:r>
        <w:t>20% of the transcripts</w:t>
      </w:r>
      <w:r w:rsidR="008367C8">
        <w:t xml:space="preserve"> (</w:t>
      </w:r>
      <w:r w:rsidR="009D72EC">
        <w:t>two</w:t>
      </w:r>
      <w:r w:rsidR="00B72CCF">
        <w:t xml:space="preserve"> transcripts)</w:t>
      </w:r>
      <w:r>
        <w:t xml:space="preserve">. </w:t>
      </w:r>
      <w:r w:rsidRPr="00F77CB9">
        <w:t>Once reliability is established</w:t>
      </w:r>
      <w:r>
        <w:t xml:space="preserve"> (i.e., kappa coefficient of &gt;</w:t>
      </w:r>
      <w:r w:rsidR="00AB3313">
        <w:t xml:space="preserve"> </w:t>
      </w:r>
      <w:r>
        <w:t xml:space="preserve">.70 for all </w:t>
      </w:r>
      <w:r w:rsidR="00AB3313">
        <w:t>double-</w:t>
      </w:r>
      <w:r>
        <w:t>coded transcripts)</w:t>
      </w:r>
      <w:r w:rsidRPr="00F77CB9">
        <w:t xml:space="preserve">, coders </w:t>
      </w:r>
      <w:r w:rsidR="00AB3313">
        <w:t xml:space="preserve">will </w:t>
      </w:r>
      <w:r w:rsidRPr="00F77CB9">
        <w:t xml:space="preserve">complete coding </w:t>
      </w:r>
      <w:r w:rsidR="00AB3313">
        <w:t xml:space="preserve">the </w:t>
      </w:r>
      <w:r w:rsidRPr="00F77CB9">
        <w:t>transcripts</w:t>
      </w:r>
      <w:r w:rsidR="00114709">
        <w:t xml:space="preserve"> individually</w:t>
      </w:r>
      <w:r>
        <w:t>.</w:t>
      </w:r>
    </w:p>
    <w:p w14:paraId="3DAFC5C2" w14:textId="77777777" w:rsidR="00B911DA" w:rsidRDefault="00B911DA" w:rsidP="00F12AEE">
      <w:pPr>
        <w:pStyle w:val="ListParagraph"/>
      </w:pPr>
    </w:p>
    <w:p w14:paraId="1B4269FD" w14:textId="10C92EA3" w:rsidR="00B911DA" w:rsidRDefault="00B911DA" w:rsidP="00F12AEE">
      <w:pPr>
        <w:pStyle w:val="ListParagraph"/>
      </w:pPr>
      <w:r w:rsidRPr="00B911DA">
        <w:t xml:space="preserve">The resulting </w:t>
      </w:r>
      <w:r w:rsidR="00114709">
        <w:t xml:space="preserve">coded </w:t>
      </w:r>
      <w:r w:rsidRPr="00B911DA">
        <w:t xml:space="preserve">content will be used to facilitate a systematic, thematic review of the qualitative data. Our analysis procedure includes coding transcripts within nodes to extrapolate key themes and, as appropriate and necessary, </w:t>
      </w:r>
      <w:r w:rsidR="00AF2C79">
        <w:t>using</w:t>
      </w:r>
      <w:r w:rsidR="00AF2C79" w:rsidRPr="00B911DA">
        <w:t xml:space="preserve"> </w:t>
      </w:r>
      <w:r w:rsidRPr="00B911DA">
        <w:t>analytical features (e.g., text searches, word frequency, coding queries) within NVivo. These results will ultimately guide the research team’s efforts to identify insights</w:t>
      </w:r>
      <w:r w:rsidR="008367C8">
        <w:t xml:space="preserve"> and </w:t>
      </w:r>
      <w:r w:rsidR="00C8771C">
        <w:t>representative quotes</w:t>
      </w:r>
      <w:r w:rsidRPr="00B911DA">
        <w:t>, draw conclusions, make actionable recommendations</w:t>
      </w:r>
      <w:r w:rsidR="00C8771C">
        <w:t xml:space="preserve">, and complete </w:t>
      </w:r>
      <w:r w:rsidR="00147C40">
        <w:t xml:space="preserve">its </w:t>
      </w:r>
      <w:r w:rsidRPr="00B911DA">
        <w:t>reporting.</w:t>
      </w:r>
    </w:p>
    <w:p w14:paraId="5DE8BF76" w14:textId="77777777" w:rsidR="00190AA2" w:rsidRDefault="00190AA2" w:rsidP="00F12AEE">
      <w:pPr>
        <w:pStyle w:val="ListParagraph"/>
      </w:pPr>
    </w:p>
    <w:p w14:paraId="450606AE" w14:textId="77777777" w:rsidR="002D05EB" w:rsidRDefault="002D05EB">
      <w:pPr>
        <w:rPr>
          <w:b/>
        </w:rPr>
      </w:pPr>
    </w:p>
    <w:p w14:paraId="133B21DF" w14:textId="77777777" w:rsidR="002D05EB" w:rsidRDefault="002D05EB">
      <w:pPr>
        <w:rPr>
          <w:b/>
        </w:rPr>
      </w:pPr>
    </w:p>
    <w:p w14:paraId="5E8F27A0" w14:textId="77777777" w:rsidR="002D05EB" w:rsidRDefault="002D05EB">
      <w:pPr>
        <w:rPr>
          <w:b/>
        </w:rPr>
      </w:pPr>
    </w:p>
    <w:p w14:paraId="34F00722" w14:textId="77777777"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774E6D4E" w14:textId="77777777" w:rsidR="003F1C7A" w:rsidRDefault="003F1C7A">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939"/>
        <w:gridCol w:w="1617"/>
        <w:gridCol w:w="1840"/>
      </w:tblGrid>
      <w:tr w:rsidR="003F1C7A" w14:paraId="2B4973CF" w14:textId="77777777" w:rsidTr="009D72EC">
        <w:trPr>
          <w:trHeight w:val="274"/>
          <w:jc w:val="center"/>
        </w:trPr>
        <w:tc>
          <w:tcPr>
            <w:tcW w:w="2096" w:type="dxa"/>
            <w:shd w:val="clear" w:color="auto" w:fill="E0E0E0"/>
          </w:tcPr>
          <w:p w14:paraId="16C42DE4" w14:textId="77777777" w:rsidR="003F1C7A" w:rsidRDefault="00696B03">
            <w:pPr>
              <w:jc w:val="center"/>
              <w:rPr>
                <w:b/>
              </w:rPr>
            </w:pPr>
            <w:r>
              <w:rPr>
                <w:b/>
              </w:rPr>
              <w:t>Type/</w:t>
            </w:r>
            <w:r w:rsidR="003F1C7A">
              <w:rPr>
                <w:b/>
              </w:rPr>
              <w:t>Category of Respondent</w:t>
            </w:r>
          </w:p>
        </w:tc>
        <w:tc>
          <w:tcPr>
            <w:tcW w:w="2939" w:type="dxa"/>
            <w:shd w:val="clear" w:color="auto" w:fill="E0E0E0"/>
          </w:tcPr>
          <w:p w14:paraId="7F2154AC" w14:textId="77777777" w:rsidR="003F1C7A" w:rsidRDefault="003F1C7A" w:rsidP="00696B03">
            <w:pPr>
              <w:jc w:val="center"/>
              <w:rPr>
                <w:b/>
              </w:rPr>
            </w:pPr>
            <w:r>
              <w:rPr>
                <w:b/>
              </w:rPr>
              <w:t>No. of Respondent</w:t>
            </w:r>
            <w:r w:rsidR="00696B03">
              <w:rPr>
                <w:b/>
              </w:rPr>
              <w:t>s</w:t>
            </w:r>
          </w:p>
        </w:tc>
        <w:tc>
          <w:tcPr>
            <w:tcW w:w="1617" w:type="dxa"/>
            <w:shd w:val="clear" w:color="auto" w:fill="E0E0E0"/>
          </w:tcPr>
          <w:p w14:paraId="3CBA4A50" w14:textId="77777777" w:rsidR="003F1C7A" w:rsidRDefault="003F1C7A">
            <w:pPr>
              <w:jc w:val="center"/>
              <w:rPr>
                <w:b/>
              </w:rPr>
            </w:pPr>
            <w:r>
              <w:rPr>
                <w:b/>
              </w:rPr>
              <w:t>Participation Time</w:t>
            </w:r>
            <w:r w:rsidR="00696B03">
              <w:rPr>
                <w:b/>
              </w:rPr>
              <w:t xml:space="preserve"> (minutes)</w:t>
            </w:r>
          </w:p>
        </w:tc>
        <w:tc>
          <w:tcPr>
            <w:tcW w:w="1840" w:type="dxa"/>
            <w:shd w:val="clear" w:color="auto" w:fill="E0E0E0"/>
            <w:vAlign w:val="bottom"/>
          </w:tcPr>
          <w:p w14:paraId="51C1B468" w14:textId="77777777" w:rsidR="003F1C7A" w:rsidRDefault="003F1C7A">
            <w:pPr>
              <w:jc w:val="center"/>
              <w:rPr>
                <w:b/>
              </w:rPr>
            </w:pPr>
            <w:r>
              <w:rPr>
                <w:b/>
              </w:rPr>
              <w:t>Burden</w:t>
            </w:r>
          </w:p>
          <w:p w14:paraId="0F32CF5A" w14:textId="77777777" w:rsidR="00696B03" w:rsidRDefault="00696B03">
            <w:pPr>
              <w:jc w:val="center"/>
              <w:rPr>
                <w:b/>
              </w:rPr>
            </w:pPr>
            <w:r>
              <w:rPr>
                <w:b/>
              </w:rPr>
              <w:t>(hours)</w:t>
            </w:r>
          </w:p>
        </w:tc>
      </w:tr>
      <w:tr w:rsidR="00DE4F9A" w14:paraId="31BCD9B6" w14:textId="77777777" w:rsidTr="009D72EC">
        <w:trPr>
          <w:trHeight w:val="274"/>
          <w:jc w:val="center"/>
        </w:trPr>
        <w:tc>
          <w:tcPr>
            <w:tcW w:w="2096" w:type="dxa"/>
          </w:tcPr>
          <w:p w14:paraId="3BEC83F2" w14:textId="77777777" w:rsidR="00DE4F9A" w:rsidRDefault="00DE4F9A" w:rsidP="0089780E">
            <w:pPr>
              <w:jc w:val="center"/>
            </w:pPr>
            <w:r>
              <w:t>Online Screening for Focus Groups (Patients)</w:t>
            </w:r>
          </w:p>
        </w:tc>
        <w:tc>
          <w:tcPr>
            <w:tcW w:w="2939" w:type="dxa"/>
          </w:tcPr>
          <w:p w14:paraId="7B8EBA25" w14:textId="77777777" w:rsidR="00DE4F9A" w:rsidRDefault="00DE4F9A" w:rsidP="00411149">
            <w:pPr>
              <w:jc w:val="center"/>
            </w:pPr>
            <w:r>
              <w:t>1000</w:t>
            </w:r>
          </w:p>
        </w:tc>
        <w:tc>
          <w:tcPr>
            <w:tcW w:w="1617" w:type="dxa"/>
          </w:tcPr>
          <w:p w14:paraId="2D88187A" w14:textId="3C2CA1CB" w:rsidR="00DE4F9A" w:rsidRDefault="00C9569C">
            <w:pPr>
              <w:jc w:val="center"/>
            </w:pPr>
            <w:r>
              <w:t>2</w:t>
            </w:r>
            <w:r w:rsidR="00DE4F9A">
              <w:t xml:space="preserve"> minutes (</w:t>
            </w:r>
            <w:r w:rsidR="00147C40">
              <w:t>.</w:t>
            </w:r>
            <w:r>
              <w:t>03</w:t>
            </w:r>
            <w:r w:rsidR="00AF2C79">
              <w:t> hours</w:t>
            </w:r>
            <w:r w:rsidR="00DE4F9A">
              <w:t>)</w:t>
            </w:r>
          </w:p>
        </w:tc>
        <w:tc>
          <w:tcPr>
            <w:tcW w:w="1840" w:type="dxa"/>
          </w:tcPr>
          <w:p w14:paraId="591FBDAF" w14:textId="2BFC5766" w:rsidR="00DE4F9A" w:rsidRDefault="00C9569C">
            <w:pPr>
              <w:jc w:val="center"/>
            </w:pPr>
            <w:r>
              <w:t>33</w:t>
            </w:r>
          </w:p>
        </w:tc>
      </w:tr>
      <w:tr w:rsidR="003F1C7A" w14:paraId="11B06B8F" w14:textId="77777777" w:rsidTr="009D72EC">
        <w:trPr>
          <w:trHeight w:val="274"/>
          <w:jc w:val="center"/>
        </w:trPr>
        <w:tc>
          <w:tcPr>
            <w:tcW w:w="2096" w:type="dxa"/>
          </w:tcPr>
          <w:p w14:paraId="34F8ED9D" w14:textId="77777777" w:rsidR="003F1C7A" w:rsidRDefault="00DE4F9A" w:rsidP="0089780E">
            <w:pPr>
              <w:jc w:val="center"/>
            </w:pPr>
            <w:r>
              <w:t xml:space="preserve">Phone </w:t>
            </w:r>
            <w:r w:rsidR="0089780E">
              <w:t>Screening for Focus Groups</w:t>
            </w:r>
            <w:r w:rsidR="0089780E">
              <w:br/>
              <w:t>(</w:t>
            </w:r>
            <w:r w:rsidR="002A2F10">
              <w:t>Patients</w:t>
            </w:r>
            <w:r w:rsidR="0089780E">
              <w:t>)</w:t>
            </w:r>
          </w:p>
        </w:tc>
        <w:tc>
          <w:tcPr>
            <w:tcW w:w="2939" w:type="dxa"/>
          </w:tcPr>
          <w:p w14:paraId="4CC07959" w14:textId="77777777" w:rsidR="003F1C7A" w:rsidRDefault="00215B4B" w:rsidP="00411149">
            <w:pPr>
              <w:jc w:val="center"/>
            </w:pPr>
            <w:r>
              <w:t>160</w:t>
            </w:r>
          </w:p>
        </w:tc>
        <w:tc>
          <w:tcPr>
            <w:tcW w:w="1617" w:type="dxa"/>
          </w:tcPr>
          <w:p w14:paraId="0EFC38F5" w14:textId="5E61BC49" w:rsidR="003F1C7A" w:rsidRDefault="00DE4F9A">
            <w:pPr>
              <w:jc w:val="center"/>
            </w:pPr>
            <w:r>
              <w:t xml:space="preserve">7 </w:t>
            </w:r>
            <w:r w:rsidR="009D72EC">
              <w:t>minutes (</w:t>
            </w:r>
            <w:r w:rsidR="00147C40">
              <w:t>.12</w:t>
            </w:r>
            <w:r w:rsidR="00AF2C79">
              <w:t> hours</w:t>
            </w:r>
            <w:r w:rsidR="009D72EC">
              <w:t>)</w:t>
            </w:r>
          </w:p>
        </w:tc>
        <w:tc>
          <w:tcPr>
            <w:tcW w:w="1840" w:type="dxa"/>
          </w:tcPr>
          <w:p w14:paraId="7D21B883" w14:textId="66812E8F" w:rsidR="003F1C7A" w:rsidRDefault="00147C40">
            <w:pPr>
              <w:jc w:val="center"/>
            </w:pPr>
            <w:r>
              <w:t>19</w:t>
            </w:r>
          </w:p>
        </w:tc>
      </w:tr>
      <w:tr w:rsidR="0089780E" w14:paraId="74E3049F" w14:textId="77777777" w:rsidTr="009D72EC">
        <w:trPr>
          <w:trHeight w:val="274"/>
          <w:jc w:val="center"/>
        </w:trPr>
        <w:tc>
          <w:tcPr>
            <w:tcW w:w="2096" w:type="dxa"/>
          </w:tcPr>
          <w:p w14:paraId="5C914244" w14:textId="77777777" w:rsidR="008911D5" w:rsidRDefault="0029720C" w:rsidP="0089780E">
            <w:pPr>
              <w:jc w:val="center"/>
            </w:pPr>
            <w:r>
              <w:t>Focus Group</w:t>
            </w:r>
            <w:r w:rsidR="008911D5">
              <w:t>, 15 minute early log in and 90 minute session</w:t>
            </w:r>
          </w:p>
          <w:p w14:paraId="381B0B11" w14:textId="58769E21" w:rsidR="0089780E" w:rsidRDefault="0029720C" w:rsidP="0089780E">
            <w:pPr>
              <w:jc w:val="center"/>
            </w:pPr>
            <w:r>
              <w:t>(</w:t>
            </w:r>
            <w:r w:rsidR="002A2F10">
              <w:t>Patients</w:t>
            </w:r>
            <w:r>
              <w:t>)</w:t>
            </w:r>
          </w:p>
        </w:tc>
        <w:tc>
          <w:tcPr>
            <w:tcW w:w="2939" w:type="dxa"/>
          </w:tcPr>
          <w:p w14:paraId="008454E9" w14:textId="77777777" w:rsidR="0089780E" w:rsidRDefault="009D72EC" w:rsidP="00411149">
            <w:pPr>
              <w:jc w:val="center"/>
            </w:pPr>
            <w:r>
              <w:t>80</w:t>
            </w:r>
          </w:p>
        </w:tc>
        <w:tc>
          <w:tcPr>
            <w:tcW w:w="1617" w:type="dxa"/>
          </w:tcPr>
          <w:p w14:paraId="6FBA17ED" w14:textId="599D3187" w:rsidR="0089780E" w:rsidRDefault="008911D5">
            <w:pPr>
              <w:jc w:val="center"/>
            </w:pPr>
            <w:r>
              <w:t>105</w:t>
            </w:r>
            <w:r w:rsidR="009D72EC">
              <w:t xml:space="preserve"> minutes (1.5 </w:t>
            </w:r>
            <w:r w:rsidR="00AF2C79">
              <w:t>hours</w:t>
            </w:r>
            <w:r w:rsidR="009D72EC">
              <w:t>)</w:t>
            </w:r>
          </w:p>
        </w:tc>
        <w:tc>
          <w:tcPr>
            <w:tcW w:w="1840" w:type="dxa"/>
          </w:tcPr>
          <w:p w14:paraId="5134E286" w14:textId="7E81E434" w:rsidR="0089780E" w:rsidRDefault="008911D5">
            <w:pPr>
              <w:jc w:val="center"/>
            </w:pPr>
            <w:r>
              <w:t>140</w:t>
            </w:r>
          </w:p>
        </w:tc>
      </w:tr>
      <w:tr w:rsidR="0029720C" w14:paraId="1368C366" w14:textId="77777777" w:rsidTr="009D72EC">
        <w:trPr>
          <w:trHeight w:val="274"/>
          <w:jc w:val="center"/>
        </w:trPr>
        <w:tc>
          <w:tcPr>
            <w:tcW w:w="6652" w:type="dxa"/>
            <w:gridSpan w:val="3"/>
            <w:shd w:val="clear" w:color="auto" w:fill="D9D9D9"/>
          </w:tcPr>
          <w:p w14:paraId="44352EB7" w14:textId="77777777" w:rsidR="0029720C" w:rsidRPr="0029720C" w:rsidRDefault="0029720C" w:rsidP="0029720C">
            <w:pPr>
              <w:rPr>
                <w:b/>
              </w:rPr>
            </w:pPr>
            <w:r w:rsidRPr="0029720C">
              <w:rPr>
                <w:b/>
              </w:rPr>
              <w:t>TOTAL</w:t>
            </w:r>
          </w:p>
        </w:tc>
        <w:tc>
          <w:tcPr>
            <w:tcW w:w="1840" w:type="dxa"/>
          </w:tcPr>
          <w:p w14:paraId="474DEC23" w14:textId="59B79401" w:rsidR="0029720C" w:rsidRDefault="008911D5">
            <w:pPr>
              <w:jc w:val="center"/>
            </w:pPr>
            <w:r>
              <w:t>192</w:t>
            </w:r>
          </w:p>
        </w:tc>
      </w:tr>
    </w:tbl>
    <w:p w14:paraId="351CDAE0" w14:textId="77777777" w:rsidR="003F1C7A" w:rsidRDefault="003F1C7A"/>
    <w:p w14:paraId="2F058D68" w14:textId="77777777" w:rsidR="00C8771C" w:rsidRDefault="00C8771C">
      <w:pPr>
        <w:rPr>
          <w:b/>
        </w:rPr>
      </w:pPr>
    </w:p>
    <w:p w14:paraId="030E93F2" w14:textId="27708CAB" w:rsidR="003F1C7A" w:rsidRDefault="003F1C7A">
      <w:pPr>
        <w:rPr>
          <w:b/>
        </w:rPr>
      </w:pPr>
      <w:r>
        <w:rPr>
          <w:b/>
        </w:rPr>
        <w:t>REQUESTED APPROVAL DATE:</w:t>
      </w:r>
      <w:r w:rsidR="00F44799">
        <w:rPr>
          <w:b/>
        </w:rPr>
        <w:t xml:space="preserve"> </w:t>
      </w:r>
      <w:r w:rsidR="00C66E99" w:rsidRPr="00C66E99">
        <w:t>June</w:t>
      </w:r>
      <w:r w:rsidR="00060052">
        <w:t>, 2019</w:t>
      </w:r>
      <w:r w:rsidR="00140A0D">
        <w:br/>
      </w:r>
    </w:p>
    <w:p w14:paraId="614E5120" w14:textId="77777777" w:rsidR="00140A0D" w:rsidRDefault="00140A0D" w:rsidP="00140A0D">
      <w:pPr>
        <w:rPr>
          <w:b/>
        </w:rPr>
      </w:pPr>
      <w:r>
        <w:rPr>
          <w:b/>
        </w:rPr>
        <w:t xml:space="preserve">NAME OF PRA ANALYST </w:t>
      </w:r>
      <w:r w:rsidR="004960F0">
        <w:rPr>
          <w:b/>
        </w:rPr>
        <w:t xml:space="preserve">AND </w:t>
      </w:r>
      <w:r>
        <w:rPr>
          <w:b/>
        </w:rPr>
        <w:t>PROGRAM CONTACT:</w:t>
      </w:r>
    </w:p>
    <w:p w14:paraId="148B2AE5" w14:textId="77777777" w:rsidR="0006599A" w:rsidRDefault="0006599A" w:rsidP="00140A0D">
      <w:pPr>
        <w:rPr>
          <w:bCs/>
        </w:rPr>
      </w:pPr>
    </w:p>
    <w:p w14:paraId="39F95DBF" w14:textId="7488CC8A" w:rsidR="0006599A" w:rsidRDefault="0006599A" w:rsidP="0006599A">
      <w:r>
        <w:t>Ila S. Mizrachi</w:t>
      </w:r>
    </w:p>
    <w:p w14:paraId="2E8E37F6" w14:textId="77777777" w:rsidR="0006599A" w:rsidRDefault="0006599A" w:rsidP="0006599A">
      <w:r>
        <w:t>Paperwork Reduction Act Staff</w:t>
      </w:r>
    </w:p>
    <w:p w14:paraId="2105AE76" w14:textId="6C7BC08E" w:rsidR="0006599A" w:rsidRDefault="00C560B5" w:rsidP="0006599A">
      <w:hyperlink r:id="rId12" w:history="1">
        <w:r w:rsidR="00147C40" w:rsidRPr="00147C40">
          <w:rPr>
            <w:rStyle w:val="Hyperlink"/>
          </w:rPr>
          <w:t>Ila.Mizrachi@fda.hhs.gov</w:t>
        </w:r>
      </w:hyperlink>
    </w:p>
    <w:p w14:paraId="7202B364" w14:textId="77777777" w:rsidR="0006599A" w:rsidRPr="00000CD7" w:rsidRDefault="0006599A" w:rsidP="0006599A">
      <w:r>
        <w:t>(301)796-7726</w:t>
      </w:r>
    </w:p>
    <w:p w14:paraId="6CA8EAF4" w14:textId="77777777" w:rsidR="0006599A" w:rsidRDefault="0006599A" w:rsidP="0006599A"/>
    <w:p w14:paraId="274A7493" w14:textId="3AD2A3CB" w:rsidR="0006599A" w:rsidRDefault="00051DA2" w:rsidP="0006599A">
      <w:r>
        <w:t>Brian Lappin</w:t>
      </w:r>
    </w:p>
    <w:p w14:paraId="6E66EE76" w14:textId="1B01D0FA" w:rsidR="0006599A" w:rsidRDefault="00EF3F07" w:rsidP="0006599A">
      <w:r>
        <w:t xml:space="preserve">Senior </w:t>
      </w:r>
      <w:r w:rsidR="00051DA2">
        <w:t>Social Science Analyst</w:t>
      </w:r>
    </w:p>
    <w:p w14:paraId="7DD71482" w14:textId="77777777" w:rsidR="0006599A" w:rsidRDefault="0006599A" w:rsidP="0006599A">
      <w:r>
        <w:t>CDER/Office of Communications</w:t>
      </w:r>
    </w:p>
    <w:p w14:paraId="3F3AB1F1" w14:textId="36C3DE96" w:rsidR="0006599A" w:rsidRDefault="00C560B5" w:rsidP="0006599A">
      <w:hyperlink r:id="rId13" w:history="1">
        <w:r w:rsidR="00051DA2" w:rsidRPr="00051DA2">
          <w:rPr>
            <w:rStyle w:val="Hyperlink"/>
          </w:rPr>
          <w:t>Brian.Lappin@fda.hhs.gov</w:t>
        </w:r>
      </w:hyperlink>
    </w:p>
    <w:p w14:paraId="49C947FC" w14:textId="191DE445" w:rsidR="0006599A" w:rsidRPr="00BB0FB0" w:rsidRDefault="0006599A" w:rsidP="0006599A">
      <w:r>
        <w:t>(301)796-</w:t>
      </w:r>
      <w:r w:rsidR="00051DA2">
        <w:t>9126</w:t>
      </w:r>
    </w:p>
    <w:p w14:paraId="49DB7BCB" w14:textId="77777777" w:rsidR="0006599A" w:rsidRDefault="0006599A" w:rsidP="00140A0D">
      <w:pPr>
        <w:rPr>
          <w:bCs/>
        </w:rPr>
      </w:pPr>
    </w:p>
    <w:p w14:paraId="0428EE25" w14:textId="0468A741" w:rsidR="003F1C7A" w:rsidRDefault="00140A0D" w:rsidP="00140A0D">
      <w:pPr>
        <w:tabs>
          <w:tab w:val="left" w:pos="5670"/>
        </w:tabs>
        <w:suppressAutoHyphens/>
      </w:pPr>
      <w:r>
        <w:rPr>
          <w:b/>
        </w:rPr>
        <w:t>FDA CENTER</w:t>
      </w:r>
      <w:r w:rsidR="00BE3473">
        <w:rPr>
          <w:b/>
        </w:rPr>
        <w:t xml:space="preserve">: </w:t>
      </w:r>
      <w:r w:rsidR="000B727C" w:rsidRPr="000B727C">
        <w:t>Center for</w:t>
      </w:r>
      <w:r w:rsidR="000B727C">
        <w:t xml:space="preserve"> Drug Evaluation and Research (FDA/</w:t>
      </w:r>
      <w:r w:rsidR="00C8771C" w:rsidRPr="00BE3473">
        <w:t>CDER</w:t>
      </w:r>
      <w:r w:rsidR="000B727C">
        <w:t>)</w:t>
      </w:r>
    </w:p>
    <w:p w14:paraId="3144BB4A" w14:textId="77777777" w:rsidR="00065246" w:rsidRDefault="00065246" w:rsidP="00140A0D">
      <w:pPr>
        <w:tabs>
          <w:tab w:val="left" w:pos="5670"/>
        </w:tabs>
        <w:suppressAutoHyphens/>
      </w:pPr>
    </w:p>
    <w:p w14:paraId="34D1C20D" w14:textId="77777777" w:rsidR="00DA294B" w:rsidRDefault="00DA294B" w:rsidP="00BE3473">
      <w:pPr>
        <w:tabs>
          <w:tab w:val="left" w:pos="5670"/>
        </w:tabs>
        <w:suppressAutoHyphens/>
        <w:ind w:left="720" w:hanging="720"/>
      </w:pPr>
    </w:p>
    <w:p w14:paraId="6E0E4117" w14:textId="77777777" w:rsidR="00215B4B" w:rsidRPr="00EC7825" w:rsidRDefault="00EC7825" w:rsidP="00BE3473">
      <w:pPr>
        <w:tabs>
          <w:tab w:val="left" w:pos="5670"/>
        </w:tabs>
        <w:suppressAutoHyphens/>
        <w:ind w:left="720" w:hanging="720"/>
        <w:rPr>
          <w:b/>
        </w:rPr>
      </w:pPr>
      <w:r w:rsidRPr="00EC7825">
        <w:rPr>
          <w:b/>
        </w:rPr>
        <w:t>REFERENCES</w:t>
      </w:r>
    </w:p>
    <w:p w14:paraId="33E3FD6D" w14:textId="77777777" w:rsidR="00EC7825" w:rsidRDefault="00EC7825" w:rsidP="00BE3473">
      <w:pPr>
        <w:tabs>
          <w:tab w:val="left" w:pos="5670"/>
        </w:tabs>
        <w:suppressAutoHyphens/>
        <w:ind w:left="720" w:hanging="720"/>
      </w:pPr>
    </w:p>
    <w:p w14:paraId="4C7E11FE" w14:textId="77777777" w:rsidR="00215B4B" w:rsidRDefault="00215B4B" w:rsidP="00BE3473">
      <w:pPr>
        <w:tabs>
          <w:tab w:val="left" w:pos="5670"/>
        </w:tabs>
        <w:suppressAutoHyphens/>
        <w:ind w:left="720" w:hanging="720"/>
      </w:pPr>
      <w:r w:rsidRPr="00215B4B">
        <w:t>Halpen, S.</w:t>
      </w:r>
      <w:r w:rsidR="004960F0">
        <w:t xml:space="preserve"> </w:t>
      </w:r>
      <w:r w:rsidRPr="00215B4B">
        <w:t>D., Karlawish, J.</w:t>
      </w:r>
      <w:r w:rsidR="004960F0">
        <w:t xml:space="preserve"> </w:t>
      </w:r>
      <w:r w:rsidRPr="00215B4B">
        <w:t>H., Casarett, D., Berlin, J.</w:t>
      </w:r>
      <w:r w:rsidR="004960F0">
        <w:t xml:space="preserve"> </w:t>
      </w:r>
      <w:r w:rsidRPr="00215B4B">
        <w:t>A., &amp; Asch, D.</w:t>
      </w:r>
      <w:r w:rsidR="004960F0">
        <w:t xml:space="preserve"> </w:t>
      </w:r>
      <w:r w:rsidRPr="00215B4B">
        <w:t>A. (2004). Empirical assessment of whether moderate payments are undue or unjust inducements for participation in clinical trials. Archives of Internal Medicine, 164(7), 801–803.</w:t>
      </w:r>
    </w:p>
    <w:p w14:paraId="1B851D7C" w14:textId="77777777" w:rsidR="00215B4B" w:rsidRDefault="00215B4B" w:rsidP="00BE3473">
      <w:pPr>
        <w:tabs>
          <w:tab w:val="left" w:pos="5670"/>
        </w:tabs>
        <w:suppressAutoHyphens/>
        <w:ind w:left="720" w:hanging="720"/>
      </w:pPr>
    </w:p>
    <w:p w14:paraId="5CC8DA36" w14:textId="77777777" w:rsidR="00215B4B" w:rsidRDefault="00215B4B" w:rsidP="00BE3473">
      <w:pPr>
        <w:tabs>
          <w:tab w:val="left" w:pos="5670"/>
        </w:tabs>
        <w:suppressAutoHyphens/>
        <w:ind w:left="720" w:hanging="720"/>
      </w:pPr>
      <w:r w:rsidRPr="00215B4B">
        <w:t>Russell, M.</w:t>
      </w:r>
      <w:r w:rsidR="004960F0">
        <w:t xml:space="preserve"> </w:t>
      </w:r>
      <w:r w:rsidRPr="00215B4B">
        <w:t>L., Moralejo, D.</w:t>
      </w:r>
      <w:r w:rsidR="004960F0">
        <w:t xml:space="preserve"> </w:t>
      </w:r>
      <w:r w:rsidRPr="00215B4B">
        <w:t>G., &amp; Burgess, E.</w:t>
      </w:r>
      <w:r w:rsidR="004960F0">
        <w:t xml:space="preserve"> </w:t>
      </w:r>
      <w:r w:rsidRPr="00215B4B">
        <w:t>D. (2000). Participants’ perspectives. Journal of Medical Ethics, 26(2), 126–130.</w:t>
      </w:r>
    </w:p>
    <w:p w14:paraId="2068445A" w14:textId="77777777" w:rsidR="00215B4B" w:rsidRPr="00E215FA" w:rsidRDefault="00215B4B" w:rsidP="00215B4B">
      <w:pPr>
        <w:tabs>
          <w:tab w:val="left" w:pos="5670"/>
        </w:tabs>
        <w:suppressAutoHyphens/>
        <w:ind w:left="720" w:hanging="720"/>
      </w:pPr>
    </w:p>
    <w:sectPr w:rsidR="00215B4B" w:rsidRPr="00E215FA">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9973E" w14:textId="77777777" w:rsidR="00E65161" w:rsidRDefault="00E65161">
      <w:r>
        <w:separator/>
      </w:r>
    </w:p>
  </w:endnote>
  <w:endnote w:type="continuationSeparator" w:id="0">
    <w:p w14:paraId="2B552B71" w14:textId="77777777" w:rsidR="00E65161" w:rsidRDefault="00E6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F876" w14:textId="77777777" w:rsidR="003D0540" w:rsidRDefault="003D05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60B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36E1" w14:textId="77777777" w:rsidR="00E65161" w:rsidRDefault="00E65161">
      <w:r>
        <w:separator/>
      </w:r>
    </w:p>
  </w:footnote>
  <w:footnote w:type="continuationSeparator" w:id="0">
    <w:p w14:paraId="57E35E13" w14:textId="77777777" w:rsidR="00E65161" w:rsidRDefault="00E65161">
      <w:r>
        <w:continuationSeparator/>
      </w:r>
    </w:p>
  </w:footnote>
  <w:footnote w:id="1">
    <w:p w14:paraId="0F5CB478" w14:textId="77777777" w:rsidR="00A72DAA" w:rsidRDefault="00A72DAA" w:rsidP="00A72DAA">
      <w:pPr>
        <w:pStyle w:val="FootnoteText"/>
      </w:pPr>
      <w:r>
        <w:rPr>
          <w:rStyle w:val="FootnoteReference"/>
        </w:rPr>
        <w:footnoteRef/>
      </w:r>
      <w:r>
        <w:t xml:space="preserve"> https://www.bls.gov/news.release/empsit.t19.htm</w:t>
      </w:r>
    </w:p>
  </w:footnote>
  <w:footnote w:id="2">
    <w:p w14:paraId="72840AE6" w14:textId="77777777" w:rsidR="00A72DAA" w:rsidRDefault="00A72DAA" w:rsidP="00A72DAA">
      <w:pPr>
        <w:pStyle w:val="FootnoteText"/>
      </w:pPr>
      <w:r>
        <w:rPr>
          <w:rStyle w:val="FootnoteReference"/>
        </w:rPr>
        <w:footnoteRef/>
      </w:r>
      <w:r>
        <w:t xml:space="preserve"> https://www.bls.gov/oes/2018/may/oes399011.htm</w:t>
      </w:r>
    </w:p>
  </w:footnote>
  <w:footnote w:id="3">
    <w:p w14:paraId="0E40F1A3" w14:textId="77777777" w:rsidR="000374B0" w:rsidRDefault="000374B0" w:rsidP="000374B0">
      <w:pPr>
        <w:pStyle w:val="FootnoteText"/>
      </w:pPr>
      <w:r>
        <w:rPr>
          <w:rStyle w:val="FootnoteReference"/>
        </w:rPr>
        <w:footnoteRef/>
      </w:r>
      <w:r>
        <w:t xml:space="preserve"> See: Church, A.H. (1993). Estimating the effect of incentives on mail survey response rates: A meta-analysis. </w:t>
      </w:r>
      <w:r>
        <w:rPr>
          <w:i/>
          <w:iCs/>
        </w:rPr>
        <w:t>Public Opinion Quarterly,</w:t>
      </w:r>
      <w:r>
        <w:t xml:space="preserve"> 57, 62-79; Dykema, J. et al. (2012). Use of monetary and nonmonetary incentives to increase response rates among African Americans in the Wisconsin pregnancy risk assessment monitoring system. </w:t>
      </w:r>
      <w:r>
        <w:rPr>
          <w:i/>
          <w:iCs/>
        </w:rPr>
        <w:t>Maternal and child health journal</w:t>
      </w:r>
      <w:r>
        <w:t xml:space="preserve">, </w:t>
      </w:r>
      <w:r>
        <w:rPr>
          <w:i/>
          <w:iCs/>
        </w:rPr>
        <w:t>16</w:t>
      </w:r>
      <w:r>
        <w:t xml:space="preserve">(4), 785-791; Singer, E., &amp; Kulka, R. A. (2002). Paying respondents for survey participation. In: </w:t>
      </w:r>
      <w:r>
        <w:rPr>
          <w:i/>
          <w:iCs/>
        </w:rPr>
        <w:t>Studies of welfare populations: Data collection and research issues</w:t>
      </w:r>
      <w:r>
        <w:t>, 105-128.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135C0"/>
    <w:multiLevelType w:val="hybridMultilevel"/>
    <w:tmpl w:val="ACDC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725208B"/>
    <w:multiLevelType w:val="multilevel"/>
    <w:tmpl w:val="7BD89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C60193"/>
    <w:multiLevelType w:val="hybridMultilevel"/>
    <w:tmpl w:val="16A0588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nsid w:val="347649D3"/>
    <w:multiLevelType w:val="hybridMultilevel"/>
    <w:tmpl w:val="EEBA1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F5477D"/>
    <w:multiLevelType w:val="hybridMultilevel"/>
    <w:tmpl w:val="A8B824D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3D2734"/>
    <w:multiLevelType w:val="hybridMultilevel"/>
    <w:tmpl w:val="3AA0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4738DA"/>
    <w:multiLevelType w:val="hybridMultilevel"/>
    <w:tmpl w:val="AB10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28746DD"/>
    <w:multiLevelType w:val="hybridMultilevel"/>
    <w:tmpl w:val="92B6EC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F000C4"/>
    <w:multiLevelType w:val="hybridMultilevel"/>
    <w:tmpl w:val="25AA506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nsid w:val="6A964855"/>
    <w:multiLevelType w:val="hybridMultilevel"/>
    <w:tmpl w:val="4482C6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C0D07D9"/>
    <w:multiLevelType w:val="hybridMultilevel"/>
    <w:tmpl w:val="BF3CD734"/>
    <w:lvl w:ilvl="0" w:tplc="9BB61E9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nsid w:val="735A1F03"/>
    <w:multiLevelType w:val="hybridMultilevel"/>
    <w:tmpl w:val="EC5ACE6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090371"/>
    <w:multiLevelType w:val="hybridMultilevel"/>
    <w:tmpl w:val="68AAA884"/>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nsid w:val="7DD34FBB"/>
    <w:multiLevelType w:val="hybridMultilevel"/>
    <w:tmpl w:val="F7FC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27"/>
  </w:num>
  <w:num w:numId="4">
    <w:abstractNumId w:val="29"/>
  </w:num>
  <w:num w:numId="5">
    <w:abstractNumId w:val="5"/>
  </w:num>
  <w:num w:numId="6">
    <w:abstractNumId w:val="3"/>
  </w:num>
  <w:num w:numId="7">
    <w:abstractNumId w:val="14"/>
  </w:num>
  <w:num w:numId="8">
    <w:abstractNumId w:val="24"/>
  </w:num>
  <w:num w:numId="9">
    <w:abstractNumId w:val="15"/>
  </w:num>
  <w:num w:numId="10">
    <w:abstractNumId w:val="4"/>
  </w:num>
  <w:num w:numId="11">
    <w:abstractNumId w:val="7"/>
  </w:num>
  <w:num w:numId="12">
    <w:abstractNumId w:val="9"/>
  </w:num>
  <w:num w:numId="13">
    <w:abstractNumId w:val="1"/>
  </w:num>
  <w:num w:numId="14">
    <w:abstractNumId w:val="11"/>
  </w:num>
  <w:num w:numId="15">
    <w:abstractNumId w:val="25"/>
  </w:num>
  <w:num w:numId="16">
    <w:abstractNumId w:val="21"/>
  </w:num>
  <w:num w:numId="17">
    <w:abstractNumId w:val="0"/>
  </w:num>
  <w:num w:numId="18">
    <w:abstractNumId w:val="10"/>
  </w:num>
  <w:num w:numId="19">
    <w:abstractNumId w:val="8"/>
  </w:num>
  <w:num w:numId="20">
    <w:abstractNumId w:val="18"/>
  </w:num>
  <w:num w:numId="21">
    <w:abstractNumId w:val="26"/>
  </w:num>
  <w:num w:numId="22">
    <w:abstractNumId w:val="30"/>
  </w:num>
  <w:num w:numId="23">
    <w:abstractNumId w:val="22"/>
  </w:num>
  <w:num w:numId="24">
    <w:abstractNumId w:val="12"/>
  </w:num>
  <w:num w:numId="25">
    <w:abstractNumId w:val="20"/>
  </w:num>
  <w:num w:numId="26">
    <w:abstractNumId w:val="31"/>
  </w:num>
  <w:num w:numId="27">
    <w:abstractNumId w:val="13"/>
  </w:num>
  <w:num w:numId="28">
    <w:abstractNumId w:val="6"/>
  </w:num>
  <w:num w:numId="29">
    <w:abstractNumId w:val="19"/>
  </w:num>
  <w:num w:numId="30">
    <w:abstractNumId w:val="17"/>
  </w:num>
  <w:num w:numId="31">
    <w:abstractNumId w:val="2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1270"/>
    <w:rsid w:val="00003E9D"/>
    <w:rsid w:val="00004D13"/>
    <w:rsid w:val="00004E61"/>
    <w:rsid w:val="000059C1"/>
    <w:rsid w:val="00005D48"/>
    <w:rsid w:val="00015283"/>
    <w:rsid w:val="00015B32"/>
    <w:rsid w:val="00031840"/>
    <w:rsid w:val="00035B5C"/>
    <w:rsid w:val="000374B0"/>
    <w:rsid w:val="00040194"/>
    <w:rsid w:val="000457EA"/>
    <w:rsid w:val="000508EF"/>
    <w:rsid w:val="00051DA2"/>
    <w:rsid w:val="00055969"/>
    <w:rsid w:val="00060052"/>
    <w:rsid w:val="00060C0D"/>
    <w:rsid w:val="00060DDF"/>
    <w:rsid w:val="0006429B"/>
    <w:rsid w:val="00065246"/>
    <w:rsid w:val="0006599A"/>
    <w:rsid w:val="000672DD"/>
    <w:rsid w:val="00071B03"/>
    <w:rsid w:val="0007688E"/>
    <w:rsid w:val="0008154D"/>
    <w:rsid w:val="00086F92"/>
    <w:rsid w:val="00090AB1"/>
    <w:rsid w:val="000A2C1B"/>
    <w:rsid w:val="000A328B"/>
    <w:rsid w:val="000A525C"/>
    <w:rsid w:val="000A74A4"/>
    <w:rsid w:val="000B522C"/>
    <w:rsid w:val="000B727C"/>
    <w:rsid w:val="000C0AE5"/>
    <w:rsid w:val="000C386B"/>
    <w:rsid w:val="000C6E35"/>
    <w:rsid w:val="000D3096"/>
    <w:rsid w:val="000D6DB0"/>
    <w:rsid w:val="000E5ED1"/>
    <w:rsid w:val="000E6DD9"/>
    <w:rsid w:val="000F1CDA"/>
    <w:rsid w:val="000F2F28"/>
    <w:rsid w:val="0010666E"/>
    <w:rsid w:val="00111D26"/>
    <w:rsid w:val="00114709"/>
    <w:rsid w:val="00122FDE"/>
    <w:rsid w:val="00126D06"/>
    <w:rsid w:val="00130B37"/>
    <w:rsid w:val="00132EF8"/>
    <w:rsid w:val="00135550"/>
    <w:rsid w:val="00135F15"/>
    <w:rsid w:val="0013778A"/>
    <w:rsid w:val="00140343"/>
    <w:rsid w:val="00140A0D"/>
    <w:rsid w:val="00147C40"/>
    <w:rsid w:val="00155BAD"/>
    <w:rsid w:val="00157C43"/>
    <w:rsid w:val="00160118"/>
    <w:rsid w:val="001655AD"/>
    <w:rsid w:val="00165632"/>
    <w:rsid w:val="001662B3"/>
    <w:rsid w:val="00170C07"/>
    <w:rsid w:val="00172A6E"/>
    <w:rsid w:val="00175357"/>
    <w:rsid w:val="001834B8"/>
    <w:rsid w:val="00184E83"/>
    <w:rsid w:val="00190AA2"/>
    <w:rsid w:val="00195D24"/>
    <w:rsid w:val="001A4776"/>
    <w:rsid w:val="001A68F4"/>
    <w:rsid w:val="001A6FF1"/>
    <w:rsid w:val="001C0117"/>
    <w:rsid w:val="001D19B4"/>
    <w:rsid w:val="001D7E0D"/>
    <w:rsid w:val="001E731F"/>
    <w:rsid w:val="001E78B4"/>
    <w:rsid w:val="001F09C0"/>
    <w:rsid w:val="001F4032"/>
    <w:rsid w:val="00210E31"/>
    <w:rsid w:val="00212808"/>
    <w:rsid w:val="00215B4B"/>
    <w:rsid w:val="00221498"/>
    <w:rsid w:val="002223D8"/>
    <w:rsid w:val="0023380C"/>
    <w:rsid w:val="00234B1F"/>
    <w:rsid w:val="00235F71"/>
    <w:rsid w:val="002379C3"/>
    <w:rsid w:val="00243BAE"/>
    <w:rsid w:val="00246752"/>
    <w:rsid w:val="002511D3"/>
    <w:rsid w:val="002522D7"/>
    <w:rsid w:val="00255B16"/>
    <w:rsid w:val="00261461"/>
    <w:rsid w:val="0026211E"/>
    <w:rsid w:val="00272BED"/>
    <w:rsid w:val="00275AB8"/>
    <w:rsid w:val="002763D0"/>
    <w:rsid w:val="00281DB1"/>
    <w:rsid w:val="00284570"/>
    <w:rsid w:val="00286087"/>
    <w:rsid w:val="002877BB"/>
    <w:rsid w:val="002940FA"/>
    <w:rsid w:val="00295DA6"/>
    <w:rsid w:val="0029720C"/>
    <w:rsid w:val="002A2F10"/>
    <w:rsid w:val="002A692E"/>
    <w:rsid w:val="002C1597"/>
    <w:rsid w:val="002C2550"/>
    <w:rsid w:val="002C302E"/>
    <w:rsid w:val="002D05EB"/>
    <w:rsid w:val="002D0BB8"/>
    <w:rsid w:val="002D35B7"/>
    <w:rsid w:val="002D3D24"/>
    <w:rsid w:val="002E23C7"/>
    <w:rsid w:val="002E4785"/>
    <w:rsid w:val="002F1DD2"/>
    <w:rsid w:val="00312CC1"/>
    <w:rsid w:val="00323854"/>
    <w:rsid w:val="00334FA2"/>
    <w:rsid w:val="00343627"/>
    <w:rsid w:val="00350C25"/>
    <w:rsid w:val="00357AD7"/>
    <w:rsid w:val="00363D5C"/>
    <w:rsid w:val="00364051"/>
    <w:rsid w:val="003669F9"/>
    <w:rsid w:val="003674A7"/>
    <w:rsid w:val="003677C9"/>
    <w:rsid w:val="00396DA8"/>
    <w:rsid w:val="003A2C15"/>
    <w:rsid w:val="003A3F4C"/>
    <w:rsid w:val="003B1C0F"/>
    <w:rsid w:val="003B2B3D"/>
    <w:rsid w:val="003C6F7F"/>
    <w:rsid w:val="003D0540"/>
    <w:rsid w:val="003D3E4B"/>
    <w:rsid w:val="003D573B"/>
    <w:rsid w:val="003D765A"/>
    <w:rsid w:val="003E32B9"/>
    <w:rsid w:val="003E4DCF"/>
    <w:rsid w:val="003F1C7A"/>
    <w:rsid w:val="003F3FAF"/>
    <w:rsid w:val="003F4E67"/>
    <w:rsid w:val="004018DE"/>
    <w:rsid w:val="004107C1"/>
    <w:rsid w:val="00411149"/>
    <w:rsid w:val="00423E8A"/>
    <w:rsid w:val="00426E84"/>
    <w:rsid w:val="00447786"/>
    <w:rsid w:val="004573CF"/>
    <w:rsid w:val="0046159E"/>
    <w:rsid w:val="00463B4D"/>
    <w:rsid w:val="00471E29"/>
    <w:rsid w:val="004913E0"/>
    <w:rsid w:val="0049419A"/>
    <w:rsid w:val="004960F0"/>
    <w:rsid w:val="004B3A64"/>
    <w:rsid w:val="004B694D"/>
    <w:rsid w:val="004B6C41"/>
    <w:rsid w:val="004C6A7C"/>
    <w:rsid w:val="004D320F"/>
    <w:rsid w:val="004D465E"/>
    <w:rsid w:val="004E53F7"/>
    <w:rsid w:val="004F4367"/>
    <w:rsid w:val="004F57C3"/>
    <w:rsid w:val="00500C02"/>
    <w:rsid w:val="00514F43"/>
    <w:rsid w:val="00547D57"/>
    <w:rsid w:val="005627D8"/>
    <w:rsid w:val="00564F48"/>
    <w:rsid w:val="00581848"/>
    <w:rsid w:val="00590F25"/>
    <w:rsid w:val="0059205D"/>
    <w:rsid w:val="00597C33"/>
    <w:rsid w:val="005A1826"/>
    <w:rsid w:val="005A18A4"/>
    <w:rsid w:val="005B458C"/>
    <w:rsid w:val="005C1150"/>
    <w:rsid w:val="005C1E4A"/>
    <w:rsid w:val="005C3014"/>
    <w:rsid w:val="005C6BE4"/>
    <w:rsid w:val="005C71B3"/>
    <w:rsid w:val="005E11D7"/>
    <w:rsid w:val="005E23BA"/>
    <w:rsid w:val="005E4981"/>
    <w:rsid w:val="005E4DFF"/>
    <w:rsid w:val="005E5EAE"/>
    <w:rsid w:val="005E7534"/>
    <w:rsid w:val="005F0127"/>
    <w:rsid w:val="005F19FE"/>
    <w:rsid w:val="005F3E18"/>
    <w:rsid w:val="005F7AF2"/>
    <w:rsid w:val="0061252D"/>
    <w:rsid w:val="006135AA"/>
    <w:rsid w:val="00615355"/>
    <w:rsid w:val="00616865"/>
    <w:rsid w:val="00641394"/>
    <w:rsid w:val="006740D0"/>
    <w:rsid w:val="00674A2F"/>
    <w:rsid w:val="00696B03"/>
    <w:rsid w:val="006970B6"/>
    <w:rsid w:val="006A1D9E"/>
    <w:rsid w:val="006B363C"/>
    <w:rsid w:val="006D3B31"/>
    <w:rsid w:val="006E0879"/>
    <w:rsid w:val="006E0DCE"/>
    <w:rsid w:val="006E7DCF"/>
    <w:rsid w:val="006F1870"/>
    <w:rsid w:val="006F593D"/>
    <w:rsid w:val="00703622"/>
    <w:rsid w:val="00705B42"/>
    <w:rsid w:val="00711B29"/>
    <w:rsid w:val="00716CB5"/>
    <w:rsid w:val="0074463A"/>
    <w:rsid w:val="00744F5B"/>
    <w:rsid w:val="00760030"/>
    <w:rsid w:val="00762942"/>
    <w:rsid w:val="007709F1"/>
    <w:rsid w:val="007710D7"/>
    <w:rsid w:val="00772815"/>
    <w:rsid w:val="00781BAA"/>
    <w:rsid w:val="00795E7E"/>
    <w:rsid w:val="007A2545"/>
    <w:rsid w:val="007A4331"/>
    <w:rsid w:val="007B045B"/>
    <w:rsid w:val="007B47C6"/>
    <w:rsid w:val="007C446B"/>
    <w:rsid w:val="007E1367"/>
    <w:rsid w:val="007E17A3"/>
    <w:rsid w:val="007E1BEE"/>
    <w:rsid w:val="007E7738"/>
    <w:rsid w:val="00806483"/>
    <w:rsid w:val="008208AF"/>
    <w:rsid w:val="00834C9C"/>
    <w:rsid w:val="008367C8"/>
    <w:rsid w:val="00846BD5"/>
    <w:rsid w:val="00846D50"/>
    <w:rsid w:val="00847DBA"/>
    <w:rsid w:val="008571A9"/>
    <w:rsid w:val="00857248"/>
    <w:rsid w:val="008704A3"/>
    <w:rsid w:val="008822C4"/>
    <w:rsid w:val="00882AE4"/>
    <w:rsid w:val="00882F08"/>
    <w:rsid w:val="008863D0"/>
    <w:rsid w:val="008865BF"/>
    <w:rsid w:val="008873BA"/>
    <w:rsid w:val="00890D22"/>
    <w:rsid w:val="008911D5"/>
    <w:rsid w:val="00892C34"/>
    <w:rsid w:val="00894F96"/>
    <w:rsid w:val="0089780E"/>
    <w:rsid w:val="008A451D"/>
    <w:rsid w:val="008C3180"/>
    <w:rsid w:val="008D643E"/>
    <w:rsid w:val="008D7F57"/>
    <w:rsid w:val="008E6145"/>
    <w:rsid w:val="008E7A33"/>
    <w:rsid w:val="008F6E91"/>
    <w:rsid w:val="00901EE5"/>
    <w:rsid w:val="0090456D"/>
    <w:rsid w:val="00927C45"/>
    <w:rsid w:val="009404CC"/>
    <w:rsid w:val="009404FA"/>
    <w:rsid w:val="00962707"/>
    <w:rsid w:val="00974337"/>
    <w:rsid w:val="00976952"/>
    <w:rsid w:val="00987CDE"/>
    <w:rsid w:val="00995467"/>
    <w:rsid w:val="009A053E"/>
    <w:rsid w:val="009A337C"/>
    <w:rsid w:val="009B7A4C"/>
    <w:rsid w:val="009C1526"/>
    <w:rsid w:val="009D3C31"/>
    <w:rsid w:val="009D72EC"/>
    <w:rsid w:val="009D7C03"/>
    <w:rsid w:val="009F2A2E"/>
    <w:rsid w:val="009F44F2"/>
    <w:rsid w:val="00A0068D"/>
    <w:rsid w:val="00A037AF"/>
    <w:rsid w:val="00A11195"/>
    <w:rsid w:val="00A11FC7"/>
    <w:rsid w:val="00A20D98"/>
    <w:rsid w:val="00A238C2"/>
    <w:rsid w:val="00A26394"/>
    <w:rsid w:val="00A26BA5"/>
    <w:rsid w:val="00A27F75"/>
    <w:rsid w:val="00A31357"/>
    <w:rsid w:val="00A335FF"/>
    <w:rsid w:val="00A3672F"/>
    <w:rsid w:val="00A44BF9"/>
    <w:rsid w:val="00A47578"/>
    <w:rsid w:val="00A517C3"/>
    <w:rsid w:val="00A52FA7"/>
    <w:rsid w:val="00A61BEC"/>
    <w:rsid w:val="00A62427"/>
    <w:rsid w:val="00A72752"/>
    <w:rsid w:val="00A72DAA"/>
    <w:rsid w:val="00A8095E"/>
    <w:rsid w:val="00A82DCC"/>
    <w:rsid w:val="00A8567C"/>
    <w:rsid w:val="00A875AE"/>
    <w:rsid w:val="00A963E9"/>
    <w:rsid w:val="00AB3313"/>
    <w:rsid w:val="00AC144D"/>
    <w:rsid w:val="00AC4D16"/>
    <w:rsid w:val="00AC7B08"/>
    <w:rsid w:val="00AD08E4"/>
    <w:rsid w:val="00AE5589"/>
    <w:rsid w:val="00AE763A"/>
    <w:rsid w:val="00AF2282"/>
    <w:rsid w:val="00AF2C79"/>
    <w:rsid w:val="00AF7198"/>
    <w:rsid w:val="00B136D8"/>
    <w:rsid w:val="00B16173"/>
    <w:rsid w:val="00B203E2"/>
    <w:rsid w:val="00B2376C"/>
    <w:rsid w:val="00B345BD"/>
    <w:rsid w:val="00B36E22"/>
    <w:rsid w:val="00B411A6"/>
    <w:rsid w:val="00B46E5B"/>
    <w:rsid w:val="00B476F7"/>
    <w:rsid w:val="00B63113"/>
    <w:rsid w:val="00B67E28"/>
    <w:rsid w:val="00B7156D"/>
    <w:rsid w:val="00B72CCF"/>
    <w:rsid w:val="00B803ED"/>
    <w:rsid w:val="00B859B1"/>
    <w:rsid w:val="00B8703C"/>
    <w:rsid w:val="00B911DA"/>
    <w:rsid w:val="00B942FE"/>
    <w:rsid w:val="00BA6B96"/>
    <w:rsid w:val="00BA778E"/>
    <w:rsid w:val="00BB145C"/>
    <w:rsid w:val="00BB23E4"/>
    <w:rsid w:val="00BB3285"/>
    <w:rsid w:val="00BB3747"/>
    <w:rsid w:val="00BB784A"/>
    <w:rsid w:val="00BC1319"/>
    <w:rsid w:val="00BC4C05"/>
    <w:rsid w:val="00BC59CD"/>
    <w:rsid w:val="00BC654C"/>
    <w:rsid w:val="00BC6657"/>
    <w:rsid w:val="00BD3F94"/>
    <w:rsid w:val="00BE3473"/>
    <w:rsid w:val="00BF1B6E"/>
    <w:rsid w:val="00C016A6"/>
    <w:rsid w:val="00C14313"/>
    <w:rsid w:val="00C2280C"/>
    <w:rsid w:val="00C25ADB"/>
    <w:rsid w:val="00C419AF"/>
    <w:rsid w:val="00C42C80"/>
    <w:rsid w:val="00C45CF7"/>
    <w:rsid w:val="00C512C1"/>
    <w:rsid w:val="00C53976"/>
    <w:rsid w:val="00C560B5"/>
    <w:rsid w:val="00C63B0D"/>
    <w:rsid w:val="00C66E99"/>
    <w:rsid w:val="00C715DD"/>
    <w:rsid w:val="00C75E13"/>
    <w:rsid w:val="00C8771C"/>
    <w:rsid w:val="00C94EF0"/>
    <w:rsid w:val="00C9569C"/>
    <w:rsid w:val="00CA04D5"/>
    <w:rsid w:val="00CA44BF"/>
    <w:rsid w:val="00CB1215"/>
    <w:rsid w:val="00CB14C4"/>
    <w:rsid w:val="00CB2D3B"/>
    <w:rsid w:val="00CB75EE"/>
    <w:rsid w:val="00CC4456"/>
    <w:rsid w:val="00CE31FD"/>
    <w:rsid w:val="00CE57C2"/>
    <w:rsid w:val="00CE6C27"/>
    <w:rsid w:val="00CF0774"/>
    <w:rsid w:val="00CF10F4"/>
    <w:rsid w:val="00CF1277"/>
    <w:rsid w:val="00CF4557"/>
    <w:rsid w:val="00D00AA2"/>
    <w:rsid w:val="00D17B77"/>
    <w:rsid w:val="00D32636"/>
    <w:rsid w:val="00D32650"/>
    <w:rsid w:val="00D33D21"/>
    <w:rsid w:val="00D340AB"/>
    <w:rsid w:val="00D422BD"/>
    <w:rsid w:val="00D43229"/>
    <w:rsid w:val="00D43AF7"/>
    <w:rsid w:val="00D45676"/>
    <w:rsid w:val="00D542D4"/>
    <w:rsid w:val="00D76E77"/>
    <w:rsid w:val="00D82044"/>
    <w:rsid w:val="00D82875"/>
    <w:rsid w:val="00D95966"/>
    <w:rsid w:val="00DA294B"/>
    <w:rsid w:val="00DA6EA3"/>
    <w:rsid w:val="00DB01BD"/>
    <w:rsid w:val="00DC098F"/>
    <w:rsid w:val="00DC5B57"/>
    <w:rsid w:val="00DC70D6"/>
    <w:rsid w:val="00DC76EE"/>
    <w:rsid w:val="00DD3D02"/>
    <w:rsid w:val="00DD6106"/>
    <w:rsid w:val="00DE4F9A"/>
    <w:rsid w:val="00DE7963"/>
    <w:rsid w:val="00E126D6"/>
    <w:rsid w:val="00E12C15"/>
    <w:rsid w:val="00E14710"/>
    <w:rsid w:val="00E215FA"/>
    <w:rsid w:val="00E26798"/>
    <w:rsid w:val="00E429AD"/>
    <w:rsid w:val="00E4358E"/>
    <w:rsid w:val="00E45BA0"/>
    <w:rsid w:val="00E51536"/>
    <w:rsid w:val="00E629FF"/>
    <w:rsid w:val="00E62D75"/>
    <w:rsid w:val="00E65161"/>
    <w:rsid w:val="00E66893"/>
    <w:rsid w:val="00E76EC2"/>
    <w:rsid w:val="00E83555"/>
    <w:rsid w:val="00E869B7"/>
    <w:rsid w:val="00E92507"/>
    <w:rsid w:val="00E971FC"/>
    <w:rsid w:val="00EA0586"/>
    <w:rsid w:val="00EA38A5"/>
    <w:rsid w:val="00EB5C1F"/>
    <w:rsid w:val="00EC7825"/>
    <w:rsid w:val="00ED447A"/>
    <w:rsid w:val="00EE5DE1"/>
    <w:rsid w:val="00EE7334"/>
    <w:rsid w:val="00EF2BC3"/>
    <w:rsid w:val="00EF3F07"/>
    <w:rsid w:val="00F016B9"/>
    <w:rsid w:val="00F127F0"/>
    <w:rsid w:val="00F12AEE"/>
    <w:rsid w:val="00F1703C"/>
    <w:rsid w:val="00F225AD"/>
    <w:rsid w:val="00F256D0"/>
    <w:rsid w:val="00F26501"/>
    <w:rsid w:val="00F30BDB"/>
    <w:rsid w:val="00F337A7"/>
    <w:rsid w:val="00F3395E"/>
    <w:rsid w:val="00F3523C"/>
    <w:rsid w:val="00F3704A"/>
    <w:rsid w:val="00F37E30"/>
    <w:rsid w:val="00F44204"/>
    <w:rsid w:val="00F44799"/>
    <w:rsid w:val="00F513DB"/>
    <w:rsid w:val="00F60034"/>
    <w:rsid w:val="00F70D36"/>
    <w:rsid w:val="00F90344"/>
    <w:rsid w:val="00FA0AD2"/>
    <w:rsid w:val="00FC745E"/>
    <w:rsid w:val="00FC76B3"/>
    <w:rsid w:val="00FD6397"/>
    <w:rsid w:val="00FE1845"/>
    <w:rsid w:val="00FF195A"/>
    <w:rsid w:val="00FF2019"/>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6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0457EA"/>
    <w:rPr>
      <w:sz w:val="16"/>
      <w:szCs w:val="16"/>
    </w:rPr>
  </w:style>
  <w:style w:type="paragraph" w:styleId="CommentText">
    <w:name w:val="annotation text"/>
    <w:basedOn w:val="Normal"/>
    <w:link w:val="CommentTextChar"/>
    <w:uiPriority w:val="99"/>
    <w:unhideWhenUsed/>
    <w:rsid w:val="000457EA"/>
    <w:rPr>
      <w:sz w:val="20"/>
      <w:szCs w:val="20"/>
    </w:rPr>
  </w:style>
  <w:style w:type="character" w:customStyle="1" w:styleId="CommentTextChar">
    <w:name w:val="Comment Text Char"/>
    <w:basedOn w:val="DefaultParagraphFont"/>
    <w:link w:val="CommentText"/>
    <w:uiPriority w:val="99"/>
    <w:rsid w:val="000457EA"/>
  </w:style>
  <w:style w:type="paragraph" w:styleId="CommentSubject">
    <w:name w:val="annotation subject"/>
    <w:basedOn w:val="CommentText"/>
    <w:next w:val="CommentText"/>
    <w:link w:val="CommentSubjectChar"/>
    <w:uiPriority w:val="99"/>
    <w:semiHidden/>
    <w:unhideWhenUsed/>
    <w:rsid w:val="000457EA"/>
    <w:rPr>
      <w:b/>
      <w:bCs/>
    </w:rPr>
  </w:style>
  <w:style w:type="character" w:customStyle="1" w:styleId="CommentSubjectChar">
    <w:name w:val="Comment Subject Char"/>
    <w:link w:val="CommentSubject"/>
    <w:uiPriority w:val="99"/>
    <w:semiHidden/>
    <w:rsid w:val="000457EA"/>
    <w:rPr>
      <w:b/>
      <w:bCs/>
    </w:rPr>
  </w:style>
  <w:style w:type="paragraph" w:styleId="Revision">
    <w:name w:val="Revision"/>
    <w:hidden/>
    <w:uiPriority w:val="99"/>
    <w:semiHidden/>
    <w:rsid w:val="00CE31FD"/>
    <w:rPr>
      <w:sz w:val="24"/>
      <w:szCs w:val="24"/>
    </w:rPr>
  </w:style>
  <w:style w:type="character" w:customStyle="1" w:styleId="ListParagraphChar">
    <w:name w:val="List Paragraph Char"/>
    <w:link w:val="ListParagraph"/>
    <w:uiPriority w:val="34"/>
    <w:locked/>
    <w:rsid w:val="00CF1277"/>
    <w:rPr>
      <w:sz w:val="24"/>
      <w:szCs w:val="24"/>
    </w:rPr>
  </w:style>
  <w:style w:type="paragraph" w:customStyle="1" w:styleId="Heading">
    <w:name w:val="Heading"/>
    <w:next w:val="Normal"/>
    <w:rsid w:val="00772815"/>
    <w:pPr>
      <w:keepNext/>
      <w:pBdr>
        <w:top w:val="nil"/>
        <w:left w:val="nil"/>
        <w:bottom w:val="nil"/>
        <w:right w:val="nil"/>
        <w:between w:val="nil"/>
        <w:bar w:val="nil"/>
      </w:pBdr>
      <w:spacing w:before="240" w:after="60"/>
      <w:outlineLvl w:val="0"/>
    </w:pPr>
    <w:rPr>
      <w:rFonts w:ascii="Calibri" w:eastAsia="Calibri" w:hAnsi="Calibri" w:cs="Calibri"/>
      <w:b/>
      <w:bCs/>
      <w:color w:val="000000"/>
      <w:kern w:val="32"/>
      <w:sz w:val="32"/>
      <w:szCs w:val="32"/>
      <w:u w:color="000000"/>
      <w:bdr w:val="nil"/>
    </w:rPr>
  </w:style>
  <w:style w:type="character" w:customStyle="1" w:styleId="UnresolvedMention1">
    <w:name w:val="Unresolved Mention1"/>
    <w:uiPriority w:val="99"/>
    <w:semiHidden/>
    <w:unhideWhenUsed/>
    <w:rsid w:val="0006599A"/>
    <w:rPr>
      <w:color w:val="605E5C"/>
      <w:shd w:val="clear" w:color="auto" w:fill="E1DFDD"/>
    </w:rPr>
  </w:style>
  <w:style w:type="character" w:customStyle="1" w:styleId="UnresolvedMention">
    <w:name w:val="Unresolved Mention"/>
    <w:basedOn w:val="DefaultParagraphFont"/>
    <w:uiPriority w:val="99"/>
    <w:semiHidden/>
    <w:unhideWhenUsed/>
    <w:rsid w:val="00147C40"/>
    <w:rPr>
      <w:color w:val="605E5C"/>
      <w:shd w:val="clear" w:color="auto" w:fill="E1DFDD"/>
    </w:rPr>
  </w:style>
  <w:style w:type="paragraph" w:styleId="FootnoteText">
    <w:name w:val="footnote text"/>
    <w:basedOn w:val="Normal"/>
    <w:link w:val="FootnoteTextChar"/>
    <w:semiHidden/>
    <w:unhideWhenUsed/>
    <w:rsid w:val="00EB5C1F"/>
    <w:rPr>
      <w:rFonts w:ascii="Garamond" w:hAnsi="Garamond"/>
      <w:sz w:val="20"/>
      <w:szCs w:val="20"/>
    </w:rPr>
  </w:style>
  <w:style w:type="character" w:customStyle="1" w:styleId="FootnoteTextChar">
    <w:name w:val="Footnote Text Char"/>
    <w:basedOn w:val="DefaultParagraphFont"/>
    <w:link w:val="FootnoteText"/>
    <w:semiHidden/>
    <w:rsid w:val="00EB5C1F"/>
    <w:rPr>
      <w:rFonts w:ascii="Garamond" w:hAnsi="Garamond"/>
    </w:rPr>
  </w:style>
  <w:style w:type="character" w:styleId="FootnoteReference">
    <w:name w:val="footnote reference"/>
    <w:semiHidden/>
    <w:unhideWhenUsed/>
    <w:rsid w:val="00EB5C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0457EA"/>
    <w:rPr>
      <w:sz w:val="16"/>
      <w:szCs w:val="16"/>
    </w:rPr>
  </w:style>
  <w:style w:type="paragraph" w:styleId="CommentText">
    <w:name w:val="annotation text"/>
    <w:basedOn w:val="Normal"/>
    <w:link w:val="CommentTextChar"/>
    <w:uiPriority w:val="99"/>
    <w:unhideWhenUsed/>
    <w:rsid w:val="000457EA"/>
    <w:rPr>
      <w:sz w:val="20"/>
      <w:szCs w:val="20"/>
    </w:rPr>
  </w:style>
  <w:style w:type="character" w:customStyle="1" w:styleId="CommentTextChar">
    <w:name w:val="Comment Text Char"/>
    <w:basedOn w:val="DefaultParagraphFont"/>
    <w:link w:val="CommentText"/>
    <w:uiPriority w:val="99"/>
    <w:rsid w:val="000457EA"/>
  </w:style>
  <w:style w:type="paragraph" w:styleId="CommentSubject">
    <w:name w:val="annotation subject"/>
    <w:basedOn w:val="CommentText"/>
    <w:next w:val="CommentText"/>
    <w:link w:val="CommentSubjectChar"/>
    <w:uiPriority w:val="99"/>
    <w:semiHidden/>
    <w:unhideWhenUsed/>
    <w:rsid w:val="000457EA"/>
    <w:rPr>
      <w:b/>
      <w:bCs/>
    </w:rPr>
  </w:style>
  <w:style w:type="character" w:customStyle="1" w:styleId="CommentSubjectChar">
    <w:name w:val="Comment Subject Char"/>
    <w:link w:val="CommentSubject"/>
    <w:uiPriority w:val="99"/>
    <w:semiHidden/>
    <w:rsid w:val="000457EA"/>
    <w:rPr>
      <w:b/>
      <w:bCs/>
    </w:rPr>
  </w:style>
  <w:style w:type="paragraph" w:styleId="Revision">
    <w:name w:val="Revision"/>
    <w:hidden/>
    <w:uiPriority w:val="99"/>
    <w:semiHidden/>
    <w:rsid w:val="00CE31FD"/>
    <w:rPr>
      <w:sz w:val="24"/>
      <w:szCs w:val="24"/>
    </w:rPr>
  </w:style>
  <w:style w:type="character" w:customStyle="1" w:styleId="ListParagraphChar">
    <w:name w:val="List Paragraph Char"/>
    <w:link w:val="ListParagraph"/>
    <w:uiPriority w:val="34"/>
    <w:locked/>
    <w:rsid w:val="00CF1277"/>
    <w:rPr>
      <w:sz w:val="24"/>
      <w:szCs w:val="24"/>
    </w:rPr>
  </w:style>
  <w:style w:type="paragraph" w:customStyle="1" w:styleId="Heading">
    <w:name w:val="Heading"/>
    <w:next w:val="Normal"/>
    <w:rsid w:val="00772815"/>
    <w:pPr>
      <w:keepNext/>
      <w:pBdr>
        <w:top w:val="nil"/>
        <w:left w:val="nil"/>
        <w:bottom w:val="nil"/>
        <w:right w:val="nil"/>
        <w:between w:val="nil"/>
        <w:bar w:val="nil"/>
      </w:pBdr>
      <w:spacing w:before="240" w:after="60"/>
      <w:outlineLvl w:val="0"/>
    </w:pPr>
    <w:rPr>
      <w:rFonts w:ascii="Calibri" w:eastAsia="Calibri" w:hAnsi="Calibri" w:cs="Calibri"/>
      <w:b/>
      <w:bCs/>
      <w:color w:val="000000"/>
      <w:kern w:val="32"/>
      <w:sz w:val="32"/>
      <w:szCs w:val="32"/>
      <w:u w:color="000000"/>
      <w:bdr w:val="nil"/>
    </w:rPr>
  </w:style>
  <w:style w:type="character" w:customStyle="1" w:styleId="UnresolvedMention1">
    <w:name w:val="Unresolved Mention1"/>
    <w:uiPriority w:val="99"/>
    <w:semiHidden/>
    <w:unhideWhenUsed/>
    <w:rsid w:val="0006599A"/>
    <w:rPr>
      <w:color w:val="605E5C"/>
      <w:shd w:val="clear" w:color="auto" w:fill="E1DFDD"/>
    </w:rPr>
  </w:style>
  <w:style w:type="character" w:customStyle="1" w:styleId="UnresolvedMention">
    <w:name w:val="Unresolved Mention"/>
    <w:basedOn w:val="DefaultParagraphFont"/>
    <w:uiPriority w:val="99"/>
    <w:semiHidden/>
    <w:unhideWhenUsed/>
    <w:rsid w:val="00147C40"/>
    <w:rPr>
      <w:color w:val="605E5C"/>
      <w:shd w:val="clear" w:color="auto" w:fill="E1DFDD"/>
    </w:rPr>
  </w:style>
  <w:style w:type="paragraph" w:styleId="FootnoteText">
    <w:name w:val="footnote text"/>
    <w:basedOn w:val="Normal"/>
    <w:link w:val="FootnoteTextChar"/>
    <w:semiHidden/>
    <w:unhideWhenUsed/>
    <w:rsid w:val="00EB5C1F"/>
    <w:rPr>
      <w:rFonts w:ascii="Garamond" w:hAnsi="Garamond"/>
      <w:sz w:val="20"/>
      <w:szCs w:val="20"/>
    </w:rPr>
  </w:style>
  <w:style w:type="character" w:customStyle="1" w:styleId="FootnoteTextChar">
    <w:name w:val="Footnote Text Char"/>
    <w:basedOn w:val="DefaultParagraphFont"/>
    <w:link w:val="FootnoteText"/>
    <w:semiHidden/>
    <w:rsid w:val="00EB5C1F"/>
    <w:rPr>
      <w:rFonts w:ascii="Garamond" w:hAnsi="Garamond"/>
    </w:rPr>
  </w:style>
  <w:style w:type="character" w:styleId="FootnoteReference">
    <w:name w:val="footnote reference"/>
    <w:semiHidden/>
    <w:unhideWhenUsed/>
    <w:rsid w:val="00EB5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57334802">
      <w:bodyDiv w:val="1"/>
      <w:marLeft w:val="0"/>
      <w:marRight w:val="0"/>
      <w:marTop w:val="0"/>
      <w:marBottom w:val="0"/>
      <w:divBdr>
        <w:top w:val="none" w:sz="0" w:space="0" w:color="auto"/>
        <w:left w:val="none" w:sz="0" w:space="0" w:color="auto"/>
        <w:bottom w:val="none" w:sz="0" w:space="0" w:color="auto"/>
        <w:right w:val="none" w:sz="0" w:space="0" w:color="auto"/>
      </w:divBdr>
    </w:div>
    <w:div w:id="521162471">
      <w:bodyDiv w:val="1"/>
      <w:marLeft w:val="0"/>
      <w:marRight w:val="0"/>
      <w:marTop w:val="0"/>
      <w:marBottom w:val="0"/>
      <w:divBdr>
        <w:top w:val="none" w:sz="0" w:space="0" w:color="auto"/>
        <w:left w:val="none" w:sz="0" w:space="0" w:color="auto"/>
        <w:bottom w:val="none" w:sz="0" w:space="0" w:color="auto"/>
        <w:right w:val="none" w:sz="0" w:space="0" w:color="auto"/>
      </w:divBdr>
    </w:div>
    <w:div w:id="695273745">
      <w:bodyDiv w:val="1"/>
      <w:marLeft w:val="0"/>
      <w:marRight w:val="0"/>
      <w:marTop w:val="0"/>
      <w:marBottom w:val="0"/>
      <w:divBdr>
        <w:top w:val="none" w:sz="0" w:space="0" w:color="auto"/>
        <w:left w:val="none" w:sz="0" w:space="0" w:color="auto"/>
        <w:bottom w:val="none" w:sz="0" w:space="0" w:color="auto"/>
        <w:right w:val="none" w:sz="0" w:space="0" w:color="auto"/>
      </w:divBdr>
    </w:div>
    <w:div w:id="800807487">
      <w:bodyDiv w:val="1"/>
      <w:marLeft w:val="0"/>
      <w:marRight w:val="0"/>
      <w:marTop w:val="0"/>
      <w:marBottom w:val="0"/>
      <w:divBdr>
        <w:top w:val="none" w:sz="0" w:space="0" w:color="auto"/>
        <w:left w:val="none" w:sz="0" w:space="0" w:color="auto"/>
        <w:bottom w:val="none" w:sz="0" w:space="0" w:color="auto"/>
        <w:right w:val="none" w:sz="0" w:space="0" w:color="auto"/>
      </w:divBdr>
    </w:div>
    <w:div w:id="12860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ian.Lappin@fda.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la.Mizrachi@fda.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0E15-0329-4242-9F2E-A08FA7F150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7A0AA6-9ED4-4BBA-9EAE-15E8C63E8519}">
  <ds:schemaRefs>
    <ds:schemaRef ds:uri="http://schemas.microsoft.com/sharepoint/v3/contenttype/forms"/>
  </ds:schemaRefs>
</ds:datastoreItem>
</file>

<file path=customXml/itemProps3.xml><?xml version="1.0" encoding="utf-8"?>
<ds:datastoreItem xmlns:ds="http://schemas.openxmlformats.org/officeDocument/2006/customXml" ds:itemID="{8682473A-3A1F-4C3B-920E-DD0E4CEF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EB895D-9C9C-48FE-AFDB-4BB645D3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22248</CharactersWithSpaces>
  <SharedDoc>false</SharedDoc>
  <HLinks>
    <vt:vector size="12" baseType="variant">
      <vt:variant>
        <vt:i4>4259944</vt:i4>
      </vt:variant>
      <vt:variant>
        <vt:i4>3</vt:i4>
      </vt:variant>
      <vt:variant>
        <vt:i4>0</vt:i4>
      </vt:variant>
      <vt:variant>
        <vt:i4>5</vt:i4>
      </vt:variant>
      <vt:variant>
        <vt:lpwstr>mailto:Paula.Rausch@fda.hhs.gov</vt:lpwstr>
      </vt:variant>
      <vt:variant>
        <vt:lpwstr/>
      </vt:variant>
      <vt:variant>
        <vt:i4>5701730</vt:i4>
      </vt:variant>
      <vt:variant>
        <vt:i4>0</vt:i4>
      </vt:variant>
      <vt:variant>
        <vt:i4>0</vt:i4>
      </vt:variant>
      <vt:variant>
        <vt:i4>5</vt:i4>
      </vt:variant>
      <vt:variant>
        <vt:lpwstr>mailto:Ila.Mizrachi@fda.hhs.gov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Rausch, Paula (FDA)</dc:creator>
  <cp:keywords>MERC OMB MEP</cp:keywords>
  <cp:lastModifiedBy>SYSTEM</cp:lastModifiedBy>
  <cp:revision>2</cp:revision>
  <cp:lastPrinted>2010-11-01T17:07:00Z</cp:lastPrinted>
  <dcterms:created xsi:type="dcterms:W3CDTF">2019-06-17T16:37:00Z</dcterms:created>
  <dcterms:modified xsi:type="dcterms:W3CDTF">2019-06-17T16:37:00Z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