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9DE0E" w14:textId="77777777" w:rsidR="006F243C" w:rsidRPr="00DF5E91" w:rsidRDefault="006F243C" w:rsidP="006F243C">
      <w:pPr>
        <w:pStyle w:val="Heading2"/>
        <w:tabs>
          <w:tab w:val="left" w:pos="900"/>
        </w:tabs>
        <w:ind w:right="-180"/>
      </w:pPr>
      <w:bookmarkStart w:id="0" w:name="_GoBack"/>
      <w:bookmarkEnd w:id="0"/>
      <w:r w:rsidRPr="00DF5E91">
        <w:t>FDA DOCUMENTATION FOR THE GENERIC CLEARANCE</w:t>
      </w:r>
    </w:p>
    <w:p w14:paraId="7D389E2B" w14:textId="77777777" w:rsidR="006F243C" w:rsidRPr="00DF5E91" w:rsidRDefault="006F243C" w:rsidP="006F243C">
      <w:pPr>
        <w:jc w:val="center"/>
      </w:pPr>
      <w:r w:rsidRPr="00DF5E91">
        <w:rPr>
          <w:b/>
        </w:rPr>
        <w:t>OF COMMUNICATION TESTING FOR DRUG PRODUCTS (0910-0695)</w:t>
      </w:r>
    </w:p>
    <w:p w14:paraId="0018C4B9" w14:textId="77777777" w:rsidR="003F1C7A" w:rsidRDefault="009D0571">
      <w:r w:rsidRPr="009404FA">
        <w:rPr>
          <w:noProof/>
          <w:sz w:val="18"/>
          <w:szCs w:val="18"/>
        </w:rPr>
        <mc:AlternateContent>
          <mc:Choice Requires="wps">
            <w:drawing>
              <wp:anchor distT="0" distB="0" distL="114300" distR="114300" simplePos="0" relativeHeight="251657728" behindDoc="0" locked="0" layoutInCell="1" allowOverlap="1" wp14:anchorId="0CFFC487" wp14:editId="4B2316FB">
                <wp:simplePos x="0" y="0"/>
                <wp:positionH relativeFrom="column">
                  <wp:posOffset>-114300</wp:posOffset>
                </wp:positionH>
                <wp:positionV relativeFrom="paragraph">
                  <wp:posOffset>48260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1B7E09"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8pt" to="45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" strokeweight="1.5pt"/>
            </w:pict>
          </mc:Fallback>
        </mc:AlternateContent>
      </w:r>
    </w:p>
    <w:p w14:paraId="513F8C4D" w14:textId="77777777" w:rsidR="00310E51" w:rsidRDefault="00310E51" w:rsidP="005E23BA">
      <w:pPr>
        <w:spacing w:before="120"/>
        <w:rPr>
          <w:b/>
        </w:rPr>
      </w:pPr>
    </w:p>
    <w:p w14:paraId="0DF64E6D" w14:textId="77777777" w:rsidR="002009DF" w:rsidRDefault="003F1C7A" w:rsidP="002009DF">
      <w:r>
        <w:rPr>
          <w:b/>
        </w:rPr>
        <w:t>TITLE OF INFORMATION COLLECTION:</w:t>
      </w:r>
      <w:r>
        <w:t xml:space="preserve">  </w:t>
      </w:r>
      <w:r w:rsidR="002009DF">
        <w:t xml:space="preserve">Healthcare Professional Interviews: </w:t>
      </w:r>
    </w:p>
    <w:p w14:paraId="3D2B74A7" w14:textId="2B849D3A" w:rsidR="00614F6F" w:rsidRPr="006C5905" w:rsidRDefault="000E48F4" w:rsidP="002009DF">
      <w:pPr>
        <w:rPr>
          <w:bCs/>
        </w:rPr>
      </w:pPr>
      <w:r>
        <w:t xml:space="preserve">Data Disclosures in </w:t>
      </w:r>
      <w:r w:rsidRPr="0092462E">
        <w:t>Communications</w:t>
      </w:r>
      <w:r>
        <w:t xml:space="preserve"> </w:t>
      </w:r>
      <w:r w:rsidRPr="00F14293">
        <w:t>about Prescription Drugs</w:t>
      </w:r>
    </w:p>
    <w:p w14:paraId="47270854" w14:textId="77777777" w:rsidR="003F1C7A" w:rsidRDefault="003F1C7A"/>
    <w:p w14:paraId="3F775A4E" w14:textId="77777777" w:rsidR="003F1C7A" w:rsidRDefault="003F1C7A">
      <w:pPr>
        <w:spacing w:after="120"/>
      </w:pPr>
      <w:r>
        <w:rPr>
          <w:b/>
        </w:rPr>
        <w:t>DESCRIPTION OF THIS SPECIFIC COLLECTION</w:t>
      </w:r>
      <w:r>
        <w:t xml:space="preserve"> </w:t>
      </w:r>
    </w:p>
    <w:p w14:paraId="60D0295E" w14:textId="77777777" w:rsidR="003F1C7A" w:rsidRDefault="0049419A" w:rsidP="00F12AEE">
      <w:pPr>
        <w:numPr>
          <w:ilvl w:val="0"/>
          <w:numId w:val="15"/>
        </w:numPr>
        <w:tabs>
          <w:tab w:val="num" w:pos="720"/>
        </w:tabs>
        <w:ind w:left="360" w:firstLine="0"/>
      </w:pPr>
      <w:r w:rsidRPr="00A43A42">
        <w:rPr>
          <w:b/>
        </w:rPr>
        <w:t>Statement of n</w:t>
      </w:r>
      <w:r w:rsidR="00F12AEE" w:rsidRPr="00A43A42">
        <w:rPr>
          <w:b/>
        </w:rPr>
        <w:t>eed</w:t>
      </w:r>
      <w:r w:rsidR="003F1C7A" w:rsidRPr="00A43A42">
        <w:rPr>
          <w:b/>
        </w:rPr>
        <w:t>:</w:t>
      </w:r>
      <w:r w:rsidR="003F1C7A" w:rsidRPr="00A43A42">
        <w:t xml:space="preserve">  </w:t>
      </w:r>
    </w:p>
    <w:p w14:paraId="2CCFDC7B" w14:textId="77777777" w:rsidR="00BA5C32" w:rsidRPr="00A43A42" w:rsidRDefault="00BA5C32" w:rsidP="00BA5C32">
      <w:pPr>
        <w:ind w:left="360"/>
      </w:pPr>
    </w:p>
    <w:p w14:paraId="6AC09CA2" w14:textId="2D503015" w:rsidR="000E48F4" w:rsidRDefault="000E48F4" w:rsidP="005B0D6D">
      <w:pPr>
        <w:pStyle w:val="Default"/>
        <w:ind w:left="720"/>
        <w:rPr>
          <w:rFonts w:ascii="Times New Roman" w:hAnsi="Times New Roman" w:cs="Times New Roman"/>
          <w:snapToGrid w:val="0"/>
        </w:rPr>
      </w:pPr>
      <w:r>
        <w:rPr>
          <w:rFonts w:ascii="Times New Roman" w:hAnsi="Times New Roman" w:cs="Times New Roman"/>
        </w:rPr>
        <w:t>Pharmaceutical firms</w:t>
      </w:r>
      <w:r w:rsidRPr="00F14293">
        <w:rPr>
          <w:rFonts w:ascii="Times New Roman" w:hAnsi="Times New Roman" w:cs="Times New Roman"/>
        </w:rPr>
        <w:t xml:space="preserve"> </w:t>
      </w:r>
      <w:r>
        <w:rPr>
          <w:rFonts w:ascii="Times New Roman" w:hAnsi="Times New Roman" w:cs="Times New Roman"/>
        </w:rPr>
        <w:t>may choose to disseminate publications to healthcare professionals that include</w:t>
      </w:r>
      <w:r w:rsidRPr="00F14293">
        <w:rPr>
          <w:rFonts w:ascii="Times New Roman" w:hAnsi="Times New Roman" w:cs="Times New Roman"/>
        </w:rPr>
        <w:t xml:space="preserve"> data on unapproved uses of approved products that </w:t>
      </w:r>
      <w:r w:rsidRPr="0092462E">
        <w:rPr>
          <w:rFonts w:ascii="Times New Roman" w:hAnsi="Times New Roman" w:cs="Times New Roman"/>
        </w:rPr>
        <w:t>are</w:t>
      </w:r>
      <w:r w:rsidRPr="00F14293">
        <w:rPr>
          <w:rFonts w:ascii="Times New Roman" w:hAnsi="Times New Roman" w:cs="Times New Roman"/>
        </w:rPr>
        <w:t xml:space="preserve"> not contained in FDA-approved labeling. At the same time, published data that </w:t>
      </w:r>
      <w:r w:rsidRPr="0092462E">
        <w:rPr>
          <w:rFonts w:ascii="Times New Roman" w:hAnsi="Times New Roman" w:cs="Times New Roman"/>
        </w:rPr>
        <w:t>are</w:t>
      </w:r>
      <w:r w:rsidRPr="00B12732">
        <w:rPr>
          <w:rFonts w:ascii="Times New Roman" w:hAnsi="Times New Roman" w:cs="Times New Roman"/>
        </w:rPr>
        <w:t xml:space="preserve"> </w:t>
      </w:r>
      <w:r>
        <w:rPr>
          <w:rFonts w:ascii="Times New Roman" w:hAnsi="Times New Roman" w:cs="Times New Roman"/>
        </w:rPr>
        <w:t xml:space="preserve">not </w:t>
      </w:r>
      <w:r w:rsidRPr="00B12732">
        <w:rPr>
          <w:rFonts w:ascii="Times New Roman" w:hAnsi="Times New Roman" w:cs="Times New Roman"/>
        </w:rPr>
        <w:t xml:space="preserve">supportive </w:t>
      </w:r>
      <w:r>
        <w:rPr>
          <w:rFonts w:ascii="Times New Roman" w:hAnsi="Times New Roman" w:cs="Times New Roman"/>
        </w:rPr>
        <w:t>of what is presented in the information disseminated by the pharmaceutical firm</w:t>
      </w:r>
      <w:r w:rsidRPr="00F14293">
        <w:rPr>
          <w:rFonts w:ascii="Times New Roman" w:hAnsi="Times New Roman" w:cs="Times New Roman"/>
        </w:rPr>
        <w:t xml:space="preserve"> may also exist.</w:t>
      </w:r>
      <w:r w:rsidRPr="00F14293">
        <w:t xml:space="preserve"> </w:t>
      </w:r>
      <w:r w:rsidRPr="00F14293">
        <w:rPr>
          <w:rFonts w:ascii="Times New Roman" w:hAnsi="Times New Roman" w:cs="Times New Roman"/>
        </w:rPr>
        <w:t xml:space="preserve">The </w:t>
      </w:r>
      <w:r w:rsidRPr="00F14293">
        <w:rPr>
          <w:rFonts w:ascii="Times New Roman" w:hAnsi="Times New Roman" w:cs="Times New Roman"/>
          <w:bCs/>
          <w:i/>
        </w:rPr>
        <w:t>Distributing Scientific and Medical Publications on Unapproved New Uses — Recommended Practices</w:t>
      </w:r>
      <w:r w:rsidRPr="00F14293">
        <w:rPr>
          <w:rFonts w:ascii="Times New Roman" w:hAnsi="Times New Roman" w:cs="Times New Roman"/>
          <w:bCs/>
        </w:rPr>
        <w:t xml:space="preserve"> revised draft guidance (2014)</w:t>
      </w:r>
      <w:r w:rsidRPr="0092462E">
        <w:rPr>
          <w:rStyle w:val="FootnoteReference"/>
          <w:rFonts w:ascii="Times New Roman" w:hAnsi="Times New Roman" w:cs="Times New Roman"/>
          <w:bCs/>
          <w:vertAlign w:val="superscript"/>
        </w:rPr>
        <w:footnoteReference w:id="1"/>
      </w:r>
      <w:r w:rsidRPr="00F14293">
        <w:rPr>
          <w:rFonts w:ascii="Times New Roman" w:hAnsi="Times New Roman" w:cs="Times New Roman"/>
        </w:rPr>
        <w:t xml:space="preserve">, </w:t>
      </w:r>
      <w:r>
        <w:rPr>
          <w:rFonts w:ascii="Times New Roman" w:hAnsi="Times New Roman" w:cs="Times New Roman"/>
        </w:rPr>
        <w:t>recommends</w:t>
      </w:r>
      <w:r w:rsidRPr="00F14293">
        <w:rPr>
          <w:rFonts w:ascii="Times New Roman" w:hAnsi="Times New Roman" w:cs="Times New Roman"/>
        </w:rPr>
        <w:t xml:space="preserve"> that information such as reprints, clinical practice guidelines, and textbooks that discuss unapproved uses of approved drug products be disseminated with a representative publication that reaches contrary or different conclusions, when such information exists. </w:t>
      </w:r>
      <w:r>
        <w:rPr>
          <w:rFonts w:ascii="Times New Roman" w:hAnsi="Times New Roman" w:cs="Times New Roman"/>
        </w:rPr>
        <w:t xml:space="preserve">Similarly, the </w:t>
      </w:r>
      <w:r w:rsidRPr="007820E2">
        <w:rPr>
          <w:rFonts w:ascii="Times New Roman" w:hAnsi="Times New Roman" w:cs="Times New Roman"/>
          <w:i/>
        </w:rPr>
        <w:t>Responding to Unsolicited Requests for Off-Label Information About Prescription Drugs and Medical Devices</w:t>
      </w:r>
      <w:r>
        <w:rPr>
          <w:rFonts w:ascii="Times New Roman" w:hAnsi="Times New Roman" w:cs="Times New Roman"/>
        </w:rPr>
        <w:t xml:space="preserve"> draft guidance (2011)</w:t>
      </w:r>
      <w:r w:rsidRPr="0092462E">
        <w:rPr>
          <w:rStyle w:val="FootnoteReference"/>
          <w:rFonts w:ascii="Times New Roman" w:hAnsi="Times New Roman" w:cs="Times New Roman"/>
          <w:vertAlign w:val="superscript"/>
        </w:rPr>
        <w:footnoteReference w:id="2"/>
      </w:r>
      <w:r>
        <w:rPr>
          <w:rFonts w:ascii="Times New Roman" w:hAnsi="Times New Roman" w:cs="Times New Roman"/>
        </w:rPr>
        <w:t xml:space="preserve"> recommends that</w:t>
      </w:r>
      <w:r w:rsidRPr="00181880">
        <w:t xml:space="preserve"> </w:t>
      </w:r>
      <w:r w:rsidRPr="00181880">
        <w:rPr>
          <w:rFonts w:ascii="Times New Roman" w:hAnsi="Times New Roman" w:cs="Times New Roman"/>
        </w:rPr>
        <w:t>when conclusions of articles or texts tha</w:t>
      </w:r>
      <w:r>
        <w:rPr>
          <w:rFonts w:ascii="Times New Roman" w:hAnsi="Times New Roman" w:cs="Times New Roman"/>
        </w:rPr>
        <w:t xml:space="preserve">t are </w:t>
      </w:r>
      <w:r w:rsidRPr="00181880">
        <w:rPr>
          <w:rFonts w:ascii="Times New Roman" w:hAnsi="Times New Roman" w:cs="Times New Roman"/>
        </w:rPr>
        <w:t xml:space="preserve">disseminated </w:t>
      </w:r>
      <w:r>
        <w:rPr>
          <w:rFonts w:ascii="Times New Roman" w:hAnsi="Times New Roman" w:cs="Times New Roman"/>
        </w:rPr>
        <w:t xml:space="preserve">in response to an unsolicited request </w:t>
      </w:r>
      <w:r w:rsidRPr="00181880">
        <w:rPr>
          <w:rFonts w:ascii="Times New Roman" w:hAnsi="Times New Roman" w:cs="Times New Roman"/>
        </w:rPr>
        <w:t>have been specifically called into question by other articles or texts, a firm should disseminate representative publications that reach contrary or different conclusions regarding the use at issue.</w:t>
      </w:r>
      <w:r>
        <w:rPr>
          <w:rFonts w:ascii="Times New Roman" w:hAnsi="Times New Roman" w:cs="Times New Roman"/>
          <w:snapToGrid w:val="0"/>
        </w:rPr>
        <w:t xml:space="preserve"> </w:t>
      </w:r>
      <w:r w:rsidRPr="00F14293">
        <w:rPr>
          <w:rFonts w:ascii="Times New Roman" w:hAnsi="Times New Roman" w:cs="Times New Roman"/>
          <w:snapToGrid w:val="0"/>
        </w:rPr>
        <w:t xml:space="preserve"> </w:t>
      </w:r>
    </w:p>
    <w:p w14:paraId="24CF8FBB" w14:textId="77777777" w:rsidR="00BA2E39" w:rsidRDefault="00BA2E39" w:rsidP="005B0D6D">
      <w:pPr>
        <w:pStyle w:val="Default"/>
        <w:ind w:left="720"/>
      </w:pPr>
    </w:p>
    <w:p w14:paraId="212F876F" w14:textId="7B15F23E" w:rsidR="00BA2E39" w:rsidRPr="00BA2E39" w:rsidRDefault="00BA2E39" w:rsidP="005B0D6D">
      <w:pPr>
        <w:ind w:left="720"/>
      </w:pPr>
      <w:r w:rsidRPr="00BA2E39">
        <w:t xml:space="preserve">The Food and Drug Administration’s (FDA) Center for Drug Evaluation and Research (CDER), in collaboration with </w:t>
      </w:r>
      <w:r>
        <w:t>Westat</w:t>
      </w:r>
      <w:r w:rsidRPr="00BA2E39">
        <w:t xml:space="preserve">, is conducting research on how healthcare professionals (HCP) </w:t>
      </w:r>
      <w:r w:rsidR="00F95A48" w:rsidRPr="00F14293">
        <w:t xml:space="preserve">process information about unapproved new uses of approved prescription drugs </w:t>
      </w:r>
      <w:r w:rsidR="000E48F4">
        <w:rPr>
          <w:snapToGrid w:val="0"/>
        </w:rPr>
        <w:t>when made aware of other</w:t>
      </w:r>
      <w:r w:rsidR="000E48F4" w:rsidRPr="00AE0A93">
        <w:rPr>
          <w:snapToGrid w:val="0"/>
        </w:rPr>
        <w:t xml:space="preserve"> unsupportive information</w:t>
      </w:r>
      <w:r w:rsidR="00F95A48">
        <w:t xml:space="preserve"> and evaluate the effectiveness of various disclosure approaches for this information</w:t>
      </w:r>
      <w:r w:rsidR="00F95A48" w:rsidRPr="00F14293">
        <w:t>.</w:t>
      </w:r>
    </w:p>
    <w:p w14:paraId="6285ED95" w14:textId="77777777" w:rsidR="00C13B38" w:rsidRDefault="00C13B38" w:rsidP="005E6CFD">
      <w:pPr>
        <w:pStyle w:val="BodyText1"/>
        <w:spacing w:after="0" w:line="276" w:lineRule="auto"/>
        <w:ind w:firstLine="0"/>
        <w:rPr>
          <w:sz w:val="24"/>
          <w:szCs w:val="24"/>
        </w:rPr>
      </w:pPr>
    </w:p>
    <w:p w14:paraId="46F860D1" w14:textId="77777777" w:rsidR="003F1C7A" w:rsidRDefault="0049419A" w:rsidP="00F12AEE">
      <w:pPr>
        <w:numPr>
          <w:ilvl w:val="0"/>
          <w:numId w:val="15"/>
        </w:numPr>
        <w:tabs>
          <w:tab w:val="num" w:pos="720"/>
        </w:tabs>
        <w:ind w:left="720"/>
      </w:pPr>
      <w:r w:rsidRPr="00735060">
        <w:rPr>
          <w:b/>
        </w:rPr>
        <w:t>Intended u</w:t>
      </w:r>
      <w:r w:rsidR="00F12AEE" w:rsidRPr="00735060">
        <w:rPr>
          <w:b/>
        </w:rPr>
        <w:t>se</w:t>
      </w:r>
      <w:r w:rsidRPr="00735060">
        <w:rPr>
          <w:b/>
        </w:rPr>
        <w:t xml:space="preserve"> of information</w:t>
      </w:r>
      <w:r w:rsidR="003F1C7A" w:rsidRPr="00735060">
        <w:rPr>
          <w:b/>
        </w:rPr>
        <w:t>:</w:t>
      </w:r>
      <w:r w:rsidR="003F1C7A" w:rsidRPr="00735060">
        <w:t xml:space="preserve">  </w:t>
      </w:r>
    </w:p>
    <w:p w14:paraId="41A71D26" w14:textId="77777777" w:rsidR="002623BC" w:rsidRDefault="002623BC" w:rsidP="002623BC"/>
    <w:p w14:paraId="431611DF" w14:textId="7D95F159" w:rsidR="002D14D9" w:rsidRPr="00F95A48" w:rsidRDefault="00F95A48" w:rsidP="005B0D6D">
      <w:pPr>
        <w:pStyle w:val="Default"/>
        <w:ind w:left="720"/>
        <w:rPr>
          <w:rFonts w:ascii="Times New Roman" w:hAnsi="Times New Roman" w:cs="Times New Roman"/>
          <w:snapToGrid w:val="0"/>
          <w:highlight w:val="yellow"/>
        </w:rPr>
      </w:pPr>
      <w:r w:rsidRPr="00F14293">
        <w:rPr>
          <w:rFonts w:ascii="Times New Roman" w:hAnsi="Times New Roman" w:cs="Times New Roman"/>
          <w:snapToGrid w:val="0"/>
        </w:rPr>
        <w:t>We will use the results of this research to</w:t>
      </w:r>
      <w:r w:rsidR="006C02CB">
        <w:rPr>
          <w:rFonts w:ascii="Times New Roman" w:hAnsi="Times New Roman" w:cs="Times New Roman"/>
          <w:snapToGrid w:val="0"/>
        </w:rPr>
        <w:t>:</w:t>
      </w:r>
      <w:r w:rsidRPr="00F14293">
        <w:rPr>
          <w:rFonts w:ascii="Times New Roman" w:hAnsi="Times New Roman" w:cs="Times New Roman"/>
          <w:snapToGrid w:val="0"/>
        </w:rPr>
        <w:t xml:space="preserve"> </w:t>
      </w:r>
      <w:r w:rsidR="006C02CB">
        <w:rPr>
          <w:rFonts w:ascii="Times New Roman" w:hAnsi="Times New Roman" w:cs="Times New Roman"/>
          <w:snapToGrid w:val="0"/>
        </w:rPr>
        <w:t>(</w:t>
      </w:r>
      <w:r w:rsidR="006F303C">
        <w:rPr>
          <w:rFonts w:ascii="Times New Roman" w:hAnsi="Times New Roman" w:cs="Times New Roman"/>
          <w:snapToGrid w:val="0"/>
        </w:rPr>
        <w:t xml:space="preserve">1) </w:t>
      </w:r>
      <w:r w:rsidRPr="00F14293">
        <w:rPr>
          <w:rFonts w:ascii="Times New Roman" w:hAnsi="Times New Roman" w:cs="Times New Roman"/>
          <w:snapToGrid w:val="0"/>
        </w:rPr>
        <w:t>better understand how HCPs process this information about prescription drugs</w:t>
      </w:r>
      <w:r w:rsidR="006C02CB">
        <w:rPr>
          <w:rFonts w:ascii="Times New Roman" w:hAnsi="Times New Roman" w:cs="Times New Roman"/>
          <w:snapToGrid w:val="0"/>
        </w:rPr>
        <w:t>;</w:t>
      </w:r>
      <w:r w:rsidR="006F303C">
        <w:rPr>
          <w:rFonts w:ascii="Times New Roman" w:hAnsi="Times New Roman" w:cs="Times New Roman"/>
          <w:snapToGrid w:val="0"/>
        </w:rPr>
        <w:t xml:space="preserve"> </w:t>
      </w:r>
      <w:r w:rsidR="006C02CB">
        <w:rPr>
          <w:rFonts w:ascii="Times New Roman" w:hAnsi="Times New Roman" w:cs="Times New Roman"/>
          <w:snapToGrid w:val="0"/>
        </w:rPr>
        <w:t>(</w:t>
      </w:r>
      <w:r w:rsidR="006F303C">
        <w:rPr>
          <w:rFonts w:ascii="Times New Roman" w:hAnsi="Times New Roman" w:cs="Times New Roman"/>
          <w:snapToGrid w:val="0"/>
        </w:rPr>
        <w:t>2)</w:t>
      </w:r>
      <w:r w:rsidRPr="00F14293">
        <w:rPr>
          <w:rFonts w:ascii="Times New Roman" w:hAnsi="Times New Roman" w:cs="Times New Roman"/>
          <w:snapToGrid w:val="0"/>
        </w:rPr>
        <w:t xml:space="preserve"> examine the utility and effectiveness of</w:t>
      </w:r>
      <w:r>
        <w:rPr>
          <w:rFonts w:ascii="Times New Roman" w:hAnsi="Times New Roman" w:cs="Times New Roman"/>
          <w:snapToGrid w:val="0"/>
        </w:rPr>
        <w:t xml:space="preserve"> various approaches to the disclosure of </w:t>
      </w:r>
      <w:r w:rsidR="003F031C">
        <w:rPr>
          <w:rFonts w:ascii="Times New Roman" w:hAnsi="Times New Roman" w:cs="Times New Roman"/>
          <w:snapToGrid w:val="0"/>
        </w:rPr>
        <w:t xml:space="preserve">unsupportive </w:t>
      </w:r>
      <w:r>
        <w:rPr>
          <w:rFonts w:ascii="Times New Roman" w:hAnsi="Times New Roman" w:cs="Times New Roman"/>
          <w:snapToGrid w:val="0"/>
        </w:rPr>
        <w:t>data</w:t>
      </w:r>
      <w:r w:rsidR="006C02CB">
        <w:rPr>
          <w:rFonts w:ascii="Times New Roman" w:hAnsi="Times New Roman" w:cs="Times New Roman"/>
          <w:snapToGrid w:val="0"/>
        </w:rPr>
        <w:t>;</w:t>
      </w:r>
      <w:r>
        <w:rPr>
          <w:rFonts w:ascii="Times New Roman" w:hAnsi="Times New Roman" w:cs="Times New Roman"/>
          <w:snapToGrid w:val="0"/>
        </w:rPr>
        <w:t xml:space="preserve"> and </w:t>
      </w:r>
      <w:r w:rsidR="006C02CB">
        <w:rPr>
          <w:rFonts w:ascii="Times New Roman" w:hAnsi="Times New Roman" w:cs="Times New Roman"/>
          <w:snapToGrid w:val="0"/>
        </w:rPr>
        <w:t>(</w:t>
      </w:r>
      <w:r w:rsidR="006F303C">
        <w:rPr>
          <w:rFonts w:ascii="Times New Roman" w:hAnsi="Times New Roman" w:cs="Times New Roman"/>
          <w:snapToGrid w:val="0"/>
        </w:rPr>
        <w:t>3)</w:t>
      </w:r>
      <w:r>
        <w:rPr>
          <w:rFonts w:ascii="Times New Roman" w:hAnsi="Times New Roman" w:cs="Times New Roman"/>
          <w:snapToGrid w:val="0"/>
        </w:rPr>
        <w:t xml:space="preserve"> </w:t>
      </w:r>
      <w:r w:rsidR="00C2065F" w:rsidRPr="00F95A48">
        <w:rPr>
          <w:rFonts w:ascii="Times New Roman" w:hAnsi="Times New Roman" w:cs="Times New Roman"/>
          <w:snapToGrid w:val="0"/>
        </w:rPr>
        <w:t xml:space="preserve">inform future </w:t>
      </w:r>
      <w:r>
        <w:rPr>
          <w:rFonts w:ascii="Times New Roman" w:hAnsi="Times New Roman" w:cs="Times New Roman"/>
          <w:snapToGrid w:val="0"/>
        </w:rPr>
        <w:t>quantitative phases of this r</w:t>
      </w:r>
      <w:r w:rsidR="00C2065F" w:rsidRPr="00F95A48">
        <w:rPr>
          <w:rFonts w:ascii="Times New Roman" w:hAnsi="Times New Roman" w:cs="Times New Roman"/>
          <w:snapToGrid w:val="0"/>
        </w:rPr>
        <w:t xml:space="preserve">esearch project. </w:t>
      </w:r>
      <w:r w:rsidR="00356056" w:rsidRPr="00F95A48">
        <w:rPr>
          <w:rFonts w:ascii="Times New Roman" w:hAnsi="Times New Roman" w:cs="Times New Roman"/>
          <w:snapToGrid w:val="0"/>
        </w:rPr>
        <w:t xml:space="preserve"> </w:t>
      </w:r>
    </w:p>
    <w:p w14:paraId="40B87466" w14:textId="77777777" w:rsidR="003F1C7A" w:rsidRPr="00F95A48" w:rsidRDefault="002D14D9" w:rsidP="00F12AEE">
      <w:pPr>
        <w:ind w:left="360"/>
      </w:pPr>
      <w:r w:rsidRPr="00F95A48">
        <w:tab/>
      </w:r>
    </w:p>
    <w:p w14:paraId="7F564577" w14:textId="77777777" w:rsidR="003F1C7A" w:rsidRPr="007B2DD9" w:rsidRDefault="0049419A" w:rsidP="00F12AEE">
      <w:pPr>
        <w:numPr>
          <w:ilvl w:val="0"/>
          <w:numId w:val="15"/>
        </w:numPr>
        <w:tabs>
          <w:tab w:val="num" w:pos="720"/>
        </w:tabs>
        <w:ind w:left="720"/>
      </w:pPr>
      <w:r w:rsidRPr="007B2DD9">
        <w:rPr>
          <w:b/>
        </w:rPr>
        <w:t>Description of r</w:t>
      </w:r>
      <w:r w:rsidR="00F12AEE" w:rsidRPr="007B2DD9">
        <w:rPr>
          <w:b/>
        </w:rPr>
        <w:t>espondents</w:t>
      </w:r>
      <w:r w:rsidR="003F1C7A" w:rsidRPr="007B2DD9">
        <w:rPr>
          <w:b/>
        </w:rPr>
        <w:t>:</w:t>
      </w:r>
      <w:r w:rsidR="003F1C7A" w:rsidRPr="007B2DD9">
        <w:t xml:space="preserve">  </w:t>
      </w:r>
    </w:p>
    <w:p w14:paraId="2BB3F352" w14:textId="77777777" w:rsidR="00467E1F" w:rsidRPr="00C13B38" w:rsidRDefault="00467E1F" w:rsidP="00467E1F">
      <w:pPr>
        <w:ind w:left="360"/>
        <w:rPr>
          <w:highlight w:val="yellow"/>
        </w:rPr>
      </w:pPr>
    </w:p>
    <w:p w14:paraId="17D96C1F" w14:textId="08C94CD9" w:rsidR="00F867F7" w:rsidRDefault="007B2DD9" w:rsidP="005B0D6D">
      <w:pPr>
        <w:pStyle w:val="ListParagraph"/>
      </w:pPr>
      <w:r>
        <w:lastRenderedPageBreak/>
        <w:t>Th</w:t>
      </w:r>
      <w:r w:rsidR="00F95A48">
        <w:t>is</w:t>
      </w:r>
      <w:r>
        <w:t xml:space="preserve"> study </w:t>
      </w:r>
      <w:r w:rsidR="00F95A48">
        <w:t xml:space="preserve">phase </w:t>
      </w:r>
      <w:r>
        <w:t xml:space="preserve">will consist of </w:t>
      </w:r>
      <w:r w:rsidR="00EE79A7">
        <w:t>70</w:t>
      </w:r>
      <w:r>
        <w:t xml:space="preserve"> individual</w:t>
      </w:r>
      <w:r w:rsidR="00E17768">
        <w:t>,</w:t>
      </w:r>
      <w:r>
        <w:t xml:space="preserve"> in-depth interviews with HCPs who have prescribing authority</w:t>
      </w:r>
      <w:r w:rsidRPr="00F66BBF">
        <w:t>.</w:t>
      </w:r>
      <w:r>
        <w:t xml:space="preserve"> General inclusion and exclusion requirements built into the screening protocol will ensure that all HCPs are currently practicing</w:t>
      </w:r>
      <w:r w:rsidR="006F303C">
        <w:t>,</w:t>
      </w:r>
      <w:r>
        <w:t xml:space="preserve"> spend </w:t>
      </w:r>
      <w:r w:rsidR="008B2F4F">
        <w:t>at least half of their time on direct patient care</w:t>
      </w:r>
      <w:r w:rsidR="006F303C">
        <w:t>,</w:t>
      </w:r>
      <w:r w:rsidR="00F867F7">
        <w:t xml:space="preserve"> write at least 50 prescriptions per week</w:t>
      </w:r>
      <w:r>
        <w:t xml:space="preserve"> and have not recently participated in market research.</w:t>
      </w:r>
      <w:r w:rsidR="00F867F7">
        <w:t xml:space="preserve"> </w:t>
      </w:r>
      <w:r w:rsidR="00F867F7" w:rsidRPr="008538A6">
        <w:t xml:space="preserve">We will exclude </w:t>
      </w:r>
      <w:r w:rsidR="00F867F7">
        <w:t xml:space="preserve">HCPs </w:t>
      </w:r>
      <w:r w:rsidR="00F867F7" w:rsidRPr="008538A6">
        <w:t xml:space="preserve">who work in the marketing, advertising, or pharmaceutical industries or </w:t>
      </w:r>
      <w:r w:rsidR="00F867F7">
        <w:t>those who</w:t>
      </w:r>
      <w:r w:rsidR="00F867F7" w:rsidRPr="008538A6">
        <w:t xml:space="preserve"> work for the Department of Health and Human Services because</w:t>
      </w:r>
      <w:r w:rsidR="00F867F7">
        <w:t xml:space="preserve"> </w:t>
      </w:r>
      <w:r w:rsidR="00F867F7" w:rsidRPr="008538A6">
        <w:t xml:space="preserve">they may have specialized knowledge of FDA regulatory policies. </w:t>
      </w:r>
    </w:p>
    <w:p w14:paraId="318A6BD4" w14:textId="2B9F70D5" w:rsidR="007B2DD9" w:rsidRDefault="007B2DD9" w:rsidP="007B2DD9"/>
    <w:p w14:paraId="69E9990A" w14:textId="77777777" w:rsidR="007B2DD9" w:rsidRPr="007B2DD9" w:rsidRDefault="007B2DD9" w:rsidP="005B0D6D">
      <w:pPr>
        <w:ind w:left="720"/>
        <w:rPr>
          <w:i/>
        </w:rPr>
      </w:pPr>
      <w:r w:rsidRPr="007B2DD9">
        <w:rPr>
          <w:i/>
        </w:rPr>
        <w:t>Prescriber Type</w:t>
      </w:r>
    </w:p>
    <w:p w14:paraId="41A1168F" w14:textId="77777777" w:rsidR="007B2DD9" w:rsidRDefault="007B2DD9" w:rsidP="005B0D6D">
      <w:pPr>
        <w:ind w:left="720"/>
      </w:pPr>
    </w:p>
    <w:p w14:paraId="5BEB4470" w14:textId="37749B0D" w:rsidR="007B2DD9" w:rsidRDefault="00143294" w:rsidP="005B0D6D">
      <w:pPr>
        <w:ind w:left="720"/>
      </w:pPr>
      <w:r>
        <w:t>Two</w:t>
      </w:r>
      <w:r w:rsidR="007B2DD9">
        <w:t xml:space="preserve"> different </w:t>
      </w:r>
      <w:r w:rsidR="00B974E7">
        <w:t xml:space="preserve">HCP groups </w:t>
      </w:r>
      <w:r w:rsidR="007B2DD9">
        <w:t xml:space="preserve">will be interviewed for this study: </w:t>
      </w:r>
      <w:r w:rsidR="00F66BBF">
        <w:t>primary care physicians (</w:t>
      </w:r>
      <w:r w:rsidR="007B2DD9">
        <w:t>PCP</w:t>
      </w:r>
      <w:r w:rsidR="00F66BBF">
        <w:t>)</w:t>
      </w:r>
      <w:r>
        <w:t xml:space="preserve"> and </w:t>
      </w:r>
      <w:r w:rsidR="007B2DD9">
        <w:t>specialists (</w:t>
      </w:r>
      <w:r>
        <w:t>oncologists</w:t>
      </w:r>
      <w:r w:rsidR="007B2DD9">
        <w:t xml:space="preserve">). We </w:t>
      </w:r>
      <w:r w:rsidR="0014636B">
        <w:t xml:space="preserve">will </w:t>
      </w:r>
      <w:r w:rsidR="007B2DD9">
        <w:t xml:space="preserve">recruit </w:t>
      </w:r>
      <w:r w:rsidR="002B1DFB">
        <w:t xml:space="preserve">35 </w:t>
      </w:r>
      <w:r w:rsidR="007B2DD9">
        <w:t>participants</w:t>
      </w:r>
      <w:r w:rsidR="00E17768">
        <w:t xml:space="preserve"> from each of these </w:t>
      </w:r>
      <w:r w:rsidR="00B974E7">
        <w:t xml:space="preserve">two </w:t>
      </w:r>
      <w:r w:rsidR="00E17768">
        <w:t>groups</w:t>
      </w:r>
      <w:r w:rsidR="007B2DD9">
        <w:t xml:space="preserve"> for a total of </w:t>
      </w:r>
      <w:r>
        <w:t>70</w:t>
      </w:r>
      <w:r w:rsidR="007B2DD9">
        <w:t xml:space="preserve"> </w:t>
      </w:r>
      <w:r w:rsidR="00F867F7">
        <w:t xml:space="preserve">HCP </w:t>
      </w:r>
      <w:r w:rsidR="007B2DD9">
        <w:t xml:space="preserve">participants. </w:t>
      </w:r>
    </w:p>
    <w:p w14:paraId="6BAD6A61" w14:textId="77777777" w:rsidR="007B2DD9" w:rsidRDefault="007B2DD9" w:rsidP="005B0D6D">
      <w:pPr>
        <w:ind w:left="720"/>
      </w:pPr>
    </w:p>
    <w:p w14:paraId="76D70871" w14:textId="77777777" w:rsidR="007B2DD9" w:rsidRPr="007B2DD9" w:rsidRDefault="007B2DD9" w:rsidP="005B0D6D">
      <w:pPr>
        <w:ind w:left="720"/>
        <w:rPr>
          <w:i/>
        </w:rPr>
      </w:pPr>
      <w:r w:rsidRPr="007B2DD9">
        <w:rPr>
          <w:i/>
        </w:rPr>
        <w:t xml:space="preserve">Demographics </w:t>
      </w:r>
    </w:p>
    <w:p w14:paraId="326BC4F9" w14:textId="77777777" w:rsidR="007B2DD9" w:rsidRDefault="007B2DD9" w:rsidP="005B0D6D">
      <w:pPr>
        <w:ind w:left="720"/>
      </w:pPr>
    </w:p>
    <w:p w14:paraId="0D8428CD" w14:textId="79AF44BC" w:rsidR="002B1DFB" w:rsidRDefault="002B1DFB" w:rsidP="005B0D6D">
      <w:pPr>
        <w:pStyle w:val="ListParagraph"/>
      </w:pPr>
      <w:r>
        <w:t xml:space="preserve">Within each HCP group, we will aim to recruit individuals with diverse demographic characteristics (e.g., age, gender, race/ethnicity) to ensure that we hear from individuals with different backgrounds and perspectives. </w:t>
      </w:r>
    </w:p>
    <w:p w14:paraId="0ABF86E3" w14:textId="77777777" w:rsidR="007B2DD9" w:rsidRDefault="007B2DD9" w:rsidP="007B2DD9"/>
    <w:p w14:paraId="70A677EC" w14:textId="77777777" w:rsidR="003F1C7A" w:rsidRPr="00735060" w:rsidRDefault="003F1C7A" w:rsidP="00F12AEE">
      <w:pPr>
        <w:numPr>
          <w:ilvl w:val="0"/>
          <w:numId w:val="15"/>
        </w:numPr>
        <w:tabs>
          <w:tab w:val="num" w:pos="720"/>
        </w:tabs>
        <w:ind w:left="720"/>
      </w:pPr>
      <w:r w:rsidRPr="00735060">
        <w:rPr>
          <w:b/>
        </w:rPr>
        <w:t xml:space="preserve">Date(s) </w:t>
      </w:r>
      <w:r w:rsidR="009404FA" w:rsidRPr="00735060">
        <w:rPr>
          <w:b/>
        </w:rPr>
        <w:t xml:space="preserve">to be conducted </w:t>
      </w:r>
      <w:r w:rsidRPr="00735060">
        <w:rPr>
          <w:b/>
        </w:rPr>
        <w:t>and location(s)</w:t>
      </w:r>
      <w:r w:rsidR="0049419A" w:rsidRPr="00735060">
        <w:rPr>
          <w:b/>
        </w:rPr>
        <w:t>:</w:t>
      </w:r>
      <w:r w:rsidRPr="00735060">
        <w:rPr>
          <w:b/>
        </w:rPr>
        <w:t xml:space="preserve">  </w:t>
      </w:r>
    </w:p>
    <w:p w14:paraId="3D53812F" w14:textId="77777777" w:rsidR="00467E1F" w:rsidRDefault="00467E1F" w:rsidP="00467E1F"/>
    <w:p w14:paraId="478FCA01" w14:textId="3C47578D" w:rsidR="00467E1F" w:rsidRDefault="00467E1F" w:rsidP="005B0D6D">
      <w:pPr>
        <w:spacing w:line="276" w:lineRule="auto"/>
        <w:ind w:firstLine="720"/>
      </w:pPr>
      <w:r>
        <w:t xml:space="preserve">We plan to conduct </w:t>
      </w:r>
      <w:r w:rsidR="00C13B38">
        <w:t>interviews</w:t>
      </w:r>
      <w:r w:rsidR="008A3CBF">
        <w:t xml:space="preserve"> between </w:t>
      </w:r>
      <w:r w:rsidR="00143294">
        <w:t>November 2019 and January 2020</w:t>
      </w:r>
      <w:r w:rsidR="008A3CBF">
        <w:t>.</w:t>
      </w:r>
    </w:p>
    <w:p w14:paraId="724571B6" w14:textId="77777777" w:rsidR="00467E1F" w:rsidRDefault="00467E1F" w:rsidP="00467E1F">
      <w:pPr>
        <w:ind w:firstLine="360"/>
      </w:pPr>
    </w:p>
    <w:p w14:paraId="6D283BCA" w14:textId="77777777" w:rsidR="00E26798" w:rsidRPr="00735060" w:rsidRDefault="00140A0D" w:rsidP="00F12AEE">
      <w:pPr>
        <w:numPr>
          <w:ilvl w:val="0"/>
          <w:numId w:val="15"/>
        </w:numPr>
        <w:tabs>
          <w:tab w:val="num" w:pos="720"/>
        </w:tabs>
        <w:ind w:left="720"/>
      </w:pPr>
      <w:r w:rsidRPr="00735060">
        <w:rPr>
          <w:b/>
        </w:rPr>
        <w:t>How the Information is being collected</w:t>
      </w:r>
      <w:r w:rsidR="0049419A" w:rsidRPr="00735060">
        <w:rPr>
          <w:b/>
        </w:rPr>
        <w:t>:</w:t>
      </w:r>
    </w:p>
    <w:p w14:paraId="3B8AAB25" w14:textId="77777777" w:rsidR="00825E0D" w:rsidRDefault="00825E0D" w:rsidP="00825E0D">
      <w:pPr>
        <w:pStyle w:val="Heading11"/>
        <w:jc w:val="left"/>
        <w:rPr>
          <w:rFonts w:ascii="Times New Roman" w:hAnsi="Times New Roman"/>
          <w:color w:val="auto"/>
          <w:sz w:val="24"/>
          <w:szCs w:val="24"/>
        </w:rPr>
      </w:pPr>
      <w:bookmarkStart w:id="1" w:name="_Toc432670992"/>
    </w:p>
    <w:p w14:paraId="51D48089" w14:textId="77777777" w:rsidR="00825E0D" w:rsidRPr="00825E0D" w:rsidRDefault="00825E0D" w:rsidP="005B0D6D">
      <w:pPr>
        <w:pStyle w:val="Heading11"/>
        <w:ind w:left="720"/>
        <w:jc w:val="left"/>
        <w:rPr>
          <w:rFonts w:ascii="Times New Roman" w:hAnsi="Times New Roman"/>
          <w:b w:val="0"/>
          <w:color w:val="auto"/>
          <w:sz w:val="24"/>
          <w:szCs w:val="24"/>
          <w:u w:val="single"/>
        </w:rPr>
      </w:pPr>
      <w:r w:rsidRPr="00825E0D">
        <w:rPr>
          <w:rFonts w:ascii="Times New Roman" w:hAnsi="Times New Roman"/>
          <w:b w:val="0"/>
          <w:color w:val="auto"/>
          <w:sz w:val="24"/>
          <w:szCs w:val="24"/>
          <w:u w:val="single"/>
        </w:rPr>
        <w:t>Recruitment Procedures</w:t>
      </w:r>
      <w:bookmarkEnd w:id="1"/>
      <w:r w:rsidR="00C4752A">
        <w:rPr>
          <w:rFonts w:ascii="Times New Roman" w:hAnsi="Times New Roman"/>
          <w:b w:val="0"/>
          <w:color w:val="auto"/>
          <w:sz w:val="24"/>
          <w:szCs w:val="24"/>
          <w:u w:val="single"/>
        </w:rPr>
        <w:t xml:space="preserve"> </w:t>
      </w:r>
    </w:p>
    <w:p w14:paraId="6053D64B" w14:textId="77777777" w:rsidR="00E72206" w:rsidRDefault="00E72206" w:rsidP="005B0D6D">
      <w:pPr>
        <w:pStyle w:val="Heading2"/>
        <w:ind w:left="720"/>
        <w:jc w:val="left"/>
        <w:rPr>
          <w:rStyle w:val="Heading3Char"/>
          <w:rFonts w:ascii="Franklin Gothic Book" w:eastAsiaTheme="minorHAnsi" w:hAnsi="Franklin Gothic Book"/>
          <w:bCs/>
          <w:color w:val="071D8B"/>
          <w:sz w:val="28"/>
        </w:rPr>
      </w:pPr>
      <w:bookmarkStart w:id="2" w:name="_Toc432670827"/>
      <w:bookmarkStart w:id="3" w:name="_Toc432670993"/>
    </w:p>
    <w:p w14:paraId="3AAF7D92" w14:textId="78E732E5" w:rsidR="00872A38" w:rsidRDefault="007023DB" w:rsidP="005B0D6D">
      <w:pPr>
        <w:pStyle w:val="ListParagraph"/>
        <w:tabs>
          <w:tab w:val="left" w:pos="360"/>
        </w:tabs>
        <w:autoSpaceDE w:val="0"/>
        <w:autoSpaceDN w:val="0"/>
        <w:adjustRightInd w:val="0"/>
      </w:pPr>
      <w:bookmarkStart w:id="4" w:name="_Toc508302237"/>
      <w:r w:rsidRPr="00E26613">
        <w:rPr>
          <w:b/>
          <w:i/>
        </w:rPr>
        <w:t>Oncologists</w:t>
      </w:r>
      <w:r w:rsidR="000240EA">
        <w:rPr>
          <w:b/>
          <w:i/>
        </w:rPr>
        <w:t xml:space="preserve">.  </w:t>
      </w:r>
      <w:r w:rsidRPr="00EE79A7">
        <w:t>We</w:t>
      </w:r>
      <w:r>
        <w:t>stat</w:t>
      </w:r>
      <w:r w:rsidRPr="00EE79A7">
        <w:t xml:space="preserve"> will work with Reckner Healthcare to recruit oncologists</w:t>
      </w:r>
      <w:r w:rsidR="00F410DF">
        <w:t xml:space="preserve"> for interviews</w:t>
      </w:r>
      <w:r>
        <w:t xml:space="preserve">. </w:t>
      </w:r>
      <w:r w:rsidRPr="00470C11">
        <w:t xml:space="preserve">Reckner will draw </w:t>
      </w:r>
      <w:r>
        <w:t xml:space="preserve">a </w:t>
      </w:r>
      <w:r w:rsidRPr="00470C11">
        <w:t xml:space="preserve">sample from </w:t>
      </w:r>
      <w:r>
        <w:t>their</w:t>
      </w:r>
      <w:r w:rsidRPr="00470C11">
        <w:t> opt-in panel using stratified random sampling</w:t>
      </w:r>
      <w:r w:rsidR="000D2C2A">
        <w:t xml:space="preserve"> and estimates </w:t>
      </w:r>
      <w:r w:rsidR="0014636B">
        <w:t xml:space="preserve">they will need to screen </w:t>
      </w:r>
      <w:r w:rsidR="00490966">
        <w:t xml:space="preserve">approximately </w:t>
      </w:r>
      <w:r>
        <w:t xml:space="preserve">70 </w:t>
      </w:r>
      <w:r w:rsidR="00577001">
        <w:t xml:space="preserve">HCPs </w:t>
      </w:r>
      <w:r w:rsidR="000D2C2A">
        <w:t>t</w:t>
      </w:r>
      <w:r>
        <w:t>o</w:t>
      </w:r>
      <w:r w:rsidR="00F410DF">
        <w:t xml:space="preserve"> recruit 35 qualified oncologists </w:t>
      </w:r>
      <w:r w:rsidR="00826568">
        <w:t xml:space="preserve">to </w:t>
      </w:r>
      <w:r w:rsidR="00F410DF">
        <w:t xml:space="preserve">the study. </w:t>
      </w:r>
      <w:r w:rsidR="00577001">
        <w:t xml:space="preserve">HCPs </w:t>
      </w:r>
      <w:r>
        <w:t>in the s</w:t>
      </w:r>
      <w:r w:rsidRPr="00470C11">
        <w:t xml:space="preserve">elected sample will </w:t>
      </w:r>
      <w:r w:rsidR="00826568">
        <w:t xml:space="preserve">initially </w:t>
      </w:r>
      <w:r w:rsidRPr="00470C11">
        <w:t xml:space="preserve">be sent a </w:t>
      </w:r>
      <w:r w:rsidR="00471CFA">
        <w:t xml:space="preserve">recruitment </w:t>
      </w:r>
      <w:r w:rsidRPr="00470C11">
        <w:t xml:space="preserve">email </w:t>
      </w:r>
      <w:r w:rsidR="004F125B">
        <w:t>about the study and</w:t>
      </w:r>
      <w:r w:rsidR="00975B24">
        <w:t xml:space="preserve"> </w:t>
      </w:r>
      <w:r w:rsidR="008352E0">
        <w:t xml:space="preserve">asked </w:t>
      </w:r>
      <w:r w:rsidR="00872A38">
        <w:t>to</w:t>
      </w:r>
      <w:r w:rsidR="000D2C2A">
        <w:t xml:space="preserve"> complete </w:t>
      </w:r>
      <w:r w:rsidR="00577001">
        <w:t>a</w:t>
      </w:r>
      <w:r w:rsidR="00F867F7">
        <w:t>n online</w:t>
      </w:r>
      <w:r w:rsidR="00577001">
        <w:t xml:space="preserve"> </w:t>
      </w:r>
      <w:r w:rsidR="00872A38">
        <w:t>screener to</w:t>
      </w:r>
      <w:r w:rsidR="004F125B">
        <w:t xml:space="preserve"> determine their eligibility</w:t>
      </w:r>
      <w:r w:rsidR="00872A38">
        <w:t xml:space="preserve"> for the study.</w:t>
      </w:r>
      <w:r w:rsidR="00703400">
        <w:t xml:space="preserve"> </w:t>
      </w:r>
      <w:r w:rsidR="00577001">
        <w:t xml:space="preserve">After completing the screener, </w:t>
      </w:r>
      <w:r w:rsidR="00B5761A">
        <w:t>oncologists deemed eligible will b</w:t>
      </w:r>
      <w:r w:rsidR="00D71FCA">
        <w:t>e</w:t>
      </w:r>
      <w:r w:rsidR="00B5761A">
        <w:t xml:space="preserve"> </w:t>
      </w:r>
      <w:r w:rsidR="006A48E5">
        <w:t xml:space="preserve">invited to participate in the </w:t>
      </w:r>
      <w:r w:rsidR="00577001">
        <w:t xml:space="preserve">interview. </w:t>
      </w:r>
      <w:r w:rsidR="00D71FCA">
        <w:t xml:space="preserve">Those </w:t>
      </w:r>
      <w:r w:rsidR="00616F2A">
        <w:t>who</w:t>
      </w:r>
      <w:r w:rsidR="000240EA">
        <w:t xml:space="preserve"> </w:t>
      </w:r>
      <w:r w:rsidR="00703400">
        <w:t xml:space="preserve">agree to participate will be contacted by </w:t>
      </w:r>
      <w:r w:rsidR="00703400" w:rsidRPr="00470C11">
        <w:t>Reckner</w:t>
      </w:r>
      <w:r w:rsidR="00826568">
        <w:t xml:space="preserve"> staff by </w:t>
      </w:r>
      <w:r w:rsidR="00703400">
        <w:t xml:space="preserve">phone to schedule the interview </w:t>
      </w:r>
      <w:r w:rsidR="00826568">
        <w:t xml:space="preserve">date/time </w:t>
      </w:r>
      <w:r w:rsidR="00703400">
        <w:t xml:space="preserve">and </w:t>
      </w:r>
      <w:r w:rsidR="00975B24">
        <w:t xml:space="preserve">will </w:t>
      </w:r>
      <w:r w:rsidR="00826568">
        <w:t xml:space="preserve">also </w:t>
      </w:r>
      <w:r w:rsidR="00975B24">
        <w:t xml:space="preserve">be </w:t>
      </w:r>
      <w:r w:rsidR="00703400">
        <w:t>re</w:t>
      </w:r>
      <w:r w:rsidR="00703400" w:rsidRPr="00470C11">
        <w:t>screen</w:t>
      </w:r>
      <w:r w:rsidR="007224EB">
        <w:t>ed</w:t>
      </w:r>
      <w:r w:rsidR="00D71FCA">
        <w:t xml:space="preserve"> </w:t>
      </w:r>
      <w:r w:rsidR="009A31DA">
        <w:t xml:space="preserve">to </w:t>
      </w:r>
      <w:r w:rsidR="009D0231">
        <w:t xml:space="preserve">verify </w:t>
      </w:r>
      <w:r w:rsidR="009A31DA">
        <w:t>eligibility</w:t>
      </w:r>
      <w:r w:rsidR="00703400">
        <w:t>.</w:t>
      </w:r>
      <w:r w:rsidR="000240EA">
        <w:t xml:space="preserve"> Eligible oncologists </w:t>
      </w:r>
      <w:r w:rsidR="00616F2A">
        <w:t>who</w:t>
      </w:r>
      <w:r w:rsidR="000240EA">
        <w:t xml:space="preserve"> complete the interview will </w:t>
      </w:r>
      <w:r w:rsidR="00EE1D7E">
        <w:t>be offered</w:t>
      </w:r>
      <w:r w:rsidR="000240EA">
        <w:t xml:space="preserve"> $275 </w:t>
      </w:r>
      <w:r w:rsidR="006C02CB">
        <w:t>as a token of</w:t>
      </w:r>
      <w:r w:rsidR="000240EA">
        <w:t xml:space="preserve"> appreciation.</w:t>
      </w:r>
      <w:r w:rsidR="00826568">
        <w:t xml:space="preserve"> </w:t>
      </w:r>
      <w:r w:rsidR="00C23DF8">
        <w:t xml:space="preserve">A copy of the </w:t>
      </w:r>
      <w:r w:rsidR="00616F2A">
        <w:t xml:space="preserve">recruitment </w:t>
      </w:r>
      <w:r w:rsidR="00C23DF8">
        <w:t>email, screener</w:t>
      </w:r>
      <w:r w:rsidR="00975B24">
        <w:t>,</w:t>
      </w:r>
      <w:r w:rsidR="00C23DF8">
        <w:t xml:space="preserve"> and </w:t>
      </w:r>
      <w:r w:rsidR="00B8560D">
        <w:t xml:space="preserve">interview </w:t>
      </w:r>
      <w:r w:rsidR="00C23DF8">
        <w:t>invitation</w:t>
      </w:r>
      <w:r w:rsidR="00E13D5C">
        <w:t xml:space="preserve"> for eligible oncologists</w:t>
      </w:r>
      <w:r w:rsidR="00ED4681">
        <w:t xml:space="preserve"> </w:t>
      </w:r>
      <w:r w:rsidR="00C23DF8">
        <w:t xml:space="preserve">is </w:t>
      </w:r>
      <w:r w:rsidR="00703400">
        <w:t xml:space="preserve">included in </w:t>
      </w:r>
      <w:r w:rsidR="00C23DF8">
        <w:t xml:space="preserve">Appendix A. </w:t>
      </w:r>
    </w:p>
    <w:p w14:paraId="569D344F" w14:textId="15728AC4" w:rsidR="000240EA" w:rsidRDefault="000240EA" w:rsidP="000240EA">
      <w:pPr>
        <w:pStyle w:val="ListParagraph"/>
        <w:tabs>
          <w:tab w:val="left" w:pos="360"/>
        </w:tabs>
        <w:autoSpaceDE w:val="0"/>
        <w:autoSpaceDN w:val="0"/>
        <w:adjustRightInd w:val="0"/>
        <w:ind w:left="0"/>
      </w:pPr>
    </w:p>
    <w:p w14:paraId="0AC1C661" w14:textId="7CFE78C4" w:rsidR="000240EA" w:rsidRPr="006026AB" w:rsidRDefault="00B974E7" w:rsidP="005B0D6D">
      <w:pPr>
        <w:pStyle w:val="ListParagraph"/>
        <w:tabs>
          <w:tab w:val="left" w:pos="360"/>
        </w:tabs>
        <w:autoSpaceDE w:val="0"/>
        <w:autoSpaceDN w:val="0"/>
        <w:adjustRightInd w:val="0"/>
      </w:pPr>
      <w:r w:rsidRPr="00E17768">
        <w:rPr>
          <w:b/>
          <w:i/>
        </w:rPr>
        <w:t>PCPs</w:t>
      </w:r>
      <w:r w:rsidR="000240EA">
        <w:rPr>
          <w:b/>
          <w:i/>
        </w:rPr>
        <w:t xml:space="preserve">. </w:t>
      </w:r>
      <w:r>
        <w:t>Westat will work with SERMO to recruit PCPs</w:t>
      </w:r>
      <w:r w:rsidR="00703400">
        <w:t>.</w:t>
      </w:r>
      <w:r w:rsidR="000240EA">
        <w:t xml:space="preserve"> </w:t>
      </w:r>
      <w:r w:rsidR="00703400">
        <w:t xml:space="preserve">Similar to Reckner, </w:t>
      </w:r>
      <w:r>
        <w:t xml:space="preserve">SERMO will </w:t>
      </w:r>
      <w:r w:rsidR="005D6152">
        <w:t xml:space="preserve">send </w:t>
      </w:r>
      <w:r w:rsidR="00703400">
        <w:t xml:space="preserve">a </w:t>
      </w:r>
      <w:r w:rsidR="00570E5B">
        <w:t xml:space="preserve">recruitment </w:t>
      </w:r>
      <w:r w:rsidR="00703400" w:rsidRPr="00470C11">
        <w:t xml:space="preserve">email </w:t>
      </w:r>
      <w:r w:rsidR="00703400">
        <w:t>about the study to a sample of their panel members</w:t>
      </w:r>
      <w:r w:rsidR="00CB547A">
        <w:t xml:space="preserve"> and ask them to complete a</w:t>
      </w:r>
      <w:r w:rsidR="0021757E">
        <w:t>n online</w:t>
      </w:r>
      <w:r w:rsidR="00CB547A">
        <w:t xml:space="preserve"> screener. </w:t>
      </w:r>
      <w:r w:rsidR="006026AB">
        <w:t xml:space="preserve">Eligible PCPs </w:t>
      </w:r>
      <w:r w:rsidR="009D0231">
        <w:t>will be invited to participate in the study</w:t>
      </w:r>
      <w:r w:rsidR="00FA2EBC">
        <w:t>,</w:t>
      </w:r>
      <w:r w:rsidR="009D0231">
        <w:t xml:space="preserve"> and those </w:t>
      </w:r>
      <w:r w:rsidR="00CB547A">
        <w:t>who agree</w:t>
      </w:r>
      <w:r w:rsidR="009D0231">
        <w:t xml:space="preserve"> </w:t>
      </w:r>
      <w:r w:rsidR="006026AB">
        <w:t>will be contacted by</w:t>
      </w:r>
      <w:r w:rsidR="00FA2EBC">
        <w:t xml:space="preserve"> </w:t>
      </w:r>
      <w:r w:rsidR="006026AB">
        <w:t>SERMO’s</w:t>
      </w:r>
      <w:r w:rsidR="006026AB" w:rsidRPr="003418A9">
        <w:t xml:space="preserve"> </w:t>
      </w:r>
      <w:r w:rsidR="006026AB">
        <w:t>staff</w:t>
      </w:r>
      <w:r w:rsidR="006026AB" w:rsidRPr="003418A9">
        <w:t xml:space="preserve"> </w:t>
      </w:r>
      <w:r w:rsidR="00826568">
        <w:t>by phone t</w:t>
      </w:r>
      <w:r w:rsidR="006026AB">
        <w:t xml:space="preserve">o schedule the interview and </w:t>
      </w:r>
      <w:r w:rsidR="00975B24">
        <w:t xml:space="preserve">will be </w:t>
      </w:r>
      <w:r w:rsidR="006026AB" w:rsidRPr="007C7DF4">
        <w:t>rescreen</w:t>
      </w:r>
      <w:r w:rsidR="00826568" w:rsidRPr="007C7DF4">
        <w:t>ed</w:t>
      </w:r>
      <w:r w:rsidR="00185D8E">
        <w:t>.</w:t>
      </w:r>
      <w:r w:rsidR="006C02CB">
        <w:t xml:space="preserve">  </w:t>
      </w:r>
      <w:r w:rsidR="006026AB">
        <w:t xml:space="preserve">SERMO </w:t>
      </w:r>
      <w:r w:rsidR="00826568">
        <w:t xml:space="preserve">expects </w:t>
      </w:r>
      <w:r w:rsidR="00C12993">
        <w:t>they</w:t>
      </w:r>
      <w:r w:rsidR="00826568">
        <w:t xml:space="preserve"> </w:t>
      </w:r>
      <w:r w:rsidR="006026AB">
        <w:t xml:space="preserve">will need to screen approximately </w:t>
      </w:r>
      <w:r w:rsidR="002041C4">
        <w:t>70</w:t>
      </w:r>
      <w:r w:rsidR="006026AB">
        <w:t xml:space="preserve"> PCPs to </w:t>
      </w:r>
      <w:r w:rsidR="00C12993">
        <w:t>recruit</w:t>
      </w:r>
      <w:r w:rsidR="00826568">
        <w:t xml:space="preserve"> 35 eligible PCPs for the study. </w:t>
      </w:r>
      <w:r w:rsidR="000240EA">
        <w:t xml:space="preserve">Eligible </w:t>
      </w:r>
      <w:r w:rsidR="006026AB">
        <w:t xml:space="preserve">PCPs </w:t>
      </w:r>
      <w:r w:rsidR="0093515A">
        <w:t>who</w:t>
      </w:r>
      <w:r w:rsidR="000240EA">
        <w:t xml:space="preserve"> complete the interview will </w:t>
      </w:r>
      <w:r w:rsidR="00EE1D7E">
        <w:t>be offered</w:t>
      </w:r>
      <w:r w:rsidR="000240EA">
        <w:t xml:space="preserve"> $2</w:t>
      </w:r>
      <w:r w:rsidR="006026AB">
        <w:t>00</w:t>
      </w:r>
      <w:r w:rsidR="000240EA">
        <w:t xml:space="preserve"> </w:t>
      </w:r>
      <w:r w:rsidR="006C02CB">
        <w:t xml:space="preserve">a token of </w:t>
      </w:r>
      <w:r w:rsidR="000240EA">
        <w:t>appreciation.</w:t>
      </w:r>
      <w:r w:rsidR="006026AB">
        <w:t xml:space="preserve"> </w:t>
      </w:r>
      <w:r w:rsidR="000240EA">
        <w:t xml:space="preserve">A copy of the </w:t>
      </w:r>
      <w:r w:rsidR="000240EA">
        <w:lastRenderedPageBreak/>
        <w:t>introductory email, screener</w:t>
      </w:r>
      <w:r w:rsidR="00975B24">
        <w:t>,</w:t>
      </w:r>
      <w:r w:rsidR="000240EA">
        <w:t xml:space="preserve"> and </w:t>
      </w:r>
      <w:r w:rsidR="00E13D5C">
        <w:t xml:space="preserve">interview </w:t>
      </w:r>
      <w:r w:rsidR="000240EA">
        <w:t xml:space="preserve">invitation for eligible </w:t>
      </w:r>
      <w:r w:rsidR="00826568">
        <w:t>PCP</w:t>
      </w:r>
      <w:r w:rsidR="00E13D5C">
        <w:t>s</w:t>
      </w:r>
      <w:r w:rsidR="00826568">
        <w:t xml:space="preserve"> </w:t>
      </w:r>
      <w:r w:rsidR="000240EA">
        <w:t>is included in Appendix B.</w:t>
      </w:r>
    </w:p>
    <w:p w14:paraId="304D2B51" w14:textId="01890FDA" w:rsidR="000240EA" w:rsidRDefault="000240EA" w:rsidP="00B974E7">
      <w:pPr>
        <w:pStyle w:val="ListParagraph"/>
        <w:tabs>
          <w:tab w:val="left" w:pos="360"/>
        </w:tabs>
        <w:autoSpaceDE w:val="0"/>
        <w:autoSpaceDN w:val="0"/>
        <w:adjustRightInd w:val="0"/>
        <w:ind w:left="0"/>
      </w:pPr>
    </w:p>
    <w:p w14:paraId="6244A089" w14:textId="37B7B3EE" w:rsidR="007023DB" w:rsidRDefault="007023DB" w:rsidP="006C02CB">
      <w:pPr>
        <w:pStyle w:val="ListParagraph"/>
        <w:tabs>
          <w:tab w:val="left" w:pos="360"/>
        </w:tabs>
        <w:autoSpaceDE w:val="0"/>
        <w:autoSpaceDN w:val="0"/>
        <w:adjustRightInd w:val="0"/>
      </w:pPr>
      <w:r>
        <w:t xml:space="preserve">Inclusion criteria </w:t>
      </w:r>
      <w:r w:rsidR="00607815">
        <w:t xml:space="preserve">for </w:t>
      </w:r>
      <w:r w:rsidR="006026AB">
        <w:t>both HCP group</w:t>
      </w:r>
      <w:r w:rsidR="00607815">
        <w:t>s</w:t>
      </w:r>
      <w:r w:rsidR="006026AB">
        <w:t xml:space="preserve"> include</w:t>
      </w:r>
      <w:r>
        <w:t>:</w:t>
      </w:r>
    </w:p>
    <w:p w14:paraId="1D7E7A5E" w14:textId="77777777" w:rsidR="006C02CB" w:rsidRDefault="006C02CB" w:rsidP="005B0D6D">
      <w:pPr>
        <w:pStyle w:val="ListParagraph"/>
        <w:tabs>
          <w:tab w:val="left" w:pos="360"/>
        </w:tabs>
        <w:autoSpaceDE w:val="0"/>
        <w:autoSpaceDN w:val="0"/>
        <w:adjustRightInd w:val="0"/>
      </w:pPr>
    </w:p>
    <w:p w14:paraId="7DCF9D7A" w14:textId="175A7E4B" w:rsidR="007023DB" w:rsidRDefault="007023DB" w:rsidP="005B0D6D">
      <w:pPr>
        <w:pStyle w:val="ListParagraph"/>
        <w:numPr>
          <w:ilvl w:val="0"/>
          <w:numId w:val="30"/>
        </w:numPr>
        <w:tabs>
          <w:tab w:val="left" w:pos="360"/>
        </w:tabs>
        <w:autoSpaceDE w:val="0"/>
        <w:autoSpaceDN w:val="0"/>
        <w:adjustRightInd w:val="0"/>
        <w:ind w:left="1440"/>
      </w:pPr>
      <w:r>
        <w:t>Practicing oncologist</w:t>
      </w:r>
      <w:r w:rsidR="006026AB">
        <w:t xml:space="preserve"> or PCP</w:t>
      </w:r>
    </w:p>
    <w:p w14:paraId="4CA16039" w14:textId="580610B8" w:rsidR="00A50011" w:rsidRDefault="002A6942" w:rsidP="005B0D6D">
      <w:pPr>
        <w:pStyle w:val="ListParagraph"/>
        <w:numPr>
          <w:ilvl w:val="0"/>
          <w:numId w:val="30"/>
        </w:numPr>
        <w:tabs>
          <w:tab w:val="left" w:pos="360"/>
        </w:tabs>
        <w:autoSpaceDE w:val="0"/>
        <w:autoSpaceDN w:val="0"/>
        <w:adjustRightInd w:val="0"/>
        <w:ind w:left="1440"/>
      </w:pPr>
      <w:r>
        <w:t>W</w:t>
      </w:r>
      <w:r w:rsidR="007023DB">
        <w:t>rite</w:t>
      </w:r>
      <w:r>
        <w:t>s</w:t>
      </w:r>
      <w:r w:rsidR="007023DB">
        <w:t xml:space="preserve"> 50 or more prescriptions per week</w:t>
      </w:r>
      <w:r w:rsidR="00A50011">
        <w:t xml:space="preserve"> </w:t>
      </w:r>
    </w:p>
    <w:p w14:paraId="25EB451C" w14:textId="7BBC3E07" w:rsidR="008B2F4F" w:rsidRDefault="00A50011" w:rsidP="005B0D6D">
      <w:pPr>
        <w:pStyle w:val="ListParagraph"/>
        <w:numPr>
          <w:ilvl w:val="0"/>
          <w:numId w:val="30"/>
        </w:numPr>
        <w:tabs>
          <w:tab w:val="left" w:pos="360"/>
        </w:tabs>
        <w:autoSpaceDE w:val="0"/>
        <w:autoSpaceDN w:val="0"/>
        <w:adjustRightInd w:val="0"/>
        <w:ind w:left="1440"/>
      </w:pPr>
      <w:r>
        <w:t>S</w:t>
      </w:r>
      <w:r w:rsidR="008B2F4F">
        <w:t>pend</w:t>
      </w:r>
      <w:r w:rsidR="002A6942">
        <w:t>s</w:t>
      </w:r>
      <w:r w:rsidR="008B2F4F">
        <w:t xml:space="preserve"> at least half of their time in direct patient care</w:t>
      </w:r>
    </w:p>
    <w:p w14:paraId="0869DC3E" w14:textId="05EE6839" w:rsidR="00A42B43" w:rsidRDefault="00A42B43" w:rsidP="005B0D6D">
      <w:pPr>
        <w:pStyle w:val="ListParagraph"/>
        <w:numPr>
          <w:ilvl w:val="0"/>
          <w:numId w:val="30"/>
        </w:numPr>
        <w:tabs>
          <w:tab w:val="left" w:pos="360"/>
        </w:tabs>
        <w:autoSpaceDE w:val="0"/>
        <w:autoSpaceDN w:val="0"/>
        <w:adjustRightInd w:val="0"/>
        <w:ind w:left="1440"/>
      </w:pPr>
      <w:r>
        <w:t>Access to a computer and high</w:t>
      </w:r>
      <w:r w:rsidR="00EE1D7E">
        <w:t>-</w:t>
      </w:r>
      <w:r>
        <w:t xml:space="preserve">speed Internet </w:t>
      </w:r>
      <w:r w:rsidR="002A6942">
        <w:t xml:space="preserve">for </w:t>
      </w:r>
      <w:r>
        <w:t>interview</w:t>
      </w:r>
    </w:p>
    <w:p w14:paraId="215AAAD4" w14:textId="6CB7C02E" w:rsidR="00A50011" w:rsidRPr="000D4CD0" w:rsidRDefault="00A50011" w:rsidP="005B0D6D">
      <w:pPr>
        <w:pStyle w:val="ListParagraph"/>
        <w:numPr>
          <w:ilvl w:val="0"/>
          <w:numId w:val="30"/>
        </w:numPr>
        <w:ind w:left="1440"/>
      </w:pPr>
      <w:r w:rsidRPr="000D4CD0">
        <w:t>Willing</w:t>
      </w:r>
      <w:r w:rsidRPr="00C211F3">
        <w:t>ness</w:t>
      </w:r>
      <w:r w:rsidRPr="000D4CD0">
        <w:t xml:space="preserve"> to have interview recorded</w:t>
      </w:r>
    </w:p>
    <w:p w14:paraId="4E275BD6" w14:textId="77777777" w:rsidR="007023DB" w:rsidRDefault="007023DB" w:rsidP="005B0D6D">
      <w:pPr>
        <w:pStyle w:val="ListParagraph"/>
        <w:tabs>
          <w:tab w:val="left" w:pos="360"/>
        </w:tabs>
        <w:autoSpaceDE w:val="0"/>
        <w:autoSpaceDN w:val="0"/>
        <w:adjustRightInd w:val="0"/>
      </w:pPr>
    </w:p>
    <w:p w14:paraId="56FAEED1" w14:textId="182937E0" w:rsidR="007023DB" w:rsidRDefault="007023DB" w:rsidP="006C02CB">
      <w:pPr>
        <w:pStyle w:val="ListParagraph"/>
        <w:tabs>
          <w:tab w:val="left" w:pos="360"/>
        </w:tabs>
        <w:autoSpaceDE w:val="0"/>
        <w:autoSpaceDN w:val="0"/>
        <w:adjustRightInd w:val="0"/>
      </w:pPr>
      <w:r>
        <w:t xml:space="preserve">Exclusion criteria </w:t>
      </w:r>
      <w:r w:rsidR="006026AB">
        <w:t>for both HCP groups include</w:t>
      </w:r>
      <w:r>
        <w:t>:</w:t>
      </w:r>
    </w:p>
    <w:p w14:paraId="00514A0C" w14:textId="77777777" w:rsidR="006C02CB" w:rsidRDefault="006C02CB" w:rsidP="005B0D6D">
      <w:pPr>
        <w:pStyle w:val="ListParagraph"/>
        <w:tabs>
          <w:tab w:val="left" w:pos="360"/>
        </w:tabs>
        <w:autoSpaceDE w:val="0"/>
        <w:autoSpaceDN w:val="0"/>
        <w:adjustRightInd w:val="0"/>
      </w:pPr>
    </w:p>
    <w:p w14:paraId="73A8AC1A" w14:textId="1F53C60D" w:rsidR="007023DB" w:rsidRDefault="007023DB" w:rsidP="005B0D6D">
      <w:pPr>
        <w:pStyle w:val="ListParagraph"/>
        <w:numPr>
          <w:ilvl w:val="0"/>
          <w:numId w:val="30"/>
        </w:numPr>
        <w:tabs>
          <w:tab w:val="left" w:pos="360"/>
        </w:tabs>
        <w:autoSpaceDE w:val="0"/>
        <w:autoSpaceDN w:val="0"/>
        <w:adjustRightInd w:val="0"/>
        <w:ind w:left="1440"/>
      </w:pPr>
      <w:r>
        <w:t>Work</w:t>
      </w:r>
      <w:r w:rsidR="006026AB">
        <w:t>s</w:t>
      </w:r>
      <w:r>
        <w:t xml:space="preserve"> in marketing, </w:t>
      </w:r>
      <w:r w:rsidRPr="008538A6">
        <w:t xml:space="preserve">advertising, or </w:t>
      </w:r>
      <w:r>
        <w:t xml:space="preserve">the </w:t>
      </w:r>
      <w:r w:rsidRPr="008538A6">
        <w:t xml:space="preserve">pharmaceutical </w:t>
      </w:r>
      <w:r>
        <w:t xml:space="preserve">industry </w:t>
      </w:r>
    </w:p>
    <w:p w14:paraId="28DF5C08" w14:textId="5C826D82" w:rsidR="007023DB" w:rsidRDefault="007023DB" w:rsidP="005B0D6D">
      <w:pPr>
        <w:pStyle w:val="ListParagraph"/>
        <w:numPr>
          <w:ilvl w:val="0"/>
          <w:numId w:val="30"/>
        </w:numPr>
        <w:tabs>
          <w:tab w:val="left" w:pos="360"/>
        </w:tabs>
        <w:autoSpaceDE w:val="0"/>
        <w:autoSpaceDN w:val="0"/>
        <w:adjustRightInd w:val="0"/>
        <w:ind w:left="1440"/>
      </w:pPr>
      <w:r>
        <w:t>W</w:t>
      </w:r>
      <w:r w:rsidRPr="008538A6">
        <w:t>ork</w:t>
      </w:r>
      <w:r w:rsidR="006026AB">
        <w:t>s</w:t>
      </w:r>
      <w:r w:rsidRPr="008538A6">
        <w:t xml:space="preserve"> for the Department of Health and Human Services </w:t>
      </w:r>
    </w:p>
    <w:p w14:paraId="1BDA58AE" w14:textId="74E11750" w:rsidR="007023DB" w:rsidRDefault="007023DB" w:rsidP="005B0D6D">
      <w:pPr>
        <w:pStyle w:val="ListParagraph"/>
        <w:numPr>
          <w:ilvl w:val="0"/>
          <w:numId w:val="30"/>
        </w:numPr>
        <w:tabs>
          <w:tab w:val="left" w:pos="360"/>
        </w:tabs>
        <w:autoSpaceDE w:val="0"/>
        <w:autoSpaceDN w:val="0"/>
        <w:adjustRightInd w:val="0"/>
        <w:ind w:left="1440"/>
      </w:pPr>
      <w:r>
        <w:t xml:space="preserve">Participated in a focus group or interview-based research within </w:t>
      </w:r>
      <w:r w:rsidR="00607815">
        <w:t xml:space="preserve">previous </w:t>
      </w:r>
      <w:r>
        <w:t>3 months</w:t>
      </w:r>
    </w:p>
    <w:p w14:paraId="3FC22E9A" w14:textId="29FA855E" w:rsidR="006026AB" w:rsidRDefault="006026AB" w:rsidP="007023DB">
      <w:pPr>
        <w:pStyle w:val="ListParagraph"/>
        <w:tabs>
          <w:tab w:val="left" w:pos="360"/>
        </w:tabs>
        <w:autoSpaceDE w:val="0"/>
        <w:autoSpaceDN w:val="0"/>
        <w:adjustRightInd w:val="0"/>
        <w:ind w:left="0"/>
      </w:pPr>
    </w:p>
    <w:p w14:paraId="3D27BF20" w14:textId="2E1E4715" w:rsidR="000D69FA" w:rsidRDefault="007023DB" w:rsidP="005B0D6D">
      <w:pPr>
        <w:pStyle w:val="ListParagraph"/>
        <w:tabs>
          <w:tab w:val="left" w:pos="360"/>
        </w:tabs>
        <w:autoSpaceDE w:val="0"/>
        <w:autoSpaceDN w:val="0"/>
        <w:adjustRightInd w:val="0"/>
      </w:pPr>
      <w:r>
        <w:t xml:space="preserve">Once </w:t>
      </w:r>
      <w:r w:rsidR="006026AB">
        <w:t>the interview ha</w:t>
      </w:r>
      <w:r w:rsidR="00607815">
        <w:t xml:space="preserve">s </w:t>
      </w:r>
      <w:r w:rsidR="006026AB">
        <w:t>been scheduled</w:t>
      </w:r>
      <w:r w:rsidR="00607815">
        <w:t xml:space="preserve"> by phone, a</w:t>
      </w:r>
      <w:r w:rsidR="006026AB">
        <w:t xml:space="preserve"> </w:t>
      </w:r>
      <w:r w:rsidRPr="00470C11">
        <w:t xml:space="preserve">confirmation email letter </w:t>
      </w:r>
      <w:r w:rsidR="006026AB">
        <w:t xml:space="preserve">will be sent to </w:t>
      </w:r>
      <w:r w:rsidRPr="00470C11">
        <w:t xml:space="preserve">the </w:t>
      </w:r>
      <w:r w:rsidR="0021757E">
        <w:t xml:space="preserve">recruited </w:t>
      </w:r>
      <w:r w:rsidR="00577001">
        <w:t xml:space="preserve">HCP </w:t>
      </w:r>
      <w:r w:rsidR="006026AB">
        <w:t xml:space="preserve">(Appendix C) </w:t>
      </w:r>
      <w:r w:rsidRPr="00470C11">
        <w:t xml:space="preserve">outlining the overall purpose of the research, </w:t>
      </w:r>
      <w:r w:rsidR="00607815" w:rsidRPr="00607815">
        <w:t>confirm</w:t>
      </w:r>
      <w:r w:rsidR="0093515A">
        <w:t>ing</w:t>
      </w:r>
      <w:r w:rsidR="00607815">
        <w:t xml:space="preserve"> </w:t>
      </w:r>
      <w:r w:rsidR="00607815" w:rsidRPr="00607815">
        <w:t xml:space="preserve">the date and time </w:t>
      </w:r>
      <w:r w:rsidR="00607815">
        <w:t xml:space="preserve">for the interview, and </w:t>
      </w:r>
      <w:r w:rsidR="00D4709A">
        <w:t>provid</w:t>
      </w:r>
      <w:r w:rsidR="0093515A">
        <w:t>ing</w:t>
      </w:r>
      <w:r w:rsidR="00D4709A">
        <w:t xml:space="preserve"> the </w:t>
      </w:r>
      <w:r w:rsidR="00607815">
        <w:t>link to the WebEx for the interview</w:t>
      </w:r>
      <w:r w:rsidR="00D4709A">
        <w:t xml:space="preserve">. </w:t>
      </w:r>
      <w:r w:rsidR="002A6942">
        <w:t xml:space="preserve">An </w:t>
      </w:r>
      <w:r w:rsidR="008B2F4F" w:rsidRPr="00607815">
        <w:t xml:space="preserve">informed consent </w:t>
      </w:r>
      <w:r w:rsidR="008B2F4F" w:rsidRPr="004E5C97">
        <w:t xml:space="preserve">document (see </w:t>
      </w:r>
      <w:r w:rsidR="004E5C97">
        <w:t>Appendix</w:t>
      </w:r>
      <w:r w:rsidR="006026AB" w:rsidRPr="004E5C97">
        <w:t xml:space="preserve"> D</w:t>
      </w:r>
      <w:r w:rsidR="008B2F4F" w:rsidRPr="004E5C97">
        <w:t>)</w:t>
      </w:r>
      <w:r w:rsidR="008B2F4F" w:rsidRPr="00607815">
        <w:t xml:space="preserve"> will also be </w:t>
      </w:r>
      <w:r w:rsidR="00607815">
        <w:t xml:space="preserve">attached </w:t>
      </w:r>
      <w:r w:rsidR="00975B24">
        <w:t xml:space="preserve">to </w:t>
      </w:r>
      <w:r w:rsidR="00607815">
        <w:t>the confirmation email letter</w:t>
      </w:r>
      <w:r w:rsidR="000D69FA">
        <w:t>.</w:t>
      </w:r>
    </w:p>
    <w:p w14:paraId="08E0FC1A" w14:textId="2204C328" w:rsidR="00580940" w:rsidRDefault="00580940" w:rsidP="005B0D6D">
      <w:pPr>
        <w:pStyle w:val="ListParagraph"/>
        <w:tabs>
          <w:tab w:val="left" w:pos="360"/>
        </w:tabs>
        <w:autoSpaceDE w:val="0"/>
        <w:autoSpaceDN w:val="0"/>
        <w:adjustRightInd w:val="0"/>
      </w:pPr>
    </w:p>
    <w:p w14:paraId="0EBDA9B4" w14:textId="5C9DC33E" w:rsidR="007023DB" w:rsidRPr="00470C11" w:rsidRDefault="007023DB" w:rsidP="005B0D6D">
      <w:pPr>
        <w:pStyle w:val="ListParagraph"/>
        <w:tabs>
          <w:tab w:val="left" w:pos="360"/>
        </w:tabs>
        <w:autoSpaceDE w:val="0"/>
        <w:autoSpaceDN w:val="0"/>
        <w:adjustRightInd w:val="0"/>
      </w:pPr>
      <w:r w:rsidRPr="00607815">
        <w:t xml:space="preserve">Reckner </w:t>
      </w:r>
      <w:r w:rsidR="00607815">
        <w:t xml:space="preserve">and SERMO </w:t>
      </w:r>
      <w:r w:rsidRPr="00607815">
        <w:t xml:space="preserve">will send </w:t>
      </w:r>
      <w:r w:rsidR="005A77C0">
        <w:t>recruited HCP</w:t>
      </w:r>
      <w:r w:rsidR="00580940">
        <w:t>s’</w:t>
      </w:r>
      <w:r w:rsidRPr="00607815">
        <w:t xml:space="preserve"> first name</w:t>
      </w:r>
      <w:r w:rsidR="007C7DF4">
        <w:t>s</w:t>
      </w:r>
      <w:r w:rsidRPr="00607815">
        <w:t xml:space="preserve"> </w:t>
      </w:r>
      <w:r>
        <w:t xml:space="preserve">and </w:t>
      </w:r>
      <w:r w:rsidR="00580940">
        <w:t xml:space="preserve">scheduled interview dates to Westat.  </w:t>
      </w:r>
      <w:r>
        <w:t xml:space="preserve">Westat will </w:t>
      </w:r>
      <w:r w:rsidR="00580940">
        <w:t xml:space="preserve">provide periodic </w:t>
      </w:r>
      <w:r>
        <w:t>updates</w:t>
      </w:r>
      <w:r w:rsidR="00580940">
        <w:t xml:space="preserve"> </w:t>
      </w:r>
      <w:r>
        <w:t>about scheduled interviews</w:t>
      </w:r>
      <w:r w:rsidR="00580940">
        <w:t xml:space="preserve"> to FDA. </w:t>
      </w:r>
      <w:r w:rsidR="00E17768">
        <w:t>Two days prior</w:t>
      </w:r>
      <w:r w:rsidRPr="00470C11">
        <w:t xml:space="preserve"> to the </w:t>
      </w:r>
      <w:r w:rsidR="00607815">
        <w:t xml:space="preserve">scheduled </w:t>
      </w:r>
      <w:r w:rsidRPr="00470C11">
        <w:t>interview,</w:t>
      </w:r>
      <w:r w:rsidR="00D4709A">
        <w:t xml:space="preserve"> </w:t>
      </w:r>
      <w:r w:rsidR="00607815">
        <w:t xml:space="preserve">recruited </w:t>
      </w:r>
      <w:r w:rsidR="00580940">
        <w:t xml:space="preserve">HCPs </w:t>
      </w:r>
      <w:r w:rsidR="00D4709A">
        <w:t xml:space="preserve">will be sent </w:t>
      </w:r>
      <w:r w:rsidRPr="00470C11">
        <w:t xml:space="preserve">a reminder email and </w:t>
      </w:r>
      <w:r>
        <w:t>offer</w:t>
      </w:r>
      <w:r w:rsidR="0093515A">
        <w:t>ed</w:t>
      </w:r>
      <w:r>
        <w:t xml:space="preserve"> </w:t>
      </w:r>
      <w:r w:rsidRPr="00470C11">
        <w:t>an opportunity to decline participation, if they choose</w:t>
      </w:r>
      <w:r w:rsidR="00D4709A">
        <w:t xml:space="preserve"> (</w:t>
      </w:r>
      <w:r w:rsidR="004E5C97">
        <w:t>Appendix</w:t>
      </w:r>
      <w:r w:rsidR="00D4709A">
        <w:t xml:space="preserve"> E)</w:t>
      </w:r>
      <w:r w:rsidRPr="00470C11">
        <w:t>.  </w:t>
      </w:r>
    </w:p>
    <w:p w14:paraId="03861BC9" w14:textId="77777777" w:rsidR="007B774A" w:rsidRDefault="007B774A" w:rsidP="00E72206">
      <w:pPr>
        <w:pStyle w:val="ListParagraph"/>
        <w:tabs>
          <w:tab w:val="left" w:pos="360"/>
        </w:tabs>
        <w:autoSpaceDE w:val="0"/>
        <w:autoSpaceDN w:val="0"/>
        <w:adjustRightInd w:val="0"/>
        <w:ind w:left="0"/>
      </w:pPr>
      <w:bookmarkStart w:id="5" w:name="_Toc432670831"/>
      <w:bookmarkStart w:id="6" w:name="_Toc432670997"/>
      <w:bookmarkEnd w:id="2"/>
      <w:bookmarkEnd w:id="3"/>
      <w:bookmarkEnd w:id="4"/>
    </w:p>
    <w:p w14:paraId="4AE49043" w14:textId="77777777" w:rsidR="007B774A" w:rsidRDefault="007B774A" w:rsidP="005B0D6D">
      <w:pPr>
        <w:pStyle w:val="Heading11"/>
        <w:ind w:left="720"/>
        <w:jc w:val="left"/>
        <w:rPr>
          <w:rFonts w:ascii="Times New Roman" w:hAnsi="Times New Roman"/>
          <w:b w:val="0"/>
          <w:color w:val="auto"/>
          <w:sz w:val="24"/>
          <w:szCs w:val="24"/>
          <w:u w:val="single"/>
        </w:rPr>
      </w:pPr>
      <w:r>
        <w:rPr>
          <w:rFonts w:ascii="Times New Roman" w:hAnsi="Times New Roman"/>
          <w:b w:val="0"/>
          <w:color w:val="auto"/>
          <w:sz w:val="24"/>
          <w:szCs w:val="24"/>
          <w:u w:val="single"/>
        </w:rPr>
        <w:t>Data Collection Procedures</w:t>
      </w:r>
    </w:p>
    <w:p w14:paraId="3D7F348E" w14:textId="77777777" w:rsidR="007B774A" w:rsidRDefault="007B774A" w:rsidP="005B0D6D">
      <w:pPr>
        <w:pStyle w:val="Heading11"/>
        <w:ind w:left="720"/>
        <w:jc w:val="left"/>
        <w:rPr>
          <w:rFonts w:ascii="Times New Roman" w:hAnsi="Times New Roman"/>
          <w:b w:val="0"/>
          <w:color w:val="auto"/>
          <w:sz w:val="24"/>
          <w:szCs w:val="24"/>
          <w:u w:val="single"/>
        </w:rPr>
      </w:pPr>
    </w:p>
    <w:p w14:paraId="4533A2BA" w14:textId="6A22778E" w:rsidR="00F41FA5" w:rsidRDefault="007E5437" w:rsidP="005B0D6D">
      <w:pPr>
        <w:autoSpaceDE w:val="0"/>
        <w:autoSpaceDN w:val="0"/>
        <w:adjustRightInd w:val="0"/>
        <w:ind w:left="720"/>
        <w:jc w:val="both"/>
      </w:pPr>
      <w:bookmarkStart w:id="7" w:name="_Hlk17379782"/>
      <w:r w:rsidRPr="00BA1B29">
        <w:t xml:space="preserve">Data collection will be conducted </w:t>
      </w:r>
      <w:r w:rsidR="00D4709A">
        <w:t xml:space="preserve">remotely using </w:t>
      </w:r>
      <w:r>
        <w:t>WebEx.</w:t>
      </w:r>
      <w:r w:rsidR="00682BB9">
        <w:rPr>
          <w:bCs/>
        </w:rPr>
        <w:t xml:space="preserve"> </w:t>
      </w:r>
      <w:r w:rsidR="00C04278" w:rsidRPr="00BA1B29">
        <w:rPr>
          <w:bCs/>
        </w:rPr>
        <w:t xml:space="preserve">Trained </w:t>
      </w:r>
      <w:r w:rsidR="00C04278">
        <w:rPr>
          <w:bCs/>
        </w:rPr>
        <w:t>interviewers</w:t>
      </w:r>
      <w:r w:rsidR="00C04278" w:rsidRPr="00BA1B29">
        <w:rPr>
          <w:bCs/>
        </w:rPr>
        <w:t xml:space="preserve"> from Westat will conduct individual in-depth interviews</w:t>
      </w:r>
      <w:r w:rsidR="00F41FA5">
        <w:rPr>
          <w:bCs/>
        </w:rPr>
        <w:t xml:space="preserve"> with the two HCP groups</w:t>
      </w:r>
      <w:r w:rsidR="00FF63F1">
        <w:rPr>
          <w:bCs/>
        </w:rPr>
        <w:t xml:space="preserve">. </w:t>
      </w:r>
      <w:r w:rsidR="00F41FA5">
        <w:t>Prior to starting interview</w:t>
      </w:r>
      <w:r w:rsidR="00FF63F1">
        <w:t>s</w:t>
      </w:r>
      <w:r w:rsidR="00F41FA5">
        <w:t>, interviewer</w:t>
      </w:r>
      <w:r w:rsidR="0021293B">
        <w:t>s</w:t>
      </w:r>
      <w:r w:rsidR="00F41FA5">
        <w:t xml:space="preserve"> will review the informed</w:t>
      </w:r>
      <w:r w:rsidR="00A50011">
        <w:t xml:space="preserve"> </w:t>
      </w:r>
      <w:r w:rsidR="00F41FA5">
        <w:t xml:space="preserve">consent document sent to </w:t>
      </w:r>
      <w:r w:rsidR="0021293B">
        <w:t xml:space="preserve">HCP </w:t>
      </w:r>
      <w:r w:rsidR="00F41FA5">
        <w:t xml:space="preserve">participants </w:t>
      </w:r>
      <w:r w:rsidR="00A50011">
        <w:t>(</w:t>
      </w:r>
      <w:r w:rsidR="00A50011" w:rsidRPr="00871A9F">
        <w:rPr>
          <w:i/>
        </w:rPr>
        <w:t xml:space="preserve">sent in advance </w:t>
      </w:r>
      <w:r w:rsidR="00FF63F1" w:rsidRPr="00871A9F">
        <w:rPr>
          <w:i/>
        </w:rPr>
        <w:t xml:space="preserve">with </w:t>
      </w:r>
      <w:r w:rsidR="00A50011" w:rsidRPr="00871A9F">
        <w:rPr>
          <w:i/>
        </w:rPr>
        <w:t xml:space="preserve">the </w:t>
      </w:r>
      <w:r w:rsidR="00FF63F1" w:rsidRPr="00871A9F">
        <w:rPr>
          <w:i/>
        </w:rPr>
        <w:t xml:space="preserve">confirmation </w:t>
      </w:r>
      <w:r w:rsidR="00A50011" w:rsidRPr="00871A9F">
        <w:rPr>
          <w:i/>
        </w:rPr>
        <w:t xml:space="preserve">email </w:t>
      </w:r>
      <w:r w:rsidR="00FF63F1" w:rsidRPr="00871A9F">
        <w:rPr>
          <w:i/>
        </w:rPr>
        <w:t>letter</w:t>
      </w:r>
      <w:r w:rsidR="00FF63F1">
        <w:t xml:space="preserve">) and </w:t>
      </w:r>
      <w:r w:rsidR="004D0E0E">
        <w:t>r</w:t>
      </w:r>
      <w:r w:rsidR="00F41FA5">
        <w:t xml:space="preserve">equest </w:t>
      </w:r>
      <w:r w:rsidR="0021293B">
        <w:t xml:space="preserve">their </w:t>
      </w:r>
      <w:r w:rsidR="00FF63F1">
        <w:t xml:space="preserve">verbal </w:t>
      </w:r>
      <w:r w:rsidR="00FF63F1">
        <w:rPr>
          <w:iCs/>
        </w:rPr>
        <w:t xml:space="preserve">consent to participate in the study and record the interview. </w:t>
      </w:r>
      <w:r w:rsidR="00FF63F1">
        <w:t xml:space="preserve"> </w:t>
      </w:r>
    </w:p>
    <w:p w14:paraId="3DFC73AF" w14:textId="77777777" w:rsidR="00FF63F1" w:rsidRPr="00A50011" w:rsidRDefault="00FF63F1" w:rsidP="005B0D6D">
      <w:pPr>
        <w:ind w:left="720"/>
      </w:pPr>
    </w:p>
    <w:p w14:paraId="79D58297" w14:textId="2C948479" w:rsidR="007E5437" w:rsidRPr="00871A9F" w:rsidRDefault="007E5437" w:rsidP="005B0D6D">
      <w:pPr>
        <w:ind w:left="720"/>
      </w:pPr>
      <w:r w:rsidRPr="00A50011">
        <w:t>Using a semi-structured guide</w:t>
      </w:r>
      <w:r w:rsidR="00E17768" w:rsidRPr="00A50011">
        <w:t xml:space="preserve"> (Appendix </w:t>
      </w:r>
      <w:r w:rsidR="00D4709A" w:rsidRPr="00A50011">
        <w:t>F</w:t>
      </w:r>
      <w:r w:rsidR="007023DB" w:rsidRPr="00A50011">
        <w:t>)</w:t>
      </w:r>
      <w:r w:rsidRPr="00A50011">
        <w:t xml:space="preserve">, the interviewer will ask </w:t>
      </w:r>
      <w:r w:rsidR="008B034B">
        <w:t>HCP</w:t>
      </w:r>
      <w:r w:rsidR="00580940" w:rsidRPr="00A50011">
        <w:t xml:space="preserve"> participants </w:t>
      </w:r>
      <w:r w:rsidRPr="00A50011">
        <w:t>to describe how they learn</w:t>
      </w:r>
      <w:r w:rsidR="00D4709A" w:rsidRPr="00A50011">
        <w:t>ed</w:t>
      </w:r>
      <w:r w:rsidRPr="00A50011">
        <w:t xml:space="preserve"> about unapproved uses of approved prescription drugs, how </w:t>
      </w:r>
      <w:r w:rsidR="003F031C">
        <w:t>unsupportive</w:t>
      </w:r>
      <w:r w:rsidR="003F031C" w:rsidRPr="00A50011">
        <w:t xml:space="preserve"> </w:t>
      </w:r>
      <w:r w:rsidRPr="00A50011">
        <w:t xml:space="preserve">data affects their understanding and interpretation of the data and conclusions described in the unapproved use publication, and ways in which disclosures </w:t>
      </w:r>
      <w:r w:rsidR="00580940" w:rsidRPr="00A50011">
        <w:t>a</w:t>
      </w:r>
      <w:r w:rsidRPr="00A50011">
        <w:t xml:space="preserve">bout the </w:t>
      </w:r>
      <w:r w:rsidR="003F031C">
        <w:t>unsupportive</w:t>
      </w:r>
      <w:r w:rsidR="003F031C" w:rsidRPr="00A50011">
        <w:t xml:space="preserve"> </w:t>
      </w:r>
      <w:r w:rsidRPr="00A50011">
        <w:t xml:space="preserve">data could be worded. </w:t>
      </w:r>
      <w:r w:rsidRPr="00871A9F">
        <w:t xml:space="preserve">No sensitive questions will be asked of </w:t>
      </w:r>
      <w:r w:rsidR="00580940" w:rsidRPr="00871A9F">
        <w:t>HCP</w:t>
      </w:r>
      <w:r w:rsidR="00A50011" w:rsidRPr="00871A9F">
        <w:t xml:space="preserve"> </w:t>
      </w:r>
      <w:r w:rsidRPr="00871A9F">
        <w:t>participants.</w:t>
      </w:r>
      <w:r w:rsidR="00682BB9" w:rsidRPr="00871A9F">
        <w:t xml:space="preserve"> </w:t>
      </w:r>
      <w:r w:rsidR="00682BB9" w:rsidRPr="00A50011">
        <w:t xml:space="preserve">The expected length of </w:t>
      </w:r>
      <w:r w:rsidR="001344FF" w:rsidRPr="00A50011">
        <w:t xml:space="preserve">each </w:t>
      </w:r>
      <w:r w:rsidR="00682BB9" w:rsidRPr="00A50011">
        <w:t>interview is approximately 60 minutes.</w:t>
      </w:r>
    </w:p>
    <w:p w14:paraId="0EFFD645" w14:textId="77777777" w:rsidR="007E5437" w:rsidRPr="00BA1B29" w:rsidRDefault="007E5437" w:rsidP="007E5437">
      <w:pPr>
        <w:contextualSpacing/>
      </w:pPr>
    </w:p>
    <w:p w14:paraId="07CBBF68" w14:textId="4790DDE9" w:rsidR="007E5437" w:rsidRPr="00BA1B29" w:rsidRDefault="007E5437" w:rsidP="005B0D6D">
      <w:pPr>
        <w:autoSpaceDE w:val="0"/>
        <w:autoSpaceDN w:val="0"/>
        <w:adjustRightInd w:val="0"/>
        <w:ind w:left="720"/>
      </w:pPr>
      <w:r w:rsidRPr="00BA1B29">
        <w:t xml:space="preserve">Westat will </w:t>
      </w:r>
      <w:r w:rsidR="007023DB">
        <w:t xml:space="preserve">audio </w:t>
      </w:r>
      <w:r w:rsidRPr="00BA1B29">
        <w:t xml:space="preserve">record all interview sessions as well as provide remote login </w:t>
      </w:r>
      <w:r w:rsidR="00415B1D">
        <w:t>in order to allow</w:t>
      </w:r>
      <w:r w:rsidRPr="00BA1B29">
        <w:t xml:space="preserve"> FDA and </w:t>
      </w:r>
      <w:r w:rsidR="002E0119">
        <w:t xml:space="preserve">Westat </w:t>
      </w:r>
      <w:r w:rsidRPr="00BA1B29">
        <w:t xml:space="preserve">study staff to observe the sessions live. Observers will be </w:t>
      </w:r>
      <w:r>
        <w:t>muted once they log into the session,</w:t>
      </w:r>
      <w:r w:rsidR="00D63174">
        <w:t xml:space="preserve"> and</w:t>
      </w:r>
      <w:r>
        <w:t xml:space="preserve"> thus</w:t>
      </w:r>
      <w:r w:rsidRPr="00BA1B29">
        <w:t xml:space="preserve"> only the </w:t>
      </w:r>
      <w:r>
        <w:t>Westat interviewer</w:t>
      </w:r>
      <w:r w:rsidRPr="00BA1B29">
        <w:t xml:space="preserve"> will </w:t>
      </w:r>
      <w:r>
        <w:t xml:space="preserve">be able to </w:t>
      </w:r>
      <w:r w:rsidRPr="00BA1B29">
        <w:t xml:space="preserve">interact with the participant. </w:t>
      </w:r>
    </w:p>
    <w:p w14:paraId="3230DE87" w14:textId="52F63501" w:rsidR="000D69FA" w:rsidRDefault="007023DB" w:rsidP="005B0D6D">
      <w:pPr>
        <w:ind w:left="720"/>
      </w:pPr>
      <w:r>
        <w:t>Westat</w:t>
      </w:r>
      <w:r w:rsidR="007E5437" w:rsidRPr="00BA1B29">
        <w:t xml:space="preserve"> will comply with safeguards for ensuring participant information is kept </w:t>
      </w:r>
      <w:r w:rsidR="00A95F64">
        <w:t xml:space="preserve">secure </w:t>
      </w:r>
      <w:r w:rsidR="007E5437" w:rsidRPr="00BA1B29">
        <w:t>to the extent permitted by law. The last names of the participants will not appear on any materials. Verbatim quotes included in the final report will not be attributed to any individual.</w:t>
      </w:r>
      <w:r w:rsidR="009820CC">
        <w:t xml:space="preserve"> </w:t>
      </w:r>
    </w:p>
    <w:bookmarkEnd w:id="7"/>
    <w:bookmarkEnd w:id="5"/>
    <w:bookmarkEnd w:id="6"/>
    <w:p w14:paraId="75CC8449" w14:textId="77777777" w:rsidR="00353E0B" w:rsidRDefault="00353E0B" w:rsidP="00272D81"/>
    <w:p w14:paraId="41FBCC98" w14:textId="6770C61F" w:rsidR="003F1C7A" w:rsidRPr="00825E0D" w:rsidRDefault="006F243C" w:rsidP="00F12AEE">
      <w:pPr>
        <w:numPr>
          <w:ilvl w:val="0"/>
          <w:numId w:val="15"/>
        </w:numPr>
        <w:tabs>
          <w:tab w:val="num" w:pos="720"/>
        </w:tabs>
        <w:ind w:left="720"/>
      </w:pPr>
      <w:r>
        <w:rPr>
          <w:b/>
        </w:rPr>
        <w:t>Confidentiality of Respondents</w:t>
      </w:r>
      <w:r w:rsidR="0049419A" w:rsidRPr="00735060">
        <w:rPr>
          <w:b/>
        </w:rPr>
        <w:t>:</w:t>
      </w:r>
    </w:p>
    <w:p w14:paraId="73E4C898" w14:textId="77777777" w:rsidR="0049419A" w:rsidRDefault="0049419A" w:rsidP="00C13B38"/>
    <w:p w14:paraId="2AF06635" w14:textId="77777777" w:rsidR="00C13B38" w:rsidRPr="00C13B38" w:rsidRDefault="00C13B38" w:rsidP="005B0D6D">
      <w:pPr>
        <w:ind w:left="720"/>
        <w:rPr>
          <w:i/>
        </w:rPr>
      </w:pPr>
      <w:r w:rsidRPr="00C13B38">
        <w:rPr>
          <w:i/>
        </w:rPr>
        <w:t xml:space="preserve">Assurance of Privacy Provided to Participants </w:t>
      </w:r>
    </w:p>
    <w:p w14:paraId="6ED9D4DC" w14:textId="77777777" w:rsidR="0021293B" w:rsidRDefault="0021293B" w:rsidP="005B0D6D">
      <w:pPr>
        <w:ind w:left="720"/>
      </w:pPr>
      <w:bookmarkStart w:id="8" w:name="_Hlk17379924"/>
    </w:p>
    <w:p w14:paraId="710BCE70" w14:textId="171EC5CE" w:rsidR="0021293B" w:rsidRDefault="006613DD" w:rsidP="005B0D6D">
      <w:pPr>
        <w:ind w:left="720"/>
      </w:pPr>
      <w:r>
        <w:t>R</w:t>
      </w:r>
      <w:r w:rsidR="000D69FA">
        <w:t xml:space="preserve">ecruited </w:t>
      </w:r>
      <w:r w:rsidR="00AE212C">
        <w:t xml:space="preserve">HCPs </w:t>
      </w:r>
      <w:r w:rsidR="00577001">
        <w:t>w</w:t>
      </w:r>
      <w:r w:rsidR="004A5201" w:rsidRPr="00881932">
        <w:t xml:space="preserve">ill </w:t>
      </w:r>
      <w:r w:rsidR="00D07819">
        <w:t>receive</w:t>
      </w:r>
      <w:r w:rsidR="00A50011">
        <w:t xml:space="preserve"> an </w:t>
      </w:r>
      <w:r w:rsidR="004A5201" w:rsidRPr="00881932">
        <w:t xml:space="preserve">informed consent </w:t>
      </w:r>
      <w:r w:rsidR="001344FF">
        <w:t>document</w:t>
      </w:r>
      <w:r w:rsidR="0021293B">
        <w:t xml:space="preserve"> (</w:t>
      </w:r>
      <w:r>
        <w:t>Appendix D</w:t>
      </w:r>
      <w:r w:rsidR="0021293B">
        <w:t xml:space="preserve">) </w:t>
      </w:r>
      <w:r w:rsidR="00A50011">
        <w:t xml:space="preserve">in advance of the interview. The document </w:t>
      </w:r>
      <w:r w:rsidR="004A5201" w:rsidRPr="00881932">
        <w:rPr>
          <w:iCs/>
        </w:rPr>
        <w:t>explain</w:t>
      </w:r>
      <w:r w:rsidR="004A5201">
        <w:rPr>
          <w:iCs/>
        </w:rPr>
        <w:t>s</w:t>
      </w:r>
      <w:r w:rsidR="004A5201" w:rsidRPr="00881932">
        <w:rPr>
          <w:iCs/>
        </w:rPr>
        <w:t xml:space="preserve"> the </w:t>
      </w:r>
      <w:r w:rsidR="00E942BD">
        <w:rPr>
          <w:iCs/>
        </w:rPr>
        <w:t xml:space="preserve">study’s </w:t>
      </w:r>
      <w:r w:rsidR="004A5201" w:rsidRPr="00881932">
        <w:rPr>
          <w:iCs/>
        </w:rPr>
        <w:t xml:space="preserve">purpose, </w:t>
      </w:r>
      <w:r w:rsidR="00040BFF">
        <w:rPr>
          <w:iCs/>
        </w:rPr>
        <w:t xml:space="preserve">participant </w:t>
      </w:r>
      <w:r w:rsidR="004A5201" w:rsidRPr="00881932">
        <w:rPr>
          <w:iCs/>
        </w:rPr>
        <w:t>rights, benefits and risks (minimal) of the study</w:t>
      </w:r>
      <w:r w:rsidR="000C2D62">
        <w:rPr>
          <w:iCs/>
        </w:rPr>
        <w:t xml:space="preserve">, and </w:t>
      </w:r>
      <w:r w:rsidR="008E09D0">
        <w:rPr>
          <w:iCs/>
        </w:rPr>
        <w:t>provides them with a contact</w:t>
      </w:r>
      <w:r w:rsidR="003D00F1">
        <w:rPr>
          <w:iCs/>
        </w:rPr>
        <w:t xml:space="preserve"> name</w:t>
      </w:r>
      <w:r w:rsidR="00D63174">
        <w:rPr>
          <w:iCs/>
        </w:rPr>
        <w:t xml:space="preserve">, </w:t>
      </w:r>
      <w:r w:rsidR="003D00F1">
        <w:rPr>
          <w:iCs/>
        </w:rPr>
        <w:t>email</w:t>
      </w:r>
      <w:r w:rsidR="00D63174">
        <w:rPr>
          <w:iCs/>
        </w:rPr>
        <w:t>,</w:t>
      </w:r>
      <w:r w:rsidR="003D00F1">
        <w:rPr>
          <w:iCs/>
        </w:rPr>
        <w:t xml:space="preserve"> and phone number should </w:t>
      </w:r>
      <w:r w:rsidR="008E09D0">
        <w:rPr>
          <w:iCs/>
        </w:rPr>
        <w:t>they have questions about the stud</w:t>
      </w:r>
      <w:r w:rsidR="00040BFF">
        <w:rPr>
          <w:iCs/>
        </w:rPr>
        <w:t xml:space="preserve">y. </w:t>
      </w:r>
      <w:r w:rsidR="00C41977">
        <w:t xml:space="preserve">The </w:t>
      </w:r>
      <w:r w:rsidR="002154A6">
        <w:t>document</w:t>
      </w:r>
      <w:r w:rsidR="00C41977">
        <w:t xml:space="preserve"> </w:t>
      </w:r>
      <w:r w:rsidR="00755192">
        <w:t xml:space="preserve">also </w:t>
      </w:r>
      <w:r w:rsidR="00C41977">
        <w:t xml:space="preserve">notifies participants </w:t>
      </w:r>
      <w:r w:rsidR="00577001">
        <w:t xml:space="preserve">that interviews will be </w:t>
      </w:r>
      <w:r w:rsidR="00C41977">
        <w:t>audio record</w:t>
      </w:r>
      <w:r w:rsidR="00577001">
        <w:t xml:space="preserve">ed </w:t>
      </w:r>
      <w:r w:rsidR="00C41977">
        <w:t xml:space="preserve">and </w:t>
      </w:r>
      <w:r w:rsidR="00577001">
        <w:t xml:space="preserve">observers will be </w:t>
      </w:r>
      <w:r>
        <w:t>viewing t</w:t>
      </w:r>
      <w:r w:rsidR="00577001">
        <w:t>he interviews</w:t>
      </w:r>
      <w:r>
        <w:t xml:space="preserve"> remotely</w:t>
      </w:r>
      <w:r w:rsidR="00577001">
        <w:t xml:space="preserve">. </w:t>
      </w:r>
      <w:r w:rsidR="00755192">
        <w:t xml:space="preserve"> </w:t>
      </w:r>
    </w:p>
    <w:p w14:paraId="025AE883" w14:textId="77777777" w:rsidR="0021293B" w:rsidRDefault="0021293B" w:rsidP="005B0D6D">
      <w:pPr>
        <w:ind w:left="720"/>
      </w:pPr>
    </w:p>
    <w:p w14:paraId="2801E006" w14:textId="3F157A80" w:rsidR="007232E9" w:rsidRDefault="0021293B" w:rsidP="005B0D6D">
      <w:pPr>
        <w:ind w:left="720"/>
      </w:pPr>
      <w:r>
        <w:rPr>
          <w:iCs/>
        </w:rPr>
        <w:t>T</w:t>
      </w:r>
      <w:r w:rsidR="008E09D0">
        <w:rPr>
          <w:iCs/>
        </w:rPr>
        <w:t xml:space="preserve">he interviewer will review the key elements </w:t>
      </w:r>
      <w:r w:rsidR="00A50011">
        <w:rPr>
          <w:iCs/>
        </w:rPr>
        <w:t xml:space="preserve">of the informed consent document </w:t>
      </w:r>
      <w:r w:rsidR="00FF63F1">
        <w:rPr>
          <w:iCs/>
        </w:rPr>
        <w:t xml:space="preserve">(e.g., study purpose, participant rights, potential risks and benefits, presence of observers) </w:t>
      </w:r>
      <w:r w:rsidR="008E09D0">
        <w:rPr>
          <w:iCs/>
        </w:rPr>
        <w:t>wit</w:t>
      </w:r>
      <w:r w:rsidR="00FF63F1">
        <w:rPr>
          <w:iCs/>
        </w:rPr>
        <w:t>h HCP participants at the beginning of the interview. HCP participants</w:t>
      </w:r>
      <w:r w:rsidR="00AE212C">
        <w:rPr>
          <w:iCs/>
        </w:rPr>
        <w:t xml:space="preserve"> </w:t>
      </w:r>
      <w:r w:rsidR="00040BFF">
        <w:rPr>
          <w:iCs/>
        </w:rPr>
        <w:t>will then be asked to provide their verbal consent to participate in the study and record the interview.</w:t>
      </w:r>
      <w:r w:rsidR="007232E9">
        <w:rPr>
          <w:iCs/>
        </w:rPr>
        <w:t xml:space="preserve"> </w:t>
      </w:r>
      <w:r w:rsidR="007232E9">
        <w:t xml:space="preserve"> </w:t>
      </w:r>
      <w:r w:rsidR="002154A6">
        <w:t>I</w:t>
      </w:r>
      <w:r w:rsidR="007232E9">
        <w:t xml:space="preserve">n the event verbal consent for the audio recording is not given, the interview will not proceed and efforts will be made to schedule a replacement interview. </w:t>
      </w:r>
    </w:p>
    <w:p w14:paraId="132961B3" w14:textId="77777777" w:rsidR="003D00F1" w:rsidRDefault="003D00F1" w:rsidP="005B0D6D">
      <w:pPr>
        <w:ind w:left="720"/>
        <w:rPr>
          <w:iCs/>
        </w:rPr>
      </w:pPr>
    </w:p>
    <w:p w14:paraId="54453FC5" w14:textId="0076BBFB" w:rsidR="00C13B38" w:rsidRDefault="00C13B38" w:rsidP="005B0D6D">
      <w:pPr>
        <w:ind w:left="720"/>
      </w:pPr>
      <w:r>
        <w:t xml:space="preserve">All data will be collected with an assurance that responses will remain private to the extent allowable by law. Both the </w:t>
      </w:r>
      <w:r w:rsidR="00040BFF">
        <w:t xml:space="preserve">informed </w:t>
      </w:r>
      <w:r>
        <w:t xml:space="preserve">consent </w:t>
      </w:r>
      <w:r w:rsidR="003D00F1">
        <w:t xml:space="preserve">document </w:t>
      </w:r>
      <w:r>
        <w:t xml:space="preserve">and the </w:t>
      </w:r>
      <w:r w:rsidR="007E5437">
        <w:t xml:space="preserve">interview </w:t>
      </w:r>
      <w:r>
        <w:t xml:space="preserve">guide contain a statement emphasizing that no one will be able to link a participant’s identity to his or her responses. </w:t>
      </w:r>
      <w:r w:rsidR="00040BFF">
        <w:t>I</w:t>
      </w:r>
      <w:r w:rsidR="007E5437">
        <w:t xml:space="preserve">nterviewers </w:t>
      </w:r>
      <w:r>
        <w:t>will not ask participants to provide identifying information</w:t>
      </w:r>
      <w:r w:rsidR="007232E9">
        <w:t xml:space="preserve"> </w:t>
      </w:r>
      <w:r w:rsidR="003D00F1">
        <w:t>beyond their first name</w:t>
      </w:r>
      <w:r w:rsidR="00040BFF">
        <w:t>s</w:t>
      </w:r>
      <w:r w:rsidR="007232E9">
        <w:t>. In addition, a</w:t>
      </w:r>
      <w:r w:rsidR="008B2F4F">
        <w:t xml:space="preserve">ny quotations used in </w:t>
      </w:r>
      <w:r w:rsidR="007232E9">
        <w:t xml:space="preserve">a </w:t>
      </w:r>
      <w:r w:rsidR="008B2F4F">
        <w:t>report will not be linked to individual respondents</w:t>
      </w:r>
      <w:r>
        <w:t xml:space="preserve">. Further, no identifying information will be included in the data files delivered by </w:t>
      </w:r>
      <w:r w:rsidR="00272D81">
        <w:t>Westat</w:t>
      </w:r>
      <w:r>
        <w:t xml:space="preserve"> to FDA. </w:t>
      </w:r>
    </w:p>
    <w:p w14:paraId="345E3B22" w14:textId="77777777" w:rsidR="00040BFF" w:rsidRDefault="00040BFF" w:rsidP="005B0D6D">
      <w:pPr>
        <w:ind w:left="720"/>
      </w:pPr>
    </w:p>
    <w:p w14:paraId="102A62DA" w14:textId="50980F78" w:rsidR="007232E9" w:rsidRDefault="00C13B38" w:rsidP="005B0D6D">
      <w:pPr>
        <w:ind w:left="720"/>
      </w:pPr>
      <w:r>
        <w:t xml:space="preserve">All </w:t>
      </w:r>
      <w:r w:rsidR="00040BFF">
        <w:t xml:space="preserve">interviews </w:t>
      </w:r>
      <w:r>
        <w:t>will be audio recorded for reporting purposes</w:t>
      </w:r>
      <w:r w:rsidR="00040BFF">
        <w:t xml:space="preserve"> and </w:t>
      </w:r>
      <w:r>
        <w:t xml:space="preserve">will be livestreamed for observers. </w:t>
      </w:r>
      <w:r w:rsidR="007232E9">
        <w:t>Both livestreamed and recorded interviews will only be viewed</w:t>
      </w:r>
      <w:r w:rsidR="007232E9" w:rsidRPr="007232E9">
        <w:t xml:space="preserve"> </w:t>
      </w:r>
      <w:r w:rsidR="007232E9">
        <w:t xml:space="preserve">by FDA and Westat </w:t>
      </w:r>
      <w:r w:rsidR="000E48F4">
        <w:t xml:space="preserve">project </w:t>
      </w:r>
      <w:r w:rsidR="007232E9">
        <w:t xml:space="preserve">staff. </w:t>
      </w:r>
      <w:r>
        <w:t>Livestreaming connections will be secure, using industry-standard firewalls and security practices. All data will be encrypted in transit using HTTPS. All equipment will be operated and maintained according to industry-standard practices, and all software validated using industry-standard quality assurance practices.</w:t>
      </w:r>
      <w:r w:rsidR="00ED0EE3">
        <w:rPr>
          <w:rFonts w:ascii="MS Mincho" w:eastAsia="MS Mincho" w:hAnsi="MS Mincho" w:cs="MS Mincho" w:hint="eastAsia"/>
        </w:rPr>
        <w:t xml:space="preserve"> </w:t>
      </w:r>
      <w:r>
        <w:t xml:space="preserve">Audio recordings will be used to create transcriptions of the interview sessions for reporting purposes and destroyed </w:t>
      </w:r>
      <w:r w:rsidR="00C41977">
        <w:t xml:space="preserve">within three years after project completion. </w:t>
      </w:r>
      <w:r>
        <w:t xml:space="preserve"> </w:t>
      </w:r>
    </w:p>
    <w:p w14:paraId="7AF3C297" w14:textId="77777777" w:rsidR="007232E9" w:rsidRDefault="007232E9" w:rsidP="00C13B38"/>
    <w:p w14:paraId="07F956DF" w14:textId="0512D7D3" w:rsidR="00C13B38" w:rsidRDefault="00C13B38" w:rsidP="005B0D6D">
      <w:pPr>
        <w:ind w:left="720"/>
      </w:pPr>
      <w:r>
        <w:t xml:space="preserve">After data collection is completed, </w:t>
      </w:r>
      <w:r w:rsidR="004A5201">
        <w:t xml:space="preserve">Westat will provide </w:t>
      </w:r>
      <w:r>
        <w:t xml:space="preserve">FDA </w:t>
      </w:r>
      <w:r w:rsidR="004A5201">
        <w:t>with</w:t>
      </w:r>
      <w:r>
        <w:t xml:space="preserve"> copies of transcripts of all audio</w:t>
      </w:r>
      <w:r w:rsidR="00D63174">
        <w:t xml:space="preserve"> </w:t>
      </w:r>
      <w:r>
        <w:t xml:space="preserve">recorded interviews. These transcripts will be provided to FDA </w:t>
      </w:r>
      <w:r w:rsidR="002154A6">
        <w:t>as</w:t>
      </w:r>
      <w:r>
        <w:t xml:space="preserve"> a written record of the sessions. To ensure participant privacy, all PII</w:t>
      </w:r>
      <w:r w:rsidR="00E330DE">
        <w:t xml:space="preserve"> other than first names </w:t>
      </w:r>
      <w:r>
        <w:t>will be redacted from the transcripts before delivery to FDA.</w:t>
      </w:r>
    </w:p>
    <w:p w14:paraId="03866F99" w14:textId="77777777" w:rsidR="00C13B38" w:rsidRDefault="00C13B38" w:rsidP="00C13B38"/>
    <w:p w14:paraId="5773F81A" w14:textId="77777777" w:rsidR="00C13B38" w:rsidRPr="00C13B38" w:rsidRDefault="00C13B38" w:rsidP="005B0D6D">
      <w:pPr>
        <w:ind w:left="720"/>
        <w:rPr>
          <w:i/>
        </w:rPr>
      </w:pPr>
      <w:r w:rsidRPr="00C13B38">
        <w:rPr>
          <w:i/>
        </w:rPr>
        <w:t xml:space="preserve">Record Keeping and Confidentiality </w:t>
      </w:r>
    </w:p>
    <w:p w14:paraId="1701EE24" w14:textId="77777777" w:rsidR="00C13B38" w:rsidRDefault="00C13B38" w:rsidP="005B0D6D">
      <w:pPr>
        <w:ind w:left="720"/>
      </w:pPr>
    </w:p>
    <w:p w14:paraId="63D46000" w14:textId="77777777" w:rsidR="007E5437" w:rsidRDefault="007E5437" w:rsidP="005B0D6D">
      <w:pPr>
        <w:ind w:left="720"/>
      </w:pPr>
      <w:r w:rsidRPr="00BA1B29">
        <w:t xml:space="preserve">The following procedures will be used to ensure participant confidentiality before, during, and after fielding: </w:t>
      </w:r>
    </w:p>
    <w:p w14:paraId="6573DEC7" w14:textId="77777777" w:rsidR="007E5437" w:rsidRPr="00BA1B29" w:rsidRDefault="007E5437" w:rsidP="005B0D6D">
      <w:pPr>
        <w:ind w:left="360"/>
      </w:pPr>
    </w:p>
    <w:p w14:paraId="29365F05" w14:textId="06EF6A60" w:rsidR="007E5437" w:rsidRDefault="00E330DE" w:rsidP="005B0D6D">
      <w:pPr>
        <w:numPr>
          <w:ilvl w:val="0"/>
          <w:numId w:val="31"/>
        </w:numPr>
        <w:ind w:left="1080"/>
      </w:pPr>
      <w:r>
        <w:t xml:space="preserve">Reckner Healthcare and SERMO will </w:t>
      </w:r>
      <w:r w:rsidR="00373E08">
        <w:t xml:space="preserve">recruit </w:t>
      </w:r>
      <w:r w:rsidR="001563A2">
        <w:t xml:space="preserve">and schedule </w:t>
      </w:r>
      <w:r>
        <w:t xml:space="preserve">participants </w:t>
      </w:r>
      <w:r w:rsidR="00373E08">
        <w:t xml:space="preserve">from </w:t>
      </w:r>
      <w:r>
        <w:t xml:space="preserve">their </w:t>
      </w:r>
      <w:r w:rsidR="00373C8F">
        <w:t xml:space="preserve">respective </w:t>
      </w:r>
      <w:r>
        <w:t>opted-in panels</w:t>
      </w:r>
      <w:r w:rsidRPr="00374184">
        <w:t xml:space="preserve">. </w:t>
      </w:r>
      <w:r w:rsidR="001563A2" w:rsidRPr="00374184">
        <w:t>O</w:t>
      </w:r>
      <w:r w:rsidRPr="00374184">
        <w:t xml:space="preserve">nly first names of </w:t>
      </w:r>
      <w:r w:rsidR="003F4691" w:rsidRPr="00374184">
        <w:t xml:space="preserve">participants that </w:t>
      </w:r>
      <w:r w:rsidRPr="00374184">
        <w:t>have been scheduled for interviews</w:t>
      </w:r>
      <w:r w:rsidR="00373C8F" w:rsidRPr="00374184">
        <w:t xml:space="preserve"> will be provided to Westat</w:t>
      </w:r>
      <w:r w:rsidRPr="00374184">
        <w:t>.</w:t>
      </w:r>
      <w:r>
        <w:t xml:space="preserve"> </w:t>
      </w:r>
      <w:r w:rsidR="007E5437">
        <w:t xml:space="preserve"> </w:t>
      </w:r>
      <w:r>
        <w:t xml:space="preserve">Any interview materials Westat shares with FDA will only contain </w:t>
      </w:r>
      <w:r w:rsidR="003F4691">
        <w:t xml:space="preserve">participants’ </w:t>
      </w:r>
      <w:r>
        <w:t>first names and whether they are a PCP or an oncologist.</w:t>
      </w:r>
    </w:p>
    <w:p w14:paraId="7274A9DA" w14:textId="433BA213" w:rsidR="00373E08" w:rsidRDefault="00373E08" w:rsidP="005B0D6D">
      <w:pPr>
        <w:ind w:left="1080"/>
      </w:pPr>
    </w:p>
    <w:p w14:paraId="4B102E7E" w14:textId="29D0AB4F" w:rsidR="007B42F8" w:rsidRDefault="007E5437" w:rsidP="005B0D6D">
      <w:pPr>
        <w:pStyle w:val="ListParagraph"/>
        <w:numPr>
          <w:ilvl w:val="0"/>
          <w:numId w:val="31"/>
        </w:numPr>
        <w:ind w:left="1080"/>
      </w:pPr>
      <w:r>
        <w:t>During the interviews, participants will be addressed only</w:t>
      </w:r>
      <w:r w:rsidR="00E330DE">
        <w:t xml:space="preserve"> by their first names.  Any PII (</w:t>
      </w:r>
      <w:r w:rsidR="00E330DE" w:rsidRPr="003F4691">
        <w:t xml:space="preserve">beyond the first name) </w:t>
      </w:r>
      <w:r w:rsidRPr="003F4691">
        <w:t>shared</w:t>
      </w:r>
      <w:r>
        <w:t xml:space="preserve"> during the interview will be redacted from transcripts</w:t>
      </w:r>
      <w:r w:rsidR="006613DD">
        <w:t xml:space="preserve">. </w:t>
      </w:r>
      <w:r>
        <w:t xml:space="preserve"> </w:t>
      </w:r>
    </w:p>
    <w:p w14:paraId="72122D4A" w14:textId="7FB53CA9" w:rsidR="00373E08" w:rsidRDefault="00373E08" w:rsidP="005B0D6D">
      <w:pPr>
        <w:ind w:left="1080"/>
      </w:pPr>
    </w:p>
    <w:p w14:paraId="1A09BDED" w14:textId="4548C5A6" w:rsidR="007E5437" w:rsidRPr="00BA1B29" w:rsidRDefault="007E5437" w:rsidP="005B0D6D">
      <w:pPr>
        <w:ind w:left="1080" w:hanging="360"/>
      </w:pPr>
      <w:r>
        <w:t>3</w:t>
      </w:r>
      <w:r w:rsidRPr="00BA1B29">
        <w:t xml:space="preserve">. </w:t>
      </w:r>
      <w:r>
        <w:t xml:space="preserve">  </w:t>
      </w:r>
      <w:r w:rsidRPr="00BA1B29">
        <w:t xml:space="preserve">Respondent </w:t>
      </w:r>
      <w:r w:rsidR="00373E08">
        <w:t>quotes used in report</w:t>
      </w:r>
      <w:r w:rsidR="002C54F8">
        <w:t xml:space="preserve">s </w:t>
      </w:r>
      <w:r w:rsidRPr="00BA1B29">
        <w:t xml:space="preserve">will not be </w:t>
      </w:r>
      <w:r w:rsidR="00373E08">
        <w:t xml:space="preserve">associated with any names or attributed to specific </w:t>
      </w:r>
      <w:r w:rsidRPr="00BA1B29">
        <w:t>participants.</w:t>
      </w:r>
    </w:p>
    <w:p w14:paraId="02C7EA65" w14:textId="77777777" w:rsidR="007E5437" w:rsidRDefault="007E5437" w:rsidP="007E5437"/>
    <w:p w14:paraId="4A77C822" w14:textId="2ADFC8A9" w:rsidR="007E5437" w:rsidRPr="00BA1B29" w:rsidRDefault="007E5437" w:rsidP="005B0D6D">
      <w:pPr>
        <w:ind w:left="720"/>
      </w:pPr>
      <w:r w:rsidRPr="00BA1B29">
        <w:t xml:space="preserve">Contractors will not share personal information regarding participants with any third party without participants’ permission unless it is required by law to protect their rights or to comply with judicial proceedings, court orders, or other legal processes. This possibility will be disclosed in the informed consent </w:t>
      </w:r>
      <w:r w:rsidR="00A25F10">
        <w:t>document.</w:t>
      </w:r>
      <w:r w:rsidRPr="00BA1B29">
        <w:t xml:space="preserve"> </w:t>
      </w:r>
    </w:p>
    <w:p w14:paraId="1678AA6A" w14:textId="77C55B95" w:rsidR="00A25F10" w:rsidRDefault="00A25F10" w:rsidP="005B0D6D">
      <w:pPr>
        <w:ind w:left="720"/>
      </w:pPr>
    </w:p>
    <w:p w14:paraId="38BD980A" w14:textId="39E1C7B1" w:rsidR="007E5437" w:rsidRPr="00BA1B29" w:rsidRDefault="007E5437" w:rsidP="005B0D6D">
      <w:pPr>
        <w:ind w:left="720"/>
      </w:pPr>
      <w:r w:rsidRPr="00BA1B29">
        <w:t xml:space="preserve">All identifying information, including information collected during screening, will be kept on a separate password-protected computer and/or in locked cabinets for a period of </w:t>
      </w:r>
      <w:r w:rsidR="004E5C97">
        <w:t xml:space="preserve">no longer than </w:t>
      </w:r>
      <w:r w:rsidRPr="00BA1B29">
        <w:t>three years</w:t>
      </w:r>
      <w:r w:rsidR="00A25F10">
        <w:t xml:space="preserve"> after the project is complete</w:t>
      </w:r>
      <w:r w:rsidR="00EE1D7E">
        <w:t>,</w:t>
      </w:r>
      <w:r w:rsidRPr="00BA1B29">
        <w:t xml:space="preserve"> after which they will be destroyed by securely shredding documents or permanently deleting electronic information. In the case of a breach of confidentiality, appropriate steps will be taken to notify participants. </w:t>
      </w:r>
    </w:p>
    <w:p w14:paraId="5C7E797E" w14:textId="77777777" w:rsidR="007E5437" w:rsidRPr="00BA1B29" w:rsidRDefault="007E5437" w:rsidP="005B0D6D">
      <w:pPr>
        <w:ind w:left="720"/>
      </w:pPr>
    </w:p>
    <w:p w14:paraId="7B07CA03" w14:textId="77777777" w:rsidR="007E5437" w:rsidRPr="00BA1B29" w:rsidRDefault="007E5437" w:rsidP="005B0D6D">
      <w:pPr>
        <w:ind w:left="720"/>
      </w:pPr>
      <w:r w:rsidRPr="00BA1B29">
        <w:t>All data will also be maintained in consistency with the FDA Privacy Act &amp; Applicable System of Records Notices #09-10-0009 (Special Studies and Surveys on FDA Regulated Products).</w:t>
      </w:r>
    </w:p>
    <w:bookmarkEnd w:id="8"/>
    <w:p w14:paraId="0566E21E" w14:textId="77777777" w:rsidR="006F243C" w:rsidRDefault="006F243C" w:rsidP="00F12AEE">
      <w:pPr>
        <w:ind w:left="720"/>
      </w:pPr>
    </w:p>
    <w:p w14:paraId="56FD421C" w14:textId="77777777" w:rsidR="00E26798" w:rsidRPr="00E215FA" w:rsidRDefault="0049419A" w:rsidP="0049419A">
      <w:pPr>
        <w:numPr>
          <w:ilvl w:val="0"/>
          <w:numId w:val="15"/>
        </w:numPr>
        <w:tabs>
          <w:tab w:val="num" w:pos="720"/>
        </w:tabs>
        <w:ind w:left="720"/>
        <w:rPr>
          <w:b/>
        </w:rPr>
      </w:pPr>
      <w:r>
        <w:rPr>
          <w:b/>
        </w:rPr>
        <w:t>Amount and justification for any proposed incentive:</w:t>
      </w:r>
      <w:r w:rsidR="003F1C7A">
        <w:t xml:space="preserve"> </w:t>
      </w:r>
    </w:p>
    <w:p w14:paraId="4CDE0244" w14:textId="77777777" w:rsidR="00833E4F" w:rsidRDefault="00833E4F" w:rsidP="00833E4F">
      <w:pPr>
        <w:pStyle w:val="ListParagraph"/>
        <w:ind w:left="0"/>
      </w:pPr>
    </w:p>
    <w:p w14:paraId="0DD9D035" w14:textId="26442374" w:rsidR="00AD75DC" w:rsidRPr="00B3555F" w:rsidRDefault="00AD75DC" w:rsidP="005B0D6D">
      <w:pPr>
        <w:pStyle w:val="ListParagraph"/>
      </w:pPr>
      <w:r w:rsidRPr="00B3555F">
        <w:t xml:space="preserve">Historically, physicians are one of the most difficult populations to survey, partly because of the demands on their professional time.  Consequently, incentives assume an even greater importance with this group. Several studies (e.g., </w:t>
      </w:r>
      <w:r w:rsidR="007B689F">
        <w:t>Refs. 1-3</w:t>
      </w:r>
      <w:r w:rsidRPr="001F4497">
        <w:t>) have discussed the challenges of conducting research with HCPs and have concluded that offering substantial incentives is necessary to attain high response rates</w:t>
      </w:r>
      <w:r w:rsidRPr="00B3555F">
        <w:t>.</w:t>
      </w:r>
    </w:p>
    <w:p w14:paraId="4F590174" w14:textId="18BBD5CF" w:rsidR="00AD75DC" w:rsidRPr="001F4497" w:rsidRDefault="00AD75DC" w:rsidP="005B0D6D">
      <w:pPr>
        <w:pStyle w:val="ListParagraph"/>
      </w:pPr>
    </w:p>
    <w:p w14:paraId="325C0CBB" w14:textId="212BDF87" w:rsidR="00787854" w:rsidRPr="00374184" w:rsidRDefault="00AD75DC" w:rsidP="005B0D6D">
      <w:pPr>
        <w:pStyle w:val="Default"/>
        <w:ind w:left="720"/>
        <w:rPr>
          <w:rFonts w:ascii="Times New Roman" w:hAnsi="Times New Roman" w:cs="Times New Roman"/>
        </w:rPr>
      </w:pPr>
      <w:r w:rsidRPr="002154A6">
        <w:rPr>
          <w:rFonts w:ascii="Times New Roman" w:hAnsi="Times New Roman" w:cs="Times New Roman"/>
        </w:rPr>
        <w:t xml:space="preserve">Recruiting physicians to participate in research has been shown to be difficult for reasons related primarily to the time burden (Ref. </w:t>
      </w:r>
      <w:r w:rsidR="007B689F">
        <w:rPr>
          <w:rFonts w:ascii="Times New Roman" w:hAnsi="Times New Roman" w:cs="Times New Roman"/>
        </w:rPr>
        <w:t>4</w:t>
      </w:r>
      <w:r w:rsidRPr="002154A6">
        <w:rPr>
          <w:rFonts w:ascii="Times New Roman" w:hAnsi="Times New Roman" w:cs="Times New Roman"/>
        </w:rPr>
        <w:t xml:space="preserve">). Physicians’ time is limited and, thus, quite valuable. Cash incentives, rather than nonmonetary gifts or lottery entries, can help improve response rates and survey completion rates (Refs. </w:t>
      </w:r>
      <w:r w:rsidR="007B689F">
        <w:rPr>
          <w:rFonts w:ascii="Times New Roman" w:hAnsi="Times New Roman" w:cs="Times New Roman"/>
        </w:rPr>
        <w:t>5-8</w:t>
      </w:r>
      <w:r w:rsidRPr="002154A6">
        <w:rPr>
          <w:rFonts w:ascii="Times New Roman" w:hAnsi="Times New Roman" w:cs="Times New Roman"/>
        </w:rPr>
        <w:t xml:space="preserve">). A meta-analysis on methodologies for improving response rates in physician surveys examined 21 studies published between 1981 and 2006 that investigated the effect of monetary incentives on response rates in surveys of physicians.  The authors found that the odds of responding to a survey with an incentive were 2.13 times greater than responding to a survey without incentives (Ref. </w:t>
      </w:r>
      <w:r w:rsidR="007B689F">
        <w:rPr>
          <w:rFonts w:ascii="Times New Roman" w:hAnsi="Times New Roman" w:cs="Times New Roman"/>
        </w:rPr>
        <w:t>9</w:t>
      </w:r>
      <w:r w:rsidRPr="002154A6">
        <w:rPr>
          <w:rFonts w:ascii="Times New Roman" w:hAnsi="Times New Roman" w:cs="Times New Roman"/>
        </w:rPr>
        <w:t xml:space="preserve">). Martins </w:t>
      </w:r>
      <w:r w:rsidR="007B689F">
        <w:rPr>
          <w:rFonts w:ascii="Times New Roman" w:hAnsi="Times New Roman" w:cs="Times New Roman"/>
        </w:rPr>
        <w:t xml:space="preserve">and colleagues </w:t>
      </w:r>
      <w:r w:rsidRPr="002154A6">
        <w:rPr>
          <w:rFonts w:ascii="Times New Roman" w:hAnsi="Times New Roman" w:cs="Times New Roman"/>
        </w:rPr>
        <w:t xml:space="preserve">conducted a review of published oncology-focused studies to investigate methods for improving response rates. Their meta-analysis also showed that monetary incentives were effective at increasing response rates (Ref. </w:t>
      </w:r>
      <w:r w:rsidR="007B689F">
        <w:rPr>
          <w:rFonts w:ascii="Times New Roman" w:hAnsi="Times New Roman" w:cs="Times New Roman"/>
        </w:rPr>
        <w:t>10</w:t>
      </w:r>
      <w:r w:rsidRPr="002154A6">
        <w:rPr>
          <w:rFonts w:ascii="Times New Roman" w:hAnsi="Times New Roman" w:cs="Times New Roman"/>
        </w:rPr>
        <w:t xml:space="preserve">). </w:t>
      </w:r>
      <w:r w:rsidR="00B3555F" w:rsidRPr="002154A6">
        <w:rPr>
          <w:rFonts w:ascii="Times New Roman" w:hAnsi="Times New Roman" w:cs="Times New Roman"/>
        </w:rPr>
        <w:t xml:space="preserve"> </w:t>
      </w:r>
      <w:r w:rsidR="00787854" w:rsidRPr="002154A6">
        <w:rPr>
          <w:rFonts w:ascii="Times New Roman" w:hAnsi="Times New Roman" w:cs="Times New Roman"/>
        </w:rPr>
        <w:t xml:space="preserve">Previous research also suggests that providing incentives may help reduce sampling bias by increasing rates among individuals who are typically less likely to participate in research (such as </w:t>
      </w:r>
      <w:r w:rsidR="0079417B">
        <w:rPr>
          <w:rFonts w:ascii="Times New Roman" w:hAnsi="Times New Roman" w:cs="Times New Roman"/>
        </w:rPr>
        <w:t>PCPs</w:t>
      </w:r>
      <w:r w:rsidR="00787854" w:rsidRPr="002154A6">
        <w:rPr>
          <w:rFonts w:ascii="Times New Roman" w:hAnsi="Times New Roman" w:cs="Times New Roman"/>
        </w:rPr>
        <w:t xml:space="preserve"> or physician specialists, e.g., Refs. </w:t>
      </w:r>
      <w:r w:rsidR="007B689F">
        <w:rPr>
          <w:rFonts w:ascii="Times New Roman" w:hAnsi="Times New Roman" w:cs="Times New Roman"/>
        </w:rPr>
        <w:t>11-12</w:t>
      </w:r>
      <w:r w:rsidR="00787854" w:rsidRPr="002154A6">
        <w:rPr>
          <w:rFonts w:ascii="Times New Roman" w:hAnsi="Times New Roman" w:cs="Times New Roman"/>
        </w:rPr>
        <w:t>) and ensuring participation from a cross section of physicians, which will improve data quality by improving validity and reliability.</w:t>
      </w:r>
    </w:p>
    <w:p w14:paraId="10613063" w14:textId="77777777" w:rsidR="00787854" w:rsidRDefault="00787854" w:rsidP="005B0D6D">
      <w:pPr>
        <w:pStyle w:val="ListParagraph"/>
      </w:pPr>
    </w:p>
    <w:p w14:paraId="68329E0E" w14:textId="2BD53924" w:rsidR="00787854" w:rsidRDefault="00B3555F" w:rsidP="005B0D6D">
      <w:pPr>
        <w:pStyle w:val="ListParagraph"/>
      </w:pPr>
      <w:r>
        <w:t xml:space="preserve">In the current study, we </w:t>
      </w:r>
      <w:r w:rsidR="0066030A">
        <w:t>will offer</w:t>
      </w:r>
      <w:r w:rsidR="00787854">
        <w:t xml:space="preserve"> incentives in the amount of</w:t>
      </w:r>
      <w:r w:rsidR="0066030A">
        <w:t xml:space="preserve"> </w:t>
      </w:r>
      <w:r w:rsidR="00EE79A7" w:rsidRPr="00EE79A7">
        <w:t xml:space="preserve">$200 for PCPs and $275 for oncologists for one hour of interview time. </w:t>
      </w:r>
      <w:r w:rsidR="0066030A">
        <w:t>The proposed incentive amounts are below typical market incentive rates</w:t>
      </w:r>
      <w:r>
        <w:t xml:space="preserve">. </w:t>
      </w:r>
      <w:r w:rsidR="0066030A">
        <w:t>Although market incentive rates for physicians are approximately $250 to $350 for similar research activities, with higher rates for specialists, the flexibility that our interview methodology affords—</w:t>
      </w:r>
      <w:r w:rsidR="007E5437">
        <w:t xml:space="preserve"> remote interviews in which physicians can participate from their offices and conducted around </w:t>
      </w:r>
      <w:r w:rsidR="007023DB">
        <w:t>their</w:t>
      </w:r>
      <w:r w:rsidR="007E5437">
        <w:t xml:space="preserve"> schedules</w:t>
      </w:r>
      <w:r w:rsidR="007E5437" w:rsidDel="007E5437">
        <w:t xml:space="preserve"> </w:t>
      </w:r>
      <w:r w:rsidR="0066030A">
        <w:t>—</w:t>
      </w:r>
      <w:r w:rsidR="007E7811">
        <w:t xml:space="preserve">helps </w:t>
      </w:r>
      <w:r w:rsidR="0066030A">
        <w:t xml:space="preserve">offset the lower </w:t>
      </w:r>
      <w:r w:rsidR="007E7811">
        <w:t>token of appreciation</w:t>
      </w:r>
      <w:r w:rsidR="0066030A">
        <w:t xml:space="preserve">. </w:t>
      </w:r>
    </w:p>
    <w:p w14:paraId="164489CE" w14:textId="77777777" w:rsidR="00DA31FF" w:rsidRDefault="00DA31FF" w:rsidP="0066030A">
      <w:pPr>
        <w:pStyle w:val="ListParagraph"/>
        <w:ind w:left="0"/>
      </w:pPr>
    </w:p>
    <w:p w14:paraId="5D1456D9" w14:textId="3967E014" w:rsidR="0066030A" w:rsidRDefault="0066030A" w:rsidP="005B0D6D">
      <w:pPr>
        <w:pStyle w:val="ListParagraph"/>
      </w:pPr>
      <w:r>
        <w:t>When applied in a reasonable manner, incentives are not an unjust inducement and are an approach that acknowledges respondents for their participation.  The use of incentives treats participants justly and with respect by recognizing and acknowledging the effort they expend to participate. In this particular study, we are asking HCPs to provide thought-intensive, open-ended feedback on materials that require a high level of engagement.</w:t>
      </w:r>
    </w:p>
    <w:p w14:paraId="7054BC5D" w14:textId="77777777" w:rsidR="00DA31FF" w:rsidRDefault="00DA31FF" w:rsidP="005B0D6D">
      <w:pPr>
        <w:pStyle w:val="ListParagraph"/>
      </w:pPr>
    </w:p>
    <w:p w14:paraId="471A10AD" w14:textId="79BE1CBD" w:rsidR="0066030A" w:rsidRDefault="0066030A" w:rsidP="005B0D6D">
      <w:pPr>
        <w:pStyle w:val="ListParagraph"/>
      </w:pPr>
      <w:r>
        <w:t xml:space="preserve">To address below-market incentive rates and ensure successful recruitment and fielding, </w:t>
      </w:r>
      <w:r w:rsidR="007E7811">
        <w:t xml:space="preserve">Westat will </w:t>
      </w:r>
      <w:r>
        <w:t xml:space="preserve">coordinate closely </w:t>
      </w:r>
      <w:r w:rsidR="007023DB">
        <w:t xml:space="preserve">with </w:t>
      </w:r>
      <w:r>
        <w:t xml:space="preserve">FDA to monitor recruitment status. Additionally, we will ensure that other considerations are in place to increase </w:t>
      </w:r>
      <w:r w:rsidR="007023DB">
        <w:t xml:space="preserve">the </w:t>
      </w:r>
      <w:r>
        <w:t xml:space="preserve">likelihood of participation, such as: </w:t>
      </w:r>
    </w:p>
    <w:p w14:paraId="4DFE920A" w14:textId="77777777" w:rsidR="00DA31FF" w:rsidRDefault="00DA31FF" w:rsidP="005B0D6D">
      <w:pPr>
        <w:pStyle w:val="ListParagraph"/>
        <w:ind w:left="360"/>
      </w:pPr>
    </w:p>
    <w:p w14:paraId="3A3577A1" w14:textId="448F743A" w:rsidR="0066030A" w:rsidRDefault="0066030A" w:rsidP="005B0D6D">
      <w:pPr>
        <w:pStyle w:val="ListParagraph"/>
        <w:numPr>
          <w:ilvl w:val="0"/>
          <w:numId w:val="28"/>
        </w:numPr>
        <w:ind w:left="1440"/>
      </w:pPr>
      <w:r>
        <w:t>Ensuring an adequate recruiting period before the start of fielding (as well as ongoing recruiting</w:t>
      </w:r>
      <w:r w:rsidR="007023DB">
        <w:t>,</w:t>
      </w:r>
      <w:r>
        <w:t xml:space="preserve"> as needed</w:t>
      </w:r>
      <w:r w:rsidR="007023DB">
        <w:t>,</w:t>
      </w:r>
      <w:r>
        <w:t xml:space="preserve"> during fielding period</w:t>
      </w:r>
      <w:r w:rsidR="007023DB">
        <w:t>)</w:t>
      </w:r>
      <w:r>
        <w:t xml:space="preserve">; </w:t>
      </w:r>
    </w:p>
    <w:p w14:paraId="303B27D7" w14:textId="77777777" w:rsidR="00F81144" w:rsidRDefault="00F81144" w:rsidP="005B0D6D">
      <w:pPr>
        <w:pStyle w:val="ListParagraph"/>
        <w:ind w:left="1440"/>
      </w:pPr>
    </w:p>
    <w:p w14:paraId="68744077" w14:textId="52D9FCF0" w:rsidR="0066030A" w:rsidRDefault="0066030A" w:rsidP="005B0D6D">
      <w:pPr>
        <w:pStyle w:val="ListParagraph"/>
        <w:numPr>
          <w:ilvl w:val="0"/>
          <w:numId w:val="28"/>
        </w:numPr>
        <w:ind w:left="1440"/>
      </w:pPr>
      <w:r>
        <w:t>Availability of sessions at time slots that, in our experience, have been popular among HCPs—for example, early morning, evenings, lunch; and</w:t>
      </w:r>
    </w:p>
    <w:p w14:paraId="4ED9FB82" w14:textId="77777777" w:rsidR="00F81144" w:rsidRDefault="00F81144" w:rsidP="005B0D6D">
      <w:pPr>
        <w:pStyle w:val="ListParagraph"/>
        <w:ind w:left="1080"/>
      </w:pPr>
    </w:p>
    <w:p w14:paraId="1B9281BF" w14:textId="46CFC034" w:rsidR="00833E4F" w:rsidRDefault="0066030A" w:rsidP="005B0D6D">
      <w:pPr>
        <w:pStyle w:val="ListParagraph"/>
        <w:numPr>
          <w:ilvl w:val="0"/>
          <w:numId w:val="28"/>
        </w:numPr>
        <w:ind w:left="1440"/>
      </w:pPr>
      <w:r>
        <w:t xml:space="preserve">Having the flexibility and appropriate staff </w:t>
      </w:r>
      <w:r w:rsidR="007023DB">
        <w:t xml:space="preserve">available </w:t>
      </w:r>
      <w:r>
        <w:t>to run concurrent sessions to leverage popular session times.</w:t>
      </w:r>
    </w:p>
    <w:p w14:paraId="5E8835DB" w14:textId="77777777" w:rsidR="0066030A" w:rsidRDefault="0066030A" w:rsidP="0066030A">
      <w:pPr>
        <w:pStyle w:val="ListParagraph"/>
        <w:ind w:left="0"/>
      </w:pPr>
    </w:p>
    <w:p w14:paraId="2A86F89D" w14:textId="77777777" w:rsidR="00140A0D" w:rsidRDefault="00140A0D" w:rsidP="00140A0D">
      <w:pPr>
        <w:numPr>
          <w:ilvl w:val="0"/>
          <w:numId w:val="15"/>
        </w:numPr>
        <w:tabs>
          <w:tab w:val="num" w:pos="720"/>
          <w:tab w:val="num" w:pos="900"/>
        </w:tabs>
        <w:ind w:left="720"/>
        <w:rPr>
          <w:b/>
        </w:rPr>
      </w:pPr>
      <w:r>
        <w:rPr>
          <w:b/>
        </w:rPr>
        <w:t>Questions of a Sensitive Nature:</w:t>
      </w:r>
    </w:p>
    <w:p w14:paraId="16FC61A6" w14:textId="77777777" w:rsidR="009742AD" w:rsidRDefault="009742AD" w:rsidP="009742AD">
      <w:pPr>
        <w:pStyle w:val="ListParagraph"/>
      </w:pPr>
    </w:p>
    <w:p w14:paraId="6B3AE323" w14:textId="77777777" w:rsidR="003919D8" w:rsidRPr="00B57E8B" w:rsidRDefault="003919D8" w:rsidP="005B0D6D">
      <w:pPr>
        <w:pStyle w:val="ListParagraph"/>
        <w:ind w:left="0" w:firstLine="720"/>
      </w:pPr>
      <w:r>
        <w:t>None.</w:t>
      </w:r>
    </w:p>
    <w:p w14:paraId="4D289AA5" w14:textId="77777777" w:rsidR="00140A0D" w:rsidRDefault="00140A0D" w:rsidP="00140A0D">
      <w:pPr>
        <w:pStyle w:val="ListParagraph"/>
      </w:pPr>
    </w:p>
    <w:p w14:paraId="29C17932" w14:textId="2B0D6508" w:rsidR="00140A0D" w:rsidRDefault="00140A0D" w:rsidP="00140A0D">
      <w:pPr>
        <w:numPr>
          <w:ilvl w:val="0"/>
          <w:numId w:val="15"/>
        </w:numPr>
        <w:tabs>
          <w:tab w:val="num" w:pos="720"/>
          <w:tab w:val="num" w:pos="900"/>
        </w:tabs>
        <w:ind w:left="720"/>
        <w:rPr>
          <w:b/>
        </w:rPr>
      </w:pPr>
      <w:r>
        <w:rPr>
          <w:b/>
        </w:rPr>
        <w:t>Description of Statistical Methods (</w:t>
      </w:r>
      <w:r w:rsidR="008A7B8B">
        <w:rPr>
          <w:b/>
        </w:rPr>
        <w:t>i</w:t>
      </w:r>
      <w:r w:rsidR="00E971FC">
        <w:rPr>
          <w:b/>
        </w:rPr>
        <w:t>.</w:t>
      </w:r>
      <w:r w:rsidR="008A7B8B">
        <w:rPr>
          <w:b/>
        </w:rPr>
        <w:t>e</w:t>
      </w:r>
      <w:r w:rsidR="00E971FC">
        <w:rPr>
          <w:b/>
        </w:rPr>
        <w:t xml:space="preserve">. </w:t>
      </w:r>
      <w:r>
        <w:rPr>
          <w:b/>
        </w:rPr>
        <w:t>Sample Size &amp; Method of Selection):</w:t>
      </w:r>
    </w:p>
    <w:p w14:paraId="7E53310D" w14:textId="77777777" w:rsidR="00DA31FF" w:rsidRDefault="00DA31FF" w:rsidP="00DA31FF">
      <w:pPr>
        <w:pStyle w:val="Heading2"/>
        <w:jc w:val="left"/>
        <w:rPr>
          <w:b w:val="0"/>
          <w:bCs w:val="0"/>
        </w:rPr>
      </w:pPr>
      <w:bookmarkStart w:id="9" w:name="_Toc508302255"/>
    </w:p>
    <w:bookmarkEnd w:id="9"/>
    <w:p w14:paraId="213D4DD8" w14:textId="014881B4" w:rsidR="00C62353" w:rsidRDefault="0063232F" w:rsidP="005B0D6D">
      <w:pPr>
        <w:ind w:left="720"/>
      </w:pPr>
      <w:r>
        <w:t>Stati</w:t>
      </w:r>
      <w:r w:rsidR="006613DD">
        <w:t xml:space="preserve">stical methods </w:t>
      </w:r>
      <w:r w:rsidR="00C975E4">
        <w:t xml:space="preserve">to recruit </w:t>
      </w:r>
      <w:r w:rsidR="006613DD">
        <w:t xml:space="preserve">representative samples will not be used </w:t>
      </w:r>
      <w:r>
        <w:t xml:space="preserve">in this study.  </w:t>
      </w:r>
      <w:r w:rsidR="00DE00B8" w:rsidRPr="0050277D">
        <w:t>This study</w:t>
      </w:r>
      <w:r w:rsidR="0093227E">
        <w:t xml:space="preserve"> </w:t>
      </w:r>
      <w:r w:rsidR="00DE00B8">
        <w:t>employs</w:t>
      </w:r>
      <w:r w:rsidR="00812A6C">
        <w:t xml:space="preserve"> </w:t>
      </w:r>
      <w:r w:rsidR="00DE00B8">
        <w:t>qualitative methods</w:t>
      </w:r>
      <w:r w:rsidR="0093227E">
        <w:t xml:space="preserve"> and uses convenien</w:t>
      </w:r>
      <w:r w:rsidR="0079417B">
        <w:t>ce</w:t>
      </w:r>
      <w:r w:rsidR="0093227E">
        <w:t xml:space="preserve"> sample</w:t>
      </w:r>
      <w:r w:rsidR="00305795">
        <w:t>s</w:t>
      </w:r>
      <w:r w:rsidR="0093227E">
        <w:t xml:space="preserve">. </w:t>
      </w:r>
      <w:r w:rsidR="006613DD">
        <w:t>HCP</w:t>
      </w:r>
      <w:r w:rsidR="00C975E4">
        <w:t xml:space="preserve"> participants </w:t>
      </w:r>
      <w:r w:rsidR="006613DD">
        <w:t xml:space="preserve">will be recruited </w:t>
      </w:r>
      <w:r w:rsidR="00C975E4">
        <w:t xml:space="preserve">from </w:t>
      </w:r>
      <w:r w:rsidR="00C975E4" w:rsidRPr="00470C11">
        <w:t>opt-in panel</w:t>
      </w:r>
      <w:r w:rsidR="00C975E4">
        <w:t xml:space="preserve">s using a screener. </w:t>
      </w:r>
      <w:r w:rsidR="00E90EB3">
        <w:t xml:space="preserve"> </w:t>
      </w:r>
      <w:r w:rsidR="00C62353">
        <w:t xml:space="preserve">Recruitment staff will help ensure eligible HCP participants are recruited for the study and send reminder emails to reduce no-shows.  </w:t>
      </w:r>
    </w:p>
    <w:p w14:paraId="5B650DA1" w14:textId="1132FFC6" w:rsidR="00C975E4" w:rsidRDefault="00C975E4" w:rsidP="00C02610"/>
    <w:p w14:paraId="629B1E4B" w14:textId="77777777" w:rsidR="00C975E4" w:rsidRDefault="00C975E4" w:rsidP="00C02610"/>
    <w:p w14:paraId="0979F79F" w14:textId="22BAF2DC" w:rsidR="006F46E3" w:rsidRPr="00AF0355" w:rsidRDefault="00C975E4" w:rsidP="00871A9F">
      <w:r>
        <w:t xml:space="preserve"> </w:t>
      </w:r>
    </w:p>
    <w:p w14:paraId="5D5E90A2" w14:textId="16F18F98" w:rsidR="003F1C7A" w:rsidRDefault="003F1C7A">
      <w:pPr>
        <w:rPr>
          <w:i/>
        </w:rPr>
      </w:pPr>
      <w:r>
        <w:rPr>
          <w:b/>
        </w:rPr>
        <w:t>BURDEN HOUR COMPUTATION</w:t>
      </w:r>
      <w:r>
        <w:t xml:space="preserve"> </w:t>
      </w:r>
      <w:r>
        <w:rPr>
          <w:i/>
        </w:rPr>
        <w:t>(Number of responses</w:t>
      </w:r>
      <w:r w:rsidR="0049419A">
        <w:rPr>
          <w:i/>
        </w:rPr>
        <w:t xml:space="preserve"> </w:t>
      </w:r>
      <w:r>
        <w:rPr>
          <w:i/>
        </w:rPr>
        <w:t>(X) estimated response or participation time in minutes (/60) = annual burden hours):</w:t>
      </w:r>
    </w:p>
    <w:p w14:paraId="4C1E6C1F" w14:textId="782994A5" w:rsidR="007C7DF4" w:rsidRDefault="007C7DF4">
      <w:pPr>
        <w:rPr>
          <w:i/>
        </w:rPr>
      </w:pPr>
    </w:p>
    <w:p w14:paraId="7EBD24E0" w14:textId="7B3FEF7E" w:rsidR="001A324E" w:rsidRDefault="001A324E" w:rsidP="001A324E">
      <w:pPr>
        <w:pStyle w:val="Heading2"/>
        <w:rPr>
          <w:b w:val="0"/>
        </w:rPr>
      </w:pPr>
    </w:p>
    <w:tbl>
      <w:tblPr>
        <w:tblW w:w="7124" w:type="dxa"/>
        <w:tblLayout w:type="fixed"/>
        <w:tblCellMar>
          <w:left w:w="0" w:type="dxa"/>
          <w:right w:w="0" w:type="dxa"/>
        </w:tblCellMar>
        <w:tblLook w:val="04A0" w:firstRow="1" w:lastRow="0" w:firstColumn="1" w:lastColumn="0" w:noHBand="0" w:noVBand="1"/>
      </w:tblPr>
      <w:tblGrid>
        <w:gridCol w:w="2420"/>
        <w:gridCol w:w="1710"/>
        <w:gridCol w:w="1734"/>
        <w:gridCol w:w="1260"/>
      </w:tblGrid>
      <w:tr w:rsidR="00341533" w:rsidRPr="00DF5E91" w14:paraId="6806DD31" w14:textId="77777777" w:rsidTr="00341533">
        <w:trPr>
          <w:trHeight w:val="1123"/>
        </w:trPr>
        <w:tc>
          <w:tcPr>
            <w:tcW w:w="2420" w:type="dxa"/>
            <w:tcBorders>
              <w:top w:val="nil"/>
              <w:left w:val="single" w:sz="8" w:space="0" w:color="auto"/>
              <w:bottom w:val="single" w:sz="8" w:space="0" w:color="auto"/>
              <w:right w:val="single" w:sz="8" w:space="0" w:color="auto"/>
            </w:tcBorders>
            <w:shd w:val="clear" w:color="auto" w:fill="DD4814"/>
            <w:tcMar>
              <w:top w:w="0" w:type="dxa"/>
              <w:left w:w="108" w:type="dxa"/>
              <w:bottom w:w="0" w:type="dxa"/>
              <w:right w:w="108" w:type="dxa"/>
            </w:tcMar>
            <w:vAlign w:val="center"/>
          </w:tcPr>
          <w:p w14:paraId="393C98EA" w14:textId="72DC38BF" w:rsidR="00341533" w:rsidRPr="00BB39DE" w:rsidRDefault="00341533" w:rsidP="002041C4">
            <w:pPr>
              <w:jc w:val="center"/>
              <w:rPr>
                <w:b/>
                <w:color w:val="FFFFFF" w:themeColor="background1"/>
              </w:rPr>
            </w:pPr>
            <w:r>
              <w:rPr>
                <w:b/>
                <w:color w:val="FFFFFF" w:themeColor="background1"/>
              </w:rPr>
              <w:t>Type/Category of Respondent</w:t>
            </w:r>
          </w:p>
        </w:tc>
        <w:tc>
          <w:tcPr>
            <w:tcW w:w="1710" w:type="dxa"/>
            <w:tcBorders>
              <w:top w:val="nil"/>
              <w:left w:val="nil"/>
              <w:bottom w:val="single" w:sz="8" w:space="0" w:color="auto"/>
              <w:right w:val="single" w:sz="8" w:space="0" w:color="auto"/>
            </w:tcBorders>
            <w:shd w:val="clear" w:color="auto" w:fill="DD4814"/>
            <w:tcMar>
              <w:top w:w="0" w:type="dxa"/>
              <w:left w:w="108" w:type="dxa"/>
              <w:bottom w:w="0" w:type="dxa"/>
              <w:right w:w="108" w:type="dxa"/>
            </w:tcMar>
            <w:vAlign w:val="center"/>
          </w:tcPr>
          <w:p w14:paraId="64C32671" w14:textId="77777777" w:rsidR="00341533" w:rsidRPr="00BB39DE" w:rsidRDefault="00341533" w:rsidP="002041C4">
            <w:pPr>
              <w:jc w:val="center"/>
              <w:rPr>
                <w:b/>
                <w:color w:val="FFFFFF" w:themeColor="background1"/>
              </w:rPr>
            </w:pPr>
            <w:r w:rsidRPr="00BB39DE">
              <w:rPr>
                <w:b/>
                <w:color w:val="FFFFFF" w:themeColor="background1"/>
              </w:rPr>
              <w:t>No. of</w:t>
            </w:r>
          </w:p>
          <w:p w14:paraId="2DA6AA4C" w14:textId="77777777" w:rsidR="00341533" w:rsidRPr="00BB39DE" w:rsidRDefault="00341533" w:rsidP="002041C4">
            <w:pPr>
              <w:jc w:val="center"/>
              <w:rPr>
                <w:b/>
                <w:color w:val="FFFFFF" w:themeColor="background1"/>
              </w:rPr>
            </w:pPr>
            <w:r w:rsidRPr="00BB39DE">
              <w:rPr>
                <w:b/>
                <w:color w:val="FFFFFF" w:themeColor="background1"/>
              </w:rPr>
              <w:t>Respondents</w:t>
            </w:r>
          </w:p>
        </w:tc>
        <w:tc>
          <w:tcPr>
            <w:tcW w:w="1734" w:type="dxa"/>
            <w:tcBorders>
              <w:top w:val="nil"/>
              <w:left w:val="nil"/>
              <w:bottom w:val="single" w:sz="8" w:space="0" w:color="auto"/>
              <w:right w:val="single" w:sz="8" w:space="0" w:color="auto"/>
            </w:tcBorders>
            <w:shd w:val="clear" w:color="auto" w:fill="DD4814"/>
            <w:tcMar>
              <w:top w:w="0" w:type="dxa"/>
              <w:left w:w="108" w:type="dxa"/>
              <w:bottom w:w="0" w:type="dxa"/>
              <w:right w:w="108" w:type="dxa"/>
            </w:tcMar>
            <w:vAlign w:val="center"/>
            <w:hideMark/>
          </w:tcPr>
          <w:p w14:paraId="4F451F68" w14:textId="566D30DE" w:rsidR="00341533" w:rsidRPr="00BB39DE" w:rsidRDefault="00341533" w:rsidP="002041C4">
            <w:pPr>
              <w:jc w:val="center"/>
              <w:rPr>
                <w:b/>
                <w:color w:val="FFFFFF" w:themeColor="background1"/>
              </w:rPr>
            </w:pPr>
            <w:r>
              <w:rPr>
                <w:b/>
                <w:color w:val="FFFFFF" w:themeColor="background1"/>
              </w:rPr>
              <w:t>Participation Time (minutes)</w:t>
            </w:r>
          </w:p>
        </w:tc>
        <w:tc>
          <w:tcPr>
            <w:tcW w:w="1260" w:type="dxa"/>
            <w:tcBorders>
              <w:top w:val="nil"/>
              <w:left w:val="nil"/>
              <w:bottom w:val="single" w:sz="8" w:space="0" w:color="auto"/>
              <w:right w:val="single" w:sz="8" w:space="0" w:color="auto"/>
            </w:tcBorders>
            <w:shd w:val="clear" w:color="auto" w:fill="DD4814"/>
            <w:tcMar>
              <w:top w:w="0" w:type="dxa"/>
              <w:left w:w="108" w:type="dxa"/>
              <w:bottom w:w="0" w:type="dxa"/>
              <w:right w:w="108" w:type="dxa"/>
            </w:tcMar>
            <w:vAlign w:val="center"/>
          </w:tcPr>
          <w:p w14:paraId="29D2C6DA" w14:textId="35F8A7D0" w:rsidR="00341533" w:rsidRPr="00BB39DE" w:rsidRDefault="00341533" w:rsidP="002041C4">
            <w:pPr>
              <w:jc w:val="center"/>
              <w:rPr>
                <w:b/>
                <w:color w:val="FFFFFF" w:themeColor="background1"/>
              </w:rPr>
            </w:pPr>
            <w:r>
              <w:rPr>
                <w:b/>
                <w:color w:val="FFFFFF" w:themeColor="background1"/>
              </w:rPr>
              <w:t>Burden</w:t>
            </w:r>
          </w:p>
          <w:p w14:paraId="16236C85" w14:textId="1F4AB75F" w:rsidR="00341533" w:rsidRPr="00BB39DE" w:rsidRDefault="00341533" w:rsidP="002041C4">
            <w:pPr>
              <w:jc w:val="center"/>
              <w:rPr>
                <w:b/>
                <w:color w:val="FFFFFF" w:themeColor="background1"/>
              </w:rPr>
            </w:pPr>
            <w:r>
              <w:rPr>
                <w:b/>
                <w:color w:val="FFFFFF" w:themeColor="background1"/>
              </w:rPr>
              <w:t>(h</w:t>
            </w:r>
            <w:r w:rsidRPr="00BB39DE">
              <w:rPr>
                <w:b/>
                <w:color w:val="FFFFFF" w:themeColor="background1"/>
              </w:rPr>
              <w:t>ours</w:t>
            </w:r>
            <w:r>
              <w:rPr>
                <w:b/>
                <w:color w:val="FFFFFF" w:themeColor="background1"/>
              </w:rPr>
              <w:t>)</w:t>
            </w:r>
          </w:p>
        </w:tc>
      </w:tr>
      <w:tr w:rsidR="00341533" w:rsidRPr="00DF5E91" w14:paraId="1677AAEA" w14:textId="77777777" w:rsidTr="00341533">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608773" w14:textId="77777777" w:rsidR="00341533" w:rsidRPr="00DF5E91" w:rsidRDefault="00341533" w:rsidP="002041C4">
            <w:r w:rsidRPr="00DF5E91">
              <w:t xml:space="preserve">Number to complete the screener </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4394123" w14:textId="1BD23C41" w:rsidR="00341533" w:rsidRPr="00DF5E91" w:rsidRDefault="00341533" w:rsidP="002041C4">
            <w:pPr>
              <w:jc w:val="center"/>
            </w:pPr>
            <w:r>
              <w:t>140</w:t>
            </w:r>
          </w:p>
        </w:tc>
        <w:tc>
          <w:tcPr>
            <w:tcW w:w="17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6046C3" w14:textId="77777777" w:rsidR="00341533" w:rsidRDefault="00341533" w:rsidP="002041C4">
            <w:pPr>
              <w:spacing w:line="360" w:lineRule="auto"/>
              <w:jc w:val="center"/>
            </w:pPr>
            <w:r w:rsidRPr="00DF5E91">
              <w:t>.0</w:t>
            </w:r>
            <w:r>
              <w:t>8</w:t>
            </w:r>
          </w:p>
          <w:p w14:paraId="0E877FB5" w14:textId="77777777" w:rsidR="00341533" w:rsidRPr="00DF5E91" w:rsidRDefault="00341533" w:rsidP="002041C4">
            <w:pPr>
              <w:spacing w:line="360" w:lineRule="auto"/>
              <w:jc w:val="center"/>
            </w:pPr>
            <w:r>
              <w:t>(5 min.)</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3B068F" w14:textId="77FB63D6" w:rsidR="00341533" w:rsidRPr="00DF5E91" w:rsidRDefault="00341533" w:rsidP="002041C4">
            <w:pPr>
              <w:jc w:val="center"/>
            </w:pPr>
            <w:r>
              <w:t>11</w:t>
            </w:r>
          </w:p>
        </w:tc>
      </w:tr>
      <w:tr w:rsidR="00341533" w:rsidRPr="00DF5E91" w14:paraId="79A66F4D" w14:textId="77777777" w:rsidTr="00341533">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E962B5" w14:textId="1AF72B2D" w:rsidR="00341533" w:rsidRDefault="00341533" w:rsidP="007C7DF4">
            <w:r>
              <w:t xml:space="preserve">Number to complete rescreening </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F7CA726" w14:textId="2456EDD6" w:rsidR="00341533" w:rsidRDefault="00341533" w:rsidP="001F4497">
            <w:pPr>
              <w:jc w:val="center"/>
            </w:pPr>
            <w:r>
              <w:t>70</w:t>
            </w:r>
          </w:p>
        </w:tc>
        <w:tc>
          <w:tcPr>
            <w:tcW w:w="1734" w:type="dxa"/>
            <w:tcBorders>
              <w:top w:val="nil"/>
              <w:left w:val="nil"/>
              <w:bottom w:val="single" w:sz="8" w:space="0" w:color="auto"/>
              <w:right w:val="single" w:sz="8" w:space="0" w:color="auto"/>
            </w:tcBorders>
            <w:tcMar>
              <w:top w:w="0" w:type="dxa"/>
              <w:left w:w="108" w:type="dxa"/>
              <w:bottom w:w="0" w:type="dxa"/>
              <w:right w:w="108" w:type="dxa"/>
            </w:tcMar>
            <w:vAlign w:val="center"/>
          </w:tcPr>
          <w:p w14:paraId="2A00A27E" w14:textId="679E823A" w:rsidR="00341533" w:rsidRDefault="00341533" w:rsidP="002041C4">
            <w:pPr>
              <w:spacing w:line="360" w:lineRule="auto"/>
              <w:jc w:val="center"/>
            </w:pPr>
            <w:r>
              <w:t>.08 (5 min.)</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668919" w14:textId="233D9488" w:rsidR="00341533" w:rsidRDefault="00341533" w:rsidP="001F4497">
            <w:pPr>
              <w:jc w:val="center"/>
            </w:pPr>
            <w:r>
              <w:t>6</w:t>
            </w:r>
          </w:p>
        </w:tc>
      </w:tr>
      <w:tr w:rsidR="00341533" w:rsidRPr="00DF5E91" w14:paraId="2B57212A" w14:textId="77777777" w:rsidTr="00341533">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E49C5E" w14:textId="42D5EE89" w:rsidR="00341533" w:rsidRPr="00DF5E91" w:rsidRDefault="00341533" w:rsidP="002041C4">
            <w:r>
              <w:t xml:space="preserve">Number </w:t>
            </w:r>
            <w:r w:rsidRPr="00DF5E91">
              <w:t>to complete the s</w:t>
            </w:r>
            <w:r>
              <w:t>tudy (included in number to complete screener and rescreening)</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84F6EF4" w14:textId="184BFCB0" w:rsidR="00341533" w:rsidRPr="00DF5E91" w:rsidRDefault="00341533" w:rsidP="002041C4">
            <w:pPr>
              <w:jc w:val="center"/>
            </w:pPr>
            <w:r>
              <w:t>70</w:t>
            </w:r>
          </w:p>
        </w:tc>
        <w:tc>
          <w:tcPr>
            <w:tcW w:w="17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F7A5AE" w14:textId="77777777" w:rsidR="00341533" w:rsidRDefault="00341533" w:rsidP="002041C4">
            <w:pPr>
              <w:spacing w:line="360" w:lineRule="auto"/>
              <w:jc w:val="center"/>
            </w:pPr>
            <w:r>
              <w:t>1.00</w:t>
            </w:r>
          </w:p>
          <w:p w14:paraId="779BD68E" w14:textId="77777777" w:rsidR="00341533" w:rsidRPr="00DF5E91" w:rsidRDefault="00341533" w:rsidP="002041C4">
            <w:pPr>
              <w:spacing w:line="360" w:lineRule="auto"/>
              <w:jc w:val="center"/>
            </w:pPr>
            <w:r>
              <w:t>(60 min.)</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82F754" w14:textId="5ED9860A" w:rsidR="00341533" w:rsidRPr="00DF5E91" w:rsidRDefault="00341533" w:rsidP="002041C4">
            <w:pPr>
              <w:jc w:val="center"/>
            </w:pPr>
            <w:r>
              <w:t>70</w:t>
            </w:r>
          </w:p>
        </w:tc>
      </w:tr>
      <w:tr w:rsidR="00341533" w:rsidRPr="00DF5E91" w14:paraId="2EA3F354" w14:textId="77777777" w:rsidTr="00341533">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A02552" w14:textId="77777777" w:rsidR="00341533" w:rsidRPr="00DF5E91" w:rsidRDefault="00341533" w:rsidP="002041C4">
            <w:r w:rsidRPr="00DF5E91">
              <w:t>Total</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C48531" w14:textId="55744165" w:rsidR="00341533" w:rsidRPr="00DF5E91" w:rsidRDefault="00341533" w:rsidP="002041C4">
            <w:pPr>
              <w:spacing w:line="480" w:lineRule="auto"/>
              <w:jc w:val="center"/>
            </w:pPr>
          </w:p>
        </w:tc>
        <w:tc>
          <w:tcPr>
            <w:tcW w:w="17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D6C60FA" w14:textId="77777777" w:rsidR="00341533" w:rsidRPr="00DF5E91" w:rsidRDefault="00341533" w:rsidP="002041C4">
            <w:pPr>
              <w:jc w:val="cente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D11F20" w14:textId="713A748F" w:rsidR="00341533" w:rsidRPr="00DF5E91" w:rsidRDefault="00341533" w:rsidP="00B93841">
            <w:pPr>
              <w:jc w:val="center"/>
            </w:pPr>
            <w:r>
              <w:t>87</w:t>
            </w:r>
          </w:p>
        </w:tc>
      </w:tr>
    </w:tbl>
    <w:p w14:paraId="33C12A31" w14:textId="77777777" w:rsidR="00DA31FF" w:rsidRDefault="00DA31FF" w:rsidP="005E6CFD">
      <w:pPr>
        <w:pStyle w:val="ListParagraph"/>
        <w:ind w:left="0"/>
        <w:rPr>
          <w:b/>
        </w:rPr>
      </w:pPr>
    </w:p>
    <w:p w14:paraId="147C652E" w14:textId="681D6EA6" w:rsidR="003F1C7A" w:rsidRDefault="003F1C7A" w:rsidP="005E6CFD">
      <w:pPr>
        <w:pStyle w:val="ListParagraph"/>
        <w:ind w:left="0"/>
      </w:pPr>
      <w:r>
        <w:rPr>
          <w:b/>
        </w:rPr>
        <w:t xml:space="preserve">REQUESTED APPROVAL DATE:  </w:t>
      </w:r>
      <w:r w:rsidR="00F95A48">
        <w:t>October 31, 2019</w:t>
      </w:r>
    </w:p>
    <w:p w14:paraId="03426537" w14:textId="77777777" w:rsidR="00F85B56" w:rsidRDefault="00F85B56" w:rsidP="005E6CFD">
      <w:pPr>
        <w:pStyle w:val="ListParagraph"/>
        <w:ind w:left="0"/>
        <w:rPr>
          <w:b/>
        </w:rPr>
      </w:pPr>
    </w:p>
    <w:p w14:paraId="253197BE" w14:textId="77777777" w:rsidR="00140A0D" w:rsidRDefault="00140A0D" w:rsidP="00140A0D">
      <w:pPr>
        <w:rPr>
          <w:b/>
        </w:rPr>
      </w:pPr>
      <w:r>
        <w:rPr>
          <w:b/>
        </w:rPr>
        <w:t xml:space="preserve">NAME OF PRA ANALYST &amp; PROGRAM CONTACT:   </w:t>
      </w:r>
    </w:p>
    <w:p w14:paraId="7A9726AB" w14:textId="77777777" w:rsidR="003E0D11" w:rsidRDefault="003E0D11" w:rsidP="00140A0D">
      <w:pPr>
        <w:rPr>
          <w:b/>
        </w:rPr>
      </w:pPr>
    </w:p>
    <w:p w14:paraId="13B36C61" w14:textId="77777777" w:rsidR="003E0D11" w:rsidRPr="003035B8" w:rsidRDefault="00F85B56" w:rsidP="003E0D11">
      <w:r>
        <w:t>Ila Mizrachi</w:t>
      </w:r>
    </w:p>
    <w:p w14:paraId="65517B42" w14:textId="77777777" w:rsidR="003E0D11" w:rsidRPr="003035B8" w:rsidRDefault="003E0D11" w:rsidP="003E0D11">
      <w:r w:rsidRPr="003035B8">
        <w:t>Paperwork Reduction Act Staff</w:t>
      </w:r>
    </w:p>
    <w:p w14:paraId="01F291C2" w14:textId="77777777" w:rsidR="003E0D11" w:rsidRPr="003035B8" w:rsidRDefault="00D0450D" w:rsidP="003E0D11">
      <w:hyperlink r:id="rId9" w:history="1">
        <w:r w:rsidR="00F85B56">
          <w:rPr>
            <w:rStyle w:val="Hyperlink"/>
          </w:rPr>
          <w:t>ila.mizrachi@fda.hhs.gov</w:t>
        </w:r>
      </w:hyperlink>
    </w:p>
    <w:p w14:paraId="51CE7FD7" w14:textId="77777777" w:rsidR="003E0D11" w:rsidRPr="003035B8" w:rsidRDefault="003E0D11" w:rsidP="003E0D11">
      <w:r w:rsidRPr="003035B8">
        <w:t>(301)796-</w:t>
      </w:r>
      <w:r w:rsidR="00F85B56">
        <w:t>7726</w:t>
      </w:r>
    </w:p>
    <w:p w14:paraId="7A0B3611" w14:textId="77777777" w:rsidR="003E0D11" w:rsidRDefault="003E0D11" w:rsidP="003E0D11"/>
    <w:p w14:paraId="1B262EA7" w14:textId="47E3A7C2" w:rsidR="003E0D11" w:rsidRDefault="007E7811" w:rsidP="003E0D11">
      <w:r>
        <w:t>Kathryn Aikin</w:t>
      </w:r>
      <w:r w:rsidR="005E6CFD">
        <w:t>, Ph.D.</w:t>
      </w:r>
    </w:p>
    <w:p w14:paraId="22D8758A" w14:textId="77777777" w:rsidR="00614F6F" w:rsidRDefault="00614F6F" w:rsidP="003E0D11">
      <w:r>
        <w:t>Social Science Analyst</w:t>
      </w:r>
    </w:p>
    <w:p w14:paraId="64F8B30D" w14:textId="3F9E7B1F" w:rsidR="003E0D11" w:rsidRDefault="00D0450D" w:rsidP="003E0D11">
      <w:hyperlink r:id="rId10" w:history="1">
        <w:r w:rsidR="007E7811" w:rsidRPr="00A45761">
          <w:rPr>
            <w:rStyle w:val="Hyperlink"/>
          </w:rPr>
          <w:t>Kathryn.Aikin@fda.hhs.gov</w:t>
        </w:r>
      </w:hyperlink>
    </w:p>
    <w:p w14:paraId="4D3879C4" w14:textId="4019E475" w:rsidR="007E7811" w:rsidRDefault="007E7811" w:rsidP="003E0D11">
      <w:pPr>
        <w:rPr>
          <w:bCs/>
        </w:rPr>
      </w:pPr>
      <w:r>
        <w:rPr>
          <w:bCs/>
        </w:rPr>
        <w:t>301-796-0569</w:t>
      </w:r>
    </w:p>
    <w:p w14:paraId="33F9E2EC" w14:textId="77777777" w:rsidR="00140A0D" w:rsidRDefault="00140A0D" w:rsidP="00140A0D">
      <w:pPr>
        <w:tabs>
          <w:tab w:val="left" w:pos="5670"/>
        </w:tabs>
        <w:suppressAutoHyphens/>
        <w:rPr>
          <w:b/>
        </w:rPr>
      </w:pPr>
    </w:p>
    <w:p w14:paraId="1483527A" w14:textId="30849675" w:rsidR="003F1C7A" w:rsidRDefault="00140A0D" w:rsidP="00140A0D">
      <w:pPr>
        <w:tabs>
          <w:tab w:val="left" w:pos="5670"/>
        </w:tabs>
        <w:suppressAutoHyphens/>
      </w:pPr>
      <w:r>
        <w:rPr>
          <w:b/>
        </w:rPr>
        <w:t xml:space="preserve">FDA CENTER:  </w:t>
      </w:r>
      <w:r w:rsidR="005F13A2">
        <w:t xml:space="preserve">Center for Drug Evaluation and Research, </w:t>
      </w:r>
      <w:r w:rsidR="00614F6F">
        <w:t>Office of Prescription Drug Promotion</w:t>
      </w:r>
    </w:p>
    <w:p w14:paraId="698CCB10" w14:textId="03818A20" w:rsidR="005C47CD" w:rsidRDefault="005C47CD" w:rsidP="00140A0D">
      <w:pPr>
        <w:tabs>
          <w:tab w:val="left" w:pos="5670"/>
        </w:tabs>
        <w:suppressAutoHyphens/>
      </w:pPr>
    </w:p>
    <w:p w14:paraId="1B9CAA65" w14:textId="6441A414" w:rsidR="00716B73" w:rsidRDefault="00716B73" w:rsidP="00140A0D">
      <w:pPr>
        <w:tabs>
          <w:tab w:val="left" w:pos="5670"/>
        </w:tabs>
        <w:suppressAutoHyphens/>
      </w:pPr>
    </w:p>
    <w:p w14:paraId="454086BB" w14:textId="577D8A40" w:rsidR="00716B73" w:rsidRDefault="00716B73" w:rsidP="00140A0D">
      <w:pPr>
        <w:tabs>
          <w:tab w:val="left" w:pos="5670"/>
        </w:tabs>
        <w:suppressAutoHyphens/>
      </w:pPr>
    </w:p>
    <w:p w14:paraId="062D9CAF" w14:textId="1EE09A7A" w:rsidR="00716B73" w:rsidRDefault="00716B73" w:rsidP="00140A0D">
      <w:pPr>
        <w:tabs>
          <w:tab w:val="left" w:pos="5670"/>
        </w:tabs>
        <w:suppressAutoHyphens/>
      </w:pPr>
    </w:p>
    <w:p w14:paraId="2992F6F0" w14:textId="06182D02" w:rsidR="00716B73" w:rsidRDefault="00716B73" w:rsidP="00140A0D">
      <w:pPr>
        <w:tabs>
          <w:tab w:val="left" w:pos="5670"/>
        </w:tabs>
        <w:suppressAutoHyphens/>
      </w:pPr>
    </w:p>
    <w:p w14:paraId="688354B4" w14:textId="11557953" w:rsidR="00716B73" w:rsidRDefault="00716B73" w:rsidP="00140A0D">
      <w:pPr>
        <w:tabs>
          <w:tab w:val="left" w:pos="5670"/>
        </w:tabs>
        <w:suppressAutoHyphens/>
      </w:pPr>
    </w:p>
    <w:p w14:paraId="171C2944" w14:textId="2E67CD74" w:rsidR="00716B73" w:rsidRDefault="00716B73" w:rsidP="00140A0D">
      <w:pPr>
        <w:tabs>
          <w:tab w:val="left" w:pos="5670"/>
        </w:tabs>
        <w:suppressAutoHyphens/>
      </w:pPr>
    </w:p>
    <w:p w14:paraId="5F419402" w14:textId="71D80BC2" w:rsidR="00716B73" w:rsidRDefault="00716B73" w:rsidP="00140A0D">
      <w:pPr>
        <w:tabs>
          <w:tab w:val="left" w:pos="5670"/>
        </w:tabs>
        <w:suppressAutoHyphens/>
      </w:pPr>
    </w:p>
    <w:p w14:paraId="0847F50F" w14:textId="4B91035C" w:rsidR="00716B73" w:rsidRDefault="00716B73" w:rsidP="00140A0D">
      <w:pPr>
        <w:tabs>
          <w:tab w:val="left" w:pos="5670"/>
        </w:tabs>
        <w:suppressAutoHyphens/>
      </w:pPr>
    </w:p>
    <w:p w14:paraId="153AC222" w14:textId="0A364070" w:rsidR="00716B73" w:rsidRDefault="00716B73" w:rsidP="00140A0D">
      <w:pPr>
        <w:tabs>
          <w:tab w:val="left" w:pos="5670"/>
        </w:tabs>
        <w:suppressAutoHyphens/>
      </w:pPr>
    </w:p>
    <w:p w14:paraId="5E52B0FF" w14:textId="255D1C33" w:rsidR="00716B73" w:rsidRDefault="00716B73" w:rsidP="00140A0D">
      <w:pPr>
        <w:tabs>
          <w:tab w:val="left" w:pos="5670"/>
        </w:tabs>
        <w:suppressAutoHyphens/>
      </w:pPr>
    </w:p>
    <w:p w14:paraId="000FAA25" w14:textId="77777777" w:rsidR="00716B73" w:rsidRDefault="00716B73" w:rsidP="00140A0D">
      <w:pPr>
        <w:tabs>
          <w:tab w:val="left" w:pos="5670"/>
        </w:tabs>
        <w:suppressAutoHyphens/>
      </w:pPr>
    </w:p>
    <w:p w14:paraId="0A0A8FFA" w14:textId="3F4C8BF3" w:rsidR="00CD5F69" w:rsidRPr="006F137A" w:rsidRDefault="00CD5F69" w:rsidP="00140A0D">
      <w:pPr>
        <w:tabs>
          <w:tab w:val="left" w:pos="5670"/>
        </w:tabs>
        <w:suppressAutoHyphens/>
        <w:rPr>
          <w:b/>
        </w:rPr>
      </w:pPr>
      <w:r w:rsidRPr="006F137A">
        <w:rPr>
          <w:b/>
        </w:rPr>
        <w:t>REFERENCES</w:t>
      </w:r>
    </w:p>
    <w:p w14:paraId="7D293084" w14:textId="77777777" w:rsidR="00CD5F69" w:rsidRDefault="00CD5F69" w:rsidP="00700FB3">
      <w:pPr>
        <w:tabs>
          <w:tab w:val="left" w:pos="5670"/>
        </w:tabs>
        <w:suppressAutoHyphens/>
      </w:pPr>
    </w:p>
    <w:p w14:paraId="70327E1F" w14:textId="3BD6B3BE" w:rsidR="007B689F" w:rsidRDefault="007B689F" w:rsidP="006F137A">
      <w:pPr>
        <w:autoSpaceDE w:val="0"/>
        <w:autoSpaceDN w:val="0"/>
      </w:pPr>
      <w:r>
        <w:t xml:space="preserve">1. Keating, N.L., Zaslavsky, A.M., Goldstein, J., West, D.W., and Ayanian, J.Z. (2008). Randomized trial of $20 versus $50 incentives to increase physician survey response rates. </w:t>
      </w:r>
      <w:r>
        <w:rPr>
          <w:i/>
          <w:iCs/>
        </w:rPr>
        <w:t>Medical Care,</w:t>
      </w:r>
      <w:r>
        <w:rPr>
          <w:iCs/>
        </w:rPr>
        <w:t xml:space="preserve"> 46(8)</w:t>
      </w:r>
      <w:r>
        <w:t>, 878-881.</w:t>
      </w:r>
    </w:p>
    <w:p w14:paraId="36BA40EA" w14:textId="57E62ED1" w:rsidR="007B689F" w:rsidRDefault="007B689F" w:rsidP="006F137A">
      <w:pPr>
        <w:autoSpaceDE w:val="0"/>
        <w:autoSpaceDN w:val="0"/>
      </w:pPr>
    </w:p>
    <w:p w14:paraId="349EE8F5" w14:textId="1DB77250" w:rsidR="007B689F" w:rsidRDefault="007B689F" w:rsidP="006F137A">
      <w:pPr>
        <w:autoSpaceDE w:val="0"/>
        <w:autoSpaceDN w:val="0"/>
      </w:pPr>
      <w:r>
        <w:t xml:space="preserve">2. Dykema, J., Stevenson, J., Day, B., Sellers, S.L., </w:t>
      </w:r>
      <w:r w:rsidR="00FD7148">
        <w:t>&amp;</w:t>
      </w:r>
      <w:r>
        <w:t xml:space="preserve"> Bonham, V.L. (2011). Effects of incentives and prenotification on response rates and costs in a national web survey of physicians. </w:t>
      </w:r>
      <w:r w:rsidRPr="00FD7148">
        <w:rPr>
          <w:u w:val="single"/>
        </w:rPr>
        <w:t>Evaluation &amp; the Health Professions</w:t>
      </w:r>
      <w:r>
        <w:t>, 34(4), 434-447.</w:t>
      </w:r>
    </w:p>
    <w:p w14:paraId="670B85D4" w14:textId="609CA02C" w:rsidR="007B689F" w:rsidRDefault="007B689F" w:rsidP="006F137A">
      <w:pPr>
        <w:autoSpaceDE w:val="0"/>
        <w:autoSpaceDN w:val="0"/>
      </w:pPr>
    </w:p>
    <w:p w14:paraId="73B9A00F" w14:textId="39ED8919" w:rsidR="007B689F" w:rsidRDefault="007B689F" w:rsidP="006F137A">
      <w:pPr>
        <w:autoSpaceDE w:val="0"/>
        <w:autoSpaceDN w:val="0"/>
      </w:pPr>
      <w:r>
        <w:t xml:space="preserve">3. Ziegenfuss, J.Y., Burmeister, K., James, K.M., Haas, L., Tilburt, J.C., </w:t>
      </w:r>
      <w:r w:rsidR="00FD7148">
        <w:t>&amp;</w:t>
      </w:r>
      <w:r>
        <w:t xml:space="preserve"> Beebe, T.J. (2012). Getting physicians to open the survey: Little evidence that an envelope teaser increases response rates. </w:t>
      </w:r>
      <w:r w:rsidRPr="00FD7148">
        <w:rPr>
          <w:u w:val="single"/>
        </w:rPr>
        <w:t>BMC Medical Research Methodology</w:t>
      </w:r>
      <w:r>
        <w:t>, 12(1)</w:t>
      </w:r>
      <w:r w:rsidR="00FD7148">
        <w:t>, 41</w:t>
      </w:r>
      <w:r>
        <w:t>.</w:t>
      </w:r>
    </w:p>
    <w:p w14:paraId="14992141" w14:textId="6182D981" w:rsidR="007B689F" w:rsidRDefault="007B689F" w:rsidP="006F137A">
      <w:pPr>
        <w:autoSpaceDE w:val="0"/>
        <w:autoSpaceDN w:val="0"/>
      </w:pPr>
    </w:p>
    <w:p w14:paraId="73DF2052" w14:textId="43DC4518" w:rsidR="007B689F" w:rsidRDefault="007B689F" w:rsidP="006F137A">
      <w:pPr>
        <w:autoSpaceDE w:val="0"/>
        <w:autoSpaceDN w:val="0"/>
      </w:pPr>
      <w:r>
        <w:t>4. Asch, S., Connor,</w:t>
      </w:r>
      <w:r w:rsidR="00FD7148" w:rsidRPr="00FD7148">
        <w:t xml:space="preserve"> </w:t>
      </w:r>
      <w:r w:rsidR="00FD7148">
        <w:t>S.E.,</w:t>
      </w:r>
      <w:r>
        <w:t xml:space="preserve"> Hamilton, </w:t>
      </w:r>
      <w:r w:rsidR="00FD7148">
        <w:t xml:space="preserve">E.G., </w:t>
      </w:r>
      <w:r>
        <w:t>&amp; Fox,</w:t>
      </w:r>
      <w:r w:rsidR="00FD7148" w:rsidRPr="00FD7148">
        <w:t xml:space="preserve"> </w:t>
      </w:r>
      <w:r w:rsidR="00FD7148">
        <w:t>S.A. (2000).</w:t>
      </w:r>
      <w:r>
        <w:t xml:space="preserve"> Problems in </w:t>
      </w:r>
      <w:r w:rsidR="00FD7148">
        <w:t>r</w:t>
      </w:r>
      <w:r>
        <w:t xml:space="preserve">ecruiting </w:t>
      </w:r>
      <w:r w:rsidR="00FD7148">
        <w:t>c</w:t>
      </w:r>
      <w:r>
        <w:t xml:space="preserve">ommunity-based </w:t>
      </w:r>
      <w:r w:rsidR="00FD7148">
        <w:t>p</w:t>
      </w:r>
      <w:r>
        <w:t xml:space="preserve">hysicians for </w:t>
      </w:r>
      <w:r w:rsidR="00FD7148">
        <w:t>h</w:t>
      </w:r>
      <w:r>
        <w:t xml:space="preserve">ealth </w:t>
      </w:r>
      <w:r w:rsidR="00FD7148">
        <w:t>s</w:t>
      </w:r>
      <w:r>
        <w:t xml:space="preserve">ervices </w:t>
      </w:r>
      <w:r w:rsidR="00FD7148">
        <w:t>r</w:t>
      </w:r>
      <w:r>
        <w:t xml:space="preserve">esearch, </w:t>
      </w:r>
      <w:r>
        <w:rPr>
          <w:u w:val="single"/>
        </w:rPr>
        <w:t>Journal of General Internal Medicine</w:t>
      </w:r>
      <w:r>
        <w:t>, 15(8), 591-599.</w:t>
      </w:r>
    </w:p>
    <w:p w14:paraId="79799E3B" w14:textId="57E81E42" w:rsidR="007B689F" w:rsidRDefault="007B689F" w:rsidP="006F137A">
      <w:pPr>
        <w:autoSpaceDE w:val="0"/>
        <w:autoSpaceDN w:val="0"/>
      </w:pPr>
    </w:p>
    <w:p w14:paraId="7FC2D2A9" w14:textId="377CCE85" w:rsidR="007B689F" w:rsidRDefault="007B689F" w:rsidP="007B689F">
      <w:pPr>
        <w:pStyle w:val="ReferenceCitation"/>
        <w:spacing w:after="0"/>
      </w:pPr>
      <w:r>
        <w:t xml:space="preserve">5. Epley, N. </w:t>
      </w:r>
      <w:r w:rsidR="00FD7148">
        <w:t xml:space="preserve">&amp; </w:t>
      </w:r>
      <w:r>
        <w:t>Gilovich,</w:t>
      </w:r>
      <w:r w:rsidR="00FD7148">
        <w:t xml:space="preserve"> T. (2006).</w:t>
      </w:r>
      <w:r>
        <w:t xml:space="preserve"> The </w:t>
      </w:r>
      <w:r w:rsidR="00FD7148">
        <w:t>a</w:t>
      </w:r>
      <w:r>
        <w:t>nchoring-and-</w:t>
      </w:r>
      <w:r w:rsidR="00FD7148">
        <w:t>a</w:t>
      </w:r>
      <w:r>
        <w:t xml:space="preserve">djustment </w:t>
      </w:r>
      <w:r w:rsidR="00FD7148">
        <w:t>h</w:t>
      </w:r>
      <w:r>
        <w:t xml:space="preserve">euristic: Why the </w:t>
      </w:r>
      <w:r w:rsidR="00FD7148">
        <w:t>a</w:t>
      </w:r>
      <w:r>
        <w:t xml:space="preserve">djustments are </w:t>
      </w:r>
      <w:r w:rsidR="00FD7148">
        <w:t>i</w:t>
      </w:r>
      <w:r>
        <w:t>nsufficient</w:t>
      </w:r>
      <w:r w:rsidR="00FD7148">
        <w:t>.</w:t>
      </w:r>
      <w:r>
        <w:t xml:space="preserve"> </w:t>
      </w:r>
      <w:r>
        <w:rPr>
          <w:u w:val="single"/>
        </w:rPr>
        <w:t>Psychological Science</w:t>
      </w:r>
      <w:r>
        <w:t>,</w:t>
      </w:r>
      <w:r>
        <w:rPr>
          <w:i/>
          <w:iCs/>
        </w:rPr>
        <w:t xml:space="preserve"> </w:t>
      </w:r>
      <w:r>
        <w:t>17(4)</w:t>
      </w:r>
      <w:r w:rsidR="00FD7148">
        <w:t xml:space="preserve">, </w:t>
      </w:r>
      <w:r>
        <w:t>311-318.</w:t>
      </w:r>
    </w:p>
    <w:p w14:paraId="70189AAC" w14:textId="77777777" w:rsidR="007B689F" w:rsidRDefault="007B689F" w:rsidP="007B689F">
      <w:pPr>
        <w:pStyle w:val="ReferenceCitation"/>
        <w:spacing w:after="0"/>
        <w:ind w:firstLine="720"/>
      </w:pPr>
    </w:p>
    <w:p w14:paraId="7AF2AD4B" w14:textId="0C264452" w:rsidR="007B689F" w:rsidRDefault="007B689F" w:rsidP="007B689F">
      <w:pPr>
        <w:autoSpaceDE w:val="0"/>
        <w:autoSpaceDN w:val="0"/>
      </w:pPr>
      <w:r>
        <w:t xml:space="preserve">6. Höhne, J.K. </w:t>
      </w:r>
      <w:r w:rsidR="00FD7148">
        <w:t>&amp;</w:t>
      </w:r>
      <w:r>
        <w:t xml:space="preserve"> Krebs,</w:t>
      </w:r>
      <w:r w:rsidR="00FD7148">
        <w:t xml:space="preserve"> D. (2017).</w:t>
      </w:r>
      <w:r>
        <w:t xml:space="preserve"> Scale </w:t>
      </w:r>
      <w:r w:rsidR="00FD7148">
        <w:t>d</w:t>
      </w:r>
      <w:r>
        <w:t xml:space="preserve">irection </w:t>
      </w:r>
      <w:r w:rsidR="00FD7148">
        <w:t>e</w:t>
      </w:r>
      <w:r>
        <w:t xml:space="preserve">ffects in </w:t>
      </w:r>
      <w:r w:rsidR="00FD7148">
        <w:t>a</w:t>
      </w:r>
      <w:r>
        <w:t>gree/</w:t>
      </w:r>
      <w:r w:rsidR="00FD7148">
        <w:t>d</w:t>
      </w:r>
      <w:r>
        <w:t xml:space="preserve">isagree and </w:t>
      </w:r>
      <w:r w:rsidR="00FD7148">
        <w:t>i</w:t>
      </w:r>
      <w:r>
        <w:t>tem-</w:t>
      </w:r>
      <w:r w:rsidR="00FD7148">
        <w:t>s</w:t>
      </w:r>
      <w:r>
        <w:t xml:space="preserve">pecific </w:t>
      </w:r>
      <w:r w:rsidR="00FD7148">
        <w:t>q</w:t>
      </w:r>
      <w:r>
        <w:t xml:space="preserve">uestions: A </w:t>
      </w:r>
      <w:r w:rsidR="00FD7148">
        <w:t>c</w:t>
      </w:r>
      <w:r>
        <w:t xml:space="preserve">omparison of </w:t>
      </w:r>
      <w:r w:rsidR="00FD7148">
        <w:t>q</w:t>
      </w:r>
      <w:r>
        <w:t xml:space="preserve">uestion </w:t>
      </w:r>
      <w:r w:rsidR="00FD7148">
        <w:t>f</w:t>
      </w:r>
      <w:r>
        <w:t xml:space="preserve">ormats,” </w:t>
      </w:r>
      <w:r w:rsidRPr="00FD7148">
        <w:rPr>
          <w:u w:val="single"/>
        </w:rPr>
        <w:t>International Journal of Social Research Methodology</w:t>
      </w:r>
      <w:r>
        <w:t>,</w:t>
      </w:r>
      <w:r w:rsidR="00FD7148">
        <w:t xml:space="preserve"> </w:t>
      </w:r>
      <w:r>
        <w:t>21(1)</w:t>
      </w:r>
      <w:r w:rsidR="00FD7148">
        <w:t xml:space="preserve">, </w:t>
      </w:r>
      <w:r>
        <w:t>91-103.</w:t>
      </w:r>
    </w:p>
    <w:p w14:paraId="4AEF1D57" w14:textId="77777777" w:rsidR="007B689F" w:rsidRDefault="007B689F" w:rsidP="007B689F">
      <w:pPr>
        <w:autoSpaceDE w:val="0"/>
        <w:autoSpaceDN w:val="0"/>
        <w:ind w:firstLine="720"/>
      </w:pPr>
    </w:p>
    <w:p w14:paraId="52457FA0" w14:textId="414C22CA" w:rsidR="007B689F" w:rsidRDefault="007B689F" w:rsidP="007B689F">
      <w:pPr>
        <w:autoSpaceDE w:val="0"/>
        <w:autoSpaceDN w:val="0"/>
      </w:pPr>
      <w:r>
        <w:t xml:space="preserve">7. Saris, W.E., Revilla, </w:t>
      </w:r>
      <w:r w:rsidR="00FD7148">
        <w:t xml:space="preserve">M., </w:t>
      </w:r>
      <w:r>
        <w:t xml:space="preserve">Krosnick, </w:t>
      </w:r>
      <w:r w:rsidR="00FD7148">
        <w:t>J.A., &amp;</w:t>
      </w:r>
      <w:r>
        <w:t xml:space="preserve"> Shaeffer,</w:t>
      </w:r>
      <w:r w:rsidR="00FD7148">
        <w:t xml:space="preserve"> E.M. (2010). </w:t>
      </w:r>
      <w:r>
        <w:t xml:space="preserve">Comparing </w:t>
      </w:r>
      <w:r w:rsidR="00FD7148">
        <w:t>q</w:t>
      </w:r>
      <w:r>
        <w:t xml:space="preserve">uestions with </w:t>
      </w:r>
      <w:r w:rsidR="00FD7148">
        <w:t>a</w:t>
      </w:r>
      <w:r>
        <w:t>gree/</w:t>
      </w:r>
      <w:r w:rsidR="00FD7148">
        <w:t>d</w:t>
      </w:r>
      <w:r>
        <w:t xml:space="preserve">isagree </w:t>
      </w:r>
      <w:r w:rsidR="00FD7148">
        <w:t>r</w:t>
      </w:r>
      <w:r>
        <w:t xml:space="preserve">esponse </w:t>
      </w:r>
      <w:r w:rsidR="00FD7148">
        <w:t>o</w:t>
      </w:r>
      <w:r>
        <w:t xml:space="preserve">ptions to </w:t>
      </w:r>
      <w:r w:rsidR="00FD7148">
        <w:t>q</w:t>
      </w:r>
      <w:r>
        <w:t xml:space="preserve">uestions with </w:t>
      </w:r>
      <w:r w:rsidR="00FD7148">
        <w:t>i</w:t>
      </w:r>
      <w:r>
        <w:t>tem-</w:t>
      </w:r>
      <w:r w:rsidR="00FD7148">
        <w:t>s</w:t>
      </w:r>
      <w:r>
        <w:t xml:space="preserve">pecific </w:t>
      </w:r>
      <w:r w:rsidR="00FD7148">
        <w:t>r</w:t>
      </w:r>
      <w:r>
        <w:t xml:space="preserve">esponse </w:t>
      </w:r>
      <w:r w:rsidR="00FD7148">
        <w:t>o</w:t>
      </w:r>
      <w:r>
        <w:t>ptions</w:t>
      </w:r>
      <w:r w:rsidR="00FD7148">
        <w:t>.</w:t>
      </w:r>
      <w:r>
        <w:t xml:space="preserve"> </w:t>
      </w:r>
      <w:r>
        <w:rPr>
          <w:u w:val="single"/>
        </w:rPr>
        <w:t>Survey Research Methods</w:t>
      </w:r>
      <w:r>
        <w:rPr>
          <w:i/>
          <w:iCs/>
        </w:rPr>
        <w:t xml:space="preserve">, </w:t>
      </w:r>
      <w:r>
        <w:t>4</w:t>
      </w:r>
      <w:r w:rsidR="00FD7148">
        <w:t xml:space="preserve">, </w:t>
      </w:r>
      <w:r>
        <w:t>61–79.</w:t>
      </w:r>
    </w:p>
    <w:p w14:paraId="4F3E01FA" w14:textId="77777777" w:rsidR="007B689F" w:rsidRDefault="007B689F" w:rsidP="007B689F">
      <w:pPr>
        <w:autoSpaceDE w:val="0"/>
        <w:autoSpaceDN w:val="0"/>
      </w:pPr>
    </w:p>
    <w:p w14:paraId="7EDDAB4E" w14:textId="75C63D8F" w:rsidR="007B689F" w:rsidRDefault="007B689F" w:rsidP="007B689F">
      <w:pPr>
        <w:autoSpaceDE w:val="0"/>
        <w:autoSpaceDN w:val="0"/>
      </w:pPr>
      <w:r>
        <w:t xml:space="preserve">8. Krosnick, J.A. </w:t>
      </w:r>
      <w:r w:rsidR="00FD7148">
        <w:t>&amp;</w:t>
      </w:r>
      <w:r>
        <w:t xml:space="preserve"> Presser, </w:t>
      </w:r>
      <w:r w:rsidR="00FD7148">
        <w:t xml:space="preserve">S. (2010). </w:t>
      </w:r>
      <w:r>
        <w:t xml:space="preserve">Question and </w:t>
      </w:r>
      <w:r w:rsidR="00FD7148">
        <w:t>q</w:t>
      </w:r>
      <w:r>
        <w:t xml:space="preserve">uestionnaire </w:t>
      </w:r>
      <w:r w:rsidR="00FD7148">
        <w:t>d</w:t>
      </w:r>
      <w:r>
        <w:t xml:space="preserve">esign,” In: </w:t>
      </w:r>
      <w:r>
        <w:rPr>
          <w:u w:val="single"/>
        </w:rPr>
        <w:t>Handbook of Survey Research</w:t>
      </w:r>
      <w:r>
        <w:rPr>
          <w:i/>
          <w:iCs/>
        </w:rPr>
        <w:t xml:space="preserve">. </w:t>
      </w:r>
      <w:r>
        <w:t>(pp. 263‒314). Bingley, United Kingdom: Emerald Group Publishing Limited.</w:t>
      </w:r>
    </w:p>
    <w:p w14:paraId="65064B94" w14:textId="77777777" w:rsidR="007B689F" w:rsidRDefault="007B689F" w:rsidP="006F137A">
      <w:pPr>
        <w:autoSpaceDE w:val="0"/>
        <w:autoSpaceDN w:val="0"/>
      </w:pPr>
    </w:p>
    <w:p w14:paraId="23BB4443" w14:textId="17D58E6B" w:rsidR="00CD5F69" w:rsidRDefault="007B689F" w:rsidP="006F137A">
      <w:pPr>
        <w:autoSpaceDE w:val="0"/>
        <w:autoSpaceDN w:val="0"/>
      </w:pPr>
      <w:r>
        <w:t>9.</w:t>
      </w:r>
      <w:r w:rsidR="00CD5F69">
        <w:t xml:space="preserve"> VanGeest, J., Johnson, </w:t>
      </w:r>
      <w:r w:rsidR="00FD7148">
        <w:t>T. &amp;</w:t>
      </w:r>
      <w:r w:rsidR="00CD5F69">
        <w:t xml:space="preserve"> Welch,</w:t>
      </w:r>
      <w:r w:rsidR="00FD7148" w:rsidRPr="00FD7148">
        <w:t xml:space="preserve"> </w:t>
      </w:r>
      <w:r w:rsidR="00FD7148">
        <w:t xml:space="preserve">V. (2007). </w:t>
      </w:r>
      <w:r w:rsidR="00CD5F69">
        <w:t xml:space="preserve">Methodologies for </w:t>
      </w:r>
      <w:r w:rsidR="00FD7148">
        <w:t>i</w:t>
      </w:r>
      <w:r w:rsidR="00CD5F69">
        <w:t xml:space="preserve">mproving </w:t>
      </w:r>
      <w:r w:rsidR="00FD7148">
        <w:t>r</w:t>
      </w:r>
      <w:r w:rsidR="00CD5F69">
        <w:t xml:space="preserve">esponse </w:t>
      </w:r>
      <w:r w:rsidR="00FD7148">
        <w:t>r</w:t>
      </w:r>
      <w:r w:rsidR="00CD5F69">
        <w:t xml:space="preserve">ates in </w:t>
      </w:r>
      <w:r w:rsidR="00FD7148">
        <w:t>s</w:t>
      </w:r>
      <w:r w:rsidR="00CD5F69">
        <w:t xml:space="preserve">urveys of </w:t>
      </w:r>
      <w:r w:rsidR="00FD7148">
        <w:t>p</w:t>
      </w:r>
      <w:r w:rsidR="00CD5F69">
        <w:t xml:space="preserve">hysicians: A </w:t>
      </w:r>
      <w:r w:rsidR="00FD7148">
        <w:t>s</w:t>
      </w:r>
      <w:r w:rsidR="00CD5F69">
        <w:t xml:space="preserve">ystematic </w:t>
      </w:r>
      <w:r w:rsidR="00FD7148">
        <w:t>r</w:t>
      </w:r>
      <w:r w:rsidR="00CD5F69">
        <w:t>eview</w:t>
      </w:r>
      <w:r w:rsidR="00FD7148">
        <w:t>.</w:t>
      </w:r>
      <w:r w:rsidR="00CD5F69">
        <w:t xml:space="preserve"> </w:t>
      </w:r>
      <w:r w:rsidR="00CD5F69">
        <w:rPr>
          <w:u w:val="single"/>
        </w:rPr>
        <w:t>Evaluation and the Health Professions</w:t>
      </w:r>
      <w:r w:rsidR="00CD5F69">
        <w:t>, 30, 303-321.</w:t>
      </w:r>
    </w:p>
    <w:p w14:paraId="388FE9DC" w14:textId="77777777" w:rsidR="00CD5F69" w:rsidRDefault="00CD5F69" w:rsidP="006F137A">
      <w:pPr>
        <w:autoSpaceDE w:val="0"/>
        <w:autoSpaceDN w:val="0"/>
      </w:pPr>
    </w:p>
    <w:p w14:paraId="62368C30" w14:textId="30CCCC59" w:rsidR="00CD5F69" w:rsidRDefault="007B689F" w:rsidP="006F137A">
      <w:pPr>
        <w:pStyle w:val="CommentText"/>
        <w:rPr>
          <w:rStyle w:val="cit-last-page"/>
          <w:sz w:val="24"/>
          <w:szCs w:val="24"/>
          <w:bdr w:val="none" w:sz="0" w:space="0" w:color="auto" w:frame="1"/>
          <w:shd w:val="clear" w:color="auto" w:fill="FFFFFF"/>
        </w:rPr>
      </w:pPr>
      <w:r>
        <w:rPr>
          <w:sz w:val="24"/>
          <w:szCs w:val="24"/>
        </w:rPr>
        <w:t>10.</w:t>
      </w:r>
      <w:r w:rsidR="00CD5F69">
        <w:rPr>
          <w:sz w:val="24"/>
          <w:szCs w:val="24"/>
        </w:rPr>
        <w:t xml:space="preserve"> </w:t>
      </w:r>
      <w:r w:rsidR="00CD5F69">
        <w:rPr>
          <w:rStyle w:val="cit-last-page"/>
          <w:sz w:val="24"/>
          <w:szCs w:val="24"/>
          <w:bdr w:val="none" w:sz="0" w:space="0" w:color="auto" w:frame="1"/>
          <w:shd w:val="clear" w:color="auto" w:fill="FFFFFF"/>
        </w:rPr>
        <w:t xml:space="preserve">Martins, Y., Lederman, </w:t>
      </w:r>
      <w:r w:rsidR="00FD7148">
        <w:rPr>
          <w:rStyle w:val="cit-last-page"/>
          <w:sz w:val="24"/>
          <w:szCs w:val="24"/>
          <w:bdr w:val="none" w:sz="0" w:space="0" w:color="auto" w:frame="1"/>
          <w:shd w:val="clear" w:color="auto" w:fill="FFFFFF"/>
        </w:rPr>
        <w:t xml:space="preserve">R. </w:t>
      </w:r>
      <w:r w:rsidR="00CD5F69">
        <w:rPr>
          <w:rStyle w:val="cit-last-page"/>
          <w:sz w:val="24"/>
          <w:szCs w:val="24"/>
          <w:bdr w:val="none" w:sz="0" w:space="0" w:color="auto" w:frame="1"/>
          <w:shd w:val="clear" w:color="auto" w:fill="FFFFFF"/>
        </w:rPr>
        <w:t xml:space="preserve">Lowenstein, </w:t>
      </w:r>
      <w:r w:rsidR="00FD7148">
        <w:rPr>
          <w:rStyle w:val="cit-last-page"/>
          <w:sz w:val="24"/>
          <w:szCs w:val="24"/>
          <w:bdr w:val="none" w:sz="0" w:space="0" w:color="auto" w:frame="1"/>
          <w:shd w:val="clear" w:color="auto" w:fill="FFFFFF"/>
        </w:rPr>
        <w:t xml:space="preserve">C. </w:t>
      </w:r>
      <w:r w:rsidR="00CD5F69">
        <w:rPr>
          <w:rStyle w:val="cit-last-page"/>
          <w:sz w:val="24"/>
          <w:szCs w:val="24"/>
          <w:bdr w:val="none" w:sz="0" w:space="0" w:color="auto" w:frame="1"/>
          <w:shd w:val="clear" w:color="auto" w:fill="FFFFFF"/>
        </w:rPr>
        <w:t>et al.</w:t>
      </w:r>
      <w:r w:rsidR="00FD7148">
        <w:rPr>
          <w:rStyle w:val="cit-last-page"/>
          <w:sz w:val="24"/>
          <w:szCs w:val="24"/>
          <w:bdr w:val="none" w:sz="0" w:space="0" w:color="auto" w:frame="1"/>
          <w:shd w:val="clear" w:color="auto" w:fill="FFFFFF"/>
        </w:rPr>
        <w:t xml:space="preserve"> (2012).</w:t>
      </w:r>
      <w:r w:rsidR="00CD5F69">
        <w:rPr>
          <w:rStyle w:val="cit-last-page"/>
          <w:sz w:val="24"/>
          <w:szCs w:val="24"/>
          <w:bdr w:val="none" w:sz="0" w:space="0" w:color="auto" w:frame="1"/>
          <w:shd w:val="clear" w:color="auto" w:fill="FFFFFF"/>
        </w:rPr>
        <w:t xml:space="preserve"> Increasing </w:t>
      </w:r>
      <w:r w:rsidR="00FD7148">
        <w:rPr>
          <w:rStyle w:val="cit-last-page"/>
          <w:sz w:val="24"/>
          <w:szCs w:val="24"/>
          <w:bdr w:val="none" w:sz="0" w:space="0" w:color="auto" w:frame="1"/>
          <w:shd w:val="clear" w:color="auto" w:fill="FFFFFF"/>
        </w:rPr>
        <w:t>r</w:t>
      </w:r>
      <w:r w:rsidR="00CD5F69">
        <w:rPr>
          <w:rStyle w:val="cit-last-page"/>
          <w:sz w:val="24"/>
          <w:szCs w:val="24"/>
          <w:bdr w:val="none" w:sz="0" w:space="0" w:color="auto" w:frame="1"/>
          <w:shd w:val="clear" w:color="auto" w:fill="FFFFFF"/>
        </w:rPr>
        <w:t xml:space="preserve">esponse </w:t>
      </w:r>
      <w:r w:rsidR="00FD7148">
        <w:rPr>
          <w:rStyle w:val="cit-last-page"/>
          <w:sz w:val="24"/>
          <w:szCs w:val="24"/>
          <w:bdr w:val="none" w:sz="0" w:space="0" w:color="auto" w:frame="1"/>
          <w:shd w:val="clear" w:color="auto" w:fill="FFFFFF"/>
        </w:rPr>
        <w:t>r</w:t>
      </w:r>
      <w:r w:rsidR="00CD5F69">
        <w:rPr>
          <w:rStyle w:val="cit-last-page"/>
          <w:sz w:val="24"/>
          <w:szCs w:val="24"/>
          <w:bdr w:val="none" w:sz="0" w:space="0" w:color="auto" w:frame="1"/>
          <w:shd w:val="clear" w:color="auto" w:fill="FFFFFF"/>
        </w:rPr>
        <w:t xml:space="preserve">ates from </w:t>
      </w:r>
      <w:r w:rsidR="00FD7148">
        <w:rPr>
          <w:rStyle w:val="cit-last-page"/>
          <w:sz w:val="24"/>
          <w:szCs w:val="24"/>
          <w:bdr w:val="none" w:sz="0" w:space="0" w:color="auto" w:frame="1"/>
          <w:shd w:val="clear" w:color="auto" w:fill="FFFFFF"/>
        </w:rPr>
        <w:t>p</w:t>
      </w:r>
      <w:r w:rsidR="00CD5F69">
        <w:rPr>
          <w:rStyle w:val="cit-last-page"/>
          <w:sz w:val="24"/>
          <w:szCs w:val="24"/>
          <w:bdr w:val="none" w:sz="0" w:space="0" w:color="auto" w:frame="1"/>
          <w:shd w:val="clear" w:color="auto" w:fill="FFFFFF"/>
        </w:rPr>
        <w:t xml:space="preserve">hysicians in </w:t>
      </w:r>
      <w:r w:rsidR="00FD7148">
        <w:rPr>
          <w:rStyle w:val="cit-last-page"/>
          <w:sz w:val="24"/>
          <w:szCs w:val="24"/>
          <w:bdr w:val="none" w:sz="0" w:space="0" w:color="auto" w:frame="1"/>
          <w:shd w:val="clear" w:color="auto" w:fill="FFFFFF"/>
        </w:rPr>
        <w:t>o</w:t>
      </w:r>
      <w:r w:rsidR="00CD5F69">
        <w:rPr>
          <w:rStyle w:val="cit-last-page"/>
          <w:sz w:val="24"/>
          <w:szCs w:val="24"/>
          <w:bdr w:val="none" w:sz="0" w:space="0" w:color="auto" w:frame="1"/>
          <w:shd w:val="clear" w:color="auto" w:fill="FFFFFF"/>
        </w:rPr>
        <w:t xml:space="preserve">ncology </w:t>
      </w:r>
      <w:r w:rsidR="00FD7148">
        <w:rPr>
          <w:rStyle w:val="cit-last-page"/>
          <w:sz w:val="24"/>
          <w:szCs w:val="24"/>
          <w:bdr w:val="none" w:sz="0" w:space="0" w:color="auto" w:frame="1"/>
          <w:shd w:val="clear" w:color="auto" w:fill="FFFFFF"/>
        </w:rPr>
        <w:t>r</w:t>
      </w:r>
      <w:r w:rsidR="00CD5F69">
        <w:rPr>
          <w:rStyle w:val="cit-last-page"/>
          <w:sz w:val="24"/>
          <w:szCs w:val="24"/>
          <w:bdr w:val="none" w:sz="0" w:space="0" w:color="auto" w:frame="1"/>
          <w:shd w:val="clear" w:color="auto" w:fill="FFFFFF"/>
        </w:rPr>
        <w:t xml:space="preserve">esearch: A </w:t>
      </w:r>
      <w:r w:rsidR="00FD7148">
        <w:rPr>
          <w:rStyle w:val="cit-last-page"/>
          <w:sz w:val="24"/>
          <w:szCs w:val="24"/>
          <w:bdr w:val="none" w:sz="0" w:space="0" w:color="auto" w:frame="1"/>
          <w:shd w:val="clear" w:color="auto" w:fill="FFFFFF"/>
        </w:rPr>
        <w:t>s</w:t>
      </w:r>
      <w:r w:rsidR="00CD5F69">
        <w:rPr>
          <w:rStyle w:val="cit-last-page"/>
          <w:sz w:val="24"/>
          <w:szCs w:val="24"/>
          <w:bdr w:val="none" w:sz="0" w:space="0" w:color="auto" w:frame="1"/>
          <w:shd w:val="clear" w:color="auto" w:fill="FFFFFF"/>
        </w:rPr>
        <w:t xml:space="preserve">tructured </w:t>
      </w:r>
      <w:r w:rsidR="00FD7148">
        <w:rPr>
          <w:rStyle w:val="cit-last-page"/>
          <w:sz w:val="24"/>
          <w:szCs w:val="24"/>
          <w:bdr w:val="none" w:sz="0" w:space="0" w:color="auto" w:frame="1"/>
          <w:shd w:val="clear" w:color="auto" w:fill="FFFFFF"/>
        </w:rPr>
        <w:t>l</w:t>
      </w:r>
      <w:r w:rsidR="00CD5F69">
        <w:rPr>
          <w:rStyle w:val="cit-last-page"/>
          <w:sz w:val="24"/>
          <w:szCs w:val="24"/>
          <w:bdr w:val="none" w:sz="0" w:space="0" w:color="auto" w:frame="1"/>
          <w:shd w:val="clear" w:color="auto" w:fill="FFFFFF"/>
        </w:rPr>
        <w:t xml:space="preserve">iterature </w:t>
      </w:r>
      <w:r w:rsidR="00FD7148">
        <w:rPr>
          <w:rStyle w:val="cit-last-page"/>
          <w:sz w:val="24"/>
          <w:szCs w:val="24"/>
          <w:bdr w:val="none" w:sz="0" w:space="0" w:color="auto" w:frame="1"/>
          <w:shd w:val="clear" w:color="auto" w:fill="FFFFFF"/>
        </w:rPr>
        <w:t>r</w:t>
      </w:r>
      <w:r w:rsidR="00CD5F69">
        <w:rPr>
          <w:rStyle w:val="cit-last-page"/>
          <w:sz w:val="24"/>
          <w:szCs w:val="24"/>
          <w:bdr w:val="none" w:sz="0" w:space="0" w:color="auto" w:frame="1"/>
          <w:shd w:val="clear" w:color="auto" w:fill="FFFFFF"/>
        </w:rPr>
        <w:t xml:space="preserve">eview and </w:t>
      </w:r>
      <w:r w:rsidR="00FD7148">
        <w:rPr>
          <w:rStyle w:val="cit-last-page"/>
          <w:sz w:val="24"/>
          <w:szCs w:val="24"/>
          <w:bdr w:val="none" w:sz="0" w:space="0" w:color="auto" w:frame="1"/>
          <w:shd w:val="clear" w:color="auto" w:fill="FFFFFF"/>
        </w:rPr>
        <w:t>d</w:t>
      </w:r>
      <w:r w:rsidR="00CD5F69">
        <w:rPr>
          <w:rStyle w:val="cit-last-page"/>
          <w:sz w:val="24"/>
          <w:szCs w:val="24"/>
          <w:bdr w:val="none" w:sz="0" w:space="0" w:color="auto" w:frame="1"/>
          <w:shd w:val="clear" w:color="auto" w:fill="FFFFFF"/>
        </w:rPr>
        <w:t xml:space="preserve">ata </w:t>
      </w:r>
      <w:r w:rsidR="00FD7148">
        <w:rPr>
          <w:rStyle w:val="cit-last-page"/>
          <w:sz w:val="24"/>
          <w:szCs w:val="24"/>
          <w:bdr w:val="none" w:sz="0" w:space="0" w:color="auto" w:frame="1"/>
          <w:shd w:val="clear" w:color="auto" w:fill="FFFFFF"/>
        </w:rPr>
        <w:t>f</w:t>
      </w:r>
      <w:r w:rsidR="00CD5F69">
        <w:rPr>
          <w:rStyle w:val="cit-last-page"/>
          <w:sz w:val="24"/>
          <w:szCs w:val="24"/>
          <w:bdr w:val="none" w:sz="0" w:space="0" w:color="auto" w:frame="1"/>
          <w:shd w:val="clear" w:color="auto" w:fill="FFFFFF"/>
        </w:rPr>
        <w:t xml:space="preserve">rom a </w:t>
      </w:r>
      <w:r w:rsidR="00FD7148">
        <w:rPr>
          <w:rStyle w:val="cit-last-page"/>
          <w:sz w:val="24"/>
          <w:szCs w:val="24"/>
          <w:bdr w:val="none" w:sz="0" w:space="0" w:color="auto" w:frame="1"/>
          <w:shd w:val="clear" w:color="auto" w:fill="FFFFFF"/>
        </w:rPr>
        <w:t>r</w:t>
      </w:r>
      <w:r w:rsidR="00CD5F69">
        <w:rPr>
          <w:rStyle w:val="cit-last-page"/>
          <w:sz w:val="24"/>
          <w:szCs w:val="24"/>
          <w:bdr w:val="none" w:sz="0" w:space="0" w:color="auto" w:frame="1"/>
          <w:shd w:val="clear" w:color="auto" w:fill="FFFFFF"/>
        </w:rPr>
        <w:t xml:space="preserve">ecent </w:t>
      </w:r>
      <w:r w:rsidR="00FD7148">
        <w:rPr>
          <w:rStyle w:val="cit-last-page"/>
          <w:sz w:val="24"/>
          <w:szCs w:val="24"/>
          <w:bdr w:val="none" w:sz="0" w:space="0" w:color="auto" w:frame="1"/>
          <w:shd w:val="clear" w:color="auto" w:fill="FFFFFF"/>
        </w:rPr>
        <w:t>p</w:t>
      </w:r>
      <w:r w:rsidR="00CD5F69">
        <w:rPr>
          <w:rStyle w:val="cit-last-page"/>
          <w:sz w:val="24"/>
          <w:szCs w:val="24"/>
          <w:bdr w:val="none" w:sz="0" w:space="0" w:color="auto" w:frame="1"/>
          <w:shd w:val="clear" w:color="auto" w:fill="FFFFFF"/>
        </w:rPr>
        <w:t xml:space="preserve">hysician </w:t>
      </w:r>
      <w:r w:rsidR="00FD7148">
        <w:rPr>
          <w:rStyle w:val="cit-last-page"/>
          <w:sz w:val="24"/>
          <w:szCs w:val="24"/>
          <w:bdr w:val="none" w:sz="0" w:space="0" w:color="auto" w:frame="1"/>
          <w:shd w:val="clear" w:color="auto" w:fill="FFFFFF"/>
        </w:rPr>
        <w:t>s</w:t>
      </w:r>
      <w:r w:rsidR="00CD5F69">
        <w:rPr>
          <w:rStyle w:val="cit-last-page"/>
          <w:sz w:val="24"/>
          <w:szCs w:val="24"/>
          <w:bdr w:val="none" w:sz="0" w:space="0" w:color="auto" w:frame="1"/>
          <w:shd w:val="clear" w:color="auto" w:fill="FFFFFF"/>
        </w:rPr>
        <w:t>urvey</w:t>
      </w:r>
      <w:r w:rsidR="00FD7148">
        <w:rPr>
          <w:rStyle w:val="cit-last-page"/>
          <w:sz w:val="24"/>
          <w:szCs w:val="24"/>
          <w:bdr w:val="none" w:sz="0" w:space="0" w:color="auto" w:frame="1"/>
          <w:shd w:val="clear" w:color="auto" w:fill="FFFFFF"/>
        </w:rPr>
        <w:t>.</w:t>
      </w:r>
      <w:r w:rsidR="00CD5F69">
        <w:rPr>
          <w:rStyle w:val="cit-last-page"/>
          <w:sz w:val="24"/>
          <w:szCs w:val="24"/>
          <w:bdr w:val="none" w:sz="0" w:space="0" w:color="auto" w:frame="1"/>
          <w:shd w:val="clear" w:color="auto" w:fill="FFFFFF"/>
        </w:rPr>
        <w:t xml:space="preserve"> </w:t>
      </w:r>
      <w:r w:rsidR="00CD5F69" w:rsidRPr="00FD7148">
        <w:rPr>
          <w:rStyle w:val="cit-last-page"/>
          <w:iCs/>
          <w:sz w:val="24"/>
          <w:szCs w:val="24"/>
          <w:u w:val="single"/>
          <w:bdr w:val="none" w:sz="0" w:space="0" w:color="auto" w:frame="1"/>
          <w:shd w:val="clear" w:color="auto" w:fill="FFFFFF"/>
        </w:rPr>
        <w:t>British Journal of Cancer</w:t>
      </w:r>
      <w:r w:rsidR="00CD5F69">
        <w:rPr>
          <w:rStyle w:val="cit-last-page"/>
          <w:sz w:val="24"/>
          <w:szCs w:val="24"/>
          <w:bdr w:val="none" w:sz="0" w:space="0" w:color="auto" w:frame="1"/>
          <w:shd w:val="clear" w:color="auto" w:fill="FFFFFF"/>
        </w:rPr>
        <w:t>, 106(6), 1021-6.</w:t>
      </w:r>
    </w:p>
    <w:p w14:paraId="6E6B6B3D" w14:textId="780B75DB" w:rsidR="00CD5F69" w:rsidRDefault="00CD5F69" w:rsidP="006F137A">
      <w:pPr>
        <w:pStyle w:val="CommentText"/>
      </w:pPr>
    </w:p>
    <w:p w14:paraId="455BD07C" w14:textId="1D90EBAA" w:rsidR="00CD5F69" w:rsidRDefault="007B689F" w:rsidP="006F137A">
      <w:pPr>
        <w:autoSpaceDE w:val="0"/>
        <w:autoSpaceDN w:val="0"/>
        <w:rPr>
          <w:shd w:val="clear" w:color="auto" w:fill="FFFFFF"/>
        </w:rPr>
      </w:pPr>
      <w:r>
        <w:rPr>
          <w:shd w:val="clear" w:color="auto" w:fill="FFFFFF"/>
        </w:rPr>
        <w:t>11</w:t>
      </w:r>
      <w:r w:rsidR="00CD5F69">
        <w:rPr>
          <w:shd w:val="clear" w:color="auto" w:fill="FFFFFF"/>
        </w:rPr>
        <w:t xml:space="preserve">. Converse, J.M. </w:t>
      </w:r>
      <w:r w:rsidR="00950C70">
        <w:rPr>
          <w:shd w:val="clear" w:color="auto" w:fill="FFFFFF"/>
        </w:rPr>
        <w:t>&amp;</w:t>
      </w:r>
      <w:r w:rsidR="00CD5F69">
        <w:rPr>
          <w:shd w:val="clear" w:color="auto" w:fill="FFFFFF"/>
        </w:rPr>
        <w:t xml:space="preserve"> Presser, </w:t>
      </w:r>
      <w:r w:rsidR="00950C70">
        <w:rPr>
          <w:shd w:val="clear" w:color="auto" w:fill="FFFFFF"/>
        </w:rPr>
        <w:t xml:space="preserve">S. (1986). </w:t>
      </w:r>
      <w:r w:rsidR="00CD5F69">
        <w:rPr>
          <w:u w:val="single"/>
          <w:shd w:val="clear" w:color="auto" w:fill="FFFFFF"/>
        </w:rPr>
        <w:t>Survey Questions: Handcrafting the Standardized Questionnaire</w:t>
      </w:r>
      <w:r w:rsidR="00CD5F69">
        <w:rPr>
          <w:rStyle w:val="apple-converted-space"/>
          <w:shd w:val="clear" w:color="auto" w:fill="FFFFFF"/>
        </w:rPr>
        <w:t>, </w:t>
      </w:r>
      <w:r w:rsidR="00CD5F69">
        <w:rPr>
          <w:shd w:val="clear" w:color="auto" w:fill="FFFFFF"/>
        </w:rPr>
        <w:t>(No. 63). Thousand Oaks, CA: SAGE Publications.</w:t>
      </w:r>
    </w:p>
    <w:p w14:paraId="55E8DEF6" w14:textId="77777777" w:rsidR="00CD5F69" w:rsidRDefault="00CD5F69" w:rsidP="006F137A">
      <w:pPr>
        <w:autoSpaceDE w:val="0"/>
        <w:autoSpaceDN w:val="0"/>
      </w:pPr>
    </w:p>
    <w:p w14:paraId="2A8DB7AA" w14:textId="7F822AB7" w:rsidR="00346E57" w:rsidRDefault="007B689F" w:rsidP="00140A0D">
      <w:pPr>
        <w:tabs>
          <w:tab w:val="left" w:pos="5670"/>
        </w:tabs>
        <w:suppressAutoHyphens/>
        <w:rPr>
          <w:rFonts w:ascii="Franklin Gothic Book" w:hAnsi="Franklin Gothic Book"/>
          <w:b/>
          <w:color w:val="071D8B"/>
          <w:sz w:val="40"/>
          <w:szCs w:val="40"/>
        </w:rPr>
      </w:pPr>
      <w:r>
        <w:rPr>
          <w:shd w:val="clear" w:color="auto" w:fill="FFFFFF"/>
        </w:rPr>
        <w:t>12</w:t>
      </w:r>
      <w:r w:rsidR="00CD5F69">
        <w:rPr>
          <w:shd w:val="clear" w:color="auto" w:fill="FFFFFF"/>
        </w:rPr>
        <w:t>. DeVellis, R.F.</w:t>
      </w:r>
      <w:r w:rsidR="00950C70">
        <w:rPr>
          <w:shd w:val="clear" w:color="auto" w:fill="FFFFFF"/>
        </w:rPr>
        <w:t xml:space="preserve"> (2016).</w:t>
      </w:r>
      <w:r w:rsidR="00CD5F69">
        <w:rPr>
          <w:shd w:val="clear" w:color="auto" w:fill="FFFFFF"/>
        </w:rPr>
        <w:t xml:space="preserve"> </w:t>
      </w:r>
      <w:r w:rsidR="00CD5F69">
        <w:rPr>
          <w:u w:val="single"/>
          <w:shd w:val="clear" w:color="auto" w:fill="FFFFFF"/>
        </w:rPr>
        <w:t>Scale Development: Theory and Applications,</w:t>
      </w:r>
      <w:r w:rsidR="00CD5F69">
        <w:rPr>
          <w:rStyle w:val="apple-converted-space"/>
          <w:shd w:val="clear" w:color="auto" w:fill="FFFFFF"/>
        </w:rPr>
        <w:t> </w:t>
      </w:r>
      <w:r w:rsidR="00CD5F69">
        <w:rPr>
          <w:shd w:val="clear" w:color="auto" w:fill="FFFFFF"/>
        </w:rPr>
        <w:t>(Vol. 26). Thousand Oaks, CA: SAGE Publications.</w:t>
      </w:r>
    </w:p>
    <w:p w14:paraId="0E5624E9" w14:textId="171249DE" w:rsidR="00346E57" w:rsidRDefault="00346E57" w:rsidP="00140A0D">
      <w:pPr>
        <w:tabs>
          <w:tab w:val="left" w:pos="5670"/>
        </w:tabs>
        <w:suppressAutoHyphens/>
        <w:rPr>
          <w:rFonts w:ascii="Franklin Gothic Book" w:hAnsi="Franklin Gothic Book"/>
          <w:b/>
          <w:color w:val="071D8B"/>
          <w:sz w:val="40"/>
          <w:szCs w:val="40"/>
        </w:rPr>
      </w:pPr>
    </w:p>
    <w:p w14:paraId="33A89507" w14:textId="77777777" w:rsidR="00346E57" w:rsidRDefault="00346E57" w:rsidP="00140A0D">
      <w:pPr>
        <w:tabs>
          <w:tab w:val="left" w:pos="5670"/>
        </w:tabs>
        <w:suppressAutoHyphens/>
      </w:pPr>
    </w:p>
    <w:p w14:paraId="3E47E17D" w14:textId="77777777" w:rsidR="005C00D1" w:rsidRPr="008706D7" w:rsidRDefault="005C00D1" w:rsidP="00F95A48"/>
    <w:p w14:paraId="0E41B72D" w14:textId="4D11D0BE" w:rsidR="005C47CD" w:rsidRDefault="005C47CD" w:rsidP="005C00D1">
      <w:pPr>
        <w:jc w:val="center"/>
        <w:rPr>
          <w:b/>
        </w:rPr>
      </w:pPr>
    </w:p>
    <w:sectPr w:rsidR="005C47CD">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E0104" w14:textId="77777777" w:rsidR="007A64E7" w:rsidRDefault="007A64E7">
      <w:r>
        <w:separator/>
      </w:r>
    </w:p>
  </w:endnote>
  <w:endnote w:type="continuationSeparator" w:id="0">
    <w:p w14:paraId="728C734B" w14:textId="77777777" w:rsidR="007A64E7" w:rsidRDefault="007A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TUR">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r_thai">
    <w:altName w:val="Calibri"/>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0E190" w14:textId="2CA5FCFB" w:rsidR="007A64E7" w:rsidRDefault="007A64E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0450D">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A559E" w14:textId="77777777" w:rsidR="007A64E7" w:rsidRDefault="007A64E7">
      <w:r>
        <w:separator/>
      </w:r>
    </w:p>
  </w:footnote>
  <w:footnote w:type="continuationSeparator" w:id="0">
    <w:p w14:paraId="29F8EF8D" w14:textId="77777777" w:rsidR="007A64E7" w:rsidRDefault="007A64E7">
      <w:r>
        <w:continuationSeparator/>
      </w:r>
    </w:p>
  </w:footnote>
  <w:footnote w:id="1">
    <w:p w14:paraId="653FF7A6" w14:textId="77777777" w:rsidR="007A64E7" w:rsidRDefault="007A64E7" w:rsidP="000E48F4">
      <w:pPr>
        <w:pStyle w:val="FootnoteText"/>
      </w:pPr>
      <w:r w:rsidRPr="005B0D6D">
        <w:rPr>
          <w:rStyle w:val="FootnoteReference"/>
          <w:vertAlign w:val="superscript"/>
        </w:rPr>
        <w:footnoteRef/>
      </w:r>
      <w:r w:rsidRPr="005B0D6D">
        <w:rPr>
          <w:vertAlign w:val="superscript"/>
        </w:rPr>
        <w:t xml:space="preserve"> </w:t>
      </w:r>
      <w:r w:rsidRPr="00EE1D7E">
        <w:rPr>
          <w:rFonts w:cs="Helvetica"/>
          <w:lang w:val="en"/>
        </w:rPr>
        <w:t xml:space="preserve">Distributing Scientific and Medical Publications on Unapproved New Uses — Recommended Practices - Revised Guidance (2014). </w:t>
      </w:r>
      <w:hyperlink r:id="rId1" w:history="1">
        <w:r w:rsidRPr="00A45761">
          <w:rPr>
            <w:rStyle w:val="Hyperlink"/>
          </w:rPr>
          <w:t>https://www.fda.gov/downloads/Drugs/GuidanceComplianceRegulatoryInformation/Guidances/UCM387652.pdf</w:t>
        </w:r>
      </w:hyperlink>
    </w:p>
  </w:footnote>
  <w:footnote w:id="2">
    <w:p w14:paraId="620C86FA" w14:textId="77777777" w:rsidR="007A64E7" w:rsidRDefault="007A64E7" w:rsidP="000E48F4">
      <w:pPr>
        <w:pStyle w:val="FootnoteText"/>
      </w:pPr>
      <w:r w:rsidRPr="005B0D6D">
        <w:rPr>
          <w:rStyle w:val="FootnoteReference"/>
          <w:vertAlign w:val="superscript"/>
        </w:rPr>
        <w:footnoteRef/>
      </w:r>
      <w:r w:rsidRPr="005B0D6D">
        <w:rPr>
          <w:vertAlign w:val="superscript"/>
        </w:rPr>
        <w:t xml:space="preserve"> </w:t>
      </w:r>
      <w:r w:rsidRPr="00131C99">
        <w:t xml:space="preserve">Responding to Unsolicited Requests for Off-Label Information About Prescription Drugs and Medical Devices </w:t>
      </w:r>
      <w:r>
        <w:t>D</w:t>
      </w:r>
      <w:r w:rsidRPr="00131C99">
        <w:t xml:space="preserve">raft </w:t>
      </w:r>
      <w:r>
        <w:t>G</w:t>
      </w:r>
      <w:r w:rsidRPr="00131C99">
        <w:t>uidance (2011)</w:t>
      </w:r>
      <w:r>
        <w:t>.</w:t>
      </w:r>
    </w:p>
    <w:p w14:paraId="15A2FF56" w14:textId="77777777" w:rsidR="007A64E7" w:rsidRDefault="00D0450D" w:rsidP="000E48F4">
      <w:pPr>
        <w:pStyle w:val="FootnoteText"/>
      </w:pPr>
      <w:hyperlink r:id="rId2" w:history="1">
        <w:r w:rsidR="007A64E7" w:rsidRPr="00131C99">
          <w:rPr>
            <w:color w:val="0000FF"/>
            <w:u w:val="single"/>
          </w:rPr>
          <w:t>https://www.fda.gov/media/82660/download</w:t>
        </w:r>
      </w:hyperlink>
      <w:r w:rsidR="007A64E7">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Times New Roman TUR" w:hAnsi="Times New Roman TUR" w:cs="Times New Roman TUR"/>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2">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6315D1"/>
    <w:multiLevelType w:val="singleLevel"/>
    <w:tmpl w:val="04090007"/>
    <w:lvl w:ilvl="0">
      <w:start w:val="1"/>
      <w:numFmt w:val="bullet"/>
      <w:lvlText w:val=""/>
      <w:lvlJc w:val="left"/>
      <w:pPr>
        <w:tabs>
          <w:tab w:val="num" w:pos="990"/>
        </w:tabs>
        <w:ind w:left="990" w:hanging="360"/>
      </w:pPr>
      <w:rPr>
        <w:rFonts w:ascii="Wingdings" w:hAnsi="Wingdings" w:hint="default"/>
        <w:sz w:val="16"/>
      </w:rPr>
    </w:lvl>
  </w:abstractNum>
  <w:abstractNum w:abstractNumId="6">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7">
    <w:nsid w:val="15657E8E"/>
    <w:multiLevelType w:val="hybridMultilevel"/>
    <w:tmpl w:val="C2FE4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F03E13"/>
    <w:multiLevelType w:val="hybridMultilevel"/>
    <w:tmpl w:val="65B0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6A13FB"/>
    <w:multiLevelType w:val="hybridMultilevel"/>
    <w:tmpl w:val="FE8C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12">
    <w:nsid w:val="23D31DDB"/>
    <w:multiLevelType w:val="hybridMultilevel"/>
    <w:tmpl w:val="99D4D5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E835CC"/>
    <w:multiLevelType w:val="hybridMultilevel"/>
    <w:tmpl w:val="1CAA2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7E06C9B"/>
    <w:multiLevelType w:val="hybridMultilevel"/>
    <w:tmpl w:val="332ED7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82006B5"/>
    <w:multiLevelType w:val="hybridMultilevel"/>
    <w:tmpl w:val="13E801DA"/>
    <w:lvl w:ilvl="0" w:tplc="0409000F">
      <w:start w:val="1"/>
      <w:numFmt w:val="decimal"/>
      <w:lvlText w:val="%1."/>
      <w:lvlJc w:val="left"/>
      <w:pPr>
        <w:ind w:left="450" w:hanging="360"/>
      </w:pPr>
    </w:lvl>
    <w:lvl w:ilvl="1" w:tplc="6E2C0988" w:tentative="1">
      <w:start w:val="1"/>
      <w:numFmt w:val="lowerLetter"/>
      <w:lvlText w:val="%2."/>
      <w:lvlJc w:val="left"/>
      <w:pPr>
        <w:ind w:left="1170" w:hanging="360"/>
      </w:pPr>
      <w:rPr>
        <w:rFonts w:cs="Times New Roman"/>
      </w:rPr>
    </w:lvl>
    <w:lvl w:ilvl="2" w:tplc="E0A2482C" w:tentative="1">
      <w:start w:val="1"/>
      <w:numFmt w:val="lowerRoman"/>
      <w:lvlText w:val="%3."/>
      <w:lvlJc w:val="right"/>
      <w:pPr>
        <w:ind w:left="1890" w:hanging="180"/>
      </w:pPr>
      <w:rPr>
        <w:rFonts w:cs="Times New Roman"/>
      </w:rPr>
    </w:lvl>
    <w:lvl w:ilvl="3" w:tplc="2FA66398" w:tentative="1">
      <w:start w:val="1"/>
      <w:numFmt w:val="decimal"/>
      <w:lvlText w:val="%4."/>
      <w:lvlJc w:val="left"/>
      <w:pPr>
        <w:ind w:left="2610" w:hanging="360"/>
      </w:pPr>
      <w:rPr>
        <w:rFonts w:cs="Times New Roman"/>
      </w:rPr>
    </w:lvl>
    <w:lvl w:ilvl="4" w:tplc="27C04310" w:tentative="1">
      <w:start w:val="1"/>
      <w:numFmt w:val="lowerLetter"/>
      <w:lvlText w:val="%5."/>
      <w:lvlJc w:val="left"/>
      <w:pPr>
        <w:ind w:left="3330" w:hanging="360"/>
      </w:pPr>
      <w:rPr>
        <w:rFonts w:cs="Times New Roman"/>
      </w:rPr>
    </w:lvl>
    <w:lvl w:ilvl="5" w:tplc="3FB46DE2" w:tentative="1">
      <w:start w:val="1"/>
      <w:numFmt w:val="lowerRoman"/>
      <w:lvlText w:val="%6."/>
      <w:lvlJc w:val="right"/>
      <w:pPr>
        <w:ind w:left="4050" w:hanging="180"/>
      </w:pPr>
      <w:rPr>
        <w:rFonts w:cs="Times New Roman"/>
      </w:rPr>
    </w:lvl>
    <w:lvl w:ilvl="6" w:tplc="E6A85130" w:tentative="1">
      <w:start w:val="1"/>
      <w:numFmt w:val="decimal"/>
      <w:lvlText w:val="%7."/>
      <w:lvlJc w:val="left"/>
      <w:pPr>
        <w:ind w:left="4770" w:hanging="360"/>
      </w:pPr>
      <w:rPr>
        <w:rFonts w:cs="Times New Roman"/>
      </w:rPr>
    </w:lvl>
    <w:lvl w:ilvl="7" w:tplc="33164284" w:tentative="1">
      <w:start w:val="1"/>
      <w:numFmt w:val="lowerLetter"/>
      <w:lvlText w:val="%8."/>
      <w:lvlJc w:val="left"/>
      <w:pPr>
        <w:ind w:left="5490" w:hanging="360"/>
      </w:pPr>
      <w:rPr>
        <w:rFonts w:cs="Times New Roman"/>
      </w:rPr>
    </w:lvl>
    <w:lvl w:ilvl="8" w:tplc="3768D9D6" w:tentative="1">
      <w:start w:val="1"/>
      <w:numFmt w:val="lowerRoman"/>
      <w:lvlText w:val="%9."/>
      <w:lvlJc w:val="right"/>
      <w:pPr>
        <w:ind w:left="6210" w:hanging="180"/>
      </w:pPr>
      <w:rPr>
        <w:rFonts w:cs="Times New Roman"/>
      </w:rPr>
    </w:lvl>
  </w:abstractNum>
  <w:abstractNum w:abstractNumId="17">
    <w:nsid w:val="2B2319E3"/>
    <w:multiLevelType w:val="hybridMultilevel"/>
    <w:tmpl w:val="9608515A"/>
    <w:lvl w:ilvl="0" w:tplc="04090007">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19">
    <w:nsid w:val="2FA74FB7"/>
    <w:multiLevelType w:val="hybridMultilevel"/>
    <w:tmpl w:val="F0907162"/>
    <w:lvl w:ilvl="0" w:tplc="67F8F97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38A24C04"/>
    <w:multiLevelType w:val="hybridMultilevel"/>
    <w:tmpl w:val="0EE6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3">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3F5477D"/>
    <w:multiLevelType w:val="hybridMultilevel"/>
    <w:tmpl w:val="A8B824D2"/>
    <w:lvl w:ilvl="0" w:tplc="DC681854">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450B6F0E"/>
    <w:multiLevelType w:val="hybridMultilevel"/>
    <w:tmpl w:val="8C2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931571"/>
    <w:multiLevelType w:val="hybridMultilevel"/>
    <w:tmpl w:val="41642DC6"/>
    <w:lvl w:ilvl="0" w:tplc="6D1410E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6D251D"/>
    <w:multiLevelType w:val="hybridMultilevel"/>
    <w:tmpl w:val="99BE9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9A5E6A"/>
    <w:multiLevelType w:val="hybridMultilevel"/>
    <w:tmpl w:val="EA681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0090C5C"/>
    <w:multiLevelType w:val="singleLevel"/>
    <w:tmpl w:val="04090007"/>
    <w:lvl w:ilvl="0">
      <w:start w:val="1"/>
      <w:numFmt w:val="bullet"/>
      <w:lvlText w:val=""/>
      <w:lvlJc w:val="left"/>
      <w:pPr>
        <w:tabs>
          <w:tab w:val="num" w:pos="1530"/>
        </w:tabs>
        <w:ind w:left="1530" w:hanging="360"/>
      </w:pPr>
      <w:rPr>
        <w:rFonts w:ascii="Wingdings" w:hAnsi="Wingdings" w:hint="default"/>
        <w:sz w:val="16"/>
      </w:rPr>
    </w:lvl>
  </w:abstractNum>
  <w:abstractNum w:abstractNumId="32">
    <w:nsid w:val="63810586"/>
    <w:multiLevelType w:val="hybridMultilevel"/>
    <w:tmpl w:val="62469FE0"/>
    <w:lvl w:ilvl="0" w:tplc="9C38858C">
      <w:start w:val="1"/>
      <w:numFmt w:val="bullet"/>
      <w:lvlText w:val=""/>
      <w:lvlJc w:val="left"/>
      <w:pPr>
        <w:tabs>
          <w:tab w:val="num" w:pos="936"/>
        </w:tabs>
        <w:ind w:left="936" w:hanging="360"/>
      </w:pPr>
      <w:rPr>
        <w:rFonts w:ascii="Symbol" w:hAnsi="Symbol" w:hint="default"/>
        <w:color w:val="auto"/>
      </w:rPr>
    </w:lvl>
    <w:lvl w:ilvl="1" w:tplc="04090003" w:tentative="1">
      <w:start w:val="1"/>
      <w:numFmt w:val="bullet"/>
      <w:lvlText w:val="o"/>
      <w:lvlJc w:val="left"/>
      <w:pPr>
        <w:tabs>
          <w:tab w:val="num" w:pos="-504"/>
        </w:tabs>
        <w:ind w:left="-504" w:hanging="360"/>
      </w:pPr>
      <w:rPr>
        <w:rFonts w:ascii="Courier New" w:hAnsi="Courier New" w:cs="Courier New" w:hint="default"/>
      </w:rPr>
    </w:lvl>
    <w:lvl w:ilvl="2" w:tplc="04090005" w:tentative="1">
      <w:start w:val="1"/>
      <w:numFmt w:val="bullet"/>
      <w:lvlText w:val=""/>
      <w:lvlJc w:val="left"/>
      <w:pPr>
        <w:tabs>
          <w:tab w:val="num" w:pos="216"/>
        </w:tabs>
        <w:ind w:left="216" w:hanging="360"/>
      </w:pPr>
      <w:rPr>
        <w:rFonts w:ascii="Wingdings" w:hAnsi="Wingdings" w:hint="default"/>
      </w:rPr>
    </w:lvl>
    <w:lvl w:ilvl="3" w:tplc="04090001" w:tentative="1">
      <w:start w:val="1"/>
      <w:numFmt w:val="bullet"/>
      <w:lvlText w:val=""/>
      <w:lvlJc w:val="left"/>
      <w:pPr>
        <w:tabs>
          <w:tab w:val="num" w:pos="936"/>
        </w:tabs>
        <w:ind w:left="936" w:hanging="360"/>
      </w:pPr>
      <w:rPr>
        <w:rFonts w:ascii="Symbol" w:hAnsi="Symbol" w:hint="default"/>
      </w:rPr>
    </w:lvl>
    <w:lvl w:ilvl="4" w:tplc="04090003" w:tentative="1">
      <w:start w:val="1"/>
      <w:numFmt w:val="bullet"/>
      <w:lvlText w:val="o"/>
      <w:lvlJc w:val="left"/>
      <w:pPr>
        <w:tabs>
          <w:tab w:val="num" w:pos="1656"/>
        </w:tabs>
        <w:ind w:left="1656" w:hanging="360"/>
      </w:pPr>
      <w:rPr>
        <w:rFonts w:ascii="Courier New" w:hAnsi="Courier New" w:cs="Courier New" w:hint="default"/>
      </w:rPr>
    </w:lvl>
    <w:lvl w:ilvl="5" w:tplc="04090005" w:tentative="1">
      <w:start w:val="1"/>
      <w:numFmt w:val="bullet"/>
      <w:lvlText w:val=""/>
      <w:lvlJc w:val="left"/>
      <w:pPr>
        <w:tabs>
          <w:tab w:val="num" w:pos="2376"/>
        </w:tabs>
        <w:ind w:left="2376" w:hanging="360"/>
      </w:pPr>
      <w:rPr>
        <w:rFonts w:ascii="Wingdings" w:hAnsi="Wingdings" w:hint="default"/>
      </w:rPr>
    </w:lvl>
    <w:lvl w:ilvl="6" w:tplc="04090001" w:tentative="1">
      <w:start w:val="1"/>
      <w:numFmt w:val="bullet"/>
      <w:lvlText w:val=""/>
      <w:lvlJc w:val="left"/>
      <w:pPr>
        <w:tabs>
          <w:tab w:val="num" w:pos="3096"/>
        </w:tabs>
        <w:ind w:left="3096" w:hanging="360"/>
      </w:pPr>
      <w:rPr>
        <w:rFonts w:ascii="Symbol" w:hAnsi="Symbol" w:hint="default"/>
      </w:rPr>
    </w:lvl>
    <w:lvl w:ilvl="7" w:tplc="04090003" w:tentative="1">
      <w:start w:val="1"/>
      <w:numFmt w:val="bullet"/>
      <w:lvlText w:val="o"/>
      <w:lvlJc w:val="left"/>
      <w:pPr>
        <w:tabs>
          <w:tab w:val="num" w:pos="3816"/>
        </w:tabs>
        <w:ind w:left="3816" w:hanging="360"/>
      </w:pPr>
      <w:rPr>
        <w:rFonts w:ascii="Courier New" w:hAnsi="Courier New" w:cs="Courier New" w:hint="default"/>
      </w:rPr>
    </w:lvl>
    <w:lvl w:ilvl="8" w:tplc="04090005" w:tentative="1">
      <w:start w:val="1"/>
      <w:numFmt w:val="bullet"/>
      <w:lvlText w:val=""/>
      <w:lvlJc w:val="left"/>
      <w:pPr>
        <w:tabs>
          <w:tab w:val="num" w:pos="4536"/>
        </w:tabs>
        <w:ind w:left="4536" w:hanging="360"/>
      </w:pPr>
      <w:rPr>
        <w:rFonts w:ascii="Wingdings" w:hAnsi="Wingdings" w:hint="default"/>
      </w:rPr>
    </w:lvl>
  </w:abstractNum>
  <w:abstractNum w:abstractNumId="33">
    <w:nsid w:val="67700530"/>
    <w:multiLevelType w:val="hybridMultilevel"/>
    <w:tmpl w:val="C7603AEE"/>
    <w:lvl w:ilvl="0" w:tplc="3E907FE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0F7E57"/>
    <w:multiLevelType w:val="hybridMultilevel"/>
    <w:tmpl w:val="6D780BDE"/>
    <w:lvl w:ilvl="0" w:tplc="D89C8F2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6">
    <w:nsid w:val="6C0D07D9"/>
    <w:multiLevelType w:val="hybridMultilevel"/>
    <w:tmpl w:val="B12EE64E"/>
    <w:lvl w:ilvl="0" w:tplc="0409000F">
      <w:start w:val="1"/>
      <w:numFmt w:val="decimal"/>
      <w:lvlText w:val="%1."/>
      <w:lvlJc w:val="left"/>
      <w:pPr>
        <w:tabs>
          <w:tab w:val="num" w:pos="1350"/>
        </w:tabs>
        <w:ind w:left="1350" w:hanging="360"/>
      </w:pPr>
    </w:lvl>
    <w:lvl w:ilvl="1" w:tplc="04090019">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37">
    <w:nsid w:val="70856207"/>
    <w:multiLevelType w:val="hybridMultilevel"/>
    <w:tmpl w:val="C9D8E74A"/>
    <w:lvl w:ilvl="0" w:tplc="D89C8F2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425084A"/>
    <w:multiLevelType w:val="hybridMultilevel"/>
    <w:tmpl w:val="6AF478EC"/>
    <w:lvl w:ilvl="0" w:tplc="51F6E39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4FE7B33"/>
    <w:multiLevelType w:val="hybridMultilevel"/>
    <w:tmpl w:val="F6C48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41">
    <w:nsid w:val="79627A5C"/>
    <w:multiLevelType w:val="hybridMultilevel"/>
    <w:tmpl w:val="6F744E5E"/>
    <w:lvl w:ilvl="0" w:tplc="744277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43">
    <w:nsid w:val="7C72646C"/>
    <w:multiLevelType w:val="hybridMultilevel"/>
    <w:tmpl w:val="8DE036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42"/>
  </w:num>
  <w:num w:numId="3">
    <w:abstractNumId w:val="40"/>
  </w:num>
  <w:num w:numId="4">
    <w:abstractNumId w:val="44"/>
  </w:num>
  <w:num w:numId="5">
    <w:abstractNumId w:val="6"/>
  </w:num>
  <w:num w:numId="6">
    <w:abstractNumId w:val="3"/>
  </w:num>
  <w:num w:numId="7">
    <w:abstractNumId w:val="22"/>
  </w:num>
  <w:num w:numId="8">
    <w:abstractNumId w:val="35"/>
  </w:num>
  <w:num w:numId="9">
    <w:abstractNumId w:val="23"/>
  </w:num>
  <w:num w:numId="10">
    <w:abstractNumId w:val="4"/>
  </w:num>
  <w:num w:numId="11">
    <w:abstractNumId w:val="10"/>
  </w:num>
  <w:num w:numId="12">
    <w:abstractNumId w:val="14"/>
  </w:num>
  <w:num w:numId="13">
    <w:abstractNumId w:val="2"/>
  </w:num>
  <w:num w:numId="14">
    <w:abstractNumId w:val="20"/>
  </w:num>
  <w:num w:numId="15">
    <w:abstractNumId w:val="36"/>
  </w:num>
  <w:num w:numId="16">
    <w:abstractNumId w:val="30"/>
  </w:num>
  <w:num w:numId="17">
    <w:abstractNumId w:val="1"/>
  </w:num>
  <w:num w:numId="18">
    <w:abstractNumId w:val="18"/>
  </w:num>
  <w:num w:numId="19">
    <w:abstractNumId w:val="11"/>
  </w:num>
  <w:num w:numId="20">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38"/>
  </w:num>
  <w:num w:numId="22">
    <w:abstractNumId w:val="25"/>
  </w:num>
  <w:num w:numId="23">
    <w:abstractNumId w:val="8"/>
  </w:num>
  <w:num w:numId="24">
    <w:abstractNumId w:val="32"/>
  </w:num>
  <w:num w:numId="25">
    <w:abstractNumId w:val="27"/>
  </w:num>
  <w:num w:numId="26">
    <w:abstractNumId w:val="12"/>
  </w:num>
  <w:num w:numId="27">
    <w:abstractNumId w:val="16"/>
  </w:num>
  <w:num w:numId="28">
    <w:abstractNumId w:val="41"/>
  </w:num>
  <w:num w:numId="29">
    <w:abstractNumId w:val="26"/>
  </w:num>
  <w:num w:numId="30">
    <w:abstractNumId w:val="21"/>
  </w:num>
  <w:num w:numId="31">
    <w:abstractNumId w:val="13"/>
  </w:num>
  <w:num w:numId="32">
    <w:abstractNumId w:val="43"/>
  </w:num>
  <w:num w:numId="33">
    <w:abstractNumId w:val="5"/>
  </w:num>
  <w:num w:numId="34">
    <w:abstractNumId w:val="31"/>
  </w:num>
  <w:num w:numId="35">
    <w:abstractNumId w:val="15"/>
  </w:num>
  <w:num w:numId="36">
    <w:abstractNumId w:val="34"/>
  </w:num>
  <w:num w:numId="37">
    <w:abstractNumId w:val="17"/>
  </w:num>
  <w:num w:numId="38">
    <w:abstractNumId w:val="29"/>
  </w:num>
  <w:num w:numId="39">
    <w:abstractNumId w:val="28"/>
  </w:num>
  <w:num w:numId="40">
    <w:abstractNumId w:val="19"/>
  </w:num>
  <w:num w:numId="41">
    <w:abstractNumId w:val="37"/>
  </w:num>
  <w:num w:numId="42">
    <w:abstractNumId w:val="33"/>
  </w:num>
  <w:num w:numId="43">
    <w:abstractNumId w:val="39"/>
  </w:num>
  <w:num w:numId="44">
    <w:abstractNumId w:val="7"/>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2746"/>
    <w:rsid w:val="00005D48"/>
    <w:rsid w:val="00012CA9"/>
    <w:rsid w:val="000240EA"/>
    <w:rsid w:val="00035B5C"/>
    <w:rsid w:val="0003694C"/>
    <w:rsid w:val="00036E57"/>
    <w:rsid w:val="00040BFF"/>
    <w:rsid w:val="00041BD0"/>
    <w:rsid w:val="0004305D"/>
    <w:rsid w:val="00064802"/>
    <w:rsid w:val="00072447"/>
    <w:rsid w:val="00076513"/>
    <w:rsid w:val="000A1177"/>
    <w:rsid w:val="000A355C"/>
    <w:rsid w:val="000A525C"/>
    <w:rsid w:val="000A5F6A"/>
    <w:rsid w:val="000B0E6B"/>
    <w:rsid w:val="000B51E3"/>
    <w:rsid w:val="000B5D2E"/>
    <w:rsid w:val="000C2D62"/>
    <w:rsid w:val="000C386B"/>
    <w:rsid w:val="000D2C2A"/>
    <w:rsid w:val="000D4CD0"/>
    <w:rsid w:val="000D69FA"/>
    <w:rsid w:val="000E061B"/>
    <w:rsid w:val="000E3587"/>
    <w:rsid w:val="000E48F4"/>
    <w:rsid w:val="000E66EB"/>
    <w:rsid w:val="000F1CDA"/>
    <w:rsid w:val="000F2F28"/>
    <w:rsid w:val="000F41EA"/>
    <w:rsid w:val="000F6CD9"/>
    <w:rsid w:val="000F7400"/>
    <w:rsid w:val="00103BFE"/>
    <w:rsid w:val="00125255"/>
    <w:rsid w:val="00126D06"/>
    <w:rsid w:val="00130ADF"/>
    <w:rsid w:val="00132EF8"/>
    <w:rsid w:val="00134435"/>
    <w:rsid w:val="001344FF"/>
    <w:rsid w:val="0013785C"/>
    <w:rsid w:val="00140343"/>
    <w:rsid w:val="00140A0D"/>
    <w:rsid w:val="0014292C"/>
    <w:rsid w:val="00143294"/>
    <w:rsid w:val="0014636B"/>
    <w:rsid w:val="0014771B"/>
    <w:rsid w:val="001563A2"/>
    <w:rsid w:val="00172A6E"/>
    <w:rsid w:val="0017395A"/>
    <w:rsid w:val="001807FD"/>
    <w:rsid w:val="00185D8E"/>
    <w:rsid w:val="001905DE"/>
    <w:rsid w:val="00190AA2"/>
    <w:rsid w:val="00192B10"/>
    <w:rsid w:val="001930E6"/>
    <w:rsid w:val="00193E9C"/>
    <w:rsid w:val="001A090E"/>
    <w:rsid w:val="001A22C0"/>
    <w:rsid w:val="001A324E"/>
    <w:rsid w:val="001A68F4"/>
    <w:rsid w:val="001C0117"/>
    <w:rsid w:val="001C126F"/>
    <w:rsid w:val="001D19B4"/>
    <w:rsid w:val="001D29E3"/>
    <w:rsid w:val="001D2E38"/>
    <w:rsid w:val="001D56B4"/>
    <w:rsid w:val="001F09C0"/>
    <w:rsid w:val="001F4032"/>
    <w:rsid w:val="001F4497"/>
    <w:rsid w:val="002009DF"/>
    <w:rsid w:val="002041C4"/>
    <w:rsid w:val="0021293B"/>
    <w:rsid w:val="002154A6"/>
    <w:rsid w:val="0021754E"/>
    <w:rsid w:val="0021757E"/>
    <w:rsid w:val="00223970"/>
    <w:rsid w:val="0022730D"/>
    <w:rsid w:val="00227CEB"/>
    <w:rsid w:val="0023140C"/>
    <w:rsid w:val="002423C2"/>
    <w:rsid w:val="00243BAE"/>
    <w:rsid w:val="00243F05"/>
    <w:rsid w:val="00255B16"/>
    <w:rsid w:val="002623BC"/>
    <w:rsid w:val="002648C3"/>
    <w:rsid w:val="00265E86"/>
    <w:rsid w:val="00272D81"/>
    <w:rsid w:val="00290007"/>
    <w:rsid w:val="00290FBC"/>
    <w:rsid w:val="002A6942"/>
    <w:rsid w:val="002B1DFB"/>
    <w:rsid w:val="002C54F8"/>
    <w:rsid w:val="002C778E"/>
    <w:rsid w:val="002D14D9"/>
    <w:rsid w:val="002D2DB9"/>
    <w:rsid w:val="002D3089"/>
    <w:rsid w:val="002D4277"/>
    <w:rsid w:val="002E0119"/>
    <w:rsid w:val="00305795"/>
    <w:rsid w:val="00310E51"/>
    <w:rsid w:val="00316BBA"/>
    <w:rsid w:val="003227ED"/>
    <w:rsid w:val="003259FA"/>
    <w:rsid w:val="00332323"/>
    <w:rsid w:val="00340279"/>
    <w:rsid w:val="00341533"/>
    <w:rsid w:val="00346E57"/>
    <w:rsid w:val="00350C25"/>
    <w:rsid w:val="00353E0B"/>
    <w:rsid w:val="00356056"/>
    <w:rsid w:val="00364051"/>
    <w:rsid w:val="00370B7B"/>
    <w:rsid w:val="00372A83"/>
    <w:rsid w:val="00373C8F"/>
    <w:rsid w:val="00373E08"/>
    <w:rsid w:val="00374184"/>
    <w:rsid w:val="00390A48"/>
    <w:rsid w:val="003919D8"/>
    <w:rsid w:val="00392D62"/>
    <w:rsid w:val="003A62D5"/>
    <w:rsid w:val="003A6CD8"/>
    <w:rsid w:val="003B1708"/>
    <w:rsid w:val="003B4ABD"/>
    <w:rsid w:val="003D00F1"/>
    <w:rsid w:val="003D120C"/>
    <w:rsid w:val="003D24BF"/>
    <w:rsid w:val="003E014C"/>
    <w:rsid w:val="003E0C0B"/>
    <w:rsid w:val="003E0D11"/>
    <w:rsid w:val="003F031C"/>
    <w:rsid w:val="003F1943"/>
    <w:rsid w:val="003F1C7A"/>
    <w:rsid w:val="003F4508"/>
    <w:rsid w:val="003F4691"/>
    <w:rsid w:val="003F6C7E"/>
    <w:rsid w:val="003F7133"/>
    <w:rsid w:val="0040342B"/>
    <w:rsid w:val="00411149"/>
    <w:rsid w:val="00411FD1"/>
    <w:rsid w:val="00415897"/>
    <w:rsid w:val="00415B1D"/>
    <w:rsid w:val="00421BAD"/>
    <w:rsid w:val="004277AA"/>
    <w:rsid w:val="00453D16"/>
    <w:rsid w:val="004575C0"/>
    <w:rsid w:val="00463B4D"/>
    <w:rsid w:val="00467E1F"/>
    <w:rsid w:val="00471CFA"/>
    <w:rsid w:val="004722D6"/>
    <w:rsid w:val="00476673"/>
    <w:rsid w:val="00482510"/>
    <w:rsid w:val="00490966"/>
    <w:rsid w:val="0049419A"/>
    <w:rsid w:val="00497AAA"/>
    <w:rsid w:val="004A32E2"/>
    <w:rsid w:val="004A5201"/>
    <w:rsid w:val="004B694D"/>
    <w:rsid w:val="004D0E0E"/>
    <w:rsid w:val="004D1B5D"/>
    <w:rsid w:val="004D62CB"/>
    <w:rsid w:val="004E04E3"/>
    <w:rsid w:val="004E2A5A"/>
    <w:rsid w:val="004E5C97"/>
    <w:rsid w:val="004E7521"/>
    <w:rsid w:val="004F125B"/>
    <w:rsid w:val="004F7310"/>
    <w:rsid w:val="00500E29"/>
    <w:rsid w:val="00505804"/>
    <w:rsid w:val="00523DDD"/>
    <w:rsid w:val="005458E9"/>
    <w:rsid w:val="0056293F"/>
    <w:rsid w:val="005662FF"/>
    <w:rsid w:val="00570E5B"/>
    <w:rsid w:val="00573DBF"/>
    <w:rsid w:val="00577001"/>
    <w:rsid w:val="00580940"/>
    <w:rsid w:val="0058679B"/>
    <w:rsid w:val="00591DB2"/>
    <w:rsid w:val="00592DB2"/>
    <w:rsid w:val="00595B0F"/>
    <w:rsid w:val="005A0A5F"/>
    <w:rsid w:val="005A18A4"/>
    <w:rsid w:val="005A1ADE"/>
    <w:rsid w:val="005A6808"/>
    <w:rsid w:val="005A77C0"/>
    <w:rsid w:val="005B0D6D"/>
    <w:rsid w:val="005B4048"/>
    <w:rsid w:val="005B4464"/>
    <w:rsid w:val="005B6796"/>
    <w:rsid w:val="005C00D1"/>
    <w:rsid w:val="005C47CD"/>
    <w:rsid w:val="005C646A"/>
    <w:rsid w:val="005C7A09"/>
    <w:rsid w:val="005D6152"/>
    <w:rsid w:val="005E23BA"/>
    <w:rsid w:val="005E4981"/>
    <w:rsid w:val="005E5B8E"/>
    <w:rsid w:val="005E6CFD"/>
    <w:rsid w:val="005E7315"/>
    <w:rsid w:val="005F13A2"/>
    <w:rsid w:val="005F2D97"/>
    <w:rsid w:val="006023B1"/>
    <w:rsid w:val="006026AB"/>
    <w:rsid w:val="00606A1C"/>
    <w:rsid w:val="00607815"/>
    <w:rsid w:val="00614F6F"/>
    <w:rsid w:val="006153B9"/>
    <w:rsid w:val="00616F2A"/>
    <w:rsid w:val="00623DE0"/>
    <w:rsid w:val="0063232F"/>
    <w:rsid w:val="006334E3"/>
    <w:rsid w:val="006335D2"/>
    <w:rsid w:val="00643360"/>
    <w:rsid w:val="00644104"/>
    <w:rsid w:val="0066030A"/>
    <w:rsid w:val="006613DD"/>
    <w:rsid w:val="00662360"/>
    <w:rsid w:val="006722F6"/>
    <w:rsid w:val="00682BB9"/>
    <w:rsid w:val="00685B85"/>
    <w:rsid w:val="00696B03"/>
    <w:rsid w:val="006970B6"/>
    <w:rsid w:val="006A48E5"/>
    <w:rsid w:val="006A73AA"/>
    <w:rsid w:val="006A795B"/>
    <w:rsid w:val="006B3563"/>
    <w:rsid w:val="006C02CB"/>
    <w:rsid w:val="006C5905"/>
    <w:rsid w:val="006D3B31"/>
    <w:rsid w:val="006E7970"/>
    <w:rsid w:val="006F137A"/>
    <w:rsid w:val="006F243C"/>
    <w:rsid w:val="006F303C"/>
    <w:rsid w:val="006F46E3"/>
    <w:rsid w:val="00700FB3"/>
    <w:rsid w:val="007023DB"/>
    <w:rsid w:val="00703400"/>
    <w:rsid w:val="0071182B"/>
    <w:rsid w:val="00712663"/>
    <w:rsid w:val="0071297F"/>
    <w:rsid w:val="00713F4D"/>
    <w:rsid w:val="00715678"/>
    <w:rsid w:val="00716B73"/>
    <w:rsid w:val="00720484"/>
    <w:rsid w:val="00722474"/>
    <w:rsid w:val="007224EB"/>
    <w:rsid w:val="007232E9"/>
    <w:rsid w:val="007320DC"/>
    <w:rsid w:val="00735060"/>
    <w:rsid w:val="0074463A"/>
    <w:rsid w:val="00744F5B"/>
    <w:rsid w:val="00751CFC"/>
    <w:rsid w:val="00755192"/>
    <w:rsid w:val="00780821"/>
    <w:rsid w:val="00787854"/>
    <w:rsid w:val="00791C0E"/>
    <w:rsid w:val="007921F9"/>
    <w:rsid w:val="0079417B"/>
    <w:rsid w:val="007941C8"/>
    <w:rsid w:val="007A4331"/>
    <w:rsid w:val="007A64E7"/>
    <w:rsid w:val="007B045B"/>
    <w:rsid w:val="007B2DD9"/>
    <w:rsid w:val="007B42F8"/>
    <w:rsid w:val="007B689F"/>
    <w:rsid w:val="007B6D3E"/>
    <w:rsid w:val="007B774A"/>
    <w:rsid w:val="007C7DF4"/>
    <w:rsid w:val="007D61D7"/>
    <w:rsid w:val="007D6BA1"/>
    <w:rsid w:val="007E5437"/>
    <w:rsid w:val="007E726C"/>
    <w:rsid w:val="007E7466"/>
    <w:rsid w:val="007E7811"/>
    <w:rsid w:val="007F2536"/>
    <w:rsid w:val="007F3D57"/>
    <w:rsid w:val="0081056A"/>
    <w:rsid w:val="00812A6C"/>
    <w:rsid w:val="008211EE"/>
    <w:rsid w:val="00825E0D"/>
    <w:rsid w:val="00826568"/>
    <w:rsid w:val="00833E4F"/>
    <w:rsid w:val="008352E0"/>
    <w:rsid w:val="008408F2"/>
    <w:rsid w:val="00846967"/>
    <w:rsid w:val="008648B5"/>
    <w:rsid w:val="00871A9F"/>
    <w:rsid w:val="00872602"/>
    <w:rsid w:val="00872A38"/>
    <w:rsid w:val="0087647F"/>
    <w:rsid w:val="00881089"/>
    <w:rsid w:val="00882AE4"/>
    <w:rsid w:val="008863D0"/>
    <w:rsid w:val="00894F96"/>
    <w:rsid w:val="008974A2"/>
    <w:rsid w:val="008A186B"/>
    <w:rsid w:val="008A3CBF"/>
    <w:rsid w:val="008A7B8B"/>
    <w:rsid w:val="008B034B"/>
    <w:rsid w:val="008B09A6"/>
    <w:rsid w:val="008B2F4F"/>
    <w:rsid w:val="008C6290"/>
    <w:rsid w:val="008D308E"/>
    <w:rsid w:val="008E09D0"/>
    <w:rsid w:val="008E6145"/>
    <w:rsid w:val="008F6E91"/>
    <w:rsid w:val="00900FD5"/>
    <w:rsid w:val="00903ACA"/>
    <w:rsid w:val="00904E89"/>
    <w:rsid w:val="00905496"/>
    <w:rsid w:val="0092462E"/>
    <w:rsid w:val="0093227E"/>
    <w:rsid w:val="0093515A"/>
    <w:rsid w:val="009404FA"/>
    <w:rsid w:val="00950C70"/>
    <w:rsid w:val="0095325B"/>
    <w:rsid w:val="00955C1E"/>
    <w:rsid w:val="009742AD"/>
    <w:rsid w:val="00975B24"/>
    <w:rsid w:val="00976F2C"/>
    <w:rsid w:val="009820CC"/>
    <w:rsid w:val="009A31DA"/>
    <w:rsid w:val="009A3299"/>
    <w:rsid w:val="009B5758"/>
    <w:rsid w:val="009C08DD"/>
    <w:rsid w:val="009C7CA1"/>
    <w:rsid w:val="009D0231"/>
    <w:rsid w:val="009D0571"/>
    <w:rsid w:val="009D3F18"/>
    <w:rsid w:val="009D5D67"/>
    <w:rsid w:val="00A037AF"/>
    <w:rsid w:val="00A208D0"/>
    <w:rsid w:val="00A20ADD"/>
    <w:rsid w:val="00A25894"/>
    <w:rsid w:val="00A25F10"/>
    <w:rsid w:val="00A26BA5"/>
    <w:rsid w:val="00A35084"/>
    <w:rsid w:val="00A42B43"/>
    <w:rsid w:val="00A43A42"/>
    <w:rsid w:val="00A44BF9"/>
    <w:rsid w:val="00A50011"/>
    <w:rsid w:val="00A52497"/>
    <w:rsid w:val="00A66CB6"/>
    <w:rsid w:val="00A767BF"/>
    <w:rsid w:val="00A82DCC"/>
    <w:rsid w:val="00A83A0F"/>
    <w:rsid w:val="00A95F64"/>
    <w:rsid w:val="00AA140A"/>
    <w:rsid w:val="00AB6FF3"/>
    <w:rsid w:val="00AC0806"/>
    <w:rsid w:val="00AD6A38"/>
    <w:rsid w:val="00AD75DC"/>
    <w:rsid w:val="00AE212C"/>
    <w:rsid w:val="00AF0F4B"/>
    <w:rsid w:val="00B20195"/>
    <w:rsid w:val="00B349C8"/>
    <w:rsid w:val="00B3555F"/>
    <w:rsid w:val="00B44C69"/>
    <w:rsid w:val="00B46E5B"/>
    <w:rsid w:val="00B5761A"/>
    <w:rsid w:val="00B57FBA"/>
    <w:rsid w:val="00B63DD4"/>
    <w:rsid w:val="00B713D3"/>
    <w:rsid w:val="00B72615"/>
    <w:rsid w:val="00B777C3"/>
    <w:rsid w:val="00B82843"/>
    <w:rsid w:val="00B8560D"/>
    <w:rsid w:val="00B859B1"/>
    <w:rsid w:val="00B93841"/>
    <w:rsid w:val="00B974E7"/>
    <w:rsid w:val="00BA2E39"/>
    <w:rsid w:val="00BA5C32"/>
    <w:rsid w:val="00BB1AFA"/>
    <w:rsid w:val="00BB4ED1"/>
    <w:rsid w:val="00BD0866"/>
    <w:rsid w:val="00BD4731"/>
    <w:rsid w:val="00BE23E8"/>
    <w:rsid w:val="00C02610"/>
    <w:rsid w:val="00C04278"/>
    <w:rsid w:val="00C102CF"/>
    <w:rsid w:val="00C12993"/>
    <w:rsid w:val="00C13B38"/>
    <w:rsid w:val="00C1408C"/>
    <w:rsid w:val="00C2065F"/>
    <w:rsid w:val="00C23DF8"/>
    <w:rsid w:val="00C36B8F"/>
    <w:rsid w:val="00C41977"/>
    <w:rsid w:val="00C45973"/>
    <w:rsid w:val="00C461F0"/>
    <w:rsid w:val="00C4752A"/>
    <w:rsid w:val="00C6064A"/>
    <w:rsid w:val="00C62353"/>
    <w:rsid w:val="00C975E4"/>
    <w:rsid w:val="00CB0BB1"/>
    <w:rsid w:val="00CB547A"/>
    <w:rsid w:val="00CD5F69"/>
    <w:rsid w:val="00CE1DB1"/>
    <w:rsid w:val="00CE57C2"/>
    <w:rsid w:val="00CE6C63"/>
    <w:rsid w:val="00CF0774"/>
    <w:rsid w:val="00CF10F4"/>
    <w:rsid w:val="00CF56C7"/>
    <w:rsid w:val="00CF613E"/>
    <w:rsid w:val="00D0450D"/>
    <w:rsid w:val="00D07819"/>
    <w:rsid w:val="00D16FF2"/>
    <w:rsid w:val="00D2593F"/>
    <w:rsid w:val="00D340AB"/>
    <w:rsid w:val="00D34146"/>
    <w:rsid w:val="00D4709A"/>
    <w:rsid w:val="00D501BC"/>
    <w:rsid w:val="00D50B96"/>
    <w:rsid w:val="00D542D4"/>
    <w:rsid w:val="00D54558"/>
    <w:rsid w:val="00D54C11"/>
    <w:rsid w:val="00D60AF1"/>
    <w:rsid w:val="00D63174"/>
    <w:rsid w:val="00D67FB3"/>
    <w:rsid w:val="00D71FCA"/>
    <w:rsid w:val="00D965B3"/>
    <w:rsid w:val="00DA31FF"/>
    <w:rsid w:val="00DB33B8"/>
    <w:rsid w:val="00DB794E"/>
    <w:rsid w:val="00DC258F"/>
    <w:rsid w:val="00DC76EE"/>
    <w:rsid w:val="00DD1057"/>
    <w:rsid w:val="00DD27E7"/>
    <w:rsid w:val="00DD6106"/>
    <w:rsid w:val="00DE00B8"/>
    <w:rsid w:val="00DE76C6"/>
    <w:rsid w:val="00DF0378"/>
    <w:rsid w:val="00DF1389"/>
    <w:rsid w:val="00E0046D"/>
    <w:rsid w:val="00E0571D"/>
    <w:rsid w:val="00E057D0"/>
    <w:rsid w:val="00E0717A"/>
    <w:rsid w:val="00E13D5C"/>
    <w:rsid w:val="00E16841"/>
    <w:rsid w:val="00E17768"/>
    <w:rsid w:val="00E17870"/>
    <w:rsid w:val="00E215FA"/>
    <w:rsid w:val="00E26798"/>
    <w:rsid w:val="00E330DE"/>
    <w:rsid w:val="00E371C5"/>
    <w:rsid w:val="00E4311B"/>
    <w:rsid w:val="00E43F19"/>
    <w:rsid w:val="00E44489"/>
    <w:rsid w:val="00E456A0"/>
    <w:rsid w:val="00E45BA0"/>
    <w:rsid w:val="00E466FF"/>
    <w:rsid w:val="00E629FF"/>
    <w:rsid w:val="00E662BE"/>
    <w:rsid w:val="00E66FF7"/>
    <w:rsid w:val="00E72206"/>
    <w:rsid w:val="00E72752"/>
    <w:rsid w:val="00E74943"/>
    <w:rsid w:val="00E81EC6"/>
    <w:rsid w:val="00E90EB3"/>
    <w:rsid w:val="00E942BD"/>
    <w:rsid w:val="00E971FC"/>
    <w:rsid w:val="00EA0586"/>
    <w:rsid w:val="00EA7710"/>
    <w:rsid w:val="00EA7CFE"/>
    <w:rsid w:val="00ED0EE3"/>
    <w:rsid w:val="00ED1F8A"/>
    <w:rsid w:val="00ED4681"/>
    <w:rsid w:val="00EE1177"/>
    <w:rsid w:val="00EE1D7E"/>
    <w:rsid w:val="00EE7334"/>
    <w:rsid w:val="00EE7500"/>
    <w:rsid w:val="00EE79A7"/>
    <w:rsid w:val="00EF741A"/>
    <w:rsid w:val="00F02B0C"/>
    <w:rsid w:val="00F06939"/>
    <w:rsid w:val="00F12AEE"/>
    <w:rsid w:val="00F12B48"/>
    <w:rsid w:val="00F135E3"/>
    <w:rsid w:val="00F16A50"/>
    <w:rsid w:val="00F17245"/>
    <w:rsid w:val="00F262A1"/>
    <w:rsid w:val="00F34DCB"/>
    <w:rsid w:val="00F3704A"/>
    <w:rsid w:val="00F37C4F"/>
    <w:rsid w:val="00F410DF"/>
    <w:rsid w:val="00F41FA5"/>
    <w:rsid w:val="00F649C3"/>
    <w:rsid w:val="00F6560F"/>
    <w:rsid w:val="00F66BBF"/>
    <w:rsid w:val="00F73D94"/>
    <w:rsid w:val="00F7463A"/>
    <w:rsid w:val="00F77AEC"/>
    <w:rsid w:val="00F80D4E"/>
    <w:rsid w:val="00F81144"/>
    <w:rsid w:val="00F83A1F"/>
    <w:rsid w:val="00F85B56"/>
    <w:rsid w:val="00F867F7"/>
    <w:rsid w:val="00F8730A"/>
    <w:rsid w:val="00F90FAA"/>
    <w:rsid w:val="00F95A48"/>
    <w:rsid w:val="00FA2EBC"/>
    <w:rsid w:val="00FD40E6"/>
    <w:rsid w:val="00FD7148"/>
    <w:rsid w:val="00FE5A00"/>
    <w:rsid w:val="00FF63F1"/>
    <w:rsid w:val="00FF6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8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qFormat/>
    <w:pPr>
      <w:keepNext/>
      <w:jc w:val="center"/>
      <w:outlineLvl w:val="1"/>
    </w:pPr>
    <w:rPr>
      <w:b/>
      <w:bCs/>
    </w:rPr>
  </w:style>
  <w:style w:type="paragraph" w:styleId="Heading3">
    <w:name w:val="heading 3"/>
    <w:basedOn w:val="Normal"/>
    <w:next w:val="Normal"/>
    <w:link w:val="Heading3Char"/>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paragraph" w:styleId="ListParagraph">
    <w:name w:val="List Paragraph"/>
    <w:aliases w:val="CH Bullets (square),3,POCG Table Text,Bulleted List Level 1,DAI 2,3 heading,Call Out Bullets,List-Bullets,List Paragraph1,Normal Bullet,Bullets,DODEA_Bullet List Box"/>
    <w:basedOn w:val="Normal"/>
    <w:link w:val="ListParagraphChar"/>
    <w:uiPriority w:val="34"/>
    <w:qFormat/>
    <w:rsid w:val="00E26798"/>
    <w:pPr>
      <w:ind w:left="720"/>
    </w:pPr>
  </w:style>
  <w:style w:type="paragraph" w:customStyle="1" w:styleId="Level1">
    <w:name w:val="Level 1"/>
    <w:basedOn w:val="Normal"/>
    <w:rsid w:val="0017395A"/>
    <w:pPr>
      <w:widowControl w:val="0"/>
      <w:numPr>
        <w:numId w:val="20"/>
      </w:numPr>
      <w:autoSpaceDE w:val="0"/>
      <w:autoSpaceDN w:val="0"/>
      <w:adjustRightInd w:val="0"/>
      <w:outlineLvl w:val="0"/>
    </w:pPr>
    <w:rPr>
      <w:sz w:val="20"/>
    </w:rPr>
  </w:style>
  <w:style w:type="character" w:styleId="FootnoteReference">
    <w:name w:val="footnote reference"/>
    <w:uiPriority w:val="99"/>
    <w:rsid w:val="00833E4F"/>
  </w:style>
  <w:style w:type="paragraph" w:styleId="FootnoteText">
    <w:name w:val="footnote text"/>
    <w:aliases w:val="F1"/>
    <w:basedOn w:val="Normal"/>
    <w:link w:val="FootnoteTextChar"/>
    <w:uiPriority w:val="99"/>
    <w:rsid w:val="00833E4F"/>
    <w:pPr>
      <w:widowControl w:val="0"/>
    </w:pPr>
    <w:rPr>
      <w:snapToGrid w:val="0"/>
      <w:sz w:val="20"/>
      <w:szCs w:val="20"/>
    </w:rPr>
  </w:style>
  <w:style w:type="character" w:customStyle="1" w:styleId="FootnoteTextChar">
    <w:name w:val="Footnote Text Char"/>
    <w:aliases w:val="F1 Char"/>
    <w:link w:val="FootnoteText"/>
    <w:uiPriority w:val="99"/>
    <w:rsid w:val="00833E4F"/>
    <w:rPr>
      <w:snapToGrid w:val="0"/>
    </w:rPr>
  </w:style>
  <w:style w:type="character" w:customStyle="1" w:styleId="apple-converted-space">
    <w:name w:val="apple-converted-space"/>
    <w:rsid w:val="00833E4F"/>
  </w:style>
  <w:style w:type="character" w:customStyle="1" w:styleId="cit-title">
    <w:name w:val="cit-title"/>
    <w:rsid w:val="00833E4F"/>
  </w:style>
  <w:style w:type="character" w:styleId="HTMLCite">
    <w:name w:val="HTML Cite"/>
    <w:uiPriority w:val="99"/>
    <w:semiHidden/>
    <w:unhideWhenUsed/>
    <w:rsid w:val="00833E4F"/>
    <w:rPr>
      <w:i/>
      <w:iCs/>
    </w:rPr>
  </w:style>
  <w:style w:type="character" w:customStyle="1" w:styleId="cit-vol">
    <w:name w:val="cit-vol"/>
    <w:rsid w:val="00833E4F"/>
  </w:style>
  <w:style w:type="character" w:customStyle="1" w:styleId="cit-sep">
    <w:name w:val="cit-sep"/>
    <w:rsid w:val="00833E4F"/>
  </w:style>
  <w:style w:type="character" w:customStyle="1" w:styleId="cit-first-page">
    <w:name w:val="cit-first-page"/>
    <w:rsid w:val="00833E4F"/>
  </w:style>
  <w:style w:type="character" w:customStyle="1" w:styleId="cit-last-page">
    <w:name w:val="cit-last-page"/>
    <w:rsid w:val="00833E4F"/>
  </w:style>
  <w:style w:type="paragraph" w:customStyle="1" w:styleId="Heading11">
    <w:name w:val="Heading 11"/>
    <w:basedOn w:val="Heading1"/>
    <w:link w:val="HEADING1Char"/>
    <w:qFormat/>
    <w:rsid w:val="002041C4"/>
    <w:pPr>
      <w:autoSpaceDE w:val="0"/>
      <w:autoSpaceDN w:val="0"/>
      <w:adjustRightInd w:val="0"/>
      <w:spacing w:line="276" w:lineRule="auto"/>
      <w:ind w:right="0"/>
      <w:jc w:val="center"/>
    </w:pPr>
    <w:rPr>
      <w:rFonts w:ascii="Franklin Gothic Book" w:hAnsi="Franklin Gothic Book"/>
      <w:bCs w:val="0"/>
      <w:color w:val="071D8B"/>
      <w:sz w:val="40"/>
      <w:szCs w:val="40"/>
    </w:rPr>
  </w:style>
  <w:style w:type="character" w:customStyle="1" w:styleId="HEADING1Char">
    <w:name w:val="HEADING 1 Char"/>
    <w:link w:val="Heading11"/>
    <w:rsid w:val="002041C4"/>
    <w:rPr>
      <w:rFonts w:ascii="Franklin Gothic Book" w:hAnsi="Franklin Gothic Book"/>
      <w:b/>
      <w:color w:val="071D8B"/>
      <w:sz w:val="40"/>
      <w:szCs w:val="40"/>
    </w:rPr>
  </w:style>
  <w:style w:type="character" w:customStyle="1" w:styleId="ListParagraphChar">
    <w:name w:val="List Paragraph Char"/>
    <w:aliases w:val="CH Bullets (square) Char,3 Char,POCG Table Text Char,Bulleted List Level 1 Char,DAI 2 Char,3 heading Char,Call Out Bullets Char,List-Bullets Char,List Paragraph1 Char,Normal Bullet Char,Bullets Char,DODEA_Bullet List Box Char"/>
    <w:link w:val="ListParagraph"/>
    <w:uiPriority w:val="34"/>
    <w:locked/>
    <w:rsid w:val="00825E0D"/>
    <w:rPr>
      <w:sz w:val="24"/>
      <w:szCs w:val="24"/>
    </w:rPr>
  </w:style>
  <w:style w:type="character" w:styleId="CommentReference">
    <w:name w:val="annotation reference"/>
    <w:uiPriority w:val="99"/>
    <w:unhideWhenUsed/>
    <w:rsid w:val="00825E0D"/>
    <w:rPr>
      <w:sz w:val="16"/>
      <w:szCs w:val="16"/>
    </w:rPr>
  </w:style>
  <w:style w:type="paragraph" w:styleId="CommentText">
    <w:name w:val="annotation text"/>
    <w:basedOn w:val="Normal"/>
    <w:link w:val="CommentTextChar"/>
    <w:uiPriority w:val="99"/>
    <w:unhideWhenUsed/>
    <w:rsid w:val="00825E0D"/>
    <w:rPr>
      <w:sz w:val="20"/>
      <w:szCs w:val="20"/>
    </w:rPr>
  </w:style>
  <w:style w:type="character" w:customStyle="1" w:styleId="CommentTextChar">
    <w:name w:val="Comment Text Char"/>
    <w:basedOn w:val="DefaultParagraphFont"/>
    <w:link w:val="CommentText"/>
    <w:uiPriority w:val="99"/>
    <w:rsid w:val="00825E0D"/>
  </w:style>
  <w:style w:type="paragraph" w:styleId="CommentSubject">
    <w:name w:val="annotation subject"/>
    <w:basedOn w:val="CommentText"/>
    <w:next w:val="CommentText"/>
    <w:link w:val="CommentSubjectChar"/>
    <w:uiPriority w:val="99"/>
    <w:semiHidden/>
    <w:unhideWhenUsed/>
    <w:rsid w:val="00825E0D"/>
    <w:rPr>
      <w:b/>
      <w:bCs/>
    </w:rPr>
  </w:style>
  <w:style w:type="character" w:customStyle="1" w:styleId="CommentSubjectChar">
    <w:name w:val="Comment Subject Char"/>
    <w:link w:val="CommentSubject"/>
    <w:uiPriority w:val="99"/>
    <w:semiHidden/>
    <w:rsid w:val="00825E0D"/>
    <w:rPr>
      <w:b/>
      <w:bCs/>
    </w:rPr>
  </w:style>
  <w:style w:type="paragraph" w:customStyle="1" w:styleId="Default">
    <w:name w:val="Default"/>
    <w:link w:val="DefaultChar"/>
    <w:rsid w:val="006F243C"/>
    <w:pPr>
      <w:autoSpaceDE w:val="0"/>
      <w:autoSpaceDN w:val="0"/>
      <w:adjustRightInd w:val="0"/>
    </w:pPr>
    <w:rPr>
      <w:rFonts w:ascii="Trebuchet MS" w:eastAsia="Calibri" w:hAnsi="Trebuchet MS" w:cs="Trebuchet MS"/>
      <w:color w:val="000000"/>
      <w:sz w:val="24"/>
      <w:szCs w:val="24"/>
    </w:rPr>
  </w:style>
  <w:style w:type="paragraph" w:customStyle="1" w:styleId="BodyText1">
    <w:name w:val="Body Text1"/>
    <w:aliases w:val="bt,body tx,indent,flush,indent Char,memo body text,flush Char Char,body 4h,bt Char Char,memo,bt Char,flush Char Char Char Char Char Char Char Char Char Char Char Char Char,memo body text Char,bo3hdy 4h Char,body 4h Char Char Char,body 4h Char"/>
    <w:basedOn w:val="Normal"/>
    <w:rsid w:val="005F2D97"/>
    <w:pPr>
      <w:spacing w:after="240" w:line="300" w:lineRule="exact"/>
      <w:ind w:firstLine="720"/>
    </w:pPr>
    <w:rPr>
      <w:sz w:val="22"/>
      <w:szCs w:val="20"/>
    </w:rPr>
  </w:style>
  <w:style w:type="table" w:customStyle="1" w:styleId="TableGrid1">
    <w:name w:val="Table Grid1"/>
    <w:basedOn w:val="TableNormal"/>
    <w:next w:val="TableGrid"/>
    <w:uiPriority w:val="59"/>
    <w:rsid w:val="00660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Value Add Box,pptablecells right columns"/>
    <w:basedOn w:val="TableNormal"/>
    <w:uiPriority w:val="59"/>
    <w:rsid w:val="00660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72206"/>
    <w:rPr>
      <w:b/>
      <w:bCs/>
      <w:sz w:val="24"/>
      <w:szCs w:val="24"/>
    </w:rPr>
  </w:style>
  <w:style w:type="character" w:customStyle="1" w:styleId="Heading3Char">
    <w:name w:val="Heading 3 Char"/>
    <w:basedOn w:val="DefaultParagraphFont"/>
    <w:link w:val="Heading3"/>
    <w:rsid w:val="00E72206"/>
    <w:rPr>
      <w:b/>
      <w:bCs/>
      <w:sz w:val="24"/>
      <w:szCs w:val="24"/>
    </w:rPr>
  </w:style>
  <w:style w:type="table" w:customStyle="1" w:styleId="TableGrid3">
    <w:name w:val="Table Grid3"/>
    <w:basedOn w:val="TableNormal"/>
    <w:next w:val="TableGrid"/>
    <w:uiPriority w:val="59"/>
    <w:rsid w:val="00E7220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E7811"/>
    <w:rPr>
      <w:color w:val="605E5C"/>
      <w:shd w:val="clear" w:color="auto" w:fill="E1DFDD"/>
    </w:rPr>
  </w:style>
  <w:style w:type="character" w:styleId="FollowedHyperlink">
    <w:name w:val="FollowedHyperlink"/>
    <w:basedOn w:val="DefaultParagraphFont"/>
    <w:uiPriority w:val="99"/>
    <w:semiHidden/>
    <w:unhideWhenUsed/>
    <w:rsid w:val="00662360"/>
    <w:rPr>
      <w:color w:val="919191" w:themeColor="followedHyperlink"/>
      <w:u w:val="single"/>
    </w:rPr>
  </w:style>
  <w:style w:type="paragraph" w:styleId="BlockText">
    <w:name w:val="Block Text"/>
    <w:basedOn w:val="Normal"/>
    <w:rsid w:val="005C47CD"/>
    <w:pPr>
      <w:ind w:left="-288" w:right="-288"/>
      <w:jc w:val="both"/>
    </w:pPr>
    <w:rPr>
      <w:sz w:val="22"/>
      <w:szCs w:val="20"/>
    </w:rPr>
  </w:style>
  <w:style w:type="paragraph" w:customStyle="1" w:styleId="HTMLBody">
    <w:name w:val="HTML Body"/>
    <w:rsid w:val="005C47CD"/>
    <w:pPr>
      <w:autoSpaceDE w:val="0"/>
      <w:autoSpaceDN w:val="0"/>
      <w:adjustRightInd w:val="0"/>
    </w:pPr>
    <w:rPr>
      <w:rFonts w:ascii="Arial" w:hAnsi="Arial"/>
    </w:rPr>
  </w:style>
  <w:style w:type="character" w:customStyle="1" w:styleId="QuickFormat3">
    <w:name w:val="QuickFormat3"/>
    <w:uiPriority w:val="99"/>
    <w:rsid w:val="005C47CD"/>
    <w:rPr>
      <w:rFonts w:ascii="r_thai" w:hAnsi="r_thai" w:cs="r_thai"/>
      <w:b/>
      <w:bCs/>
      <w:i/>
      <w:iCs/>
      <w:color w:val="000000"/>
      <w:sz w:val="20"/>
      <w:szCs w:val="20"/>
    </w:rPr>
  </w:style>
  <w:style w:type="paragraph" w:styleId="NoSpacing">
    <w:name w:val="No Spacing"/>
    <w:uiPriority w:val="1"/>
    <w:qFormat/>
    <w:rsid w:val="005C47CD"/>
    <w:rPr>
      <w:rFonts w:eastAsia="Calibri"/>
      <w:sz w:val="24"/>
      <w:szCs w:val="22"/>
    </w:rPr>
  </w:style>
  <w:style w:type="character" w:customStyle="1" w:styleId="DefaultChar">
    <w:name w:val="Default Char"/>
    <w:basedOn w:val="DefaultParagraphFont"/>
    <w:link w:val="Default"/>
    <w:locked/>
    <w:rsid w:val="002D2DB9"/>
    <w:rPr>
      <w:rFonts w:ascii="Trebuchet MS" w:eastAsia="Calibri" w:hAnsi="Trebuchet MS" w:cs="Trebuchet MS"/>
      <w:color w:val="000000"/>
      <w:sz w:val="24"/>
      <w:szCs w:val="24"/>
    </w:rPr>
  </w:style>
  <w:style w:type="paragraph" w:customStyle="1" w:styleId="ReferenceCitation">
    <w:name w:val="Reference Citation"/>
    <w:basedOn w:val="Normal"/>
    <w:rsid w:val="00CD5F69"/>
    <w:pPr>
      <w:spacing w:after="240"/>
    </w:pPr>
    <w:rPr>
      <w:rFonts w:eastAsiaTheme="minorHAnsi"/>
    </w:rPr>
  </w:style>
  <w:style w:type="paragraph" w:customStyle="1" w:styleId="L1-FlLSp12">
    <w:name w:val="L1-FlL Sp&amp;1/2"/>
    <w:basedOn w:val="Normal"/>
    <w:link w:val="L1-FlLSp12Char"/>
    <w:rsid w:val="00AD75DC"/>
    <w:pPr>
      <w:tabs>
        <w:tab w:val="left" w:pos="1152"/>
      </w:tabs>
      <w:spacing w:line="360" w:lineRule="atLeast"/>
    </w:pPr>
    <w:rPr>
      <w:rFonts w:ascii="Garamond" w:hAnsi="Garamond"/>
      <w:szCs w:val="20"/>
    </w:rPr>
  </w:style>
  <w:style w:type="character" w:customStyle="1" w:styleId="L1-FlLSp12Char">
    <w:name w:val="L1-FlL Sp&amp;1/2 Char"/>
    <w:basedOn w:val="DefaultParagraphFont"/>
    <w:link w:val="L1-FlLSp12"/>
    <w:rsid w:val="00AD75DC"/>
    <w:rPr>
      <w:rFonts w:ascii="Garamond" w:hAnsi="Garamond"/>
      <w:sz w:val="24"/>
    </w:rPr>
  </w:style>
  <w:style w:type="character" w:customStyle="1" w:styleId="UnresolvedMention">
    <w:name w:val="Unresolved Mention"/>
    <w:basedOn w:val="DefaultParagraphFont"/>
    <w:uiPriority w:val="99"/>
    <w:semiHidden/>
    <w:unhideWhenUsed/>
    <w:rsid w:val="006E797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qFormat/>
    <w:pPr>
      <w:keepNext/>
      <w:jc w:val="center"/>
      <w:outlineLvl w:val="1"/>
    </w:pPr>
    <w:rPr>
      <w:b/>
      <w:bCs/>
    </w:rPr>
  </w:style>
  <w:style w:type="paragraph" w:styleId="Heading3">
    <w:name w:val="heading 3"/>
    <w:basedOn w:val="Normal"/>
    <w:next w:val="Normal"/>
    <w:link w:val="Heading3Char"/>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paragraph" w:styleId="ListParagraph">
    <w:name w:val="List Paragraph"/>
    <w:aliases w:val="CH Bullets (square),3,POCG Table Text,Bulleted List Level 1,DAI 2,3 heading,Call Out Bullets,List-Bullets,List Paragraph1,Normal Bullet,Bullets,DODEA_Bullet List Box"/>
    <w:basedOn w:val="Normal"/>
    <w:link w:val="ListParagraphChar"/>
    <w:uiPriority w:val="34"/>
    <w:qFormat/>
    <w:rsid w:val="00E26798"/>
    <w:pPr>
      <w:ind w:left="720"/>
    </w:pPr>
  </w:style>
  <w:style w:type="paragraph" w:customStyle="1" w:styleId="Level1">
    <w:name w:val="Level 1"/>
    <w:basedOn w:val="Normal"/>
    <w:rsid w:val="0017395A"/>
    <w:pPr>
      <w:widowControl w:val="0"/>
      <w:numPr>
        <w:numId w:val="20"/>
      </w:numPr>
      <w:autoSpaceDE w:val="0"/>
      <w:autoSpaceDN w:val="0"/>
      <w:adjustRightInd w:val="0"/>
      <w:outlineLvl w:val="0"/>
    </w:pPr>
    <w:rPr>
      <w:sz w:val="20"/>
    </w:rPr>
  </w:style>
  <w:style w:type="character" w:styleId="FootnoteReference">
    <w:name w:val="footnote reference"/>
    <w:uiPriority w:val="99"/>
    <w:rsid w:val="00833E4F"/>
  </w:style>
  <w:style w:type="paragraph" w:styleId="FootnoteText">
    <w:name w:val="footnote text"/>
    <w:aliases w:val="F1"/>
    <w:basedOn w:val="Normal"/>
    <w:link w:val="FootnoteTextChar"/>
    <w:uiPriority w:val="99"/>
    <w:rsid w:val="00833E4F"/>
    <w:pPr>
      <w:widowControl w:val="0"/>
    </w:pPr>
    <w:rPr>
      <w:snapToGrid w:val="0"/>
      <w:sz w:val="20"/>
      <w:szCs w:val="20"/>
    </w:rPr>
  </w:style>
  <w:style w:type="character" w:customStyle="1" w:styleId="FootnoteTextChar">
    <w:name w:val="Footnote Text Char"/>
    <w:aliases w:val="F1 Char"/>
    <w:link w:val="FootnoteText"/>
    <w:uiPriority w:val="99"/>
    <w:rsid w:val="00833E4F"/>
    <w:rPr>
      <w:snapToGrid w:val="0"/>
    </w:rPr>
  </w:style>
  <w:style w:type="character" w:customStyle="1" w:styleId="apple-converted-space">
    <w:name w:val="apple-converted-space"/>
    <w:rsid w:val="00833E4F"/>
  </w:style>
  <w:style w:type="character" w:customStyle="1" w:styleId="cit-title">
    <w:name w:val="cit-title"/>
    <w:rsid w:val="00833E4F"/>
  </w:style>
  <w:style w:type="character" w:styleId="HTMLCite">
    <w:name w:val="HTML Cite"/>
    <w:uiPriority w:val="99"/>
    <w:semiHidden/>
    <w:unhideWhenUsed/>
    <w:rsid w:val="00833E4F"/>
    <w:rPr>
      <w:i/>
      <w:iCs/>
    </w:rPr>
  </w:style>
  <w:style w:type="character" w:customStyle="1" w:styleId="cit-vol">
    <w:name w:val="cit-vol"/>
    <w:rsid w:val="00833E4F"/>
  </w:style>
  <w:style w:type="character" w:customStyle="1" w:styleId="cit-sep">
    <w:name w:val="cit-sep"/>
    <w:rsid w:val="00833E4F"/>
  </w:style>
  <w:style w:type="character" w:customStyle="1" w:styleId="cit-first-page">
    <w:name w:val="cit-first-page"/>
    <w:rsid w:val="00833E4F"/>
  </w:style>
  <w:style w:type="character" w:customStyle="1" w:styleId="cit-last-page">
    <w:name w:val="cit-last-page"/>
    <w:rsid w:val="00833E4F"/>
  </w:style>
  <w:style w:type="paragraph" w:customStyle="1" w:styleId="Heading11">
    <w:name w:val="Heading 11"/>
    <w:basedOn w:val="Heading1"/>
    <w:link w:val="HEADING1Char"/>
    <w:qFormat/>
    <w:rsid w:val="002041C4"/>
    <w:pPr>
      <w:autoSpaceDE w:val="0"/>
      <w:autoSpaceDN w:val="0"/>
      <w:adjustRightInd w:val="0"/>
      <w:spacing w:line="276" w:lineRule="auto"/>
      <w:ind w:right="0"/>
      <w:jc w:val="center"/>
    </w:pPr>
    <w:rPr>
      <w:rFonts w:ascii="Franklin Gothic Book" w:hAnsi="Franklin Gothic Book"/>
      <w:bCs w:val="0"/>
      <w:color w:val="071D8B"/>
      <w:sz w:val="40"/>
      <w:szCs w:val="40"/>
    </w:rPr>
  </w:style>
  <w:style w:type="character" w:customStyle="1" w:styleId="HEADING1Char">
    <w:name w:val="HEADING 1 Char"/>
    <w:link w:val="Heading11"/>
    <w:rsid w:val="002041C4"/>
    <w:rPr>
      <w:rFonts w:ascii="Franklin Gothic Book" w:hAnsi="Franklin Gothic Book"/>
      <w:b/>
      <w:color w:val="071D8B"/>
      <w:sz w:val="40"/>
      <w:szCs w:val="40"/>
    </w:rPr>
  </w:style>
  <w:style w:type="character" w:customStyle="1" w:styleId="ListParagraphChar">
    <w:name w:val="List Paragraph Char"/>
    <w:aliases w:val="CH Bullets (square) Char,3 Char,POCG Table Text Char,Bulleted List Level 1 Char,DAI 2 Char,3 heading Char,Call Out Bullets Char,List-Bullets Char,List Paragraph1 Char,Normal Bullet Char,Bullets Char,DODEA_Bullet List Box Char"/>
    <w:link w:val="ListParagraph"/>
    <w:uiPriority w:val="34"/>
    <w:locked/>
    <w:rsid w:val="00825E0D"/>
    <w:rPr>
      <w:sz w:val="24"/>
      <w:szCs w:val="24"/>
    </w:rPr>
  </w:style>
  <w:style w:type="character" w:styleId="CommentReference">
    <w:name w:val="annotation reference"/>
    <w:uiPriority w:val="99"/>
    <w:unhideWhenUsed/>
    <w:rsid w:val="00825E0D"/>
    <w:rPr>
      <w:sz w:val="16"/>
      <w:szCs w:val="16"/>
    </w:rPr>
  </w:style>
  <w:style w:type="paragraph" w:styleId="CommentText">
    <w:name w:val="annotation text"/>
    <w:basedOn w:val="Normal"/>
    <w:link w:val="CommentTextChar"/>
    <w:uiPriority w:val="99"/>
    <w:unhideWhenUsed/>
    <w:rsid w:val="00825E0D"/>
    <w:rPr>
      <w:sz w:val="20"/>
      <w:szCs w:val="20"/>
    </w:rPr>
  </w:style>
  <w:style w:type="character" w:customStyle="1" w:styleId="CommentTextChar">
    <w:name w:val="Comment Text Char"/>
    <w:basedOn w:val="DefaultParagraphFont"/>
    <w:link w:val="CommentText"/>
    <w:uiPriority w:val="99"/>
    <w:rsid w:val="00825E0D"/>
  </w:style>
  <w:style w:type="paragraph" w:styleId="CommentSubject">
    <w:name w:val="annotation subject"/>
    <w:basedOn w:val="CommentText"/>
    <w:next w:val="CommentText"/>
    <w:link w:val="CommentSubjectChar"/>
    <w:uiPriority w:val="99"/>
    <w:semiHidden/>
    <w:unhideWhenUsed/>
    <w:rsid w:val="00825E0D"/>
    <w:rPr>
      <w:b/>
      <w:bCs/>
    </w:rPr>
  </w:style>
  <w:style w:type="character" w:customStyle="1" w:styleId="CommentSubjectChar">
    <w:name w:val="Comment Subject Char"/>
    <w:link w:val="CommentSubject"/>
    <w:uiPriority w:val="99"/>
    <w:semiHidden/>
    <w:rsid w:val="00825E0D"/>
    <w:rPr>
      <w:b/>
      <w:bCs/>
    </w:rPr>
  </w:style>
  <w:style w:type="paragraph" w:customStyle="1" w:styleId="Default">
    <w:name w:val="Default"/>
    <w:link w:val="DefaultChar"/>
    <w:rsid w:val="006F243C"/>
    <w:pPr>
      <w:autoSpaceDE w:val="0"/>
      <w:autoSpaceDN w:val="0"/>
      <w:adjustRightInd w:val="0"/>
    </w:pPr>
    <w:rPr>
      <w:rFonts w:ascii="Trebuchet MS" w:eastAsia="Calibri" w:hAnsi="Trebuchet MS" w:cs="Trebuchet MS"/>
      <w:color w:val="000000"/>
      <w:sz w:val="24"/>
      <w:szCs w:val="24"/>
    </w:rPr>
  </w:style>
  <w:style w:type="paragraph" w:customStyle="1" w:styleId="BodyText1">
    <w:name w:val="Body Text1"/>
    <w:aliases w:val="bt,body tx,indent,flush,indent Char,memo body text,flush Char Char,body 4h,bt Char Char,memo,bt Char,flush Char Char Char Char Char Char Char Char Char Char Char Char Char,memo body text Char,bo3hdy 4h Char,body 4h Char Char Char,body 4h Char"/>
    <w:basedOn w:val="Normal"/>
    <w:rsid w:val="005F2D97"/>
    <w:pPr>
      <w:spacing w:after="240" w:line="300" w:lineRule="exact"/>
      <w:ind w:firstLine="720"/>
    </w:pPr>
    <w:rPr>
      <w:sz w:val="22"/>
      <w:szCs w:val="20"/>
    </w:rPr>
  </w:style>
  <w:style w:type="table" w:customStyle="1" w:styleId="TableGrid1">
    <w:name w:val="Table Grid1"/>
    <w:basedOn w:val="TableNormal"/>
    <w:next w:val="TableGrid"/>
    <w:uiPriority w:val="59"/>
    <w:rsid w:val="00660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Value Add Box,pptablecells right columns"/>
    <w:basedOn w:val="TableNormal"/>
    <w:uiPriority w:val="59"/>
    <w:rsid w:val="00660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72206"/>
    <w:rPr>
      <w:b/>
      <w:bCs/>
      <w:sz w:val="24"/>
      <w:szCs w:val="24"/>
    </w:rPr>
  </w:style>
  <w:style w:type="character" w:customStyle="1" w:styleId="Heading3Char">
    <w:name w:val="Heading 3 Char"/>
    <w:basedOn w:val="DefaultParagraphFont"/>
    <w:link w:val="Heading3"/>
    <w:rsid w:val="00E72206"/>
    <w:rPr>
      <w:b/>
      <w:bCs/>
      <w:sz w:val="24"/>
      <w:szCs w:val="24"/>
    </w:rPr>
  </w:style>
  <w:style w:type="table" w:customStyle="1" w:styleId="TableGrid3">
    <w:name w:val="Table Grid3"/>
    <w:basedOn w:val="TableNormal"/>
    <w:next w:val="TableGrid"/>
    <w:uiPriority w:val="59"/>
    <w:rsid w:val="00E7220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E7811"/>
    <w:rPr>
      <w:color w:val="605E5C"/>
      <w:shd w:val="clear" w:color="auto" w:fill="E1DFDD"/>
    </w:rPr>
  </w:style>
  <w:style w:type="character" w:styleId="FollowedHyperlink">
    <w:name w:val="FollowedHyperlink"/>
    <w:basedOn w:val="DefaultParagraphFont"/>
    <w:uiPriority w:val="99"/>
    <w:semiHidden/>
    <w:unhideWhenUsed/>
    <w:rsid w:val="00662360"/>
    <w:rPr>
      <w:color w:val="919191" w:themeColor="followedHyperlink"/>
      <w:u w:val="single"/>
    </w:rPr>
  </w:style>
  <w:style w:type="paragraph" w:styleId="BlockText">
    <w:name w:val="Block Text"/>
    <w:basedOn w:val="Normal"/>
    <w:rsid w:val="005C47CD"/>
    <w:pPr>
      <w:ind w:left="-288" w:right="-288"/>
      <w:jc w:val="both"/>
    </w:pPr>
    <w:rPr>
      <w:sz w:val="22"/>
      <w:szCs w:val="20"/>
    </w:rPr>
  </w:style>
  <w:style w:type="paragraph" w:customStyle="1" w:styleId="HTMLBody">
    <w:name w:val="HTML Body"/>
    <w:rsid w:val="005C47CD"/>
    <w:pPr>
      <w:autoSpaceDE w:val="0"/>
      <w:autoSpaceDN w:val="0"/>
      <w:adjustRightInd w:val="0"/>
    </w:pPr>
    <w:rPr>
      <w:rFonts w:ascii="Arial" w:hAnsi="Arial"/>
    </w:rPr>
  </w:style>
  <w:style w:type="character" w:customStyle="1" w:styleId="QuickFormat3">
    <w:name w:val="QuickFormat3"/>
    <w:uiPriority w:val="99"/>
    <w:rsid w:val="005C47CD"/>
    <w:rPr>
      <w:rFonts w:ascii="r_thai" w:hAnsi="r_thai" w:cs="r_thai"/>
      <w:b/>
      <w:bCs/>
      <w:i/>
      <w:iCs/>
      <w:color w:val="000000"/>
      <w:sz w:val="20"/>
      <w:szCs w:val="20"/>
    </w:rPr>
  </w:style>
  <w:style w:type="paragraph" w:styleId="NoSpacing">
    <w:name w:val="No Spacing"/>
    <w:uiPriority w:val="1"/>
    <w:qFormat/>
    <w:rsid w:val="005C47CD"/>
    <w:rPr>
      <w:rFonts w:eastAsia="Calibri"/>
      <w:sz w:val="24"/>
      <w:szCs w:val="22"/>
    </w:rPr>
  </w:style>
  <w:style w:type="character" w:customStyle="1" w:styleId="DefaultChar">
    <w:name w:val="Default Char"/>
    <w:basedOn w:val="DefaultParagraphFont"/>
    <w:link w:val="Default"/>
    <w:locked/>
    <w:rsid w:val="002D2DB9"/>
    <w:rPr>
      <w:rFonts w:ascii="Trebuchet MS" w:eastAsia="Calibri" w:hAnsi="Trebuchet MS" w:cs="Trebuchet MS"/>
      <w:color w:val="000000"/>
      <w:sz w:val="24"/>
      <w:szCs w:val="24"/>
    </w:rPr>
  </w:style>
  <w:style w:type="paragraph" w:customStyle="1" w:styleId="ReferenceCitation">
    <w:name w:val="Reference Citation"/>
    <w:basedOn w:val="Normal"/>
    <w:rsid w:val="00CD5F69"/>
    <w:pPr>
      <w:spacing w:after="240"/>
    </w:pPr>
    <w:rPr>
      <w:rFonts w:eastAsiaTheme="minorHAnsi"/>
    </w:rPr>
  </w:style>
  <w:style w:type="paragraph" w:customStyle="1" w:styleId="L1-FlLSp12">
    <w:name w:val="L1-FlL Sp&amp;1/2"/>
    <w:basedOn w:val="Normal"/>
    <w:link w:val="L1-FlLSp12Char"/>
    <w:rsid w:val="00AD75DC"/>
    <w:pPr>
      <w:tabs>
        <w:tab w:val="left" w:pos="1152"/>
      </w:tabs>
      <w:spacing w:line="360" w:lineRule="atLeast"/>
    </w:pPr>
    <w:rPr>
      <w:rFonts w:ascii="Garamond" w:hAnsi="Garamond"/>
      <w:szCs w:val="20"/>
    </w:rPr>
  </w:style>
  <w:style w:type="character" w:customStyle="1" w:styleId="L1-FlLSp12Char">
    <w:name w:val="L1-FlL Sp&amp;1/2 Char"/>
    <w:basedOn w:val="DefaultParagraphFont"/>
    <w:link w:val="L1-FlLSp12"/>
    <w:rsid w:val="00AD75DC"/>
    <w:rPr>
      <w:rFonts w:ascii="Garamond" w:hAnsi="Garamond"/>
      <w:sz w:val="24"/>
    </w:rPr>
  </w:style>
  <w:style w:type="character" w:customStyle="1" w:styleId="UnresolvedMention">
    <w:name w:val="Unresolved Mention"/>
    <w:basedOn w:val="DefaultParagraphFont"/>
    <w:uiPriority w:val="99"/>
    <w:semiHidden/>
    <w:unhideWhenUsed/>
    <w:rsid w:val="006E7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650549">
      <w:bodyDiv w:val="1"/>
      <w:marLeft w:val="0"/>
      <w:marRight w:val="0"/>
      <w:marTop w:val="0"/>
      <w:marBottom w:val="0"/>
      <w:divBdr>
        <w:top w:val="none" w:sz="0" w:space="0" w:color="auto"/>
        <w:left w:val="none" w:sz="0" w:space="0" w:color="auto"/>
        <w:bottom w:val="none" w:sz="0" w:space="0" w:color="auto"/>
        <w:right w:val="none" w:sz="0" w:space="0" w:color="auto"/>
      </w:divBdr>
    </w:div>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587273355">
      <w:bodyDiv w:val="1"/>
      <w:marLeft w:val="0"/>
      <w:marRight w:val="0"/>
      <w:marTop w:val="0"/>
      <w:marBottom w:val="0"/>
      <w:divBdr>
        <w:top w:val="none" w:sz="0" w:space="0" w:color="auto"/>
        <w:left w:val="none" w:sz="0" w:space="0" w:color="auto"/>
        <w:bottom w:val="none" w:sz="0" w:space="0" w:color="auto"/>
        <w:right w:val="none" w:sz="0" w:space="0" w:color="auto"/>
      </w:divBdr>
    </w:div>
    <w:div w:id="800654607">
      <w:bodyDiv w:val="1"/>
      <w:marLeft w:val="0"/>
      <w:marRight w:val="0"/>
      <w:marTop w:val="0"/>
      <w:marBottom w:val="0"/>
      <w:divBdr>
        <w:top w:val="none" w:sz="0" w:space="0" w:color="auto"/>
        <w:left w:val="none" w:sz="0" w:space="0" w:color="auto"/>
        <w:bottom w:val="none" w:sz="0" w:space="0" w:color="auto"/>
        <w:right w:val="none" w:sz="0" w:space="0" w:color="auto"/>
      </w:divBdr>
    </w:div>
    <w:div w:id="1056009222">
      <w:bodyDiv w:val="1"/>
      <w:marLeft w:val="0"/>
      <w:marRight w:val="0"/>
      <w:marTop w:val="0"/>
      <w:marBottom w:val="0"/>
      <w:divBdr>
        <w:top w:val="none" w:sz="0" w:space="0" w:color="auto"/>
        <w:left w:val="none" w:sz="0" w:space="0" w:color="auto"/>
        <w:bottom w:val="none" w:sz="0" w:space="0" w:color="auto"/>
        <w:right w:val="none" w:sz="0" w:space="0" w:color="auto"/>
      </w:divBdr>
      <w:divsChild>
        <w:div w:id="1503006566">
          <w:marLeft w:val="0"/>
          <w:marRight w:val="0"/>
          <w:marTop w:val="0"/>
          <w:marBottom w:val="0"/>
          <w:divBdr>
            <w:top w:val="none" w:sz="0" w:space="0" w:color="auto"/>
            <w:left w:val="none" w:sz="0" w:space="0" w:color="auto"/>
            <w:bottom w:val="none" w:sz="0" w:space="0" w:color="auto"/>
            <w:right w:val="none" w:sz="0" w:space="0" w:color="auto"/>
          </w:divBdr>
          <w:divsChild>
            <w:div w:id="1093235999">
              <w:marLeft w:val="0"/>
              <w:marRight w:val="0"/>
              <w:marTop w:val="0"/>
              <w:marBottom w:val="0"/>
              <w:divBdr>
                <w:top w:val="none" w:sz="0" w:space="0" w:color="auto"/>
                <w:left w:val="none" w:sz="0" w:space="0" w:color="auto"/>
                <w:bottom w:val="none" w:sz="0" w:space="0" w:color="auto"/>
                <w:right w:val="none" w:sz="0" w:space="0" w:color="auto"/>
              </w:divBdr>
              <w:divsChild>
                <w:div w:id="1605653114">
                  <w:marLeft w:val="0"/>
                  <w:marRight w:val="0"/>
                  <w:marTop w:val="0"/>
                  <w:marBottom w:val="0"/>
                  <w:divBdr>
                    <w:top w:val="single" w:sz="6" w:space="0" w:color="CCCCCC"/>
                    <w:left w:val="single" w:sz="6" w:space="0" w:color="CCCCCC"/>
                    <w:bottom w:val="single" w:sz="6" w:space="0" w:color="CCCCCC"/>
                    <w:right w:val="single" w:sz="6" w:space="0" w:color="CCCCCC"/>
                  </w:divBdr>
                  <w:divsChild>
                    <w:div w:id="671027914">
                      <w:marLeft w:val="0"/>
                      <w:marRight w:val="0"/>
                      <w:marTop w:val="0"/>
                      <w:marBottom w:val="0"/>
                      <w:divBdr>
                        <w:top w:val="none" w:sz="0" w:space="0" w:color="auto"/>
                        <w:left w:val="none" w:sz="0" w:space="0" w:color="auto"/>
                        <w:bottom w:val="none" w:sz="0" w:space="0" w:color="auto"/>
                        <w:right w:val="none" w:sz="0" w:space="0" w:color="auto"/>
                      </w:divBdr>
                      <w:divsChild>
                        <w:div w:id="409736461">
                          <w:marLeft w:val="0"/>
                          <w:marRight w:val="0"/>
                          <w:marTop w:val="0"/>
                          <w:marBottom w:val="0"/>
                          <w:divBdr>
                            <w:top w:val="none" w:sz="0" w:space="0" w:color="auto"/>
                            <w:left w:val="none" w:sz="0" w:space="0" w:color="auto"/>
                            <w:bottom w:val="none" w:sz="0" w:space="0" w:color="auto"/>
                            <w:right w:val="none" w:sz="0" w:space="0" w:color="auto"/>
                          </w:divBdr>
                          <w:divsChild>
                            <w:div w:id="317391369">
                              <w:marLeft w:val="0"/>
                              <w:marRight w:val="0"/>
                              <w:marTop w:val="0"/>
                              <w:marBottom w:val="0"/>
                              <w:divBdr>
                                <w:top w:val="none" w:sz="0" w:space="0" w:color="auto"/>
                                <w:left w:val="none" w:sz="0" w:space="0" w:color="auto"/>
                                <w:bottom w:val="none" w:sz="0" w:space="0" w:color="auto"/>
                                <w:right w:val="none" w:sz="0" w:space="0" w:color="auto"/>
                              </w:divBdr>
                              <w:divsChild>
                                <w:div w:id="5943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378645">
      <w:bodyDiv w:val="1"/>
      <w:marLeft w:val="0"/>
      <w:marRight w:val="0"/>
      <w:marTop w:val="0"/>
      <w:marBottom w:val="0"/>
      <w:divBdr>
        <w:top w:val="none" w:sz="0" w:space="0" w:color="auto"/>
        <w:left w:val="none" w:sz="0" w:space="0" w:color="auto"/>
        <w:bottom w:val="none" w:sz="0" w:space="0" w:color="auto"/>
        <w:right w:val="none" w:sz="0" w:space="0" w:color="auto"/>
      </w:divBdr>
    </w:div>
    <w:div w:id="1650865265">
      <w:bodyDiv w:val="1"/>
      <w:marLeft w:val="0"/>
      <w:marRight w:val="0"/>
      <w:marTop w:val="0"/>
      <w:marBottom w:val="0"/>
      <w:divBdr>
        <w:top w:val="none" w:sz="0" w:space="0" w:color="auto"/>
        <w:left w:val="none" w:sz="0" w:space="0" w:color="auto"/>
        <w:bottom w:val="none" w:sz="0" w:space="0" w:color="auto"/>
        <w:right w:val="none" w:sz="0" w:space="0" w:color="auto"/>
      </w:divBdr>
    </w:div>
    <w:div w:id="1735156523">
      <w:bodyDiv w:val="1"/>
      <w:marLeft w:val="0"/>
      <w:marRight w:val="0"/>
      <w:marTop w:val="0"/>
      <w:marBottom w:val="0"/>
      <w:divBdr>
        <w:top w:val="none" w:sz="0" w:space="0" w:color="auto"/>
        <w:left w:val="none" w:sz="0" w:space="0" w:color="auto"/>
        <w:bottom w:val="none" w:sz="0" w:space="0" w:color="auto"/>
        <w:right w:val="none" w:sz="0" w:space="0" w:color="auto"/>
      </w:divBdr>
    </w:div>
    <w:div w:id="1924142467">
      <w:bodyDiv w:val="1"/>
      <w:marLeft w:val="0"/>
      <w:marRight w:val="0"/>
      <w:marTop w:val="0"/>
      <w:marBottom w:val="0"/>
      <w:divBdr>
        <w:top w:val="none" w:sz="0" w:space="0" w:color="auto"/>
        <w:left w:val="none" w:sz="0" w:space="0" w:color="auto"/>
        <w:bottom w:val="none" w:sz="0" w:space="0" w:color="auto"/>
        <w:right w:val="none" w:sz="0" w:space="0" w:color="auto"/>
      </w:divBdr>
    </w:div>
    <w:div w:id="197429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athryn.Aikin@fda.hhs.gov" TargetMode="External"/><Relationship Id="rId4" Type="http://schemas.microsoft.com/office/2007/relationships/stylesWithEffects" Target="stylesWithEffects.xml"/><Relationship Id="rId9" Type="http://schemas.openxmlformats.org/officeDocument/2006/relationships/hyperlink" Target="mailto:Domini.Bean@fda.hhs.go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fda.gov/media/82660/download" TargetMode="External"/><Relationship Id="rId1" Type="http://schemas.openxmlformats.org/officeDocument/2006/relationships/hyperlink" Target="https://www.fda.gov/downloads/Drugs/GuidanceComplianceRegulatoryInformation/Guidances/UCM387652.pdf"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236BFFF-9783-4776-AE17-9869965CB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2928</Words>
  <Characters>16695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19584</CharactersWithSpaces>
  <SharedDoc>false</SharedDoc>
  <HLinks>
    <vt:vector size="12" baseType="variant">
      <vt:variant>
        <vt:i4>2949125</vt:i4>
      </vt:variant>
      <vt:variant>
        <vt:i4>3</vt:i4>
      </vt:variant>
      <vt:variant>
        <vt:i4>0</vt:i4>
      </vt:variant>
      <vt:variant>
        <vt:i4>5</vt:i4>
      </vt:variant>
      <vt:variant>
        <vt:lpwstr>mailto:Domini.Bean@fda.hhs.gov</vt:lpwstr>
      </vt:variant>
      <vt:variant>
        <vt:lpwstr/>
      </vt:variant>
      <vt:variant>
        <vt:i4>655431</vt:i4>
      </vt:variant>
      <vt:variant>
        <vt:i4>0</vt:i4>
      </vt:variant>
      <vt:variant>
        <vt:i4>0</vt:i4>
      </vt:variant>
      <vt:variant>
        <vt:i4>5</vt:i4>
      </vt:variant>
      <vt:variant>
        <vt:lpwstr>http://factfinder.census.gov/faces/nav/jsf/pages/index.xhtml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Hillabrant</dc:creator>
  <cp:keywords>MERC OMB MEP</cp:keywords>
  <cp:lastModifiedBy>SYSTEM</cp:lastModifiedBy>
  <cp:revision>2</cp:revision>
  <cp:lastPrinted>2010-11-01T17:07:00Z</cp:lastPrinted>
  <dcterms:created xsi:type="dcterms:W3CDTF">2019-10-23T17:06:00Z</dcterms:created>
  <dcterms:modified xsi:type="dcterms:W3CDTF">2019-10-23T17:06:00Z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