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33" w:rsidRDefault="00E12D33" w:rsidP="00E12D33">
      <w:pPr>
        <w:jc w:val="center"/>
        <w:rPr>
          <w:b/>
          <w:sz w:val="28"/>
        </w:rPr>
      </w:pPr>
      <w:bookmarkStart w:id="0" w:name="_GoBack"/>
      <w:bookmarkEnd w:id="0"/>
      <w:r>
        <w:rPr>
          <w:b/>
          <w:sz w:val="28"/>
        </w:rPr>
        <w:t xml:space="preserve">FDA DOCUMENTATION FOR THE GENERIC CLEARANCE, </w:t>
      </w:r>
    </w:p>
    <w:p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7FA108A2" wp14:editId="5FD5186D">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60015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rsidR="00B41016" w:rsidRPr="005418B5" w:rsidRDefault="00B41016" w:rsidP="00A63790">
      <w:pPr>
        <w:rPr>
          <w:sz w:val="20"/>
          <w:szCs w:val="20"/>
        </w:rPr>
      </w:pPr>
    </w:p>
    <w:p w:rsidR="003F1C7A" w:rsidRPr="005E4981" w:rsidRDefault="003F1C7A" w:rsidP="005E23BA">
      <w:pPr>
        <w:spacing w:before="120"/>
      </w:pPr>
      <w:r>
        <w:rPr>
          <w:b/>
        </w:rPr>
        <w:t>TITLE OF INFORMATION COLLECTION:</w:t>
      </w:r>
      <w:r>
        <w:t xml:space="preserve">  </w:t>
      </w:r>
      <w:r w:rsidR="0074041B">
        <w:t>Rapid Message Te</w:t>
      </w:r>
      <w:r w:rsidR="00BD7381">
        <w:t>sting with</w:t>
      </w:r>
      <w:r w:rsidR="007251CB">
        <w:t xml:space="preserve"> C</w:t>
      </w:r>
      <w:r w:rsidR="00826D83">
        <w:t>onsumer Panel—</w:t>
      </w:r>
      <w:r w:rsidR="00380D78">
        <w:t>Testosterone Medication Guide</w:t>
      </w:r>
    </w:p>
    <w:p w:rsidR="003F1C7A" w:rsidRDefault="003F1C7A"/>
    <w:p w:rsidR="003F1C7A" w:rsidRDefault="003F1C7A">
      <w:pPr>
        <w:spacing w:after="120"/>
      </w:pPr>
      <w:r>
        <w:rPr>
          <w:b/>
        </w:rPr>
        <w:t>DESCRIPTION OF THIS SPECIFIC COLLECTION</w:t>
      </w:r>
      <w:r>
        <w:t xml:space="preserve"> </w:t>
      </w:r>
    </w:p>
    <w:p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rsidR="00C01642" w:rsidRDefault="00C01642" w:rsidP="009D4EB5">
      <w:pPr>
        <w:ind w:left="720"/>
      </w:pPr>
    </w:p>
    <w:p w:rsidR="00A82C4B" w:rsidRDefault="009A576B" w:rsidP="00A82C4B">
      <w:pPr>
        <w:ind w:left="720"/>
      </w:pPr>
      <w:r w:rsidRPr="009A576B">
        <w:t xml:space="preserve">The purpose of this project is to conduct timely message testing </w:t>
      </w:r>
      <w:r>
        <w:t xml:space="preserve">of a </w:t>
      </w:r>
      <w:r w:rsidR="00A82C4B">
        <w:t xml:space="preserve">revised </w:t>
      </w:r>
      <w:r>
        <w:t>Medication Guide for Androgel 1%,</w:t>
      </w:r>
      <w:r w:rsidR="00A82C4B" w:rsidRPr="00A82C4B">
        <w:t xml:space="preserve"> a prescription medicine that contains testosterone</w:t>
      </w:r>
      <w:r w:rsidR="00A82C4B">
        <w:t>.</w:t>
      </w:r>
      <w:r>
        <w:t xml:space="preserve"> </w:t>
      </w:r>
      <w:r w:rsidR="008B647B">
        <w:t xml:space="preserve"> </w:t>
      </w:r>
      <w:r w:rsidRPr="009A576B">
        <w:t>Medication Guides are paper handouts that come with many prescription medicines.</w:t>
      </w:r>
      <w:r w:rsidR="008B647B">
        <w:t xml:space="preserve"> </w:t>
      </w:r>
      <w:r w:rsidRPr="009A576B">
        <w:t xml:space="preserve"> The guides address issues that are specific to particular drugs and drug classes, and they contain FDA-approved information that can help patients avoid serious adverse events.</w:t>
      </w:r>
      <w:r w:rsidR="00A82C4B">
        <w:t xml:space="preserve">  </w:t>
      </w:r>
    </w:p>
    <w:p w:rsidR="00A82C4B" w:rsidRDefault="00A82C4B" w:rsidP="00A82C4B">
      <w:pPr>
        <w:ind w:left="720"/>
      </w:pPr>
    </w:p>
    <w:p w:rsidR="009A576B" w:rsidRDefault="00A82C4B" w:rsidP="00A82C4B">
      <w:pPr>
        <w:ind w:left="720"/>
      </w:pPr>
      <w:r>
        <w:t>The Medication Guide</w:t>
      </w:r>
      <w:r w:rsidRPr="00A82C4B">
        <w:t xml:space="preserve"> </w:t>
      </w:r>
      <w:r>
        <w:t>is part of the Androgel</w:t>
      </w:r>
      <w:r w:rsidRPr="00A82C4B">
        <w:t xml:space="preserve"> Risk Evaluation and Mitigation Strategy (REMS) Program.  The REMS Program helps ensure that the benefits of the drug outweigh its risks.  </w:t>
      </w:r>
      <w:r w:rsidR="008B647B">
        <w:t xml:space="preserve">Prior surveys conducted as part of the Androgel REMS assessment have shown that respondents have had difficulty in identifying </w:t>
      </w:r>
      <w:r w:rsidR="003B7D3F">
        <w:t xml:space="preserve">certain </w:t>
      </w:r>
      <w:r w:rsidR="009D2956">
        <w:t xml:space="preserve">early </w:t>
      </w:r>
      <w:r w:rsidR="008B647B">
        <w:t xml:space="preserve">signs and symptoms </w:t>
      </w:r>
      <w:r w:rsidR="009D2956">
        <w:t xml:space="preserve">of puberty </w:t>
      </w:r>
      <w:r w:rsidR="003B7D3F">
        <w:t xml:space="preserve">in children inadvertently exposed to </w:t>
      </w:r>
      <w:r w:rsidR="009D2956">
        <w:t xml:space="preserve">testosterone through direct contact with men using Androgel.  </w:t>
      </w:r>
      <w:r w:rsidR="008B647B" w:rsidRPr="008B647B">
        <w:t>A goal of the revised Androgel Medication Guide is to more clearly communicate to patients the signs and symptoms</w:t>
      </w:r>
      <w:r w:rsidR="007009E0">
        <w:t xml:space="preserve"> that</w:t>
      </w:r>
      <w:r w:rsidR="007009E0" w:rsidRPr="007009E0">
        <w:t xml:space="preserve"> </w:t>
      </w:r>
      <w:r w:rsidR="007009E0">
        <w:t xml:space="preserve">might be noticed in </w:t>
      </w:r>
      <w:r w:rsidR="007009E0" w:rsidRPr="007009E0">
        <w:t>women and children</w:t>
      </w:r>
      <w:r w:rsidR="007009E0">
        <w:t xml:space="preserve"> exposed to the medication</w:t>
      </w:r>
      <w:r w:rsidR="008B647B">
        <w:t>.</w:t>
      </w:r>
    </w:p>
    <w:p w:rsidR="0096759F" w:rsidRDefault="0096759F" w:rsidP="009D4EB5">
      <w:pPr>
        <w:ind w:left="720"/>
      </w:pPr>
    </w:p>
    <w:p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rsidR="0025162F">
        <w:t>a small sample of 15</w:t>
      </w:r>
      <w:r>
        <w:t xml:space="preserve"> </w:t>
      </w:r>
      <w:r w:rsidR="0025162F">
        <w:t>U.S. adult men</w:t>
      </w:r>
      <w:r w:rsidR="00D14B2F">
        <w:t xml:space="preserve"> </w:t>
      </w:r>
      <w:r>
        <w:t>drawn from a diverse consumer panel.</w:t>
      </w:r>
      <w:r w:rsidR="004945E3">
        <w:t xml:space="preserve">  </w:t>
      </w:r>
    </w:p>
    <w:p w:rsidR="00285589" w:rsidRDefault="00285589" w:rsidP="001C211E">
      <w:pPr>
        <w:ind w:left="720"/>
      </w:pPr>
    </w:p>
    <w:p w:rsidR="00882AE4" w:rsidRPr="007A4331" w:rsidRDefault="00DE6F4D" w:rsidP="0025162F">
      <w:pPr>
        <w:ind w:left="720"/>
      </w:pPr>
      <w:r>
        <w:t xml:space="preserve">This </w:t>
      </w:r>
      <w:r w:rsidR="006D69C2">
        <w:t xml:space="preserve">data collection </w:t>
      </w:r>
      <w:r w:rsidR="007251CB">
        <w:t xml:space="preserve">is the </w:t>
      </w:r>
      <w:r w:rsidR="0025162F">
        <w:t>eighth</w:t>
      </w:r>
      <w:r w:rsidR="00752105">
        <w:t xml:space="preserve"> </w:t>
      </w:r>
      <w:r>
        <w:t xml:space="preserve">in a series of </w:t>
      </w:r>
      <w:r w:rsidR="006D69C2">
        <w:t xml:space="preserve">FDA </w:t>
      </w:r>
      <w:r>
        <w:t xml:space="preserve">rapid message testing </w:t>
      </w:r>
      <w:r w:rsidR="006D69C2">
        <w:t>projects</w:t>
      </w:r>
      <w:r w:rsidR="0025162F">
        <w:t xml:space="preserve"> submitted to OMB under generic clearance</w:t>
      </w:r>
      <w:r w:rsidR="006D69C2">
        <w:t xml:space="preserve">.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r>
        <w:t>This project is i</w:t>
      </w:r>
      <w:r w:rsidR="001C211E" w:rsidRPr="001C211E">
        <w:t>n keeping with the spirit of the 2015 Executive Order</w:t>
      </w:r>
      <w:r w:rsidR="0025162F">
        <w:rPr>
          <w:rStyle w:val="FootnoteReference"/>
        </w:rPr>
        <w:footnoteReference w:id="1"/>
      </w:r>
      <w:r w:rsidR="001C211E" w:rsidRPr="001C211E">
        <w:t xml:space="preserve">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p>
    <w:p w:rsidR="007A4331" w:rsidRDefault="007A4331" w:rsidP="00F12AEE">
      <w:pPr>
        <w:ind w:left="1296"/>
      </w:pPr>
    </w:p>
    <w:p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C01642" w:rsidRDefault="00C01642" w:rsidP="005829DE">
      <w:pPr>
        <w:ind w:left="720"/>
      </w:pPr>
    </w:p>
    <w:p w:rsidR="00FE4961" w:rsidRDefault="008800D2" w:rsidP="005829DE">
      <w:pPr>
        <w:ind w:left="720"/>
      </w:pPr>
      <w:r>
        <w:t>FDA</w:t>
      </w:r>
      <w:r w:rsidR="006E2614">
        <w:t>’s contractor Westat</w:t>
      </w:r>
      <w:r>
        <w:t xml:space="preserve"> will </w:t>
      </w:r>
      <w:r w:rsidR="006E2614">
        <w:t>test the</w:t>
      </w:r>
      <w:r w:rsidR="00FD587A">
        <w:t xml:space="preserve"> </w:t>
      </w:r>
      <w:r w:rsidR="0025162F">
        <w:t xml:space="preserve">Medication Guide </w:t>
      </w:r>
      <w:r w:rsidR="00B87629" w:rsidRPr="00F94F8C">
        <w:t>with a small sample of target audience members to ensure the message meets its objectives without causing unintended negative effects.</w:t>
      </w:r>
      <w:r w:rsidR="00B87629">
        <w:t xml:space="preserve">  </w:t>
      </w:r>
      <w:r w:rsidR="00FE4961" w:rsidRPr="00FE4961">
        <w:t xml:space="preserve">FDA’s Risk Communication and Advisory Committee includes renowned experts and researchers in social sciences, marketing, health literacy, and </w:t>
      </w:r>
      <w:r w:rsidR="00FE4961" w:rsidRPr="00FE4961">
        <w:lastRenderedPageBreak/>
        <w:t xml:space="preserve">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00FE4961" w:rsidRDefault="00FE4961" w:rsidP="005829DE">
      <w:pPr>
        <w:ind w:left="720"/>
      </w:pPr>
    </w:p>
    <w:p w:rsidR="00E215FA" w:rsidRDefault="00B87629" w:rsidP="005829DE">
      <w:pPr>
        <w:ind w:left="720"/>
      </w:pPr>
      <w:r>
        <w:t xml:space="preserve">FDA will use the </w:t>
      </w:r>
      <w:r w:rsidR="006E2614">
        <w:t xml:space="preserve">collected </w:t>
      </w:r>
      <w:r>
        <w:t>interview data to refine its messaging</w:t>
      </w:r>
      <w:r w:rsidR="005829DE">
        <w:t xml:space="preserve"> </w:t>
      </w:r>
      <w:r w:rsidR="008800D2">
        <w:t xml:space="preserve">by </w:t>
      </w:r>
      <w:r w:rsidR="005829DE">
        <w:t>improving the comprehensibility, enhancing the cultural appropriateness and sensitivity, and improving the personal relevance for a higher public health impact</w:t>
      </w:r>
      <w:r>
        <w:t>.</w:t>
      </w:r>
      <w:r w:rsidR="00FE4961">
        <w:t xml:space="preserve">  </w:t>
      </w:r>
      <w:r w:rsidR="00FE4961" w:rsidRPr="00FE4961">
        <w:t>Specifically, FDA is asking Westat to gain insight to the following questions:</w:t>
      </w:r>
    </w:p>
    <w:p w:rsidR="000306B4" w:rsidRDefault="000306B4" w:rsidP="005829DE">
      <w:pPr>
        <w:ind w:left="720"/>
      </w:pPr>
    </w:p>
    <w:p w:rsidR="00FE4961" w:rsidRDefault="00FE4961" w:rsidP="00FE4961">
      <w:pPr>
        <w:pStyle w:val="ListParagraph"/>
        <w:numPr>
          <w:ilvl w:val="0"/>
          <w:numId w:val="22"/>
        </w:numPr>
      </w:pPr>
      <w:r>
        <w:t>Is the guide clear and understandable?</w:t>
      </w:r>
    </w:p>
    <w:p w:rsidR="009D2956" w:rsidRDefault="009D2956" w:rsidP="00FE4961">
      <w:pPr>
        <w:pStyle w:val="ListParagraph"/>
        <w:numPr>
          <w:ilvl w:val="0"/>
          <w:numId w:val="22"/>
        </w:numPr>
      </w:pPr>
      <w:r>
        <w:t>What is the main safety message that participants get from the guide?</w:t>
      </w:r>
    </w:p>
    <w:p w:rsidR="00FE4961" w:rsidRDefault="009D2956" w:rsidP="00FE4961">
      <w:pPr>
        <w:pStyle w:val="ListParagraph"/>
        <w:numPr>
          <w:ilvl w:val="0"/>
          <w:numId w:val="22"/>
        </w:numPr>
      </w:pPr>
      <w:r>
        <w:t>Is</w:t>
      </w:r>
      <w:r w:rsidR="00FE4961">
        <w:t xml:space="preserve"> the guide </w:t>
      </w:r>
      <w:r>
        <w:t xml:space="preserve">effective in conveying the knowledge of the </w:t>
      </w:r>
      <w:r w:rsidR="00FE4961">
        <w:t>signs and symptoms in children and women when they come in direct contact with Androgel 1%?</w:t>
      </w:r>
    </w:p>
    <w:p w:rsidR="00FE4961" w:rsidRDefault="00FE4961" w:rsidP="00FE4961">
      <w:pPr>
        <w:pStyle w:val="ListParagraph"/>
        <w:numPr>
          <w:ilvl w:val="0"/>
          <w:numId w:val="22"/>
        </w:numPr>
      </w:pPr>
      <w:r>
        <w:t>Does the guide provide useful information about how to use Androgel 1%</w:t>
      </w:r>
      <w:r w:rsidR="009D2956">
        <w:t xml:space="preserve"> to avoid accidental exposure to women and children</w:t>
      </w:r>
      <w:r>
        <w:t>?</w:t>
      </w:r>
    </w:p>
    <w:p w:rsidR="00FE4961" w:rsidRDefault="00FE4961" w:rsidP="00FE4961">
      <w:pPr>
        <w:pStyle w:val="ListParagraph"/>
        <w:numPr>
          <w:ilvl w:val="0"/>
          <w:numId w:val="22"/>
        </w:numPr>
      </w:pPr>
      <w:r>
        <w:t>Do participants recognize the call to action of stopping use of Androgel 1% and calling their healthcare provider if they see signs or symptoms in a child or woman that may have been exposed to the medication?</w:t>
      </w:r>
    </w:p>
    <w:p w:rsidR="00F94F8C" w:rsidRDefault="00FE4961" w:rsidP="00FE4961">
      <w:pPr>
        <w:pStyle w:val="ListParagraph"/>
        <w:numPr>
          <w:ilvl w:val="0"/>
          <w:numId w:val="22"/>
        </w:numPr>
      </w:pPr>
      <w:r>
        <w:t>Is the general layout appealing?</w:t>
      </w:r>
    </w:p>
    <w:p w:rsidR="00FE4961" w:rsidRDefault="00FE4961" w:rsidP="00FE4961">
      <w:pPr>
        <w:pStyle w:val="ListParagraph"/>
        <w:ind w:left="1440"/>
      </w:pPr>
    </w:p>
    <w:p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rsidR="003F1C7A" w:rsidRDefault="003F1C7A" w:rsidP="00F12AEE">
      <w:pPr>
        <w:ind w:left="360"/>
      </w:pPr>
    </w:p>
    <w:p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rsidR="00C01642" w:rsidRDefault="00C01642" w:rsidP="00F12AEE">
      <w:pPr>
        <w:ind w:left="720"/>
      </w:pPr>
    </w:p>
    <w:p w:rsidR="00E215FA" w:rsidRDefault="008800D2" w:rsidP="00F12AEE">
      <w:pPr>
        <w:ind w:left="720"/>
      </w:pPr>
      <w:r>
        <w:t xml:space="preserve">We will conduct </w:t>
      </w:r>
      <w:r w:rsidR="00FE4961">
        <w:t>15</w:t>
      </w:r>
      <w:r>
        <w:t xml:space="preserve"> </w:t>
      </w:r>
      <w:r w:rsidR="00FE4961">
        <w:t>45</w:t>
      </w:r>
      <w:r w:rsidR="004945E3">
        <w:t xml:space="preserve">-minute </w:t>
      </w:r>
      <w:r>
        <w:t>interviews with</w:t>
      </w:r>
      <w:r w:rsidR="00BB5F6B">
        <w:t xml:space="preserve"> </w:t>
      </w:r>
      <w:r w:rsidR="00D14B2F">
        <w:t xml:space="preserve">U.S. </w:t>
      </w:r>
      <w:r w:rsidR="00BB5F6B">
        <w:t>adult</w:t>
      </w:r>
      <w:r w:rsidR="00FE4961">
        <w:t xml:space="preserve"> men</w:t>
      </w:r>
      <w:r w:rsidR="002B028A">
        <w:t xml:space="preserve">.  </w:t>
      </w:r>
      <w:r w:rsidR="006E2614">
        <w:t>Westat has partnered with Research Now Group, Inc., a global leader in digital data collection</w:t>
      </w:r>
      <w:r w:rsidR="00D70045">
        <w:t xml:space="preserve">, to </w:t>
      </w:r>
      <w:r w:rsidR="006E2614">
        <w:t>recruit r</w:t>
      </w:r>
      <w:r w:rsidR="00002021">
        <w:t xml:space="preserve">espondents </w:t>
      </w:r>
      <w:r w:rsidR="006E2614">
        <w:t xml:space="preserve">from its </w:t>
      </w:r>
      <w:r w:rsidR="0071771B">
        <w:t>general population research panel</w:t>
      </w:r>
      <w:r w:rsidR="00BB5F6B">
        <w:t xml:space="preserve"> and avoid “professional” panelists through proprietary recruitment and enrollment techniques.</w:t>
      </w:r>
      <w:r w:rsidR="00FE4961">
        <w:t xml:space="preserve">  </w:t>
      </w:r>
      <w:r w:rsidR="00FE4961" w:rsidRPr="00FE4961">
        <w:t>Research Now tracks and stores all panel member activity and assigns a unique ID number which stays with the panelist throughout their entire panel membership. These tracking records consist of profile information provided during enrollment, profile updates, survey screeners, past survey participation, and client feedback. Research Now monitors the quality of their data through various quality checks to save time and provide confidence in data accuracy. These quality checks include participation limits, screening questions, digital fingerprinting, random and illogical responding, capturing and removing flatliners and speeders, and more.</w:t>
      </w:r>
    </w:p>
    <w:p w:rsidR="002B028A" w:rsidRDefault="002B028A" w:rsidP="00F12AEE">
      <w:pPr>
        <w:ind w:left="720"/>
      </w:pPr>
    </w:p>
    <w:p w:rsidR="002B028A" w:rsidRDefault="002B028A" w:rsidP="00F12AEE">
      <w:pPr>
        <w:ind w:left="720"/>
      </w:pPr>
      <w:r w:rsidRPr="00400774">
        <w:t>We will use a participant screener to recruit</w:t>
      </w:r>
      <w:r w:rsidR="00FE4961">
        <w:t xml:space="preserve"> a mix of men between the ages of 40 to 59</w:t>
      </w:r>
      <w:r w:rsidRPr="00400774">
        <w:t xml:space="preserve"> </w:t>
      </w:r>
      <w:r w:rsidR="00411736">
        <w:t>who are</w:t>
      </w:r>
      <w:r w:rsidR="00FE4961">
        <w:t xml:space="preserve"> either living with children or not living with children</w:t>
      </w:r>
      <w:r w:rsidR="00411736">
        <w:t xml:space="preserve">.  </w:t>
      </w:r>
      <w:r w:rsidR="004B6A46" w:rsidRPr="004B6A46">
        <w:t>The participant pool will</w:t>
      </w:r>
      <w:r w:rsidR="004B6A46">
        <w:t xml:space="preserve"> be diverse in terms of </w:t>
      </w:r>
      <w:r w:rsidR="00FE4961">
        <w:t xml:space="preserve">race/ethnicity, </w:t>
      </w:r>
      <w:r w:rsidR="00A55DD8">
        <w:t>education</w:t>
      </w:r>
      <w:r w:rsidR="00FE4961">
        <w:t>,</w:t>
      </w:r>
      <w:r w:rsidR="00A55DD8">
        <w:t xml:space="preserve"> and </w:t>
      </w:r>
      <w:r w:rsidR="004B6A46" w:rsidRPr="004B6A46">
        <w:t>geography.</w:t>
      </w:r>
    </w:p>
    <w:p w:rsidR="008800D2" w:rsidRDefault="008800D2" w:rsidP="00F12AEE">
      <w:pPr>
        <w:ind w:left="720"/>
      </w:pPr>
    </w:p>
    <w:p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rsidR="00C01642" w:rsidRDefault="00C01642" w:rsidP="00F12AEE">
      <w:pPr>
        <w:ind w:left="720"/>
        <w:jc w:val="both"/>
      </w:pPr>
    </w:p>
    <w:p w:rsidR="00190AA2" w:rsidRDefault="000E17F0" w:rsidP="00F12AEE">
      <w:pPr>
        <w:ind w:left="720"/>
        <w:jc w:val="both"/>
      </w:pPr>
      <w:r w:rsidRPr="000E17F0">
        <w:t>We plan to conduct intervi</w:t>
      </w:r>
      <w:r>
        <w:t xml:space="preserve">ews in </w:t>
      </w:r>
      <w:r w:rsidR="00FE4961">
        <w:t xml:space="preserve">October </w:t>
      </w:r>
      <w:r w:rsidR="00B14D7F">
        <w:t>201</w:t>
      </w:r>
      <w:r w:rsidR="005A43DD">
        <w:t>8</w:t>
      </w:r>
      <w:r w:rsidRPr="000E17F0">
        <w:t>.</w:t>
      </w:r>
    </w:p>
    <w:p w:rsidR="00190AA2" w:rsidRDefault="00190AA2" w:rsidP="00F12AEE">
      <w:pPr>
        <w:ind w:left="360"/>
        <w:jc w:val="both"/>
      </w:pPr>
    </w:p>
    <w:p w:rsidR="00E26798" w:rsidRDefault="000E7C99" w:rsidP="00F12AEE">
      <w:pPr>
        <w:numPr>
          <w:ilvl w:val="0"/>
          <w:numId w:val="15"/>
        </w:numPr>
        <w:tabs>
          <w:tab w:val="num" w:pos="720"/>
        </w:tabs>
        <w:ind w:left="720"/>
      </w:pPr>
      <w:r>
        <w:rPr>
          <w:b/>
        </w:rPr>
        <w:t>How the Information is being collected</w:t>
      </w:r>
      <w:r w:rsidR="0049419A">
        <w:rPr>
          <w:b/>
        </w:rPr>
        <w:t>:</w:t>
      </w:r>
    </w:p>
    <w:p w:rsidR="00C01642" w:rsidRDefault="00C01642" w:rsidP="00B01F00">
      <w:pPr>
        <w:ind w:left="720"/>
      </w:pPr>
    </w:p>
    <w:p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p>
    <w:p w:rsidR="00B01F00" w:rsidRDefault="00B01F00" w:rsidP="000E17F0">
      <w:pPr>
        <w:ind w:left="720"/>
      </w:pPr>
    </w:p>
    <w:p w:rsidR="000E17F0" w:rsidRDefault="007251CB" w:rsidP="000E17F0">
      <w:pPr>
        <w:ind w:left="720"/>
      </w:pPr>
      <w:r>
        <w:t xml:space="preserve">For each </w:t>
      </w:r>
      <w:r w:rsidR="00FE4961">
        <w:t>45</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rsidR="000E17F0" w:rsidRDefault="000E17F0" w:rsidP="000E17F0">
      <w:pPr>
        <w:ind w:left="720"/>
      </w:pPr>
    </w:p>
    <w:p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rsidR="00BA32CF" w:rsidRDefault="00BA32CF" w:rsidP="00BA32CF">
      <w:pPr>
        <w:ind w:left="720"/>
      </w:pPr>
    </w:p>
    <w:p w:rsidR="007A4331" w:rsidRDefault="00B01F00" w:rsidP="00BA32CF">
      <w:pPr>
        <w:ind w:left="720"/>
      </w:pPr>
      <w:r>
        <w:t>FDA staff will have the ability to listen to the interview sessions, and this will be made known to participants as part of the informed consent</w:t>
      </w:r>
      <w:r w:rsidR="000E17F0">
        <w:t xml:space="preserve">. </w:t>
      </w:r>
    </w:p>
    <w:p w:rsidR="00F12AEE" w:rsidRDefault="00F12AEE" w:rsidP="00F12AEE">
      <w:pPr>
        <w:ind w:left="720"/>
      </w:pPr>
    </w:p>
    <w:p w:rsidR="003F1C7A" w:rsidRPr="00E215FA" w:rsidRDefault="00DD1CCA" w:rsidP="00F12AEE">
      <w:pPr>
        <w:numPr>
          <w:ilvl w:val="0"/>
          <w:numId w:val="15"/>
        </w:numPr>
        <w:tabs>
          <w:tab w:val="num" w:pos="720"/>
        </w:tabs>
        <w:ind w:left="720"/>
      </w:pPr>
      <w:r>
        <w:rPr>
          <w:b/>
        </w:rPr>
        <w:t>Confidentiality of Respondents</w:t>
      </w:r>
      <w:r w:rsidR="0049419A">
        <w:rPr>
          <w:b/>
        </w:rPr>
        <w:t>:</w:t>
      </w:r>
    </w:p>
    <w:p w:rsidR="00C01642" w:rsidRDefault="00C01642" w:rsidP="002272BD">
      <w:pPr>
        <w:ind w:left="720"/>
      </w:pPr>
    </w:p>
    <w:p w:rsidR="00002021" w:rsidRDefault="002272BD" w:rsidP="00E45582">
      <w:pPr>
        <w:ind w:left="720"/>
      </w:pPr>
      <w:r>
        <w:t xml:space="preserve">We will provide all respondents with informed consent language that ensures </w:t>
      </w:r>
      <w:r w:rsidR="00F54DF2">
        <w:t xml:space="preserve">they understand the project purpose, that their participation is voluntary, and that their responses will </w:t>
      </w:r>
      <w:r w:rsidR="009E767B">
        <w:t>be kept secure</w:t>
      </w:r>
      <w:r w:rsidR="004B6A46" w:rsidRPr="004B6A46">
        <w:t xml:space="preserve"> to the extent permitted by law</w:t>
      </w:r>
      <w:r w:rsidR="00F54DF2">
        <w:t xml:space="preserve">. </w:t>
      </w:r>
      <w:r>
        <w:t xml:space="preserve"> As part of the consent procedu</w:t>
      </w:r>
      <w:r w:rsidR="00E45582">
        <w:t>re, respondents will be asked whether they</w:t>
      </w:r>
      <w:r>
        <w:t xml:space="preserve">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r w:rsidR="00E45582">
        <w:t xml:space="preserve">  </w:t>
      </w:r>
      <w:r w:rsidR="00E45582" w:rsidRPr="00E45582">
        <w:t>Participants who do not allow audio recording may still participate in the interview.  In these cases, Westat will take notes that are more detailed than when relying on the audio recording.</w:t>
      </w:r>
    </w:p>
    <w:p w:rsidR="00E45582" w:rsidRDefault="00E45582" w:rsidP="00E45582">
      <w:pPr>
        <w:ind w:left="720"/>
      </w:pPr>
    </w:p>
    <w:p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rsidR="00356BB7" w:rsidRDefault="00356BB7" w:rsidP="00F12AEE">
      <w:pPr>
        <w:ind w:left="720"/>
      </w:pPr>
    </w:p>
    <w:p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rsidR="00E45582" w:rsidRDefault="00E45582" w:rsidP="00356BB7">
      <w:pPr>
        <w:ind w:left="720"/>
      </w:pPr>
    </w:p>
    <w:p w:rsidR="00E45582" w:rsidRDefault="00E45582" w:rsidP="00356BB7">
      <w:pPr>
        <w:ind w:left="720"/>
      </w:pPr>
      <w:r w:rsidRPr="00E45582">
        <w:t>FDA’s IRB, the Research Involving Human Subjects Committee (RIHSC) reviewed this study and determined it is exempt from the requirements of 45 CFR §46.101b(2).</w:t>
      </w:r>
    </w:p>
    <w:p w:rsidR="0049419A" w:rsidRDefault="0049419A" w:rsidP="00F12AEE">
      <w:pPr>
        <w:ind w:left="720"/>
      </w:pPr>
    </w:p>
    <w:p w:rsidR="007009E0" w:rsidRDefault="007009E0">
      <w:pPr>
        <w:rPr>
          <w:b/>
        </w:rPr>
      </w:pPr>
      <w:r>
        <w:rPr>
          <w:b/>
        </w:rPr>
        <w:br w:type="page"/>
      </w:r>
    </w:p>
    <w:p w:rsidR="00DD1CCA" w:rsidRDefault="0049419A" w:rsidP="00DD1CCA">
      <w:pPr>
        <w:numPr>
          <w:ilvl w:val="0"/>
          <w:numId w:val="15"/>
        </w:numPr>
        <w:tabs>
          <w:tab w:val="num" w:pos="720"/>
        </w:tabs>
        <w:ind w:left="720"/>
        <w:rPr>
          <w:b/>
        </w:rPr>
      </w:pPr>
      <w:r>
        <w:rPr>
          <w:b/>
        </w:rPr>
        <w:t>Amount and justification for any proposed incentive</w:t>
      </w:r>
    </w:p>
    <w:p w:rsidR="00C01642" w:rsidRDefault="00C01642" w:rsidP="00E91EE5">
      <w:pPr>
        <w:pStyle w:val="ListParagraph"/>
      </w:pPr>
    </w:p>
    <w:p w:rsidR="00536FDA" w:rsidRDefault="00BB5770" w:rsidP="00E91EE5">
      <w:pPr>
        <w:pStyle w:val="ListParagraph"/>
      </w:pPr>
      <w:r>
        <w:t>For this project, Research Now</w:t>
      </w:r>
      <w:r w:rsidR="00B01F00" w:rsidRPr="00B01F00">
        <w:t xml:space="preserve"> will provide </w:t>
      </w:r>
      <w:r w:rsidR="007251CB">
        <w:t>$</w:t>
      </w:r>
      <w:r w:rsidR="00E45582">
        <w:t>50</w:t>
      </w:r>
      <w:r w:rsidR="005E78C3">
        <w:t xml:space="preserve"> </w:t>
      </w:r>
      <w:r w:rsidR="00B01F00" w:rsidRPr="00B01F00">
        <w:t>incentives to participan</w:t>
      </w:r>
      <w:r w:rsidR="00E91EE5">
        <w:t xml:space="preserve">ts at the end of each </w:t>
      </w:r>
      <w:r w:rsidR="00E45582">
        <w:t>45</w:t>
      </w:r>
      <w:r w:rsidR="005E78C3" w:rsidRPr="005E78C3">
        <w:t xml:space="preserve">-minute </w:t>
      </w:r>
      <w:r w:rsidR="00E91EE5">
        <w:t xml:space="preserve">interview </w:t>
      </w:r>
      <w:r w:rsidR="00E35DB8">
        <w:t>in the form of virtual currency</w:t>
      </w:r>
      <w:r w:rsidR="00E91EE5">
        <w:t xml:space="preserve">.  </w:t>
      </w:r>
      <w:r w:rsidR="00E36619">
        <w:t>The virtual currency is</w:t>
      </w:r>
      <w:r w:rsidR="00E35DB8">
        <w:t xml:space="preserve"> redeemable for a wide range of award items, vouchers, and publications.  </w:t>
      </w:r>
    </w:p>
    <w:p w:rsidR="00536FDA" w:rsidRDefault="00536FDA" w:rsidP="00E91EE5">
      <w:pPr>
        <w:pStyle w:val="ListParagraph"/>
      </w:pPr>
    </w:p>
    <w:p w:rsidR="00E91EE5" w:rsidRDefault="00536FDA" w:rsidP="00536FDA">
      <w:pPr>
        <w:pStyle w:val="ListParagraph"/>
      </w:pPr>
      <w:r>
        <w:t>Research Now uses a “by-invitation-only” recruitment methodology</w:t>
      </w:r>
      <w:r w:rsidR="00BA57F7">
        <w:t>, and incentivizes panelists for any participation to maintain a quality filled panel.</w:t>
      </w:r>
      <w:r w:rsidR="006B1237">
        <w:t xml:space="preserve">  </w:t>
      </w:r>
      <w:r w:rsidR="00BA57F7" w:rsidRPr="00BA57F7">
        <w:t>Panel members do not volunteer their time.</w:t>
      </w:r>
      <w:r w:rsidR="00BA57F7">
        <w:t xml:space="preserve">  </w:t>
      </w:r>
      <w:r w:rsidR="00E91EE5">
        <w:t>Research Now’s incentive scale is based on set time increments and panelist profile</w:t>
      </w:r>
      <w:r w:rsidR="008E4D9F">
        <w:t>s</w:t>
      </w:r>
      <w:r w:rsidR="00E91EE5">
        <w:t xml:space="preserve"> and is applied equally across all study topics, sponsors, and data collection modes.  </w:t>
      </w:r>
      <w:r w:rsidR="00E45582" w:rsidRPr="00E45582">
        <w:t>The table below details the previous incentives approved by OMB for this series of rapid message tests.</w:t>
      </w:r>
    </w:p>
    <w:p w:rsidR="0025162F" w:rsidRDefault="0025162F"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483"/>
        <w:gridCol w:w="1963"/>
        <w:gridCol w:w="2211"/>
      </w:tblGrid>
      <w:tr w:rsidR="0025162F" w:rsidTr="002A5CF1">
        <w:tc>
          <w:tcPr>
            <w:tcW w:w="1030" w:type="dxa"/>
            <w:shd w:val="pct10" w:color="auto" w:fill="auto"/>
          </w:tcPr>
          <w:p w:rsidR="0025162F" w:rsidRPr="0045005C" w:rsidRDefault="0025162F" w:rsidP="002A5CF1">
            <w:pPr>
              <w:jc w:val="center"/>
              <w:rPr>
                <w:b/>
              </w:rPr>
            </w:pPr>
            <w:r w:rsidRPr="0045005C">
              <w:rPr>
                <w:b/>
              </w:rPr>
              <w:t>Project #</w:t>
            </w:r>
          </w:p>
        </w:tc>
        <w:tc>
          <w:tcPr>
            <w:tcW w:w="3483" w:type="dxa"/>
            <w:shd w:val="pct10" w:color="auto" w:fill="auto"/>
          </w:tcPr>
          <w:p w:rsidR="0025162F" w:rsidRPr="0045005C" w:rsidRDefault="0025162F" w:rsidP="002A5CF1">
            <w:pPr>
              <w:jc w:val="center"/>
              <w:rPr>
                <w:b/>
              </w:rPr>
            </w:pPr>
            <w:r w:rsidRPr="0045005C">
              <w:rPr>
                <w:b/>
              </w:rPr>
              <w:t>Communication Tested</w:t>
            </w:r>
          </w:p>
        </w:tc>
        <w:tc>
          <w:tcPr>
            <w:tcW w:w="1798" w:type="dxa"/>
            <w:shd w:val="pct10" w:color="auto" w:fill="auto"/>
          </w:tcPr>
          <w:p w:rsidR="0025162F" w:rsidRPr="0045005C" w:rsidRDefault="0025162F" w:rsidP="002A5CF1">
            <w:pPr>
              <w:jc w:val="center"/>
              <w:rPr>
                <w:b/>
              </w:rPr>
            </w:pPr>
            <w:r>
              <w:rPr>
                <w:b/>
              </w:rPr>
              <w:t>Interview Length/Incentive</w:t>
            </w:r>
          </w:p>
        </w:tc>
        <w:tc>
          <w:tcPr>
            <w:tcW w:w="2211" w:type="dxa"/>
            <w:shd w:val="pct10" w:color="auto" w:fill="auto"/>
          </w:tcPr>
          <w:p w:rsidR="0025162F" w:rsidRPr="0045005C" w:rsidRDefault="0025162F" w:rsidP="002A5CF1">
            <w:pPr>
              <w:jc w:val="center"/>
              <w:rPr>
                <w:b/>
              </w:rPr>
            </w:pPr>
            <w:r w:rsidRPr="0045005C">
              <w:rPr>
                <w:b/>
              </w:rPr>
              <w:t>OMB approval date</w:t>
            </w:r>
          </w:p>
        </w:tc>
      </w:tr>
      <w:tr w:rsidR="0025162F" w:rsidTr="002A5CF1">
        <w:tc>
          <w:tcPr>
            <w:tcW w:w="1030" w:type="dxa"/>
            <w:shd w:val="clear" w:color="auto" w:fill="auto"/>
          </w:tcPr>
          <w:p w:rsidR="0025162F" w:rsidRDefault="0025162F" w:rsidP="002A5CF1">
            <w:pPr>
              <w:jc w:val="center"/>
            </w:pPr>
            <w:r>
              <w:t>1</w:t>
            </w:r>
          </w:p>
        </w:tc>
        <w:tc>
          <w:tcPr>
            <w:tcW w:w="3483" w:type="dxa"/>
            <w:shd w:val="clear" w:color="auto" w:fill="auto"/>
          </w:tcPr>
          <w:p w:rsidR="0025162F" w:rsidRDefault="0025162F" w:rsidP="002A5CF1">
            <w:r>
              <w:t>Clinical Trials Brochure</w:t>
            </w:r>
          </w:p>
        </w:tc>
        <w:tc>
          <w:tcPr>
            <w:tcW w:w="1798" w:type="dxa"/>
          </w:tcPr>
          <w:p w:rsidR="0025162F" w:rsidRDefault="0025162F" w:rsidP="002A5CF1">
            <w:r>
              <w:t>45 min/$50</w:t>
            </w:r>
          </w:p>
        </w:tc>
        <w:tc>
          <w:tcPr>
            <w:tcW w:w="2211" w:type="dxa"/>
            <w:shd w:val="clear" w:color="auto" w:fill="auto"/>
          </w:tcPr>
          <w:p w:rsidR="0025162F" w:rsidRDefault="0025162F" w:rsidP="002A5CF1">
            <w:r>
              <w:t>August 4, 2017</w:t>
            </w:r>
          </w:p>
        </w:tc>
      </w:tr>
      <w:tr w:rsidR="0025162F" w:rsidTr="002A5CF1">
        <w:tc>
          <w:tcPr>
            <w:tcW w:w="1030" w:type="dxa"/>
            <w:shd w:val="clear" w:color="auto" w:fill="auto"/>
          </w:tcPr>
          <w:p w:rsidR="0025162F" w:rsidRDefault="0025162F" w:rsidP="002A5CF1">
            <w:pPr>
              <w:jc w:val="center"/>
            </w:pPr>
            <w:r>
              <w:t>2</w:t>
            </w:r>
          </w:p>
        </w:tc>
        <w:tc>
          <w:tcPr>
            <w:tcW w:w="3483" w:type="dxa"/>
            <w:shd w:val="clear" w:color="auto" w:fill="auto"/>
          </w:tcPr>
          <w:p w:rsidR="0025162F" w:rsidRDefault="0025162F" w:rsidP="002A5CF1">
            <w:r>
              <w:t>Caregiver Tipsheet</w:t>
            </w:r>
          </w:p>
        </w:tc>
        <w:tc>
          <w:tcPr>
            <w:tcW w:w="1798" w:type="dxa"/>
          </w:tcPr>
          <w:p w:rsidR="0025162F" w:rsidRPr="00313238" w:rsidRDefault="0025162F" w:rsidP="002A5CF1">
            <w:r>
              <w:t>30 min/$35</w:t>
            </w:r>
          </w:p>
        </w:tc>
        <w:tc>
          <w:tcPr>
            <w:tcW w:w="2211" w:type="dxa"/>
            <w:shd w:val="clear" w:color="auto" w:fill="auto"/>
          </w:tcPr>
          <w:p w:rsidR="0025162F" w:rsidRDefault="0025162F" w:rsidP="002A5CF1">
            <w:r w:rsidRPr="00313238">
              <w:t xml:space="preserve">September </w:t>
            </w:r>
            <w:r>
              <w:t>26, 2017</w:t>
            </w:r>
          </w:p>
        </w:tc>
      </w:tr>
      <w:tr w:rsidR="0025162F" w:rsidTr="002A5CF1">
        <w:tc>
          <w:tcPr>
            <w:tcW w:w="1030" w:type="dxa"/>
            <w:shd w:val="clear" w:color="auto" w:fill="auto"/>
          </w:tcPr>
          <w:p w:rsidR="0025162F" w:rsidRDefault="0025162F" w:rsidP="002A5CF1">
            <w:pPr>
              <w:jc w:val="center"/>
            </w:pPr>
            <w:r>
              <w:t xml:space="preserve">3 </w:t>
            </w:r>
          </w:p>
        </w:tc>
        <w:tc>
          <w:tcPr>
            <w:tcW w:w="3483" w:type="dxa"/>
            <w:shd w:val="clear" w:color="auto" w:fill="auto"/>
          </w:tcPr>
          <w:p w:rsidR="0025162F" w:rsidRPr="00AA7651" w:rsidRDefault="0025162F" w:rsidP="002A5CF1">
            <w:r w:rsidRPr="00AA7651">
              <w:t>Public Service Announcement Video about Generic Drugs</w:t>
            </w:r>
          </w:p>
        </w:tc>
        <w:tc>
          <w:tcPr>
            <w:tcW w:w="1798" w:type="dxa"/>
          </w:tcPr>
          <w:p w:rsidR="0025162F" w:rsidRDefault="0025162F" w:rsidP="002A5CF1">
            <w:r w:rsidRPr="00B52865">
              <w:t>30 min/$35</w:t>
            </w:r>
          </w:p>
        </w:tc>
        <w:tc>
          <w:tcPr>
            <w:tcW w:w="2211" w:type="dxa"/>
            <w:shd w:val="clear" w:color="auto" w:fill="auto"/>
          </w:tcPr>
          <w:p w:rsidR="0025162F" w:rsidRPr="00313238" w:rsidRDefault="0025162F" w:rsidP="002A5CF1">
            <w:r>
              <w:t>October 25, 2017</w:t>
            </w:r>
          </w:p>
        </w:tc>
      </w:tr>
      <w:tr w:rsidR="0025162F" w:rsidTr="002A5CF1">
        <w:tc>
          <w:tcPr>
            <w:tcW w:w="1030" w:type="dxa"/>
            <w:shd w:val="clear" w:color="auto" w:fill="auto"/>
          </w:tcPr>
          <w:p w:rsidR="0025162F" w:rsidRDefault="0025162F" w:rsidP="002A5CF1">
            <w:pPr>
              <w:jc w:val="center"/>
            </w:pPr>
            <w:r>
              <w:t>4</w:t>
            </w:r>
          </w:p>
        </w:tc>
        <w:tc>
          <w:tcPr>
            <w:tcW w:w="3483" w:type="dxa"/>
            <w:shd w:val="clear" w:color="auto" w:fill="auto"/>
          </w:tcPr>
          <w:p w:rsidR="0025162F" w:rsidRPr="00AA7651" w:rsidRDefault="0025162F" w:rsidP="002A5CF1">
            <w:r>
              <w:t>Opioid Analgesics Patient Counseling Guide</w:t>
            </w:r>
          </w:p>
        </w:tc>
        <w:tc>
          <w:tcPr>
            <w:tcW w:w="1798" w:type="dxa"/>
          </w:tcPr>
          <w:p w:rsidR="0025162F" w:rsidRDefault="0025162F" w:rsidP="002A5CF1">
            <w:r w:rsidRPr="00B52865">
              <w:t>45 min/$50</w:t>
            </w:r>
          </w:p>
        </w:tc>
        <w:tc>
          <w:tcPr>
            <w:tcW w:w="2211" w:type="dxa"/>
            <w:shd w:val="clear" w:color="auto" w:fill="auto"/>
          </w:tcPr>
          <w:p w:rsidR="0025162F" w:rsidRDefault="0025162F" w:rsidP="002A5CF1">
            <w:r>
              <w:t>November 27, 2017</w:t>
            </w:r>
          </w:p>
        </w:tc>
      </w:tr>
      <w:tr w:rsidR="0025162F" w:rsidTr="002A5CF1">
        <w:tc>
          <w:tcPr>
            <w:tcW w:w="1030" w:type="dxa"/>
            <w:shd w:val="clear" w:color="auto" w:fill="auto"/>
          </w:tcPr>
          <w:p w:rsidR="0025162F" w:rsidRDefault="0025162F" w:rsidP="002A5CF1">
            <w:pPr>
              <w:jc w:val="center"/>
            </w:pPr>
            <w:r>
              <w:t>5</w:t>
            </w:r>
          </w:p>
        </w:tc>
        <w:tc>
          <w:tcPr>
            <w:tcW w:w="3483" w:type="dxa"/>
            <w:shd w:val="clear" w:color="auto" w:fill="auto"/>
          </w:tcPr>
          <w:p w:rsidR="0025162F" w:rsidRDefault="0025162F" w:rsidP="002A5CF1">
            <w:r>
              <w:t>Vaccines and Seniors Brochure</w:t>
            </w:r>
          </w:p>
        </w:tc>
        <w:tc>
          <w:tcPr>
            <w:tcW w:w="1798" w:type="dxa"/>
          </w:tcPr>
          <w:p w:rsidR="0025162F" w:rsidRDefault="0025162F" w:rsidP="002A5CF1">
            <w:r w:rsidRPr="00B52865">
              <w:t>30 min/$35</w:t>
            </w:r>
          </w:p>
        </w:tc>
        <w:tc>
          <w:tcPr>
            <w:tcW w:w="2211" w:type="dxa"/>
            <w:shd w:val="clear" w:color="auto" w:fill="auto"/>
          </w:tcPr>
          <w:p w:rsidR="0025162F" w:rsidRDefault="0025162F" w:rsidP="002A5CF1">
            <w:r>
              <w:t>May 10, 2018</w:t>
            </w:r>
          </w:p>
        </w:tc>
      </w:tr>
      <w:tr w:rsidR="0025162F" w:rsidTr="002A5CF1">
        <w:tc>
          <w:tcPr>
            <w:tcW w:w="1030" w:type="dxa"/>
            <w:shd w:val="clear" w:color="auto" w:fill="auto"/>
          </w:tcPr>
          <w:p w:rsidR="0025162F" w:rsidRDefault="0025162F" w:rsidP="002A5CF1">
            <w:pPr>
              <w:jc w:val="center"/>
            </w:pPr>
            <w:r>
              <w:t xml:space="preserve">6 </w:t>
            </w:r>
          </w:p>
        </w:tc>
        <w:tc>
          <w:tcPr>
            <w:tcW w:w="3483" w:type="dxa"/>
            <w:shd w:val="clear" w:color="auto" w:fill="auto"/>
          </w:tcPr>
          <w:p w:rsidR="0025162F" w:rsidRDefault="0025162F" w:rsidP="002A5CF1">
            <w:r>
              <w:t xml:space="preserve">Public Service Announcements about Safe Disposal of Opioids </w:t>
            </w:r>
          </w:p>
        </w:tc>
        <w:tc>
          <w:tcPr>
            <w:tcW w:w="1798" w:type="dxa"/>
          </w:tcPr>
          <w:p w:rsidR="0025162F" w:rsidRDefault="0025162F" w:rsidP="002A5CF1">
            <w:r w:rsidRPr="00B52865">
              <w:t>30 min/$35</w:t>
            </w:r>
          </w:p>
        </w:tc>
        <w:tc>
          <w:tcPr>
            <w:tcW w:w="2211" w:type="dxa"/>
            <w:shd w:val="clear" w:color="auto" w:fill="auto"/>
          </w:tcPr>
          <w:p w:rsidR="0025162F" w:rsidRDefault="0025162F" w:rsidP="002A5CF1">
            <w:r>
              <w:t>July 26, 2018</w:t>
            </w:r>
          </w:p>
        </w:tc>
      </w:tr>
      <w:tr w:rsidR="0025162F" w:rsidTr="002A5CF1">
        <w:tc>
          <w:tcPr>
            <w:tcW w:w="1030" w:type="dxa"/>
            <w:shd w:val="clear" w:color="auto" w:fill="auto"/>
          </w:tcPr>
          <w:p w:rsidR="0025162F" w:rsidRDefault="0025162F" w:rsidP="002A5CF1">
            <w:pPr>
              <w:jc w:val="center"/>
            </w:pPr>
            <w:r>
              <w:t>7</w:t>
            </w:r>
          </w:p>
        </w:tc>
        <w:tc>
          <w:tcPr>
            <w:tcW w:w="3483" w:type="dxa"/>
            <w:shd w:val="clear" w:color="auto" w:fill="auto"/>
          </w:tcPr>
          <w:p w:rsidR="0025162F" w:rsidRDefault="0025162F" w:rsidP="002A5CF1">
            <w:r>
              <w:t>Nicotine Dialogue Campaign Branding</w:t>
            </w:r>
          </w:p>
        </w:tc>
        <w:tc>
          <w:tcPr>
            <w:tcW w:w="1798" w:type="dxa"/>
          </w:tcPr>
          <w:p w:rsidR="0025162F" w:rsidRPr="00B52865" w:rsidRDefault="0025162F" w:rsidP="002A5CF1">
            <w:r>
              <w:t>30 min/$35</w:t>
            </w:r>
          </w:p>
        </w:tc>
        <w:tc>
          <w:tcPr>
            <w:tcW w:w="2211" w:type="dxa"/>
            <w:shd w:val="clear" w:color="auto" w:fill="auto"/>
          </w:tcPr>
          <w:p w:rsidR="0025162F" w:rsidRDefault="0025162F" w:rsidP="002A5CF1">
            <w:r>
              <w:t>August 23, 2018</w:t>
            </w:r>
          </w:p>
        </w:tc>
      </w:tr>
    </w:tbl>
    <w:p w:rsidR="0025162F" w:rsidRDefault="0025162F" w:rsidP="0025162F">
      <w:pPr>
        <w:ind w:left="720"/>
      </w:pPr>
    </w:p>
    <w:p w:rsidR="002D29F9" w:rsidRPr="00DD1CCA" w:rsidRDefault="002D29F9" w:rsidP="002D29F9">
      <w:pPr>
        <w:pStyle w:val="ListParagraph"/>
      </w:pPr>
    </w:p>
    <w:p w:rsidR="00DD1CCA" w:rsidRDefault="00DD1CCA" w:rsidP="00DD1CCA">
      <w:pPr>
        <w:numPr>
          <w:ilvl w:val="0"/>
          <w:numId w:val="15"/>
        </w:numPr>
        <w:tabs>
          <w:tab w:val="num" w:pos="720"/>
        </w:tabs>
        <w:ind w:left="720"/>
        <w:rPr>
          <w:b/>
        </w:rPr>
      </w:pPr>
      <w:r>
        <w:rPr>
          <w:b/>
        </w:rPr>
        <w:t>Questions of a Sensitive Nature</w:t>
      </w:r>
    </w:p>
    <w:p w:rsidR="00C01642" w:rsidRDefault="00C01642" w:rsidP="00E35DB8">
      <w:pPr>
        <w:pStyle w:val="ListParagraph"/>
      </w:pPr>
    </w:p>
    <w:p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 xml:space="preserve">with </w:t>
      </w:r>
      <w:r w:rsidR="00B157BC" w:rsidRPr="009343BC">
        <w:t>prescription</w:t>
      </w:r>
      <w:r w:rsidR="00E45582">
        <w:t xml:space="preserve"> medications</w:t>
      </w:r>
      <w:r>
        <w:t xml:space="preserve"> and their reactio</w:t>
      </w:r>
      <w:r w:rsidR="00E15AC0">
        <w:t>ns to the messages and material</w:t>
      </w:r>
      <w:r>
        <w:t xml:space="preserve">. </w:t>
      </w:r>
    </w:p>
    <w:p w:rsidR="00E35DB8" w:rsidRDefault="00E35DB8" w:rsidP="00E35DB8">
      <w:pPr>
        <w:pStyle w:val="ListParagraph"/>
      </w:pPr>
    </w:p>
    <w:p w:rsidR="00DD1CCA" w:rsidRDefault="00E35DB8" w:rsidP="00E35DB8">
      <w:pPr>
        <w:pStyle w:val="ListParagraph"/>
      </w:pPr>
      <w:r>
        <w:t>Nevertheless, respondents will be told that they may skip any question that they do not want to answer or may stop participating at any time.</w:t>
      </w:r>
    </w:p>
    <w:p w:rsidR="00DD1CCA" w:rsidRDefault="00DD1CCA" w:rsidP="00DD1CCA">
      <w:pPr>
        <w:pStyle w:val="ListParagraph"/>
      </w:pPr>
    </w:p>
    <w:p w:rsidR="00DD1CCA" w:rsidRDefault="00DD1CCA" w:rsidP="00DD1CCA">
      <w:pPr>
        <w:numPr>
          <w:ilvl w:val="0"/>
          <w:numId w:val="15"/>
        </w:numPr>
        <w:tabs>
          <w:tab w:val="num" w:pos="720"/>
        </w:tabs>
        <w:ind w:left="720"/>
        <w:rPr>
          <w:b/>
        </w:rPr>
      </w:pPr>
      <w:r>
        <w:rPr>
          <w:b/>
        </w:rPr>
        <w:t>Description of Statistical Methods</w:t>
      </w:r>
    </w:p>
    <w:p w:rsidR="00C01642" w:rsidRDefault="00C01642" w:rsidP="00901173">
      <w:pPr>
        <w:pStyle w:val="ListParagraph"/>
      </w:pPr>
    </w:p>
    <w:p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rsidR="00901173" w:rsidRDefault="00901173" w:rsidP="00901173">
      <w:pPr>
        <w:pStyle w:val="ListParagraph"/>
      </w:pPr>
    </w:p>
    <w:p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rsidR="00DD1CCA" w:rsidRDefault="00DD1CCA" w:rsidP="00DD1CCA">
      <w:pPr>
        <w:pStyle w:val="ListParagraph"/>
      </w:pPr>
    </w:p>
    <w:p w:rsidR="00901173" w:rsidRDefault="00901173" w:rsidP="005157BB"/>
    <w:p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Tr="001A360A">
        <w:trPr>
          <w:trHeight w:val="274"/>
          <w:jc w:val="center"/>
        </w:trPr>
        <w:tc>
          <w:tcPr>
            <w:tcW w:w="1996" w:type="dxa"/>
            <w:shd w:val="clear" w:color="auto" w:fill="E0E0E0"/>
          </w:tcPr>
          <w:p w:rsidR="003F1C7A" w:rsidRDefault="00696B03">
            <w:pPr>
              <w:jc w:val="center"/>
              <w:rPr>
                <w:b/>
              </w:rPr>
            </w:pPr>
            <w:r>
              <w:rPr>
                <w:b/>
              </w:rPr>
              <w:t>Type/</w:t>
            </w:r>
            <w:r w:rsidR="003F1C7A">
              <w:rPr>
                <w:b/>
              </w:rPr>
              <w:t>Category of Respondent</w:t>
            </w:r>
          </w:p>
        </w:tc>
        <w:tc>
          <w:tcPr>
            <w:tcW w:w="3000" w:type="dxa"/>
            <w:shd w:val="clear" w:color="auto" w:fill="E0E0E0"/>
          </w:tcPr>
          <w:p w:rsidR="003F1C7A" w:rsidRDefault="003F1C7A" w:rsidP="00696B03">
            <w:pPr>
              <w:jc w:val="center"/>
              <w:rPr>
                <w:b/>
              </w:rPr>
            </w:pPr>
            <w:r>
              <w:rPr>
                <w:b/>
              </w:rPr>
              <w:t>No. of Respondent</w:t>
            </w:r>
            <w:r w:rsidR="00696B03">
              <w:rPr>
                <w:b/>
              </w:rPr>
              <w:t>s</w:t>
            </w:r>
          </w:p>
        </w:tc>
        <w:tc>
          <w:tcPr>
            <w:tcW w:w="1619" w:type="dxa"/>
            <w:shd w:val="clear" w:color="auto" w:fill="E0E0E0"/>
          </w:tcPr>
          <w:p w:rsidR="003F1C7A" w:rsidRDefault="003F1C7A">
            <w:pPr>
              <w:jc w:val="center"/>
              <w:rPr>
                <w:b/>
              </w:rPr>
            </w:pPr>
            <w:r>
              <w:rPr>
                <w:b/>
              </w:rPr>
              <w:t>Participation Time</w:t>
            </w:r>
            <w:r w:rsidR="00696B03">
              <w:rPr>
                <w:b/>
              </w:rPr>
              <w:t xml:space="preserve"> (minutes)</w:t>
            </w:r>
          </w:p>
        </w:tc>
        <w:tc>
          <w:tcPr>
            <w:tcW w:w="1877" w:type="dxa"/>
            <w:shd w:val="clear" w:color="auto" w:fill="E0E0E0"/>
          </w:tcPr>
          <w:p w:rsidR="003F1C7A" w:rsidRDefault="003F1C7A">
            <w:pPr>
              <w:jc w:val="center"/>
              <w:rPr>
                <w:b/>
              </w:rPr>
            </w:pPr>
            <w:r>
              <w:rPr>
                <w:b/>
              </w:rPr>
              <w:t>Burden</w:t>
            </w:r>
          </w:p>
          <w:p w:rsidR="00696B03" w:rsidRDefault="00696B03">
            <w:pPr>
              <w:jc w:val="center"/>
              <w:rPr>
                <w:b/>
              </w:rPr>
            </w:pPr>
            <w:r>
              <w:rPr>
                <w:b/>
              </w:rPr>
              <w:t>(hours)</w:t>
            </w:r>
          </w:p>
        </w:tc>
      </w:tr>
      <w:tr w:rsidR="00B14D7F" w:rsidTr="001A360A">
        <w:trPr>
          <w:trHeight w:val="274"/>
          <w:jc w:val="center"/>
        </w:trPr>
        <w:tc>
          <w:tcPr>
            <w:tcW w:w="1996" w:type="dxa"/>
          </w:tcPr>
          <w:p w:rsidR="00B14D7F" w:rsidRDefault="00B14D7F">
            <w:pPr>
              <w:jc w:val="center"/>
            </w:pPr>
            <w:r>
              <w:t>Screener</w:t>
            </w:r>
          </w:p>
        </w:tc>
        <w:tc>
          <w:tcPr>
            <w:tcW w:w="3000" w:type="dxa"/>
            <w:vAlign w:val="center"/>
          </w:tcPr>
          <w:p w:rsidR="00B14D7F" w:rsidRDefault="00B14D7F" w:rsidP="005E78C3">
            <w:pPr>
              <w:jc w:val="center"/>
            </w:pPr>
            <w:r>
              <w:t>250</w:t>
            </w:r>
          </w:p>
        </w:tc>
        <w:tc>
          <w:tcPr>
            <w:tcW w:w="1619" w:type="dxa"/>
            <w:vAlign w:val="center"/>
          </w:tcPr>
          <w:p w:rsidR="00B14D7F" w:rsidRDefault="00B14D7F" w:rsidP="005E78C3">
            <w:pPr>
              <w:jc w:val="center"/>
            </w:pPr>
            <w:r>
              <w:t>3</w:t>
            </w:r>
          </w:p>
        </w:tc>
        <w:tc>
          <w:tcPr>
            <w:tcW w:w="1877" w:type="dxa"/>
            <w:vAlign w:val="center"/>
          </w:tcPr>
          <w:p w:rsidR="00B14D7F" w:rsidRDefault="00E45582" w:rsidP="005E78C3">
            <w:pPr>
              <w:jc w:val="center"/>
            </w:pPr>
            <w:r>
              <w:t>13</w:t>
            </w:r>
          </w:p>
        </w:tc>
      </w:tr>
      <w:tr w:rsidR="003F1C7A" w:rsidTr="001A360A">
        <w:trPr>
          <w:trHeight w:val="274"/>
          <w:jc w:val="center"/>
        </w:trPr>
        <w:tc>
          <w:tcPr>
            <w:tcW w:w="1996" w:type="dxa"/>
          </w:tcPr>
          <w:p w:rsidR="003F1C7A" w:rsidRDefault="00B14D7F">
            <w:pPr>
              <w:jc w:val="center"/>
            </w:pPr>
            <w:r>
              <w:t>Interviews</w:t>
            </w:r>
          </w:p>
        </w:tc>
        <w:tc>
          <w:tcPr>
            <w:tcW w:w="3000" w:type="dxa"/>
            <w:vAlign w:val="center"/>
          </w:tcPr>
          <w:p w:rsidR="003F1C7A" w:rsidRDefault="009A576B" w:rsidP="005E78C3">
            <w:pPr>
              <w:jc w:val="center"/>
            </w:pPr>
            <w:r>
              <w:t>15</w:t>
            </w:r>
          </w:p>
        </w:tc>
        <w:tc>
          <w:tcPr>
            <w:tcW w:w="1619" w:type="dxa"/>
            <w:vAlign w:val="center"/>
          </w:tcPr>
          <w:p w:rsidR="003F1C7A" w:rsidRDefault="009A576B" w:rsidP="005E78C3">
            <w:pPr>
              <w:jc w:val="center"/>
            </w:pPr>
            <w:r>
              <w:t>45</w:t>
            </w:r>
          </w:p>
        </w:tc>
        <w:tc>
          <w:tcPr>
            <w:tcW w:w="1877" w:type="dxa"/>
            <w:vAlign w:val="center"/>
          </w:tcPr>
          <w:p w:rsidR="003F1C7A" w:rsidRDefault="009A576B" w:rsidP="005E78C3">
            <w:pPr>
              <w:jc w:val="center"/>
            </w:pPr>
            <w:r>
              <w:t>11</w:t>
            </w:r>
          </w:p>
        </w:tc>
      </w:tr>
      <w:tr w:rsidR="00B14D7F" w:rsidRPr="00B14D7F" w:rsidTr="001A360A">
        <w:trPr>
          <w:trHeight w:val="274"/>
          <w:jc w:val="center"/>
        </w:trPr>
        <w:tc>
          <w:tcPr>
            <w:tcW w:w="4996" w:type="dxa"/>
            <w:gridSpan w:val="2"/>
          </w:tcPr>
          <w:p w:rsidR="00B14D7F" w:rsidRDefault="00B14D7F" w:rsidP="005E78C3">
            <w:pPr>
              <w:jc w:val="center"/>
            </w:pPr>
          </w:p>
        </w:tc>
        <w:tc>
          <w:tcPr>
            <w:tcW w:w="1619" w:type="dxa"/>
            <w:vAlign w:val="center"/>
          </w:tcPr>
          <w:p w:rsidR="00B14D7F" w:rsidRPr="00B14D7F" w:rsidRDefault="00B14D7F" w:rsidP="005E78C3">
            <w:pPr>
              <w:jc w:val="center"/>
              <w:rPr>
                <w:b/>
              </w:rPr>
            </w:pPr>
            <w:r w:rsidRPr="00B14D7F">
              <w:rPr>
                <w:b/>
              </w:rPr>
              <w:t>Total</w:t>
            </w:r>
          </w:p>
        </w:tc>
        <w:tc>
          <w:tcPr>
            <w:tcW w:w="1877" w:type="dxa"/>
            <w:vAlign w:val="center"/>
          </w:tcPr>
          <w:p w:rsidR="00B14D7F" w:rsidRPr="00B14D7F" w:rsidRDefault="009A576B" w:rsidP="005E78C3">
            <w:pPr>
              <w:jc w:val="center"/>
              <w:rPr>
                <w:b/>
              </w:rPr>
            </w:pPr>
            <w:r>
              <w:rPr>
                <w:b/>
              </w:rPr>
              <w:t>24</w:t>
            </w:r>
          </w:p>
        </w:tc>
      </w:tr>
    </w:tbl>
    <w:p w:rsidR="003F1C7A" w:rsidRDefault="003F1C7A"/>
    <w:p w:rsidR="00E215FA" w:rsidRDefault="003F1C7A">
      <w:pPr>
        <w:rPr>
          <w:b/>
        </w:rPr>
      </w:pPr>
      <w:r>
        <w:rPr>
          <w:b/>
        </w:rPr>
        <w:t>REQUESTED APPROVAL DATE:</w:t>
      </w:r>
      <w:r w:rsidR="00E34B66">
        <w:rPr>
          <w:b/>
        </w:rPr>
        <w:t xml:space="preserve"> </w:t>
      </w:r>
      <w:r w:rsidR="00363B3A">
        <w:rPr>
          <w:b/>
        </w:rPr>
        <w:t>October</w:t>
      </w:r>
      <w:r w:rsidR="004B6A46">
        <w:rPr>
          <w:b/>
        </w:rPr>
        <w:t>, 2018</w:t>
      </w:r>
    </w:p>
    <w:p w:rsidR="003B7ADD" w:rsidRDefault="003B7ADD">
      <w:pPr>
        <w:rPr>
          <w:b/>
        </w:rPr>
      </w:pPr>
    </w:p>
    <w:p w:rsidR="00B378CA" w:rsidRDefault="00B378CA" w:rsidP="003B7ADD">
      <w:pPr>
        <w:rPr>
          <w:b/>
        </w:rPr>
      </w:pPr>
      <w:r>
        <w:rPr>
          <w:b/>
        </w:rPr>
        <w:t>NAME OF P</w:t>
      </w:r>
      <w:r w:rsidR="00F02D9D">
        <w:rPr>
          <w:b/>
        </w:rPr>
        <w:t>RA ANALYST &amp; PROGRAM CONTACT:</w:t>
      </w:r>
    </w:p>
    <w:p w:rsidR="00F02D9D" w:rsidRDefault="00F02D9D" w:rsidP="003B7ADD">
      <w:pPr>
        <w:rPr>
          <w:b/>
        </w:rPr>
      </w:pPr>
    </w:p>
    <w:p w:rsidR="00F02D9D" w:rsidRDefault="00F224C1" w:rsidP="00F02D9D">
      <w:r>
        <w:t>Ila S. Mizrachi</w:t>
      </w:r>
    </w:p>
    <w:p w:rsidR="00F02D9D" w:rsidRDefault="00F02D9D" w:rsidP="00F02D9D">
      <w:r>
        <w:t>Paperwork Reduction Act Staff</w:t>
      </w:r>
    </w:p>
    <w:p w:rsidR="00F224C1" w:rsidRDefault="00FC3884" w:rsidP="00F02D9D">
      <w:hyperlink r:id="rId14" w:history="1">
        <w:r w:rsidR="00F224C1" w:rsidRPr="00F224C1">
          <w:rPr>
            <w:rStyle w:val="Hyperlink"/>
          </w:rPr>
          <w:t>Ila.Mizrachi@fda.hhs.gov</w:t>
        </w:r>
      </w:hyperlink>
    </w:p>
    <w:p w:rsidR="00F02D9D" w:rsidRPr="00000CD7" w:rsidRDefault="00F02D9D" w:rsidP="00F02D9D">
      <w:r>
        <w:t>(301)796-</w:t>
      </w:r>
      <w:r w:rsidR="00F224C1">
        <w:t>7726</w:t>
      </w:r>
    </w:p>
    <w:p w:rsidR="00F02D9D" w:rsidRDefault="00F02D9D" w:rsidP="00F02D9D"/>
    <w:p w:rsidR="00F02D9D" w:rsidRDefault="00F02D9D" w:rsidP="00F02D9D">
      <w:r w:rsidRPr="00BB0FB0">
        <w:t>Brian</w:t>
      </w:r>
      <w:r>
        <w:t xml:space="preserve"> Lappin</w:t>
      </w:r>
    </w:p>
    <w:p w:rsidR="00F02D9D" w:rsidRDefault="00F02D9D" w:rsidP="00F02D9D">
      <w:r>
        <w:t>Office of Planning</w:t>
      </w:r>
    </w:p>
    <w:p w:rsidR="00F02D9D" w:rsidRDefault="00FC3884" w:rsidP="00F02D9D">
      <w:hyperlink r:id="rId15" w:history="1">
        <w:r w:rsidR="00F02D9D" w:rsidRPr="008179C3">
          <w:rPr>
            <w:rStyle w:val="Hyperlink"/>
          </w:rPr>
          <w:t>Brian.Lappin@fda.hhs.gov</w:t>
        </w:r>
      </w:hyperlink>
    </w:p>
    <w:p w:rsidR="00F02D9D" w:rsidRPr="00BB0FB0" w:rsidRDefault="00F02D9D" w:rsidP="00F02D9D">
      <w:r>
        <w:t>(301)796-9126</w:t>
      </w:r>
    </w:p>
    <w:p w:rsidR="00F02D9D" w:rsidRDefault="00F02D9D" w:rsidP="003B7ADD"/>
    <w:p w:rsidR="00F02D9D" w:rsidRPr="003B7ADD" w:rsidRDefault="00F02D9D" w:rsidP="003B7ADD">
      <w:pPr>
        <w:rPr>
          <w:bCs/>
        </w:rPr>
      </w:pPr>
    </w:p>
    <w:p w:rsidR="003F1C7A" w:rsidRDefault="00B378CA" w:rsidP="00B378CA">
      <w:pPr>
        <w:tabs>
          <w:tab w:val="left" w:pos="5670"/>
        </w:tabs>
        <w:suppressAutoHyphens/>
      </w:pPr>
      <w:r>
        <w:rPr>
          <w:b/>
        </w:rPr>
        <w:t xml:space="preserve">FDA CENTER:  </w:t>
      </w:r>
      <w:r w:rsidR="00B6656F">
        <w:t>Office of the Commission (FDA/OC)</w:t>
      </w:r>
    </w:p>
    <w:p w:rsidR="00B6656F" w:rsidRDefault="00B6656F" w:rsidP="00B378CA">
      <w:pPr>
        <w:tabs>
          <w:tab w:val="left" w:pos="5670"/>
        </w:tabs>
        <w:suppressAutoHyphens/>
      </w:pPr>
    </w:p>
    <w:p w:rsidR="00B6656F" w:rsidRDefault="00B6656F" w:rsidP="00B378CA">
      <w:pPr>
        <w:tabs>
          <w:tab w:val="left" w:pos="5670"/>
        </w:tabs>
        <w:suppressAutoHyphens/>
      </w:pPr>
    </w:p>
    <w:p w:rsidR="00B6656F" w:rsidRDefault="00B6656F" w:rsidP="00B378CA">
      <w:pPr>
        <w:tabs>
          <w:tab w:val="left" w:pos="5670"/>
        </w:tabs>
        <w:suppressAutoHyphens/>
      </w:pPr>
    </w:p>
    <w:p w:rsidR="00B6656F" w:rsidRPr="00B6656F" w:rsidRDefault="00B6656F" w:rsidP="00B378CA">
      <w:pPr>
        <w:tabs>
          <w:tab w:val="left" w:pos="5670"/>
        </w:tabs>
        <w:suppressAutoHyphens/>
        <w:rPr>
          <w:b/>
        </w:rPr>
      </w:pPr>
      <w:r>
        <w:rPr>
          <w:b/>
        </w:rPr>
        <w:t>References:</w:t>
      </w:r>
    </w:p>
    <w:p w:rsidR="00B6656F" w:rsidRDefault="00B6656F" w:rsidP="00B378CA">
      <w:pPr>
        <w:tabs>
          <w:tab w:val="left" w:pos="5670"/>
        </w:tabs>
        <w:suppressAutoHyphens/>
      </w:pPr>
    </w:p>
    <w:sdt>
      <w:sdtPr>
        <w:id w:val="111145805"/>
        <w:bibliography/>
      </w:sdtPr>
      <w:sdtEndPr/>
      <w:sdtContent>
        <w:p w:rsidR="00B6656F" w:rsidRDefault="00B6656F" w:rsidP="00B6656F">
          <w:pPr>
            <w:pStyle w:val="Bibliography"/>
            <w:ind w:left="720" w:hanging="720"/>
            <w:rPr>
              <w:noProof/>
            </w:rPr>
          </w:pPr>
          <w:r>
            <w:fldChar w:fldCharType="begin"/>
          </w:r>
          <w:r>
            <w:instrText xml:space="preserve"> BIBLIOGRAPHY </w:instrText>
          </w:r>
          <w:r>
            <w:fldChar w:fldCharType="separate"/>
          </w:r>
          <w:r>
            <w:rPr>
              <w:noProof/>
            </w:rPr>
            <w:t xml:space="preserve">Spencer, L., Ritchie, J., &amp; O'Connor, W. (2003). Analysis practices, principles and processes. In </w:t>
          </w:r>
          <w:r>
            <w:rPr>
              <w:i/>
              <w:iCs/>
              <w:noProof/>
            </w:rPr>
            <w:t>Qualitative research practice.</w:t>
          </w:r>
          <w:r>
            <w:rPr>
              <w:noProof/>
            </w:rPr>
            <w:t xml:space="preserve"> London: Sage Publications.</w:t>
          </w:r>
        </w:p>
        <w:p w:rsidR="00B6656F" w:rsidRDefault="00B6656F" w:rsidP="00B6656F">
          <w:pPr>
            <w:ind w:left="720" w:hanging="720"/>
          </w:pPr>
          <w:r>
            <w:rPr>
              <w:b/>
              <w:bCs/>
              <w:noProof/>
            </w:rPr>
            <w:fldChar w:fldCharType="end"/>
          </w:r>
          <w:r w:rsidRPr="00E45582">
            <w:t xml:space="preserve"> </w:t>
          </w:r>
        </w:p>
        <w:p w:rsidR="00B6656F" w:rsidRDefault="00B6656F" w:rsidP="00B6656F">
          <w:pPr>
            <w:ind w:left="720" w:hanging="720"/>
          </w:pPr>
          <w:r w:rsidRPr="00E24EA5">
            <w:t xml:space="preserve">Guest, G., Bunce, A., &amp; Johnson, L. (2006). How many interviews are enough? An experiment with data saturation </w:t>
          </w:r>
          <w:r>
            <w:t>a</w:t>
          </w:r>
          <w:r w:rsidRPr="00E24EA5">
            <w:t>nd variability. Field methods, 18(1), 59-82.</w:t>
          </w:r>
        </w:p>
      </w:sdtContent>
    </w:sdt>
    <w:p w:rsidR="00B6656F" w:rsidRDefault="00B6656F" w:rsidP="00B6656F">
      <w:pPr>
        <w:ind w:left="720" w:hanging="720"/>
      </w:pPr>
    </w:p>
    <w:p w:rsidR="00B6656F" w:rsidRPr="00E215FA" w:rsidRDefault="00B6656F" w:rsidP="00B378CA">
      <w:pPr>
        <w:tabs>
          <w:tab w:val="left" w:pos="5670"/>
        </w:tabs>
        <w:suppressAutoHyphens/>
      </w:pPr>
    </w:p>
    <w:sectPr w:rsidR="00B6656F"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C1B" w:rsidRDefault="001D0C1B">
      <w:r>
        <w:separator/>
      </w:r>
    </w:p>
  </w:endnote>
  <w:endnote w:type="continuationSeparator" w:id="0">
    <w:p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388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C1B" w:rsidRDefault="001D0C1B">
      <w:r>
        <w:separator/>
      </w:r>
    </w:p>
  </w:footnote>
  <w:footnote w:type="continuationSeparator" w:id="0">
    <w:p w:rsidR="001D0C1B" w:rsidRDefault="001D0C1B">
      <w:r>
        <w:continuationSeparator/>
      </w:r>
    </w:p>
  </w:footnote>
  <w:footnote w:id="1">
    <w:p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B10BC3"/>
    <w:multiLevelType w:val="hybridMultilevel"/>
    <w:tmpl w:val="D13A1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4"/>
  </w:num>
  <w:num w:numId="6">
    <w:abstractNumId w:val="2"/>
  </w:num>
  <w:num w:numId="7">
    <w:abstractNumId w:val="11"/>
  </w:num>
  <w:num w:numId="8">
    <w:abstractNumId w:val="16"/>
  </w:num>
  <w:num w:numId="9">
    <w:abstractNumId w:val="13"/>
  </w:num>
  <w:num w:numId="10">
    <w:abstractNumId w:val="3"/>
  </w:num>
  <w:num w:numId="11">
    <w:abstractNumId w:val="5"/>
  </w:num>
  <w:num w:numId="12">
    <w:abstractNumId w:val="7"/>
  </w:num>
  <w:num w:numId="13">
    <w:abstractNumId w:val="1"/>
  </w:num>
  <w:num w:numId="14">
    <w:abstractNumId w:val="10"/>
  </w:num>
  <w:num w:numId="15">
    <w:abstractNumId w:val="17"/>
  </w:num>
  <w:num w:numId="16">
    <w:abstractNumId w:val="15"/>
  </w:num>
  <w:num w:numId="17">
    <w:abstractNumId w:val="0"/>
  </w:num>
  <w:num w:numId="18">
    <w:abstractNumId w:val="9"/>
  </w:num>
  <w:num w:numId="19">
    <w:abstractNumId w:val="6"/>
  </w:num>
  <w:num w:numId="20">
    <w:abstractNumId w:val="18"/>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06B4"/>
    <w:rsid w:val="00035B5C"/>
    <w:rsid w:val="000378E7"/>
    <w:rsid w:val="00057854"/>
    <w:rsid w:val="000A525C"/>
    <w:rsid w:val="000A754E"/>
    <w:rsid w:val="000B0519"/>
    <w:rsid w:val="000C386B"/>
    <w:rsid w:val="000E1190"/>
    <w:rsid w:val="000E17F0"/>
    <w:rsid w:val="000E45D0"/>
    <w:rsid w:val="000E7C99"/>
    <w:rsid w:val="000F1CDA"/>
    <w:rsid w:val="00105115"/>
    <w:rsid w:val="00122327"/>
    <w:rsid w:val="00124FB5"/>
    <w:rsid w:val="00126D06"/>
    <w:rsid w:val="00132EF8"/>
    <w:rsid w:val="00140343"/>
    <w:rsid w:val="00145077"/>
    <w:rsid w:val="00172A6E"/>
    <w:rsid w:val="00190AA2"/>
    <w:rsid w:val="0019434D"/>
    <w:rsid w:val="001A360A"/>
    <w:rsid w:val="001A68F4"/>
    <w:rsid w:val="001C0117"/>
    <w:rsid w:val="001C211E"/>
    <w:rsid w:val="001C4E82"/>
    <w:rsid w:val="001D0C1B"/>
    <w:rsid w:val="001D19B4"/>
    <w:rsid w:val="001F09C0"/>
    <w:rsid w:val="001F42B2"/>
    <w:rsid w:val="002178E7"/>
    <w:rsid w:val="002272BD"/>
    <w:rsid w:val="0024319D"/>
    <w:rsid w:val="0025162F"/>
    <w:rsid w:val="00252C46"/>
    <w:rsid w:val="00255B16"/>
    <w:rsid w:val="002708DF"/>
    <w:rsid w:val="00270C91"/>
    <w:rsid w:val="00274707"/>
    <w:rsid w:val="00285589"/>
    <w:rsid w:val="002A4AC4"/>
    <w:rsid w:val="002A7149"/>
    <w:rsid w:val="002B028A"/>
    <w:rsid w:val="002D29F9"/>
    <w:rsid w:val="002E6576"/>
    <w:rsid w:val="002F5329"/>
    <w:rsid w:val="002F7333"/>
    <w:rsid w:val="003073BF"/>
    <w:rsid w:val="00313238"/>
    <w:rsid w:val="003156C8"/>
    <w:rsid w:val="0033080B"/>
    <w:rsid w:val="00356BB7"/>
    <w:rsid w:val="00361826"/>
    <w:rsid w:val="00363B3A"/>
    <w:rsid w:val="00364051"/>
    <w:rsid w:val="00380D78"/>
    <w:rsid w:val="003B7ADD"/>
    <w:rsid w:val="003B7D3F"/>
    <w:rsid w:val="003D0EC1"/>
    <w:rsid w:val="003D41D6"/>
    <w:rsid w:val="003F1C7A"/>
    <w:rsid w:val="00400774"/>
    <w:rsid w:val="00411149"/>
    <w:rsid w:val="00411736"/>
    <w:rsid w:val="00426B9E"/>
    <w:rsid w:val="00435EA1"/>
    <w:rsid w:val="004372D6"/>
    <w:rsid w:val="00440367"/>
    <w:rsid w:val="0045005C"/>
    <w:rsid w:val="00463E4D"/>
    <w:rsid w:val="0049419A"/>
    <w:rsid w:val="004945E3"/>
    <w:rsid w:val="004B33A5"/>
    <w:rsid w:val="004B694D"/>
    <w:rsid w:val="004B6A46"/>
    <w:rsid w:val="004C024F"/>
    <w:rsid w:val="004C5165"/>
    <w:rsid w:val="004D2A34"/>
    <w:rsid w:val="004F42E3"/>
    <w:rsid w:val="004F4CB0"/>
    <w:rsid w:val="004F7DFF"/>
    <w:rsid w:val="005157BB"/>
    <w:rsid w:val="0052010F"/>
    <w:rsid w:val="00532A10"/>
    <w:rsid w:val="00536FDA"/>
    <w:rsid w:val="005418B5"/>
    <w:rsid w:val="00543B41"/>
    <w:rsid w:val="0055353F"/>
    <w:rsid w:val="0056086A"/>
    <w:rsid w:val="00563D98"/>
    <w:rsid w:val="00566CEA"/>
    <w:rsid w:val="005829DE"/>
    <w:rsid w:val="00582E39"/>
    <w:rsid w:val="0059090E"/>
    <w:rsid w:val="00596BD4"/>
    <w:rsid w:val="005A18A4"/>
    <w:rsid w:val="005A43DD"/>
    <w:rsid w:val="005A4793"/>
    <w:rsid w:val="005E23BA"/>
    <w:rsid w:val="005E4981"/>
    <w:rsid w:val="005E6A3A"/>
    <w:rsid w:val="005E78C3"/>
    <w:rsid w:val="006073F7"/>
    <w:rsid w:val="00630189"/>
    <w:rsid w:val="006345C3"/>
    <w:rsid w:val="00653B3C"/>
    <w:rsid w:val="00655487"/>
    <w:rsid w:val="0066188A"/>
    <w:rsid w:val="006639A5"/>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463A"/>
    <w:rsid w:val="00744F5B"/>
    <w:rsid w:val="0074607F"/>
    <w:rsid w:val="00752105"/>
    <w:rsid w:val="00760A54"/>
    <w:rsid w:val="00787CDD"/>
    <w:rsid w:val="00792EBB"/>
    <w:rsid w:val="007A4331"/>
    <w:rsid w:val="007A7105"/>
    <w:rsid w:val="007B045B"/>
    <w:rsid w:val="00806EC0"/>
    <w:rsid w:val="00826D83"/>
    <w:rsid w:val="00830839"/>
    <w:rsid w:val="00834BFF"/>
    <w:rsid w:val="008355E1"/>
    <w:rsid w:val="00862BC5"/>
    <w:rsid w:val="00866645"/>
    <w:rsid w:val="008800D2"/>
    <w:rsid w:val="00882AE4"/>
    <w:rsid w:val="0088561C"/>
    <w:rsid w:val="008863D0"/>
    <w:rsid w:val="008953DA"/>
    <w:rsid w:val="008B647B"/>
    <w:rsid w:val="008E3143"/>
    <w:rsid w:val="008E4D9F"/>
    <w:rsid w:val="008E6145"/>
    <w:rsid w:val="008F6E91"/>
    <w:rsid w:val="00901173"/>
    <w:rsid w:val="00915E13"/>
    <w:rsid w:val="009164A9"/>
    <w:rsid w:val="00933214"/>
    <w:rsid w:val="009343BC"/>
    <w:rsid w:val="009658C3"/>
    <w:rsid w:val="0096759F"/>
    <w:rsid w:val="009A576B"/>
    <w:rsid w:val="009B0C30"/>
    <w:rsid w:val="009B1142"/>
    <w:rsid w:val="009B5985"/>
    <w:rsid w:val="009D2956"/>
    <w:rsid w:val="009D4EB5"/>
    <w:rsid w:val="009E767B"/>
    <w:rsid w:val="009F3561"/>
    <w:rsid w:val="00A26BA5"/>
    <w:rsid w:val="00A44BF9"/>
    <w:rsid w:val="00A55DD8"/>
    <w:rsid w:val="00A56D87"/>
    <w:rsid w:val="00A63790"/>
    <w:rsid w:val="00A70F43"/>
    <w:rsid w:val="00A8298A"/>
    <w:rsid w:val="00A82C4B"/>
    <w:rsid w:val="00A82DCC"/>
    <w:rsid w:val="00A8669C"/>
    <w:rsid w:val="00A87FCB"/>
    <w:rsid w:val="00A9477A"/>
    <w:rsid w:val="00AA0314"/>
    <w:rsid w:val="00AA7651"/>
    <w:rsid w:val="00AC4CEB"/>
    <w:rsid w:val="00B01F00"/>
    <w:rsid w:val="00B14D7F"/>
    <w:rsid w:val="00B157BC"/>
    <w:rsid w:val="00B15C3D"/>
    <w:rsid w:val="00B17F2E"/>
    <w:rsid w:val="00B378CA"/>
    <w:rsid w:val="00B41016"/>
    <w:rsid w:val="00B478BE"/>
    <w:rsid w:val="00B6656F"/>
    <w:rsid w:val="00B773C3"/>
    <w:rsid w:val="00B7775E"/>
    <w:rsid w:val="00B87629"/>
    <w:rsid w:val="00B96591"/>
    <w:rsid w:val="00BA32CF"/>
    <w:rsid w:val="00BA57F7"/>
    <w:rsid w:val="00BB1CF3"/>
    <w:rsid w:val="00BB4BA0"/>
    <w:rsid w:val="00BB5770"/>
    <w:rsid w:val="00BB5F6B"/>
    <w:rsid w:val="00BC3385"/>
    <w:rsid w:val="00BD7381"/>
    <w:rsid w:val="00C01642"/>
    <w:rsid w:val="00C17CA3"/>
    <w:rsid w:val="00C236DF"/>
    <w:rsid w:val="00C40EFB"/>
    <w:rsid w:val="00C44FF5"/>
    <w:rsid w:val="00C700FA"/>
    <w:rsid w:val="00CD5367"/>
    <w:rsid w:val="00CD605F"/>
    <w:rsid w:val="00CE57C2"/>
    <w:rsid w:val="00CF10F4"/>
    <w:rsid w:val="00D01636"/>
    <w:rsid w:val="00D07F48"/>
    <w:rsid w:val="00D13F72"/>
    <w:rsid w:val="00D14B2F"/>
    <w:rsid w:val="00D15E9D"/>
    <w:rsid w:val="00D340AB"/>
    <w:rsid w:val="00D47C15"/>
    <w:rsid w:val="00D51ED0"/>
    <w:rsid w:val="00D542D4"/>
    <w:rsid w:val="00D70045"/>
    <w:rsid w:val="00D82AFF"/>
    <w:rsid w:val="00DB584A"/>
    <w:rsid w:val="00DC0162"/>
    <w:rsid w:val="00DC76EE"/>
    <w:rsid w:val="00DD1CCA"/>
    <w:rsid w:val="00DD6106"/>
    <w:rsid w:val="00DE6F4D"/>
    <w:rsid w:val="00E12D33"/>
    <w:rsid w:val="00E15541"/>
    <w:rsid w:val="00E15AC0"/>
    <w:rsid w:val="00E215FA"/>
    <w:rsid w:val="00E2517D"/>
    <w:rsid w:val="00E26798"/>
    <w:rsid w:val="00E34B66"/>
    <w:rsid w:val="00E35DB8"/>
    <w:rsid w:val="00E36619"/>
    <w:rsid w:val="00E45582"/>
    <w:rsid w:val="00E45BA0"/>
    <w:rsid w:val="00E61DBA"/>
    <w:rsid w:val="00E629FF"/>
    <w:rsid w:val="00E670C1"/>
    <w:rsid w:val="00E91EE5"/>
    <w:rsid w:val="00EA0586"/>
    <w:rsid w:val="00EA2E4C"/>
    <w:rsid w:val="00EB7105"/>
    <w:rsid w:val="00EC5A23"/>
    <w:rsid w:val="00ED71FE"/>
    <w:rsid w:val="00EE2769"/>
    <w:rsid w:val="00EE7334"/>
    <w:rsid w:val="00EF3DC3"/>
    <w:rsid w:val="00F02D9D"/>
    <w:rsid w:val="00F04178"/>
    <w:rsid w:val="00F12AEE"/>
    <w:rsid w:val="00F224C1"/>
    <w:rsid w:val="00F27B1E"/>
    <w:rsid w:val="00F31A24"/>
    <w:rsid w:val="00F3704A"/>
    <w:rsid w:val="00F500EA"/>
    <w:rsid w:val="00F54DF2"/>
    <w:rsid w:val="00F60D76"/>
    <w:rsid w:val="00F94F8C"/>
    <w:rsid w:val="00FC3884"/>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
    <w:name w:val="Unresolved Mention"/>
    <w:basedOn w:val="DefaultParagraphFont"/>
    <w:uiPriority w:val="99"/>
    <w:semiHidden/>
    <w:unhideWhenUsed/>
    <w:rsid w:val="0025162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
    <w:name w:val="Unresolved Mention"/>
    <w:basedOn w:val="DefaultParagraphFont"/>
    <w:uiPriority w:val="99"/>
    <w:semiHidden/>
    <w:unhideWhenUsed/>
    <w:rsid w:val="00251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KZR5K4CDZDS7-10485631-595</_dlc_DocId>
    <_dlc_DocIdUrl xmlns="c593544c-8bc9-488a-9957-4d59a7b3d015">
      <Url>http://sharepoint.fda.gov/orgs/OPL-Admin-Mgmt/RiskCommunicationsStaff/MessageTesting/_layouts/DocIdRedir.aspx?ID=KZR5K4CDZDS7-10485631-595</Url>
      <Description>KZR5K4CDZDS7-10485631-595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39E10B12-D688-4D42-8CD8-6BADE7DD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3.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4.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5.xml><?xml version="1.0" encoding="utf-8"?>
<ds:datastoreItem xmlns:ds="http://schemas.openxmlformats.org/officeDocument/2006/customXml" ds:itemID="{BC6733F2-F1B1-4A5C-8A3E-412A12D910A2}">
  <ds:schemaRef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593544c-8bc9-488a-9957-4d59a7b3d015"/>
    <ds:schemaRef ds:uri="http://schemas.microsoft.com/office/2006/metadata/properties"/>
  </ds:schemaRefs>
</ds:datastoreItem>
</file>

<file path=customXml/itemProps6.xml><?xml version="1.0" encoding="utf-8"?>
<ds:datastoreItem xmlns:ds="http://schemas.openxmlformats.org/officeDocument/2006/customXml" ds:itemID="{2F86B3AF-9BBD-49D6-920B-18636409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11941</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2018-10-11T17:11:00Z</dcterms:created>
  <dcterms:modified xsi:type="dcterms:W3CDTF">2018-10-11T17:11:00Z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8ce3bd88-1df9-47d4-b85e-f33041361002</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