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000F" w14:textId="77777777" w:rsidR="00E12D33" w:rsidRPr="00BE258D" w:rsidRDefault="00E12D33" w:rsidP="00E12D33">
      <w:pPr>
        <w:jc w:val="center"/>
        <w:rPr>
          <w:b/>
          <w:sz w:val="28"/>
        </w:rPr>
      </w:pPr>
      <w:bookmarkStart w:id="0" w:name="_GoBack"/>
      <w:bookmarkEnd w:id="0"/>
      <w:r w:rsidRPr="00BE258D">
        <w:rPr>
          <w:b/>
          <w:sz w:val="28"/>
        </w:rPr>
        <w:t xml:space="preserve">FDA DOCUMENTATION FOR THE GENERIC CLEARANCE, </w:t>
      </w:r>
    </w:p>
    <w:p w14:paraId="6F94ECC7" w14:textId="77777777" w:rsidR="00A63790" w:rsidRPr="00BE258D" w:rsidRDefault="00E12D33" w:rsidP="00E12D33">
      <w:pPr>
        <w:jc w:val="center"/>
        <w:rPr>
          <w:b/>
          <w:sz w:val="28"/>
        </w:rPr>
      </w:pPr>
      <w:r w:rsidRPr="00BE258D">
        <w:rPr>
          <w:b/>
          <w:sz w:val="28"/>
        </w:rPr>
        <w:t>“</w:t>
      </w:r>
      <w:r w:rsidR="006A669D" w:rsidRPr="00BE258D">
        <w:rPr>
          <w:b/>
          <w:sz w:val="28"/>
        </w:rPr>
        <w:t>Testing Communications on Drugs</w:t>
      </w:r>
      <w:r w:rsidRPr="00BE258D">
        <w:rPr>
          <w:b/>
          <w:sz w:val="28"/>
        </w:rPr>
        <w:t>”</w:t>
      </w:r>
      <w:r w:rsidR="00E670C1" w:rsidRPr="00BE258D">
        <w:rPr>
          <w:b/>
          <w:sz w:val="28"/>
        </w:rPr>
        <w:br/>
      </w:r>
      <w:r w:rsidR="0074041B" w:rsidRPr="00BE258D">
        <w:rPr>
          <w:b/>
          <w:sz w:val="28"/>
        </w:rPr>
        <w:t>(0910-</w:t>
      </w:r>
      <w:r w:rsidR="006A669D" w:rsidRPr="00BE258D">
        <w:rPr>
          <w:b/>
          <w:sz w:val="28"/>
        </w:rPr>
        <w:t>0695</w:t>
      </w:r>
      <w:r w:rsidR="003D0EC1" w:rsidRPr="00BE258D">
        <w:rPr>
          <w:b/>
          <w:sz w:val="28"/>
        </w:rPr>
        <w:t>)</w:t>
      </w:r>
    </w:p>
    <w:p w14:paraId="3F4C8A60" w14:textId="77777777" w:rsidR="00A63790" w:rsidRPr="00BE258D" w:rsidRDefault="00E15541" w:rsidP="00A63790">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92FA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766556EB" w14:textId="77777777" w:rsidR="00B41016" w:rsidRPr="00BE258D" w:rsidRDefault="00B41016" w:rsidP="00A63790">
      <w:pPr>
        <w:rPr>
          <w:sz w:val="20"/>
          <w:szCs w:val="20"/>
        </w:rPr>
      </w:pPr>
    </w:p>
    <w:p w14:paraId="28C4719B" w14:textId="5A471CC8" w:rsidR="003F1C7A" w:rsidRPr="00BE258D" w:rsidRDefault="003F1C7A" w:rsidP="005E23BA">
      <w:pPr>
        <w:spacing w:before="120"/>
      </w:pPr>
      <w:r w:rsidRPr="00BE258D">
        <w:rPr>
          <w:b/>
        </w:rPr>
        <w:t>TITLE OF INFORMATION COLLECTION:</w:t>
      </w:r>
      <w:r w:rsidRPr="00BE258D">
        <w:t xml:space="preserve">  </w:t>
      </w:r>
      <w:r w:rsidR="0074041B" w:rsidRPr="00BE258D">
        <w:t>Rapid Message Te</w:t>
      </w:r>
      <w:r w:rsidR="00BD7381" w:rsidRPr="00BE258D">
        <w:t>sting with</w:t>
      </w:r>
      <w:r w:rsidR="007251CB" w:rsidRPr="00BE258D">
        <w:t xml:space="preserve"> C</w:t>
      </w:r>
      <w:r w:rsidR="00826D83" w:rsidRPr="00BE258D">
        <w:t>onsumer Panel</w:t>
      </w:r>
      <w:r w:rsidR="003B4C2F" w:rsidRPr="00BE258D">
        <w:t xml:space="preserve"> </w:t>
      </w:r>
      <w:r w:rsidR="00826D83" w:rsidRPr="00BE258D">
        <w:t>—</w:t>
      </w:r>
      <w:r w:rsidR="00E27C17" w:rsidRPr="00BE258D">
        <w:t xml:space="preserve"> </w:t>
      </w:r>
      <w:r w:rsidR="00C96B88">
        <w:t>Medical Countermeasure (MCM) Messages</w:t>
      </w:r>
    </w:p>
    <w:p w14:paraId="13470115" w14:textId="77777777" w:rsidR="003F1C7A" w:rsidRPr="00BE258D" w:rsidRDefault="003F1C7A"/>
    <w:p w14:paraId="260137D4" w14:textId="77777777" w:rsidR="003F1C7A" w:rsidRPr="00BE258D" w:rsidRDefault="003F1C7A">
      <w:pPr>
        <w:spacing w:after="120"/>
      </w:pPr>
      <w:r w:rsidRPr="00BE258D">
        <w:rPr>
          <w:b/>
        </w:rPr>
        <w:t>DESCRIPTION OF THIS SPECIFIC COLLECTION</w:t>
      </w:r>
      <w:r w:rsidRPr="00BE258D">
        <w:t xml:space="preserve"> </w:t>
      </w:r>
    </w:p>
    <w:p w14:paraId="17C79882" w14:textId="77777777" w:rsidR="003F1C7A" w:rsidRPr="00BE258D" w:rsidRDefault="0049419A" w:rsidP="00F12AEE">
      <w:pPr>
        <w:numPr>
          <w:ilvl w:val="0"/>
          <w:numId w:val="15"/>
        </w:numPr>
        <w:tabs>
          <w:tab w:val="num" w:pos="720"/>
        </w:tabs>
        <w:ind w:left="360" w:firstLine="0"/>
      </w:pPr>
      <w:r w:rsidRPr="00BE258D">
        <w:rPr>
          <w:b/>
        </w:rPr>
        <w:t>Statement of n</w:t>
      </w:r>
      <w:r w:rsidR="00F12AEE" w:rsidRPr="00BE258D">
        <w:rPr>
          <w:b/>
        </w:rPr>
        <w:t>eed</w:t>
      </w:r>
      <w:r w:rsidR="003F1C7A" w:rsidRPr="00BE258D">
        <w:rPr>
          <w:b/>
        </w:rPr>
        <w:t>:</w:t>
      </w:r>
      <w:r w:rsidR="003F1C7A" w:rsidRPr="00BE258D">
        <w:t xml:space="preserve">  </w:t>
      </w:r>
    </w:p>
    <w:p w14:paraId="5F327A8F" w14:textId="77777777" w:rsidR="00C01642" w:rsidRPr="00BE258D" w:rsidRDefault="00C01642" w:rsidP="009D4EB5">
      <w:pPr>
        <w:ind w:left="720"/>
      </w:pPr>
    </w:p>
    <w:p w14:paraId="137636C9" w14:textId="77777777" w:rsidR="00E46551" w:rsidRPr="00E46551" w:rsidRDefault="00E46551" w:rsidP="00E46551">
      <w:pPr>
        <w:ind w:left="720"/>
      </w:pPr>
      <w:r w:rsidRPr="00E46551">
        <w:t>The Food and Drug Administration’s Center for Drug Evaluation and Research (CDER) has an ongoing responsibility to communicate about the medical products it approves or authorizes for use in medical emergencies (Sections 564, 564A, and 564B of the Federal Food, Drug, and Cosmetic Act [FD&amp;C Act] as amended or added to by the Pandemic and All-Hazards Preparedness Reauthorization Act of 2013 [PAHPRA]).  For more information, please click on the following link:</w:t>
      </w:r>
    </w:p>
    <w:p w14:paraId="39207BBC" w14:textId="77777777" w:rsidR="00E46551" w:rsidRPr="00E46551" w:rsidRDefault="00E46551" w:rsidP="00E46551">
      <w:pPr>
        <w:ind w:left="720"/>
      </w:pPr>
    </w:p>
    <w:p w14:paraId="2E37B669" w14:textId="77777777" w:rsidR="00E46551" w:rsidRPr="00E46551" w:rsidRDefault="00EF6929" w:rsidP="00E46551">
      <w:pPr>
        <w:ind w:left="720"/>
        <w:rPr>
          <w:u w:val="single"/>
        </w:rPr>
      </w:pPr>
      <w:hyperlink r:id="rId14" w:history="1">
        <w:r w:rsidR="00E46551" w:rsidRPr="00E46551">
          <w:rPr>
            <w:rStyle w:val="Hyperlink"/>
          </w:rPr>
          <w:t>http://www.fda.gov/EmergencyPreparedness/Counterterrorism/MedicalCountermeasures/MCMLegalRegulatoryandPolicyFramework/ucm346195.htm</w:t>
        </w:r>
      </w:hyperlink>
    </w:p>
    <w:p w14:paraId="2F1E10B5" w14:textId="77777777" w:rsidR="00E46551" w:rsidRDefault="00E46551" w:rsidP="00A82C4B">
      <w:pPr>
        <w:ind w:left="720"/>
      </w:pPr>
    </w:p>
    <w:p w14:paraId="7A4379E8" w14:textId="5E52B75D" w:rsidR="00D22490" w:rsidRPr="00D22490" w:rsidRDefault="00D22490" w:rsidP="00D22490">
      <w:pPr>
        <w:ind w:left="720"/>
      </w:pPr>
      <w:r w:rsidRPr="00D22490">
        <w:t>The provisions in PAHPRA, described in section II of the Guidance, include key legal authorities to sustain and strengthen national preparedness for public health, military, and domestic emergencies involving chemical, biological, radiological, and nuclear (CBRN) agents, including emerging infectious disease threats such as influenza pandemic.  PAHPRA clarifies and enhances FDA’s authority to support emergency preparedness and response, and fosters the development and availability of medical products for use in these emergencies. These medical products also referred to as “medical countermeasures” or “MCMs,” include drugs, biological products (e.g., vaccines, blood products, and biological therapeutics), and devices (e.g., in vitro diagnostics and personal protective equipment).</w:t>
      </w:r>
    </w:p>
    <w:p w14:paraId="36A3B292" w14:textId="77777777" w:rsidR="00D22490" w:rsidRDefault="00D22490" w:rsidP="00E46551">
      <w:pPr>
        <w:ind w:left="720"/>
      </w:pPr>
    </w:p>
    <w:p w14:paraId="430F144D" w14:textId="30AC1192" w:rsidR="00E46551" w:rsidRDefault="00E46551" w:rsidP="00E46551">
      <w:pPr>
        <w:ind w:left="720"/>
      </w:pPr>
      <w:r>
        <w:t>For many health threats</w:t>
      </w:r>
      <w:r w:rsidR="00C54920">
        <w:t>, MCM</w:t>
      </w:r>
      <w:r>
        <w:t xml:space="preserve"> medicines represent a lifeline to the affected public, including members of vulnerable and special populations. However, some of these medicines are not widely used or available. Furthermore, these medicines may carry unique or undocumented risks. For this reason, it is imperative that the FDA communicate rapidly and effectively with the public so they understand the risks associated with these medicines and will be able to make decisions that maximize benefits and minimize risks.</w:t>
      </w:r>
    </w:p>
    <w:p w14:paraId="46D8E249" w14:textId="77777777" w:rsidR="00E46551" w:rsidRDefault="00E46551" w:rsidP="00A82C4B">
      <w:pPr>
        <w:ind w:left="720"/>
      </w:pPr>
    </w:p>
    <w:p w14:paraId="3F708D54" w14:textId="77777777" w:rsidR="004D3342" w:rsidRDefault="004D3342" w:rsidP="004D3342">
      <w:pPr>
        <w:ind w:left="720"/>
      </w:pPr>
      <w:r>
        <w:t>CDER communications provide the public with the most current and reliable information concerning these medical products in order to help them make more informed treatment choices. Thus, it is critical that CDER communicate clearly and effectively with the public.</w:t>
      </w:r>
    </w:p>
    <w:p w14:paraId="372D30BC" w14:textId="77777777" w:rsidR="007928F1" w:rsidRDefault="007928F1" w:rsidP="007928F1">
      <w:pPr>
        <w:ind w:left="720"/>
      </w:pPr>
    </w:p>
    <w:p w14:paraId="7D5BDA03" w14:textId="0EC4C2E7" w:rsidR="00DA1217" w:rsidRDefault="009A576B" w:rsidP="00A82C4B">
      <w:pPr>
        <w:ind w:left="720"/>
      </w:pPr>
      <w:r w:rsidRPr="00BE258D">
        <w:t xml:space="preserve">The purpose of this project is to conduct timely testing of </w:t>
      </w:r>
      <w:r w:rsidR="00293828">
        <w:t>messages about MCM</w:t>
      </w:r>
      <w:r w:rsidR="00DA1217">
        <w:t xml:space="preserve">s </w:t>
      </w:r>
      <w:r w:rsidR="00DA1217" w:rsidRPr="00DA1217">
        <w:t>that may be used in the event of a potential public health emergency stemming from a terrorist attack or a naturally occurring emerging disease.</w:t>
      </w:r>
      <w:r w:rsidR="00DA1217">
        <w:t xml:space="preserve">  While it is not feasible to test </w:t>
      </w:r>
      <w:r w:rsidR="00DA1217">
        <w:lastRenderedPageBreak/>
        <w:t xml:space="preserve">all messages for all threats and all available MCMs, FDA seeks to obtain feedback </w:t>
      </w:r>
      <w:r w:rsidR="00CD19D8">
        <w:t xml:space="preserve">on three </w:t>
      </w:r>
      <w:r w:rsidR="00FC29C8">
        <w:t>examples</w:t>
      </w:r>
      <w:r w:rsidR="00CD19D8">
        <w:t xml:space="preserve"> of</w:t>
      </w:r>
      <w:r w:rsidR="00447912">
        <w:t xml:space="preserve"> </w:t>
      </w:r>
      <w:r w:rsidR="00CD19D8">
        <w:t>messages that can be used in situations whe</w:t>
      </w:r>
      <w:r w:rsidR="00C54920">
        <w:t>re</w:t>
      </w:r>
      <w:r w:rsidR="00CD19D8">
        <w:t xml:space="preserve"> there is:</w:t>
      </w:r>
    </w:p>
    <w:p w14:paraId="7E84E56F" w14:textId="77777777" w:rsidR="003A534E" w:rsidRDefault="003A534E" w:rsidP="003A534E">
      <w:pPr>
        <w:pStyle w:val="ListParagraph"/>
        <w:numPr>
          <w:ilvl w:val="0"/>
          <w:numId w:val="25"/>
        </w:numPr>
      </w:pPr>
      <w:r>
        <w:t>No MCM</w:t>
      </w:r>
    </w:p>
    <w:p w14:paraId="73944130" w14:textId="1C4912F5" w:rsidR="00CD19D8" w:rsidRDefault="00D22490" w:rsidP="00CD19D8">
      <w:pPr>
        <w:pStyle w:val="ListParagraph"/>
        <w:numPr>
          <w:ilvl w:val="0"/>
          <w:numId w:val="25"/>
        </w:numPr>
      </w:pPr>
      <w:r>
        <w:t xml:space="preserve">An </w:t>
      </w:r>
      <w:r w:rsidR="00CD19D8">
        <w:t>FDA-Approved MCM</w:t>
      </w:r>
    </w:p>
    <w:p w14:paraId="60A69AE7" w14:textId="12B747C5" w:rsidR="00CD19D8" w:rsidRDefault="00D22490" w:rsidP="00CD19D8">
      <w:pPr>
        <w:pStyle w:val="ListParagraph"/>
        <w:numPr>
          <w:ilvl w:val="0"/>
          <w:numId w:val="25"/>
        </w:numPr>
      </w:pPr>
      <w:r>
        <w:t xml:space="preserve">An </w:t>
      </w:r>
      <w:r w:rsidR="00CD19D8">
        <w:t>Emergency Use Authorized (EUA) MCM</w:t>
      </w:r>
      <w:r w:rsidR="00C54920">
        <w:t>, whereby</w:t>
      </w:r>
      <w:r w:rsidR="003A534E">
        <w:t xml:space="preserve"> </w:t>
      </w:r>
      <w:r w:rsidR="003A534E" w:rsidRPr="003A534E">
        <w:t xml:space="preserve">FDA </w:t>
      </w:r>
      <w:r w:rsidR="00C54920">
        <w:t>has authority to</w:t>
      </w:r>
      <w:r w:rsidR="003A534E" w:rsidRPr="003A534E">
        <w:t xml:space="preserve"> allow unapproved medical products or unapproved uses of approved medical products to be used in an emergency to diagnose, treat, or prevent serious or life-threatening diseases or conditions caused by </w:t>
      </w:r>
      <w:r w:rsidR="00C54920">
        <w:t>CBRN</w:t>
      </w:r>
      <w:r w:rsidR="003A534E" w:rsidRPr="003A534E">
        <w:t xml:space="preserve"> threat agents when there are no adequate, approved, and available alternatives.</w:t>
      </w:r>
    </w:p>
    <w:p w14:paraId="52C66CDA" w14:textId="77777777" w:rsidR="00DA1217" w:rsidRDefault="00DA1217" w:rsidP="00A82C4B">
      <w:pPr>
        <w:ind w:left="720"/>
      </w:pPr>
    </w:p>
    <w:p w14:paraId="76A47BD9" w14:textId="56B48D4B" w:rsidR="004D2A34" w:rsidRPr="00BE258D" w:rsidRDefault="004D2A34" w:rsidP="001C211E">
      <w:pPr>
        <w:ind w:left="720"/>
      </w:pPr>
      <w:r w:rsidRPr="00BE258D">
        <w:t>Communications science tells us that we must test messages with our intended audiences before communicating them.  Thus, FDA plans to test th</w:t>
      </w:r>
      <w:r w:rsidR="00D22490">
        <w:t>ese</w:t>
      </w:r>
      <w:r w:rsidRPr="00BE258D">
        <w:t xml:space="preserve"> communication</w:t>
      </w:r>
      <w:r w:rsidR="00D22490">
        <w:t>s</w:t>
      </w:r>
      <w:r w:rsidRPr="00BE258D">
        <w:t xml:space="preserve"> using cognitive interviews with </w:t>
      </w:r>
      <w:r w:rsidR="0025162F" w:rsidRPr="00BE258D">
        <w:t>a small</w:t>
      </w:r>
      <w:r w:rsidR="00E27C17" w:rsidRPr="00BE258D">
        <w:t xml:space="preserve"> sample of </w:t>
      </w:r>
      <w:r w:rsidR="00CD19D8">
        <w:t>18</w:t>
      </w:r>
      <w:r w:rsidRPr="00BE258D">
        <w:t xml:space="preserve"> </w:t>
      </w:r>
      <w:r w:rsidR="0037053A" w:rsidRPr="00BE258D">
        <w:t>U.S. adults</w:t>
      </w:r>
      <w:r w:rsidR="00D14B2F" w:rsidRPr="00BE258D">
        <w:t xml:space="preserve"> </w:t>
      </w:r>
      <w:r w:rsidRPr="00BE258D">
        <w:t xml:space="preserve">drawn from a diverse </w:t>
      </w:r>
      <w:r w:rsidR="004A5412" w:rsidRPr="00BE258D">
        <w:t xml:space="preserve">consumer </w:t>
      </w:r>
      <w:r w:rsidRPr="00BE258D">
        <w:t>panel.</w:t>
      </w:r>
      <w:r w:rsidR="004945E3" w:rsidRPr="00BE258D">
        <w:t xml:space="preserve">  </w:t>
      </w:r>
    </w:p>
    <w:p w14:paraId="1F3038C2" w14:textId="77777777" w:rsidR="00285589" w:rsidRPr="00BE258D" w:rsidRDefault="00285589" w:rsidP="001C211E">
      <w:pPr>
        <w:ind w:left="720"/>
      </w:pPr>
    </w:p>
    <w:p w14:paraId="17FE26F2" w14:textId="5C200F97" w:rsidR="00882AE4" w:rsidRPr="00BE258D" w:rsidRDefault="00DE6F4D" w:rsidP="0025162F">
      <w:pPr>
        <w:ind w:left="720"/>
      </w:pPr>
      <w:r w:rsidRPr="00BE258D">
        <w:t xml:space="preserve">This </w:t>
      </w:r>
      <w:r w:rsidR="006D69C2" w:rsidRPr="00BE258D">
        <w:t xml:space="preserve">data collection </w:t>
      </w:r>
      <w:r w:rsidR="007251CB" w:rsidRPr="00BE258D">
        <w:t xml:space="preserve">is the </w:t>
      </w:r>
      <w:r w:rsidR="004A5412" w:rsidRPr="00BE258D">
        <w:t>1</w:t>
      </w:r>
      <w:r w:rsidR="00CD19D8">
        <w:t>3</w:t>
      </w:r>
      <w:r w:rsidR="004A5412" w:rsidRPr="00BE258D">
        <w:rPr>
          <w:vertAlign w:val="superscript"/>
        </w:rPr>
        <w:t>th</w:t>
      </w:r>
      <w:r w:rsidR="004A5412" w:rsidRPr="00BE258D">
        <w:t xml:space="preserve"> </w:t>
      </w:r>
      <w:r w:rsidRPr="00BE258D">
        <w:t xml:space="preserve">in a series of </w:t>
      </w:r>
      <w:r w:rsidR="006D69C2" w:rsidRPr="00BE258D">
        <w:t xml:space="preserve">FDA </w:t>
      </w:r>
      <w:r w:rsidRPr="00BE258D">
        <w:t xml:space="preserve">rapid message testing </w:t>
      </w:r>
      <w:r w:rsidR="006D69C2" w:rsidRPr="00BE258D">
        <w:t>projects</w:t>
      </w:r>
      <w:r w:rsidR="0025162F" w:rsidRPr="00BE258D">
        <w:t xml:space="preserve"> submitted to OMB under generic clearance</w:t>
      </w:r>
      <w:r w:rsidR="006D69C2" w:rsidRPr="00BE258D">
        <w:t xml:space="preserve">.  </w:t>
      </w:r>
      <w:r w:rsidR="00B87629" w:rsidRPr="00BE258D">
        <w:t>These projects are part of FDA’s effort to make consumer testing part of its routine communication development processes.</w:t>
      </w:r>
      <w:r w:rsidR="005829DE" w:rsidRPr="00BE258D">
        <w:t xml:space="preserve">  </w:t>
      </w:r>
      <w:r w:rsidRPr="00BE258D">
        <w:t>This project is i</w:t>
      </w:r>
      <w:r w:rsidR="001C211E" w:rsidRPr="00BE258D">
        <w:t>n keeping with the spirit of the 2015 Executive Order</w:t>
      </w:r>
      <w:r w:rsidR="0025162F" w:rsidRPr="00BE258D">
        <w:rPr>
          <w:rStyle w:val="FootnoteReference"/>
        </w:rPr>
        <w:footnoteReference w:id="1"/>
      </w:r>
      <w:r w:rsidR="001C211E" w:rsidRPr="00BE258D">
        <w:t xml:space="preserve"> to improve how information is presented to consumers by applying beha</w:t>
      </w:r>
      <w:r w:rsidRPr="00BE258D">
        <w:t xml:space="preserve">vioral science insights, and it </w:t>
      </w:r>
      <w:r w:rsidR="001C211E" w:rsidRPr="00BE258D">
        <w:t>meet</w:t>
      </w:r>
      <w:r w:rsidRPr="00BE258D">
        <w:t>s</w:t>
      </w:r>
      <w:r w:rsidR="001C211E" w:rsidRPr="00BE258D">
        <w:t xml:space="preserve"> repeated calls from FDA’s Risk Communication</w:t>
      </w:r>
      <w:r w:rsidR="008800D2" w:rsidRPr="00BE258D">
        <w:t xml:space="preserve"> and Advisory Committee </w:t>
      </w:r>
      <w:r w:rsidR="001C211E" w:rsidRPr="00BE258D">
        <w:t>to conduct message testing with targeted samples of the general public.</w:t>
      </w:r>
    </w:p>
    <w:p w14:paraId="016C09B4" w14:textId="77777777" w:rsidR="007A4331" w:rsidRPr="00BE258D" w:rsidRDefault="007A4331" w:rsidP="00F12AEE">
      <w:pPr>
        <w:ind w:left="1296"/>
      </w:pPr>
    </w:p>
    <w:p w14:paraId="28BCE32F" w14:textId="791761D9" w:rsidR="003F1C7A" w:rsidRPr="00BE258D" w:rsidRDefault="0049419A" w:rsidP="00F12AEE">
      <w:pPr>
        <w:numPr>
          <w:ilvl w:val="0"/>
          <w:numId w:val="15"/>
        </w:numPr>
        <w:tabs>
          <w:tab w:val="num" w:pos="720"/>
        </w:tabs>
        <w:ind w:left="720"/>
      </w:pPr>
      <w:r w:rsidRPr="00BE258D">
        <w:rPr>
          <w:b/>
        </w:rPr>
        <w:t>Intended u</w:t>
      </w:r>
      <w:r w:rsidR="00F12AEE" w:rsidRPr="00BE258D">
        <w:rPr>
          <w:b/>
        </w:rPr>
        <w:t>se</w:t>
      </w:r>
      <w:r w:rsidRPr="00BE258D">
        <w:rPr>
          <w:b/>
        </w:rPr>
        <w:t xml:space="preserve"> of information</w:t>
      </w:r>
      <w:r w:rsidR="003F1C7A" w:rsidRPr="00BE258D">
        <w:rPr>
          <w:b/>
        </w:rPr>
        <w:t>:</w:t>
      </w:r>
      <w:r w:rsidR="003F1C7A" w:rsidRPr="00BE258D">
        <w:t xml:space="preserve">  </w:t>
      </w:r>
    </w:p>
    <w:p w14:paraId="71643CAB" w14:textId="77777777" w:rsidR="00C01642" w:rsidRPr="00BE258D" w:rsidRDefault="00C01642" w:rsidP="005829DE">
      <w:pPr>
        <w:ind w:left="720"/>
      </w:pPr>
    </w:p>
    <w:p w14:paraId="2D78531D" w14:textId="52349B4C" w:rsidR="00FE4961" w:rsidRPr="00BE258D" w:rsidRDefault="008800D2" w:rsidP="005829DE">
      <w:pPr>
        <w:ind w:left="720"/>
      </w:pPr>
      <w:r w:rsidRPr="00BE258D">
        <w:t>FDA</w:t>
      </w:r>
      <w:r w:rsidR="006E2614" w:rsidRPr="00BE258D">
        <w:t>’s contractor Westat</w:t>
      </w:r>
      <w:r w:rsidRPr="00BE258D">
        <w:t xml:space="preserve"> will </w:t>
      </w:r>
      <w:r w:rsidR="006E2614" w:rsidRPr="00BE258D">
        <w:t>test the</w:t>
      </w:r>
      <w:r w:rsidR="00FD587A" w:rsidRPr="00BE258D">
        <w:t xml:space="preserve"> </w:t>
      </w:r>
      <w:r w:rsidR="00DC07C5" w:rsidRPr="00BE258D">
        <w:t xml:space="preserve">form </w:t>
      </w:r>
      <w:r w:rsidR="00B87629" w:rsidRPr="00BE258D">
        <w:t xml:space="preserve">with a small sample of target audience members to ensure the message meets its objectives without causing unintended negative effects.  </w:t>
      </w:r>
      <w:r w:rsidR="00FE4961" w:rsidRPr="00BE258D">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14:paraId="7C193974" w14:textId="77777777" w:rsidR="00FE4961" w:rsidRPr="00BE258D" w:rsidRDefault="00FE4961" w:rsidP="005829DE">
      <w:pPr>
        <w:ind w:left="720"/>
      </w:pPr>
    </w:p>
    <w:p w14:paraId="6EBE00A3" w14:textId="216821D2" w:rsidR="00E215FA" w:rsidRPr="00BE258D" w:rsidRDefault="00B87629" w:rsidP="00A60979">
      <w:pPr>
        <w:spacing w:after="240"/>
        <w:ind w:left="720"/>
      </w:pPr>
      <w:r w:rsidRPr="00BE258D">
        <w:t xml:space="preserve">FDA will use the </w:t>
      </w:r>
      <w:r w:rsidR="006E2614" w:rsidRPr="00BE258D">
        <w:t xml:space="preserve">collected </w:t>
      </w:r>
      <w:r w:rsidRPr="00BE258D">
        <w:t>interview data to refine its messaging</w:t>
      </w:r>
      <w:r w:rsidR="005829DE" w:rsidRPr="00BE258D">
        <w:t xml:space="preserve"> </w:t>
      </w:r>
      <w:r w:rsidR="008800D2" w:rsidRPr="00BE258D">
        <w:t xml:space="preserve">by </w:t>
      </w:r>
      <w:r w:rsidR="005829DE" w:rsidRPr="00BE258D">
        <w:t>improving the comprehensibility</w:t>
      </w:r>
      <w:r w:rsidR="00BE4B19">
        <w:t xml:space="preserve"> and</w:t>
      </w:r>
      <w:r w:rsidR="005829DE" w:rsidRPr="00BE258D">
        <w:t xml:space="preserve"> personal relevance for a higher public health impact</w:t>
      </w:r>
      <w:r w:rsidRPr="00BE258D">
        <w:t>.</w:t>
      </w:r>
      <w:r w:rsidR="00FE4961" w:rsidRPr="00BE258D">
        <w:t xml:space="preserve">  Specifically, FDA is asking Westat to gain insight to the following questions:</w:t>
      </w:r>
    </w:p>
    <w:p w14:paraId="0B1C8413" w14:textId="77777777" w:rsidR="00BE4B19" w:rsidRDefault="00BE4B19" w:rsidP="00BE4B19">
      <w:pPr>
        <w:pStyle w:val="ListParagraph"/>
        <w:numPr>
          <w:ilvl w:val="0"/>
          <w:numId w:val="26"/>
        </w:numPr>
      </w:pPr>
      <w:r>
        <w:t>Is the material clear and understandable?</w:t>
      </w:r>
    </w:p>
    <w:p w14:paraId="60038BB1" w14:textId="77777777" w:rsidR="00BE4B19" w:rsidRDefault="00BE4B19" w:rsidP="00BE4B19">
      <w:pPr>
        <w:pStyle w:val="ListParagraph"/>
        <w:numPr>
          <w:ilvl w:val="0"/>
          <w:numId w:val="26"/>
        </w:numPr>
      </w:pPr>
      <w:r>
        <w:t>What is the main message that participants get from the material?</w:t>
      </w:r>
    </w:p>
    <w:p w14:paraId="0312E763" w14:textId="77777777" w:rsidR="00BE4B19" w:rsidRDefault="00BE4B19" w:rsidP="00BE4B19">
      <w:pPr>
        <w:pStyle w:val="ListParagraph"/>
        <w:numPr>
          <w:ilvl w:val="0"/>
          <w:numId w:val="26"/>
        </w:numPr>
      </w:pPr>
      <w:r>
        <w:t>Do participants understand the information about the available medicine or treatment?</w:t>
      </w:r>
    </w:p>
    <w:p w14:paraId="07436B87" w14:textId="77777777" w:rsidR="00BE4B19" w:rsidRDefault="00BE4B19" w:rsidP="00BE4B19">
      <w:pPr>
        <w:pStyle w:val="ListParagraph"/>
        <w:numPr>
          <w:ilvl w:val="0"/>
          <w:numId w:val="26"/>
        </w:numPr>
      </w:pPr>
      <w:r>
        <w:lastRenderedPageBreak/>
        <w:t>Do participants recognize whether they need to seek treatment, symptoms of the disease, the side effects of the medicine, and (Marburg hemorrhagic fever only: reduce their risk of contracting the virus)?</w:t>
      </w:r>
    </w:p>
    <w:p w14:paraId="4080D41D" w14:textId="77777777" w:rsidR="00BE4B19" w:rsidRDefault="00BE4B19" w:rsidP="00BE4B19">
      <w:pPr>
        <w:pStyle w:val="ListParagraph"/>
        <w:numPr>
          <w:ilvl w:val="0"/>
          <w:numId w:val="26"/>
        </w:numPr>
      </w:pPr>
      <w:r>
        <w:t>What information do participants find useful? Not useful?</w:t>
      </w:r>
    </w:p>
    <w:p w14:paraId="2956449A" w14:textId="77777777" w:rsidR="00BE4B19" w:rsidRDefault="00BE4B19" w:rsidP="00BE4B19">
      <w:pPr>
        <w:pStyle w:val="ListParagraph"/>
        <w:numPr>
          <w:ilvl w:val="0"/>
          <w:numId w:val="26"/>
        </w:numPr>
      </w:pPr>
      <w:r>
        <w:t>Does the order in which the question sections are presented seem logical?</w:t>
      </w:r>
    </w:p>
    <w:p w14:paraId="6D929DF6" w14:textId="77777777" w:rsidR="00BE4B19" w:rsidRDefault="00BE4B19" w:rsidP="00BE4B19">
      <w:pPr>
        <w:pStyle w:val="ListParagraph"/>
        <w:numPr>
          <w:ilvl w:val="0"/>
          <w:numId w:val="26"/>
        </w:numPr>
      </w:pPr>
      <w:r>
        <w:t>Is the material effective in increasing the likelihood that participants would take an FDA-approved or EUA-authorized medical countermeasure?</w:t>
      </w:r>
    </w:p>
    <w:p w14:paraId="2CC2D44A" w14:textId="77777777" w:rsidR="00BE4B19" w:rsidRDefault="00BE4B19" w:rsidP="00BE4B19">
      <w:pPr>
        <w:pStyle w:val="ListParagraph"/>
        <w:numPr>
          <w:ilvl w:val="0"/>
          <w:numId w:val="26"/>
        </w:numPr>
      </w:pPr>
      <w:r>
        <w:t>Does the material provide participants confidence in their ability to manage the emergency?</w:t>
      </w:r>
    </w:p>
    <w:p w14:paraId="17F316C1" w14:textId="24E9520F" w:rsidR="003B4C2F" w:rsidRDefault="00BE4B19" w:rsidP="00BE4B19">
      <w:pPr>
        <w:pStyle w:val="ListParagraph"/>
        <w:numPr>
          <w:ilvl w:val="0"/>
          <w:numId w:val="26"/>
        </w:numPr>
      </w:pPr>
      <w:r>
        <w:t>Does the material provide participants confidence that the government will effectively handle the emergency and act in their best interest?</w:t>
      </w:r>
    </w:p>
    <w:p w14:paraId="25FDC4DF" w14:textId="77777777" w:rsidR="00BE4B19" w:rsidRPr="00BE258D" w:rsidRDefault="00BE4B19" w:rsidP="00BE4B19">
      <w:pPr>
        <w:pStyle w:val="ListParagraph"/>
        <w:ind w:left="1440"/>
      </w:pPr>
    </w:p>
    <w:p w14:paraId="53953046" w14:textId="77777777" w:rsidR="00F94F8C" w:rsidRPr="00BE258D" w:rsidRDefault="00F94F8C" w:rsidP="00F12AEE">
      <w:pPr>
        <w:ind w:left="720"/>
      </w:pPr>
      <w:r w:rsidRPr="00BE258D">
        <w:t>The data collected will not be statistically representative of the target audience population.  Therefore, the data will not be used for making policy or regulatory decisions.</w:t>
      </w:r>
    </w:p>
    <w:p w14:paraId="1D69CB18" w14:textId="77777777" w:rsidR="003F1C7A" w:rsidRPr="00BE258D" w:rsidRDefault="003F1C7A" w:rsidP="00F12AEE">
      <w:pPr>
        <w:ind w:left="360"/>
      </w:pPr>
    </w:p>
    <w:p w14:paraId="7EA10D24" w14:textId="77777777" w:rsidR="003F1C7A" w:rsidRPr="00BE258D" w:rsidRDefault="0049419A" w:rsidP="00F12AEE">
      <w:pPr>
        <w:numPr>
          <w:ilvl w:val="0"/>
          <w:numId w:val="15"/>
        </w:numPr>
        <w:tabs>
          <w:tab w:val="num" w:pos="720"/>
        </w:tabs>
        <w:ind w:left="720"/>
      </w:pPr>
      <w:r w:rsidRPr="00BE258D">
        <w:rPr>
          <w:b/>
        </w:rPr>
        <w:t>Description of r</w:t>
      </w:r>
      <w:r w:rsidR="00F12AEE" w:rsidRPr="00BE258D">
        <w:rPr>
          <w:b/>
        </w:rPr>
        <w:t>espondents</w:t>
      </w:r>
      <w:r w:rsidR="003F1C7A" w:rsidRPr="00BE258D">
        <w:rPr>
          <w:b/>
        </w:rPr>
        <w:t>:</w:t>
      </w:r>
      <w:r w:rsidR="003F1C7A" w:rsidRPr="00BE258D">
        <w:t xml:space="preserve">  </w:t>
      </w:r>
    </w:p>
    <w:p w14:paraId="03820B7A" w14:textId="77777777" w:rsidR="00C01642" w:rsidRPr="00BE258D" w:rsidRDefault="00C01642" w:rsidP="00F12AEE">
      <w:pPr>
        <w:ind w:left="720"/>
      </w:pPr>
    </w:p>
    <w:p w14:paraId="2EFF024A" w14:textId="1327D6DD" w:rsidR="00E215FA" w:rsidRPr="00BE258D" w:rsidRDefault="008800D2" w:rsidP="00F12AEE">
      <w:pPr>
        <w:ind w:left="720"/>
      </w:pPr>
      <w:r w:rsidRPr="00BE258D">
        <w:t xml:space="preserve">We will conduct </w:t>
      </w:r>
      <w:r w:rsidR="00BE4B19">
        <w:t>18</w:t>
      </w:r>
      <w:r w:rsidRPr="00BE258D">
        <w:t xml:space="preserve"> </w:t>
      </w:r>
      <w:r w:rsidR="00BE4B19">
        <w:t>45</w:t>
      </w:r>
      <w:r w:rsidR="004945E3" w:rsidRPr="00BE258D">
        <w:t xml:space="preserve">-minute </w:t>
      </w:r>
      <w:r w:rsidRPr="00BE258D">
        <w:t>interviews with</w:t>
      </w:r>
      <w:r w:rsidR="00BB5F6B" w:rsidRPr="00BE258D">
        <w:t xml:space="preserve"> </w:t>
      </w:r>
      <w:r w:rsidR="00D14B2F" w:rsidRPr="00BE258D">
        <w:t xml:space="preserve">U.S. </w:t>
      </w:r>
      <w:r w:rsidR="00BB5F6B" w:rsidRPr="00BE258D">
        <w:t>adult</w:t>
      </w:r>
      <w:r w:rsidR="0037053A" w:rsidRPr="00BE258D">
        <w:t>s</w:t>
      </w:r>
      <w:r w:rsidR="002B028A" w:rsidRPr="00BE258D">
        <w:t xml:space="preserve">.  </w:t>
      </w:r>
      <w:r w:rsidR="00BE4B19" w:rsidRPr="00BE4B19">
        <w:t>Westat has partnered with Prodege, LLC, a leading provider of people driven insights for the market research industry.  Prodege tracks and stores all panel member activity and assigns a unique ID number which stays with the panelist throughout their entire panel membership. These tracking records consist of profile information provided during enrollment, profile updates, and client feedback. Prodege monitors the quality of their data through various quality checks to save time and provide confidence in data accuracy. These quality checks include an enrollment verification process that includes digital fingerprinting, physical address and device verification, CATPCHA (a program that protects computers against bots), and mobile verification. Screener and survey responses are also monitored with internal quality metrics to ensure data quality.</w:t>
      </w:r>
    </w:p>
    <w:p w14:paraId="0807A8DA" w14:textId="77777777" w:rsidR="002B028A" w:rsidRPr="00BE258D" w:rsidRDefault="002B028A" w:rsidP="00F12AEE">
      <w:pPr>
        <w:ind w:left="720"/>
      </w:pPr>
    </w:p>
    <w:p w14:paraId="28E5701D" w14:textId="4F5B239D" w:rsidR="002B028A" w:rsidRPr="00BE258D" w:rsidRDefault="002B028A" w:rsidP="00F12AEE">
      <w:pPr>
        <w:ind w:left="720"/>
      </w:pPr>
      <w:r w:rsidRPr="00BE258D">
        <w:t xml:space="preserve">We will use a participant screener to </w:t>
      </w:r>
      <w:r w:rsidR="00C4778B" w:rsidRPr="00BE258D">
        <w:t>recruit</w:t>
      </w:r>
      <w:r w:rsidR="00683970" w:rsidRPr="00BE258D">
        <w:t xml:space="preserve"> a mix of </w:t>
      </w:r>
      <w:r w:rsidR="008A3946">
        <w:t xml:space="preserve">lower education </w:t>
      </w:r>
      <w:r w:rsidR="00683970" w:rsidRPr="00BE258D">
        <w:t xml:space="preserve">consumers </w:t>
      </w:r>
      <w:r w:rsidR="008A3946">
        <w:t xml:space="preserve">(high school or less), at least half of whom are the parent or guardian of a child who lives in their household.  </w:t>
      </w:r>
      <w:r w:rsidR="00B443F5" w:rsidRPr="00BE258D">
        <w:t>To the extent possible, t</w:t>
      </w:r>
      <w:r w:rsidR="004B6A46" w:rsidRPr="00BE258D">
        <w:t xml:space="preserve">he participant pool will be diverse in terms of </w:t>
      </w:r>
      <w:r w:rsidR="009A6452" w:rsidRPr="00BE258D">
        <w:t>gender,</w:t>
      </w:r>
      <w:r w:rsidR="00683970" w:rsidRPr="00BE258D">
        <w:t xml:space="preserve"> age,</w:t>
      </w:r>
      <w:r w:rsidR="009A6452" w:rsidRPr="00BE258D">
        <w:t xml:space="preserve"> </w:t>
      </w:r>
      <w:r w:rsidR="00FE4961" w:rsidRPr="00BE258D">
        <w:t>race/ethnicity,</w:t>
      </w:r>
      <w:r w:rsidR="00A55DD8" w:rsidRPr="00BE258D">
        <w:t xml:space="preserve"> and </w:t>
      </w:r>
      <w:r w:rsidR="004B6A46" w:rsidRPr="00BE258D">
        <w:t>geography.</w:t>
      </w:r>
    </w:p>
    <w:p w14:paraId="050AD5DD" w14:textId="77777777" w:rsidR="008800D2" w:rsidRPr="00BE258D" w:rsidRDefault="008800D2" w:rsidP="00F12AEE">
      <w:pPr>
        <w:ind w:left="720"/>
      </w:pPr>
    </w:p>
    <w:p w14:paraId="0BBB4426" w14:textId="3BC9B184" w:rsidR="003F1C7A" w:rsidRPr="00BE258D" w:rsidRDefault="000E7C99" w:rsidP="00F12AEE">
      <w:pPr>
        <w:numPr>
          <w:ilvl w:val="0"/>
          <w:numId w:val="15"/>
        </w:numPr>
        <w:tabs>
          <w:tab w:val="num" w:pos="720"/>
        </w:tabs>
        <w:ind w:left="720"/>
      </w:pPr>
      <w:r w:rsidRPr="00BE258D">
        <w:rPr>
          <w:b/>
        </w:rPr>
        <w:t xml:space="preserve">Date(s) </w:t>
      </w:r>
      <w:r w:rsidR="00915E13" w:rsidRPr="00BE258D">
        <w:rPr>
          <w:b/>
        </w:rPr>
        <w:t xml:space="preserve">to be </w:t>
      </w:r>
      <w:r w:rsidRPr="00BE258D">
        <w:rPr>
          <w:b/>
        </w:rPr>
        <w:t>Conducted</w:t>
      </w:r>
      <w:r w:rsidR="0049419A" w:rsidRPr="00BE258D">
        <w:rPr>
          <w:b/>
        </w:rPr>
        <w:t>:</w:t>
      </w:r>
      <w:r w:rsidR="003F1C7A" w:rsidRPr="00BE258D">
        <w:rPr>
          <w:b/>
        </w:rPr>
        <w:t xml:space="preserve">  </w:t>
      </w:r>
    </w:p>
    <w:p w14:paraId="2A321682" w14:textId="77777777" w:rsidR="00C01642" w:rsidRPr="00BE258D" w:rsidRDefault="00C01642" w:rsidP="00F12AEE">
      <w:pPr>
        <w:ind w:left="720"/>
        <w:jc w:val="both"/>
      </w:pPr>
    </w:p>
    <w:p w14:paraId="5E96559D" w14:textId="4BF46639" w:rsidR="00190AA2" w:rsidRPr="00BE258D" w:rsidRDefault="000E17F0" w:rsidP="00F12AEE">
      <w:pPr>
        <w:ind w:left="720"/>
        <w:jc w:val="both"/>
      </w:pPr>
      <w:r w:rsidRPr="00BE258D">
        <w:t xml:space="preserve">We plan to conduct interviews in </w:t>
      </w:r>
      <w:r w:rsidR="008A3946">
        <w:t>September</w:t>
      </w:r>
      <w:r w:rsidR="00FE4961" w:rsidRPr="00BE258D">
        <w:t xml:space="preserve"> </w:t>
      </w:r>
      <w:r w:rsidR="00B14D7F" w:rsidRPr="00BE258D">
        <w:t>201</w:t>
      </w:r>
      <w:r w:rsidR="000C4040" w:rsidRPr="00BE258D">
        <w:t>9</w:t>
      </w:r>
      <w:r w:rsidRPr="00BE258D">
        <w:t>.</w:t>
      </w:r>
    </w:p>
    <w:p w14:paraId="485F4073" w14:textId="77777777" w:rsidR="00190AA2" w:rsidRPr="00BE258D" w:rsidRDefault="00190AA2" w:rsidP="00F12AEE">
      <w:pPr>
        <w:ind w:left="360"/>
        <w:jc w:val="both"/>
      </w:pPr>
    </w:p>
    <w:p w14:paraId="09386282" w14:textId="60F1DC74" w:rsidR="00E26798" w:rsidRPr="00BE258D" w:rsidRDefault="000E7C99" w:rsidP="00F12AEE">
      <w:pPr>
        <w:numPr>
          <w:ilvl w:val="0"/>
          <w:numId w:val="15"/>
        </w:numPr>
        <w:tabs>
          <w:tab w:val="num" w:pos="720"/>
        </w:tabs>
        <w:ind w:left="720"/>
      </w:pPr>
      <w:r w:rsidRPr="00BE258D">
        <w:rPr>
          <w:b/>
        </w:rPr>
        <w:t>How the Information is being collected</w:t>
      </w:r>
      <w:r w:rsidR="0049419A" w:rsidRPr="00BE258D">
        <w:rPr>
          <w:b/>
        </w:rPr>
        <w:t>:</w:t>
      </w:r>
    </w:p>
    <w:p w14:paraId="5327C9D3" w14:textId="77777777" w:rsidR="00C01642" w:rsidRPr="00BE258D" w:rsidRDefault="00C01642" w:rsidP="00B01F00">
      <w:pPr>
        <w:ind w:left="720"/>
      </w:pPr>
    </w:p>
    <w:p w14:paraId="38769120" w14:textId="2328418F" w:rsidR="00B01F00" w:rsidRPr="00BE258D" w:rsidRDefault="00B01F00" w:rsidP="00B01F00">
      <w:pPr>
        <w:ind w:left="720"/>
      </w:pPr>
      <w:r w:rsidRPr="00BE258D">
        <w:t xml:space="preserve">We will conduct all interviews remotely using </w:t>
      </w:r>
      <w:r w:rsidR="006345C3" w:rsidRPr="00BE258D">
        <w:t xml:space="preserve">telephone and </w:t>
      </w:r>
      <w:r w:rsidRPr="00BE258D">
        <w:t>screen sharing technology with participants on web-enabled devices such as desktop computer</w:t>
      </w:r>
      <w:r w:rsidR="00D70045" w:rsidRPr="00BE258D">
        <w:t>s</w:t>
      </w:r>
      <w:r w:rsidRPr="00BE258D">
        <w:t>, laptop</w:t>
      </w:r>
      <w:r w:rsidR="00D70045" w:rsidRPr="00BE258D">
        <w:t>s</w:t>
      </w:r>
      <w:r w:rsidRPr="00BE258D">
        <w:t>, tablet</w:t>
      </w:r>
      <w:r w:rsidR="00D70045" w:rsidRPr="00BE258D">
        <w:t>s</w:t>
      </w:r>
      <w:r w:rsidRPr="00BE258D">
        <w:t xml:space="preserve"> or mobile phone</w:t>
      </w:r>
      <w:r w:rsidR="00D70045" w:rsidRPr="00BE258D">
        <w:t>s</w:t>
      </w:r>
      <w:r w:rsidRPr="00BE258D">
        <w:t xml:space="preserve">.  We will ensure that any materials provided to the participants for the test are </w:t>
      </w:r>
      <w:r w:rsidR="002A7149" w:rsidRPr="00BE258D">
        <w:t xml:space="preserve">compatible with all </w:t>
      </w:r>
      <w:r w:rsidRPr="00BE258D">
        <w:t>device</w:t>
      </w:r>
      <w:r w:rsidR="002A7149" w:rsidRPr="00BE258D">
        <w:t>s</w:t>
      </w:r>
      <w:r w:rsidRPr="00BE258D">
        <w:t>.</w:t>
      </w:r>
      <w:r w:rsidR="00C4778B" w:rsidRPr="00BE258D">
        <w:t xml:space="preserve">  We will </w:t>
      </w:r>
      <w:r w:rsidR="008A3946">
        <w:t>e</w:t>
      </w:r>
      <w:r w:rsidR="00C4778B" w:rsidRPr="00BE258D">
        <w:t xml:space="preserve">mail </w:t>
      </w:r>
      <w:r w:rsidR="00DC3854" w:rsidRPr="00BE258D">
        <w:t xml:space="preserve">materials </w:t>
      </w:r>
      <w:r w:rsidR="00C4778B" w:rsidRPr="00BE258D">
        <w:t xml:space="preserve">to </w:t>
      </w:r>
      <w:r w:rsidR="00DC3854" w:rsidRPr="00BE258D">
        <w:t>participants who do not have access to screen sharing technology.</w:t>
      </w:r>
    </w:p>
    <w:p w14:paraId="37AA3A90" w14:textId="77777777" w:rsidR="00B01F00" w:rsidRPr="00BE258D" w:rsidRDefault="00B01F00" w:rsidP="000E17F0">
      <w:pPr>
        <w:ind w:left="720"/>
      </w:pPr>
    </w:p>
    <w:p w14:paraId="18957A29" w14:textId="5B61548A" w:rsidR="000E17F0" w:rsidRPr="00BE258D" w:rsidRDefault="007251CB" w:rsidP="000E17F0">
      <w:pPr>
        <w:ind w:left="720"/>
      </w:pPr>
      <w:r w:rsidRPr="00BE258D">
        <w:t xml:space="preserve">For each </w:t>
      </w:r>
      <w:r w:rsidR="008A3946">
        <w:t>45</w:t>
      </w:r>
      <w:r w:rsidR="000E17F0" w:rsidRPr="00BE258D">
        <w:t>-minute interview, a trained interviewer will lead the discussion using a semi-structured interview guide that ensures consistency in major topics but allows flexibility in probing each participant on particular questions.</w:t>
      </w:r>
      <w:r w:rsidR="0071771B" w:rsidRPr="00BE258D">
        <w:t xml:space="preserve">  </w:t>
      </w:r>
    </w:p>
    <w:p w14:paraId="397C3430" w14:textId="77777777" w:rsidR="000E17F0" w:rsidRPr="00BE258D" w:rsidRDefault="000E17F0" w:rsidP="000E17F0">
      <w:pPr>
        <w:ind w:left="720"/>
      </w:pPr>
    </w:p>
    <w:p w14:paraId="6CEADF3D" w14:textId="77777777" w:rsidR="00BA32CF" w:rsidRPr="00BE258D" w:rsidRDefault="000E17F0" w:rsidP="00BA32CF">
      <w:pPr>
        <w:ind w:left="720"/>
      </w:pPr>
      <w:r w:rsidRPr="00BE258D">
        <w:t>Note takers will chart their findings into a standardized reporting template so that all notes are organized in a consistent manner.</w:t>
      </w:r>
      <w:r w:rsidR="00BA32CF" w:rsidRPr="00BE258D">
        <w:t xml:space="preserve">  </w:t>
      </w:r>
      <w:r w:rsidR="00EA2E4C" w:rsidRPr="00BE258D">
        <w:t>Interviewers will review</w:t>
      </w:r>
      <w:r w:rsidR="004F4CB0" w:rsidRPr="00BE258D">
        <w:t xml:space="preserve"> the</w:t>
      </w:r>
      <w:r w:rsidR="00EA2E4C" w:rsidRPr="00BE258D">
        <w:t xml:space="preserve"> notes to ensure accuracy.  </w:t>
      </w:r>
      <w:r w:rsidRPr="00BE258D">
        <w:t xml:space="preserve">With the consent of participants, we will audio </w:t>
      </w:r>
      <w:r w:rsidR="00BA32CF" w:rsidRPr="00BE258D">
        <w:t xml:space="preserve">record each interview.  </w:t>
      </w:r>
    </w:p>
    <w:p w14:paraId="09832425" w14:textId="77777777" w:rsidR="00BA32CF" w:rsidRPr="00BE258D" w:rsidRDefault="00BA32CF" w:rsidP="00BA32CF">
      <w:pPr>
        <w:ind w:left="720"/>
      </w:pPr>
    </w:p>
    <w:p w14:paraId="070E5206" w14:textId="77777777" w:rsidR="007A4331" w:rsidRPr="00BE258D" w:rsidRDefault="00B01F00" w:rsidP="00BA32CF">
      <w:pPr>
        <w:ind w:left="720"/>
      </w:pPr>
      <w:r w:rsidRPr="00BE258D">
        <w:t>FDA staff will have the ability to listen to the interview sessions, and this will be made known to participants as part of the informed consent</w:t>
      </w:r>
      <w:r w:rsidR="000E17F0" w:rsidRPr="00BE258D">
        <w:t xml:space="preserve">. </w:t>
      </w:r>
    </w:p>
    <w:p w14:paraId="4B6D5498" w14:textId="77777777" w:rsidR="00F12AEE" w:rsidRPr="00BE258D" w:rsidRDefault="00F12AEE" w:rsidP="00F12AEE">
      <w:pPr>
        <w:ind w:left="720"/>
      </w:pPr>
    </w:p>
    <w:p w14:paraId="3C532FB3" w14:textId="77777777" w:rsidR="003F1C7A" w:rsidRPr="00BE258D" w:rsidRDefault="00DD1CCA" w:rsidP="00F12AEE">
      <w:pPr>
        <w:numPr>
          <w:ilvl w:val="0"/>
          <w:numId w:val="15"/>
        </w:numPr>
        <w:tabs>
          <w:tab w:val="num" w:pos="720"/>
        </w:tabs>
        <w:ind w:left="720"/>
      </w:pPr>
      <w:r w:rsidRPr="00BE258D">
        <w:rPr>
          <w:b/>
        </w:rPr>
        <w:t>Confidentiality of Respondents</w:t>
      </w:r>
      <w:r w:rsidR="0049419A" w:rsidRPr="00BE258D">
        <w:rPr>
          <w:b/>
        </w:rPr>
        <w:t>:</w:t>
      </w:r>
    </w:p>
    <w:p w14:paraId="5E59AFC1" w14:textId="77777777" w:rsidR="00C01642" w:rsidRPr="00BE258D" w:rsidRDefault="00C01642" w:rsidP="002272BD">
      <w:pPr>
        <w:ind w:left="720"/>
      </w:pPr>
    </w:p>
    <w:p w14:paraId="31B87520" w14:textId="77777777" w:rsidR="00002021" w:rsidRPr="00BE258D" w:rsidRDefault="002272BD" w:rsidP="00E45582">
      <w:pPr>
        <w:ind w:left="720"/>
      </w:pPr>
      <w:r w:rsidRPr="00BE258D">
        <w:t xml:space="preserve">We will provide all respondents with informed consent language that ensures </w:t>
      </w:r>
      <w:r w:rsidR="00F54DF2" w:rsidRPr="00BE258D">
        <w:t xml:space="preserve">they understand the project purpose, that their participation is voluntary, and that their responses will </w:t>
      </w:r>
      <w:r w:rsidR="009E767B" w:rsidRPr="00BE258D">
        <w:t>be kept secure</w:t>
      </w:r>
      <w:r w:rsidR="004B6A46" w:rsidRPr="00BE258D">
        <w:t xml:space="preserve"> to the extent permitted by law</w:t>
      </w:r>
      <w:r w:rsidR="00F54DF2" w:rsidRPr="00BE258D">
        <w:t xml:space="preserve">. </w:t>
      </w:r>
      <w:r w:rsidRPr="00BE258D">
        <w:t xml:space="preserve"> As part of the consent procedu</w:t>
      </w:r>
      <w:r w:rsidR="00E45582" w:rsidRPr="00BE258D">
        <w:t>re, respondents will be asked whether they</w:t>
      </w:r>
      <w:r w:rsidRPr="00BE258D">
        <w:t xml:space="preserve"> allow audio recording of the interview. </w:t>
      </w:r>
      <w:r w:rsidR="002D29F9" w:rsidRPr="00BE258D">
        <w:t xml:space="preserve"> </w:t>
      </w:r>
      <w:r w:rsidRPr="00BE258D">
        <w:t xml:space="preserve">Recording will not begin before participants have had the opportunity to ask for any clarification and </w:t>
      </w:r>
      <w:r w:rsidR="00B478BE" w:rsidRPr="00BE258D">
        <w:t xml:space="preserve">provide </w:t>
      </w:r>
      <w:r w:rsidRPr="00BE258D">
        <w:t>consent. Participants will be asked to again confirm their consent when recording begins.</w:t>
      </w:r>
      <w:r w:rsidR="00E45582" w:rsidRPr="00BE258D">
        <w:t xml:space="preserve">  Participants who do not allow audio recording may still participate in the interview.  In these cases, Westat will take notes that are more detailed than when relying on the audio recording.</w:t>
      </w:r>
    </w:p>
    <w:p w14:paraId="0C7229B0" w14:textId="77777777" w:rsidR="00E45582" w:rsidRPr="00BE258D" w:rsidRDefault="00E45582" w:rsidP="00E45582">
      <w:pPr>
        <w:ind w:left="720"/>
      </w:pPr>
    </w:p>
    <w:p w14:paraId="12B60F58" w14:textId="77777777" w:rsidR="00356BB7" w:rsidRPr="00BE258D" w:rsidRDefault="00356BB7" w:rsidP="002D29F9">
      <w:pPr>
        <w:ind w:left="720"/>
      </w:pPr>
      <w:r w:rsidRPr="00BE258D">
        <w:t>No participant</w:t>
      </w:r>
      <w:r w:rsidR="00B478BE" w:rsidRPr="00BE258D">
        <w:t>’s</w:t>
      </w:r>
      <w:r w:rsidRPr="00BE258D">
        <w:t xml:space="preserve"> identifiable information such as name will be included in the </w:t>
      </w:r>
      <w:r w:rsidR="008953DA" w:rsidRPr="00BE258D">
        <w:t xml:space="preserve">interview </w:t>
      </w:r>
      <w:r w:rsidRPr="00BE258D">
        <w:t>notes.  All interview materials will be stored on a secure network drive, which will only be accessible to individuals granted access to work on the project.</w:t>
      </w:r>
      <w:r w:rsidR="002D29F9" w:rsidRPr="00BE258D">
        <w:t xml:space="preserve">  </w:t>
      </w:r>
      <w:r w:rsidRPr="00BE258D">
        <w:t xml:space="preserve">Interview notes will be zipped electronically and password-protected for email or secure file transfer delivery. </w:t>
      </w:r>
      <w:r w:rsidR="002D29F9" w:rsidRPr="00BE258D">
        <w:t xml:space="preserve"> </w:t>
      </w:r>
      <w:r w:rsidRPr="00BE258D">
        <w:t xml:space="preserve">Prior to forwarding any data to FDA, Westat will destroy all names and contact information of participants to protect their personal identity. </w:t>
      </w:r>
      <w:r w:rsidR="002D29F9" w:rsidRPr="00BE258D">
        <w:t xml:space="preserve"> </w:t>
      </w:r>
      <w:r w:rsidRPr="00BE258D">
        <w:t xml:space="preserve">Additionally, the </w:t>
      </w:r>
      <w:r w:rsidR="002D29F9" w:rsidRPr="00BE258D">
        <w:t xml:space="preserve">interview </w:t>
      </w:r>
      <w:r w:rsidRPr="00BE258D">
        <w:t>notes and interpretive report delivered to FDA after message testing will omit all information that could be used to identify respondents.</w:t>
      </w:r>
    </w:p>
    <w:p w14:paraId="6D77649A" w14:textId="77777777" w:rsidR="00356BB7" w:rsidRPr="00BE258D" w:rsidRDefault="00356BB7" w:rsidP="00F12AEE">
      <w:pPr>
        <w:ind w:left="720"/>
      </w:pPr>
    </w:p>
    <w:p w14:paraId="185B6CA5" w14:textId="77777777" w:rsidR="00356BB7" w:rsidRPr="00BE258D" w:rsidRDefault="00356BB7" w:rsidP="00356BB7">
      <w:pPr>
        <w:ind w:left="720"/>
      </w:pPr>
      <w:r w:rsidRPr="00BE258D">
        <w:t>All electronic data storage media that contain confidential, private,</w:t>
      </w:r>
      <w:r w:rsidR="002D29F9" w:rsidRPr="00BE258D">
        <w:t xml:space="preserve"> or proprietary information will be </w:t>
      </w:r>
      <w:r w:rsidRPr="00BE258D">
        <w:t>maintained within secure areas.</w:t>
      </w:r>
      <w:r w:rsidR="002D29F9" w:rsidRPr="00BE258D">
        <w:t xml:space="preserve"> Data collected in hard copy will be</w:t>
      </w:r>
      <w:r w:rsidRPr="00BE258D">
        <w:t xml:space="preserve"> kept in locked cabinets when not in use.</w:t>
      </w:r>
    </w:p>
    <w:p w14:paraId="0663C3CC" w14:textId="77777777" w:rsidR="00E45582" w:rsidRPr="00BE258D" w:rsidRDefault="00E45582" w:rsidP="00356BB7">
      <w:pPr>
        <w:ind w:left="720"/>
      </w:pPr>
    </w:p>
    <w:p w14:paraId="3C5B1205" w14:textId="2BA32EC0" w:rsidR="00E45582" w:rsidRPr="00BE258D" w:rsidRDefault="00E45582" w:rsidP="00356BB7">
      <w:pPr>
        <w:ind w:left="720"/>
      </w:pPr>
      <w:r w:rsidRPr="00BE258D">
        <w:t xml:space="preserve">FDA’s </w:t>
      </w:r>
      <w:r w:rsidR="00B77760" w:rsidRPr="00BE258D">
        <w:t>Institutional Review Board (</w:t>
      </w:r>
      <w:r w:rsidRPr="00BE258D">
        <w:t>IRB</w:t>
      </w:r>
      <w:r w:rsidR="00B77760" w:rsidRPr="00BE258D">
        <w:t xml:space="preserve">) </w:t>
      </w:r>
      <w:r w:rsidRPr="00BE258D">
        <w:t>reviewed this study and determined it is exempt from the requirements of 45 CFR §46.101b(2).</w:t>
      </w:r>
    </w:p>
    <w:p w14:paraId="0CCF2A67" w14:textId="77777777" w:rsidR="0049419A" w:rsidRPr="00BE258D" w:rsidRDefault="0049419A" w:rsidP="00F12AEE">
      <w:pPr>
        <w:ind w:left="720"/>
      </w:pPr>
    </w:p>
    <w:p w14:paraId="78E3CDF0" w14:textId="4671F520" w:rsidR="00DD1CCA" w:rsidRPr="00BE258D" w:rsidRDefault="0049419A" w:rsidP="00DD1CCA">
      <w:pPr>
        <w:numPr>
          <w:ilvl w:val="0"/>
          <w:numId w:val="15"/>
        </w:numPr>
        <w:tabs>
          <w:tab w:val="num" w:pos="720"/>
        </w:tabs>
        <w:ind w:left="720"/>
        <w:rPr>
          <w:b/>
        </w:rPr>
      </w:pPr>
      <w:r w:rsidRPr="00BE258D">
        <w:rPr>
          <w:b/>
        </w:rPr>
        <w:t>Amount and justification for any proposed incentive</w:t>
      </w:r>
    </w:p>
    <w:p w14:paraId="56606022" w14:textId="77777777" w:rsidR="00C01642" w:rsidRPr="00BE258D" w:rsidRDefault="00C01642" w:rsidP="00E91EE5">
      <w:pPr>
        <w:pStyle w:val="ListParagraph"/>
      </w:pPr>
    </w:p>
    <w:p w14:paraId="4A54D124" w14:textId="2017D6EC" w:rsidR="00536FDA" w:rsidRPr="00BE258D" w:rsidRDefault="00BB5770" w:rsidP="00E91EE5">
      <w:pPr>
        <w:pStyle w:val="ListParagraph"/>
      </w:pPr>
      <w:r w:rsidRPr="00BE258D">
        <w:t xml:space="preserve">For this project, </w:t>
      </w:r>
      <w:r w:rsidR="008A3946">
        <w:t>Prodege</w:t>
      </w:r>
      <w:r w:rsidR="00B01F00" w:rsidRPr="00BE258D">
        <w:t xml:space="preserve"> will provide </w:t>
      </w:r>
      <w:r w:rsidR="007251CB" w:rsidRPr="00BE258D">
        <w:t>$</w:t>
      </w:r>
      <w:r w:rsidR="004E49A4">
        <w:t>50</w:t>
      </w:r>
      <w:r w:rsidR="005E78C3" w:rsidRPr="00BE258D">
        <w:t xml:space="preserve"> </w:t>
      </w:r>
      <w:r w:rsidR="00B01F00" w:rsidRPr="00BE258D">
        <w:t xml:space="preserve">incentives </w:t>
      </w:r>
      <w:r w:rsidR="004E49A4">
        <w:t xml:space="preserve">($5000SB) </w:t>
      </w:r>
      <w:r w:rsidR="00B01F00" w:rsidRPr="00BE258D">
        <w:t>to participan</w:t>
      </w:r>
      <w:r w:rsidR="00E91EE5" w:rsidRPr="00BE258D">
        <w:t xml:space="preserve">ts at the end of each </w:t>
      </w:r>
      <w:r w:rsidR="004E49A4">
        <w:t>45</w:t>
      </w:r>
      <w:r w:rsidR="005E78C3" w:rsidRPr="00BE258D">
        <w:t xml:space="preserve">-minute </w:t>
      </w:r>
      <w:r w:rsidR="00E91EE5" w:rsidRPr="00BE258D">
        <w:t xml:space="preserve">interview </w:t>
      </w:r>
      <w:r w:rsidR="00E35DB8" w:rsidRPr="00BE258D">
        <w:t xml:space="preserve">in the form of </w:t>
      </w:r>
      <w:r w:rsidR="00F15639" w:rsidRPr="00BE258D">
        <w:t xml:space="preserve">a </w:t>
      </w:r>
      <w:r w:rsidR="004E49A4">
        <w:t>gift card</w:t>
      </w:r>
      <w:r w:rsidR="00676A38" w:rsidRPr="00BE258D">
        <w:t>.</w:t>
      </w:r>
      <w:r w:rsidR="00342074">
        <w:t xml:space="preserve"> Prodege provides</w:t>
      </w:r>
      <w:r w:rsidR="000B36CD">
        <w:t xml:space="preserve"> participation rewards</w:t>
      </w:r>
      <w:r w:rsidR="00342074">
        <w:t xml:space="preserve"> to panel members in the form of “Swagbucks” or “SB.” Swagbucks are redeemable for gift cards.  </w:t>
      </w:r>
    </w:p>
    <w:p w14:paraId="32E83549" w14:textId="77777777" w:rsidR="00536FDA" w:rsidRPr="00BE258D" w:rsidRDefault="00536FDA" w:rsidP="00E91EE5">
      <w:pPr>
        <w:pStyle w:val="ListParagraph"/>
      </w:pPr>
    </w:p>
    <w:p w14:paraId="1150F7E1" w14:textId="1AE3283F" w:rsidR="00E91EE5" w:rsidRPr="00BE258D" w:rsidRDefault="004E49A4" w:rsidP="00536FDA">
      <w:pPr>
        <w:pStyle w:val="ListParagraph"/>
      </w:pPr>
      <w:r w:rsidRPr="004E49A4">
        <w:t>Prodege uses diverse recruitment methodologies, including invitation, and incentivizes panelists for any participation to maintain a quality filled panel.  Panel members do not volunteer their time. The table below details the previous incentives approved by OMB for this series of rapid message tests.</w:t>
      </w:r>
    </w:p>
    <w:p w14:paraId="6A423BB7" w14:textId="77777777" w:rsidR="0025162F" w:rsidRPr="00BE258D" w:rsidRDefault="0025162F"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382"/>
        <w:gridCol w:w="1963"/>
        <w:gridCol w:w="2151"/>
      </w:tblGrid>
      <w:tr w:rsidR="0025162F" w:rsidRPr="00BE258D" w14:paraId="6BB0BC12" w14:textId="77777777" w:rsidTr="003A1FE7">
        <w:tc>
          <w:tcPr>
            <w:tcW w:w="1026" w:type="dxa"/>
            <w:shd w:val="pct10" w:color="auto" w:fill="auto"/>
          </w:tcPr>
          <w:p w14:paraId="09F9D88A" w14:textId="77777777" w:rsidR="0025162F" w:rsidRPr="00BE258D" w:rsidRDefault="0025162F" w:rsidP="002A5CF1">
            <w:pPr>
              <w:jc w:val="center"/>
              <w:rPr>
                <w:b/>
              </w:rPr>
            </w:pPr>
            <w:r w:rsidRPr="00BE258D">
              <w:rPr>
                <w:b/>
              </w:rPr>
              <w:t>Project #</w:t>
            </w:r>
          </w:p>
        </w:tc>
        <w:tc>
          <w:tcPr>
            <w:tcW w:w="3382" w:type="dxa"/>
            <w:shd w:val="pct10" w:color="auto" w:fill="auto"/>
          </w:tcPr>
          <w:p w14:paraId="50F4DFAD" w14:textId="77777777" w:rsidR="0025162F" w:rsidRPr="00BE258D" w:rsidRDefault="0025162F" w:rsidP="002A5CF1">
            <w:pPr>
              <w:jc w:val="center"/>
              <w:rPr>
                <w:b/>
              </w:rPr>
            </w:pPr>
            <w:r w:rsidRPr="00BE258D">
              <w:rPr>
                <w:b/>
              </w:rPr>
              <w:t>Communication Tested</w:t>
            </w:r>
          </w:p>
        </w:tc>
        <w:tc>
          <w:tcPr>
            <w:tcW w:w="1963" w:type="dxa"/>
            <w:shd w:val="pct10" w:color="auto" w:fill="auto"/>
          </w:tcPr>
          <w:p w14:paraId="5D35DCDE" w14:textId="77777777" w:rsidR="0025162F" w:rsidRPr="00BE258D" w:rsidRDefault="0025162F" w:rsidP="002A5CF1">
            <w:pPr>
              <w:jc w:val="center"/>
              <w:rPr>
                <w:b/>
              </w:rPr>
            </w:pPr>
            <w:r w:rsidRPr="00BE258D">
              <w:rPr>
                <w:b/>
              </w:rPr>
              <w:t>Interview Length/Incentive</w:t>
            </w:r>
          </w:p>
        </w:tc>
        <w:tc>
          <w:tcPr>
            <w:tcW w:w="2151" w:type="dxa"/>
            <w:shd w:val="pct10" w:color="auto" w:fill="auto"/>
          </w:tcPr>
          <w:p w14:paraId="76671580" w14:textId="77777777" w:rsidR="0025162F" w:rsidRPr="00BE258D" w:rsidRDefault="0025162F" w:rsidP="002A5CF1">
            <w:pPr>
              <w:jc w:val="center"/>
              <w:rPr>
                <w:b/>
              </w:rPr>
            </w:pPr>
            <w:r w:rsidRPr="00BE258D">
              <w:rPr>
                <w:b/>
              </w:rPr>
              <w:t>OMB approval date</w:t>
            </w:r>
          </w:p>
        </w:tc>
      </w:tr>
      <w:tr w:rsidR="0025162F" w:rsidRPr="00BE258D" w14:paraId="2877869F" w14:textId="77777777" w:rsidTr="003A1FE7">
        <w:tc>
          <w:tcPr>
            <w:tcW w:w="1026" w:type="dxa"/>
            <w:shd w:val="clear" w:color="auto" w:fill="auto"/>
          </w:tcPr>
          <w:p w14:paraId="762BE005" w14:textId="77777777" w:rsidR="0025162F" w:rsidRPr="00BE258D" w:rsidRDefault="0025162F" w:rsidP="002A5CF1">
            <w:pPr>
              <w:jc w:val="center"/>
            </w:pPr>
            <w:r w:rsidRPr="00BE258D">
              <w:t>1</w:t>
            </w:r>
          </w:p>
        </w:tc>
        <w:tc>
          <w:tcPr>
            <w:tcW w:w="3382" w:type="dxa"/>
            <w:shd w:val="clear" w:color="auto" w:fill="auto"/>
          </w:tcPr>
          <w:p w14:paraId="0C3E05CC" w14:textId="77777777" w:rsidR="0025162F" w:rsidRPr="00BE258D" w:rsidRDefault="0025162F" w:rsidP="002A5CF1">
            <w:r w:rsidRPr="00BE258D">
              <w:t>Clinical Trials Brochure</w:t>
            </w:r>
          </w:p>
        </w:tc>
        <w:tc>
          <w:tcPr>
            <w:tcW w:w="1963" w:type="dxa"/>
          </w:tcPr>
          <w:p w14:paraId="42711ED4" w14:textId="77777777" w:rsidR="0025162F" w:rsidRPr="00BE258D" w:rsidRDefault="0025162F" w:rsidP="002A5CF1">
            <w:r w:rsidRPr="00BE258D">
              <w:t>45 min/$50</w:t>
            </w:r>
          </w:p>
        </w:tc>
        <w:tc>
          <w:tcPr>
            <w:tcW w:w="2151" w:type="dxa"/>
            <w:shd w:val="clear" w:color="auto" w:fill="auto"/>
          </w:tcPr>
          <w:p w14:paraId="08B87BF1" w14:textId="77777777" w:rsidR="0025162F" w:rsidRPr="00BE258D" w:rsidRDefault="0025162F" w:rsidP="002A5CF1">
            <w:r w:rsidRPr="00BE258D">
              <w:t>August 4, 2017</w:t>
            </w:r>
          </w:p>
        </w:tc>
      </w:tr>
      <w:tr w:rsidR="0025162F" w:rsidRPr="00BE258D" w14:paraId="44EB9F54" w14:textId="77777777" w:rsidTr="003A1FE7">
        <w:tc>
          <w:tcPr>
            <w:tcW w:w="1026" w:type="dxa"/>
            <w:shd w:val="clear" w:color="auto" w:fill="auto"/>
          </w:tcPr>
          <w:p w14:paraId="0C7452D6" w14:textId="77777777" w:rsidR="0025162F" w:rsidRPr="00BE258D" w:rsidRDefault="0025162F" w:rsidP="002A5CF1">
            <w:pPr>
              <w:jc w:val="center"/>
            </w:pPr>
            <w:r w:rsidRPr="00BE258D">
              <w:t>2</w:t>
            </w:r>
          </w:p>
        </w:tc>
        <w:tc>
          <w:tcPr>
            <w:tcW w:w="3382" w:type="dxa"/>
            <w:shd w:val="clear" w:color="auto" w:fill="auto"/>
          </w:tcPr>
          <w:p w14:paraId="659AA3BF" w14:textId="77777777" w:rsidR="0025162F" w:rsidRPr="00BE258D" w:rsidRDefault="0025162F" w:rsidP="002A5CF1">
            <w:r w:rsidRPr="00BE258D">
              <w:t>Caregiver Tipsheet</w:t>
            </w:r>
          </w:p>
        </w:tc>
        <w:tc>
          <w:tcPr>
            <w:tcW w:w="1963" w:type="dxa"/>
          </w:tcPr>
          <w:p w14:paraId="7888C594" w14:textId="77777777" w:rsidR="0025162F" w:rsidRPr="00BE258D" w:rsidRDefault="0025162F" w:rsidP="002A5CF1">
            <w:r w:rsidRPr="00BE258D">
              <w:t>30 min/$35</w:t>
            </w:r>
          </w:p>
        </w:tc>
        <w:tc>
          <w:tcPr>
            <w:tcW w:w="2151" w:type="dxa"/>
            <w:shd w:val="clear" w:color="auto" w:fill="auto"/>
          </w:tcPr>
          <w:p w14:paraId="3210ADE3" w14:textId="77777777" w:rsidR="0025162F" w:rsidRPr="00BE258D" w:rsidRDefault="0025162F" w:rsidP="002A5CF1">
            <w:r w:rsidRPr="00BE258D">
              <w:t>September 26, 2017</w:t>
            </w:r>
          </w:p>
        </w:tc>
      </w:tr>
      <w:tr w:rsidR="0025162F" w:rsidRPr="00BE258D" w14:paraId="2B624E3B" w14:textId="77777777" w:rsidTr="003A1FE7">
        <w:tc>
          <w:tcPr>
            <w:tcW w:w="1026" w:type="dxa"/>
            <w:shd w:val="clear" w:color="auto" w:fill="auto"/>
          </w:tcPr>
          <w:p w14:paraId="1E4C2665" w14:textId="77777777" w:rsidR="0025162F" w:rsidRPr="00BE258D" w:rsidRDefault="0025162F" w:rsidP="002A5CF1">
            <w:pPr>
              <w:jc w:val="center"/>
            </w:pPr>
            <w:r w:rsidRPr="00BE258D">
              <w:t xml:space="preserve">3 </w:t>
            </w:r>
          </w:p>
        </w:tc>
        <w:tc>
          <w:tcPr>
            <w:tcW w:w="3382" w:type="dxa"/>
            <w:shd w:val="clear" w:color="auto" w:fill="auto"/>
          </w:tcPr>
          <w:p w14:paraId="6A69B21A" w14:textId="77777777" w:rsidR="0025162F" w:rsidRPr="00BE258D" w:rsidRDefault="0025162F" w:rsidP="002A5CF1">
            <w:r w:rsidRPr="00BE258D">
              <w:t>Public Service Announcement Video about Generic Drugs</w:t>
            </w:r>
          </w:p>
        </w:tc>
        <w:tc>
          <w:tcPr>
            <w:tcW w:w="1963" w:type="dxa"/>
          </w:tcPr>
          <w:p w14:paraId="73E27F3C" w14:textId="77777777" w:rsidR="0025162F" w:rsidRPr="00BE258D" w:rsidRDefault="0025162F" w:rsidP="002A5CF1">
            <w:r w:rsidRPr="00BE258D">
              <w:t>30 min/$35</w:t>
            </w:r>
          </w:p>
        </w:tc>
        <w:tc>
          <w:tcPr>
            <w:tcW w:w="2151" w:type="dxa"/>
            <w:shd w:val="clear" w:color="auto" w:fill="auto"/>
          </w:tcPr>
          <w:p w14:paraId="5338214C" w14:textId="77777777" w:rsidR="0025162F" w:rsidRPr="00BE258D" w:rsidRDefault="0025162F" w:rsidP="002A5CF1">
            <w:r w:rsidRPr="00BE258D">
              <w:t>October 25, 2017</w:t>
            </w:r>
          </w:p>
        </w:tc>
      </w:tr>
      <w:tr w:rsidR="0025162F" w:rsidRPr="00BE258D" w14:paraId="2F20CE88" w14:textId="77777777" w:rsidTr="003A1FE7">
        <w:tc>
          <w:tcPr>
            <w:tcW w:w="1026" w:type="dxa"/>
            <w:shd w:val="clear" w:color="auto" w:fill="auto"/>
          </w:tcPr>
          <w:p w14:paraId="755FFD4E" w14:textId="77777777" w:rsidR="0025162F" w:rsidRPr="00BE258D" w:rsidRDefault="0025162F" w:rsidP="002A5CF1">
            <w:pPr>
              <w:jc w:val="center"/>
            </w:pPr>
            <w:r w:rsidRPr="00BE258D">
              <w:t>4</w:t>
            </w:r>
          </w:p>
        </w:tc>
        <w:tc>
          <w:tcPr>
            <w:tcW w:w="3382" w:type="dxa"/>
            <w:shd w:val="clear" w:color="auto" w:fill="auto"/>
          </w:tcPr>
          <w:p w14:paraId="7E858B4C" w14:textId="77777777" w:rsidR="0025162F" w:rsidRPr="00BE258D" w:rsidRDefault="0025162F" w:rsidP="002A5CF1">
            <w:r w:rsidRPr="00BE258D">
              <w:t>Opioid Analgesics Patient Counseling Guide</w:t>
            </w:r>
          </w:p>
        </w:tc>
        <w:tc>
          <w:tcPr>
            <w:tcW w:w="1963" w:type="dxa"/>
          </w:tcPr>
          <w:p w14:paraId="643DED73" w14:textId="77777777" w:rsidR="0025162F" w:rsidRPr="00BE258D" w:rsidRDefault="0025162F" w:rsidP="002A5CF1">
            <w:r w:rsidRPr="00BE258D">
              <w:t>45 min/$50</w:t>
            </w:r>
          </w:p>
        </w:tc>
        <w:tc>
          <w:tcPr>
            <w:tcW w:w="2151" w:type="dxa"/>
            <w:shd w:val="clear" w:color="auto" w:fill="auto"/>
          </w:tcPr>
          <w:p w14:paraId="36CB44F2" w14:textId="77777777" w:rsidR="0025162F" w:rsidRPr="00BE258D" w:rsidRDefault="0025162F" w:rsidP="002A5CF1">
            <w:r w:rsidRPr="00BE258D">
              <w:t>November 27, 2017</w:t>
            </w:r>
          </w:p>
        </w:tc>
      </w:tr>
      <w:tr w:rsidR="0025162F" w:rsidRPr="00BE258D" w14:paraId="01C8A3B5" w14:textId="77777777" w:rsidTr="003A1FE7">
        <w:tc>
          <w:tcPr>
            <w:tcW w:w="1026" w:type="dxa"/>
            <w:shd w:val="clear" w:color="auto" w:fill="auto"/>
          </w:tcPr>
          <w:p w14:paraId="18A01059" w14:textId="77777777" w:rsidR="0025162F" w:rsidRPr="00BE258D" w:rsidRDefault="0025162F" w:rsidP="002A5CF1">
            <w:pPr>
              <w:jc w:val="center"/>
            </w:pPr>
            <w:r w:rsidRPr="00BE258D">
              <w:t>5</w:t>
            </w:r>
          </w:p>
        </w:tc>
        <w:tc>
          <w:tcPr>
            <w:tcW w:w="3382" w:type="dxa"/>
            <w:shd w:val="clear" w:color="auto" w:fill="auto"/>
          </w:tcPr>
          <w:p w14:paraId="4F9FF11C" w14:textId="77777777" w:rsidR="0025162F" w:rsidRPr="00BE258D" w:rsidRDefault="0025162F" w:rsidP="002A5CF1">
            <w:r w:rsidRPr="00BE258D">
              <w:t>Vaccines and Seniors Brochure</w:t>
            </w:r>
          </w:p>
        </w:tc>
        <w:tc>
          <w:tcPr>
            <w:tcW w:w="1963" w:type="dxa"/>
          </w:tcPr>
          <w:p w14:paraId="45F1A3A7" w14:textId="77777777" w:rsidR="0025162F" w:rsidRPr="00BE258D" w:rsidRDefault="0025162F" w:rsidP="002A5CF1">
            <w:r w:rsidRPr="00BE258D">
              <w:t>30 min/$35</w:t>
            </w:r>
          </w:p>
        </w:tc>
        <w:tc>
          <w:tcPr>
            <w:tcW w:w="2151" w:type="dxa"/>
            <w:shd w:val="clear" w:color="auto" w:fill="auto"/>
          </w:tcPr>
          <w:p w14:paraId="62200765" w14:textId="77777777" w:rsidR="0025162F" w:rsidRPr="00BE258D" w:rsidRDefault="0025162F" w:rsidP="002A5CF1">
            <w:r w:rsidRPr="00BE258D">
              <w:t>May 10, 2018</w:t>
            </w:r>
          </w:p>
        </w:tc>
      </w:tr>
      <w:tr w:rsidR="0025162F" w:rsidRPr="00BE258D" w14:paraId="74D3C203" w14:textId="77777777" w:rsidTr="003A1FE7">
        <w:tc>
          <w:tcPr>
            <w:tcW w:w="1026" w:type="dxa"/>
            <w:shd w:val="clear" w:color="auto" w:fill="auto"/>
          </w:tcPr>
          <w:p w14:paraId="093D0D75" w14:textId="77777777" w:rsidR="0025162F" w:rsidRPr="00BE258D" w:rsidRDefault="0025162F" w:rsidP="002A5CF1">
            <w:pPr>
              <w:jc w:val="center"/>
            </w:pPr>
            <w:r w:rsidRPr="00BE258D">
              <w:t xml:space="preserve">6 </w:t>
            </w:r>
          </w:p>
        </w:tc>
        <w:tc>
          <w:tcPr>
            <w:tcW w:w="3382" w:type="dxa"/>
            <w:shd w:val="clear" w:color="auto" w:fill="auto"/>
          </w:tcPr>
          <w:p w14:paraId="0639E58D" w14:textId="77777777" w:rsidR="0025162F" w:rsidRPr="00BE258D" w:rsidRDefault="0025162F" w:rsidP="002A5CF1">
            <w:r w:rsidRPr="00BE258D">
              <w:t xml:space="preserve">Public Service Announcements about Safe Disposal of Opioids </w:t>
            </w:r>
          </w:p>
        </w:tc>
        <w:tc>
          <w:tcPr>
            <w:tcW w:w="1963" w:type="dxa"/>
          </w:tcPr>
          <w:p w14:paraId="7628047D" w14:textId="77777777" w:rsidR="0025162F" w:rsidRPr="00BE258D" w:rsidRDefault="0025162F" w:rsidP="002A5CF1">
            <w:r w:rsidRPr="00BE258D">
              <w:t>30 min/$35</w:t>
            </w:r>
          </w:p>
        </w:tc>
        <w:tc>
          <w:tcPr>
            <w:tcW w:w="2151" w:type="dxa"/>
            <w:shd w:val="clear" w:color="auto" w:fill="auto"/>
          </w:tcPr>
          <w:p w14:paraId="78411BC8" w14:textId="77777777" w:rsidR="0025162F" w:rsidRPr="00BE258D" w:rsidRDefault="0025162F" w:rsidP="002A5CF1">
            <w:r w:rsidRPr="00BE258D">
              <w:t>July 26, 2018</w:t>
            </w:r>
          </w:p>
        </w:tc>
      </w:tr>
      <w:tr w:rsidR="0025162F" w:rsidRPr="00BE258D" w14:paraId="28C4BA70" w14:textId="77777777" w:rsidTr="003A1FE7">
        <w:tc>
          <w:tcPr>
            <w:tcW w:w="1026" w:type="dxa"/>
            <w:shd w:val="clear" w:color="auto" w:fill="auto"/>
          </w:tcPr>
          <w:p w14:paraId="7AC6DEC1" w14:textId="77777777" w:rsidR="0025162F" w:rsidRPr="00BE258D" w:rsidRDefault="0025162F" w:rsidP="002A5CF1">
            <w:pPr>
              <w:jc w:val="center"/>
            </w:pPr>
            <w:r w:rsidRPr="00BE258D">
              <w:t>7</w:t>
            </w:r>
          </w:p>
        </w:tc>
        <w:tc>
          <w:tcPr>
            <w:tcW w:w="3382" w:type="dxa"/>
            <w:shd w:val="clear" w:color="auto" w:fill="auto"/>
          </w:tcPr>
          <w:p w14:paraId="3A5C8115" w14:textId="77777777" w:rsidR="0025162F" w:rsidRPr="00BE258D" w:rsidRDefault="0025162F" w:rsidP="002A5CF1">
            <w:r w:rsidRPr="00BE258D">
              <w:t>Nicotine Dialogue Campaign Branding</w:t>
            </w:r>
          </w:p>
        </w:tc>
        <w:tc>
          <w:tcPr>
            <w:tcW w:w="1963" w:type="dxa"/>
          </w:tcPr>
          <w:p w14:paraId="09D0DCEC" w14:textId="77777777" w:rsidR="0025162F" w:rsidRPr="00BE258D" w:rsidRDefault="0025162F" w:rsidP="002A5CF1">
            <w:r w:rsidRPr="00BE258D">
              <w:t>30 min/$35</w:t>
            </w:r>
          </w:p>
        </w:tc>
        <w:tc>
          <w:tcPr>
            <w:tcW w:w="2151" w:type="dxa"/>
            <w:shd w:val="clear" w:color="auto" w:fill="auto"/>
          </w:tcPr>
          <w:p w14:paraId="2CB7F87E" w14:textId="77777777" w:rsidR="0025162F" w:rsidRPr="00BE258D" w:rsidRDefault="0025162F" w:rsidP="002A5CF1">
            <w:r w:rsidRPr="00BE258D">
              <w:t>August 23, 2018</w:t>
            </w:r>
          </w:p>
        </w:tc>
      </w:tr>
      <w:tr w:rsidR="000C4040" w:rsidRPr="00BE258D" w14:paraId="1851117C" w14:textId="77777777" w:rsidTr="003A1FE7">
        <w:tc>
          <w:tcPr>
            <w:tcW w:w="1026" w:type="dxa"/>
            <w:shd w:val="clear" w:color="auto" w:fill="auto"/>
          </w:tcPr>
          <w:p w14:paraId="6EF4B9F1" w14:textId="79188AF3" w:rsidR="000C4040" w:rsidRPr="00BE258D" w:rsidRDefault="000C4040" w:rsidP="002A5CF1">
            <w:pPr>
              <w:jc w:val="center"/>
            </w:pPr>
            <w:r w:rsidRPr="00BE258D">
              <w:t>8</w:t>
            </w:r>
          </w:p>
        </w:tc>
        <w:tc>
          <w:tcPr>
            <w:tcW w:w="3382" w:type="dxa"/>
            <w:shd w:val="clear" w:color="auto" w:fill="auto"/>
          </w:tcPr>
          <w:p w14:paraId="3D8E4B7C" w14:textId="2876494D" w:rsidR="000C4040" w:rsidRPr="00BE258D" w:rsidRDefault="000C4040" w:rsidP="002A5CF1">
            <w:r w:rsidRPr="00BE258D">
              <w:t>Testosterone Medication Guide</w:t>
            </w:r>
          </w:p>
        </w:tc>
        <w:tc>
          <w:tcPr>
            <w:tcW w:w="1963" w:type="dxa"/>
          </w:tcPr>
          <w:p w14:paraId="16F2B47B" w14:textId="42E8DCF6" w:rsidR="000C4040" w:rsidRPr="00BE258D" w:rsidRDefault="000C4040" w:rsidP="002A5CF1">
            <w:r w:rsidRPr="00BE258D">
              <w:t>45 min/$50</w:t>
            </w:r>
          </w:p>
        </w:tc>
        <w:tc>
          <w:tcPr>
            <w:tcW w:w="2151" w:type="dxa"/>
            <w:shd w:val="clear" w:color="auto" w:fill="auto"/>
          </w:tcPr>
          <w:p w14:paraId="7802A3C1" w14:textId="7B375433" w:rsidR="000C4040" w:rsidRPr="00BE258D" w:rsidRDefault="000C4040" w:rsidP="002A5CF1">
            <w:r w:rsidRPr="00BE258D">
              <w:t>October 12, 2018</w:t>
            </w:r>
          </w:p>
        </w:tc>
      </w:tr>
      <w:tr w:rsidR="00E27C17" w:rsidRPr="00BE258D" w14:paraId="55396D73" w14:textId="77777777" w:rsidTr="003A1FE7">
        <w:tc>
          <w:tcPr>
            <w:tcW w:w="1026" w:type="dxa"/>
            <w:shd w:val="clear" w:color="auto" w:fill="auto"/>
          </w:tcPr>
          <w:p w14:paraId="1C600C9C" w14:textId="1728B297" w:rsidR="00E27C17" w:rsidRPr="00BE258D" w:rsidRDefault="00E27C17" w:rsidP="002A5CF1">
            <w:pPr>
              <w:jc w:val="center"/>
            </w:pPr>
            <w:r w:rsidRPr="00BE258D">
              <w:t>9</w:t>
            </w:r>
          </w:p>
        </w:tc>
        <w:tc>
          <w:tcPr>
            <w:tcW w:w="3382" w:type="dxa"/>
            <w:shd w:val="clear" w:color="auto" w:fill="auto"/>
          </w:tcPr>
          <w:p w14:paraId="2BD07671" w14:textId="4CF1B28B" w:rsidR="00E27C17" w:rsidRPr="00BE258D" w:rsidRDefault="00E27C17" w:rsidP="002A5CF1">
            <w:r w:rsidRPr="00BE258D">
              <w:t>Asthma Fact Sheet</w:t>
            </w:r>
          </w:p>
        </w:tc>
        <w:tc>
          <w:tcPr>
            <w:tcW w:w="1963" w:type="dxa"/>
          </w:tcPr>
          <w:p w14:paraId="775CA89C" w14:textId="69BF9B56" w:rsidR="00E27C17" w:rsidRPr="00BE258D" w:rsidRDefault="00E27C17" w:rsidP="002A5CF1">
            <w:r w:rsidRPr="00BE258D">
              <w:t>30 min/$35</w:t>
            </w:r>
          </w:p>
        </w:tc>
        <w:tc>
          <w:tcPr>
            <w:tcW w:w="2151" w:type="dxa"/>
            <w:shd w:val="clear" w:color="auto" w:fill="auto"/>
          </w:tcPr>
          <w:p w14:paraId="38BD6787" w14:textId="50F8446D" w:rsidR="00E27C17" w:rsidRPr="00BE258D" w:rsidRDefault="00E27C17" w:rsidP="002A5CF1">
            <w:r w:rsidRPr="00BE258D">
              <w:t>February 12, 2019</w:t>
            </w:r>
          </w:p>
        </w:tc>
      </w:tr>
      <w:tr w:rsidR="003A1FE7" w:rsidRPr="00BE258D" w14:paraId="4B38463D" w14:textId="77777777" w:rsidTr="003A1FE7">
        <w:tc>
          <w:tcPr>
            <w:tcW w:w="1026" w:type="dxa"/>
            <w:shd w:val="clear" w:color="auto" w:fill="auto"/>
          </w:tcPr>
          <w:p w14:paraId="717E6023" w14:textId="0900002B" w:rsidR="003A1FE7" w:rsidRPr="00BE258D" w:rsidRDefault="003A1FE7" w:rsidP="003A1FE7">
            <w:pPr>
              <w:jc w:val="center"/>
            </w:pPr>
            <w:r w:rsidRPr="00BE258D">
              <w:t>10</w:t>
            </w:r>
          </w:p>
        </w:tc>
        <w:tc>
          <w:tcPr>
            <w:tcW w:w="3382" w:type="dxa"/>
            <w:shd w:val="clear" w:color="auto" w:fill="auto"/>
          </w:tcPr>
          <w:p w14:paraId="183B1854" w14:textId="75DC0259" w:rsidR="003A1FE7" w:rsidRPr="00BE258D" w:rsidRDefault="003A1FE7" w:rsidP="003A1FE7">
            <w:r w:rsidRPr="00BE258D">
              <w:t>T</w:t>
            </w:r>
            <w:r w:rsidR="00300C6A" w:rsidRPr="00BE258D">
              <w:t xml:space="preserve">ransmucosal </w:t>
            </w:r>
            <w:r w:rsidRPr="00BE258D">
              <w:t>I</w:t>
            </w:r>
            <w:r w:rsidR="00300C6A" w:rsidRPr="00BE258D">
              <w:t xml:space="preserve">mmediate </w:t>
            </w:r>
            <w:r w:rsidRPr="00BE258D">
              <w:t>R</w:t>
            </w:r>
            <w:r w:rsidR="00300C6A" w:rsidRPr="00BE258D">
              <w:t xml:space="preserve">elease </w:t>
            </w:r>
            <w:r w:rsidRPr="00BE258D">
              <w:t>F</w:t>
            </w:r>
            <w:r w:rsidR="00300C6A" w:rsidRPr="00BE258D">
              <w:t>entanyl</w:t>
            </w:r>
            <w:r w:rsidRPr="00BE258D">
              <w:t xml:space="preserve"> R</w:t>
            </w:r>
            <w:r w:rsidR="00300C6A" w:rsidRPr="00BE258D">
              <w:t xml:space="preserve">isk </w:t>
            </w:r>
            <w:r w:rsidRPr="00BE258D">
              <w:t>E</w:t>
            </w:r>
            <w:r w:rsidR="00300C6A" w:rsidRPr="00BE258D">
              <w:t xml:space="preserve">valuation </w:t>
            </w:r>
            <w:r w:rsidRPr="00BE258D">
              <w:t>M</w:t>
            </w:r>
            <w:r w:rsidR="00300C6A" w:rsidRPr="00BE258D">
              <w:t xml:space="preserve">itigation </w:t>
            </w:r>
            <w:r w:rsidRPr="00BE258D">
              <w:t>S</w:t>
            </w:r>
            <w:r w:rsidR="00300C6A" w:rsidRPr="00BE258D">
              <w:t>trategy Program</w:t>
            </w:r>
            <w:r w:rsidRPr="00BE258D">
              <w:t xml:space="preserve"> Patient-Prescriber Agreement Form</w:t>
            </w:r>
          </w:p>
        </w:tc>
        <w:tc>
          <w:tcPr>
            <w:tcW w:w="1963" w:type="dxa"/>
          </w:tcPr>
          <w:p w14:paraId="2E20FA80" w14:textId="79D37ED5" w:rsidR="003A1FE7" w:rsidRPr="00BE258D" w:rsidRDefault="003A1FE7" w:rsidP="003A1FE7">
            <w:r w:rsidRPr="00BE258D">
              <w:t>45 min/$50</w:t>
            </w:r>
          </w:p>
        </w:tc>
        <w:tc>
          <w:tcPr>
            <w:tcW w:w="2151" w:type="dxa"/>
            <w:shd w:val="clear" w:color="auto" w:fill="auto"/>
          </w:tcPr>
          <w:p w14:paraId="4236CBE1" w14:textId="2533CADD" w:rsidR="003A1FE7" w:rsidRPr="00BE258D" w:rsidRDefault="003A1FE7" w:rsidP="003A1FE7">
            <w:r w:rsidRPr="00BE258D">
              <w:t>April 4, 2019</w:t>
            </w:r>
          </w:p>
        </w:tc>
      </w:tr>
      <w:tr w:rsidR="00AA4CCD" w:rsidRPr="00BE258D" w14:paraId="2BEDF0FB" w14:textId="77777777" w:rsidTr="003A1FE7">
        <w:tc>
          <w:tcPr>
            <w:tcW w:w="1026" w:type="dxa"/>
            <w:shd w:val="clear" w:color="auto" w:fill="auto"/>
          </w:tcPr>
          <w:p w14:paraId="221B6013" w14:textId="3008FA22" w:rsidR="00AA4CCD" w:rsidRPr="00BE258D" w:rsidRDefault="00AA4CCD" w:rsidP="003A1FE7">
            <w:pPr>
              <w:jc w:val="center"/>
            </w:pPr>
            <w:r w:rsidRPr="00BE258D">
              <w:t>11</w:t>
            </w:r>
          </w:p>
        </w:tc>
        <w:tc>
          <w:tcPr>
            <w:tcW w:w="3382" w:type="dxa"/>
            <w:shd w:val="clear" w:color="auto" w:fill="auto"/>
          </w:tcPr>
          <w:p w14:paraId="0F4189C1" w14:textId="2C243A1B" w:rsidR="00AA4CCD" w:rsidRPr="00BE258D" w:rsidRDefault="00AA4CCD" w:rsidP="003A1FE7">
            <w:r w:rsidRPr="00BE258D">
              <w:t>BeSafeRx Campaign Messages</w:t>
            </w:r>
          </w:p>
        </w:tc>
        <w:tc>
          <w:tcPr>
            <w:tcW w:w="1963" w:type="dxa"/>
          </w:tcPr>
          <w:p w14:paraId="604E6436" w14:textId="77C50D75" w:rsidR="00AA4CCD" w:rsidRPr="00BE258D" w:rsidRDefault="00AA4CCD" w:rsidP="003A1FE7">
            <w:r w:rsidRPr="00BE258D">
              <w:t>45 min/$50</w:t>
            </w:r>
          </w:p>
        </w:tc>
        <w:tc>
          <w:tcPr>
            <w:tcW w:w="2151" w:type="dxa"/>
            <w:shd w:val="clear" w:color="auto" w:fill="auto"/>
          </w:tcPr>
          <w:p w14:paraId="3A67672D" w14:textId="38F8AE97" w:rsidR="00AA4CCD" w:rsidRPr="00BE258D" w:rsidRDefault="00AA4CCD" w:rsidP="003A1FE7">
            <w:r w:rsidRPr="00BE258D">
              <w:t>May 17, 2019</w:t>
            </w:r>
          </w:p>
        </w:tc>
      </w:tr>
      <w:tr w:rsidR="004E49A4" w:rsidRPr="00BE258D" w14:paraId="0D57B4DA" w14:textId="77777777" w:rsidTr="003A1FE7">
        <w:tc>
          <w:tcPr>
            <w:tcW w:w="1026" w:type="dxa"/>
            <w:shd w:val="clear" w:color="auto" w:fill="auto"/>
          </w:tcPr>
          <w:p w14:paraId="090AE9EF" w14:textId="3E333CB0" w:rsidR="004E49A4" w:rsidRPr="00BE258D" w:rsidRDefault="004E49A4" w:rsidP="003A1FE7">
            <w:pPr>
              <w:jc w:val="center"/>
            </w:pPr>
            <w:r>
              <w:t>12</w:t>
            </w:r>
          </w:p>
        </w:tc>
        <w:tc>
          <w:tcPr>
            <w:tcW w:w="3382" w:type="dxa"/>
            <w:shd w:val="clear" w:color="auto" w:fill="auto"/>
          </w:tcPr>
          <w:p w14:paraId="02BD27BB" w14:textId="05B04848" w:rsidR="004E49A4" w:rsidRPr="00BE258D" w:rsidRDefault="004E49A4" w:rsidP="003A1FE7">
            <w:r>
              <w:t>Safe Drug Disposal Notecard</w:t>
            </w:r>
          </w:p>
        </w:tc>
        <w:tc>
          <w:tcPr>
            <w:tcW w:w="1963" w:type="dxa"/>
          </w:tcPr>
          <w:p w14:paraId="2DA9E35D" w14:textId="6E4284FC" w:rsidR="004E49A4" w:rsidRPr="00BE258D" w:rsidRDefault="004E49A4" w:rsidP="003A1FE7">
            <w:r w:rsidRPr="004E49A4">
              <w:t>30 min/$35</w:t>
            </w:r>
          </w:p>
        </w:tc>
        <w:tc>
          <w:tcPr>
            <w:tcW w:w="2151" w:type="dxa"/>
            <w:shd w:val="clear" w:color="auto" w:fill="auto"/>
          </w:tcPr>
          <w:p w14:paraId="698423A1" w14:textId="6868197E" w:rsidR="004E49A4" w:rsidRPr="00BE258D" w:rsidRDefault="004E49A4" w:rsidP="003A1FE7">
            <w:r>
              <w:t>June 28, 2019</w:t>
            </w:r>
          </w:p>
        </w:tc>
      </w:tr>
    </w:tbl>
    <w:p w14:paraId="1E312B2A" w14:textId="77777777" w:rsidR="0025162F" w:rsidRPr="00BE258D" w:rsidRDefault="0025162F" w:rsidP="0025162F">
      <w:pPr>
        <w:ind w:left="720"/>
      </w:pPr>
    </w:p>
    <w:p w14:paraId="5F51A0E1" w14:textId="77777777" w:rsidR="002D29F9" w:rsidRPr="00BE258D" w:rsidRDefault="002D29F9" w:rsidP="002D29F9">
      <w:pPr>
        <w:pStyle w:val="ListParagraph"/>
      </w:pPr>
    </w:p>
    <w:p w14:paraId="5995C189" w14:textId="77777777" w:rsidR="00DD1CCA" w:rsidRPr="00BE258D" w:rsidRDefault="00DD1CCA" w:rsidP="00DD1CCA">
      <w:pPr>
        <w:numPr>
          <w:ilvl w:val="0"/>
          <w:numId w:val="15"/>
        </w:numPr>
        <w:tabs>
          <w:tab w:val="num" w:pos="720"/>
        </w:tabs>
        <w:ind w:left="720"/>
        <w:rPr>
          <w:b/>
        </w:rPr>
      </w:pPr>
      <w:r w:rsidRPr="00BE258D">
        <w:rPr>
          <w:b/>
        </w:rPr>
        <w:t>Questions of a Sensitive Nature</w:t>
      </w:r>
    </w:p>
    <w:p w14:paraId="612E90E4" w14:textId="77777777" w:rsidR="00C01642" w:rsidRPr="00BE258D" w:rsidRDefault="00C01642" w:rsidP="00E35DB8">
      <w:pPr>
        <w:pStyle w:val="ListParagraph"/>
      </w:pPr>
    </w:p>
    <w:p w14:paraId="527958CA" w14:textId="6C1251CD" w:rsidR="00E35DB8" w:rsidRPr="00BE258D" w:rsidRDefault="00E35DB8" w:rsidP="00E35DB8">
      <w:pPr>
        <w:pStyle w:val="ListParagraph"/>
      </w:pPr>
      <w:r w:rsidRPr="00BE258D">
        <w:t>We do not anticipate asking any sensitive questions in the interviews.  Instead, the questions will focus on individuals’ reactio</w:t>
      </w:r>
      <w:r w:rsidR="00E15AC0" w:rsidRPr="00BE258D">
        <w:t>ns to the messages and material</w:t>
      </w:r>
      <w:r w:rsidR="00836A21">
        <w:t>s</w:t>
      </w:r>
      <w:r w:rsidRPr="00BE258D">
        <w:t xml:space="preserve">. </w:t>
      </w:r>
    </w:p>
    <w:p w14:paraId="14500EAF" w14:textId="77777777" w:rsidR="00E35DB8" w:rsidRPr="00BE258D" w:rsidRDefault="00E35DB8" w:rsidP="00E35DB8">
      <w:pPr>
        <w:pStyle w:val="ListParagraph"/>
      </w:pPr>
    </w:p>
    <w:p w14:paraId="5E50061F" w14:textId="77777777" w:rsidR="00DD1CCA" w:rsidRPr="00BE258D" w:rsidRDefault="00E35DB8" w:rsidP="00E35DB8">
      <w:pPr>
        <w:pStyle w:val="ListParagraph"/>
      </w:pPr>
      <w:r w:rsidRPr="00BE258D">
        <w:t>Nevertheless, respondents will be told that they may skip any question that they do not want to answer or may stop participating at any time.</w:t>
      </w:r>
    </w:p>
    <w:p w14:paraId="3F07B618" w14:textId="77777777" w:rsidR="00DD1CCA" w:rsidRPr="00BE258D" w:rsidRDefault="00DD1CCA" w:rsidP="00DD1CCA">
      <w:pPr>
        <w:pStyle w:val="ListParagraph"/>
      </w:pPr>
    </w:p>
    <w:p w14:paraId="25E1809A" w14:textId="2BFCB2D2" w:rsidR="00DD1CCA" w:rsidRPr="00BE258D" w:rsidRDefault="00DD1CCA" w:rsidP="00DD1CCA">
      <w:pPr>
        <w:numPr>
          <w:ilvl w:val="0"/>
          <w:numId w:val="15"/>
        </w:numPr>
        <w:tabs>
          <w:tab w:val="num" w:pos="720"/>
        </w:tabs>
        <w:ind w:left="720"/>
        <w:rPr>
          <w:b/>
        </w:rPr>
      </w:pPr>
      <w:r w:rsidRPr="00BE258D">
        <w:rPr>
          <w:b/>
        </w:rPr>
        <w:t>Description of Statistical Methods</w:t>
      </w:r>
    </w:p>
    <w:p w14:paraId="570F4B2B" w14:textId="77777777" w:rsidR="00C01642" w:rsidRPr="00BE258D" w:rsidRDefault="00C01642" w:rsidP="00901173">
      <w:pPr>
        <w:pStyle w:val="ListParagraph"/>
      </w:pPr>
    </w:p>
    <w:p w14:paraId="00C38572" w14:textId="77777777" w:rsidR="00DD1CCA" w:rsidRPr="00BE258D" w:rsidRDefault="00901173" w:rsidP="00901173">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14:paraId="67E30B34" w14:textId="77777777" w:rsidR="00901173" w:rsidRPr="00BE258D" w:rsidRDefault="00901173" w:rsidP="00901173">
      <w:pPr>
        <w:pStyle w:val="ListParagraph"/>
      </w:pPr>
    </w:p>
    <w:p w14:paraId="0C31AADA" w14:textId="77777777" w:rsidR="00901173" w:rsidRPr="00BE258D" w:rsidRDefault="00901173" w:rsidP="00901173">
      <w:pPr>
        <w:pStyle w:val="ListParagraph"/>
      </w:pPr>
      <w:r w:rsidRPr="00BE258D">
        <w:t>The Framework method will allow us to recognize patterns within the data.  Findings will be supported with verbatim participant quotes and grounded in accepted principles of health communications.</w:t>
      </w:r>
    </w:p>
    <w:p w14:paraId="68742DC8" w14:textId="77777777" w:rsidR="00DD1CCA" w:rsidRPr="00BE258D" w:rsidRDefault="00DD1CCA" w:rsidP="00DD1CCA">
      <w:pPr>
        <w:pStyle w:val="ListParagraph"/>
      </w:pPr>
    </w:p>
    <w:p w14:paraId="4C0D4186" w14:textId="77777777" w:rsidR="00E61DBA" w:rsidRPr="00BE258D"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339792CA" w14:textId="77777777" w:rsidR="00E61DBA" w:rsidRPr="00BE258D" w:rsidRDefault="00E61DBA">
          <w:pPr>
            <w:pStyle w:val="Heading1"/>
          </w:pPr>
          <w:r w:rsidRPr="00BE258D">
            <w:t>Bibliography</w:t>
          </w:r>
        </w:p>
        <w:sdt>
          <w:sdtPr>
            <w:id w:val="111145805"/>
            <w:bibliography/>
          </w:sdtPr>
          <w:sdtEndPr/>
          <w:sdtContent>
            <w:p w14:paraId="58E71271" w14:textId="77777777" w:rsidR="00862BC5" w:rsidRPr="00BE258D" w:rsidRDefault="00E61DBA" w:rsidP="00411736">
              <w:pPr>
                <w:pStyle w:val="Bibliography"/>
                <w:ind w:left="720" w:hanging="720"/>
                <w:rPr>
                  <w:noProof/>
                </w:rPr>
              </w:pPr>
              <w:r w:rsidRPr="00BE258D">
                <w:fldChar w:fldCharType="begin"/>
              </w:r>
              <w:r w:rsidRPr="00BE258D">
                <w:instrText xml:space="preserve"> BIBLIOGRAPHY </w:instrText>
              </w:r>
              <w:r w:rsidRPr="00BE258D">
                <w:fldChar w:fldCharType="separate"/>
              </w:r>
              <w:r w:rsidR="00862BC5" w:rsidRPr="00BE258D">
                <w:rPr>
                  <w:noProof/>
                </w:rPr>
                <w:t xml:space="preserve">Spencer, L., Ritchie, J., &amp; O'Connor, W. (2003). Analysis practices, principles and processes. In </w:t>
              </w:r>
              <w:r w:rsidR="00862BC5" w:rsidRPr="00BE258D">
                <w:rPr>
                  <w:i/>
                  <w:iCs/>
                  <w:noProof/>
                </w:rPr>
                <w:t>Qualitative research practice.</w:t>
              </w:r>
              <w:r w:rsidR="00862BC5" w:rsidRPr="00BE258D">
                <w:rPr>
                  <w:noProof/>
                </w:rPr>
                <w:t xml:space="preserve"> London: Sage Publications.</w:t>
              </w:r>
            </w:p>
            <w:p w14:paraId="33BB68B2" w14:textId="77777777" w:rsidR="00E61DBA" w:rsidRPr="00BE258D" w:rsidRDefault="00E61DBA" w:rsidP="00E45582">
              <w:pPr>
                <w:ind w:left="720" w:hanging="720"/>
              </w:pPr>
              <w:r w:rsidRPr="00BE258D">
                <w:rPr>
                  <w:b/>
                  <w:bCs/>
                  <w:noProof/>
                </w:rPr>
                <w:fldChar w:fldCharType="end"/>
              </w:r>
              <w:r w:rsidR="00E45582" w:rsidRPr="00BE258D">
                <w:t xml:space="preserve"> Guest, G., Bunce, A., &amp; Johnson, L. (2006). How many interviews are enough? An experiment with data saturation and variability. Field methods, 18(1), 59-82.</w:t>
              </w:r>
            </w:p>
          </w:sdtContent>
        </w:sdt>
      </w:sdtContent>
    </w:sdt>
    <w:p w14:paraId="37AC40DE" w14:textId="77777777" w:rsidR="00E61DBA" w:rsidRPr="00BE258D" w:rsidRDefault="00E61DBA" w:rsidP="00901173">
      <w:pPr>
        <w:tabs>
          <w:tab w:val="left" w:pos="1170"/>
        </w:tabs>
        <w:autoSpaceDE w:val="0"/>
        <w:autoSpaceDN w:val="0"/>
        <w:adjustRightInd w:val="0"/>
        <w:ind w:left="1170" w:hanging="450"/>
      </w:pPr>
    </w:p>
    <w:p w14:paraId="2C8ADD5B" w14:textId="7131DD31" w:rsidR="00397C72" w:rsidRPr="00BE258D" w:rsidRDefault="00397C72" w:rsidP="005157BB"/>
    <w:p w14:paraId="7343250E" w14:textId="77777777" w:rsidR="003F1C7A" w:rsidRPr="00BE258D" w:rsidRDefault="003F1C7A" w:rsidP="002F5329">
      <w:pPr>
        <w:rPr>
          <w:i/>
        </w:rPr>
      </w:pPr>
      <w:r w:rsidRPr="00BE258D">
        <w:rPr>
          <w:b/>
        </w:rPr>
        <w:t>BURDEN HOUR COMPUTATION</w:t>
      </w:r>
      <w:r w:rsidRPr="00BE258D">
        <w:t xml:space="preserve"> </w:t>
      </w:r>
      <w:r w:rsidRPr="00BE258D">
        <w:rPr>
          <w:i/>
        </w:rPr>
        <w:t>(Number of responses</w:t>
      </w:r>
      <w:r w:rsidR="0049419A" w:rsidRPr="00BE258D">
        <w:rPr>
          <w:i/>
        </w:rPr>
        <w:t xml:space="preserve"> </w:t>
      </w:r>
      <w:r w:rsidRPr="00BE258D">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RPr="00BE258D" w14:paraId="7C009B49" w14:textId="77777777" w:rsidTr="001A360A">
        <w:trPr>
          <w:trHeight w:val="274"/>
          <w:jc w:val="center"/>
        </w:trPr>
        <w:tc>
          <w:tcPr>
            <w:tcW w:w="1996" w:type="dxa"/>
            <w:shd w:val="clear" w:color="auto" w:fill="E0E0E0"/>
          </w:tcPr>
          <w:p w14:paraId="71F18737" w14:textId="77777777" w:rsidR="003F1C7A" w:rsidRPr="00BE258D" w:rsidRDefault="00696B03">
            <w:pPr>
              <w:jc w:val="center"/>
              <w:rPr>
                <w:b/>
              </w:rPr>
            </w:pPr>
            <w:r w:rsidRPr="00BE258D">
              <w:rPr>
                <w:b/>
              </w:rPr>
              <w:t>Type/</w:t>
            </w:r>
            <w:r w:rsidR="003F1C7A" w:rsidRPr="00BE258D">
              <w:rPr>
                <w:b/>
              </w:rPr>
              <w:t>Category of Respondent</w:t>
            </w:r>
          </w:p>
        </w:tc>
        <w:tc>
          <w:tcPr>
            <w:tcW w:w="3000" w:type="dxa"/>
            <w:shd w:val="clear" w:color="auto" w:fill="E0E0E0"/>
          </w:tcPr>
          <w:p w14:paraId="59DD3001" w14:textId="77777777" w:rsidR="003F1C7A" w:rsidRPr="00BE258D" w:rsidRDefault="003F1C7A" w:rsidP="00696B03">
            <w:pPr>
              <w:jc w:val="center"/>
              <w:rPr>
                <w:b/>
              </w:rPr>
            </w:pPr>
            <w:r w:rsidRPr="00BE258D">
              <w:rPr>
                <w:b/>
              </w:rPr>
              <w:t>No. of Respondent</w:t>
            </w:r>
            <w:r w:rsidR="00696B03" w:rsidRPr="00BE258D">
              <w:rPr>
                <w:b/>
              </w:rPr>
              <w:t>s</w:t>
            </w:r>
          </w:p>
        </w:tc>
        <w:tc>
          <w:tcPr>
            <w:tcW w:w="1619" w:type="dxa"/>
            <w:shd w:val="clear" w:color="auto" w:fill="E0E0E0"/>
          </w:tcPr>
          <w:p w14:paraId="15878D47" w14:textId="77777777" w:rsidR="003F1C7A" w:rsidRPr="00BE258D" w:rsidRDefault="003F1C7A">
            <w:pPr>
              <w:jc w:val="center"/>
              <w:rPr>
                <w:b/>
              </w:rPr>
            </w:pPr>
            <w:r w:rsidRPr="00BE258D">
              <w:rPr>
                <w:b/>
              </w:rPr>
              <w:t>Participation Time</w:t>
            </w:r>
            <w:r w:rsidR="00696B03" w:rsidRPr="00BE258D">
              <w:rPr>
                <w:b/>
              </w:rPr>
              <w:t xml:space="preserve"> (minutes)</w:t>
            </w:r>
          </w:p>
        </w:tc>
        <w:tc>
          <w:tcPr>
            <w:tcW w:w="1877" w:type="dxa"/>
            <w:shd w:val="clear" w:color="auto" w:fill="E0E0E0"/>
          </w:tcPr>
          <w:p w14:paraId="0C439A63" w14:textId="77777777" w:rsidR="003F1C7A" w:rsidRPr="00BE258D" w:rsidRDefault="003F1C7A">
            <w:pPr>
              <w:jc w:val="center"/>
              <w:rPr>
                <w:b/>
              </w:rPr>
            </w:pPr>
            <w:r w:rsidRPr="00BE258D">
              <w:rPr>
                <w:b/>
              </w:rPr>
              <w:t>Burden</w:t>
            </w:r>
          </w:p>
          <w:p w14:paraId="18868748" w14:textId="77777777" w:rsidR="00696B03" w:rsidRPr="00BE258D" w:rsidRDefault="00696B03">
            <w:pPr>
              <w:jc w:val="center"/>
              <w:rPr>
                <w:b/>
              </w:rPr>
            </w:pPr>
            <w:r w:rsidRPr="00BE258D">
              <w:rPr>
                <w:b/>
              </w:rPr>
              <w:t>(hours)</w:t>
            </w:r>
          </w:p>
        </w:tc>
      </w:tr>
      <w:tr w:rsidR="00B14D7F" w:rsidRPr="00BE258D" w14:paraId="7D168EA0" w14:textId="77777777" w:rsidTr="001A360A">
        <w:trPr>
          <w:trHeight w:val="274"/>
          <w:jc w:val="center"/>
        </w:trPr>
        <w:tc>
          <w:tcPr>
            <w:tcW w:w="1996" w:type="dxa"/>
          </w:tcPr>
          <w:p w14:paraId="3E524052" w14:textId="77777777" w:rsidR="00B14D7F" w:rsidRPr="00BE258D" w:rsidRDefault="00B14D7F">
            <w:pPr>
              <w:jc w:val="center"/>
            </w:pPr>
            <w:r w:rsidRPr="00BE258D">
              <w:t>Screener</w:t>
            </w:r>
          </w:p>
        </w:tc>
        <w:tc>
          <w:tcPr>
            <w:tcW w:w="3000" w:type="dxa"/>
            <w:vAlign w:val="center"/>
          </w:tcPr>
          <w:p w14:paraId="747A6CEB" w14:textId="43EEDDE1" w:rsidR="00B14D7F" w:rsidRPr="00BE258D" w:rsidRDefault="003956D7" w:rsidP="005E78C3">
            <w:pPr>
              <w:jc w:val="center"/>
            </w:pPr>
            <w:r>
              <w:t>75</w:t>
            </w:r>
          </w:p>
        </w:tc>
        <w:tc>
          <w:tcPr>
            <w:tcW w:w="1619" w:type="dxa"/>
            <w:vAlign w:val="center"/>
          </w:tcPr>
          <w:p w14:paraId="17B15920" w14:textId="77777777" w:rsidR="00B14D7F" w:rsidRPr="00BE258D" w:rsidRDefault="00B14D7F" w:rsidP="005E78C3">
            <w:pPr>
              <w:jc w:val="center"/>
            </w:pPr>
            <w:r w:rsidRPr="00BE258D">
              <w:t>3</w:t>
            </w:r>
          </w:p>
        </w:tc>
        <w:tc>
          <w:tcPr>
            <w:tcW w:w="1877" w:type="dxa"/>
            <w:vAlign w:val="center"/>
          </w:tcPr>
          <w:p w14:paraId="09B4EDE1" w14:textId="0E5B814B" w:rsidR="00B14D7F" w:rsidRPr="00BE258D" w:rsidRDefault="007928F1" w:rsidP="005E78C3">
            <w:pPr>
              <w:jc w:val="center"/>
            </w:pPr>
            <w:r>
              <w:t>4</w:t>
            </w:r>
          </w:p>
        </w:tc>
      </w:tr>
      <w:tr w:rsidR="003F1C7A" w:rsidRPr="00BE258D" w14:paraId="5B81641F" w14:textId="77777777" w:rsidTr="001A360A">
        <w:trPr>
          <w:trHeight w:val="274"/>
          <w:jc w:val="center"/>
        </w:trPr>
        <w:tc>
          <w:tcPr>
            <w:tcW w:w="1996" w:type="dxa"/>
          </w:tcPr>
          <w:p w14:paraId="656A91AD" w14:textId="77777777" w:rsidR="003F1C7A" w:rsidRPr="00BE258D" w:rsidRDefault="00B14D7F">
            <w:pPr>
              <w:jc w:val="center"/>
            </w:pPr>
            <w:r w:rsidRPr="00BE258D">
              <w:t>Interviews</w:t>
            </w:r>
          </w:p>
        </w:tc>
        <w:tc>
          <w:tcPr>
            <w:tcW w:w="3000" w:type="dxa"/>
            <w:vAlign w:val="center"/>
          </w:tcPr>
          <w:p w14:paraId="446375EF" w14:textId="7BBA3553" w:rsidR="003F1C7A" w:rsidRPr="00BE258D" w:rsidRDefault="00836A21" w:rsidP="005E78C3">
            <w:pPr>
              <w:jc w:val="center"/>
            </w:pPr>
            <w:r>
              <w:t>18</w:t>
            </w:r>
          </w:p>
        </w:tc>
        <w:tc>
          <w:tcPr>
            <w:tcW w:w="1619" w:type="dxa"/>
            <w:vAlign w:val="center"/>
          </w:tcPr>
          <w:p w14:paraId="36B034BB" w14:textId="04047885" w:rsidR="003F1C7A" w:rsidRPr="00BE258D" w:rsidRDefault="00836A21" w:rsidP="005E78C3">
            <w:pPr>
              <w:jc w:val="center"/>
            </w:pPr>
            <w:r>
              <w:t>45</w:t>
            </w:r>
          </w:p>
        </w:tc>
        <w:tc>
          <w:tcPr>
            <w:tcW w:w="1877" w:type="dxa"/>
            <w:vAlign w:val="center"/>
          </w:tcPr>
          <w:p w14:paraId="20E3BAC9" w14:textId="76C1D026" w:rsidR="003F1C7A" w:rsidRPr="00BE258D" w:rsidRDefault="00836A21" w:rsidP="005E78C3">
            <w:pPr>
              <w:jc w:val="center"/>
            </w:pPr>
            <w:r>
              <w:t>14</w:t>
            </w:r>
          </w:p>
        </w:tc>
      </w:tr>
      <w:tr w:rsidR="00B14D7F" w:rsidRPr="00BE258D" w14:paraId="7AA23E88" w14:textId="77777777" w:rsidTr="001A360A">
        <w:trPr>
          <w:trHeight w:val="274"/>
          <w:jc w:val="center"/>
        </w:trPr>
        <w:tc>
          <w:tcPr>
            <w:tcW w:w="4996" w:type="dxa"/>
            <w:gridSpan w:val="2"/>
          </w:tcPr>
          <w:p w14:paraId="0DEACE75" w14:textId="77777777" w:rsidR="00B14D7F" w:rsidRPr="00BE258D" w:rsidRDefault="00B14D7F" w:rsidP="005E78C3">
            <w:pPr>
              <w:jc w:val="center"/>
            </w:pPr>
          </w:p>
        </w:tc>
        <w:tc>
          <w:tcPr>
            <w:tcW w:w="1619" w:type="dxa"/>
            <w:vAlign w:val="center"/>
          </w:tcPr>
          <w:p w14:paraId="03FF2624" w14:textId="77777777" w:rsidR="00B14D7F" w:rsidRPr="00BE258D" w:rsidRDefault="00B14D7F" w:rsidP="005E78C3">
            <w:pPr>
              <w:jc w:val="center"/>
              <w:rPr>
                <w:b/>
              </w:rPr>
            </w:pPr>
            <w:r w:rsidRPr="00BE258D">
              <w:rPr>
                <w:b/>
              </w:rPr>
              <w:t>Total</w:t>
            </w:r>
          </w:p>
        </w:tc>
        <w:tc>
          <w:tcPr>
            <w:tcW w:w="1877" w:type="dxa"/>
            <w:vAlign w:val="center"/>
          </w:tcPr>
          <w:p w14:paraId="6E66D910" w14:textId="0ACDA11B" w:rsidR="00B14D7F" w:rsidRPr="00BE258D" w:rsidRDefault="007928F1" w:rsidP="005E78C3">
            <w:pPr>
              <w:jc w:val="center"/>
              <w:rPr>
                <w:b/>
              </w:rPr>
            </w:pPr>
            <w:r>
              <w:rPr>
                <w:b/>
              </w:rPr>
              <w:t>18</w:t>
            </w:r>
          </w:p>
        </w:tc>
      </w:tr>
    </w:tbl>
    <w:p w14:paraId="3D45F432" w14:textId="77777777" w:rsidR="003F1C7A" w:rsidRPr="00BE258D" w:rsidRDefault="003F1C7A"/>
    <w:p w14:paraId="3FB607B1" w14:textId="591F13F0" w:rsidR="00E215FA" w:rsidRPr="00BE258D" w:rsidRDefault="003F1C7A">
      <w:pPr>
        <w:rPr>
          <w:b/>
        </w:rPr>
      </w:pPr>
      <w:r w:rsidRPr="00BE258D">
        <w:rPr>
          <w:b/>
        </w:rPr>
        <w:t>REQUESTED APPROVAL DATE:</w:t>
      </w:r>
      <w:r w:rsidR="00E34B66" w:rsidRPr="00BE258D">
        <w:rPr>
          <w:b/>
        </w:rPr>
        <w:t xml:space="preserve"> </w:t>
      </w:r>
      <w:r w:rsidR="00836A21">
        <w:rPr>
          <w:b/>
        </w:rPr>
        <w:t xml:space="preserve">September </w:t>
      </w:r>
      <w:r w:rsidR="007928F1">
        <w:rPr>
          <w:b/>
        </w:rPr>
        <w:t>9</w:t>
      </w:r>
      <w:r w:rsidR="000C4040" w:rsidRPr="00BE258D">
        <w:rPr>
          <w:b/>
        </w:rPr>
        <w:t>, 2019</w:t>
      </w:r>
    </w:p>
    <w:p w14:paraId="4551EFDC" w14:textId="77777777" w:rsidR="003B7ADD" w:rsidRPr="00BE258D" w:rsidRDefault="003B7ADD">
      <w:pPr>
        <w:rPr>
          <w:b/>
        </w:rPr>
      </w:pPr>
    </w:p>
    <w:p w14:paraId="736BAD9A" w14:textId="77777777" w:rsidR="00B378CA" w:rsidRPr="00BE258D" w:rsidRDefault="00B378CA" w:rsidP="003B7ADD">
      <w:pPr>
        <w:rPr>
          <w:b/>
        </w:rPr>
      </w:pPr>
      <w:r w:rsidRPr="00BE258D">
        <w:rPr>
          <w:b/>
        </w:rPr>
        <w:t>NAME OF P</w:t>
      </w:r>
      <w:r w:rsidR="00F02D9D" w:rsidRPr="00BE258D">
        <w:rPr>
          <w:b/>
        </w:rPr>
        <w:t>RA ANALYST &amp; PROGRAM CONTACT:</w:t>
      </w:r>
    </w:p>
    <w:p w14:paraId="04EFCF41" w14:textId="77777777" w:rsidR="00F02D9D" w:rsidRPr="00BE258D" w:rsidRDefault="00F02D9D" w:rsidP="003B7ADD">
      <w:pPr>
        <w:rPr>
          <w:b/>
        </w:rPr>
      </w:pPr>
    </w:p>
    <w:p w14:paraId="7EEEB013" w14:textId="77777777" w:rsidR="00F02D9D" w:rsidRPr="00BE258D" w:rsidRDefault="00F224C1" w:rsidP="00F02D9D">
      <w:r w:rsidRPr="00BE258D">
        <w:t>Ila S. Mizrachi</w:t>
      </w:r>
    </w:p>
    <w:p w14:paraId="25E5C356" w14:textId="77777777" w:rsidR="00F02D9D" w:rsidRPr="00BE258D" w:rsidRDefault="00F02D9D" w:rsidP="00F02D9D">
      <w:r w:rsidRPr="00BE258D">
        <w:t>Paperwork Reduction Act Staff</w:t>
      </w:r>
    </w:p>
    <w:p w14:paraId="7A838C96" w14:textId="77777777" w:rsidR="00F224C1" w:rsidRPr="00BE258D" w:rsidRDefault="00EF6929" w:rsidP="00F02D9D">
      <w:hyperlink r:id="rId15" w:history="1">
        <w:r w:rsidR="00F224C1" w:rsidRPr="00BE258D">
          <w:rPr>
            <w:rStyle w:val="Hyperlink"/>
          </w:rPr>
          <w:t>Ila.Mizrachi@fda.hhs.gov</w:t>
        </w:r>
      </w:hyperlink>
    </w:p>
    <w:p w14:paraId="23B5483C" w14:textId="77777777" w:rsidR="00F02D9D" w:rsidRPr="00BE258D" w:rsidRDefault="00F02D9D" w:rsidP="00F02D9D">
      <w:r w:rsidRPr="00BE258D">
        <w:t>(301)796-</w:t>
      </w:r>
      <w:r w:rsidR="00F224C1" w:rsidRPr="00BE258D">
        <w:t>7726</w:t>
      </w:r>
    </w:p>
    <w:p w14:paraId="7CA0F571" w14:textId="77777777" w:rsidR="00F02D9D" w:rsidRPr="00BE258D" w:rsidRDefault="00F02D9D" w:rsidP="00F02D9D"/>
    <w:p w14:paraId="45F4F37A" w14:textId="77777777" w:rsidR="00F02D9D" w:rsidRPr="00BE258D" w:rsidRDefault="00F02D9D" w:rsidP="00F02D9D">
      <w:r w:rsidRPr="00BE258D">
        <w:t>Brian Lappin</w:t>
      </w:r>
    </w:p>
    <w:p w14:paraId="612D59DF" w14:textId="76F832EE" w:rsidR="00F02D9D" w:rsidRPr="00BE258D" w:rsidRDefault="00574A04" w:rsidP="00F02D9D">
      <w:r w:rsidRPr="00BE258D">
        <w:t>CDER/Office of Communications</w:t>
      </w:r>
    </w:p>
    <w:p w14:paraId="23DDB5F3" w14:textId="77777777" w:rsidR="00F02D9D" w:rsidRPr="00BE258D" w:rsidRDefault="00EF6929" w:rsidP="00F02D9D">
      <w:hyperlink r:id="rId16" w:history="1">
        <w:r w:rsidR="00F02D9D" w:rsidRPr="00BE258D">
          <w:rPr>
            <w:rStyle w:val="Hyperlink"/>
          </w:rPr>
          <w:t>Brian.Lappin@fda.hhs.gov</w:t>
        </w:r>
      </w:hyperlink>
    </w:p>
    <w:p w14:paraId="0B9A0160" w14:textId="77777777" w:rsidR="00F02D9D" w:rsidRPr="00BE258D" w:rsidRDefault="00F02D9D" w:rsidP="00F02D9D">
      <w:r w:rsidRPr="00BE258D">
        <w:t>(301)796-9126</w:t>
      </w:r>
    </w:p>
    <w:p w14:paraId="2E33680A" w14:textId="77777777" w:rsidR="00F02D9D" w:rsidRPr="00BE258D" w:rsidRDefault="00F02D9D" w:rsidP="003B7ADD"/>
    <w:p w14:paraId="052B08E6" w14:textId="77777777" w:rsidR="00F02D9D" w:rsidRPr="00BE258D" w:rsidRDefault="00F02D9D" w:rsidP="003B7ADD">
      <w:pPr>
        <w:rPr>
          <w:bCs/>
        </w:rPr>
      </w:pPr>
    </w:p>
    <w:p w14:paraId="5F011B0C" w14:textId="6B20D0F4" w:rsidR="003F1C7A" w:rsidRPr="00E215FA" w:rsidRDefault="00B378CA" w:rsidP="00B378CA">
      <w:pPr>
        <w:tabs>
          <w:tab w:val="left" w:pos="5670"/>
        </w:tabs>
        <w:suppressAutoHyphens/>
      </w:pPr>
      <w:r w:rsidRPr="00BE258D">
        <w:rPr>
          <w:b/>
        </w:rPr>
        <w:t xml:space="preserve">FDA CENTER:  </w:t>
      </w:r>
      <w:r w:rsidR="00574A04" w:rsidRPr="00BE258D">
        <w:t>Center for Drug Evaluation and Research</w:t>
      </w:r>
      <w:r w:rsidR="00300C6A" w:rsidRPr="00BE258D">
        <w:t xml:space="preserve"> (FDA/CDER)</w:t>
      </w:r>
    </w:p>
    <w:sectPr w:rsidR="003F1C7A" w:rsidRPr="00E215FA">
      <w:footerReference w:type="defaul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915" w14:textId="03AF0056"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692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4"/>
  </w:num>
  <w:num w:numId="3">
    <w:abstractNumId w:val="23"/>
  </w:num>
  <w:num w:numId="4">
    <w:abstractNumId w:val="25"/>
  </w:num>
  <w:num w:numId="5">
    <w:abstractNumId w:val="4"/>
  </w:num>
  <w:num w:numId="6">
    <w:abstractNumId w:val="2"/>
  </w:num>
  <w:num w:numId="7">
    <w:abstractNumId w:val="15"/>
  </w:num>
  <w:num w:numId="8">
    <w:abstractNumId w:val="20"/>
  </w:num>
  <w:num w:numId="9">
    <w:abstractNumId w:val="17"/>
  </w:num>
  <w:num w:numId="10">
    <w:abstractNumId w:val="3"/>
  </w:num>
  <w:num w:numId="11">
    <w:abstractNumId w:val="7"/>
  </w:num>
  <w:num w:numId="12">
    <w:abstractNumId w:val="10"/>
  </w:num>
  <w:num w:numId="13">
    <w:abstractNumId w:val="1"/>
  </w:num>
  <w:num w:numId="14">
    <w:abstractNumId w:val="13"/>
  </w:num>
  <w:num w:numId="15">
    <w:abstractNumId w:val="21"/>
  </w:num>
  <w:num w:numId="16">
    <w:abstractNumId w:val="19"/>
  </w:num>
  <w:num w:numId="17">
    <w:abstractNumId w:val="0"/>
  </w:num>
  <w:num w:numId="18">
    <w:abstractNumId w:val="12"/>
  </w:num>
  <w:num w:numId="19">
    <w:abstractNumId w:val="8"/>
  </w:num>
  <w:num w:numId="20">
    <w:abstractNumId w:val="22"/>
  </w:num>
  <w:num w:numId="21">
    <w:abstractNumId w:val="16"/>
  </w:num>
  <w:num w:numId="22">
    <w:abstractNumId w:val="11"/>
  </w:num>
  <w:num w:numId="23">
    <w:abstractNumId w:val="14"/>
  </w:num>
  <w:num w:numId="24">
    <w:abstractNumId w:val="9"/>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5B5C"/>
    <w:rsid w:val="000378E7"/>
    <w:rsid w:val="000421C4"/>
    <w:rsid w:val="00057854"/>
    <w:rsid w:val="00097D21"/>
    <w:rsid w:val="000A525C"/>
    <w:rsid w:val="000A6E86"/>
    <w:rsid w:val="000A754E"/>
    <w:rsid w:val="000B0519"/>
    <w:rsid w:val="000B36CD"/>
    <w:rsid w:val="000C386B"/>
    <w:rsid w:val="000C4040"/>
    <w:rsid w:val="000E1190"/>
    <w:rsid w:val="000E17F0"/>
    <w:rsid w:val="000E45D0"/>
    <w:rsid w:val="000E7C99"/>
    <w:rsid w:val="000F1CDA"/>
    <w:rsid w:val="000F66FC"/>
    <w:rsid w:val="00102D0D"/>
    <w:rsid w:val="00105115"/>
    <w:rsid w:val="00111DE7"/>
    <w:rsid w:val="00122327"/>
    <w:rsid w:val="00124FB5"/>
    <w:rsid w:val="00126D06"/>
    <w:rsid w:val="00132EF8"/>
    <w:rsid w:val="00140343"/>
    <w:rsid w:val="00145077"/>
    <w:rsid w:val="00172A6E"/>
    <w:rsid w:val="00174697"/>
    <w:rsid w:val="00175223"/>
    <w:rsid w:val="00190AA2"/>
    <w:rsid w:val="0019434D"/>
    <w:rsid w:val="001A360A"/>
    <w:rsid w:val="001A68F4"/>
    <w:rsid w:val="001B42FC"/>
    <w:rsid w:val="001B6E26"/>
    <w:rsid w:val="001C0117"/>
    <w:rsid w:val="001C211E"/>
    <w:rsid w:val="001C3301"/>
    <w:rsid w:val="001C4E82"/>
    <w:rsid w:val="001D0C1B"/>
    <w:rsid w:val="001D19B4"/>
    <w:rsid w:val="001F09C0"/>
    <w:rsid w:val="001F42B2"/>
    <w:rsid w:val="002043CA"/>
    <w:rsid w:val="002178E7"/>
    <w:rsid w:val="0022601B"/>
    <w:rsid w:val="002272BD"/>
    <w:rsid w:val="0024319D"/>
    <w:rsid w:val="0025162F"/>
    <w:rsid w:val="00252C46"/>
    <w:rsid w:val="00255B16"/>
    <w:rsid w:val="002708DF"/>
    <w:rsid w:val="00270C91"/>
    <w:rsid w:val="00274707"/>
    <w:rsid w:val="00285589"/>
    <w:rsid w:val="00293828"/>
    <w:rsid w:val="002A1B0E"/>
    <w:rsid w:val="002A4AC4"/>
    <w:rsid w:val="002A7149"/>
    <w:rsid w:val="002B028A"/>
    <w:rsid w:val="002D29F9"/>
    <w:rsid w:val="002E6576"/>
    <w:rsid w:val="002F5329"/>
    <w:rsid w:val="002F7333"/>
    <w:rsid w:val="00300C6A"/>
    <w:rsid w:val="003048BB"/>
    <w:rsid w:val="003073BF"/>
    <w:rsid w:val="00313238"/>
    <w:rsid w:val="003156C8"/>
    <w:rsid w:val="0033080B"/>
    <w:rsid w:val="00342074"/>
    <w:rsid w:val="00356BB7"/>
    <w:rsid w:val="00361826"/>
    <w:rsid w:val="00363B3A"/>
    <w:rsid w:val="00364051"/>
    <w:rsid w:val="00370094"/>
    <w:rsid w:val="0037053A"/>
    <w:rsid w:val="00380D78"/>
    <w:rsid w:val="003956D7"/>
    <w:rsid w:val="00397C72"/>
    <w:rsid w:val="003A1FE7"/>
    <w:rsid w:val="003A534E"/>
    <w:rsid w:val="003B4C2F"/>
    <w:rsid w:val="003B7ADD"/>
    <w:rsid w:val="003B7D3F"/>
    <w:rsid w:val="003C4865"/>
    <w:rsid w:val="003D0EC1"/>
    <w:rsid w:val="003D41D6"/>
    <w:rsid w:val="003F1C7A"/>
    <w:rsid w:val="00400774"/>
    <w:rsid w:val="004028C6"/>
    <w:rsid w:val="00411149"/>
    <w:rsid w:val="00411736"/>
    <w:rsid w:val="00412757"/>
    <w:rsid w:val="00426B9E"/>
    <w:rsid w:val="00435EA1"/>
    <w:rsid w:val="004372D6"/>
    <w:rsid w:val="00440367"/>
    <w:rsid w:val="0044379F"/>
    <w:rsid w:val="00447912"/>
    <w:rsid w:val="0045005C"/>
    <w:rsid w:val="00463E4D"/>
    <w:rsid w:val="00493AE2"/>
    <w:rsid w:val="0049419A"/>
    <w:rsid w:val="004945E3"/>
    <w:rsid w:val="004A5412"/>
    <w:rsid w:val="004B33A5"/>
    <w:rsid w:val="004B694D"/>
    <w:rsid w:val="004B6A46"/>
    <w:rsid w:val="004C024F"/>
    <w:rsid w:val="004C5165"/>
    <w:rsid w:val="004D2A34"/>
    <w:rsid w:val="004D3342"/>
    <w:rsid w:val="004E49A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29DE"/>
    <w:rsid w:val="00582E39"/>
    <w:rsid w:val="0059090E"/>
    <w:rsid w:val="00596BD4"/>
    <w:rsid w:val="005A18A4"/>
    <w:rsid w:val="005A43DD"/>
    <w:rsid w:val="005A4793"/>
    <w:rsid w:val="005C3CF3"/>
    <w:rsid w:val="005E23BA"/>
    <w:rsid w:val="005E4981"/>
    <w:rsid w:val="005E6A3A"/>
    <w:rsid w:val="005E78C3"/>
    <w:rsid w:val="006073F7"/>
    <w:rsid w:val="00630189"/>
    <w:rsid w:val="006345C3"/>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D2F56"/>
    <w:rsid w:val="006D3B31"/>
    <w:rsid w:val="006D69C2"/>
    <w:rsid w:val="006E2614"/>
    <w:rsid w:val="006F1736"/>
    <w:rsid w:val="007009E0"/>
    <w:rsid w:val="0071771B"/>
    <w:rsid w:val="007251CB"/>
    <w:rsid w:val="007361B6"/>
    <w:rsid w:val="0074041B"/>
    <w:rsid w:val="0074463A"/>
    <w:rsid w:val="00744F5B"/>
    <w:rsid w:val="0074607F"/>
    <w:rsid w:val="00752105"/>
    <w:rsid w:val="00760A54"/>
    <w:rsid w:val="00785591"/>
    <w:rsid w:val="00787CDD"/>
    <w:rsid w:val="007928F1"/>
    <w:rsid w:val="00792EBB"/>
    <w:rsid w:val="007A4331"/>
    <w:rsid w:val="007A7105"/>
    <w:rsid w:val="007B045B"/>
    <w:rsid w:val="00806EC0"/>
    <w:rsid w:val="00810FBE"/>
    <w:rsid w:val="00826D83"/>
    <w:rsid w:val="00830839"/>
    <w:rsid w:val="00831197"/>
    <w:rsid w:val="00834BFF"/>
    <w:rsid w:val="008355E1"/>
    <w:rsid w:val="00836A21"/>
    <w:rsid w:val="0085672D"/>
    <w:rsid w:val="008612BE"/>
    <w:rsid w:val="00862BC5"/>
    <w:rsid w:val="00866645"/>
    <w:rsid w:val="008800D2"/>
    <w:rsid w:val="00882AE4"/>
    <w:rsid w:val="0088561C"/>
    <w:rsid w:val="008863D0"/>
    <w:rsid w:val="008953DA"/>
    <w:rsid w:val="008A3946"/>
    <w:rsid w:val="008B647B"/>
    <w:rsid w:val="008B7DE1"/>
    <w:rsid w:val="008C49E7"/>
    <w:rsid w:val="008C7123"/>
    <w:rsid w:val="008E3143"/>
    <w:rsid w:val="008E4D9F"/>
    <w:rsid w:val="008E6145"/>
    <w:rsid w:val="008F6E91"/>
    <w:rsid w:val="00901173"/>
    <w:rsid w:val="00915E13"/>
    <w:rsid w:val="009164A9"/>
    <w:rsid w:val="00916DE7"/>
    <w:rsid w:val="00933214"/>
    <w:rsid w:val="009343BC"/>
    <w:rsid w:val="00957A37"/>
    <w:rsid w:val="009658C3"/>
    <w:rsid w:val="0096759F"/>
    <w:rsid w:val="009937FF"/>
    <w:rsid w:val="009A2AA4"/>
    <w:rsid w:val="009A2B7D"/>
    <w:rsid w:val="009A576B"/>
    <w:rsid w:val="009A6452"/>
    <w:rsid w:val="009B0C30"/>
    <w:rsid w:val="009B1142"/>
    <w:rsid w:val="009B5985"/>
    <w:rsid w:val="009D2956"/>
    <w:rsid w:val="009D4EB5"/>
    <w:rsid w:val="009E767B"/>
    <w:rsid w:val="009F3561"/>
    <w:rsid w:val="009F5A7D"/>
    <w:rsid w:val="00A07996"/>
    <w:rsid w:val="00A26BA5"/>
    <w:rsid w:val="00A44BF9"/>
    <w:rsid w:val="00A55DD8"/>
    <w:rsid w:val="00A56D87"/>
    <w:rsid w:val="00A60979"/>
    <w:rsid w:val="00A63790"/>
    <w:rsid w:val="00A70F43"/>
    <w:rsid w:val="00A8298A"/>
    <w:rsid w:val="00A82C4B"/>
    <w:rsid w:val="00A82DCC"/>
    <w:rsid w:val="00A85CB9"/>
    <w:rsid w:val="00A8669C"/>
    <w:rsid w:val="00A87FCB"/>
    <w:rsid w:val="00A9477A"/>
    <w:rsid w:val="00AA0314"/>
    <w:rsid w:val="00AA4CCD"/>
    <w:rsid w:val="00AA7651"/>
    <w:rsid w:val="00AB316C"/>
    <w:rsid w:val="00AC4CEB"/>
    <w:rsid w:val="00AF4042"/>
    <w:rsid w:val="00B01F00"/>
    <w:rsid w:val="00B14D7F"/>
    <w:rsid w:val="00B157BC"/>
    <w:rsid w:val="00B15C3D"/>
    <w:rsid w:val="00B17F2E"/>
    <w:rsid w:val="00B378CA"/>
    <w:rsid w:val="00B41016"/>
    <w:rsid w:val="00B443F5"/>
    <w:rsid w:val="00B478BE"/>
    <w:rsid w:val="00B773C3"/>
    <w:rsid w:val="00B7775E"/>
    <w:rsid w:val="00B77760"/>
    <w:rsid w:val="00B87629"/>
    <w:rsid w:val="00B96591"/>
    <w:rsid w:val="00BA32CF"/>
    <w:rsid w:val="00BA57F7"/>
    <w:rsid w:val="00BB1CF3"/>
    <w:rsid w:val="00BB4BA0"/>
    <w:rsid w:val="00BB5770"/>
    <w:rsid w:val="00BB5F6B"/>
    <w:rsid w:val="00BC3385"/>
    <w:rsid w:val="00BD7381"/>
    <w:rsid w:val="00BE258D"/>
    <w:rsid w:val="00BE4B19"/>
    <w:rsid w:val="00C01642"/>
    <w:rsid w:val="00C14BF2"/>
    <w:rsid w:val="00C17CA3"/>
    <w:rsid w:val="00C236DF"/>
    <w:rsid w:val="00C40EFB"/>
    <w:rsid w:val="00C44FF5"/>
    <w:rsid w:val="00C4778B"/>
    <w:rsid w:val="00C54920"/>
    <w:rsid w:val="00C700FA"/>
    <w:rsid w:val="00C7776B"/>
    <w:rsid w:val="00C87E8D"/>
    <w:rsid w:val="00C94DE6"/>
    <w:rsid w:val="00C96B88"/>
    <w:rsid w:val="00CD19D8"/>
    <w:rsid w:val="00CD5367"/>
    <w:rsid w:val="00CD605F"/>
    <w:rsid w:val="00CE1A6E"/>
    <w:rsid w:val="00CE57C2"/>
    <w:rsid w:val="00CF10F4"/>
    <w:rsid w:val="00CF62B0"/>
    <w:rsid w:val="00D01636"/>
    <w:rsid w:val="00D07F48"/>
    <w:rsid w:val="00D13F72"/>
    <w:rsid w:val="00D14B2F"/>
    <w:rsid w:val="00D15E9D"/>
    <w:rsid w:val="00D22490"/>
    <w:rsid w:val="00D32F19"/>
    <w:rsid w:val="00D340AB"/>
    <w:rsid w:val="00D47C15"/>
    <w:rsid w:val="00D51ED0"/>
    <w:rsid w:val="00D542D4"/>
    <w:rsid w:val="00D70045"/>
    <w:rsid w:val="00D717D8"/>
    <w:rsid w:val="00D82AFF"/>
    <w:rsid w:val="00DA1217"/>
    <w:rsid w:val="00DB3DE9"/>
    <w:rsid w:val="00DB584A"/>
    <w:rsid w:val="00DC0162"/>
    <w:rsid w:val="00DC07C5"/>
    <w:rsid w:val="00DC3854"/>
    <w:rsid w:val="00DC76EE"/>
    <w:rsid w:val="00DD1CCA"/>
    <w:rsid w:val="00DD6106"/>
    <w:rsid w:val="00DE6F4D"/>
    <w:rsid w:val="00E12D33"/>
    <w:rsid w:val="00E15541"/>
    <w:rsid w:val="00E15AC0"/>
    <w:rsid w:val="00E215FA"/>
    <w:rsid w:val="00E2517D"/>
    <w:rsid w:val="00E26798"/>
    <w:rsid w:val="00E27C17"/>
    <w:rsid w:val="00E34B66"/>
    <w:rsid w:val="00E35DB8"/>
    <w:rsid w:val="00E36619"/>
    <w:rsid w:val="00E45582"/>
    <w:rsid w:val="00E45BA0"/>
    <w:rsid w:val="00E46551"/>
    <w:rsid w:val="00E61DBA"/>
    <w:rsid w:val="00E629FF"/>
    <w:rsid w:val="00E670C1"/>
    <w:rsid w:val="00E81151"/>
    <w:rsid w:val="00E91EE5"/>
    <w:rsid w:val="00EA0586"/>
    <w:rsid w:val="00EA2E4C"/>
    <w:rsid w:val="00EB7105"/>
    <w:rsid w:val="00EC5A23"/>
    <w:rsid w:val="00ED71FE"/>
    <w:rsid w:val="00EE2769"/>
    <w:rsid w:val="00EE7334"/>
    <w:rsid w:val="00EF3DC3"/>
    <w:rsid w:val="00EF6929"/>
    <w:rsid w:val="00F02D9D"/>
    <w:rsid w:val="00F04178"/>
    <w:rsid w:val="00F12AEE"/>
    <w:rsid w:val="00F15639"/>
    <w:rsid w:val="00F224C1"/>
    <w:rsid w:val="00F27B1E"/>
    <w:rsid w:val="00F31A24"/>
    <w:rsid w:val="00F31EC7"/>
    <w:rsid w:val="00F3704A"/>
    <w:rsid w:val="00F500EA"/>
    <w:rsid w:val="00F54DF2"/>
    <w:rsid w:val="00F60D76"/>
    <w:rsid w:val="00F94F8C"/>
    <w:rsid w:val="00FA45DE"/>
    <w:rsid w:val="00FC29C8"/>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rian.Lappin@fda.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la.Mizrachi@fda.hhs.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da.gov/EmergencyPreparedness/Counterterrorism/MedicalCountermeasures/MCMLegalRegulatoryandPolicyFramework/ucm34619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KZR5K4CDZDS7-10485631-695</_dlc_DocId>
    <_dlc_DocIdUrl xmlns="c593544c-8bc9-488a-9957-4d59a7b3d015">
      <Url>http://sharepoint.fda.gov/orgs/OPL-Admin-Mgmt/RiskCommunicationsStaff/MessageTesting/_layouts/DocIdRedir.aspx?ID=KZR5K4CDZDS7-10485631-695</Url>
      <Description>KZR5K4CDZDS7-10485631-695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2.xml><?xml version="1.0" encoding="utf-8"?>
<ds:datastoreItem xmlns:ds="http://schemas.openxmlformats.org/officeDocument/2006/customXml" ds:itemID="{BC6733F2-F1B1-4A5C-8A3E-412A12D910A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593544c-8bc9-488a-9957-4d59a7b3d015"/>
    <ds:schemaRef ds:uri="http://www.w3.org/XML/1998/namespace"/>
  </ds:schemaRefs>
</ds:datastoreItem>
</file>

<file path=customXml/itemProps3.xml><?xml version="1.0" encoding="utf-8"?>
<ds:datastoreItem xmlns:ds="http://schemas.openxmlformats.org/officeDocument/2006/customXml" ds:itemID="{39E10B12-D688-4D42-8CD8-6BADE7DD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5.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6.xml><?xml version="1.0" encoding="utf-8"?>
<ds:datastoreItem xmlns:ds="http://schemas.openxmlformats.org/officeDocument/2006/customXml" ds:itemID="{FE602EE7-B212-43E4-BD73-2EAAB03A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14479</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2019-02-05T20:37:00Z</cp:lastPrinted>
  <dcterms:created xsi:type="dcterms:W3CDTF">2019-09-06T14:48:00Z</dcterms:created>
  <dcterms:modified xsi:type="dcterms:W3CDTF">2019-09-06T14:48:00Z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680955ef-9abc-478b-82fc-ec10083c919e</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