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111D2" w:rsidR="00B95448" w:rsidP="00B95448" w:rsidRDefault="00105BF3" w14:paraId="66732FCB" w14:textId="50539452">
      <w:pPr>
        <w:spacing w:line="240" w:lineRule="auto"/>
        <w:jc w:val="center"/>
      </w:pPr>
      <w:r>
        <w:rPr>
          <w:b/>
        </w:rPr>
        <w:t>Generic Supporting Statement</w:t>
      </w:r>
    </w:p>
    <w:p w:rsidRPr="008111D2" w:rsidR="00B95448" w:rsidP="00B95448" w:rsidRDefault="00B95448" w14:paraId="6BFD6E29" w14:textId="77777777">
      <w:pPr>
        <w:spacing w:line="240" w:lineRule="auto"/>
        <w:jc w:val="center"/>
      </w:pPr>
    </w:p>
    <w:p w:rsidRPr="00364E8C" w:rsidR="00B95448" w:rsidP="00CD2A7B" w:rsidRDefault="00B95448" w14:paraId="74781EEA" w14:textId="101DF83C">
      <w:pPr>
        <w:spacing w:line="240" w:lineRule="auto"/>
        <w:jc w:val="center"/>
      </w:pPr>
      <w:r w:rsidRPr="00364E8C">
        <w:t>Clearance for Medicaid and CHIP State Plan, Waiver, and Program Submissions</w:t>
      </w:r>
    </w:p>
    <w:p w:rsidRPr="008111D2" w:rsidR="00B95448" w:rsidP="00CD2A7B" w:rsidRDefault="00B95448" w14:paraId="3F46F94F" w14:textId="35D14B59">
      <w:pPr>
        <w:spacing w:line="240" w:lineRule="auto"/>
        <w:jc w:val="center"/>
      </w:pPr>
      <w:r w:rsidRPr="00364E8C">
        <w:t>(CMS-</w:t>
      </w:r>
      <w:r w:rsidR="00105BF3">
        <w:t>10398</w:t>
      </w:r>
      <w:r w:rsidRPr="00364E8C">
        <w:t xml:space="preserve">, OMB </w:t>
      </w:r>
      <w:r w:rsidR="00105BF3">
        <w:t>0938</w:t>
      </w:r>
      <w:r w:rsidRPr="00364E8C">
        <w:t>-</w:t>
      </w:r>
      <w:r w:rsidR="00105BF3">
        <w:t>1148</w:t>
      </w:r>
      <w:r w:rsidRPr="00364E8C">
        <w:t>)</w:t>
      </w:r>
    </w:p>
    <w:p w:rsidR="00B95448" w:rsidP="00B95448" w:rsidRDefault="00B95448" w14:paraId="20D720BF" w14:textId="77777777">
      <w:pPr>
        <w:spacing w:line="240" w:lineRule="auto"/>
        <w:jc w:val="center"/>
        <w:rPr>
          <w:b/>
        </w:rPr>
      </w:pPr>
    </w:p>
    <w:p w:rsidR="00B95448" w:rsidP="00B95448" w:rsidRDefault="00B95448" w14:paraId="780FF914" w14:textId="0F56E077">
      <w:pPr>
        <w:spacing w:line="240" w:lineRule="auto"/>
        <w:jc w:val="center"/>
        <w:rPr>
          <w:b/>
        </w:rPr>
      </w:pPr>
    </w:p>
    <w:p w:rsidRPr="008111D2" w:rsidR="00105BF3" w:rsidP="00B95448" w:rsidRDefault="00105BF3" w14:paraId="12EDDF32" w14:textId="77777777">
      <w:pPr>
        <w:spacing w:line="240" w:lineRule="auto"/>
        <w:jc w:val="center"/>
        <w:rPr>
          <w:b/>
        </w:rPr>
      </w:pPr>
    </w:p>
    <w:p w:rsidRPr="00BB6E78" w:rsidR="00B95448" w:rsidP="00B95448" w:rsidRDefault="00BE1B07" w14:paraId="17D36F3A" w14:textId="5AC5EDE1">
      <w:pPr>
        <w:spacing w:line="240" w:lineRule="auto"/>
        <w:jc w:val="center"/>
        <w:rPr>
          <w:b/>
        </w:rPr>
      </w:pPr>
      <w:r>
        <w:rPr>
          <w:b/>
        </w:rPr>
        <w:t xml:space="preserve">Generic </w:t>
      </w:r>
      <w:r w:rsidRPr="00BB6E78" w:rsidR="00B95448">
        <w:rPr>
          <w:b/>
        </w:rPr>
        <w:t>Information Collection #</w:t>
      </w:r>
      <w:r w:rsidR="00D10CBE">
        <w:rPr>
          <w:b/>
        </w:rPr>
        <w:t>63</w:t>
      </w:r>
      <w:r w:rsidRPr="00BB6E78" w:rsidR="00B95448">
        <w:rPr>
          <w:b/>
        </w:rPr>
        <w:t xml:space="preserve"> </w:t>
      </w:r>
      <w:r w:rsidR="00317304">
        <w:rPr>
          <w:b/>
        </w:rPr>
        <w:t>(</w:t>
      </w:r>
      <w:r w:rsidR="00045E51">
        <w:rPr>
          <w:b/>
        </w:rPr>
        <w:t>Transfer</w:t>
      </w:r>
      <w:bookmarkStart w:name="_GoBack" w:id="0"/>
      <w:bookmarkEnd w:id="0"/>
      <w:r w:rsidR="00317304">
        <w:rPr>
          <w:b/>
        </w:rPr>
        <w:t>)</w:t>
      </w:r>
    </w:p>
    <w:p w:rsidRPr="008111D2" w:rsidR="00B95448" w:rsidP="00B95448" w:rsidRDefault="00C30694" w14:paraId="3E21829E" w14:textId="64C8AA2A">
      <w:pPr>
        <w:spacing w:line="240" w:lineRule="auto"/>
        <w:jc w:val="center"/>
      </w:pPr>
      <w:r w:rsidRPr="00C30694">
        <w:t>1932</w:t>
      </w:r>
      <w:r w:rsidR="00905297">
        <w:t>(a)</w:t>
      </w:r>
      <w:r w:rsidRPr="00C30694">
        <w:t xml:space="preserve"> State Plan Amendment Template</w:t>
      </w:r>
    </w:p>
    <w:p w:rsidRPr="008111D2" w:rsidR="00B95448" w:rsidP="00B95448" w:rsidRDefault="00B95448" w14:paraId="269CBDA5" w14:textId="77777777">
      <w:pPr>
        <w:spacing w:line="240" w:lineRule="auto"/>
        <w:jc w:val="center"/>
      </w:pPr>
    </w:p>
    <w:p w:rsidRPr="008111D2" w:rsidR="00B95448" w:rsidP="00B95448" w:rsidRDefault="00B95448" w14:paraId="6624190A" w14:textId="77777777">
      <w:pPr>
        <w:spacing w:line="240" w:lineRule="auto"/>
        <w:jc w:val="center"/>
      </w:pPr>
    </w:p>
    <w:p w:rsidRPr="008111D2" w:rsidR="00B95448" w:rsidP="00B95448" w:rsidRDefault="00B95448" w14:paraId="11E17405" w14:textId="77777777">
      <w:pPr>
        <w:spacing w:line="240" w:lineRule="auto"/>
        <w:jc w:val="center"/>
      </w:pPr>
      <w:r w:rsidRPr="008111D2">
        <w:t>Center for Medicaid and CHIP Services (CMCS)</w:t>
      </w:r>
    </w:p>
    <w:p w:rsidRPr="008111D2" w:rsidR="00B95448" w:rsidP="00B95448" w:rsidRDefault="00B95448" w14:paraId="112CA010" w14:textId="77777777">
      <w:pPr>
        <w:spacing w:line="240" w:lineRule="auto"/>
        <w:jc w:val="center"/>
      </w:pPr>
      <w:r w:rsidRPr="008111D2">
        <w:t>Centers for Medicare &amp; Medicaid Services (CMS)</w:t>
      </w:r>
    </w:p>
    <w:p w:rsidRPr="008111D2" w:rsidR="00B95448" w:rsidP="00B95448" w:rsidRDefault="00B95448" w14:paraId="78053AC9" w14:textId="77777777">
      <w:pPr>
        <w:spacing w:line="240" w:lineRule="auto"/>
        <w:sectPr w:rsidRPr="008111D2" w:rsidR="00B95448" w:rsidSect="007D6E75">
          <w:pgSz w:w="12240" w:h="15840" w:code="1"/>
          <w:pgMar w:top="1440" w:right="1440" w:bottom="1440" w:left="1440" w:header="720" w:footer="720" w:gutter="0"/>
          <w:cols w:space="720"/>
          <w:vAlign w:val="center"/>
          <w:docGrid w:linePitch="360"/>
        </w:sectPr>
      </w:pPr>
    </w:p>
    <w:p w:rsidRPr="00257950" w:rsidR="00257950" w:rsidP="00105BF3" w:rsidRDefault="00257950" w14:paraId="35C79245" w14:textId="77777777">
      <w:pPr>
        <w:pStyle w:val="Heading1"/>
        <w:tabs>
          <w:tab w:val="clear" w:pos="432"/>
        </w:tabs>
        <w:spacing w:before="0" w:line="240" w:lineRule="auto"/>
        <w:ind w:firstLine="0"/>
        <w:jc w:val="left"/>
        <w:rPr>
          <w:rFonts w:ascii="Times New Roman" w:hAnsi="Times New Roman"/>
          <w:bCs/>
          <w:color w:val="000000" w:themeColor="text1"/>
          <w:sz w:val="24"/>
          <w:szCs w:val="28"/>
        </w:rPr>
      </w:pPr>
    </w:p>
    <w:p w:rsidR="00095933" w:rsidP="00105BF3" w:rsidRDefault="00037067" w14:paraId="07F35BC6" w14:textId="0134F004">
      <w:pPr>
        <w:pStyle w:val="Heading1"/>
        <w:tabs>
          <w:tab w:val="clear" w:pos="432"/>
        </w:tabs>
        <w:spacing w:before="0" w:line="240" w:lineRule="auto"/>
        <w:ind w:firstLine="0"/>
        <w:jc w:val="left"/>
        <w:rPr>
          <w:rFonts w:ascii="Times New Roman" w:hAnsi="Times New Roman"/>
          <w:bCs/>
          <w:i/>
          <w:color w:val="000000" w:themeColor="text1"/>
          <w:sz w:val="24"/>
          <w:szCs w:val="28"/>
        </w:rPr>
      </w:pPr>
      <w:r w:rsidRPr="00D077C2">
        <w:rPr>
          <w:rFonts w:ascii="Times New Roman" w:hAnsi="Times New Roman"/>
          <w:bCs/>
          <w:i/>
          <w:color w:val="000000" w:themeColor="text1"/>
          <w:sz w:val="24"/>
          <w:szCs w:val="28"/>
        </w:rPr>
        <w:t xml:space="preserve">Note: This information collection request is currently approved under OMB control number 0938-0933 (CMS-10120). </w:t>
      </w:r>
      <w:r w:rsidRPr="00D077C2" w:rsidR="002706F4">
        <w:rPr>
          <w:rFonts w:ascii="Times New Roman" w:hAnsi="Times New Roman"/>
          <w:bCs/>
          <w:i/>
          <w:color w:val="000000" w:themeColor="text1"/>
          <w:sz w:val="24"/>
          <w:szCs w:val="28"/>
        </w:rPr>
        <w:t>In this 2020 iteration</w:t>
      </w:r>
      <w:r w:rsidR="00905297">
        <w:rPr>
          <w:rFonts w:ascii="Times New Roman" w:hAnsi="Times New Roman"/>
          <w:bCs/>
          <w:i/>
          <w:color w:val="000000" w:themeColor="text1"/>
          <w:sz w:val="24"/>
          <w:szCs w:val="28"/>
        </w:rPr>
        <w:t>,</w:t>
      </w:r>
      <w:r w:rsidRPr="00D077C2" w:rsidR="002706F4">
        <w:rPr>
          <w:rFonts w:ascii="Times New Roman" w:hAnsi="Times New Roman"/>
          <w:bCs/>
          <w:i/>
          <w:color w:val="000000" w:themeColor="text1"/>
          <w:sz w:val="24"/>
          <w:szCs w:val="28"/>
        </w:rPr>
        <w:t xml:space="preserve"> we propose to transfer the information collection under our generic collection’s control number OMB 0938-1148 (CMS-10398). </w:t>
      </w:r>
      <w:r w:rsidR="00D319D6">
        <w:rPr>
          <w:rFonts w:ascii="Times New Roman" w:hAnsi="Times New Roman"/>
          <w:bCs/>
          <w:i/>
          <w:color w:val="000000" w:themeColor="text1"/>
          <w:sz w:val="24"/>
          <w:szCs w:val="28"/>
        </w:rPr>
        <w:t>We belive the preprint meets the generic requirements and note that</w:t>
      </w:r>
      <w:r w:rsidR="00E05014">
        <w:rPr>
          <w:rFonts w:ascii="Times New Roman" w:hAnsi="Times New Roman"/>
          <w:bCs/>
          <w:i/>
          <w:color w:val="000000" w:themeColor="text1"/>
          <w:sz w:val="24"/>
          <w:szCs w:val="28"/>
        </w:rPr>
        <w:t>,</w:t>
      </w:r>
      <w:r w:rsidR="00EB7A99">
        <w:rPr>
          <w:rFonts w:ascii="Times New Roman" w:hAnsi="Times New Roman"/>
          <w:bCs/>
          <w:i/>
          <w:color w:val="000000" w:themeColor="text1"/>
          <w:sz w:val="24"/>
          <w:szCs w:val="28"/>
        </w:rPr>
        <w:t xml:space="preserve"> as far as we can tell</w:t>
      </w:r>
      <w:r w:rsidR="00D319D6">
        <w:rPr>
          <w:rFonts w:ascii="Times New Roman" w:hAnsi="Times New Roman"/>
          <w:bCs/>
          <w:i/>
          <w:color w:val="000000" w:themeColor="text1"/>
          <w:sz w:val="24"/>
          <w:szCs w:val="28"/>
        </w:rPr>
        <w:t>, historically</w:t>
      </w:r>
      <w:r w:rsidR="0031637F">
        <w:rPr>
          <w:rFonts w:ascii="Times New Roman" w:hAnsi="Times New Roman"/>
          <w:bCs/>
          <w:i/>
          <w:color w:val="000000" w:themeColor="text1"/>
          <w:sz w:val="24"/>
          <w:szCs w:val="28"/>
        </w:rPr>
        <w:t xml:space="preserve"> (since its inception in 2004)</w:t>
      </w:r>
      <w:r w:rsidR="00D319D6">
        <w:rPr>
          <w:rFonts w:ascii="Times New Roman" w:hAnsi="Times New Roman"/>
          <w:bCs/>
          <w:i/>
          <w:color w:val="000000" w:themeColor="text1"/>
          <w:sz w:val="24"/>
          <w:szCs w:val="28"/>
        </w:rPr>
        <w:t>, the preprint has not received any public comment.</w:t>
      </w:r>
      <w:r w:rsidR="00E05014">
        <w:rPr>
          <w:rFonts w:ascii="Times New Roman" w:hAnsi="Times New Roman"/>
          <w:bCs/>
          <w:i/>
          <w:color w:val="000000" w:themeColor="text1"/>
          <w:sz w:val="24"/>
          <w:szCs w:val="28"/>
        </w:rPr>
        <w:t xml:space="preserve"> </w:t>
      </w:r>
    </w:p>
    <w:p w:rsidR="00095933" w:rsidP="00105BF3" w:rsidRDefault="00095933" w14:paraId="130A045E" w14:textId="77777777">
      <w:pPr>
        <w:pStyle w:val="Heading1"/>
        <w:tabs>
          <w:tab w:val="clear" w:pos="432"/>
        </w:tabs>
        <w:spacing w:before="0" w:line="240" w:lineRule="auto"/>
        <w:ind w:firstLine="0"/>
        <w:jc w:val="left"/>
        <w:rPr>
          <w:rFonts w:ascii="Times New Roman" w:hAnsi="Times New Roman"/>
          <w:bCs/>
          <w:i/>
          <w:color w:val="000000" w:themeColor="text1"/>
          <w:sz w:val="24"/>
          <w:szCs w:val="28"/>
        </w:rPr>
      </w:pPr>
    </w:p>
    <w:p w:rsidRPr="00D077C2" w:rsidR="00257950" w:rsidP="00105BF3" w:rsidRDefault="00E05014" w14:paraId="73DA8F7E" w14:textId="1E147CF2">
      <w:pPr>
        <w:pStyle w:val="Heading1"/>
        <w:tabs>
          <w:tab w:val="clear" w:pos="432"/>
        </w:tabs>
        <w:spacing w:before="0" w:line="240" w:lineRule="auto"/>
        <w:ind w:firstLine="0"/>
        <w:jc w:val="left"/>
        <w:rPr>
          <w:rFonts w:ascii="Times New Roman" w:hAnsi="Times New Roman"/>
          <w:bCs/>
          <w:i/>
          <w:color w:val="000000" w:themeColor="text1"/>
          <w:sz w:val="24"/>
          <w:szCs w:val="28"/>
        </w:rPr>
      </w:pPr>
      <w:r>
        <w:rPr>
          <w:rFonts w:ascii="Times New Roman" w:hAnsi="Times New Roman"/>
          <w:bCs/>
          <w:i/>
          <w:color w:val="000000" w:themeColor="text1"/>
          <w:sz w:val="24"/>
          <w:szCs w:val="28"/>
        </w:rPr>
        <w:t xml:space="preserve">We are not proposing any changes to the preprint other than revising the PRA Disclosure Statement and the OMB control number. Similiarly, we are not proposing any changes to our burden estimates other than revising our cost estimates based on more recent BLS wage figures. </w:t>
      </w:r>
    </w:p>
    <w:p w:rsidRPr="002706F4" w:rsidR="002706F4" w:rsidP="00D077C2" w:rsidRDefault="002706F4" w14:paraId="4C4110C3" w14:textId="77777777">
      <w:pPr>
        <w:spacing w:line="240" w:lineRule="auto"/>
        <w:ind w:firstLine="0"/>
      </w:pPr>
    </w:p>
    <w:p w:rsidRPr="0062442A" w:rsidR="002B0D98" w:rsidP="00105BF3" w:rsidRDefault="002B0D98" w14:paraId="07428CFB" w14:textId="729FB473">
      <w:pPr>
        <w:pStyle w:val="Heading1"/>
        <w:tabs>
          <w:tab w:val="clear" w:pos="432"/>
        </w:tabs>
        <w:spacing w:before="0" w:line="240" w:lineRule="auto"/>
        <w:ind w:firstLine="0"/>
        <w:jc w:val="left"/>
        <w:rPr>
          <w:rFonts w:ascii="Times New Roman" w:hAnsi="Times New Roman"/>
          <w:b/>
          <w:bCs/>
          <w:color w:val="000000" w:themeColor="text1"/>
          <w:sz w:val="24"/>
          <w:szCs w:val="28"/>
        </w:rPr>
      </w:pPr>
      <w:r w:rsidRPr="0062442A">
        <w:rPr>
          <w:rFonts w:ascii="Times New Roman" w:hAnsi="Times New Roman"/>
          <w:b/>
          <w:bCs/>
          <w:color w:val="000000" w:themeColor="text1"/>
          <w:sz w:val="24"/>
          <w:szCs w:val="28"/>
        </w:rPr>
        <w:t>A. Background</w:t>
      </w:r>
    </w:p>
    <w:p w:rsidR="002B0D98" w:rsidP="00CD2A7B" w:rsidRDefault="002B0D98" w14:paraId="1F271F40" w14:textId="77777777">
      <w:pPr>
        <w:tabs>
          <w:tab w:val="clear" w:pos="432"/>
        </w:tabs>
        <w:spacing w:line="240" w:lineRule="auto"/>
        <w:ind w:firstLine="0"/>
      </w:pPr>
    </w:p>
    <w:p w:rsidR="00105BF3" w:rsidP="00257950" w:rsidRDefault="00105BF3" w14:paraId="3C3D4CF5" w14:textId="7B9AEE24">
      <w:pPr>
        <w:pStyle w:val="Introtext"/>
        <w:spacing w:before="0" w:after="0"/>
        <w:rPr>
          <w:rFonts w:ascii="Times New Roman" w:hAnsi="Times New Roman" w:cs="Times New Roman"/>
          <w:b w:val="0"/>
          <w:bCs w:val="0"/>
          <w:sz w:val="24"/>
          <w:szCs w:val="24"/>
        </w:rPr>
      </w:pPr>
      <w:r w:rsidRPr="00105BF3">
        <w:rPr>
          <w:rFonts w:ascii="Times New Roman" w:hAnsi="Times New Roman" w:cs="Times New Roman"/>
          <w:b w:val="0"/>
          <w:bCs w:val="0"/>
          <w:sz w:val="24"/>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105BF3" w:rsidP="00CD2A7B" w:rsidRDefault="00105BF3" w14:paraId="16332A05" w14:textId="77777777">
      <w:pPr>
        <w:pStyle w:val="Introtext"/>
        <w:spacing w:before="0" w:after="0"/>
        <w:rPr>
          <w:rFonts w:ascii="Times New Roman" w:hAnsi="Times New Roman" w:cs="Times New Roman"/>
          <w:b w:val="0"/>
          <w:bCs w:val="0"/>
          <w:sz w:val="24"/>
          <w:szCs w:val="24"/>
        </w:rPr>
      </w:pPr>
    </w:p>
    <w:p w:rsidR="00410956" w:rsidP="00257950" w:rsidRDefault="00284913" w14:paraId="7574D23C" w14:textId="1978EEB6">
      <w:pPr>
        <w:spacing w:line="240" w:lineRule="auto"/>
        <w:ind w:firstLine="0"/>
        <w:jc w:val="left"/>
      </w:pPr>
      <w:r w:rsidRPr="00284913">
        <w:t>Section 1932(a)(1)(A) of the Social Security Act (the Act) grants states the authority to enroll Medicaid beneficiaries on a mandatory basis into managed care entities (managed care organization (MCOs) and primary care case managers (PCCMs)). Under this authority, a state can amend its Medicaid state plan to require certain categories of Medicaid beneficiaries to enroll in managed care entities without being out of compliance with provisions of section 1902 of the Act on statewideness (42 CFR 431.50), freedom of choice (42 CFR 431.51) or comparability (42 CFR 440.230).  This template may be used by states to easily modify their state plans if they choose to implement the provisions of 1932(a)(1)(A).</w:t>
      </w:r>
    </w:p>
    <w:p w:rsidR="00284913" w:rsidP="00CD2A7B" w:rsidRDefault="00284913" w14:paraId="4F6A77E9" w14:textId="4286FD89">
      <w:pPr>
        <w:spacing w:line="240" w:lineRule="auto"/>
        <w:ind w:firstLine="0"/>
      </w:pPr>
    </w:p>
    <w:p w:rsidR="00284913" w:rsidP="00CD2A7B" w:rsidRDefault="00284913" w14:paraId="4FB94D15" w14:textId="35767B92">
      <w:pPr>
        <w:spacing w:line="240" w:lineRule="auto"/>
        <w:ind w:firstLine="0"/>
      </w:pPr>
      <w:r w:rsidRPr="00284913">
        <w:t>The template outlines the information a state must include in its Medicaid state plan to ensure compliance with the statutory provisions of section 1932(a)(1)(A) and the regulations requirements of 42 CFR 438.50.</w:t>
      </w:r>
    </w:p>
    <w:p w:rsidR="00284913" w:rsidP="00CD2A7B" w:rsidRDefault="00284913" w14:paraId="27DCF3C0" w14:textId="77777777">
      <w:pPr>
        <w:spacing w:line="240" w:lineRule="auto"/>
        <w:ind w:firstLine="0"/>
      </w:pPr>
    </w:p>
    <w:p w:rsidR="000569D9" w:rsidP="000569D9" w:rsidRDefault="000569D9" w14:paraId="7D2D4A95" w14:textId="00F5E406">
      <w:pPr>
        <w:pStyle w:val="Heading1"/>
        <w:tabs>
          <w:tab w:val="clear" w:pos="432"/>
        </w:tabs>
        <w:spacing w:before="0" w:line="240" w:lineRule="auto"/>
        <w:ind w:firstLine="0"/>
        <w:jc w:val="left"/>
        <w:rPr>
          <w:rFonts w:ascii="Times New Roman" w:hAnsi="Times New Roman"/>
          <w:b/>
          <w:bCs/>
          <w:color w:val="000000" w:themeColor="text1"/>
          <w:sz w:val="24"/>
          <w:szCs w:val="28"/>
        </w:rPr>
      </w:pPr>
      <w:r w:rsidRPr="000569D9">
        <w:rPr>
          <w:rFonts w:ascii="Times New Roman" w:hAnsi="Times New Roman"/>
          <w:b/>
          <w:bCs/>
          <w:color w:val="000000" w:themeColor="text1"/>
          <w:sz w:val="24"/>
          <w:szCs w:val="28"/>
        </w:rPr>
        <w:t>B. Description of Information Collection</w:t>
      </w:r>
    </w:p>
    <w:p w:rsidR="00562B08" w:rsidP="00105BF3" w:rsidRDefault="00562B08" w14:paraId="34292403" w14:textId="493421BF">
      <w:pPr>
        <w:spacing w:line="240" w:lineRule="auto"/>
        <w:ind w:firstLine="0"/>
      </w:pPr>
    </w:p>
    <w:p w:rsidR="00640927" w:rsidP="00105BF3" w:rsidRDefault="00640927" w14:paraId="6FFF81FD" w14:textId="21411579">
      <w:pPr>
        <w:spacing w:line="240" w:lineRule="auto"/>
        <w:ind w:firstLine="0"/>
      </w:pPr>
      <w:r w:rsidRPr="00640927">
        <w:t>The State Medicaid Agencies will complete the template.  CMS will review the information to determine if the state has met all the requirements of 1932(a)(1)(A) and 42 CFR 438.50.  If the requirements are met, CMS will approve the amendment to the state’s title XIX plan giving the state the authority to enroll Medicaid beneficiaries on a mandatory basis into MCOs and PCCMs.  For a state to receive Medicaid (title XIX) funding, there must be an approved title XIX state plan.</w:t>
      </w:r>
    </w:p>
    <w:p w:rsidR="00FB21EE" w:rsidP="00CD2A7B" w:rsidRDefault="00FB21EE" w14:paraId="28B73288" w14:textId="77777777">
      <w:pPr>
        <w:spacing w:line="240" w:lineRule="auto"/>
        <w:ind w:firstLine="0"/>
      </w:pPr>
    </w:p>
    <w:p w:rsidRPr="00240018" w:rsidR="00942BA7" w:rsidP="00105BF3" w:rsidRDefault="00942BA7" w14:paraId="42891055" w14:textId="714D5E00">
      <w:pPr>
        <w:pStyle w:val="Heading1"/>
        <w:tabs>
          <w:tab w:val="clear" w:pos="432"/>
        </w:tabs>
        <w:spacing w:before="0" w:line="240" w:lineRule="auto"/>
        <w:ind w:firstLine="0"/>
        <w:jc w:val="left"/>
        <w:rPr>
          <w:rFonts w:ascii="Times New Roman" w:hAnsi="Times New Roman"/>
          <w:b/>
          <w:bCs/>
          <w:color w:val="000000" w:themeColor="text1"/>
          <w:sz w:val="24"/>
          <w:szCs w:val="28"/>
        </w:rPr>
      </w:pPr>
      <w:r w:rsidRPr="00942BA7">
        <w:rPr>
          <w:rFonts w:ascii="Times New Roman" w:hAnsi="Times New Roman"/>
          <w:b/>
          <w:bCs/>
          <w:color w:val="000000" w:themeColor="text1"/>
          <w:sz w:val="24"/>
          <w:szCs w:val="28"/>
        </w:rPr>
        <w:lastRenderedPageBreak/>
        <w:t>C. Deviations from Generic Request</w:t>
      </w:r>
    </w:p>
    <w:p w:rsidR="00240018" w:rsidP="00CD2A7B" w:rsidRDefault="00240018" w14:paraId="0C31E449" w14:textId="77777777">
      <w:pPr>
        <w:spacing w:line="240" w:lineRule="auto"/>
        <w:ind w:firstLine="0"/>
      </w:pPr>
    </w:p>
    <w:p w:rsidRPr="008111D2" w:rsidR="00942BA7" w:rsidP="00CD2A7B" w:rsidRDefault="00942BA7" w14:paraId="1F445869" w14:textId="231E4523">
      <w:pPr>
        <w:spacing w:line="240" w:lineRule="auto"/>
        <w:ind w:firstLine="0"/>
      </w:pPr>
      <w:r w:rsidRPr="008111D2">
        <w:t>No deviations are requested</w:t>
      </w:r>
      <w:r w:rsidR="00E73318">
        <w:t xml:space="preserve"> or expected</w:t>
      </w:r>
      <w:r w:rsidRPr="008111D2">
        <w:t>.</w:t>
      </w:r>
    </w:p>
    <w:p w:rsidR="00942BA7" w:rsidP="00CD2A7B" w:rsidRDefault="00942BA7" w14:paraId="296419AD" w14:textId="71E8E50C">
      <w:pPr>
        <w:spacing w:line="240" w:lineRule="auto"/>
        <w:ind w:firstLine="0"/>
      </w:pPr>
    </w:p>
    <w:p w:rsidR="00766AC6" w:rsidP="00766AC6" w:rsidRDefault="00766AC6" w14:paraId="5B2DAC49" w14:textId="57F9E766">
      <w:pPr>
        <w:pStyle w:val="Heading1"/>
        <w:tabs>
          <w:tab w:val="clear" w:pos="432"/>
        </w:tabs>
        <w:spacing w:before="0" w:line="240" w:lineRule="auto"/>
        <w:ind w:firstLine="0"/>
        <w:jc w:val="left"/>
        <w:rPr>
          <w:rFonts w:ascii="Times New Roman" w:hAnsi="Times New Roman"/>
          <w:b/>
          <w:bCs/>
          <w:color w:val="000000" w:themeColor="text1"/>
          <w:sz w:val="24"/>
          <w:szCs w:val="28"/>
        </w:rPr>
      </w:pPr>
      <w:r w:rsidRPr="00766AC6">
        <w:rPr>
          <w:rFonts w:ascii="Times New Roman" w:hAnsi="Times New Roman"/>
          <w:b/>
          <w:bCs/>
          <w:color w:val="000000" w:themeColor="text1"/>
          <w:sz w:val="24"/>
          <w:szCs w:val="28"/>
        </w:rPr>
        <w:t>D. Burden Hour Deduction</w:t>
      </w:r>
    </w:p>
    <w:p w:rsidR="003F6D37" w:rsidP="00CD2A7B" w:rsidRDefault="003F6D37" w14:paraId="292F1D2E" w14:textId="0B2E3692">
      <w:pPr>
        <w:tabs>
          <w:tab w:val="clear" w:pos="432"/>
        </w:tabs>
        <w:spacing w:line="240" w:lineRule="auto"/>
        <w:ind w:firstLine="0"/>
      </w:pPr>
    </w:p>
    <w:p w:rsidRPr="002C708A" w:rsidR="002C708A" w:rsidP="002C708A" w:rsidRDefault="002C708A" w14:paraId="3E359E39" w14:textId="77777777">
      <w:pPr>
        <w:spacing w:line="240" w:lineRule="auto"/>
        <w:ind w:firstLine="0"/>
        <w:rPr>
          <w:i/>
        </w:rPr>
      </w:pPr>
      <w:r w:rsidRPr="002C708A">
        <w:rPr>
          <w:i/>
        </w:rPr>
        <w:t>Wage Estimates</w:t>
      </w:r>
    </w:p>
    <w:p w:rsidRPr="002C708A" w:rsidR="002C708A" w:rsidP="00CD1CED" w:rsidRDefault="002C708A" w14:paraId="2A03C707" w14:textId="77777777">
      <w:pPr>
        <w:spacing w:line="240" w:lineRule="auto"/>
        <w:ind w:firstLine="0"/>
        <w:jc w:val="left"/>
      </w:pPr>
    </w:p>
    <w:p w:rsidR="002C708A" w:rsidP="00CD1CED" w:rsidRDefault="002C708A" w14:paraId="6DF7149B" w14:textId="4B026A2E">
      <w:pPr>
        <w:spacing w:line="240" w:lineRule="auto"/>
        <w:ind w:firstLine="0"/>
        <w:jc w:val="left"/>
      </w:pPr>
      <w:r w:rsidRPr="002C708A">
        <w:t>The following costs are based on the U.S. Bure</w:t>
      </w:r>
      <w:r w:rsidR="00EB1A75">
        <w:t>au of Labor Statistics’ May 2019</w:t>
      </w:r>
      <w:r w:rsidRPr="002C708A">
        <w:t xml:space="preserve"> National Occupational Employment and Wage Estimates for all salary estimates (</w:t>
      </w:r>
      <w:hyperlink w:history="1" r:id="rId10">
        <w:r w:rsidRPr="00962CA4" w:rsidR="00B44598">
          <w:rPr>
            <w:rStyle w:val="Hyperlink"/>
          </w:rPr>
          <w:t>http://www.bls.gov/oes/current/oes_nat.htm</w:t>
        </w:r>
      </w:hyperlink>
      <w:r w:rsidRPr="002C708A">
        <w:t xml:space="preserve">). </w:t>
      </w:r>
      <w:r w:rsidRPr="00B93750" w:rsidR="00B93750">
        <w:t>The following table presents the mean hourly wage, the cost of fringe benefits and overhead (calculated at 100 percent of salary), and the adjusted hourly wage.</w:t>
      </w:r>
    </w:p>
    <w:p w:rsidR="00EB1A75" w:rsidP="00CD1CED" w:rsidRDefault="00EB1A75" w14:paraId="5800A534" w14:textId="2BCEB0C8">
      <w:pPr>
        <w:spacing w:line="240" w:lineRule="auto"/>
        <w:ind w:firstLine="0"/>
        <w:jc w:val="left"/>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0"/>
        <w:gridCol w:w="1620"/>
        <w:gridCol w:w="1620"/>
        <w:gridCol w:w="1620"/>
        <w:gridCol w:w="1671"/>
      </w:tblGrid>
      <w:tr w:rsidRPr="00B44598" w:rsidR="00B44598" w:rsidTr="009426F4" w14:paraId="21FCDEF0" w14:textId="77777777">
        <w:tc>
          <w:tcPr>
            <w:tcW w:w="1800" w:type="dxa"/>
          </w:tcPr>
          <w:p w:rsidRPr="00B44598" w:rsidR="00B44598" w:rsidP="00B93750" w:rsidRDefault="00B44598" w14:paraId="2A18FBB1" w14:textId="77777777">
            <w:pPr>
              <w:spacing w:line="240" w:lineRule="auto"/>
              <w:ind w:firstLine="0"/>
              <w:jc w:val="center"/>
              <w:rPr>
                <w:sz w:val="20"/>
                <w:szCs w:val="20"/>
              </w:rPr>
            </w:pPr>
            <w:r w:rsidRPr="00B44598">
              <w:rPr>
                <w:sz w:val="20"/>
                <w:szCs w:val="20"/>
              </w:rPr>
              <w:t>Occupation Title</w:t>
            </w:r>
          </w:p>
        </w:tc>
        <w:tc>
          <w:tcPr>
            <w:tcW w:w="1620" w:type="dxa"/>
          </w:tcPr>
          <w:p w:rsidRPr="00B44598" w:rsidR="00B44598" w:rsidP="00B93750" w:rsidRDefault="00B44598" w14:paraId="1B7C7B36" w14:textId="77777777">
            <w:pPr>
              <w:spacing w:line="240" w:lineRule="auto"/>
              <w:ind w:firstLine="0"/>
              <w:jc w:val="center"/>
              <w:rPr>
                <w:sz w:val="20"/>
                <w:szCs w:val="20"/>
              </w:rPr>
            </w:pPr>
            <w:r w:rsidRPr="00B44598">
              <w:rPr>
                <w:sz w:val="20"/>
                <w:szCs w:val="20"/>
              </w:rPr>
              <w:t>Occupation Code</w:t>
            </w:r>
          </w:p>
        </w:tc>
        <w:tc>
          <w:tcPr>
            <w:tcW w:w="1620" w:type="dxa"/>
          </w:tcPr>
          <w:p w:rsidRPr="00B44598" w:rsidR="00B44598" w:rsidP="00B93750" w:rsidRDefault="00B44598" w14:paraId="118F8C27" w14:textId="77777777">
            <w:pPr>
              <w:spacing w:line="240" w:lineRule="auto"/>
              <w:ind w:firstLine="0"/>
              <w:jc w:val="center"/>
              <w:rPr>
                <w:sz w:val="20"/>
                <w:szCs w:val="20"/>
              </w:rPr>
            </w:pPr>
            <w:r w:rsidRPr="00B44598">
              <w:rPr>
                <w:sz w:val="20"/>
                <w:szCs w:val="20"/>
              </w:rPr>
              <w:t>Mean Hourly Wage ($/hr)</w:t>
            </w:r>
          </w:p>
        </w:tc>
        <w:tc>
          <w:tcPr>
            <w:tcW w:w="1620" w:type="dxa"/>
          </w:tcPr>
          <w:p w:rsidRPr="00B44598" w:rsidR="00B44598" w:rsidP="00B93750" w:rsidRDefault="00B44598" w14:paraId="4B007D39" w14:textId="3FC73190">
            <w:pPr>
              <w:spacing w:line="240" w:lineRule="auto"/>
              <w:ind w:firstLine="0"/>
              <w:jc w:val="center"/>
              <w:rPr>
                <w:sz w:val="20"/>
                <w:szCs w:val="20"/>
              </w:rPr>
            </w:pPr>
            <w:r w:rsidRPr="00B44598">
              <w:rPr>
                <w:sz w:val="20"/>
                <w:szCs w:val="20"/>
              </w:rPr>
              <w:t>Fringe Benefit</w:t>
            </w:r>
            <w:r w:rsidR="00B93750">
              <w:rPr>
                <w:sz w:val="20"/>
                <w:szCs w:val="20"/>
              </w:rPr>
              <w:t>s and Overhead</w:t>
            </w:r>
            <w:r w:rsidRPr="00B44598">
              <w:rPr>
                <w:sz w:val="20"/>
                <w:szCs w:val="20"/>
              </w:rPr>
              <w:t xml:space="preserve"> ($/hr)</w:t>
            </w:r>
          </w:p>
        </w:tc>
        <w:tc>
          <w:tcPr>
            <w:tcW w:w="1671" w:type="dxa"/>
          </w:tcPr>
          <w:p w:rsidRPr="00B44598" w:rsidR="00B44598" w:rsidP="00B93750" w:rsidRDefault="00B44598" w14:paraId="6CD0D15D" w14:textId="77777777">
            <w:pPr>
              <w:spacing w:line="240" w:lineRule="auto"/>
              <w:ind w:firstLine="0"/>
              <w:jc w:val="center"/>
              <w:rPr>
                <w:sz w:val="20"/>
                <w:szCs w:val="20"/>
              </w:rPr>
            </w:pPr>
            <w:r w:rsidRPr="00B44598">
              <w:rPr>
                <w:sz w:val="20"/>
                <w:szCs w:val="20"/>
              </w:rPr>
              <w:t>Adjusted Hourly Wage ($/hr)</w:t>
            </w:r>
          </w:p>
        </w:tc>
      </w:tr>
      <w:tr w:rsidRPr="00B44598" w:rsidR="00B44598" w:rsidTr="009426F4" w14:paraId="2504F3E0" w14:textId="77777777">
        <w:tc>
          <w:tcPr>
            <w:tcW w:w="1800" w:type="dxa"/>
          </w:tcPr>
          <w:p w:rsidRPr="00B44598" w:rsidR="00B44598" w:rsidP="00B44598" w:rsidRDefault="00B44598" w14:paraId="7D01644B" w14:textId="77777777">
            <w:pPr>
              <w:spacing w:line="240" w:lineRule="auto"/>
              <w:ind w:firstLine="0"/>
              <w:rPr>
                <w:sz w:val="20"/>
                <w:szCs w:val="20"/>
              </w:rPr>
            </w:pPr>
            <w:r w:rsidRPr="00B44598">
              <w:rPr>
                <w:sz w:val="20"/>
                <w:szCs w:val="20"/>
              </w:rPr>
              <w:t>Business Operations Specialist</w:t>
            </w:r>
          </w:p>
        </w:tc>
        <w:tc>
          <w:tcPr>
            <w:tcW w:w="1620" w:type="dxa"/>
          </w:tcPr>
          <w:p w:rsidRPr="00B44598" w:rsidR="00B44598" w:rsidP="00B44598" w:rsidRDefault="00B44598" w14:paraId="3971798C" w14:textId="77777777">
            <w:pPr>
              <w:spacing w:line="240" w:lineRule="auto"/>
              <w:ind w:firstLine="0"/>
              <w:rPr>
                <w:sz w:val="20"/>
                <w:szCs w:val="20"/>
              </w:rPr>
            </w:pPr>
            <w:r w:rsidRPr="00B44598">
              <w:rPr>
                <w:sz w:val="20"/>
                <w:szCs w:val="20"/>
              </w:rPr>
              <w:t>13-1000</w:t>
            </w:r>
          </w:p>
        </w:tc>
        <w:tc>
          <w:tcPr>
            <w:tcW w:w="1620" w:type="dxa"/>
          </w:tcPr>
          <w:p w:rsidRPr="00B44598" w:rsidR="00B44598" w:rsidP="00B44598" w:rsidRDefault="002F081D" w14:paraId="5150C3B4" w14:textId="01708CBF">
            <w:pPr>
              <w:spacing w:line="240" w:lineRule="auto"/>
              <w:ind w:firstLine="0"/>
              <w:rPr>
                <w:sz w:val="20"/>
                <w:szCs w:val="20"/>
              </w:rPr>
            </w:pPr>
            <w:r>
              <w:rPr>
                <w:sz w:val="20"/>
                <w:szCs w:val="20"/>
              </w:rPr>
              <w:t>36.31</w:t>
            </w:r>
          </w:p>
        </w:tc>
        <w:tc>
          <w:tcPr>
            <w:tcW w:w="1620" w:type="dxa"/>
          </w:tcPr>
          <w:p w:rsidRPr="00B44598" w:rsidR="00B44598" w:rsidP="00B44598" w:rsidRDefault="002F081D" w14:paraId="2270B40C" w14:textId="7B88F6EF">
            <w:pPr>
              <w:spacing w:line="240" w:lineRule="auto"/>
              <w:ind w:firstLine="0"/>
              <w:rPr>
                <w:sz w:val="20"/>
                <w:szCs w:val="20"/>
              </w:rPr>
            </w:pPr>
            <w:r>
              <w:rPr>
                <w:sz w:val="20"/>
                <w:szCs w:val="20"/>
              </w:rPr>
              <w:t>36.31</w:t>
            </w:r>
          </w:p>
        </w:tc>
        <w:tc>
          <w:tcPr>
            <w:tcW w:w="1671" w:type="dxa"/>
          </w:tcPr>
          <w:p w:rsidRPr="00B44598" w:rsidR="00B44598" w:rsidP="00B44598" w:rsidRDefault="002F081D" w14:paraId="58B7FA2A" w14:textId="1C7711BE">
            <w:pPr>
              <w:spacing w:line="240" w:lineRule="auto"/>
              <w:ind w:firstLine="0"/>
              <w:rPr>
                <w:sz w:val="20"/>
                <w:szCs w:val="20"/>
              </w:rPr>
            </w:pPr>
            <w:r>
              <w:rPr>
                <w:sz w:val="20"/>
                <w:szCs w:val="20"/>
              </w:rPr>
              <w:t>72.62</w:t>
            </w:r>
          </w:p>
        </w:tc>
      </w:tr>
    </w:tbl>
    <w:p w:rsidRPr="002C708A" w:rsidR="00CD1CED" w:rsidP="00CD1CED" w:rsidRDefault="00CD1CED" w14:paraId="4BA5CB03" w14:textId="77777777">
      <w:pPr>
        <w:spacing w:line="240" w:lineRule="auto"/>
        <w:ind w:firstLine="0"/>
        <w:jc w:val="left"/>
      </w:pPr>
    </w:p>
    <w:p w:rsidRPr="002C708A" w:rsidR="002C708A" w:rsidP="00CD1CED" w:rsidRDefault="002C708A" w14:paraId="548BD3CB" w14:textId="0666D49E">
      <w:pPr>
        <w:spacing w:line="240" w:lineRule="auto"/>
        <w:ind w:firstLine="0"/>
        <w:jc w:val="left"/>
      </w:pPr>
      <w:r w:rsidRPr="002C708A">
        <w:t>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rsidRPr="002C708A" w:rsidR="002C708A" w:rsidP="00CD1CED" w:rsidRDefault="002C708A" w14:paraId="1348E924" w14:textId="77777777">
      <w:pPr>
        <w:spacing w:line="240" w:lineRule="auto"/>
        <w:ind w:firstLine="0"/>
        <w:jc w:val="left"/>
      </w:pPr>
    </w:p>
    <w:p w:rsidRPr="002C708A" w:rsidR="002C708A" w:rsidP="002C708A" w:rsidRDefault="002C708A" w14:paraId="6F24CE1C" w14:textId="77777777">
      <w:pPr>
        <w:spacing w:line="240" w:lineRule="auto"/>
        <w:ind w:firstLine="0"/>
        <w:rPr>
          <w:i/>
        </w:rPr>
      </w:pPr>
      <w:r w:rsidRPr="002C708A">
        <w:rPr>
          <w:i/>
        </w:rPr>
        <w:t>Burden Estimates</w:t>
      </w:r>
    </w:p>
    <w:p w:rsidRPr="001F7A04" w:rsidR="002C708A" w:rsidP="001F7A04" w:rsidRDefault="002C708A" w14:paraId="720405AD" w14:textId="77777777">
      <w:pPr>
        <w:spacing w:line="240" w:lineRule="auto"/>
        <w:ind w:firstLine="0"/>
        <w:jc w:val="left"/>
      </w:pPr>
    </w:p>
    <w:p w:rsidRPr="001F7A04" w:rsidR="002C708A" w:rsidP="001F7A04" w:rsidRDefault="002C708A" w14:paraId="1F5AA148" w14:textId="2092DEF6">
      <w:pPr>
        <w:spacing w:line="240" w:lineRule="auto"/>
        <w:ind w:firstLine="0"/>
        <w:jc w:val="left"/>
      </w:pPr>
      <w:r w:rsidRPr="001F7A04">
        <w:t>The template has 14 fillable pages.  We estimate that it will take no longer than 10 hours at $</w:t>
      </w:r>
      <w:r w:rsidRPr="001F7A04" w:rsidR="001F7A04">
        <w:t>72.62</w:t>
      </w:r>
      <w:r w:rsidRPr="001F7A04">
        <w:t xml:space="preserve">/hr for a state to complete and submit the template to CMS. </w:t>
      </w:r>
    </w:p>
    <w:p w:rsidRPr="001F7A04" w:rsidR="002C708A" w:rsidP="001F7A04" w:rsidRDefault="002C708A" w14:paraId="72E9FC21" w14:textId="77777777">
      <w:pPr>
        <w:spacing w:line="240" w:lineRule="auto"/>
        <w:ind w:firstLine="0"/>
        <w:jc w:val="left"/>
      </w:pPr>
    </w:p>
    <w:p w:rsidRPr="001F7A04" w:rsidR="002C708A" w:rsidP="001F7A04" w:rsidRDefault="002C708A" w14:paraId="157A67F1" w14:textId="77777777">
      <w:pPr>
        <w:spacing w:line="240" w:lineRule="auto"/>
        <w:ind w:firstLine="0"/>
        <w:jc w:val="left"/>
      </w:pPr>
      <w:r w:rsidRPr="001F7A04">
        <w:t>The potential number of respondents is 56 (50 states, D.C., and 5 territories); however, currently only 22 States use this authority for managed care enrollment in 36 separate programs.  Since the prior reauthorization of the template in 2014, we have averaged 12 state submissions annually.  Only 2 of those are usually new program requests, and the remainder are amendments for changes to existing programs.</w:t>
      </w:r>
    </w:p>
    <w:p w:rsidRPr="001F7A04" w:rsidR="002C708A" w:rsidP="001F7A04" w:rsidRDefault="002C708A" w14:paraId="13F23609" w14:textId="77777777">
      <w:pPr>
        <w:spacing w:line="240" w:lineRule="auto"/>
        <w:ind w:firstLine="0"/>
        <w:jc w:val="left"/>
      </w:pPr>
    </w:p>
    <w:p w:rsidRPr="001F7A04" w:rsidR="002C708A" w:rsidP="001F7A04" w:rsidRDefault="002C708A" w14:paraId="4E0FB48F" w14:textId="165FD45D">
      <w:pPr>
        <w:spacing w:line="240" w:lineRule="auto"/>
        <w:ind w:firstLine="0"/>
        <w:jc w:val="left"/>
      </w:pPr>
      <w:r w:rsidRPr="001F7A04">
        <w:t>Once approved, the state (10 states annually = 12 total submissions – 2 new submissions) will only need to resubmit to amend the prior submission.  We estimate it would take 5 hours per state at $</w:t>
      </w:r>
      <w:r w:rsidRPr="001F7A04" w:rsidR="001F7A04">
        <w:t>72.62</w:t>
      </w:r>
      <w:r w:rsidRPr="001F7A04">
        <w:t>/hr to complete and submit an amendment.</w:t>
      </w:r>
    </w:p>
    <w:p w:rsidRPr="001F7A04" w:rsidR="002C708A" w:rsidP="001F7A04" w:rsidRDefault="002C708A" w14:paraId="4B8EC21E" w14:textId="77777777">
      <w:pPr>
        <w:spacing w:line="240" w:lineRule="auto"/>
        <w:ind w:firstLine="0"/>
        <w:jc w:val="left"/>
      </w:pPr>
    </w:p>
    <w:p w:rsidRPr="002C708A" w:rsidR="002C708A" w:rsidP="002C708A" w:rsidRDefault="002C708A" w14:paraId="3EB9CF84" w14:textId="77777777">
      <w:pPr>
        <w:spacing w:line="240" w:lineRule="auto"/>
        <w:ind w:firstLine="0"/>
        <w:rPr>
          <w:i/>
        </w:rPr>
      </w:pPr>
      <w:r w:rsidRPr="002C708A">
        <w:rPr>
          <w:i/>
        </w:rPr>
        <w:t>Burden Summary</w:t>
      </w:r>
    </w:p>
    <w:p w:rsidR="002C708A" w:rsidP="007F4841" w:rsidRDefault="002C708A" w14:paraId="795AD3E4" w14:textId="21C6F20C">
      <w:pPr>
        <w:spacing w:line="240" w:lineRule="auto"/>
        <w:ind w:firstLine="0"/>
        <w:jc w:val="left"/>
        <w:rPr>
          <w:i/>
        </w:rPr>
      </w:pPr>
    </w:p>
    <w:tbl>
      <w:tblPr>
        <w:tblW w:w="7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160"/>
        <w:gridCol w:w="1095"/>
        <w:gridCol w:w="1155"/>
        <w:gridCol w:w="1075"/>
        <w:gridCol w:w="1015"/>
        <w:gridCol w:w="1176"/>
        <w:gridCol w:w="1021"/>
      </w:tblGrid>
      <w:tr w:rsidRPr="009A247D" w:rsidR="007F4841" w:rsidTr="007F4841" w14:paraId="44A33D73" w14:textId="77777777">
        <w:trPr>
          <w:tblHeader/>
        </w:trPr>
        <w:tc>
          <w:tcPr>
            <w:tcW w:w="1160" w:type="dxa"/>
            <w:vAlign w:val="bottom"/>
          </w:tcPr>
          <w:p w:rsidRPr="009A247D" w:rsidR="007F4841" w:rsidP="007F4841" w:rsidRDefault="007F4841" w14:paraId="6E5AC285"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b/>
                <w:sz w:val="16"/>
                <w:szCs w:val="16"/>
              </w:rPr>
            </w:pPr>
            <w:r w:rsidRPr="009A247D">
              <w:rPr>
                <w:b/>
                <w:bCs/>
                <w:color w:val="000000"/>
                <w:sz w:val="16"/>
                <w:szCs w:val="16"/>
              </w:rPr>
              <w:lastRenderedPageBreak/>
              <w:t>Requirement</w:t>
            </w:r>
          </w:p>
        </w:tc>
        <w:tc>
          <w:tcPr>
            <w:tcW w:w="1095" w:type="dxa"/>
            <w:vAlign w:val="bottom"/>
          </w:tcPr>
          <w:p w:rsidRPr="009A247D" w:rsidR="007F4841" w:rsidP="007F4841" w:rsidRDefault="007F4841" w14:paraId="2AE55749"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b/>
                <w:sz w:val="16"/>
                <w:szCs w:val="16"/>
              </w:rPr>
            </w:pPr>
            <w:r w:rsidRPr="009A247D">
              <w:rPr>
                <w:b/>
                <w:bCs/>
                <w:color w:val="000000"/>
                <w:sz w:val="16"/>
                <w:szCs w:val="16"/>
              </w:rPr>
              <w:t>Respondents</w:t>
            </w:r>
          </w:p>
        </w:tc>
        <w:tc>
          <w:tcPr>
            <w:tcW w:w="1155" w:type="dxa"/>
            <w:vAlign w:val="bottom"/>
          </w:tcPr>
          <w:p w:rsidRPr="009A247D" w:rsidR="007F4841" w:rsidP="007F4841" w:rsidRDefault="007F4841" w14:paraId="3B5265CF"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b/>
                <w:sz w:val="16"/>
                <w:szCs w:val="16"/>
              </w:rPr>
            </w:pPr>
            <w:r w:rsidRPr="009A247D">
              <w:rPr>
                <w:b/>
                <w:bCs/>
                <w:color w:val="000000"/>
                <w:sz w:val="16"/>
                <w:szCs w:val="16"/>
              </w:rPr>
              <w:t>Responses (total)</w:t>
            </w:r>
          </w:p>
        </w:tc>
        <w:tc>
          <w:tcPr>
            <w:tcW w:w="1075" w:type="dxa"/>
            <w:vAlign w:val="bottom"/>
          </w:tcPr>
          <w:p w:rsidRPr="009A247D" w:rsidR="007F4841" w:rsidP="007F4841" w:rsidRDefault="007F4841" w14:paraId="63188B51"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b/>
                <w:sz w:val="16"/>
                <w:szCs w:val="16"/>
              </w:rPr>
            </w:pPr>
            <w:r w:rsidRPr="009A247D">
              <w:rPr>
                <w:b/>
                <w:bCs/>
                <w:color w:val="000000"/>
                <w:sz w:val="16"/>
                <w:szCs w:val="16"/>
              </w:rPr>
              <w:t>Burden per Response (hours)</w:t>
            </w:r>
          </w:p>
        </w:tc>
        <w:tc>
          <w:tcPr>
            <w:tcW w:w="1015" w:type="dxa"/>
            <w:vAlign w:val="bottom"/>
          </w:tcPr>
          <w:p w:rsidRPr="009A247D" w:rsidR="007F4841" w:rsidP="007F4841" w:rsidRDefault="007F4841" w14:paraId="3FA58974"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b/>
                <w:sz w:val="16"/>
                <w:szCs w:val="16"/>
              </w:rPr>
            </w:pPr>
            <w:r w:rsidRPr="009A247D">
              <w:rPr>
                <w:b/>
                <w:bCs/>
                <w:color w:val="000000"/>
                <w:sz w:val="16"/>
                <w:szCs w:val="16"/>
              </w:rPr>
              <w:t>Total Annual Burden (hours)</w:t>
            </w:r>
          </w:p>
        </w:tc>
        <w:tc>
          <w:tcPr>
            <w:tcW w:w="1176" w:type="dxa"/>
            <w:vAlign w:val="bottom"/>
          </w:tcPr>
          <w:p w:rsidRPr="009A247D" w:rsidR="007F4841" w:rsidP="007F4841" w:rsidRDefault="007F4841" w14:paraId="4C96F79D" w14:textId="77777777">
            <w:pPr>
              <w:spacing w:line="240" w:lineRule="auto"/>
              <w:ind w:firstLine="0"/>
              <w:jc w:val="left"/>
              <w:rPr>
                <w:b/>
                <w:bCs/>
                <w:color w:val="000000"/>
                <w:sz w:val="16"/>
                <w:szCs w:val="16"/>
              </w:rPr>
            </w:pPr>
            <w:r w:rsidRPr="009A247D">
              <w:rPr>
                <w:b/>
                <w:bCs/>
                <w:color w:val="000000"/>
                <w:sz w:val="16"/>
                <w:szCs w:val="16"/>
              </w:rPr>
              <w:t>Labor</w:t>
            </w:r>
          </w:p>
          <w:p w:rsidRPr="009A247D" w:rsidR="007F4841" w:rsidP="007F4841" w:rsidRDefault="007F4841" w14:paraId="56A61F05" w14:textId="77777777">
            <w:pPr>
              <w:spacing w:line="240" w:lineRule="auto"/>
              <w:ind w:firstLine="0"/>
              <w:jc w:val="left"/>
              <w:rPr>
                <w:b/>
                <w:bCs/>
                <w:color w:val="000000"/>
                <w:sz w:val="16"/>
                <w:szCs w:val="16"/>
              </w:rPr>
            </w:pPr>
            <w:r w:rsidRPr="009A247D">
              <w:rPr>
                <w:b/>
                <w:bCs/>
                <w:color w:val="000000"/>
                <w:sz w:val="16"/>
                <w:szCs w:val="16"/>
              </w:rPr>
              <w:t>Cost of</w:t>
            </w:r>
          </w:p>
          <w:p w:rsidRPr="009A247D" w:rsidR="007F4841" w:rsidP="007F4841" w:rsidRDefault="007F4841" w14:paraId="3E00EC9E" w14:textId="77777777">
            <w:pPr>
              <w:spacing w:line="240" w:lineRule="auto"/>
              <w:ind w:firstLine="0"/>
              <w:jc w:val="left"/>
              <w:rPr>
                <w:b/>
                <w:bCs/>
                <w:color w:val="000000"/>
                <w:sz w:val="16"/>
                <w:szCs w:val="16"/>
              </w:rPr>
            </w:pPr>
            <w:r w:rsidRPr="009A247D">
              <w:rPr>
                <w:b/>
                <w:bCs/>
                <w:color w:val="000000"/>
                <w:sz w:val="16"/>
                <w:szCs w:val="16"/>
              </w:rPr>
              <w:t>Reporting</w:t>
            </w:r>
          </w:p>
          <w:p w:rsidRPr="009A247D" w:rsidR="007F4841" w:rsidP="007F4841" w:rsidRDefault="007F4841" w14:paraId="44822F28"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b/>
                <w:sz w:val="16"/>
                <w:szCs w:val="16"/>
              </w:rPr>
            </w:pPr>
            <w:r w:rsidRPr="009A247D">
              <w:rPr>
                <w:b/>
                <w:bCs/>
                <w:color w:val="000000"/>
                <w:sz w:val="16"/>
                <w:szCs w:val="16"/>
              </w:rPr>
              <w:t>($/hr)</w:t>
            </w:r>
          </w:p>
        </w:tc>
        <w:tc>
          <w:tcPr>
            <w:tcW w:w="1021" w:type="dxa"/>
            <w:vAlign w:val="bottom"/>
          </w:tcPr>
          <w:p w:rsidRPr="009A247D" w:rsidR="007F4841" w:rsidP="007F4841" w:rsidRDefault="007F4841" w14:paraId="5157EF7E"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b/>
                <w:sz w:val="16"/>
                <w:szCs w:val="16"/>
              </w:rPr>
            </w:pPr>
            <w:r w:rsidRPr="009A247D">
              <w:rPr>
                <w:b/>
                <w:sz w:val="16"/>
                <w:szCs w:val="16"/>
              </w:rPr>
              <w:t>Total Cost</w:t>
            </w:r>
          </w:p>
          <w:p w:rsidRPr="009A247D" w:rsidR="007F4841" w:rsidP="007F4841" w:rsidRDefault="007F4841" w14:paraId="358B8612"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b/>
                <w:sz w:val="16"/>
                <w:szCs w:val="16"/>
              </w:rPr>
            </w:pPr>
            <w:r w:rsidRPr="009A247D">
              <w:rPr>
                <w:b/>
                <w:sz w:val="16"/>
                <w:szCs w:val="16"/>
              </w:rPr>
              <w:t>($)</w:t>
            </w:r>
          </w:p>
        </w:tc>
      </w:tr>
      <w:tr w:rsidRPr="009A247D" w:rsidR="007F4841" w:rsidTr="007F4841" w14:paraId="31D48B08" w14:textId="77777777">
        <w:tc>
          <w:tcPr>
            <w:tcW w:w="1160" w:type="dxa"/>
          </w:tcPr>
          <w:p w:rsidRPr="009A247D" w:rsidR="007F4841" w:rsidP="007F4841" w:rsidRDefault="007F4841" w14:paraId="4579479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left"/>
              <w:rPr>
                <w:sz w:val="16"/>
                <w:szCs w:val="16"/>
              </w:rPr>
            </w:pPr>
            <w:r w:rsidRPr="009A247D">
              <w:rPr>
                <w:sz w:val="16"/>
                <w:szCs w:val="16"/>
              </w:rPr>
              <w:t xml:space="preserve">New </w:t>
            </w:r>
            <w:r>
              <w:rPr>
                <w:sz w:val="16"/>
                <w:szCs w:val="16"/>
              </w:rPr>
              <w:t>S</w:t>
            </w:r>
            <w:r w:rsidRPr="009A247D">
              <w:rPr>
                <w:sz w:val="16"/>
                <w:szCs w:val="16"/>
              </w:rPr>
              <w:t>ubmissions</w:t>
            </w:r>
          </w:p>
        </w:tc>
        <w:tc>
          <w:tcPr>
            <w:tcW w:w="1095" w:type="dxa"/>
          </w:tcPr>
          <w:p w:rsidRPr="009A247D" w:rsidR="007F4841" w:rsidP="007F4841" w:rsidRDefault="007F4841" w14:paraId="58BCF58D"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sz w:val="16"/>
                <w:szCs w:val="16"/>
              </w:rPr>
            </w:pPr>
            <w:r w:rsidRPr="009A247D">
              <w:rPr>
                <w:sz w:val="16"/>
                <w:szCs w:val="16"/>
              </w:rPr>
              <w:t>2</w:t>
            </w:r>
          </w:p>
        </w:tc>
        <w:tc>
          <w:tcPr>
            <w:tcW w:w="1155" w:type="dxa"/>
          </w:tcPr>
          <w:p w:rsidRPr="009A247D" w:rsidR="007F4841" w:rsidP="007F4841" w:rsidRDefault="007F4841" w14:paraId="6424FFCE"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sz w:val="16"/>
                <w:szCs w:val="16"/>
              </w:rPr>
            </w:pPr>
            <w:r w:rsidRPr="009A247D">
              <w:rPr>
                <w:sz w:val="16"/>
                <w:szCs w:val="16"/>
              </w:rPr>
              <w:t>2</w:t>
            </w:r>
          </w:p>
        </w:tc>
        <w:tc>
          <w:tcPr>
            <w:tcW w:w="1075" w:type="dxa"/>
          </w:tcPr>
          <w:p w:rsidRPr="009A247D" w:rsidR="007F4841" w:rsidP="007F4841" w:rsidRDefault="007F4841" w14:paraId="7A767D04"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sz w:val="16"/>
                <w:szCs w:val="16"/>
              </w:rPr>
            </w:pPr>
            <w:r w:rsidRPr="009A247D">
              <w:rPr>
                <w:sz w:val="16"/>
                <w:szCs w:val="16"/>
              </w:rPr>
              <w:t>10</w:t>
            </w:r>
          </w:p>
        </w:tc>
        <w:tc>
          <w:tcPr>
            <w:tcW w:w="1015" w:type="dxa"/>
          </w:tcPr>
          <w:p w:rsidRPr="009A247D" w:rsidR="007F4841" w:rsidP="007F4841" w:rsidRDefault="007F4841" w14:paraId="2EA6F3F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left"/>
              <w:rPr>
                <w:sz w:val="16"/>
                <w:szCs w:val="16"/>
              </w:rPr>
            </w:pPr>
            <w:r w:rsidRPr="009A247D">
              <w:rPr>
                <w:sz w:val="16"/>
                <w:szCs w:val="16"/>
              </w:rPr>
              <w:t>20</w:t>
            </w:r>
          </w:p>
        </w:tc>
        <w:tc>
          <w:tcPr>
            <w:tcW w:w="1176" w:type="dxa"/>
          </w:tcPr>
          <w:p w:rsidRPr="009A247D" w:rsidR="007F4841" w:rsidP="007F4841" w:rsidRDefault="007F4841" w14:paraId="55EA5220" w14:textId="470AD5FE">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sz w:val="16"/>
                <w:szCs w:val="16"/>
              </w:rPr>
            </w:pPr>
            <w:r w:rsidRPr="007F4841">
              <w:rPr>
                <w:sz w:val="16"/>
                <w:szCs w:val="16"/>
              </w:rPr>
              <w:t>72.62</w:t>
            </w:r>
          </w:p>
        </w:tc>
        <w:tc>
          <w:tcPr>
            <w:tcW w:w="1021" w:type="dxa"/>
          </w:tcPr>
          <w:p w:rsidRPr="009A247D" w:rsidR="007F4841" w:rsidP="007F4841" w:rsidRDefault="00C90986" w14:paraId="195D7815" w14:textId="0839BFAC">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sz w:val="16"/>
                <w:szCs w:val="16"/>
              </w:rPr>
            </w:pPr>
            <w:r>
              <w:rPr>
                <w:sz w:val="16"/>
                <w:szCs w:val="16"/>
              </w:rPr>
              <w:t>1,452</w:t>
            </w:r>
          </w:p>
        </w:tc>
      </w:tr>
      <w:tr w:rsidRPr="009A247D" w:rsidR="007F4841" w:rsidTr="007F4841" w14:paraId="09064475" w14:textId="77777777">
        <w:tc>
          <w:tcPr>
            <w:tcW w:w="1160" w:type="dxa"/>
          </w:tcPr>
          <w:p w:rsidRPr="009A247D" w:rsidR="007F4841" w:rsidP="007F4841" w:rsidRDefault="007F4841" w14:paraId="41E67DB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left"/>
              <w:rPr>
                <w:sz w:val="16"/>
                <w:szCs w:val="16"/>
              </w:rPr>
            </w:pPr>
            <w:r w:rsidRPr="009A247D">
              <w:rPr>
                <w:sz w:val="16"/>
                <w:szCs w:val="16"/>
              </w:rPr>
              <w:t xml:space="preserve">Amended </w:t>
            </w:r>
            <w:r>
              <w:rPr>
                <w:sz w:val="16"/>
                <w:szCs w:val="16"/>
              </w:rPr>
              <w:t>S</w:t>
            </w:r>
            <w:r w:rsidRPr="009A247D">
              <w:rPr>
                <w:sz w:val="16"/>
                <w:szCs w:val="16"/>
              </w:rPr>
              <w:t>ubmissions</w:t>
            </w:r>
          </w:p>
        </w:tc>
        <w:tc>
          <w:tcPr>
            <w:tcW w:w="1095" w:type="dxa"/>
          </w:tcPr>
          <w:p w:rsidRPr="009A247D" w:rsidR="007F4841" w:rsidP="007F4841" w:rsidRDefault="007F4841" w14:paraId="4272683E"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sz w:val="16"/>
                <w:szCs w:val="16"/>
              </w:rPr>
            </w:pPr>
            <w:r w:rsidRPr="009A247D">
              <w:rPr>
                <w:sz w:val="16"/>
                <w:szCs w:val="16"/>
              </w:rPr>
              <w:t>10</w:t>
            </w:r>
          </w:p>
        </w:tc>
        <w:tc>
          <w:tcPr>
            <w:tcW w:w="1155" w:type="dxa"/>
          </w:tcPr>
          <w:p w:rsidRPr="009A247D" w:rsidR="007F4841" w:rsidP="007F4841" w:rsidRDefault="007F4841" w14:paraId="3A15EF49"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left"/>
              <w:rPr>
                <w:sz w:val="16"/>
                <w:szCs w:val="16"/>
              </w:rPr>
            </w:pPr>
            <w:r w:rsidRPr="009A247D">
              <w:rPr>
                <w:sz w:val="16"/>
                <w:szCs w:val="16"/>
              </w:rPr>
              <w:t>10</w:t>
            </w:r>
          </w:p>
        </w:tc>
        <w:tc>
          <w:tcPr>
            <w:tcW w:w="1075" w:type="dxa"/>
          </w:tcPr>
          <w:p w:rsidRPr="009A247D" w:rsidR="007F4841" w:rsidP="007F4841" w:rsidRDefault="007F4841" w14:paraId="76899869"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sz w:val="16"/>
                <w:szCs w:val="16"/>
              </w:rPr>
            </w:pPr>
            <w:r w:rsidRPr="009A247D">
              <w:rPr>
                <w:sz w:val="16"/>
                <w:szCs w:val="16"/>
              </w:rPr>
              <w:t>5</w:t>
            </w:r>
          </w:p>
        </w:tc>
        <w:tc>
          <w:tcPr>
            <w:tcW w:w="1015" w:type="dxa"/>
          </w:tcPr>
          <w:p w:rsidRPr="009A247D" w:rsidR="007F4841" w:rsidP="007F4841" w:rsidRDefault="007F4841" w14:paraId="17A8ECA2"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left"/>
              <w:rPr>
                <w:sz w:val="16"/>
                <w:szCs w:val="16"/>
              </w:rPr>
            </w:pPr>
            <w:r w:rsidRPr="009A247D">
              <w:rPr>
                <w:sz w:val="16"/>
                <w:szCs w:val="16"/>
              </w:rPr>
              <w:t>50</w:t>
            </w:r>
          </w:p>
        </w:tc>
        <w:tc>
          <w:tcPr>
            <w:tcW w:w="1176" w:type="dxa"/>
          </w:tcPr>
          <w:p w:rsidRPr="009A247D" w:rsidR="007F4841" w:rsidP="007F4841" w:rsidRDefault="007F4841" w14:paraId="468AB953" w14:textId="6A6C14C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sz w:val="16"/>
                <w:szCs w:val="16"/>
              </w:rPr>
            </w:pPr>
            <w:r w:rsidRPr="007F4841">
              <w:rPr>
                <w:sz w:val="16"/>
                <w:szCs w:val="16"/>
              </w:rPr>
              <w:t>72.62</w:t>
            </w:r>
          </w:p>
        </w:tc>
        <w:tc>
          <w:tcPr>
            <w:tcW w:w="1021" w:type="dxa"/>
          </w:tcPr>
          <w:p w:rsidRPr="009A247D" w:rsidR="007F4841" w:rsidP="007F4841" w:rsidRDefault="00C90986" w14:paraId="52F48103" w14:textId="2761242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sz w:val="16"/>
                <w:szCs w:val="16"/>
              </w:rPr>
            </w:pPr>
            <w:r>
              <w:rPr>
                <w:sz w:val="16"/>
                <w:szCs w:val="16"/>
              </w:rPr>
              <w:t>3,631</w:t>
            </w:r>
          </w:p>
        </w:tc>
      </w:tr>
      <w:tr w:rsidRPr="00DC46A6" w:rsidR="007F4841" w:rsidTr="007F4841" w14:paraId="647FB789" w14:textId="77777777">
        <w:tc>
          <w:tcPr>
            <w:tcW w:w="1160" w:type="dxa"/>
            <w:shd w:val="clear" w:color="auto" w:fill="D9D9D9" w:themeFill="background1" w:themeFillShade="D9"/>
          </w:tcPr>
          <w:p w:rsidRPr="009A247D" w:rsidR="007F4841" w:rsidP="007F4841" w:rsidRDefault="007F4841" w14:paraId="507CF35A"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left"/>
              <w:rPr>
                <w:b/>
                <w:sz w:val="16"/>
                <w:szCs w:val="16"/>
              </w:rPr>
            </w:pPr>
            <w:r w:rsidRPr="009A247D">
              <w:rPr>
                <w:b/>
                <w:sz w:val="16"/>
                <w:szCs w:val="16"/>
              </w:rPr>
              <w:t>Total</w:t>
            </w:r>
          </w:p>
        </w:tc>
        <w:tc>
          <w:tcPr>
            <w:tcW w:w="1095" w:type="dxa"/>
            <w:shd w:val="clear" w:color="auto" w:fill="D9D9D9" w:themeFill="background1" w:themeFillShade="D9"/>
          </w:tcPr>
          <w:p w:rsidRPr="009A247D" w:rsidR="007F4841" w:rsidP="007F4841" w:rsidRDefault="007F4841" w14:paraId="64909C09"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sz w:val="16"/>
                <w:szCs w:val="16"/>
              </w:rPr>
            </w:pPr>
            <w:r w:rsidRPr="009A247D">
              <w:rPr>
                <w:sz w:val="16"/>
                <w:szCs w:val="16"/>
              </w:rPr>
              <w:t>12</w:t>
            </w:r>
          </w:p>
        </w:tc>
        <w:tc>
          <w:tcPr>
            <w:tcW w:w="1155" w:type="dxa"/>
            <w:shd w:val="clear" w:color="auto" w:fill="D9D9D9" w:themeFill="background1" w:themeFillShade="D9"/>
          </w:tcPr>
          <w:p w:rsidRPr="009A247D" w:rsidR="007F4841" w:rsidP="007F4841" w:rsidRDefault="007F4841" w14:paraId="1ABEE508"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sz w:val="16"/>
                <w:szCs w:val="16"/>
              </w:rPr>
            </w:pPr>
            <w:r w:rsidRPr="009A247D">
              <w:rPr>
                <w:sz w:val="16"/>
                <w:szCs w:val="16"/>
              </w:rPr>
              <w:t>12</w:t>
            </w:r>
          </w:p>
        </w:tc>
        <w:tc>
          <w:tcPr>
            <w:tcW w:w="1075" w:type="dxa"/>
            <w:shd w:val="clear" w:color="auto" w:fill="D9D9D9" w:themeFill="background1" w:themeFillShade="D9"/>
          </w:tcPr>
          <w:p w:rsidRPr="009A247D" w:rsidR="007F4841" w:rsidP="007F4841" w:rsidRDefault="007F4841" w14:paraId="28651CA1"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sz w:val="16"/>
                <w:szCs w:val="16"/>
              </w:rPr>
            </w:pPr>
            <w:r w:rsidRPr="009A247D">
              <w:rPr>
                <w:sz w:val="16"/>
                <w:szCs w:val="16"/>
              </w:rPr>
              <w:t>15</w:t>
            </w:r>
          </w:p>
        </w:tc>
        <w:tc>
          <w:tcPr>
            <w:tcW w:w="1015" w:type="dxa"/>
            <w:shd w:val="clear" w:color="auto" w:fill="D9D9D9" w:themeFill="background1" w:themeFillShade="D9"/>
          </w:tcPr>
          <w:p w:rsidRPr="009A247D" w:rsidR="007F4841" w:rsidP="007F4841" w:rsidRDefault="007F4841" w14:paraId="4A081338"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firstLine="0"/>
              <w:jc w:val="left"/>
              <w:rPr>
                <w:sz w:val="16"/>
                <w:szCs w:val="16"/>
              </w:rPr>
            </w:pPr>
            <w:r w:rsidRPr="009A247D">
              <w:rPr>
                <w:sz w:val="16"/>
                <w:szCs w:val="16"/>
              </w:rPr>
              <w:t>70</w:t>
            </w:r>
          </w:p>
        </w:tc>
        <w:tc>
          <w:tcPr>
            <w:tcW w:w="1176" w:type="dxa"/>
            <w:shd w:val="clear" w:color="auto" w:fill="D9D9D9" w:themeFill="background1" w:themeFillShade="D9"/>
          </w:tcPr>
          <w:p w:rsidRPr="009A247D" w:rsidR="007F4841" w:rsidP="007F4841" w:rsidRDefault="007F4841" w14:paraId="32D6372B" w14:textId="2BB767D8">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sz w:val="16"/>
                <w:szCs w:val="16"/>
              </w:rPr>
            </w:pPr>
            <w:r w:rsidRPr="007F4841">
              <w:rPr>
                <w:sz w:val="16"/>
                <w:szCs w:val="16"/>
              </w:rPr>
              <w:t>72.62</w:t>
            </w:r>
          </w:p>
        </w:tc>
        <w:tc>
          <w:tcPr>
            <w:tcW w:w="1021" w:type="dxa"/>
            <w:shd w:val="clear" w:color="auto" w:fill="D9D9D9" w:themeFill="background1" w:themeFillShade="D9"/>
          </w:tcPr>
          <w:p w:rsidRPr="009A247D" w:rsidR="007F4841" w:rsidP="007F4841" w:rsidRDefault="00C90986" w14:paraId="5F0F2EB5" w14:textId="397B5A4F">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spacing w:line="240" w:lineRule="auto"/>
              <w:ind w:firstLine="0"/>
              <w:jc w:val="left"/>
              <w:rPr>
                <w:sz w:val="16"/>
                <w:szCs w:val="16"/>
              </w:rPr>
            </w:pPr>
            <w:r>
              <w:rPr>
                <w:sz w:val="16"/>
                <w:szCs w:val="16"/>
              </w:rPr>
              <w:t>5,083</w:t>
            </w:r>
          </w:p>
        </w:tc>
      </w:tr>
    </w:tbl>
    <w:p w:rsidR="007F4841" w:rsidP="007F4841" w:rsidRDefault="007F4841" w14:paraId="209C55D8" w14:textId="2895F1D3">
      <w:pPr>
        <w:spacing w:line="240" w:lineRule="auto"/>
        <w:ind w:firstLine="0"/>
        <w:jc w:val="left"/>
        <w:rPr>
          <w:i/>
        </w:rPr>
      </w:pPr>
    </w:p>
    <w:p w:rsidRPr="002C708A" w:rsidR="002C708A" w:rsidP="002C708A" w:rsidRDefault="002C708A" w14:paraId="61678F6A" w14:textId="77777777">
      <w:pPr>
        <w:spacing w:line="240" w:lineRule="auto"/>
        <w:ind w:firstLine="0"/>
        <w:rPr>
          <w:i/>
        </w:rPr>
      </w:pPr>
      <w:r w:rsidRPr="002C708A">
        <w:rPr>
          <w:i/>
        </w:rPr>
        <w:t>Information Collection Instruments and Supporting Documents</w:t>
      </w:r>
    </w:p>
    <w:p w:rsidRPr="007F4841" w:rsidR="002C708A" w:rsidP="002C708A" w:rsidRDefault="002C708A" w14:paraId="5CF5CF31" w14:textId="77777777">
      <w:pPr>
        <w:spacing w:line="240" w:lineRule="auto"/>
        <w:ind w:firstLine="0"/>
      </w:pPr>
    </w:p>
    <w:p w:rsidRPr="007F4841" w:rsidR="002C708A" w:rsidP="002C708A" w:rsidRDefault="002C708A" w14:paraId="5D1A640A" w14:textId="7472A362">
      <w:pPr>
        <w:spacing w:line="240" w:lineRule="auto"/>
        <w:ind w:firstLine="0"/>
      </w:pPr>
      <w:r w:rsidRPr="007F4841">
        <w:t>1932</w:t>
      </w:r>
      <w:r w:rsidR="00905297">
        <w:t>(a)</w:t>
      </w:r>
      <w:r w:rsidRPr="007F4841">
        <w:t xml:space="preserve"> State Plan Amendment Template</w:t>
      </w:r>
    </w:p>
    <w:p w:rsidRPr="007F4841" w:rsidR="000D0F9B" w:rsidP="00632FE2" w:rsidRDefault="000D0F9B" w14:paraId="6DFD1A39" w14:textId="77777777">
      <w:pPr>
        <w:spacing w:line="240" w:lineRule="auto"/>
        <w:ind w:firstLine="0"/>
      </w:pPr>
    </w:p>
    <w:p w:rsidR="00B31262" w:rsidP="00632FE2" w:rsidRDefault="00B31262" w14:paraId="2F70A498" w14:textId="53D8244F">
      <w:pPr>
        <w:pStyle w:val="Heading1"/>
        <w:tabs>
          <w:tab w:val="clear" w:pos="432"/>
        </w:tabs>
        <w:spacing w:before="0" w:line="240" w:lineRule="auto"/>
        <w:ind w:firstLine="0"/>
        <w:rPr>
          <w:rFonts w:ascii="Times New Roman" w:hAnsi="Times New Roman"/>
          <w:b/>
          <w:bCs/>
          <w:color w:val="000000" w:themeColor="text1"/>
          <w:sz w:val="24"/>
          <w:szCs w:val="28"/>
        </w:rPr>
      </w:pPr>
      <w:r w:rsidRPr="00B31262">
        <w:rPr>
          <w:rFonts w:ascii="Times New Roman" w:hAnsi="Times New Roman"/>
          <w:b/>
          <w:bCs/>
          <w:color w:val="000000" w:themeColor="text1"/>
          <w:sz w:val="24"/>
          <w:szCs w:val="28"/>
        </w:rPr>
        <w:t>E. Timeline</w:t>
      </w:r>
    </w:p>
    <w:p w:rsidR="004D3AE8" w:rsidP="00CD2A7B" w:rsidRDefault="004D3AE8" w14:paraId="0B01F477" w14:textId="188FE77A">
      <w:pPr>
        <w:tabs>
          <w:tab w:val="clear" w:pos="432"/>
        </w:tabs>
        <w:spacing w:line="240" w:lineRule="auto"/>
        <w:ind w:firstLine="0"/>
      </w:pPr>
    </w:p>
    <w:p w:rsidR="00C45B5D" w:rsidP="00CD2A7B" w:rsidRDefault="002E5C1B" w14:paraId="63AFE452" w14:textId="084BC6D7">
      <w:pPr>
        <w:tabs>
          <w:tab w:val="clear" w:pos="432"/>
        </w:tabs>
        <w:spacing w:line="240" w:lineRule="auto"/>
        <w:ind w:firstLine="0"/>
      </w:pPr>
      <w:r>
        <w:t>Not applicable.</w:t>
      </w:r>
    </w:p>
    <w:p w:rsidR="00C45B5D" w:rsidP="00CD2A7B" w:rsidRDefault="00C45B5D" w14:paraId="6F75B8A7" w14:textId="77777777">
      <w:pPr>
        <w:tabs>
          <w:tab w:val="clear" w:pos="432"/>
        </w:tabs>
        <w:spacing w:line="240" w:lineRule="auto"/>
        <w:ind w:firstLine="0"/>
      </w:pPr>
    </w:p>
    <w:sectPr w:rsidR="00C45B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74800" w14:textId="77777777" w:rsidR="00051D77" w:rsidRDefault="00051D77" w:rsidP="004D3AE8">
      <w:pPr>
        <w:spacing w:line="240" w:lineRule="auto"/>
      </w:pPr>
      <w:r>
        <w:separator/>
      </w:r>
    </w:p>
  </w:endnote>
  <w:endnote w:type="continuationSeparator" w:id="0">
    <w:p w14:paraId="443B2465" w14:textId="77777777" w:rsidR="00051D77" w:rsidRDefault="00051D77" w:rsidP="004D3A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5AAE1" w14:textId="77777777" w:rsidR="00051D77" w:rsidRDefault="00051D77" w:rsidP="004D3AE8">
      <w:pPr>
        <w:spacing w:line="240" w:lineRule="auto"/>
      </w:pPr>
      <w:r>
        <w:separator/>
      </w:r>
    </w:p>
  </w:footnote>
  <w:footnote w:type="continuationSeparator" w:id="0">
    <w:p w14:paraId="73AB1D03" w14:textId="77777777" w:rsidR="00051D77" w:rsidRDefault="00051D77" w:rsidP="004D3A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0"/>
    <w:lvl w:ilvl="0">
      <w:start w:val="1"/>
      <w:numFmt w:val="lowerLetter"/>
      <w:pStyle w:val="Quicka"/>
      <w:lvlText w:val="%1."/>
      <w:lvlJc w:val="left"/>
      <w:pPr>
        <w:tabs>
          <w:tab w:val="num" w:pos="720"/>
        </w:tabs>
      </w:pPr>
      <w:rPr>
        <w:rFonts w:cs="Times New Roman"/>
      </w:rPr>
    </w:lvl>
  </w:abstractNum>
  <w:abstractNum w:abstractNumId="1" w15:restartNumberingAfterBreak="0">
    <w:nsid w:val="2C545781"/>
    <w:multiLevelType w:val="hybridMultilevel"/>
    <w:tmpl w:val="1A72F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lowerLetter"/>
        <w:pStyle w:val="Quicka"/>
        <w:lvlText w:val="%1."/>
        <w:lvlJc w:val="left"/>
        <w:rPr>
          <w:rFonts w:cs="Times New Roman"/>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824"/>
    <w:rsid w:val="000030F8"/>
    <w:rsid w:val="00024D4D"/>
    <w:rsid w:val="00027350"/>
    <w:rsid w:val="00037067"/>
    <w:rsid w:val="000371CF"/>
    <w:rsid w:val="00043F34"/>
    <w:rsid w:val="00045E51"/>
    <w:rsid w:val="00051D77"/>
    <w:rsid w:val="000569D9"/>
    <w:rsid w:val="00095933"/>
    <w:rsid w:val="000B04F3"/>
    <w:rsid w:val="000D0F9B"/>
    <w:rsid w:val="000E49D1"/>
    <w:rsid w:val="000E5B26"/>
    <w:rsid w:val="000F2D7F"/>
    <w:rsid w:val="00104ADD"/>
    <w:rsid w:val="00105BF3"/>
    <w:rsid w:val="00106E44"/>
    <w:rsid w:val="00111853"/>
    <w:rsid w:val="001143B5"/>
    <w:rsid w:val="00143FC9"/>
    <w:rsid w:val="00160375"/>
    <w:rsid w:val="00160F84"/>
    <w:rsid w:val="001A18D6"/>
    <w:rsid w:val="001A360F"/>
    <w:rsid w:val="001A4347"/>
    <w:rsid w:val="001A7D23"/>
    <w:rsid w:val="001B74A4"/>
    <w:rsid w:val="001C29F9"/>
    <w:rsid w:val="001C2A72"/>
    <w:rsid w:val="001F5FC4"/>
    <w:rsid w:val="001F7A04"/>
    <w:rsid w:val="00206DBA"/>
    <w:rsid w:val="002153B1"/>
    <w:rsid w:val="002207B6"/>
    <w:rsid w:val="00220D6D"/>
    <w:rsid w:val="00220EF7"/>
    <w:rsid w:val="00231D9B"/>
    <w:rsid w:val="00236BBE"/>
    <w:rsid w:val="00240018"/>
    <w:rsid w:val="00247E50"/>
    <w:rsid w:val="002517B6"/>
    <w:rsid w:val="00256C10"/>
    <w:rsid w:val="00257950"/>
    <w:rsid w:val="00260AAC"/>
    <w:rsid w:val="0026462D"/>
    <w:rsid w:val="002679A0"/>
    <w:rsid w:val="002706F4"/>
    <w:rsid w:val="00274C93"/>
    <w:rsid w:val="00284913"/>
    <w:rsid w:val="00295776"/>
    <w:rsid w:val="002A092D"/>
    <w:rsid w:val="002A4A5B"/>
    <w:rsid w:val="002B0D98"/>
    <w:rsid w:val="002B4CC2"/>
    <w:rsid w:val="002B79F3"/>
    <w:rsid w:val="002C3EE9"/>
    <w:rsid w:val="002C708A"/>
    <w:rsid w:val="002D11F7"/>
    <w:rsid w:val="002D636C"/>
    <w:rsid w:val="002E5C1B"/>
    <w:rsid w:val="002E7B54"/>
    <w:rsid w:val="002F081D"/>
    <w:rsid w:val="003000A2"/>
    <w:rsid w:val="00302673"/>
    <w:rsid w:val="00312E43"/>
    <w:rsid w:val="003140FE"/>
    <w:rsid w:val="0031637F"/>
    <w:rsid w:val="00317304"/>
    <w:rsid w:val="00344368"/>
    <w:rsid w:val="00367C75"/>
    <w:rsid w:val="003728C8"/>
    <w:rsid w:val="00374C06"/>
    <w:rsid w:val="003943F1"/>
    <w:rsid w:val="003947F4"/>
    <w:rsid w:val="003A3D1D"/>
    <w:rsid w:val="003B06C3"/>
    <w:rsid w:val="003B1319"/>
    <w:rsid w:val="003B27E0"/>
    <w:rsid w:val="003B44A2"/>
    <w:rsid w:val="003C4C01"/>
    <w:rsid w:val="003F6D37"/>
    <w:rsid w:val="00410956"/>
    <w:rsid w:val="00411870"/>
    <w:rsid w:val="00421E42"/>
    <w:rsid w:val="0042204A"/>
    <w:rsid w:val="00423173"/>
    <w:rsid w:val="00424966"/>
    <w:rsid w:val="00445714"/>
    <w:rsid w:val="0045173B"/>
    <w:rsid w:val="004620A1"/>
    <w:rsid w:val="0047739C"/>
    <w:rsid w:val="004A088E"/>
    <w:rsid w:val="004B5026"/>
    <w:rsid w:val="004C5366"/>
    <w:rsid w:val="004C6637"/>
    <w:rsid w:val="004C77DA"/>
    <w:rsid w:val="004D3AE8"/>
    <w:rsid w:val="004D688A"/>
    <w:rsid w:val="004E21E2"/>
    <w:rsid w:val="004F5F66"/>
    <w:rsid w:val="00500B30"/>
    <w:rsid w:val="00502DEE"/>
    <w:rsid w:val="00505330"/>
    <w:rsid w:val="0051214B"/>
    <w:rsid w:val="005377E7"/>
    <w:rsid w:val="00554209"/>
    <w:rsid w:val="00562B08"/>
    <w:rsid w:val="00562D64"/>
    <w:rsid w:val="00564E45"/>
    <w:rsid w:val="0056686B"/>
    <w:rsid w:val="0058275C"/>
    <w:rsid w:val="00584441"/>
    <w:rsid w:val="00584BCB"/>
    <w:rsid w:val="005A2C6C"/>
    <w:rsid w:val="005D36F4"/>
    <w:rsid w:val="005D54E2"/>
    <w:rsid w:val="00602C4E"/>
    <w:rsid w:val="00603396"/>
    <w:rsid w:val="00606E59"/>
    <w:rsid w:val="00620400"/>
    <w:rsid w:val="0062442A"/>
    <w:rsid w:val="00632FE2"/>
    <w:rsid w:val="0063729E"/>
    <w:rsid w:val="00640927"/>
    <w:rsid w:val="0065227F"/>
    <w:rsid w:val="0065284C"/>
    <w:rsid w:val="00661AA3"/>
    <w:rsid w:val="00664C71"/>
    <w:rsid w:val="0067459D"/>
    <w:rsid w:val="00677F42"/>
    <w:rsid w:val="00695E70"/>
    <w:rsid w:val="006A7993"/>
    <w:rsid w:val="006D4257"/>
    <w:rsid w:val="006E2A9F"/>
    <w:rsid w:val="006E507D"/>
    <w:rsid w:val="006E5CCE"/>
    <w:rsid w:val="006E61B3"/>
    <w:rsid w:val="006F7366"/>
    <w:rsid w:val="00707625"/>
    <w:rsid w:val="00712B49"/>
    <w:rsid w:val="007151FA"/>
    <w:rsid w:val="00721824"/>
    <w:rsid w:val="0073470B"/>
    <w:rsid w:val="00745421"/>
    <w:rsid w:val="0076672A"/>
    <w:rsid w:val="00766AC6"/>
    <w:rsid w:val="00797FBE"/>
    <w:rsid w:val="007A03B4"/>
    <w:rsid w:val="007C2788"/>
    <w:rsid w:val="007E3122"/>
    <w:rsid w:val="007E334E"/>
    <w:rsid w:val="007F09A1"/>
    <w:rsid w:val="007F4841"/>
    <w:rsid w:val="00807D4B"/>
    <w:rsid w:val="00820CD7"/>
    <w:rsid w:val="00822FB9"/>
    <w:rsid w:val="008257B1"/>
    <w:rsid w:val="0082714B"/>
    <w:rsid w:val="00832D5A"/>
    <w:rsid w:val="00842A22"/>
    <w:rsid w:val="0084547E"/>
    <w:rsid w:val="008509A8"/>
    <w:rsid w:val="008512F0"/>
    <w:rsid w:val="008533F5"/>
    <w:rsid w:val="0086096F"/>
    <w:rsid w:val="00860AFA"/>
    <w:rsid w:val="008678DA"/>
    <w:rsid w:val="008825E8"/>
    <w:rsid w:val="00895592"/>
    <w:rsid w:val="008C30D4"/>
    <w:rsid w:val="008D5FEC"/>
    <w:rsid w:val="008F0273"/>
    <w:rsid w:val="00905297"/>
    <w:rsid w:val="00910A9B"/>
    <w:rsid w:val="00911BEA"/>
    <w:rsid w:val="00915D0C"/>
    <w:rsid w:val="00931881"/>
    <w:rsid w:val="00942BA7"/>
    <w:rsid w:val="0094609E"/>
    <w:rsid w:val="0095610E"/>
    <w:rsid w:val="00961BCC"/>
    <w:rsid w:val="00963FAB"/>
    <w:rsid w:val="00985608"/>
    <w:rsid w:val="009B15DA"/>
    <w:rsid w:val="009B3C50"/>
    <w:rsid w:val="009E7CC0"/>
    <w:rsid w:val="009F43B6"/>
    <w:rsid w:val="009F68FB"/>
    <w:rsid w:val="00A0353E"/>
    <w:rsid w:val="00A11B5C"/>
    <w:rsid w:val="00A133F2"/>
    <w:rsid w:val="00A418A4"/>
    <w:rsid w:val="00A82B08"/>
    <w:rsid w:val="00AA02F6"/>
    <w:rsid w:val="00AA2AD5"/>
    <w:rsid w:val="00AA77A4"/>
    <w:rsid w:val="00AC1B99"/>
    <w:rsid w:val="00AC1DF6"/>
    <w:rsid w:val="00AC3D35"/>
    <w:rsid w:val="00AC57CB"/>
    <w:rsid w:val="00AC7B34"/>
    <w:rsid w:val="00AD2083"/>
    <w:rsid w:val="00AF08F6"/>
    <w:rsid w:val="00AF16F3"/>
    <w:rsid w:val="00AF5B8E"/>
    <w:rsid w:val="00B06FA6"/>
    <w:rsid w:val="00B26BFA"/>
    <w:rsid w:val="00B31262"/>
    <w:rsid w:val="00B44598"/>
    <w:rsid w:val="00B45AE4"/>
    <w:rsid w:val="00B4638B"/>
    <w:rsid w:val="00B55276"/>
    <w:rsid w:val="00B57E38"/>
    <w:rsid w:val="00B62051"/>
    <w:rsid w:val="00B727B2"/>
    <w:rsid w:val="00B93750"/>
    <w:rsid w:val="00B95448"/>
    <w:rsid w:val="00B96E31"/>
    <w:rsid w:val="00B97E03"/>
    <w:rsid w:val="00BA601D"/>
    <w:rsid w:val="00BB4AC2"/>
    <w:rsid w:val="00BB6E78"/>
    <w:rsid w:val="00BC2E05"/>
    <w:rsid w:val="00BC35F8"/>
    <w:rsid w:val="00BD7BEA"/>
    <w:rsid w:val="00BE1B07"/>
    <w:rsid w:val="00BF6075"/>
    <w:rsid w:val="00C06FB3"/>
    <w:rsid w:val="00C118E2"/>
    <w:rsid w:val="00C134AC"/>
    <w:rsid w:val="00C2622D"/>
    <w:rsid w:val="00C26B61"/>
    <w:rsid w:val="00C30694"/>
    <w:rsid w:val="00C4041D"/>
    <w:rsid w:val="00C45B5D"/>
    <w:rsid w:val="00C83576"/>
    <w:rsid w:val="00C84370"/>
    <w:rsid w:val="00C90986"/>
    <w:rsid w:val="00C909B2"/>
    <w:rsid w:val="00C93C67"/>
    <w:rsid w:val="00CA6A78"/>
    <w:rsid w:val="00CB0783"/>
    <w:rsid w:val="00CC472A"/>
    <w:rsid w:val="00CC65FD"/>
    <w:rsid w:val="00CD1CED"/>
    <w:rsid w:val="00CD2A7B"/>
    <w:rsid w:val="00CD4ECF"/>
    <w:rsid w:val="00CF2C83"/>
    <w:rsid w:val="00CF5AA3"/>
    <w:rsid w:val="00D077C2"/>
    <w:rsid w:val="00D10CBE"/>
    <w:rsid w:val="00D319D6"/>
    <w:rsid w:val="00D45C07"/>
    <w:rsid w:val="00D465E8"/>
    <w:rsid w:val="00D62F18"/>
    <w:rsid w:val="00D6701E"/>
    <w:rsid w:val="00D6780C"/>
    <w:rsid w:val="00D74650"/>
    <w:rsid w:val="00D81C21"/>
    <w:rsid w:val="00D91162"/>
    <w:rsid w:val="00D94D6D"/>
    <w:rsid w:val="00DB1021"/>
    <w:rsid w:val="00DC77D3"/>
    <w:rsid w:val="00DD5DDD"/>
    <w:rsid w:val="00DD69FE"/>
    <w:rsid w:val="00DE1CF8"/>
    <w:rsid w:val="00DE3852"/>
    <w:rsid w:val="00E01AC3"/>
    <w:rsid w:val="00E05014"/>
    <w:rsid w:val="00E469D6"/>
    <w:rsid w:val="00E60674"/>
    <w:rsid w:val="00E61240"/>
    <w:rsid w:val="00E62B20"/>
    <w:rsid w:val="00E73318"/>
    <w:rsid w:val="00E73A6B"/>
    <w:rsid w:val="00E7524E"/>
    <w:rsid w:val="00E90C93"/>
    <w:rsid w:val="00E935C4"/>
    <w:rsid w:val="00EB1A75"/>
    <w:rsid w:val="00EB5391"/>
    <w:rsid w:val="00EB6D60"/>
    <w:rsid w:val="00EB7A99"/>
    <w:rsid w:val="00EC4CEA"/>
    <w:rsid w:val="00ED373A"/>
    <w:rsid w:val="00EE6F59"/>
    <w:rsid w:val="00EE741B"/>
    <w:rsid w:val="00EE791D"/>
    <w:rsid w:val="00EF7BBC"/>
    <w:rsid w:val="00F42611"/>
    <w:rsid w:val="00F57FDC"/>
    <w:rsid w:val="00F73D85"/>
    <w:rsid w:val="00F75392"/>
    <w:rsid w:val="00F970BB"/>
    <w:rsid w:val="00F975F8"/>
    <w:rsid w:val="00FA0F18"/>
    <w:rsid w:val="00FA139B"/>
    <w:rsid w:val="00FB21EE"/>
    <w:rsid w:val="00FB2ECC"/>
    <w:rsid w:val="00FB46E6"/>
    <w:rsid w:val="00FC07A1"/>
    <w:rsid w:val="00FD0E59"/>
    <w:rsid w:val="00FD7F98"/>
    <w:rsid w:val="00FF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4D33"/>
  <w15:chartTrackingRefBased/>
  <w15:docId w15:val="{888A4809-98B2-46C6-B4E5-DB0BAFEF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824"/>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0D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721824"/>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721824"/>
    <w:pPr>
      <w:keepNext/>
      <w:spacing w:after="240" w:line="240" w:lineRule="auto"/>
      <w:ind w:left="432" w:hanging="432"/>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21824"/>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uiPriority w:val="99"/>
    <w:rsid w:val="00721824"/>
    <w:rPr>
      <w:rFonts w:ascii="Times New Roman" w:eastAsia="Times New Roman" w:hAnsi="Times New Roman" w:cs="Times New Roman"/>
      <w:b/>
      <w:sz w:val="24"/>
      <w:szCs w:val="24"/>
    </w:rPr>
  </w:style>
  <w:style w:type="paragraph" w:styleId="ListParagraph">
    <w:name w:val="List Paragraph"/>
    <w:basedOn w:val="Normal"/>
    <w:uiPriority w:val="34"/>
    <w:qFormat/>
    <w:rsid w:val="00721824"/>
    <w:pPr>
      <w:ind w:left="720"/>
      <w:contextualSpacing/>
    </w:pPr>
  </w:style>
  <w:style w:type="paragraph" w:styleId="BalloonText">
    <w:name w:val="Balloon Text"/>
    <w:basedOn w:val="Normal"/>
    <w:link w:val="BalloonTextChar"/>
    <w:uiPriority w:val="99"/>
    <w:semiHidden/>
    <w:unhideWhenUsed/>
    <w:rsid w:val="00B954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44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95448"/>
    <w:rPr>
      <w:sz w:val="16"/>
      <w:szCs w:val="16"/>
    </w:rPr>
  </w:style>
  <w:style w:type="paragraph" w:styleId="CommentText">
    <w:name w:val="annotation text"/>
    <w:basedOn w:val="Normal"/>
    <w:link w:val="CommentTextChar"/>
    <w:uiPriority w:val="99"/>
    <w:semiHidden/>
    <w:unhideWhenUsed/>
    <w:rsid w:val="00B95448"/>
    <w:pPr>
      <w:tabs>
        <w:tab w:val="clear" w:pos="432"/>
      </w:tabs>
      <w:spacing w:after="200" w:line="240" w:lineRule="auto"/>
      <w:ind w:firstLine="0"/>
      <w:jc w:val="left"/>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B95448"/>
    <w:rPr>
      <w:rFonts w:ascii="Times New Roman" w:hAnsi="Times New Roman"/>
      <w:sz w:val="20"/>
      <w:szCs w:val="20"/>
    </w:rPr>
  </w:style>
  <w:style w:type="character" w:customStyle="1" w:styleId="Heading1Char">
    <w:name w:val="Heading 1 Char"/>
    <w:basedOn w:val="DefaultParagraphFont"/>
    <w:link w:val="Heading1"/>
    <w:uiPriority w:val="9"/>
    <w:rsid w:val="002B0D98"/>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1A360F"/>
    <w:pPr>
      <w:tabs>
        <w:tab w:val="left" w:pos="432"/>
      </w:tabs>
      <w:spacing w:after="0"/>
      <w:ind w:firstLine="432"/>
      <w:jc w:val="both"/>
    </w:pPr>
    <w:rPr>
      <w:rFonts w:eastAsia="Times New Roman" w:cs="Times New Roman"/>
      <w:b/>
      <w:bCs/>
    </w:rPr>
  </w:style>
  <w:style w:type="character" w:customStyle="1" w:styleId="CommentSubjectChar">
    <w:name w:val="Comment Subject Char"/>
    <w:basedOn w:val="CommentTextChar"/>
    <w:link w:val="CommentSubject"/>
    <w:uiPriority w:val="99"/>
    <w:semiHidden/>
    <w:rsid w:val="001A360F"/>
    <w:rPr>
      <w:rFonts w:ascii="Times New Roman" w:eastAsia="Times New Roman" w:hAnsi="Times New Roman" w:cs="Times New Roman"/>
      <w:b/>
      <w:bCs/>
      <w:sz w:val="20"/>
      <w:szCs w:val="20"/>
    </w:rPr>
  </w:style>
  <w:style w:type="paragraph" w:customStyle="1" w:styleId="Quicka">
    <w:name w:val="Quick a."/>
    <w:basedOn w:val="Normal"/>
    <w:uiPriority w:val="99"/>
    <w:rsid w:val="004D3AE8"/>
    <w:pPr>
      <w:widowControl w:val="0"/>
      <w:numPr>
        <w:numId w:val="1"/>
      </w:numPr>
      <w:tabs>
        <w:tab w:val="clear" w:pos="432"/>
      </w:tabs>
      <w:autoSpaceDE w:val="0"/>
      <w:autoSpaceDN w:val="0"/>
      <w:adjustRightInd w:val="0"/>
      <w:spacing w:line="240" w:lineRule="auto"/>
      <w:ind w:left="720" w:hanging="720"/>
      <w:jc w:val="left"/>
    </w:pPr>
  </w:style>
  <w:style w:type="paragraph" w:styleId="FootnoteText">
    <w:name w:val="footnote text"/>
    <w:basedOn w:val="Normal"/>
    <w:link w:val="FootnoteTextChar"/>
    <w:uiPriority w:val="99"/>
    <w:semiHidden/>
    <w:unhideWhenUsed/>
    <w:rsid w:val="004D3AE8"/>
    <w:pPr>
      <w:spacing w:line="240" w:lineRule="auto"/>
    </w:pPr>
    <w:rPr>
      <w:sz w:val="20"/>
      <w:szCs w:val="20"/>
    </w:rPr>
  </w:style>
  <w:style w:type="character" w:customStyle="1" w:styleId="FootnoteTextChar">
    <w:name w:val="Footnote Text Char"/>
    <w:basedOn w:val="DefaultParagraphFont"/>
    <w:link w:val="FootnoteText"/>
    <w:uiPriority w:val="99"/>
    <w:semiHidden/>
    <w:rsid w:val="004D3AE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D3AE8"/>
    <w:rPr>
      <w:vertAlign w:val="superscript"/>
    </w:rPr>
  </w:style>
  <w:style w:type="character" w:styleId="Hyperlink">
    <w:name w:val="Hyperlink"/>
    <w:basedOn w:val="DefaultParagraphFont"/>
    <w:uiPriority w:val="99"/>
    <w:rsid w:val="00F970BB"/>
    <w:rPr>
      <w:rFonts w:cs="Times New Roman"/>
      <w:color w:val="0000FF"/>
      <w:u w:val="single"/>
    </w:rPr>
  </w:style>
  <w:style w:type="paragraph" w:customStyle="1" w:styleId="Style17">
    <w:name w:val="Style 17"/>
    <w:basedOn w:val="Normal"/>
    <w:uiPriority w:val="99"/>
    <w:rsid w:val="003B06C3"/>
    <w:pPr>
      <w:widowControl w:val="0"/>
      <w:tabs>
        <w:tab w:val="clear" w:pos="432"/>
      </w:tabs>
      <w:autoSpaceDE w:val="0"/>
      <w:autoSpaceDN w:val="0"/>
      <w:spacing w:line="720" w:lineRule="atLeast"/>
      <w:ind w:firstLine="0"/>
      <w:jc w:val="left"/>
    </w:pPr>
  </w:style>
  <w:style w:type="paragraph" w:customStyle="1" w:styleId="MarkforAttachmentHeading">
    <w:name w:val="Mark for Attachment Heading"/>
    <w:basedOn w:val="Normal"/>
    <w:next w:val="Normal"/>
    <w:uiPriority w:val="99"/>
    <w:rsid w:val="00367C75"/>
    <w:pPr>
      <w:spacing w:line="240" w:lineRule="auto"/>
      <w:ind w:firstLine="0"/>
      <w:jc w:val="center"/>
    </w:pPr>
    <w:rPr>
      <w:b/>
      <w:caps/>
    </w:rPr>
  </w:style>
  <w:style w:type="character" w:customStyle="1" w:styleId="UnresolvedMention1">
    <w:name w:val="Unresolved Mention1"/>
    <w:basedOn w:val="DefaultParagraphFont"/>
    <w:uiPriority w:val="99"/>
    <w:semiHidden/>
    <w:unhideWhenUsed/>
    <w:rsid w:val="00DE1CF8"/>
    <w:rPr>
      <w:color w:val="605E5C"/>
      <w:shd w:val="clear" w:color="auto" w:fill="E1DFDD"/>
    </w:rPr>
  </w:style>
  <w:style w:type="paragraph" w:styleId="Revision">
    <w:name w:val="Revision"/>
    <w:hidden/>
    <w:uiPriority w:val="99"/>
    <w:semiHidden/>
    <w:rsid w:val="00564E45"/>
    <w:pPr>
      <w:spacing w:after="0" w:line="240" w:lineRule="auto"/>
    </w:pPr>
    <w:rPr>
      <w:rFonts w:ascii="Times New Roman" w:eastAsia="Times New Roman" w:hAnsi="Times New Roman" w:cs="Times New Roman"/>
      <w:sz w:val="24"/>
      <w:szCs w:val="24"/>
    </w:rPr>
  </w:style>
  <w:style w:type="paragraph" w:customStyle="1" w:styleId="Introtext">
    <w:name w:val="!Intro text"/>
    <w:basedOn w:val="BodyTextIndent"/>
    <w:link w:val="IntrotextChar"/>
    <w:qFormat/>
    <w:rsid w:val="00AC57CB"/>
    <w:pPr>
      <w:tabs>
        <w:tab w:val="clear" w:pos="432"/>
      </w:tabs>
      <w:spacing w:before="120" w:line="240" w:lineRule="auto"/>
      <w:ind w:left="0" w:firstLine="0"/>
      <w:jc w:val="left"/>
    </w:pPr>
    <w:rPr>
      <w:rFonts w:ascii="Arial" w:hAnsi="Arial" w:cs="Arial"/>
      <w:b/>
      <w:bCs/>
      <w:sz w:val="20"/>
      <w:szCs w:val="20"/>
    </w:rPr>
  </w:style>
  <w:style w:type="character" w:customStyle="1" w:styleId="IntrotextChar">
    <w:name w:val="!Intro text Char"/>
    <w:basedOn w:val="BodyTextIndentChar"/>
    <w:link w:val="Introtext"/>
    <w:rsid w:val="00AC57CB"/>
    <w:rPr>
      <w:rFonts w:ascii="Arial" w:eastAsia="Times New Roman" w:hAnsi="Arial" w:cs="Arial"/>
      <w:b/>
      <w:bCs/>
      <w:sz w:val="20"/>
      <w:szCs w:val="20"/>
    </w:rPr>
  </w:style>
  <w:style w:type="paragraph" w:styleId="BodyTextIndent">
    <w:name w:val="Body Text Indent"/>
    <w:basedOn w:val="Normal"/>
    <w:link w:val="BodyTextIndentChar"/>
    <w:uiPriority w:val="99"/>
    <w:semiHidden/>
    <w:unhideWhenUsed/>
    <w:rsid w:val="00AC57CB"/>
    <w:pPr>
      <w:spacing w:after="120"/>
      <w:ind w:left="360"/>
    </w:pPr>
  </w:style>
  <w:style w:type="character" w:customStyle="1" w:styleId="BodyTextIndentChar">
    <w:name w:val="Body Text Indent Char"/>
    <w:basedOn w:val="DefaultParagraphFont"/>
    <w:link w:val="BodyTextIndent"/>
    <w:uiPriority w:val="99"/>
    <w:semiHidden/>
    <w:rsid w:val="00AC57CB"/>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2C70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708A"/>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2F08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3557">
      <w:bodyDiv w:val="1"/>
      <w:marLeft w:val="0"/>
      <w:marRight w:val="0"/>
      <w:marTop w:val="0"/>
      <w:marBottom w:val="0"/>
      <w:divBdr>
        <w:top w:val="none" w:sz="0" w:space="0" w:color="auto"/>
        <w:left w:val="none" w:sz="0" w:space="0" w:color="auto"/>
        <w:bottom w:val="none" w:sz="0" w:space="0" w:color="auto"/>
        <w:right w:val="none" w:sz="0" w:space="0" w:color="auto"/>
      </w:divBdr>
    </w:div>
    <w:div w:id="1079911947">
      <w:bodyDiv w:val="1"/>
      <w:marLeft w:val="0"/>
      <w:marRight w:val="0"/>
      <w:marTop w:val="0"/>
      <w:marBottom w:val="0"/>
      <w:divBdr>
        <w:top w:val="none" w:sz="0" w:space="0" w:color="auto"/>
        <w:left w:val="none" w:sz="0" w:space="0" w:color="auto"/>
        <w:bottom w:val="none" w:sz="0" w:space="0" w:color="auto"/>
        <w:right w:val="none" w:sz="0" w:space="0" w:color="auto"/>
      </w:divBdr>
    </w:div>
    <w:div w:id="1465073957">
      <w:bodyDiv w:val="1"/>
      <w:marLeft w:val="0"/>
      <w:marRight w:val="0"/>
      <w:marTop w:val="0"/>
      <w:marBottom w:val="0"/>
      <w:divBdr>
        <w:top w:val="none" w:sz="0" w:space="0" w:color="auto"/>
        <w:left w:val="none" w:sz="0" w:space="0" w:color="auto"/>
        <w:bottom w:val="none" w:sz="0" w:space="0" w:color="auto"/>
        <w:right w:val="none" w:sz="0" w:space="0" w:color="auto"/>
      </w:divBdr>
    </w:div>
    <w:div w:id="1554848054">
      <w:bodyDiv w:val="1"/>
      <w:marLeft w:val="0"/>
      <w:marRight w:val="0"/>
      <w:marTop w:val="0"/>
      <w:marBottom w:val="0"/>
      <w:divBdr>
        <w:top w:val="none" w:sz="0" w:space="0" w:color="auto"/>
        <w:left w:val="none" w:sz="0" w:space="0" w:color="auto"/>
        <w:bottom w:val="none" w:sz="0" w:space="0" w:color="auto"/>
        <w:right w:val="none" w:sz="0" w:space="0" w:color="auto"/>
      </w:divBdr>
    </w:div>
    <w:div w:id="209415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ls.gov/oes/current/oes_nat.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380064111FDA42999C15711830E414" ma:contentTypeVersion="10" ma:contentTypeDescription="Create a new document." ma:contentTypeScope="" ma:versionID="90bf9d337a860ee356ee69a8c518a63d">
  <xsd:schema xmlns:xsd="http://www.w3.org/2001/XMLSchema" xmlns:xs="http://www.w3.org/2001/XMLSchema" xmlns:p="http://schemas.microsoft.com/office/2006/metadata/properties" xmlns:ns3="ca4f62bf-c27c-4cea-a669-78df891a474a" targetNamespace="http://schemas.microsoft.com/office/2006/metadata/properties" ma:root="true" ma:fieldsID="83a4a95aa3b27fa76289d10b3135bbf8" ns3:_="">
    <xsd:import namespace="ca4f62bf-c27c-4cea-a669-78df891a47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f62bf-c27c-4cea-a669-78df891a4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A5B74-5B2E-4CEF-9377-A5D350310984}">
  <ds:schemaRefs>
    <ds:schemaRef ds:uri="http://schemas.microsoft.com/sharepoint/v3/contenttype/forms"/>
  </ds:schemaRefs>
</ds:datastoreItem>
</file>

<file path=customXml/itemProps2.xml><?xml version="1.0" encoding="utf-8"?>
<ds:datastoreItem xmlns:ds="http://schemas.openxmlformats.org/officeDocument/2006/customXml" ds:itemID="{9B191252-1FC1-4EB3-9BBD-0A1CFC0FD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f62bf-c27c-4cea-a669-78df891a4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645F2-26F8-4EB4-ACB5-7C23D452530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a4f62bf-c27c-4cea-a669-78df891a474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Manbodh</dc:creator>
  <cp:keywords/>
  <dc:description/>
  <cp:lastModifiedBy>Mitch Bryman</cp:lastModifiedBy>
  <cp:revision>7</cp:revision>
  <dcterms:created xsi:type="dcterms:W3CDTF">2020-05-26T13:43:00Z</dcterms:created>
  <dcterms:modified xsi:type="dcterms:W3CDTF">2020-05-26T13:45:00Z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0x010100BE380064111FDA42999C15711830E414</vt:lpwstr>
  </property>
</Properties>
</file>