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11D2" w:rsidR="007D6E75" w:rsidP="008111D2" w:rsidRDefault="007D6E75" w14:paraId="4D815EAA" w14:textId="77777777">
      <w:pPr>
        <w:spacing w:after="0" w:line="240" w:lineRule="auto"/>
        <w:jc w:val="center"/>
        <w:rPr>
          <w:szCs w:val="24"/>
        </w:rPr>
      </w:pPr>
      <w:bookmarkStart w:name="_GoBack" w:id="0"/>
      <w:bookmarkEnd w:id="0"/>
      <w:r w:rsidRPr="008111D2">
        <w:rPr>
          <w:szCs w:val="24"/>
        </w:rPr>
        <w:t>Application to Use Burden/Hours from Generic PRA Clearance:</w:t>
      </w:r>
    </w:p>
    <w:p w:rsidRPr="008111D2" w:rsidR="007D6E75" w:rsidP="008111D2" w:rsidRDefault="007D6E75" w14:paraId="7719788B" w14:textId="77777777">
      <w:pPr>
        <w:spacing w:after="0" w:line="240" w:lineRule="auto"/>
        <w:jc w:val="center"/>
        <w:rPr>
          <w:szCs w:val="24"/>
        </w:rPr>
      </w:pPr>
      <w:r w:rsidRPr="008111D2">
        <w:rPr>
          <w:szCs w:val="24"/>
        </w:rPr>
        <w:t>Medicaid and CHIP State Plan, Waiver, and Program Submissions</w:t>
      </w:r>
    </w:p>
    <w:p w:rsidRPr="008111D2" w:rsidR="00DF098E" w:rsidP="008111D2" w:rsidRDefault="007D6E75" w14:paraId="27327611" w14:textId="77777777">
      <w:pPr>
        <w:spacing w:after="0" w:line="240" w:lineRule="auto"/>
        <w:jc w:val="center"/>
        <w:rPr>
          <w:szCs w:val="24"/>
        </w:rPr>
      </w:pPr>
      <w:r w:rsidRPr="008111D2">
        <w:rPr>
          <w:szCs w:val="24"/>
        </w:rPr>
        <w:t>(CMS-10398, OMB 0938-1148)</w:t>
      </w:r>
    </w:p>
    <w:p w:rsidRPr="008111D2" w:rsidR="007D6E75" w:rsidP="008111D2" w:rsidRDefault="007D6E75" w14:paraId="55E83088" w14:textId="77777777">
      <w:pPr>
        <w:spacing w:after="0" w:line="240" w:lineRule="auto"/>
        <w:jc w:val="center"/>
        <w:rPr>
          <w:szCs w:val="24"/>
        </w:rPr>
      </w:pPr>
    </w:p>
    <w:p w:rsidRPr="00CA756E" w:rsidR="009004E1" w:rsidP="00615AFC" w:rsidRDefault="00A8078F" w14:paraId="479AC0C0" w14:textId="11B92267">
      <w:pPr>
        <w:spacing w:after="0" w:line="240" w:lineRule="auto"/>
        <w:jc w:val="center"/>
        <w:rPr>
          <w:rFonts w:cs="Times New Roman"/>
          <w:szCs w:val="24"/>
        </w:rPr>
      </w:pPr>
      <w:r w:rsidRPr="00CA756E">
        <w:rPr>
          <w:rFonts w:cs="Times New Roman"/>
          <w:szCs w:val="24"/>
        </w:rPr>
        <w:t xml:space="preserve">Generic </w:t>
      </w:r>
      <w:r w:rsidRPr="00CA756E" w:rsidR="00CB646D">
        <w:rPr>
          <w:rFonts w:cs="Times New Roman"/>
          <w:szCs w:val="24"/>
        </w:rPr>
        <w:t xml:space="preserve">Information Collection </w:t>
      </w:r>
      <w:r w:rsidRPr="00CA756E" w:rsidR="00FE644A">
        <w:rPr>
          <w:rFonts w:cs="Times New Roman"/>
          <w:szCs w:val="24"/>
        </w:rPr>
        <w:t>#</w:t>
      </w:r>
      <w:r w:rsidRPr="00CA756E" w:rsidR="00BF31E3">
        <w:rPr>
          <w:rFonts w:cs="Times New Roman"/>
          <w:szCs w:val="24"/>
        </w:rPr>
        <w:t xml:space="preserve"> </w:t>
      </w:r>
      <w:r w:rsidRPr="00CA756E" w:rsidR="004D6241">
        <w:rPr>
          <w:rFonts w:cs="Times New Roman"/>
          <w:szCs w:val="24"/>
        </w:rPr>
        <w:t>68</w:t>
      </w:r>
    </w:p>
    <w:p w:rsidRPr="00615AFC" w:rsidR="004D6241" w:rsidP="00615AFC" w:rsidRDefault="006A7155" w14:paraId="7FC18423" w14:textId="323CBD50">
      <w:pPr>
        <w:spacing w:after="0" w:line="240" w:lineRule="auto"/>
        <w:jc w:val="center"/>
        <w:rPr>
          <w:rFonts w:cs="Times New Roman"/>
          <w:szCs w:val="24"/>
        </w:rPr>
      </w:pPr>
      <w:r w:rsidRPr="00615AFC">
        <w:rPr>
          <w:rFonts w:cs="Times New Roman"/>
          <w:szCs w:val="24"/>
        </w:rPr>
        <w:t xml:space="preserve">Section </w:t>
      </w:r>
      <w:r w:rsidRPr="00615AFC" w:rsidR="004D6241">
        <w:rPr>
          <w:rFonts w:cs="Times New Roman"/>
          <w:szCs w:val="24"/>
        </w:rPr>
        <w:t>1006(b)</w:t>
      </w:r>
      <w:r w:rsidRPr="00615AFC">
        <w:rPr>
          <w:rFonts w:cs="Times New Roman"/>
          <w:szCs w:val="24"/>
        </w:rPr>
        <w:t xml:space="preserve"> of </w:t>
      </w:r>
      <w:r w:rsidRPr="00615AFC">
        <w:rPr>
          <w:szCs w:val="24"/>
        </w:rPr>
        <w:t xml:space="preserve">the Substance Use-Disorder Prevention that Promotes Opioid Recovery and Treatment for Patients and Communities Act </w:t>
      </w:r>
      <w:r w:rsidR="00CA756E">
        <w:rPr>
          <w:szCs w:val="24"/>
        </w:rPr>
        <w:t xml:space="preserve">(SUPPORT Act) </w:t>
      </w:r>
      <w:r w:rsidRPr="00615AFC">
        <w:rPr>
          <w:szCs w:val="24"/>
        </w:rPr>
        <w:t>-</w:t>
      </w:r>
      <w:r w:rsidRPr="00615AFC" w:rsidR="004D6241">
        <w:rPr>
          <w:rFonts w:cs="Times New Roman"/>
          <w:szCs w:val="24"/>
        </w:rPr>
        <w:t xml:space="preserve"> Medicaid Assisted Treatment (MAT)</w:t>
      </w:r>
    </w:p>
    <w:p w:rsidRPr="00BF31E3" w:rsidR="009E3FAC" w:rsidP="008111D2" w:rsidRDefault="009E3FAC" w14:paraId="16E15C72" w14:textId="77777777">
      <w:pPr>
        <w:spacing w:after="0" w:line="240" w:lineRule="auto"/>
        <w:jc w:val="center"/>
        <w:rPr>
          <w:rFonts w:cs="Times New Roman"/>
          <w:szCs w:val="24"/>
        </w:rPr>
      </w:pPr>
    </w:p>
    <w:p w:rsidRPr="00BF31E3" w:rsidR="007D6E75" w:rsidP="008111D2" w:rsidRDefault="007D6E75" w14:paraId="5EA43AF5" w14:textId="77777777">
      <w:pPr>
        <w:spacing w:after="0" w:line="240" w:lineRule="auto"/>
        <w:jc w:val="center"/>
        <w:rPr>
          <w:b/>
          <w:szCs w:val="24"/>
        </w:rPr>
      </w:pPr>
    </w:p>
    <w:p w:rsidRPr="00CA756E" w:rsidR="007D6E75" w:rsidP="008111D2" w:rsidRDefault="00DE28E3" w14:paraId="5D76B606" w14:textId="1B55C4DF">
      <w:pPr>
        <w:spacing w:after="0" w:line="240" w:lineRule="auto"/>
        <w:jc w:val="center"/>
        <w:rPr>
          <w:szCs w:val="24"/>
        </w:rPr>
      </w:pPr>
      <w:r w:rsidRPr="00CA756E">
        <w:rPr>
          <w:szCs w:val="24"/>
        </w:rPr>
        <w:t>Date</w:t>
      </w:r>
      <w:r w:rsidRPr="00CA756E" w:rsidR="00BF31E3">
        <w:rPr>
          <w:szCs w:val="24"/>
        </w:rPr>
        <w:t xml:space="preserve">: </w:t>
      </w:r>
      <w:r w:rsidRPr="00CA756E" w:rsidR="00CA756E">
        <w:rPr>
          <w:szCs w:val="24"/>
        </w:rPr>
        <w:t xml:space="preserve">October </w:t>
      </w:r>
      <w:r w:rsidR="007D0E1B">
        <w:rPr>
          <w:szCs w:val="24"/>
        </w:rPr>
        <w:t>2</w:t>
      </w:r>
      <w:r w:rsidR="00126339">
        <w:rPr>
          <w:szCs w:val="24"/>
        </w:rPr>
        <w:t>3</w:t>
      </w:r>
      <w:r w:rsidRPr="00CA756E" w:rsidR="00CA756E">
        <w:rPr>
          <w:szCs w:val="24"/>
        </w:rPr>
        <w:t xml:space="preserve">, </w:t>
      </w:r>
      <w:r w:rsidRPr="00CA756E" w:rsidR="00BF31E3">
        <w:rPr>
          <w:szCs w:val="24"/>
        </w:rPr>
        <w:t>2020</w:t>
      </w:r>
    </w:p>
    <w:p w:rsidRPr="008111D2" w:rsidR="007D6E75" w:rsidP="008111D2" w:rsidRDefault="007D6E75" w14:paraId="2E31E909" w14:textId="77777777">
      <w:pPr>
        <w:spacing w:after="0" w:line="240" w:lineRule="auto"/>
        <w:jc w:val="center"/>
        <w:rPr>
          <w:szCs w:val="24"/>
        </w:rPr>
      </w:pPr>
    </w:p>
    <w:p w:rsidRPr="008111D2" w:rsidR="007D6E75" w:rsidP="008111D2" w:rsidRDefault="007D6E75" w14:paraId="4BC5C47A" w14:textId="77777777">
      <w:pPr>
        <w:spacing w:after="0" w:line="240" w:lineRule="auto"/>
        <w:jc w:val="center"/>
        <w:rPr>
          <w:szCs w:val="24"/>
        </w:rPr>
      </w:pPr>
    </w:p>
    <w:p w:rsidRPr="008111D2" w:rsidR="007D6E75" w:rsidP="008111D2" w:rsidRDefault="007D6E75" w14:paraId="7D0F5DB9" w14:textId="77777777">
      <w:pPr>
        <w:spacing w:after="0" w:line="240" w:lineRule="auto"/>
        <w:jc w:val="center"/>
        <w:rPr>
          <w:szCs w:val="24"/>
        </w:rPr>
      </w:pPr>
    </w:p>
    <w:p w:rsidRPr="008111D2" w:rsidR="007D6E75" w:rsidP="008111D2" w:rsidRDefault="007D6E75" w14:paraId="518B8781" w14:textId="77777777">
      <w:pPr>
        <w:spacing w:after="0" w:line="240" w:lineRule="auto"/>
        <w:jc w:val="center"/>
        <w:rPr>
          <w:szCs w:val="24"/>
        </w:rPr>
      </w:pPr>
      <w:r w:rsidRPr="008111D2">
        <w:rPr>
          <w:szCs w:val="24"/>
        </w:rPr>
        <w:t>Center for Medicaid and CHIP Services (CMCS)</w:t>
      </w:r>
    </w:p>
    <w:p w:rsidRPr="008111D2" w:rsidR="007D6E75" w:rsidP="008111D2" w:rsidRDefault="007D6E75" w14:paraId="70DA3F18" w14:textId="77777777">
      <w:pPr>
        <w:spacing w:after="0" w:line="240" w:lineRule="auto"/>
        <w:jc w:val="center"/>
        <w:rPr>
          <w:szCs w:val="24"/>
        </w:rPr>
      </w:pPr>
      <w:r w:rsidRPr="008111D2">
        <w:rPr>
          <w:szCs w:val="24"/>
        </w:rPr>
        <w:t>Centers for Medicare &amp; Medicaid Services (CMS)</w:t>
      </w:r>
    </w:p>
    <w:p w:rsidRPr="008111D2" w:rsidR="007D6E75" w:rsidP="008111D2" w:rsidRDefault="007D6E75" w14:paraId="7FB376BF" w14:textId="77777777">
      <w:pPr>
        <w:spacing w:after="0" w:line="240" w:lineRule="auto"/>
        <w:rPr>
          <w:szCs w:val="24"/>
        </w:rPr>
        <w:sectPr w:rsidRPr="008111D2" w:rsidR="007D6E75" w:rsidSect="007D6E75">
          <w:footerReference w:type="default" r:id="rId12"/>
          <w:pgSz w:w="12240" w:h="15840" w:code="1"/>
          <w:pgMar w:top="1440" w:right="1440" w:bottom="1440" w:left="1440" w:header="720" w:footer="720" w:gutter="0"/>
          <w:cols w:space="720"/>
          <w:vAlign w:val="center"/>
          <w:docGrid w:linePitch="360"/>
        </w:sectPr>
      </w:pPr>
    </w:p>
    <w:p w:rsidRPr="00F54374" w:rsidR="007D6E75" w:rsidP="009F49B4" w:rsidRDefault="007D6E75" w14:paraId="3A011CDF" w14:textId="77777777">
      <w:pPr>
        <w:pStyle w:val="Heading1"/>
      </w:pPr>
      <w:r w:rsidRPr="00F54374">
        <w:lastRenderedPageBreak/>
        <w:t>A. Background</w:t>
      </w:r>
    </w:p>
    <w:p w:rsidR="00135A64" w:rsidP="008111D2" w:rsidRDefault="00135A64" w14:paraId="44AD47EB" w14:textId="77777777">
      <w:pPr>
        <w:spacing w:after="0" w:line="240" w:lineRule="auto"/>
        <w:rPr>
          <w:szCs w:val="24"/>
        </w:rPr>
      </w:pPr>
    </w:p>
    <w:p w:rsidRPr="008111D2" w:rsidR="009B19E8" w:rsidP="008111D2" w:rsidRDefault="009B19E8" w14:paraId="57BD6C5B" w14:textId="09C2CBE3">
      <w:pPr>
        <w:spacing w:after="0" w:line="240" w:lineRule="auto"/>
        <w:rPr>
          <w:szCs w:val="24"/>
        </w:rPr>
      </w:pPr>
      <w:r w:rsidRPr="008111D2">
        <w:rPr>
          <w:szCs w:val="24"/>
        </w:rPr>
        <w:t xml:space="preserve">The Centers for Medicare &amp; Medicaid Services (CMS) work in partnership with </w:t>
      </w:r>
      <w:r w:rsidR="00C71D8E">
        <w:rPr>
          <w:szCs w:val="24"/>
        </w:rPr>
        <w:t>s</w:t>
      </w:r>
      <w:r w:rsidRPr="008111D2">
        <w:rPr>
          <w:szCs w:val="24"/>
        </w:rPr>
        <w:t>tates to implement Medicaid and the Children’s Health Insurance Program (CHIP). Together these programs provide health coverage to millions of Americans.</w:t>
      </w:r>
      <w:r w:rsidR="00CA693E">
        <w:rPr>
          <w:szCs w:val="24"/>
        </w:rPr>
        <w:t xml:space="preserve"> </w:t>
      </w:r>
      <w:r w:rsidRPr="008111D2">
        <w:rPr>
          <w:szCs w:val="24"/>
        </w:rPr>
        <w:t xml:space="preserve">Medicaid and CHIP are based in Federal statute, associated regulations and policy guidance, and the approved </w:t>
      </w:r>
      <w:r w:rsidR="00C71D8E">
        <w:rPr>
          <w:szCs w:val="24"/>
        </w:rPr>
        <w:t>s</w:t>
      </w:r>
      <w:r w:rsidRPr="008111D2">
        <w:rPr>
          <w:szCs w:val="24"/>
        </w:rPr>
        <w:t xml:space="preserve">tate plan documents that serve as a contract between CMS and </w:t>
      </w:r>
      <w:r w:rsidR="00C71D8E">
        <w:rPr>
          <w:szCs w:val="24"/>
        </w:rPr>
        <w:t>s</w:t>
      </w:r>
      <w:r w:rsidRPr="008111D2">
        <w:rPr>
          <w:szCs w:val="24"/>
        </w:rPr>
        <w:t xml:space="preserve">tates about how Medicaid and CHIP will be operated in that </w:t>
      </w:r>
      <w:r w:rsidR="00C71D8E">
        <w:rPr>
          <w:szCs w:val="24"/>
        </w:rPr>
        <w:t>s</w:t>
      </w:r>
      <w:r w:rsidRPr="008111D2">
        <w:rPr>
          <w:szCs w:val="24"/>
        </w:rPr>
        <w:t>tate.</w:t>
      </w:r>
      <w:r w:rsidR="00CA693E">
        <w:rPr>
          <w:szCs w:val="24"/>
        </w:rPr>
        <w:t xml:space="preserve"> </w:t>
      </w:r>
      <w:r w:rsidRPr="008111D2">
        <w:rPr>
          <w:szCs w:val="24"/>
        </w:rPr>
        <w:t xml:space="preserve">CMS works collaboratively with </w:t>
      </w:r>
      <w:r w:rsidR="00C71D8E">
        <w:rPr>
          <w:szCs w:val="24"/>
        </w:rPr>
        <w:t>s</w:t>
      </w:r>
      <w:r w:rsidRPr="008111D2">
        <w:rPr>
          <w:szCs w:val="24"/>
        </w:rPr>
        <w:t>tates in the ongoing management of programs and policies, and CMS continues to develop implement</w:t>
      </w:r>
      <w:r w:rsidR="00C71D8E">
        <w:rPr>
          <w:szCs w:val="24"/>
        </w:rPr>
        <w:t>ing guidance and templates for s</w:t>
      </w:r>
      <w:r w:rsidRPr="008111D2">
        <w:rPr>
          <w:szCs w:val="24"/>
        </w:rPr>
        <w:t>tates to use to elect new options available as a result of the Affordable Care Act</w:t>
      </w:r>
      <w:r w:rsidR="001438EF">
        <w:rPr>
          <w:szCs w:val="24"/>
        </w:rPr>
        <w:t xml:space="preserve">, </w:t>
      </w:r>
      <w:r w:rsidRPr="00CA693E">
        <w:rPr>
          <w:szCs w:val="24"/>
        </w:rPr>
        <w:t>or to comply with new statutory provisions</w:t>
      </w:r>
      <w:r w:rsidR="006672CC">
        <w:rPr>
          <w:szCs w:val="24"/>
        </w:rPr>
        <w:t xml:space="preserve"> such as those in</w:t>
      </w:r>
      <w:r w:rsidRPr="006672CC" w:rsidR="006672CC">
        <w:rPr>
          <w:szCs w:val="24"/>
        </w:rPr>
        <w:t xml:space="preserve"> </w:t>
      </w:r>
      <w:r w:rsidRPr="00CA693E" w:rsidR="006672CC">
        <w:rPr>
          <w:szCs w:val="24"/>
        </w:rPr>
        <w:t>the Substance Use-Disorder Prevention that Promotes Opioid Recovery and Treatment (SUPPORT) for Patients and Communities Act</w:t>
      </w:r>
      <w:r w:rsidR="006672CC">
        <w:rPr>
          <w:szCs w:val="24"/>
        </w:rPr>
        <w:t xml:space="preserve"> (SUPPORT Act)</w:t>
      </w:r>
      <w:r w:rsidRPr="00CA693E">
        <w:rPr>
          <w:szCs w:val="24"/>
        </w:rPr>
        <w:t>.</w:t>
      </w:r>
      <w:r w:rsidRPr="008111D2">
        <w:rPr>
          <w:szCs w:val="24"/>
        </w:rPr>
        <w:t xml:space="preserve"> CMS also continues to work with </w:t>
      </w:r>
      <w:r w:rsidR="00C71D8E">
        <w:rPr>
          <w:szCs w:val="24"/>
        </w:rPr>
        <w:t>s</w:t>
      </w:r>
      <w:r w:rsidRPr="008111D2">
        <w:rPr>
          <w:szCs w:val="24"/>
        </w:rPr>
        <w:t>tates through other methods to further the goals of health reform, including program waivers and demonstrations, and other technical assistance initiatives.</w:t>
      </w:r>
    </w:p>
    <w:p w:rsidRPr="008111D2" w:rsidR="009B19E8" w:rsidP="009F49B4" w:rsidRDefault="009B19E8" w14:paraId="18F2B4A1" w14:textId="77777777">
      <w:pPr>
        <w:pStyle w:val="Heading1"/>
      </w:pPr>
    </w:p>
    <w:p w:rsidRPr="008111D2" w:rsidR="007D6E75" w:rsidP="009F49B4" w:rsidRDefault="007D6E75" w14:paraId="32084899" w14:textId="77777777">
      <w:pPr>
        <w:pStyle w:val="Heading1"/>
      </w:pPr>
      <w:r w:rsidRPr="008111D2">
        <w:t>B. Description of Information Collection</w:t>
      </w:r>
    </w:p>
    <w:p w:rsidR="0045287C" w:rsidP="00F54374" w:rsidRDefault="0045287C" w14:paraId="64F2AC88" w14:textId="77777777">
      <w:pPr>
        <w:pStyle w:val="Default"/>
        <w:rPr>
          <w:color w:val="000000" w:themeColor="text1"/>
        </w:rPr>
      </w:pPr>
    </w:p>
    <w:p w:rsidRPr="00CA693E" w:rsidR="0045287C" w:rsidP="0045287C" w:rsidRDefault="0045287C" w14:paraId="4CD1D871" w14:textId="7C045AF5">
      <w:pPr>
        <w:spacing w:line="240" w:lineRule="auto"/>
        <w:rPr>
          <w:rFonts w:cs="Times New Roman"/>
          <w:szCs w:val="24"/>
        </w:rPr>
      </w:pPr>
      <w:r w:rsidRPr="00CA693E">
        <w:rPr>
          <w:rFonts w:cs="Times New Roman"/>
          <w:szCs w:val="24"/>
        </w:rPr>
        <w:t xml:space="preserve">Section 1006(b) of the </w:t>
      </w:r>
      <w:r w:rsidRPr="00CA693E">
        <w:rPr>
          <w:szCs w:val="24"/>
        </w:rPr>
        <w:t>S</w:t>
      </w:r>
      <w:r w:rsidR="00CA693E">
        <w:rPr>
          <w:szCs w:val="24"/>
        </w:rPr>
        <w:t xml:space="preserve">UPPORT Act </w:t>
      </w:r>
      <w:r w:rsidRPr="00CA693E">
        <w:rPr>
          <w:szCs w:val="24"/>
        </w:rPr>
        <w:t xml:space="preserve">requires </w:t>
      </w:r>
      <w:r w:rsidRPr="00CA693E">
        <w:rPr>
          <w:rFonts w:cs="Times New Roman"/>
          <w:szCs w:val="24"/>
        </w:rPr>
        <w:t xml:space="preserve">coverage of MAT as a </w:t>
      </w:r>
      <w:r w:rsidRPr="00CA693E" w:rsidR="00DA6C91">
        <w:rPr>
          <w:rFonts w:cs="Times New Roman"/>
          <w:szCs w:val="24"/>
        </w:rPr>
        <w:t xml:space="preserve">new </w:t>
      </w:r>
      <w:r w:rsidRPr="00CA693E">
        <w:rPr>
          <w:rFonts w:cs="Times New Roman"/>
          <w:szCs w:val="24"/>
        </w:rPr>
        <w:t xml:space="preserve">mandatory Medicaid state plan benefit for the period beginning October 1, 2020, and ending September 30, 2025. Section 1006(b) adds section 1905(ee)(1) to the </w:t>
      </w:r>
      <w:r w:rsidR="00E96C6F">
        <w:rPr>
          <w:rFonts w:cs="Times New Roman"/>
          <w:szCs w:val="24"/>
        </w:rPr>
        <w:t xml:space="preserve">Social Security </w:t>
      </w:r>
      <w:r w:rsidRPr="00CA693E">
        <w:rPr>
          <w:rFonts w:cs="Times New Roman"/>
          <w:szCs w:val="24"/>
        </w:rPr>
        <w:t xml:space="preserve">Act </w:t>
      </w:r>
      <w:r w:rsidR="00E96C6F">
        <w:rPr>
          <w:rFonts w:cs="Times New Roman"/>
          <w:szCs w:val="24"/>
        </w:rPr>
        <w:t xml:space="preserve">(Act) </w:t>
      </w:r>
      <w:r w:rsidRPr="00CA693E">
        <w:rPr>
          <w:rFonts w:cs="Times New Roman"/>
          <w:szCs w:val="24"/>
        </w:rPr>
        <w:t xml:space="preserve">to define MAT as: </w:t>
      </w:r>
    </w:p>
    <w:p w:rsidRPr="00B17807" w:rsidR="0045287C" w:rsidP="0045287C" w:rsidRDefault="0045287C" w14:paraId="29693B46" w14:textId="66ACA9BF">
      <w:pPr>
        <w:spacing w:line="240" w:lineRule="auto"/>
        <w:ind w:left="720"/>
        <w:rPr>
          <w:rFonts w:cs="Times New Roman"/>
          <w:szCs w:val="24"/>
        </w:rPr>
      </w:pPr>
      <w:r>
        <w:rPr>
          <w:rFonts w:cs="Times New Roman"/>
          <w:szCs w:val="24"/>
        </w:rPr>
        <w:t xml:space="preserve">. . . </w:t>
      </w:r>
      <w:r w:rsidRPr="00B17807">
        <w:rPr>
          <w:rFonts w:cs="Times New Roman"/>
          <w:szCs w:val="24"/>
        </w:rPr>
        <w:t>all drugs approved under section 505 of the Federal Food, Drug, and Cosmetic Act (21 U.S.C. 355), including methadone, and all biological products licensed under section 351 of the Public Health Service Act (42 U.S.C. 262) to treat opioid use disorders; and… includes, with respect to the provision of such drugs and biological products, counseling s</w:t>
      </w:r>
      <w:r>
        <w:rPr>
          <w:rFonts w:cs="Times New Roman"/>
          <w:szCs w:val="24"/>
        </w:rPr>
        <w:t>ervices and behavioral therapy.</w:t>
      </w:r>
    </w:p>
    <w:p w:rsidR="00F819D1" w:rsidP="00F819D1" w:rsidRDefault="00F819D1" w14:paraId="21BC9E8E" w14:textId="2F2D6606">
      <w:pPr>
        <w:spacing w:after="0" w:line="240" w:lineRule="auto"/>
        <w:rPr>
          <w:rFonts w:cs="Times New Roman"/>
          <w:szCs w:val="24"/>
        </w:rPr>
      </w:pPr>
      <w:r w:rsidRPr="008A73C3">
        <w:rPr>
          <w:rFonts w:cs="Times New Roman"/>
          <w:szCs w:val="24"/>
        </w:rPr>
        <w:t xml:space="preserve">The Food and Drug Administration (FDA) has approved the following </w:t>
      </w:r>
      <w:r>
        <w:rPr>
          <w:rFonts w:cs="Times New Roman"/>
          <w:szCs w:val="24"/>
        </w:rPr>
        <w:t>drugs</w:t>
      </w:r>
      <w:r w:rsidRPr="008A73C3">
        <w:rPr>
          <w:rFonts w:cs="Times New Roman"/>
          <w:szCs w:val="24"/>
        </w:rPr>
        <w:t xml:space="preserve"> </w:t>
      </w:r>
      <w:r w:rsidRPr="00B96FA6">
        <w:rPr>
          <w:rFonts w:cs="Times New Roman"/>
          <w:szCs w:val="24"/>
        </w:rPr>
        <w:t xml:space="preserve">used for MAT to treat </w:t>
      </w:r>
      <w:r w:rsidRPr="00D979DE" w:rsidR="00D979DE">
        <w:rPr>
          <w:rFonts w:cs="Times New Roman"/>
          <w:szCs w:val="24"/>
        </w:rPr>
        <w:t xml:space="preserve">opioid use disorder </w:t>
      </w:r>
      <w:r w:rsidR="00D979DE">
        <w:rPr>
          <w:rFonts w:cs="Times New Roman"/>
          <w:szCs w:val="24"/>
        </w:rPr>
        <w:t>(</w:t>
      </w:r>
      <w:r w:rsidRPr="00B96FA6">
        <w:rPr>
          <w:rFonts w:cs="Times New Roman"/>
          <w:szCs w:val="24"/>
        </w:rPr>
        <w:t>OUD</w:t>
      </w:r>
      <w:r w:rsidR="00D979DE">
        <w:rPr>
          <w:rFonts w:cs="Times New Roman"/>
          <w:szCs w:val="24"/>
        </w:rPr>
        <w:t>)</w:t>
      </w:r>
      <w:r w:rsidRPr="008A73C3">
        <w:rPr>
          <w:rFonts w:cs="Times New Roman"/>
          <w:szCs w:val="24"/>
        </w:rPr>
        <w:t>: methadone, buprenorphine, and naltrexone.</w:t>
      </w:r>
      <w:r>
        <w:rPr>
          <w:rFonts w:cs="Times New Roman"/>
          <w:szCs w:val="24"/>
        </w:rPr>
        <w:t xml:space="preserve"> </w:t>
      </w:r>
      <w:r w:rsidRPr="008A73C3">
        <w:rPr>
          <w:rFonts w:cs="Times New Roman"/>
          <w:szCs w:val="24"/>
        </w:rPr>
        <w:t xml:space="preserve">Only those formulations of these drugs that are approved by the FDA for </w:t>
      </w:r>
      <w:r>
        <w:rPr>
          <w:rFonts w:cs="Times New Roman"/>
          <w:szCs w:val="24"/>
        </w:rPr>
        <w:t xml:space="preserve">MAT to treat </w:t>
      </w:r>
      <w:r w:rsidRPr="008A73C3">
        <w:rPr>
          <w:rFonts w:cs="Times New Roman"/>
          <w:szCs w:val="24"/>
        </w:rPr>
        <w:t>OUD are required to be covered under the new mandatory Medicaid benefit.</w:t>
      </w:r>
      <w:r>
        <w:rPr>
          <w:rFonts w:cs="Times New Roman"/>
          <w:szCs w:val="24"/>
        </w:rPr>
        <w:t xml:space="preserve"> </w:t>
      </w:r>
      <w:r w:rsidRPr="008A73C3">
        <w:rPr>
          <w:rFonts w:cs="Times New Roman"/>
          <w:szCs w:val="24"/>
        </w:rPr>
        <w:t xml:space="preserve">CMS interprets section 1905(ee)(1) of the Act to require that states include as part of the new </w:t>
      </w:r>
      <w:r>
        <w:rPr>
          <w:rFonts w:cs="Times New Roman"/>
          <w:szCs w:val="24"/>
        </w:rPr>
        <w:t xml:space="preserve">mandatory </w:t>
      </w:r>
      <w:r w:rsidRPr="008A73C3">
        <w:rPr>
          <w:rFonts w:cs="Times New Roman"/>
          <w:szCs w:val="24"/>
        </w:rPr>
        <w:t xml:space="preserve">benefit all forms of drugs and biologicals that the FDA has approved or licensed for </w:t>
      </w:r>
      <w:r>
        <w:rPr>
          <w:rFonts w:cs="Times New Roman"/>
          <w:szCs w:val="24"/>
        </w:rPr>
        <w:t xml:space="preserve">MAT to treat OUD. </w:t>
      </w:r>
      <w:r w:rsidRPr="008A73C3">
        <w:rPr>
          <w:rFonts w:cs="Times New Roman"/>
          <w:szCs w:val="24"/>
        </w:rPr>
        <w:t>There are currently no FDA-licensed biological products to treat OUD.</w:t>
      </w:r>
      <w:r w:rsidR="008E4C34">
        <w:t xml:space="preserve"> </w:t>
      </w:r>
      <w:r w:rsidR="0045287C">
        <w:t>In addition to the medications, MAT includes counseling and behavioral therapies such as individual and group therapy, peer support services, and crisis intervention services</w:t>
      </w:r>
      <w:r>
        <w:t>.</w:t>
      </w:r>
    </w:p>
    <w:p w:rsidR="0045287C" w:rsidP="0045287C" w:rsidRDefault="0045287C" w14:paraId="1DDBCE18" w14:textId="77777777">
      <w:pPr>
        <w:pStyle w:val="Default"/>
      </w:pPr>
    </w:p>
    <w:p w:rsidR="00684310" w:rsidP="00DA6C91" w:rsidRDefault="0045287C" w14:paraId="04DFF36E" w14:textId="7BCF2292">
      <w:pPr>
        <w:spacing w:line="240" w:lineRule="auto"/>
      </w:pPr>
      <w:r>
        <w:t>Section 1006(b) also allows</w:t>
      </w:r>
      <w:r w:rsidR="00DA6C91">
        <w:t xml:space="preserve"> states to assert</w:t>
      </w:r>
      <w:r>
        <w:t xml:space="preserve"> two exceptions to timely compl</w:t>
      </w:r>
      <w:r w:rsidR="00F819D1">
        <w:t>iance</w:t>
      </w:r>
      <w:r>
        <w:t xml:space="preserve"> with the requirements of this provision</w:t>
      </w:r>
      <w:r w:rsidR="00684310">
        <w:t>:</w:t>
      </w:r>
      <w:r>
        <w:t xml:space="preserve">  </w:t>
      </w:r>
    </w:p>
    <w:p w:rsidR="00684310" w:rsidP="00DA6C91" w:rsidRDefault="0045287C" w14:paraId="312A2754" w14:textId="67B3875B">
      <w:pPr>
        <w:spacing w:line="240" w:lineRule="auto"/>
      </w:pPr>
      <w:r>
        <w:t xml:space="preserve">First, states can seek an </w:t>
      </w:r>
      <w:r w:rsidR="003D3622">
        <w:t>extension</w:t>
      </w:r>
      <w:r>
        <w:t xml:space="preserve"> </w:t>
      </w:r>
      <w:r w:rsidR="000A06F7">
        <w:t xml:space="preserve">to timely compliance </w:t>
      </w:r>
      <w:r>
        <w:t>based on the need for state legislation to authorize a state plan amendment</w:t>
      </w:r>
      <w:r w:rsidR="000A06F7">
        <w:t xml:space="preserve"> </w:t>
      </w:r>
      <w:r w:rsidR="00DA6C91">
        <w:t>when that legislation cannot be secured by October 1, 2020</w:t>
      </w:r>
      <w:r w:rsidR="000A06F7">
        <w:t>, and</w:t>
      </w:r>
      <w:r w:rsidRPr="008A73C3" w:rsidR="000A06F7">
        <w:rPr>
          <w:rFonts w:cs="Times New Roman"/>
          <w:szCs w:val="24"/>
        </w:rPr>
        <w:t xml:space="preserve"> the only reason the state cannot come into compliance by October 1, 2020</w:t>
      </w:r>
      <w:r w:rsidR="00426DA0">
        <w:rPr>
          <w:rFonts w:cs="Times New Roman"/>
          <w:szCs w:val="24"/>
        </w:rPr>
        <w:t>,</w:t>
      </w:r>
      <w:r w:rsidRPr="008A73C3" w:rsidR="000A06F7">
        <w:rPr>
          <w:rFonts w:cs="Times New Roman"/>
          <w:szCs w:val="24"/>
        </w:rPr>
        <w:t xml:space="preserve"> is due to lack of state legislation that is needed to meet the requirement.</w:t>
      </w:r>
    </w:p>
    <w:p w:rsidR="00DA6C91" w:rsidP="00DA6C91" w:rsidRDefault="00DA6C91" w14:paraId="147E20D9" w14:textId="538B0F19">
      <w:pPr>
        <w:spacing w:line="240" w:lineRule="auto"/>
        <w:rPr>
          <w:rFonts w:cs="Times New Roman"/>
          <w:szCs w:val="24"/>
        </w:rPr>
      </w:pPr>
      <w:r>
        <w:lastRenderedPageBreak/>
        <w:t xml:space="preserve">Second, states can seek an exception </w:t>
      </w:r>
      <w:r>
        <w:rPr>
          <w:rFonts w:cs="Times New Roman"/>
          <w:szCs w:val="24"/>
        </w:rPr>
        <w:t>i</w:t>
      </w:r>
      <w:r w:rsidRPr="00B17807">
        <w:rPr>
          <w:rFonts w:cs="Times New Roman"/>
          <w:szCs w:val="24"/>
        </w:rPr>
        <w:t>f</w:t>
      </w:r>
      <w:r>
        <w:rPr>
          <w:rFonts w:cs="Times New Roman"/>
          <w:szCs w:val="24"/>
        </w:rPr>
        <w:t xml:space="preserve"> </w:t>
      </w:r>
      <w:r w:rsidRPr="00B17807">
        <w:rPr>
          <w:rFonts w:cs="Times New Roman"/>
          <w:szCs w:val="24"/>
        </w:rPr>
        <w:t>they can satisfactorily certify prior to October 1, 2020</w:t>
      </w:r>
      <w:r w:rsidR="00426DA0">
        <w:rPr>
          <w:rFonts w:cs="Times New Roman"/>
          <w:szCs w:val="24"/>
        </w:rPr>
        <w:t>,</w:t>
      </w:r>
      <w:r w:rsidRPr="00B17807">
        <w:rPr>
          <w:rFonts w:cs="Times New Roman"/>
          <w:szCs w:val="24"/>
        </w:rPr>
        <w:t xml:space="preserve"> that implementing such coverage statewide would not be feasible due to a shortage of qualified providers willing to contract with the state or </w:t>
      </w:r>
      <w:r w:rsidR="00790878">
        <w:rPr>
          <w:rFonts w:cs="Times New Roman"/>
          <w:szCs w:val="24"/>
        </w:rPr>
        <w:t>the state’s</w:t>
      </w:r>
      <w:r w:rsidRPr="00B17807" w:rsidR="00790878">
        <w:rPr>
          <w:rFonts w:cs="Times New Roman"/>
          <w:szCs w:val="24"/>
        </w:rPr>
        <w:t xml:space="preserve"> </w:t>
      </w:r>
      <w:r w:rsidRPr="00B17807">
        <w:rPr>
          <w:rFonts w:cs="Times New Roman"/>
          <w:szCs w:val="24"/>
        </w:rPr>
        <w:t xml:space="preserve">Managed Care Organizations (MCOs). </w:t>
      </w:r>
    </w:p>
    <w:p w:rsidR="001F4725" w:rsidP="00DA6C91" w:rsidRDefault="008E4C34" w14:paraId="45BEEC2A" w14:textId="102FC95C">
      <w:pPr>
        <w:spacing w:line="240" w:lineRule="auto"/>
        <w:rPr>
          <w:rFonts w:cs="Times New Roman"/>
          <w:szCs w:val="24"/>
        </w:rPr>
      </w:pPr>
      <w:r w:rsidRPr="00140CF3">
        <w:rPr>
          <w:rFonts w:cs="Times New Roman"/>
          <w:szCs w:val="24"/>
        </w:rPr>
        <w:t xml:space="preserve">The state submission </w:t>
      </w:r>
      <w:r w:rsidRPr="00140CF3" w:rsidR="001F4725">
        <w:rPr>
          <w:rFonts w:cs="Times New Roman"/>
          <w:szCs w:val="24"/>
        </w:rPr>
        <w:t xml:space="preserve">consists of SPA </w:t>
      </w:r>
      <w:r w:rsidRPr="00140CF3" w:rsidR="000A06F7">
        <w:rPr>
          <w:rFonts w:cs="Times New Roman"/>
          <w:szCs w:val="24"/>
        </w:rPr>
        <w:t>template</w:t>
      </w:r>
      <w:r w:rsidR="00F715AD">
        <w:rPr>
          <w:rFonts w:cs="Times New Roman"/>
          <w:szCs w:val="24"/>
        </w:rPr>
        <w:t>s</w:t>
      </w:r>
      <w:r w:rsidRPr="00140CF3">
        <w:rPr>
          <w:rFonts w:cs="Times New Roman"/>
          <w:szCs w:val="24"/>
        </w:rPr>
        <w:t xml:space="preserve"> </w:t>
      </w:r>
      <w:r w:rsidRPr="00140CF3" w:rsidR="001F4725">
        <w:rPr>
          <w:rFonts w:cs="Times New Roman"/>
          <w:szCs w:val="24"/>
        </w:rPr>
        <w:t>for item 1905(a)(29)</w:t>
      </w:r>
      <w:r w:rsidRPr="00140CF3" w:rsidR="000A06F7">
        <w:rPr>
          <w:rFonts w:cs="Times New Roman"/>
          <w:szCs w:val="24"/>
        </w:rPr>
        <w:t xml:space="preserve">. </w:t>
      </w:r>
      <w:r w:rsidRPr="00140CF3" w:rsidR="00684310">
        <w:rPr>
          <w:rFonts w:cs="Times New Roman"/>
          <w:szCs w:val="24"/>
        </w:rPr>
        <w:t xml:space="preserve">The SPA </w:t>
      </w:r>
      <w:r w:rsidR="00A363CA">
        <w:rPr>
          <w:rFonts w:cs="Times New Roman"/>
          <w:szCs w:val="24"/>
        </w:rPr>
        <w:t xml:space="preserve">Coverage </w:t>
      </w:r>
      <w:r w:rsidR="00F715AD">
        <w:rPr>
          <w:rFonts w:cs="Times New Roman"/>
          <w:szCs w:val="24"/>
        </w:rPr>
        <w:t>t</w:t>
      </w:r>
      <w:r w:rsidRPr="00140CF3" w:rsidR="00684310">
        <w:rPr>
          <w:rFonts w:cs="Times New Roman"/>
          <w:szCs w:val="24"/>
        </w:rPr>
        <w:t>emplate</w:t>
      </w:r>
      <w:r w:rsidR="00A363CA">
        <w:rPr>
          <w:rFonts w:cs="Times New Roman"/>
          <w:szCs w:val="24"/>
        </w:rPr>
        <w:t>s for Limitations (</w:t>
      </w:r>
      <w:r w:rsidR="006672CC">
        <w:rPr>
          <w:rFonts w:cs="Times New Roman"/>
          <w:szCs w:val="24"/>
        </w:rPr>
        <w:t xml:space="preserve">Supplement to </w:t>
      </w:r>
      <w:r w:rsidR="00A8379D">
        <w:rPr>
          <w:rFonts w:cs="Times New Roman"/>
          <w:szCs w:val="24"/>
        </w:rPr>
        <w:t xml:space="preserve">Attachment 3.1-A and </w:t>
      </w:r>
      <w:r w:rsidR="00A363CA">
        <w:rPr>
          <w:rFonts w:cs="Times New Roman"/>
          <w:szCs w:val="24"/>
        </w:rPr>
        <w:t xml:space="preserve">Supplement to </w:t>
      </w:r>
      <w:r w:rsidR="00A8379D">
        <w:rPr>
          <w:rFonts w:cs="Times New Roman"/>
          <w:szCs w:val="24"/>
        </w:rPr>
        <w:t>Attachment 3.1-B</w:t>
      </w:r>
      <w:r w:rsidR="00A363CA">
        <w:rPr>
          <w:rFonts w:cs="Times New Roman"/>
          <w:szCs w:val="24"/>
        </w:rPr>
        <w:t>)</w:t>
      </w:r>
      <w:r w:rsidR="00A8379D">
        <w:rPr>
          <w:rFonts w:cs="Times New Roman"/>
          <w:szCs w:val="24"/>
        </w:rPr>
        <w:t xml:space="preserve"> </w:t>
      </w:r>
      <w:r w:rsidRPr="00140CF3" w:rsidR="001F4725">
        <w:rPr>
          <w:rFonts w:cs="Times New Roman"/>
          <w:szCs w:val="24"/>
        </w:rPr>
        <w:t>request the following information:</w:t>
      </w:r>
    </w:p>
    <w:p w:rsidRPr="008E4C34" w:rsidR="001F4725" w:rsidP="001F4725" w:rsidRDefault="001F4725" w14:paraId="4876DE19" w14:textId="2999D296">
      <w:pPr>
        <w:pStyle w:val="ListParagraph"/>
        <w:numPr>
          <w:ilvl w:val="0"/>
          <w:numId w:val="9"/>
        </w:numPr>
        <w:spacing w:line="240" w:lineRule="auto"/>
        <w:rPr>
          <w:rFonts w:ascii="Times New Roman" w:hAnsi="Times New Roman"/>
          <w:sz w:val="24"/>
          <w:szCs w:val="24"/>
        </w:rPr>
      </w:pPr>
      <w:r w:rsidRPr="008E4C34">
        <w:rPr>
          <w:rFonts w:ascii="Times New Roman" w:hAnsi="Times New Roman"/>
          <w:sz w:val="24"/>
          <w:szCs w:val="24"/>
        </w:rPr>
        <w:t>A</w:t>
      </w:r>
      <w:r w:rsidR="000A06F7">
        <w:rPr>
          <w:rFonts w:ascii="Times New Roman" w:hAnsi="Times New Roman"/>
          <w:sz w:val="24"/>
          <w:szCs w:val="24"/>
        </w:rPr>
        <w:t xml:space="preserve"> general </w:t>
      </w:r>
      <w:r w:rsidRPr="008E4C34">
        <w:rPr>
          <w:rFonts w:ascii="Times New Roman" w:hAnsi="Times New Roman"/>
          <w:sz w:val="24"/>
          <w:szCs w:val="24"/>
        </w:rPr>
        <w:t xml:space="preserve">assurance that the state covers </w:t>
      </w:r>
      <w:r w:rsidRPr="00CA0E82" w:rsidR="000A06F7">
        <w:rPr>
          <w:rFonts w:ascii="Times New Roman" w:hAnsi="Times New Roman"/>
          <w:sz w:val="24"/>
          <w:szCs w:val="24"/>
        </w:rPr>
        <w:t>MAT under the Medicaid state plan for all Medicaid beneficiaries who meet the medical necessity criteria for receipt of the service for the period beginning October 1, 2020, and ending September 30, 2025.</w:t>
      </w:r>
    </w:p>
    <w:p w:rsidRPr="00030C56" w:rsidR="000A06F7" w:rsidP="00730298" w:rsidRDefault="000A06F7" w14:paraId="5A7F6384" w14:textId="46C4616F">
      <w:pPr>
        <w:pStyle w:val="ListParagraph"/>
        <w:numPr>
          <w:ilvl w:val="0"/>
          <w:numId w:val="9"/>
        </w:numPr>
        <w:spacing w:after="160" w:line="259" w:lineRule="auto"/>
        <w:rPr>
          <w:rFonts w:ascii="Times New Roman" w:hAnsi="Times New Roman"/>
          <w:sz w:val="24"/>
          <w:szCs w:val="24"/>
        </w:rPr>
      </w:pPr>
      <w:r w:rsidRPr="00030C56">
        <w:rPr>
          <w:rFonts w:ascii="Times New Roman" w:hAnsi="Times New Roman"/>
          <w:sz w:val="24"/>
          <w:szCs w:val="24"/>
        </w:rPr>
        <w:t xml:space="preserve">Additional </w:t>
      </w:r>
      <w:r w:rsidRPr="00030C56" w:rsidR="001F4725">
        <w:rPr>
          <w:rFonts w:ascii="Times New Roman" w:hAnsi="Times New Roman"/>
          <w:sz w:val="24"/>
          <w:szCs w:val="24"/>
        </w:rPr>
        <w:t>assurance</w:t>
      </w:r>
      <w:r w:rsidRPr="00030C56">
        <w:rPr>
          <w:rFonts w:ascii="Times New Roman" w:hAnsi="Times New Roman"/>
          <w:sz w:val="24"/>
          <w:szCs w:val="24"/>
        </w:rPr>
        <w:t>s</w:t>
      </w:r>
      <w:r w:rsidRPr="00030C56" w:rsidR="001F4725">
        <w:rPr>
          <w:rFonts w:ascii="Times New Roman" w:hAnsi="Times New Roman"/>
          <w:sz w:val="24"/>
          <w:szCs w:val="24"/>
        </w:rPr>
        <w:t xml:space="preserve"> that </w:t>
      </w:r>
      <w:r w:rsidRPr="00030C56" w:rsidR="00CF401E">
        <w:rPr>
          <w:rFonts w:ascii="Times New Roman" w:hAnsi="Times New Roman"/>
          <w:sz w:val="24"/>
          <w:szCs w:val="24"/>
        </w:rPr>
        <w:t xml:space="preserve">a) </w:t>
      </w:r>
      <w:r w:rsidRPr="00030C56" w:rsidR="001F4725">
        <w:rPr>
          <w:rFonts w:ascii="Times New Roman" w:hAnsi="Times New Roman"/>
          <w:sz w:val="24"/>
          <w:szCs w:val="24"/>
        </w:rPr>
        <w:t xml:space="preserve">the state covers </w:t>
      </w:r>
      <w:r w:rsidRPr="00030C56">
        <w:rPr>
          <w:rFonts w:ascii="Times New Roman" w:hAnsi="Times New Roman"/>
          <w:sz w:val="24"/>
          <w:szCs w:val="24"/>
        </w:rPr>
        <w:t>Naltrexone, Buprenorphine, and Methadone and all of the forms of these drugs for MAT that are approved under section 505 of the Federal Food, Drug, and Cosmetic Act (21 U.S.C. 355) and all biological products licensed under section 351 of the Public Health Service Act (42 U.S.C. 262)</w:t>
      </w:r>
      <w:r w:rsidRPr="00030C56" w:rsidR="00CF401E">
        <w:rPr>
          <w:rFonts w:ascii="Times New Roman" w:hAnsi="Times New Roman"/>
          <w:sz w:val="24"/>
          <w:szCs w:val="24"/>
        </w:rPr>
        <w:t>; and b) M</w:t>
      </w:r>
      <w:r w:rsidRPr="00030C56">
        <w:rPr>
          <w:rFonts w:ascii="Times New Roman" w:hAnsi="Times New Roman"/>
          <w:sz w:val="24"/>
          <w:szCs w:val="24"/>
        </w:rPr>
        <w:t xml:space="preserve">ethadone for MAT is provided by Opioid Treatment Programs that meet the requirements in 42 CFR </w:t>
      </w:r>
      <w:r w:rsidR="00030C56">
        <w:rPr>
          <w:rFonts w:ascii="Times New Roman" w:hAnsi="Times New Roman"/>
          <w:sz w:val="24"/>
          <w:szCs w:val="24"/>
        </w:rPr>
        <w:t>p</w:t>
      </w:r>
      <w:r w:rsidRPr="00030C56">
        <w:rPr>
          <w:rFonts w:ascii="Times New Roman" w:hAnsi="Times New Roman"/>
          <w:sz w:val="24"/>
          <w:szCs w:val="24"/>
        </w:rPr>
        <w:t xml:space="preserve">art 8. </w:t>
      </w:r>
    </w:p>
    <w:p w:rsidRPr="00AE3E80" w:rsidR="00CF401E" w:rsidP="00AE3E80" w:rsidRDefault="00CF401E" w14:paraId="27BA8139" w14:textId="76DAAE72">
      <w:pPr>
        <w:pStyle w:val="ListParagraph"/>
        <w:numPr>
          <w:ilvl w:val="0"/>
          <w:numId w:val="9"/>
        </w:numPr>
        <w:spacing w:after="160" w:line="259" w:lineRule="auto"/>
        <w:ind w:hanging="432"/>
        <w:rPr>
          <w:rFonts w:ascii="Times New Roman" w:hAnsi="Times New Roman"/>
          <w:sz w:val="24"/>
          <w:szCs w:val="24"/>
        </w:rPr>
      </w:pPr>
      <w:r w:rsidRPr="00AE3E80">
        <w:rPr>
          <w:rFonts w:ascii="Times New Roman" w:hAnsi="Times New Roman"/>
          <w:sz w:val="24"/>
          <w:szCs w:val="24"/>
        </w:rPr>
        <w:t xml:space="preserve">The service package that includes a) each service and components of each service (if applicable), along with a description of each service and component service; b) each practitioner and provider entity that furnishes each service and component service; and c) a brief summary of the qualifications for each practitioner or provider entity that the state requires including any licensure, certification, registration, education, experience, training and supervisory arrangements that the state requires.  </w:t>
      </w:r>
    </w:p>
    <w:p w:rsidRPr="000A06F7" w:rsidR="008A5E8B" w:rsidP="00AE3E80" w:rsidRDefault="008A5E8B" w14:paraId="330132E1" w14:textId="4045261C">
      <w:pPr>
        <w:pStyle w:val="ListParagraph"/>
        <w:numPr>
          <w:ilvl w:val="0"/>
          <w:numId w:val="12"/>
        </w:numPr>
        <w:spacing w:line="240" w:lineRule="auto"/>
        <w:ind w:left="720" w:hanging="432"/>
        <w:rPr>
          <w:rFonts w:ascii="Times New Roman" w:hAnsi="Times New Roman"/>
          <w:sz w:val="24"/>
          <w:szCs w:val="24"/>
        </w:rPr>
      </w:pPr>
      <w:r w:rsidRPr="000A06F7">
        <w:rPr>
          <w:rFonts w:ascii="Times New Roman" w:hAnsi="Times New Roman"/>
          <w:sz w:val="24"/>
          <w:szCs w:val="24"/>
        </w:rPr>
        <w:t xml:space="preserve">The </w:t>
      </w:r>
      <w:r w:rsidR="00CF401E">
        <w:rPr>
          <w:rFonts w:ascii="Times New Roman" w:hAnsi="Times New Roman"/>
          <w:sz w:val="24"/>
          <w:szCs w:val="24"/>
        </w:rPr>
        <w:t xml:space="preserve">state’s drug utilization controls, </w:t>
      </w:r>
      <w:r w:rsidRPr="000A06F7">
        <w:rPr>
          <w:rFonts w:ascii="Times New Roman" w:hAnsi="Times New Roman"/>
          <w:sz w:val="24"/>
          <w:szCs w:val="24"/>
        </w:rPr>
        <w:t>if applicable.</w:t>
      </w:r>
    </w:p>
    <w:p w:rsidR="007F1947" w:rsidP="00AE3E80" w:rsidRDefault="00CF401E" w14:paraId="1C717C5A" w14:textId="1722CA3A">
      <w:pPr>
        <w:pStyle w:val="ListParagraph"/>
        <w:numPr>
          <w:ilvl w:val="0"/>
          <w:numId w:val="12"/>
        </w:numPr>
        <w:spacing w:line="240" w:lineRule="auto"/>
        <w:ind w:left="720" w:hanging="432"/>
        <w:rPr>
          <w:rFonts w:ascii="Times New Roman" w:hAnsi="Times New Roman"/>
          <w:sz w:val="24"/>
          <w:szCs w:val="24"/>
        </w:rPr>
      </w:pPr>
      <w:r>
        <w:rPr>
          <w:rFonts w:ascii="Times New Roman" w:hAnsi="Times New Roman"/>
          <w:sz w:val="24"/>
          <w:szCs w:val="24"/>
        </w:rPr>
        <w:t xml:space="preserve">The </w:t>
      </w:r>
      <w:r w:rsidRPr="00CD41C5">
        <w:rPr>
          <w:rFonts w:ascii="Times New Roman" w:hAnsi="Times New Roman"/>
          <w:sz w:val="24"/>
          <w:szCs w:val="24"/>
        </w:rPr>
        <w:t>state’s limitations on amount, duration, and scope of MAT drug</w:t>
      </w:r>
      <w:r>
        <w:rPr>
          <w:rFonts w:ascii="Times New Roman" w:hAnsi="Times New Roman"/>
          <w:sz w:val="24"/>
          <w:szCs w:val="24"/>
        </w:rPr>
        <w:t>s</w:t>
      </w:r>
      <w:r w:rsidRPr="00CD41C5">
        <w:rPr>
          <w:rFonts w:ascii="Times New Roman" w:hAnsi="Times New Roman"/>
          <w:sz w:val="24"/>
          <w:szCs w:val="24"/>
        </w:rPr>
        <w:t>, biological</w:t>
      </w:r>
      <w:r>
        <w:rPr>
          <w:rFonts w:ascii="Times New Roman" w:hAnsi="Times New Roman"/>
          <w:sz w:val="24"/>
          <w:szCs w:val="24"/>
        </w:rPr>
        <w:t>s</w:t>
      </w:r>
      <w:r w:rsidRPr="00CD41C5">
        <w:rPr>
          <w:rFonts w:ascii="Times New Roman" w:hAnsi="Times New Roman"/>
          <w:sz w:val="24"/>
          <w:szCs w:val="24"/>
        </w:rPr>
        <w:t xml:space="preserve">, and </w:t>
      </w:r>
      <w:r>
        <w:rPr>
          <w:rFonts w:ascii="Times New Roman" w:hAnsi="Times New Roman"/>
          <w:sz w:val="24"/>
          <w:szCs w:val="24"/>
        </w:rPr>
        <w:t>counseling and behavioral therapies related to MAT, if applicable.</w:t>
      </w:r>
      <w:r w:rsidRPr="008E4C34" w:rsidR="008A5E8B">
        <w:rPr>
          <w:rFonts w:ascii="Times New Roman" w:hAnsi="Times New Roman"/>
          <w:sz w:val="24"/>
          <w:szCs w:val="24"/>
        </w:rPr>
        <w:t xml:space="preserve">  </w:t>
      </w:r>
    </w:p>
    <w:p w:rsidRPr="00594FB8" w:rsidR="00594FB8" w:rsidP="00594FB8" w:rsidRDefault="00A8379D" w14:paraId="2CB4CDF7" w14:textId="32776159">
      <w:pPr>
        <w:spacing w:line="240" w:lineRule="auto"/>
        <w:rPr>
          <w:szCs w:val="24"/>
        </w:rPr>
      </w:pPr>
      <w:r>
        <w:rPr>
          <w:szCs w:val="24"/>
        </w:rPr>
        <w:t xml:space="preserve">Since section 1006(b) of the SUPPORT Act makes MAT a mandatory </w:t>
      </w:r>
      <w:r w:rsidR="00E96C6F">
        <w:rPr>
          <w:szCs w:val="24"/>
        </w:rPr>
        <w:t xml:space="preserve">state plan benefit under </w:t>
      </w:r>
      <w:r>
        <w:rPr>
          <w:szCs w:val="24"/>
        </w:rPr>
        <w:t xml:space="preserve">section 1905(a) </w:t>
      </w:r>
      <w:r w:rsidR="00E96C6F">
        <w:rPr>
          <w:szCs w:val="24"/>
        </w:rPr>
        <w:t xml:space="preserve">of the Act </w:t>
      </w:r>
      <w:r>
        <w:rPr>
          <w:szCs w:val="24"/>
        </w:rPr>
        <w:t xml:space="preserve">for the period beginning </w:t>
      </w:r>
      <w:r w:rsidR="00E96C6F">
        <w:rPr>
          <w:szCs w:val="24"/>
        </w:rPr>
        <w:t>October 1, 2020 and ending September 30, 2025, states will react favorably to the availability of the templates that outline what states need to provide in their SPA submissions. The templates should facilitate prompt review an</w:t>
      </w:r>
      <w:r w:rsidR="00CD73B7">
        <w:rPr>
          <w:szCs w:val="24"/>
        </w:rPr>
        <w:t>d</w:t>
      </w:r>
      <w:r w:rsidR="00E96C6F">
        <w:rPr>
          <w:szCs w:val="24"/>
        </w:rPr>
        <w:t xml:space="preserve"> approval of states’ SPAs. </w:t>
      </w:r>
    </w:p>
    <w:p w:rsidRPr="008111D2" w:rsidR="007D6E75" w:rsidP="009F49B4" w:rsidRDefault="007D6E75" w14:paraId="02CE3F2D" w14:textId="77777777">
      <w:pPr>
        <w:pStyle w:val="Heading1"/>
      </w:pPr>
      <w:r w:rsidRPr="008111D2">
        <w:t>C. Deviations from Generic Request</w:t>
      </w:r>
    </w:p>
    <w:p w:rsidR="00F819D1" w:rsidP="008111D2" w:rsidRDefault="00F819D1" w14:paraId="7C3D149E" w14:textId="77777777">
      <w:pPr>
        <w:spacing w:after="0" w:line="240" w:lineRule="auto"/>
        <w:rPr>
          <w:szCs w:val="24"/>
        </w:rPr>
      </w:pPr>
    </w:p>
    <w:p w:rsidRPr="008111D2" w:rsidR="007D6E75" w:rsidP="008111D2" w:rsidRDefault="009B19E8" w14:paraId="3D5A495C" w14:textId="36DDF642">
      <w:pPr>
        <w:spacing w:after="0" w:line="240" w:lineRule="auto"/>
        <w:rPr>
          <w:szCs w:val="24"/>
        </w:rPr>
      </w:pPr>
      <w:r w:rsidRPr="008111D2">
        <w:rPr>
          <w:szCs w:val="24"/>
        </w:rPr>
        <w:t>No deviations are requested.</w:t>
      </w:r>
    </w:p>
    <w:p w:rsidRPr="008111D2" w:rsidR="008111D2" w:rsidP="009F49B4" w:rsidRDefault="008111D2" w14:paraId="4BBD281D" w14:textId="77777777">
      <w:pPr>
        <w:pStyle w:val="Heading1"/>
      </w:pPr>
    </w:p>
    <w:p w:rsidRPr="008111D2" w:rsidR="007D6E75" w:rsidP="009F49B4" w:rsidRDefault="007D6E75" w14:paraId="32B8BB46" w14:textId="77777777">
      <w:pPr>
        <w:pStyle w:val="Heading1"/>
      </w:pPr>
      <w:r w:rsidRPr="008111D2">
        <w:t>D. Burden Hour Deduction</w:t>
      </w:r>
    </w:p>
    <w:p w:rsidR="00C84891" w:rsidP="00DB768F" w:rsidRDefault="00C84891" w14:paraId="28303CEF" w14:textId="77777777">
      <w:pPr>
        <w:spacing w:after="0" w:line="240" w:lineRule="auto"/>
      </w:pPr>
    </w:p>
    <w:p w:rsidR="00DB768F" w:rsidP="00DB768F" w:rsidRDefault="00DB768F" w14:paraId="69EB3BDE" w14:textId="29CC1FB1">
      <w:pPr>
        <w:spacing w:after="0" w:line="240" w:lineRule="auto"/>
      </w:pPr>
      <w:r w:rsidRPr="005A1DDE">
        <w:t xml:space="preserve">The total approved burden ceiling of the generic ICR is 154,104 hours, and CMS previously requested to use </w:t>
      </w:r>
      <w:r w:rsidR="00C542FA">
        <w:t>8</w:t>
      </w:r>
      <w:r w:rsidRPr="005A1DDE">
        <w:t>2,</w:t>
      </w:r>
      <w:r w:rsidR="00C542FA">
        <w:t>233</w:t>
      </w:r>
      <w:r w:rsidRPr="005A1DDE">
        <w:t xml:space="preserve"> hours, leaving our burden ceiling at </w:t>
      </w:r>
      <w:r w:rsidR="00C542FA">
        <w:t>71</w:t>
      </w:r>
      <w:r w:rsidRPr="005A1DDE">
        <w:t>,</w:t>
      </w:r>
      <w:r w:rsidR="00C542FA">
        <w:t>871</w:t>
      </w:r>
      <w:r w:rsidRPr="005A1DDE">
        <w:t xml:space="preserve"> hours.</w:t>
      </w:r>
    </w:p>
    <w:p w:rsidR="00DB768F" w:rsidP="00DB768F" w:rsidRDefault="00DB768F" w14:paraId="0064A23F" w14:textId="77777777">
      <w:pPr>
        <w:spacing w:after="0" w:line="240" w:lineRule="auto"/>
      </w:pPr>
    </w:p>
    <w:p w:rsidR="00DB768F" w:rsidP="00DB768F" w:rsidRDefault="00DB768F" w14:paraId="2FB10243" w14:textId="3E63446C">
      <w:pPr>
        <w:spacing w:after="0" w:line="240" w:lineRule="auto"/>
        <w:rPr>
          <w:i/>
          <w:szCs w:val="24"/>
        </w:rPr>
      </w:pPr>
      <w:r w:rsidRPr="005A1DDE">
        <w:rPr>
          <w:i/>
          <w:szCs w:val="24"/>
        </w:rPr>
        <w:t>Wage Estimate</w:t>
      </w:r>
      <w:r w:rsidR="0061576F">
        <w:rPr>
          <w:i/>
          <w:szCs w:val="24"/>
        </w:rPr>
        <w:t>s</w:t>
      </w:r>
    </w:p>
    <w:p w:rsidRPr="005A1DDE" w:rsidR="0061576F" w:rsidP="00DB768F" w:rsidRDefault="0061576F" w14:paraId="1C3A2B44" w14:textId="77777777">
      <w:pPr>
        <w:spacing w:after="0" w:line="240" w:lineRule="auto"/>
        <w:rPr>
          <w:i/>
          <w:szCs w:val="24"/>
        </w:rPr>
      </w:pPr>
    </w:p>
    <w:p w:rsidRPr="005A1DDE" w:rsidR="00DB768F" w:rsidP="00DB768F" w:rsidRDefault="00DB768F" w14:paraId="72477D97" w14:textId="605B0206">
      <w:pPr>
        <w:spacing w:after="0" w:line="240" w:lineRule="auto"/>
        <w:rPr>
          <w:rFonts w:cs="Times New Roman"/>
          <w:szCs w:val="24"/>
        </w:rPr>
      </w:pPr>
      <w:r w:rsidRPr="005A1DDE">
        <w:rPr>
          <w:rFonts w:cs="Times New Roman"/>
          <w:szCs w:val="24"/>
        </w:rPr>
        <w:t>To derive average costs, we used data from the U.S. Bureau of Labor Statistics’ May 201</w:t>
      </w:r>
      <w:r w:rsidR="004D6241">
        <w:rPr>
          <w:rFonts w:cs="Times New Roman"/>
          <w:szCs w:val="24"/>
        </w:rPr>
        <w:t>9</w:t>
      </w:r>
      <w:r w:rsidRPr="005A1DDE">
        <w:rPr>
          <w:rFonts w:cs="Times New Roman"/>
          <w:szCs w:val="24"/>
        </w:rPr>
        <w:t xml:space="preserve"> National Occupational Employment and Wage Estimates for all salary estimates (</w:t>
      </w:r>
      <w:hyperlink w:history="1" r:id="rId13">
        <w:r w:rsidRPr="005A1DDE">
          <w:rPr>
            <w:rFonts w:cs="Times New Roman"/>
            <w:color w:val="0000FF" w:themeColor="hyperlink"/>
            <w:szCs w:val="24"/>
            <w:u w:val="single"/>
          </w:rPr>
          <w:t>http://www.bls.gov/oes/current/oes_nat.htm</w:t>
        </w:r>
      </w:hyperlink>
      <w:r w:rsidRPr="005A1DDE">
        <w:rPr>
          <w:rFonts w:cs="Times New Roman"/>
          <w:szCs w:val="24"/>
        </w:rPr>
        <w:t xml:space="preserve">). </w:t>
      </w:r>
      <w:r>
        <w:rPr>
          <w:rFonts w:cs="Times New Roman"/>
          <w:szCs w:val="24"/>
        </w:rPr>
        <w:t xml:space="preserve"> </w:t>
      </w:r>
      <w:r w:rsidRPr="005A1DDE">
        <w:rPr>
          <w:rFonts w:cs="Times New Roman"/>
          <w:szCs w:val="24"/>
        </w:rPr>
        <w:t xml:space="preserve">In this regard, the following table presents the </w:t>
      </w:r>
      <w:r w:rsidRPr="005A1DDE">
        <w:rPr>
          <w:rFonts w:cs="Times New Roman"/>
          <w:szCs w:val="24"/>
        </w:rPr>
        <w:lastRenderedPageBreak/>
        <w:t xml:space="preserve">mean hourly wage, the cost of fringe benefits </w:t>
      </w:r>
      <w:r w:rsidR="0061576F">
        <w:rPr>
          <w:rFonts w:cs="Times New Roman"/>
          <w:szCs w:val="24"/>
        </w:rPr>
        <w:t xml:space="preserve">and overhead </w:t>
      </w:r>
      <w:r w:rsidRPr="005A1DDE">
        <w:rPr>
          <w:rFonts w:cs="Times New Roman"/>
          <w:szCs w:val="24"/>
        </w:rPr>
        <w:t>(calculated at 100 percent of salary), and the adjusted hourly wage.</w:t>
      </w:r>
    </w:p>
    <w:p w:rsidRPr="005A1DDE" w:rsidR="00DB768F" w:rsidP="00DB768F" w:rsidRDefault="00DB768F" w14:paraId="3BAA0D21" w14:textId="77777777">
      <w:pPr>
        <w:spacing w:after="0" w:line="240" w:lineRule="auto"/>
        <w:rPr>
          <w:i/>
          <w:szCs w:val="24"/>
        </w:rPr>
      </w:pPr>
    </w:p>
    <w:tbl>
      <w:tblPr>
        <w:tblW w:w="90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40"/>
        <w:gridCol w:w="1440"/>
        <w:gridCol w:w="1170"/>
        <w:gridCol w:w="1170"/>
        <w:gridCol w:w="1980"/>
      </w:tblGrid>
      <w:tr w:rsidRPr="0061576F" w:rsidR="00DB768F" w:rsidTr="000D05E3" w14:paraId="0BB7FA0C" w14:textId="77777777">
        <w:trPr>
          <w:trHeight w:val="800"/>
          <w:tblHeader/>
        </w:trPr>
        <w:tc>
          <w:tcPr>
            <w:tcW w:w="3240" w:type="dxa"/>
            <w:shd w:val="clear" w:color="auto" w:fill="auto"/>
          </w:tcPr>
          <w:p w:rsidRPr="0061576F" w:rsidR="00DB768F" w:rsidP="000D05E3" w:rsidRDefault="00DB768F" w14:paraId="05C68DD3" w14:textId="77777777">
            <w:pPr>
              <w:spacing w:after="0" w:line="240" w:lineRule="auto"/>
              <w:rPr>
                <w:rFonts w:cs="Times New Roman"/>
                <w:b/>
                <w:sz w:val="22"/>
              </w:rPr>
            </w:pPr>
            <w:r w:rsidRPr="0061576F">
              <w:rPr>
                <w:rFonts w:cs="Times New Roman"/>
                <w:b/>
                <w:sz w:val="22"/>
              </w:rPr>
              <w:t>Occupation Title</w:t>
            </w:r>
          </w:p>
        </w:tc>
        <w:tc>
          <w:tcPr>
            <w:tcW w:w="1440" w:type="dxa"/>
            <w:shd w:val="clear" w:color="auto" w:fill="auto"/>
          </w:tcPr>
          <w:p w:rsidRPr="0061576F" w:rsidR="00DB768F" w:rsidP="000D05E3" w:rsidRDefault="00DB768F" w14:paraId="2D3B7B2B" w14:textId="77777777">
            <w:pPr>
              <w:spacing w:after="0" w:line="240" w:lineRule="auto"/>
              <w:rPr>
                <w:rFonts w:cs="Times New Roman"/>
                <w:b/>
                <w:sz w:val="22"/>
              </w:rPr>
            </w:pPr>
            <w:r w:rsidRPr="0061576F">
              <w:rPr>
                <w:rFonts w:cs="Times New Roman"/>
                <w:b/>
                <w:sz w:val="22"/>
              </w:rPr>
              <w:t>Occupation Code</w:t>
            </w:r>
          </w:p>
        </w:tc>
        <w:tc>
          <w:tcPr>
            <w:tcW w:w="1170" w:type="dxa"/>
            <w:shd w:val="clear" w:color="auto" w:fill="auto"/>
          </w:tcPr>
          <w:p w:rsidRPr="0061576F" w:rsidR="00DB768F" w:rsidP="000D05E3" w:rsidRDefault="00DB768F" w14:paraId="5DF0FE34" w14:textId="7880D0FA">
            <w:pPr>
              <w:spacing w:after="0" w:line="240" w:lineRule="auto"/>
              <w:rPr>
                <w:rFonts w:cs="Times New Roman"/>
                <w:b/>
                <w:sz w:val="22"/>
              </w:rPr>
            </w:pPr>
            <w:r w:rsidRPr="0061576F">
              <w:rPr>
                <w:rFonts w:cs="Times New Roman"/>
                <w:b/>
                <w:sz w:val="22"/>
              </w:rPr>
              <w:t>Mean Hourly Wage</w:t>
            </w:r>
            <w:r w:rsidRPr="0061576F" w:rsidR="0061576F">
              <w:rPr>
                <w:rFonts w:cs="Times New Roman"/>
                <w:b/>
                <w:sz w:val="22"/>
              </w:rPr>
              <w:t xml:space="preserve"> ($/hr)</w:t>
            </w:r>
          </w:p>
        </w:tc>
        <w:tc>
          <w:tcPr>
            <w:tcW w:w="1170" w:type="dxa"/>
            <w:shd w:val="clear" w:color="auto" w:fill="auto"/>
          </w:tcPr>
          <w:p w:rsidRPr="0061576F" w:rsidR="00DB768F" w:rsidP="000D05E3" w:rsidRDefault="00DB768F" w14:paraId="01550C14" w14:textId="0144CA91">
            <w:pPr>
              <w:spacing w:after="0" w:line="240" w:lineRule="auto"/>
              <w:rPr>
                <w:rFonts w:cs="Times New Roman"/>
                <w:b/>
                <w:sz w:val="22"/>
              </w:rPr>
            </w:pPr>
            <w:r w:rsidRPr="0061576F">
              <w:rPr>
                <w:rFonts w:cs="Times New Roman"/>
                <w:b/>
                <w:sz w:val="22"/>
              </w:rPr>
              <w:t>Fringe Benefit</w:t>
            </w:r>
            <w:r w:rsidRPr="0061576F" w:rsidR="0061576F">
              <w:rPr>
                <w:rFonts w:cs="Times New Roman"/>
                <w:b/>
                <w:sz w:val="22"/>
              </w:rPr>
              <w:t>s and Overhead ($/hr)</w:t>
            </w:r>
          </w:p>
        </w:tc>
        <w:tc>
          <w:tcPr>
            <w:tcW w:w="1980" w:type="dxa"/>
          </w:tcPr>
          <w:p w:rsidRPr="0061576F" w:rsidR="00DB768F" w:rsidP="000D05E3" w:rsidRDefault="00DB768F" w14:paraId="36BD000E" w14:textId="21B93A11">
            <w:pPr>
              <w:spacing w:after="0" w:line="240" w:lineRule="auto"/>
              <w:rPr>
                <w:rFonts w:cs="Times New Roman"/>
                <w:b/>
                <w:sz w:val="22"/>
              </w:rPr>
            </w:pPr>
            <w:r w:rsidRPr="0061576F">
              <w:rPr>
                <w:rFonts w:cs="Times New Roman"/>
                <w:b/>
                <w:sz w:val="22"/>
              </w:rPr>
              <w:t>Adjusted Hourly Wage</w:t>
            </w:r>
            <w:r w:rsidRPr="0061576F" w:rsidR="0061576F">
              <w:rPr>
                <w:rFonts w:cs="Times New Roman"/>
                <w:b/>
                <w:sz w:val="22"/>
              </w:rPr>
              <w:t xml:space="preserve"> ($/hr)</w:t>
            </w:r>
          </w:p>
        </w:tc>
      </w:tr>
      <w:tr w:rsidRPr="0061576F" w:rsidR="00DB768F" w:rsidTr="000D05E3" w14:paraId="491C9CC0" w14:textId="77777777">
        <w:tc>
          <w:tcPr>
            <w:tcW w:w="3240" w:type="dxa"/>
            <w:shd w:val="clear" w:color="auto" w:fill="auto"/>
          </w:tcPr>
          <w:p w:rsidRPr="0061576F" w:rsidR="00DB768F" w:rsidP="000D05E3" w:rsidRDefault="00DB768F" w14:paraId="2C005EF3" w14:textId="77777777">
            <w:pPr>
              <w:spacing w:after="0" w:line="240" w:lineRule="auto"/>
              <w:rPr>
                <w:rFonts w:cs="Times New Roman"/>
                <w:sz w:val="22"/>
              </w:rPr>
            </w:pPr>
            <w:r w:rsidRPr="0061576F">
              <w:rPr>
                <w:rFonts w:cs="Times New Roman"/>
                <w:sz w:val="22"/>
              </w:rPr>
              <w:t>Business Operations Specialist</w:t>
            </w:r>
          </w:p>
        </w:tc>
        <w:tc>
          <w:tcPr>
            <w:tcW w:w="1440" w:type="dxa"/>
            <w:shd w:val="clear" w:color="auto" w:fill="auto"/>
          </w:tcPr>
          <w:p w:rsidRPr="0061576F" w:rsidR="00DB768F" w:rsidP="000D05E3" w:rsidRDefault="00DB768F" w14:paraId="254759C9" w14:textId="77777777">
            <w:pPr>
              <w:spacing w:after="0" w:line="240" w:lineRule="auto"/>
              <w:rPr>
                <w:rFonts w:cs="Times New Roman"/>
                <w:sz w:val="22"/>
              </w:rPr>
            </w:pPr>
            <w:r w:rsidRPr="0061576F">
              <w:rPr>
                <w:rFonts w:cs="Times New Roman"/>
                <w:sz w:val="22"/>
              </w:rPr>
              <w:t>13-1000</w:t>
            </w:r>
          </w:p>
        </w:tc>
        <w:tc>
          <w:tcPr>
            <w:tcW w:w="1170" w:type="dxa"/>
            <w:shd w:val="clear" w:color="auto" w:fill="auto"/>
          </w:tcPr>
          <w:p w:rsidRPr="0061576F" w:rsidR="00DB768F" w:rsidP="004D6241" w:rsidRDefault="00DB768F" w14:paraId="3D4C2EC4" w14:textId="471BBC4C">
            <w:pPr>
              <w:spacing w:after="0" w:line="240" w:lineRule="auto"/>
              <w:rPr>
                <w:rFonts w:cs="Times New Roman"/>
                <w:sz w:val="22"/>
              </w:rPr>
            </w:pPr>
            <w:r w:rsidRPr="0061576F">
              <w:rPr>
                <w:rFonts w:cs="Times New Roman"/>
                <w:sz w:val="22"/>
              </w:rPr>
              <w:t>3</w:t>
            </w:r>
            <w:r w:rsidRPr="0061576F" w:rsidR="004D6241">
              <w:rPr>
                <w:rFonts w:cs="Times New Roman"/>
                <w:sz w:val="22"/>
              </w:rPr>
              <w:t>6</w:t>
            </w:r>
            <w:r w:rsidRPr="0061576F">
              <w:rPr>
                <w:rFonts w:cs="Times New Roman"/>
                <w:sz w:val="22"/>
              </w:rPr>
              <w:t>.</w:t>
            </w:r>
            <w:r w:rsidRPr="0061576F" w:rsidR="004D6241">
              <w:rPr>
                <w:rFonts w:cs="Times New Roman"/>
                <w:sz w:val="22"/>
              </w:rPr>
              <w:t>31</w:t>
            </w:r>
          </w:p>
        </w:tc>
        <w:tc>
          <w:tcPr>
            <w:tcW w:w="1170" w:type="dxa"/>
            <w:shd w:val="clear" w:color="auto" w:fill="auto"/>
          </w:tcPr>
          <w:p w:rsidRPr="0061576F" w:rsidR="00DB768F" w:rsidP="004D6241" w:rsidRDefault="00DB768F" w14:paraId="2EAAD844" w14:textId="0E137C1E">
            <w:pPr>
              <w:spacing w:after="0" w:line="240" w:lineRule="auto"/>
              <w:rPr>
                <w:rFonts w:cs="Times New Roman"/>
                <w:sz w:val="22"/>
              </w:rPr>
            </w:pPr>
            <w:r w:rsidRPr="0061576F">
              <w:rPr>
                <w:rFonts w:cs="Times New Roman"/>
                <w:sz w:val="22"/>
              </w:rPr>
              <w:t>3</w:t>
            </w:r>
            <w:r w:rsidRPr="0061576F" w:rsidR="004D6241">
              <w:rPr>
                <w:rFonts w:cs="Times New Roman"/>
                <w:sz w:val="22"/>
              </w:rPr>
              <w:t>6</w:t>
            </w:r>
            <w:r w:rsidRPr="0061576F">
              <w:rPr>
                <w:rFonts w:cs="Times New Roman"/>
                <w:sz w:val="22"/>
              </w:rPr>
              <w:t>.</w:t>
            </w:r>
            <w:r w:rsidRPr="0061576F" w:rsidR="004D6241">
              <w:rPr>
                <w:rFonts w:cs="Times New Roman"/>
                <w:sz w:val="22"/>
              </w:rPr>
              <w:t>31</w:t>
            </w:r>
          </w:p>
        </w:tc>
        <w:tc>
          <w:tcPr>
            <w:tcW w:w="1980" w:type="dxa"/>
          </w:tcPr>
          <w:p w:rsidRPr="0061576F" w:rsidR="00DB768F" w:rsidP="004D6241" w:rsidRDefault="00DB768F" w14:paraId="6B3771FB" w14:textId="1C8D34F0">
            <w:pPr>
              <w:spacing w:after="0" w:line="240" w:lineRule="auto"/>
              <w:rPr>
                <w:rFonts w:cs="Times New Roman"/>
                <w:sz w:val="22"/>
              </w:rPr>
            </w:pPr>
            <w:r w:rsidRPr="0061576F">
              <w:rPr>
                <w:rFonts w:cs="Times New Roman"/>
                <w:sz w:val="22"/>
              </w:rPr>
              <w:t>7</w:t>
            </w:r>
            <w:r w:rsidRPr="0061576F" w:rsidR="004D6241">
              <w:rPr>
                <w:rFonts w:cs="Times New Roman"/>
                <w:sz w:val="22"/>
              </w:rPr>
              <w:t>2</w:t>
            </w:r>
            <w:r w:rsidRPr="0061576F">
              <w:rPr>
                <w:rFonts w:cs="Times New Roman"/>
                <w:sz w:val="22"/>
              </w:rPr>
              <w:t>.</w:t>
            </w:r>
            <w:r w:rsidRPr="0061576F" w:rsidR="004D6241">
              <w:rPr>
                <w:rFonts w:cs="Times New Roman"/>
                <w:sz w:val="22"/>
              </w:rPr>
              <w:t>62</w:t>
            </w:r>
          </w:p>
        </w:tc>
      </w:tr>
    </w:tbl>
    <w:p w:rsidRPr="005A1DDE" w:rsidR="00DB768F" w:rsidP="00DB768F" w:rsidRDefault="00DB768F" w14:paraId="69B6413F" w14:textId="77777777">
      <w:pPr>
        <w:spacing w:after="0" w:line="240" w:lineRule="auto"/>
        <w:rPr>
          <w:szCs w:val="24"/>
        </w:rPr>
      </w:pPr>
    </w:p>
    <w:p w:rsidRPr="005A1DDE" w:rsidR="00DB768F" w:rsidP="00DB768F" w:rsidRDefault="00DB768F" w14:paraId="0FF20361" w14:textId="70348AD7">
      <w:pPr>
        <w:spacing w:after="0" w:line="240" w:lineRule="auto"/>
      </w:pPr>
      <w:r w:rsidRPr="005A1DDE">
        <w:rPr>
          <w:rFonts w:cs="Times New Roman"/>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Pr>
          <w:rFonts w:cs="Times New Roman"/>
          <w:szCs w:val="24"/>
        </w:rPr>
        <w:t xml:space="preserve"> </w:t>
      </w:r>
      <w:r w:rsidR="0061576F">
        <w:rPr>
          <w:rFonts w:cs="Times New Roman"/>
          <w:szCs w:val="24"/>
        </w:rPr>
        <w:t>W</w:t>
      </w:r>
      <w:r w:rsidRPr="005A1DDE">
        <w:rPr>
          <w:rFonts w:cs="Times New Roman"/>
          <w:szCs w:val="24"/>
        </w:rPr>
        <w:t>e believe that doubling the hourly wage to estimate total cost is a reasonably accurate estimation method.</w:t>
      </w:r>
    </w:p>
    <w:p w:rsidRPr="005A1DDE" w:rsidR="00DB768F" w:rsidP="00DB768F" w:rsidRDefault="00DB768F" w14:paraId="52784C85" w14:textId="77777777">
      <w:pPr>
        <w:spacing w:after="0" w:line="240" w:lineRule="auto"/>
        <w:rPr>
          <w:szCs w:val="24"/>
        </w:rPr>
      </w:pPr>
    </w:p>
    <w:p w:rsidRPr="005A1DDE" w:rsidR="00DB768F" w:rsidP="00DB768F" w:rsidRDefault="00E6782C" w14:paraId="6C1C7191" w14:textId="7FEE3FEF">
      <w:pPr>
        <w:spacing w:after="0" w:line="240" w:lineRule="auto"/>
        <w:rPr>
          <w:i/>
        </w:rPr>
      </w:pPr>
      <w:r>
        <w:rPr>
          <w:i/>
        </w:rPr>
        <w:t xml:space="preserve">Collection of Information Requirements and Associated </w:t>
      </w:r>
      <w:r w:rsidRPr="005A1DDE" w:rsidR="00DB768F">
        <w:rPr>
          <w:i/>
        </w:rPr>
        <w:t>Burden Estimate</w:t>
      </w:r>
      <w:r w:rsidR="0061576F">
        <w:rPr>
          <w:i/>
        </w:rPr>
        <w:t>s</w:t>
      </w:r>
    </w:p>
    <w:p w:rsidR="00DB768F" w:rsidP="00DB768F" w:rsidRDefault="00DB768F" w14:paraId="1A3DAD0E" w14:textId="4963D3F4">
      <w:pPr>
        <w:spacing w:after="0" w:line="240" w:lineRule="auto"/>
      </w:pPr>
    </w:p>
    <w:p w:rsidRPr="005A1DDE" w:rsidR="00176304" w:rsidP="00176304" w:rsidRDefault="00176304" w14:paraId="68FDA157" w14:textId="77777777">
      <w:pPr>
        <w:spacing w:after="0" w:line="240" w:lineRule="auto"/>
      </w:pPr>
      <w:r w:rsidRPr="005A1DDE">
        <w:t xml:space="preserve">There is a potential universe of </w:t>
      </w:r>
      <w:r>
        <w:t xml:space="preserve">56 </w:t>
      </w:r>
      <w:r w:rsidRPr="005A1DDE">
        <w:t>respondents</w:t>
      </w:r>
      <w:r>
        <w:t xml:space="preserve"> (</w:t>
      </w:r>
      <w:r w:rsidRPr="005A1DDE">
        <w:rPr>
          <w:rFonts w:cs="Times New Roman"/>
          <w:szCs w:val="24"/>
        </w:rPr>
        <w:t>states</w:t>
      </w:r>
      <w:r>
        <w:rPr>
          <w:rFonts w:cs="Times New Roman"/>
          <w:szCs w:val="24"/>
        </w:rPr>
        <w:t>, D.C., and territories)</w:t>
      </w:r>
      <w:r>
        <w:t>.</w:t>
      </w:r>
    </w:p>
    <w:p w:rsidR="00176304" w:rsidP="00DB768F" w:rsidRDefault="00176304" w14:paraId="4A84F025" w14:textId="77777777">
      <w:pPr>
        <w:spacing w:after="0" w:line="240" w:lineRule="auto"/>
      </w:pPr>
    </w:p>
    <w:p w:rsidR="00963E2F" w:rsidP="00DB768F" w:rsidRDefault="00426DA0" w14:paraId="79E37AC6" w14:textId="3A676154">
      <w:pPr>
        <w:spacing w:after="0" w:line="240" w:lineRule="auto"/>
      </w:pPr>
      <w:r>
        <w:t>While s</w:t>
      </w:r>
      <w:r w:rsidRPr="00426DA0">
        <w:t>tates/territories</w:t>
      </w:r>
      <w:r>
        <w:t>/D</w:t>
      </w:r>
      <w:r w:rsidR="00BE3952">
        <w:t>.</w:t>
      </w:r>
      <w:r>
        <w:t>C</w:t>
      </w:r>
      <w:r w:rsidR="00BE3952">
        <w:t>.</w:t>
      </w:r>
      <w:r w:rsidRPr="00426DA0">
        <w:t xml:space="preserve"> </w:t>
      </w:r>
      <w:r>
        <w:t xml:space="preserve">(hereinafter, “states”) </w:t>
      </w:r>
      <w:r w:rsidRPr="00426DA0">
        <w:t>are not required to submit both</w:t>
      </w:r>
      <w:r>
        <w:t xml:space="preserve"> templates, they are required to </w:t>
      </w:r>
      <w:r w:rsidRPr="00426DA0">
        <w:t xml:space="preserve">submit </w:t>
      </w:r>
      <w:r w:rsidR="00963E2F">
        <w:t xml:space="preserve">the </w:t>
      </w:r>
      <w:r w:rsidRPr="00426DA0" w:rsidR="00963E2F">
        <w:t xml:space="preserve">categorically needy </w:t>
      </w:r>
      <w:r w:rsidR="00963E2F">
        <w:t>population template (</w:t>
      </w:r>
      <w:r w:rsidR="00A363CA">
        <w:t xml:space="preserve">Supplement to </w:t>
      </w:r>
      <w:r w:rsidRPr="00426DA0">
        <w:t>Attachment 3.1-A</w:t>
      </w:r>
      <w:r w:rsidR="00963E2F">
        <w:t>)</w:t>
      </w:r>
      <w:r w:rsidRPr="00426DA0">
        <w:t xml:space="preserve"> to cover services for the mandatory </w:t>
      </w:r>
      <w:r w:rsidRPr="00426DA0" w:rsidR="00963E2F">
        <w:t xml:space="preserve">categorically needy </w:t>
      </w:r>
      <w:r w:rsidRPr="00426DA0">
        <w:t xml:space="preserve">Medicaid population.  </w:t>
      </w:r>
      <w:r>
        <w:t>S</w:t>
      </w:r>
      <w:r w:rsidRPr="00426DA0">
        <w:t xml:space="preserve">tates </w:t>
      </w:r>
      <w:r w:rsidR="0043716F">
        <w:t xml:space="preserve">have the discretion to </w:t>
      </w:r>
      <w:r w:rsidRPr="00426DA0">
        <w:t>cover the optional medically needy population</w:t>
      </w:r>
      <w:r w:rsidR="0010260D">
        <w:t xml:space="preserve"> by submitting</w:t>
      </w:r>
      <w:r w:rsidR="00A363CA">
        <w:t xml:space="preserve"> Supplement to</w:t>
      </w:r>
      <w:r w:rsidR="00EB4FBB">
        <w:t xml:space="preserve"> </w:t>
      </w:r>
      <w:r w:rsidRPr="00426DA0" w:rsidR="0010260D">
        <w:t>Attachment 3.1-B</w:t>
      </w:r>
      <w:r w:rsidRPr="00426DA0">
        <w:t xml:space="preserve">. </w:t>
      </w:r>
      <w:r w:rsidR="0010260D">
        <w:t>W</w:t>
      </w:r>
      <w:r>
        <w:t xml:space="preserve">e anticipate that </w:t>
      </w:r>
      <w:r w:rsidRPr="00426DA0">
        <w:t xml:space="preserve">most </w:t>
      </w:r>
      <w:r>
        <w:t xml:space="preserve">if not </w:t>
      </w:r>
      <w:r w:rsidRPr="00426DA0">
        <w:t xml:space="preserve">all states will submit </w:t>
      </w:r>
      <w:r w:rsidRPr="00426DA0" w:rsidR="002A6BCA">
        <w:t>the categorically needy population</w:t>
      </w:r>
      <w:r w:rsidR="0010260D">
        <w:t xml:space="preserve"> template (</w:t>
      </w:r>
      <w:r w:rsidR="00A363CA">
        <w:t xml:space="preserve">Supplement to </w:t>
      </w:r>
      <w:r w:rsidRPr="00426DA0" w:rsidR="0010260D">
        <w:t>Attachment 3.1-A</w:t>
      </w:r>
      <w:r w:rsidR="0010260D">
        <w:t>)</w:t>
      </w:r>
      <w:r w:rsidRPr="00426DA0">
        <w:t>.</w:t>
      </w:r>
      <w:r w:rsidR="00F715AD">
        <w:t xml:space="preserve"> </w:t>
      </w:r>
      <w:r w:rsidRPr="005A1DDE" w:rsidR="00DB768F">
        <w:rPr>
          <w:rFonts w:cs="Times New Roman"/>
          <w:szCs w:val="24"/>
        </w:rPr>
        <w:t xml:space="preserve">CMS expects that it will take </w:t>
      </w:r>
      <w:r w:rsidR="008E55E5">
        <w:rPr>
          <w:rFonts w:cs="Times New Roman"/>
          <w:szCs w:val="24"/>
        </w:rPr>
        <w:t xml:space="preserve">approximately </w:t>
      </w:r>
      <w:r w:rsidR="00DB768F">
        <w:rPr>
          <w:rFonts w:cs="Times New Roman"/>
          <w:szCs w:val="24"/>
        </w:rPr>
        <w:t>80</w:t>
      </w:r>
      <w:r w:rsidRPr="005A1DDE" w:rsidR="00DB768F">
        <w:rPr>
          <w:rFonts w:cs="Times New Roman"/>
          <w:szCs w:val="24"/>
        </w:rPr>
        <w:t xml:space="preserve"> hours at $</w:t>
      </w:r>
      <w:r w:rsidR="00DB768F">
        <w:rPr>
          <w:rFonts w:cs="Times New Roman"/>
          <w:szCs w:val="24"/>
        </w:rPr>
        <w:t>7</w:t>
      </w:r>
      <w:r w:rsidR="004D6241">
        <w:rPr>
          <w:rFonts w:cs="Times New Roman"/>
          <w:szCs w:val="24"/>
        </w:rPr>
        <w:t>2</w:t>
      </w:r>
      <w:r w:rsidR="00DB768F">
        <w:rPr>
          <w:rFonts w:cs="Times New Roman"/>
          <w:szCs w:val="24"/>
        </w:rPr>
        <w:t>.</w:t>
      </w:r>
      <w:r w:rsidR="004D6241">
        <w:rPr>
          <w:rFonts w:cs="Times New Roman"/>
          <w:szCs w:val="24"/>
        </w:rPr>
        <w:t>62</w:t>
      </w:r>
      <w:r w:rsidRPr="005A1DDE" w:rsidR="00DB768F">
        <w:rPr>
          <w:rFonts w:cs="Times New Roman"/>
          <w:szCs w:val="24"/>
        </w:rPr>
        <w:t xml:space="preserve">/hr for a </w:t>
      </w:r>
      <w:r w:rsidR="002A6BCA">
        <w:rPr>
          <w:rFonts w:cs="Times New Roman"/>
          <w:szCs w:val="24"/>
        </w:rPr>
        <w:t>b</w:t>
      </w:r>
      <w:r w:rsidR="00DB768F">
        <w:rPr>
          <w:rFonts w:cs="Times New Roman"/>
          <w:szCs w:val="24"/>
        </w:rPr>
        <w:t xml:space="preserve">usiness </w:t>
      </w:r>
      <w:r w:rsidR="002A6BCA">
        <w:rPr>
          <w:rFonts w:cs="Times New Roman"/>
          <w:szCs w:val="24"/>
        </w:rPr>
        <w:t>o</w:t>
      </w:r>
      <w:r w:rsidR="00DB768F">
        <w:rPr>
          <w:rFonts w:cs="Times New Roman"/>
          <w:szCs w:val="24"/>
        </w:rPr>
        <w:t xml:space="preserve">perations </w:t>
      </w:r>
      <w:r w:rsidR="002A6BCA">
        <w:rPr>
          <w:rFonts w:cs="Times New Roman"/>
          <w:szCs w:val="24"/>
        </w:rPr>
        <w:t>s</w:t>
      </w:r>
      <w:r w:rsidR="00DB768F">
        <w:rPr>
          <w:rFonts w:cs="Times New Roman"/>
          <w:szCs w:val="24"/>
        </w:rPr>
        <w:t>pecialist</w:t>
      </w:r>
      <w:r w:rsidRPr="005A1DDE" w:rsidR="00DB768F">
        <w:rPr>
          <w:rFonts w:cs="Times New Roman"/>
          <w:szCs w:val="24"/>
        </w:rPr>
        <w:t xml:space="preserve"> to </w:t>
      </w:r>
      <w:r w:rsidRPr="005A1DDE" w:rsidR="00DB768F">
        <w:t xml:space="preserve">complete and submit </w:t>
      </w:r>
      <w:r w:rsidR="005B20BE">
        <w:t xml:space="preserve">Supplement to </w:t>
      </w:r>
      <w:r w:rsidRPr="00426DA0" w:rsidR="00963E2F">
        <w:t>Attachment 3.1-A</w:t>
      </w:r>
      <w:r w:rsidR="00843AE8">
        <w:t xml:space="preserve"> </w:t>
      </w:r>
      <w:r w:rsidRPr="005A1DDE" w:rsidR="00DB768F">
        <w:t xml:space="preserve">to CMS. </w:t>
      </w:r>
      <w:r w:rsidR="00CA693E">
        <w:t xml:space="preserve"> </w:t>
      </w:r>
    </w:p>
    <w:p w:rsidR="00963E2F" w:rsidP="00DB768F" w:rsidRDefault="00963E2F" w14:paraId="7959F502" w14:textId="77777777">
      <w:pPr>
        <w:spacing w:after="0" w:line="240" w:lineRule="auto"/>
      </w:pPr>
    </w:p>
    <w:p w:rsidR="00963E2F" w:rsidP="00963E2F" w:rsidRDefault="00963E2F" w14:paraId="05764F16" w14:textId="1D6E71C5">
      <w:pPr>
        <w:spacing w:after="0" w:line="240" w:lineRule="auto"/>
      </w:pPr>
      <w:r>
        <w:t xml:space="preserve">For the </w:t>
      </w:r>
      <w:r w:rsidRPr="00426DA0">
        <w:t>medically needy population</w:t>
      </w:r>
      <w:r>
        <w:t xml:space="preserve"> (</w:t>
      </w:r>
      <w:r w:rsidR="005B20BE">
        <w:t xml:space="preserve">Supplement to </w:t>
      </w:r>
      <w:r w:rsidRPr="00426DA0">
        <w:t>Attachment 3.1-B</w:t>
      </w:r>
      <w:r>
        <w:t xml:space="preserve">) we anticipate </w:t>
      </w:r>
      <w:r w:rsidR="00BE3952">
        <w:t xml:space="preserve">minimal </w:t>
      </w:r>
      <w:r>
        <w:t xml:space="preserve">state burden since </w:t>
      </w:r>
      <w:r w:rsidR="005E4E04">
        <w:t xml:space="preserve">states </w:t>
      </w:r>
      <w:r>
        <w:t xml:space="preserve">can copy and paste their responses from their </w:t>
      </w:r>
      <w:r w:rsidR="006721CE">
        <w:t xml:space="preserve">Supplement to </w:t>
      </w:r>
      <w:r w:rsidRPr="00426DA0">
        <w:t>Attachment 3.1-A</w:t>
      </w:r>
      <w:r w:rsidRPr="002A6BCA">
        <w:t xml:space="preserve"> </w:t>
      </w:r>
      <w:r>
        <w:t>submission</w:t>
      </w:r>
      <w:r w:rsidR="00BE3952">
        <w:t xml:space="preserve"> into their </w:t>
      </w:r>
      <w:r w:rsidRPr="00426DA0" w:rsidR="00BE3952">
        <w:t>Attachment 3.1-B</w:t>
      </w:r>
      <w:r w:rsidR="00BE3952">
        <w:t xml:space="preserve"> submission</w:t>
      </w:r>
      <w:r>
        <w:t>.</w:t>
      </w:r>
      <w:r w:rsidR="00BC5851">
        <w:t xml:space="preserve"> In that regard </w:t>
      </w:r>
      <w:r w:rsidR="00853203">
        <w:t>we estimate it would take 30 minutes (0.5 hr)</w:t>
      </w:r>
      <w:r w:rsidRPr="00853203" w:rsidR="00853203">
        <w:rPr>
          <w:rFonts w:cs="Times New Roman"/>
          <w:szCs w:val="24"/>
        </w:rPr>
        <w:t xml:space="preserve"> </w:t>
      </w:r>
      <w:r w:rsidRPr="005A1DDE" w:rsidR="00853203">
        <w:rPr>
          <w:rFonts w:cs="Times New Roman"/>
          <w:szCs w:val="24"/>
        </w:rPr>
        <w:t>at $</w:t>
      </w:r>
      <w:r w:rsidR="00853203">
        <w:rPr>
          <w:rFonts w:cs="Times New Roman"/>
          <w:szCs w:val="24"/>
        </w:rPr>
        <w:t>72.62</w:t>
      </w:r>
      <w:r w:rsidRPr="005A1DDE" w:rsidR="00853203">
        <w:rPr>
          <w:rFonts w:cs="Times New Roman"/>
          <w:szCs w:val="24"/>
        </w:rPr>
        <w:t xml:space="preserve">/hr for a </w:t>
      </w:r>
      <w:r w:rsidR="00853203">
        <w:rPr>
          <w:rFonts w:cs="Times New Roman"/>
          <w:szCs w:val="24"/>
        </w:rPr>
        <w:t>business operations specialist</w:t>
      </w:r>
      <w:r w:rsidRPr="005A1DDE" w:rsidR="00853203">
        <w:rPr>
          <w:rFonts w:cs="Times New Roman"/>
          <w:szCs w:val="24"/>
        </w:rPr>
        <w:t xml:space="preserve"> to </w:t>
      </w:r>
      <w:r w:rsidRPr="005A1DDE" w:rsidR="00853203">
        <w:t>co</w:t>
      </w:r>
      <w:r w:rsidR="00853203">
        <w:t>py/paste</w:t>
      </w:r>
      <w:r w:rsidR="003C20D7">
        <w:t xml:space="preserve">, review, and submit </w:t>
      </w:r>
      <w:r w:rsidR="005B20BE">
        <w:t xml:space="preserve">Supplement to </w:t>
      </w:r>
      <w:r w:rsidR="003C20D7">
        <w:t>Attachment 3.1-B</w:t>
      </w:r>
      <w:r w:rsidR="00853203">
        <w:t xml:space="preserve"> </w:t>
      </w:r>
      <w:r w:rsidRPr="005A1DDE" w:rsidR="00853203">
        <w:t>to CMS.</w:t>
      </w:r>
    </w:p>
    <w:p w:rsidR="00D13FDB" w:rsidP="00963E2F" w:rsidRDefault="00D13FDB" w14:paraId="0199D913" w14:textId="0629594A">
      <w:pPr>
        <w:spacing w:after="0" w:line="240" w:lineRule="auto"/>
      </w:pPr>
    </w:p>
    <w:p w:rsidR="00D13FDB" w:rsidP="00963E2F" w:rsidRDefault="00D13FDB" w14:paraId="7B5325E0" w14:textId="69EC8241">
      <w:pPr>
        <w:spacing w:after="0" w:line="240" w:lineRule="auto"/>
      </w:pPr>
      <w:r>
        <w:t xml:space="preserve">While we estimate 56 respondents for </w:t>
      </w:r>
      <w:r w:rsidR="005B20BE">
        <w:t xml:space="preserve">Supplement to </w:t>
      </w:r>
      <w:r w:rsidRPr="00426DA0">
        <w:t>Attachment 3.1-A</w:t>
      </w:r>
      <w:r>
        <w:t xml:space="preserve">, we have no means of reliably estimating the number of respondents that will be submitting </w:t>
      </w:r>
      <w:r w:rsidR="005B20BE">
        <w:t xml:space="preserve">Supplement to </w:t>
      </w:r>
      <w:r w:rsidRPr="00426DA0">
        <w:t>Attachment 3.1-</w:t>
      </w:r>
      <w:r>
        <w:t xml:space="preserve">B. </w:t>
      </w:r>
      <w:r w:rsidR="005C32F9">
        <w:t>To help ensure that we are in compliance with the PRA</w:t>
      </w:r>
      <w:r w:rsidR="00871551">
        <w:t>,</w:t>
      </w:r>
      <w:r w:rsidR="005C32F9">
        <w:t xml:space="preserve"> </w:t>
      </w:r>
      <w:r>
        <w:t xml:space="preserve">we are proposing a burden of 10 respondents </w:t>
      </w:r>
      <w:r w:rsidR="005C32F9">
        <w:t xml:space="preserve">which we believe reasonably </w:t>
      </w:r>
      <w:r>
        <w:t>overestimat</w:t>
      </w:r>
      <w:r w:rsidR="005C32F9">
        <w:t>es the actual figure.</w:t>
      </w:r>
    </w:p>
    <w:p w:rsidR="00DB768F" w:rsidP="00DB768F" w:rsidRDefault="00DB768F" w14:paraId="5C51648C" w14:textId="627AFAF8">
      <w:pPr>
        <w:spacing w:after="0" w:line="240" w:lineRule="auto"/>
      </w:pPr>
    </w:p>
    <w:p w:rsidRPr="00963E2F" w:rsidR="00963E2F" w:rsidP="00DB768F" w:rsidRDefault="00963E2F" w14:paraId="22FAEC0A" w14:textId="431DA6CC">
      <w:pPr>
        <w:spacing w:after="0" w:line="240" w:lineRule="auto"/>
        <w:rPr>
          <w:i/>
        </w:rPr>
      </w:pPr>
      <w:r w:rsidRPr="00963E2F">
        <w:rPr>
          <w:i/>
        </w:rPr>
        <w:t>Burden Summary</w:t>
      </w:r>
    </w:p>
    <w:p w:rsidRPr="005A1DDE" w:rsidR="00963E2F" w:rsidP="00DB768F" w:rsidRDefault="00963E2F" w14:paraId="582CFE45" w14:textId="77777777">
      <w:pPr>
        <w:spacing w:after="0" w:line="240" w:lineRule="auto"/>
      </w:pPr>
    </w:p>
    <w:p w:rsidR="003B35AB" w:rsidP="00DB768F" w:rsidRDefault="00A5432B" w14:paraId="2FC15DDE" w14:textId="14F7B02B">
      <w:pPr>
        <w:spacing w:after="0" w:line="240" w:lineRule="auto"/>
      </w:pPr>
      <w:r>
        <w:t>The</w:t>
      </w:r>
      <w:r w:rsidRPr="005A1DDE" w:rsidR="00DB768F">
        <w:t xml:space="preserve"> total </w:t>
      </w:r>
      <w:r w:rsidR="0061576F">
        <w:t xml:space="preserve">burden </w:t>
      </w:r>
      <w:r w:rsidRPr="005A1DDE" w:rsidR="00DB768F">
        <w:t xml:space="preserve">for this </w:t>
      </w:r>
      <w:r w:rsidR="0061576F">
        <w:t xml:space="preserve">effort </w:t>
      </w:r>
      <w:r w:rsidR="003B35AB">
        <w:t>follows:</w:t>
      </w:r>
    </w:p>
    <w:p w:rsidR="003B35AB" w:rsidP="00DB768F" w:rsidRDefault="003B35AB" w14:paraId="75512948" w14:textId="77777777">
      <w:pPr>
        <w:spacing w:after="0" w:line="240" w:lineRule="auto"/>
      </w:pPr>
    </w:p>
    <w:tbl>
      <w:tblPr>
        <w:tblW w:w="95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1530"/>
        <w:gridCol w:w="1350"/>
        <w:gridCol w:w="1260"/>
        <w:gridCol w:w="1080"/>
        <w:gridCol w:w="1350"/>
        <w:gridCol w:w="1391"/>
      </w:tblGrid>
      <w:tr w:rsidRPr="00B53E3E" w:rsidR="00433964" w:rsidTr="007D3F00" w14:paraId="0F10C2AB" w14:textId="77777777">
        <w:trPr>
          <w:trHeight w:val="800"/>
          <w:tblHeader/>
        </w:trPr>
        <w:tc>
          <w:tcPr>
            <w:tcW w:w="1620" w:type="dxa"/>
            <w:shd w:val="clear" w:color="auto" w:fill="auto"/>
          </w:tcPr>
          <w:p w:rsidRPr="00B53E3E" w:rsidR="00433964" w:rsidP="007D3F00" w:rsidRDefault="00433964" w14:paraId="6BA260F2" w14:textId="12BCE787">
            <w:pPr>
              <w:jc w:val="center"/>
              <w:rPr>
                <w:b/>
                <w:sz w:val="20"/>
                <w:szCs w:val="20"/>
              </w:rPr>
            </w:pPr>
            <w:r>
              <w:rPr>
                <w:b/>
                <w:sz w:val="20"/>
                <w:szCs w:val="20"/>
              </w:rPr>
              <w:lastRenderedPageBreak/>
              <w:t>Template</w:t>
            </w:r>
          </w:p>
        </w:tc>
        <w:tc>
          <w:tcPr>
            <w:tcW w:w="1530" w:type="dxa"/>
            <w:shd w:val="clear" w:color="auto" w:fill="auto"/>
          </w:tcPr>
          <w:p w:rsidRPr="00B53E3E" w:rsidR="00433964" w:rsidP="007D3F00" w:rsidRDefault="00433964" w14:paraId="4F6E06F8" w14:textId="77777777">
            <w:pPr>
              <w:jc w:val="center"/>
              <w:rPr>
                <w:b/>
                <w:sz w:val="20"/>
                <w:szCs w:val="20"/>
              </w:rPr>
            </w:pPr>
            <w:r w:rsidRPr="00B53E3E">
              <w:rPr>
                <w:b/>
                <w:sz w:val="20"/>
                <w:szCs w:val="20"/>
              </w:rPr>
              <w:t>Respondents</w:t>
            </w:r>
          </w:p>
        </w:tc>
        <w:tc>
          <w:tcPr>
            <w:tcW w:w="1350" w:type="dxa"/>
            <w:shd w:val="clear" w:color="auto" w:fill="auto"/>
          </w:tcPr>
          <w:p w:rsidRPr="00B53E3E" w:rsidR="00433964" w:rsidP="007D3F00" w:rsidRDefault="00433964" w14:paraId="4B0E3707" w14:textId="77777777">
            <w:pPr>
              <w:jc w:val="center"/>
              <w:rPr>
                <w:b/>
                <w:sz w:val="20"/>
                <w:szCs w:val="20"/>
              </w:rPr>
            </w:pPr>
            <w:r w:rsidRPr="00B53E3E">
              <w:rPr>
                <w:b/>
                <w:sz w:val="20"/>
                <w:szCs w:val="20"/>
              </w:rPr>
              <w:t>Total Responses</w:t>
            </w:r>
          </w:p>
        </w:tc>
        <w:tc>
          <w:tcPr>
            <w:tcW w:w="1260" w:type="dxa"/>
            <w:shd w:val="clear" w:color="auto" w:fill="auto"/>
          </w:tcPr>
          <w:p w:rsidRPr="00B53E3E" w:rsidR="00433964" w:rsidP="001B7368" w:rsidRDefault="001B7368" w14:paraId="7B61E6B3" w14:textId="0F1ECB10">
            <w:pPr>
              <w:jc w:val="center"/>
              <w:rPr>
                <w:b/>
                <w:sz w:val="20"/>
                <w:szCs w:val="20"/>
              </w:rPr>
            </w:pPr>
            <w:r>
              <w:rPr>
                <w:b/>
                <w:sz w:val="20"/>
                <w:szCs w:val="20"/>
              </w:rPr>
              <w:t xml:space="preserve">Time </w:t>
            </w:r>
            <w:r w:rsidRPr="00B53E3E" w:rsidR="00433964">
              <w:rPr>
                <w:b/>
                <w:sz w:val="20"/>
                <w:szCs w:val="20"/>
              </w:rPr>
              <w:t>per Response (hours)</w:t>
            </w:r>
          </w:p>
        </w:tc>
        <w:tc>
          <w:tcPr>
            <w:tcW w:w="1080" w:type="dxa"/>
          </w:tcPr>
          <w:p w:rsidRPr="00B53E3E" w:rsidR="00433964" w:rsidP="007D3F00" w:rsidRDefault="00433964" w14:paraId="75DC5517" w14:textId="77777777">
            <w:pPr>
              <w:jc w:val="center"/>
              <w:rPr>
                <w:b/>
                <w:sz w:val="20"/>
                <w:szCs w:val="20"/>
              </w:rPr>
            </w:pPr>
            <w:r w:rsidRPr="00B53E3E">
              <w:rPr>
                <w:b/>
                <w:sz w:val="20"/>
                <w:szCs w:val="20"/>
              </w:rPr>
              <w:t xml:space="preserve">Total </w:t>
            </w:r>
            <w:r>
              <w:rPr>
                <w:b/>
                <w:sz w:val="20"/>
                <w:szCs w:val="20"/>
              </w:rPr>
              <w:t>Time</w:t>
            </w:r>
            <w:r w:rsidRPr="00B53E3E">
              <w:rPr>
                <w:b/>
                <w:sz w:val="20"/>
                <w:szCs w:val="20"/>
              </w:rPr>
              <w:t xml:space="preserve"> (hours)</w:t>
            </w:r>
          </w:p>
        </w:tc>
        <w:tc>
          <w:tcPr>
            <w:tcW w:w="1350" w:type="dxa"/>
          </w:tcPr>
          <w:p w:rsidRPr="001B7368" w:rsidR="00433964" w:rsidP="007D3F00" w:rsidRDefault="00433964" w14:paraId="20B93B22" w14:textId="77777777">
            <w:pPr>
              <w:jc w:val="center"/>
              <w:rPr>
                <w:b/>
                <w:sz w:val="20"/>
                <w:szCs w:val="20"/>
              </w:rPr>
            </w:pPr>
            <w:r w:rsidRPr="001B7368">
              <w:rPr>
                <w:b/>
                <w:sz w:val="20"/>
                <w:szCs w:val="20"/>
              </w:rPr>
              <w:t>Labor Cost ($/hr)</w:t>
            </w:r>
          </w:p>
        </w:tc>
        <w:tc>
          <w:tcPr>
            <w:tcW w:w="1391" w:type="dxa"/>
            <w:shd w:val="clear" w:color="auto" w:fill="auto"/>
          </w:tcPr>
          <w:p w:rsidRPr="00B53E3E" w:rsidR="00433964" w:rsidP="007D3F00" w:rsidRDefault="00433964" w14:paraId="7D1E50DA" w14:textId="628A9722">
            <w:pPr>
              <w:jc w:val="center"/>
              <w:rPr>
                <w:b/>
                <w:sz w:val="20"/>
                <w:szCs w:val="20"/>
              </w:rPr>
            </w:pPr>
            <w:r w:rsidRPr="00B53E3E">
              <w:rPr>
                <w:b/>
                <w:sz w:val="20"/>
                <w:szCs w:val="20"/>
              </w:rPr>
              <w:t xml:space="preserve">Total </w:t>
            </w:r>
            <w:r w:rsidR="00244EEE">
              <w:rPr>
                <w:b/>
                <w:sz w:val="20"/>
                <w:szCs w:val="20"/>
              </w:rPr>
              <w:t xml:space="preserve">Labor </w:t>
            </w:r>
            <w:r w:rsidRPr="00B53E3E">
              <w:rPr>
                <w:b/>
                <w:sz w:val="20"/>
                <w:szCs w:val="20"/>
              </w:rPr>
              <w:t>Cost ($)</w:t>
            </w:r>
          </w:p>
        </w:tc>
      </w:tr>
      <w:tr w:rsidRPr="00433964" w:rsidR="00433964" w:rsidTr="007D3F00" w14:paraId="4157C1F6" w14:textId="77777777">
        <w:trPr>
          <w:trHeight w:val="800"/>
          <w:tblHeader/>
        </w:trPr>
        <w:tc>
          <w:tcPr>
            <w:tcW w:w="1620" w:type="dxa"/>
            <w:shd w:val="clear" w:color="auto" w:fill="auto"/>
          </w:tcPr>
          <w:p w:rsidRPr="00433964" w:rsidR="00433964" w:rsidP="00433964" w:rsidRDefault="00433964" w14:paraId="1108DD2F" w14:textId="34953F5B">
            <w:pPr>
              <w:rPr>
                <w:sz w:val="20"/>
                <w:szCs w:val="20"/>
              </w:rPr>
            </w:pPr>
            <w:r w:rsidRPr="00433964">
              <w:rPr>
                <w:sz w:val="20"/>
                <w:szCs w:val="20"/>
              </w:rPr>
              <w:t xml:space="preserve">Attachment 3.1-A </w:t>
            </w:r>
            <w:r>
              <w:rPr>
                <w:sz w:val="20"/>
                <w:szCs w:val="20"/>
              </w:rPr>
              <w:t>(C</w:t>
            </w:r>
            <w:r w:rsidRPr="00433964">
              <w:rPr>
                <w:sz w:val="20"/>
                <w:szCs w:val="20"/>
              </w:rPr>
              <w:t xml:space="preserve">ategorically </w:t>
            </w:r>
            <w:r>
              <w:rPr>
                <w:sz w:val="20"/>
                <w:szCs w:val="20"/>
              </w:rPr>
              <w:t>N</w:t>
            </w:r>
            <w:r w:rsidRPr="00433964">
              <w:rPr>
                <w:sz w:val="20"/>
                <w:szCs w:val="20"/>
              </w:rPr>
              <w:t xml:space="preserve">eedy </w:t>
            </w:r>
            <w:r>
              <w:rPr>
                <w:sz w:val="20"/>
                <w:szCs w:val="20"/>
              </w:rPr>
              <w:t>P</w:t>
            </w:r>
            <w:r w:rsidRPr="00433964">
              <w:rPr>
                <w:sz w:val="20"/>
                <w:szCs w:val="20"/>
              </w:rPr>
              <w:t>opulation</w:t>
            </w:r>
            <w:r>
              <w:rPr>
                <w:sz w:val="20"/>
                <w:szCs w:val="20"/>
              </w:rPr>
              <w:t>)</w:t>
            </w:r>
          </w:p>
        </w:tc>
        <w:tc>
          <w:tcPr>
            <w:tcW w:w="1530" w:type="dxa"/>
            <w:shd w:val="clear" w:color="auto" w:fill="auto"/>
          </w:tcPr>
          <w:p w:rsidRPr="00433964" w:rsidR="00433964" w:rsidP="00D70772" w:rsidRDefault="00D70772" w14:paraId="1C1A1D5B" w14:textId="1502C9C0">
            <w:pPr>
              <w:jc w:val="center"/>
              <w:rPr>
                <w:sz w:val="20"/>
                <w:szCs w:val="20"/>
              </w:rPr>
            </w:pPr>
            <w:r>
              <w:rPr>
                <w:sz w:val="20"/>
                <w:szCs w:val="20"/>
              </w:rPr>
              <w:t>5</w:t>
            </w:r>
            <w:r w:rsidRPr="00433964" w:rsidR="00433964">
              <w:rPr>
                <w:sz w:val="20"/>
                <w:szCs w:val="20"/>
              </w:rPr>
              <w:t>6</w:t>
            </w:r>
          </w:p>
        </w:tc>
        <w:tc>
          <w:tcPr>
            <w:tcW w:w="1350" w:type="dxa"/>
            <w:shd w:val="clear" w:color="auto" w:fill="auto"/>
          </w:tcPr>
          <w:p w:rsidRPr="00433964" w:rsidR="00433964" w:rsidP="007D3F00" w:rsidRDefault="00D70772" w14:paraId="30E4F843" w14:textId="32974A02">
            <w:pPr>
              <w:jc w:val="center"/>
              <w:rPr>
                <w:sz w:val="20"/>
                <w:szCs w:val="20"/>
              </w:rPr>
            </w:pPr>
            <w:r>
              <w:rPr>
                <w:sz w:val="20"/>
                <w:szCs w:val="20"/>
              </w:rPr>
              <w:t>56</w:t>
            </w:r>
          </w:p>
        </w:tc>
        <w:tc>
          <w:tcPr>
            <w:tcW w:w="1260" w:type="dxa"/>
            <w:shd w:val="clear" w:color="auto" w:fill="auto"/>
          </w:tcPr>
          <w:p w:rsidRPr="00433964" w:rsidR="00433964" w:rsidP="007D3F00" w:rsidRDefault="00D70772" w14:paraId="5B14F1C3" w14:textId="3A093E9A">
            <w:pPr>
              <w:jc w:val="center"/>
              <w:rPr>
                <w:sz w:val="20"/>
                <w:szCs w:val="20"/>
              </w:rPr>
            </w:pPr>
            <w:r>
              <w:rPr>
                <w:sz w:val="20"/>
                <w:szCs w:val="20"/>
              </w:rPr>
              <w:t>80</w:t>
            </w:r>
          </w:p>
        </w:tc>
        <w:tc>
          <w:tcPr>
            <w:tcW w:w="1080" w:type="dxa"/>
          </w:tcPr>
          <w:p w:rsidRPr="00433964" w:rsidR="00433964" w:rsidP="007D3F00" w:rsidRDefault="001B7368" w14:paraId="4D8BB45C" w14:textId="37990129">
            <w:pPr>
              <w:jc w:val="center"/>
              <w:rPr>
                <w:sz w:val="20"/>
                <w:szCs w:val="20"/>
              </w:rPr>
            </w:pPr>
            <w:r>
              <w:rPr>
                <w:sz w:val="20"/>
                <w:szCs w:val="20"/>
              </w:rPr>
              <w:t>4,480</w:t>
            </w:r>
          </w:p>
        </w:tc>
        <w:tc>
          <w:tcPr>
            <w:tcW w:w="1350" w:type="dxa"/>
          </w:tcPr>
          <w:p w:rsidRPr="001B7368" w:rsidR="00433964" w:rsidP="007D3F00" w:rsidRDefault="001B7368" w14:paraId="03930431" w14:textId="1C8E18D0">
            <w:pPr>
              <w:jc w:val="center"/>
              <w:rPr>
                <w:sz w:val="20"/>
                <w:szCs w:val="20"/>
              </w:rPr>
            </w:pPr>
            <w:r w:rsidRPr="001B7368">
              <w:rPr>
                <w:rFonts w:cs="Times New Roman"/>
                <w:sz w:val="20"/>
                <w:szCs w:val="20"/>
              </w:rPr>
              <w:t>72.62</w:t>
            </w:r>
          </w:p>
        </w:tc>
        <w:tc>
          <w:tcPr>
            <w:tcW w:w="1391" w:type="dxa"/>
            <w:shd w:val="clear" w:color="auto" w:fill="auto"/>
          </w:tcPr>
          <w:p w:rsidRPr="00433964" w:rsidR="00433964" w:rsidP="007D3F00" w:rsidRDefault="001B7368" w14:paraId="3A148C51" w14:textId="4DE0BD4D">
            <w:pPr>
              <w:jc w:val="center"/>
              <w:rPr>
                <w:sz w:val="20"/>
                <w:szCs w:val="20"/>
              </w:rPr>
            </w:pPr>
            <w:r w:rsidRPr="001B7368">
              <w:rPr>
                <w:sz w:val="20"/>
                <w:szCs w:val="20"/>
              </w:rPr>
              <w:t>325,338</w:t>
            </w:r>
          </w:p>
        </w:tc>
      </w:tr>
      <w:tr w:rsidRPr="00B53E3E" w:rsidR="00433964" w:rsidTr="007D3F00" w14:paraId="49982E87" w14:textId="77777777">
        <w:tc>
          <w:tcPr>
            <w:tcW w:w="1620" w:type="dxa"/>
            <w:shd w:val="clear" w:color="auto" w:fill="auto"/>
          </w:tcPr>
          <w:p w:rsidRPr="00197C80" w:rsidR="00433964" w:rsidP="00433964" w:rsidRDefault="00433964" w14:paraId="5EB8DF98" w14:textId="75565B58">
            <w:pPr>
              <w:rPr>
                <w:sz w:val="20"/>
                <w:szCs w:val="20"/>
              </w:rPr>
            </w:pPr>
            <w:r w:rsidRPr="00433964">
              <w:rPr>
                <w:sz w:val="20"/>
                <w:szCs w:val="20"/>
              </w:rPr>
              <w:t>Attachment 3.1-B</w:t>
            </w:r>
            <w:r>
              <w:rPr>
                <w:sz w:val="20"/>
                <w:szCs w:val="20"/>
              </w:rPr>
              <w:t xml:space="preserve"> (M</w:t>
            </w:r>
            <w:r w:rsidRPr="00433964">
              <w:rPr>
                <w:sz w:val="20"/>
                <w:szCs w:val="20"/>
              </w:rPr>
              <w:t xml:space="preserve">edically </w:t>
            </w:r>
            <w:r>
              <w:rPr>
                <w:sz w:val="20"/>
                <w:szCs w:val="20"/>
              </w:rPr>
              <w:t>N</w:t>
            </w:r>
            <w:r w:rsidRPr="00433964">
              <w:rPr>
                <w:sz w:val="20"/>
                <w:szCs w:val="20"/>
              </w:rPr>
              <w:t xml:space="preserve">eedy </w:t>
            </w:r>
            <w:r>
              <w:rPr>
                <w:sz w:val="20"/>
                <w:szCs w:val="20"/>
              </w:rPr>
              <w:t>P</w:t>
            </w:r>
            <w:r w:rsidRPr="00433964">
              <w:rPr>
                <w:sz w:val="20"/>
                <w:szCs w:val="20"/>
              </w:rPr>
              <w:t>opulation</w:t>
            </w:r>
            <w:r>
              <w:rPr>
                <w:sz w:val="20"/>
                <w:szCs w:val="20"/>
              </w:rPr>
              <w:t>)</w:t>
            </w:r>
          </w:p>
        </w:tc>
        <w:tc>
          <w:tcPr>
            <w:tcW w:w="1530" w:type="dxa"/>
            <w:shd w:val="clear" w:color="auto" w:fill="auto"/>
          </w:tcPr>
          <w:p w:rsidRPr="00197C80" w:rsidR="00433964" w:rsidP="007D3F00" w:rsidRDefault="00D70772" w14:paraId="7566B344" w14:textId="27F5EE9F">
            <w:pPr>
              <w:jc w:val="center"/>
              <w:rPr>
                <w:sz w:val="20"/>
                <w:szCs w:val="20"/>
              </w:rPr>
            </w:pPr>
            <w:r>
              <w:rPr>
                <w:sz w:val="20"/>
                <w:szCs w:val="20"/>
              </w:rPr>
              <w:t>5</w:t>
            </w:r>
            <w:r w:rsidRPr="00197C80" w:rsidR="00433964">
              <w:rPr>
                <w:sz w:val="20"/>
                <w:szCs w:val="20"/>
              </w:rPr>
              <w:t>6</w:t>
            </w:r>
          </w:p>
        </w:tc>
        <w:tc>
          <w:tcPr>
            <w:tcW w:w="1350" w:type="dxa"/>
            <w:shd w:val="clear" w:color="auto" w:fill="auto"/>
          </w:tcPr>
          <w:p w:rsidRPr="00197C80" w:rsidR="00433964" w:rsidP="007D3F00" w:rsidRDefault="00ED1851" w14:paraId="7FF82ADD" w14:textId="005D4872">
            <w:pPr>
              <w:jc w:val="center"/>
              <w:rPr>
                <w:sz w:val="20"/>
                <w:szCs w:val="20"/>
              </w:rPr>
            </w:pPr>
            <w:r>
              <w:rPr>
                <w:sz w:val="20"/>
                <w:szCs w:val="20"/>
              </w:rPr>
              <w:t>10</w:t>
            </w:r>
          </w:p>
        </w:tc>
        <w:tc>
          <w:tcPr>
            <w:tcW w:w="1260" w:type="dxa"/>
            <w:shd w:val="clear" w:color="auto" w:fill="auto"/>
          </w:tcPr>
          <w:p w:rsidRPr="00197C80" w:rsidR="00433964" w:rsidP="00ED1851" w:rsidRDefault="00ED1851" w14:paraId="6E916787" w14:textId="15B0E6DA">
            <w:pPr>
              <w:jc w:val="center"/>
              <w:rPr>
                <w:sz w:val="20"/>
                <w:szCs w:val="20"/>
              </w:rPr>
            </w:pPr>
            <w:r>
              <w:rPr>
                <w:sz w:val="20"/>
                <w:szCs w:val="20"/>
              </w:rPr>
              <w:t>0.5</w:t>
            </w:r>
          </w:p>
        </w:tc>
        <w:tc>
          <w:tcPr>
            <w:tcW w:w="1080" w:type="dxa"/>
          </w:tcPr>
          <w:p w:rsidRPr="00197C80" w:rsidR="00433964" w:rsidP="00ED1851" w:rsidRDefault="00ED1851" w14:paraId="5B3DA100" w14:textId="3E94FDD5">
            <w:pPr>
              <w:jc w:val="center"/>
              <w:rPr>
                <w:sz w:val="20"/>
                <w:szCs w:val="20"/>
              </w:rPr>
            </w:pPr>
            <w:r>
              <w:rPr>
                <w:sz w:val="20"/>
                <w:szCs w:val="20"/>
              </w:rPr>
              <w:t>5</w:t>
            </w:r>
          </w:p>
        </w:tc>
        <w:tc>
          <w:tcPr>
            <w:tcW w:w="1350" w:type="dxa"/>
          </w:tcPr>
          <w:p w:rsidRPr="001B7368" w:rsidR="00433964" w:rsidP="00ED1851" w:rsidRDefault="00ED1851" w14:paraId="665659AF" w14:textId="74DAA4E8">
            <w:pPr>
              <w:jc w:val="center"/>
              <w:rPr>
                <w:sz w:val="20"/>
                <w:szCs w:val="20"/>
              </w:rPr>
            </w:pPr>
            <w:r w:rsidRPr="001B7368">
              <w:rPr>
                <w:rFonts w:cs="Times New Roman"/>
                <w:sz w:val="20"/>
                <w:szCs w:val="20"/>
              </w:rPr>
              <w:t>72.62</w:t>
            </w:r>
          </w:p>
        </w:tc>
        <w:tc>
          <w:tcPr>
            <w:tcW w:w="1391" w:type="dxa"/>
            <w:shd w:val="clear" w:color="auto" w:fill="auto"/>
          </w:tcPr>
          <w:p w:rsidRPr="00B53E3E" w:rsidR="00433964" w:rsidP="00ED1851" w:rsidRDefault="00ED1851" w14:paraId="19BB82DE" w14:textId="02F5441B">
            <w:pPr>
              <w:jc w:val="center"/>
              <w:rPr>
                <w:sz w:val="20"/>
                <w:szCs w:val="20"/>
              </w:rPr>
            </w:pPr>
            <w:r>
              <w:rPr>
                <w:sz w:val="20"/>
                <w:szCs w:val="20"/>
              </w:rPr>
              <w:t>363</w:t>
            </w:r>
          </w:p>
        </w:tc>
      </w:tr>
      <w:tr w:rsidRPr="00B53E3E" w:rsidR="00433964" w:rsidTr="007D3F00" w14:paraId="2528773D" w14:textId="77777777">
        <w:tc>
          <w:tcPr>
            <w:tcW w:w="1620" w:type="dxa"/>
            <w:shd w:val="clear" w:color="auto" w:fill="auto"/>
          </w:tcPr>
          <w:p w:rsidRPr="00B53E3E" w:rsidR="00433964" w:rsidP="007D3F00" w:rsidRDefault="00433964" w14:paraId="6E3DCD81" w14:textId="40949893">
            <w:pPr>
              <w:rPr>
                <w:sz w:val="20"/>
                <w:szCs w:val="20"/>
              </w:rPr>
            </w:pPr>
            <w:r>
              <w:rPr>
                <w:sz w:val="20"/>
                <w:szCs w:val="20"/>
              </w:rPr>
              <w:t>TOTAL</w:t>
            </w:r>
          </w:p>
        </w:tc>
        <w:tc>
          <w:tcPr>
            <w:tcW w:w="1530" w:type="dxa"/>
            <w:shd w:val="clear" w:color="auto" w:fill="auto"/>
          </w:tcPr>
          <w:p w:rsidRPr="00B53E3E" w:rsidR="00433964" w:rsidP="00D70772" w:rsidRDefault="00D70772" w14:paraId="5401AD3F" w14:textId="67DC4BB1">
            <w:pPr>
              <w:jc w:val="center"/>
              <w:rPr>
                <w:sz w:val="20"/>
                <w:szCs w:val="20"/>
              </w:rPr>
            </w:pPr>
            <w:r>
              <w:rPr>
                <w:sz w:val="20"/>
                <w:szCs w:val="20"/>
              </w:rPr>
              <w:t>5</w:t>
            </w:r>
            <w:r w:rsidRPr="00B53E3E" w:rsidR="00433964">
              <w:rPr>
                <w:sz w:val="20"/>
                <w:szCs w:val="20"/>
              </w:rPr>
              <w:t>6</w:t>
            </w:r>
          </w:p>
        </w:tc>
        <w:tc>
          <w:tcPr>
            <w:tcW w:w="1350" w:type="dxa"/>
            <w:shd w:val="clear" w:color="auto" w:fill="auto"/>
          </w:tcPr>
          <w:p w:rsidRPr="00B53E3E" w:rsidR="00433964" w:rsidP="00ED1851" w:rsidRDefault="00ED1851" w14:paraId="5F602C91" w14:textId="164281F9">
            <w:pPr>
              <w:jc w:val="center"/>
              <w:rPr>
                <w:sz w:val="20"/>
                <w:szCs w:val="20"/>
              </w:rPr>
            </w:pPr>
            <w:r>
              <w:rPr>
                <w:sz w:val="20"/>
                <w:szCs w:val="20"/>
              </w:rPr>
              <w:t>66</w:t>
            </w:r>
          </w:p>
        </w:tc>
        <w:tc>
          <w:tcPr>
            <w:tcW w:w="1260" w:type="dxa"/>
            <w:shd w:val="clear" w:color="auto" w:fill="auto"/>
          </w:tcPr>
          <w:p w:rsidRPr="00B53E3E" w:rsidR="00433964" w:rsidP="00ED1851" w:rsidRDefault="00ED1851" w14:paraId="079A98FC" w14:textId="3D7E1FC4">
            <w:pPr>
              <w:jc w:val="center"/>
              <w:rPr>
                <w:sz w:val="20"/>
                <w:szCs w:val="20"/>
              </w:rPr>
            </w:pPr>
            <w:r>
              <w:rPr>
                <w:sz w:val="20"/>
                <w:szCs w:val="20"/>
              </w:rPr>
              <w:t>Varies</w:t>
            </w:r>
          </w:p>
        </w:tc>
        <w:tc>
          <w:tcPr>
            <w:tcW w:w="1080" w:type="dxa"/>
          </w:tcPr>
          <w:p w:rsidRPr="00B53E3E" w:rsidR="00433964" w:rsidP="00ED1851" w:rsidRDefault="00161692" w14:paraId="50EBBB03" w14:textId="2A956411">
            <w:pPr>
              <w:jc w:val="center"/>
              <w:rPr>
                <w:sz w:val="20"/>
                <w:szCs w:val="20"/>
              </w:rPr>
            </w:pPr>
            <w:r>
              <w:rPr>
                <w:sz w:val="20"/>
                <w:szCs w:val="20"/>
              </w:rPr>
              <w:t>4,48</w:t>
            </w:r>
            <w:r w:rsidR="00ED1851">
              <w:rPr>
                <w:sz w:val="20"/>
                <w:szCs w:val="20"/>
              </w:rPr>
              <w:t>5</w:t>
            </w:r>
          </w:p>
        </w:tc>
        <w:tc>
          <w:tcPr>
            <w:tcW w:w="1350" w:type="dxa"/>
          </w:tcPr>
          <w:p w:rsidRPr="001B7368" w:rsidR="00433964" w:rsidP="007D3F00" w:rsidRDefault="001B7368" w14:paraId="7E723628" w14:textId="08825F06">
            <w:pPr>
              <w:jc w:val="center"/>
              <w:rPr>
                <w:sz w:val="20"/>
                <w:szCs w:val="20"/>
              </w:rPr>
            </w:pPr>
            <w:r w:rsidRPr="001B7368">
              <w:rPr>
                <w:rFonts w:cs="Times New Roman"/>
                <w:sz w:val="20"/>
                <w:szCs w:val="20"/>
              </w:rPr>
              <w:t>72.62</w:t>
            </w:r>
          </w:p>
        </w:tc>
        <w:tc>
          <w:tcPr>
            <w:tcW w:w="1391" w:type="dxa"/>
            <w:shd w:val="clear" w:color="auto" w:fill="auto"/>
          </w:tcPr>
          <w:p w:rsidRPr="00B53E3E" w:rsidR="00433964" w:rsidP="00ED1851" w:rsidRDefault="00161692" w14:paraId="7E949516" w14:textId="402CAD0D">
            <w:pPr>
              <w:jc w:val="center"/>
              <w:rPr>
                <w:sz w:val="20"/>
                <w:szCs w:val="20"/>
              </w:rPr>
            </w:pPr>
            <w:r w:rsidRPr="001B7368">
              <w:rPr>
                <w:sz w:val="20"/>
                <w:szCs w:val="20"/>
              </w:rPr>
              <w:t>325,</w:t>
            </w:r>
            <w:r w:rsidR="00ED1851">
              <w:rPr>
                <w:sz w:val="20"/>
                <w:szCs w:val="20"/>
              </w:rPr>
              <w:t>701</w:t>
            </w:r>
          </w:p>
        </w:tc>
      </w:tr>
    </w:tbl>
    <w:p w:rsidR="003B35AB" w:rsidP="00DB768F" w:rsidRDefault="003B35AB" w14:paraId="158EBE14" w14:textId="77777777">
      <w:pPr>
        <w:spacing w:after="0" w:line="240" w:lineRule="auto"/>
      </w:pPr>
    </w:p>
    <w:p w:rsidRPr="0061576F" w:rsidR="0061576F" w:rsidP="00DB768F" w:rsidRDefault="0061576F" w14:paraId="05282C37" w14:textId="1B3B5E79">
      <w:pPr>
        <w:spacing w:after="0" w:line="240" w:lineRule="auto"/>
        <w:rPr>
          <w:rFonts w:cs="Times New Roman"/>
          <w:i/>
          <w:szCs w:val="24"/>
        </w:rPr>
      </w:pPr>
      <w:r w:rsidRPr="0061576F">
        <w:rPr>
          <w:rFonts w:cs="Times New Roman"/>
          <w:i/>
          <w:szCs w:val="24"/>
        </w:rPr>
        <w:t>Collection of Information Instruments and Associated Instruction/Guidance Documents</w:t>
      </w:r>
      <w:r w:rsidR="00971A75">
        <w:rPr>
          <w:rStyle w:val="FootnoteReference"/>
          <w:rFonts w:cs="Times New Roman"/>
          <w:i/>
          <w:szCs w:val="24"/>
        </w:rPr>
        <w:footnoteReference w:id="2"/>
      </w:r>
    </w:p>
    <w:p w:rsidR="0061576F" w:rsidP="00DB768F" w:rsidRDefault="0061576F" w14:paraId="14DD0652" w14:textId="7E482711">
      <w:pPr>
        <w:spacing w:after="0" w:line="240" w:lineRule="auto"/>
        <w:rPr>
          <w:rFonts w:cs="Times New Roman"/>
          <w:szCs w:val="24"/>
        </w:rPr>
      </w:pPr>
    </w:p>
    <w:p w:rsidRPr="00A363CA" w:rsidR="009B4A18" w:rsidP="0061576F" w:rsidRDefault="0061576F" w14:paraId="30965B39" w14:textId="2D25F7CE">
      <w:pPr>
        <w:pStyle w:val="ListParagraph"/>
        <w:numPr>
          <w:ilvl w:val="0"/>
          <w:numId w:val="8"/>
        </w:numPr>
        <w:spacing w:after="0" w:line="240" w:lineRule="auto"/>
        <w:rPr>
          <w:rFonts w:ascii="Times New Roman" w:hAnsi="Times New Roman"/>
          <w:sz w:val="24"/>
          <w:szCs w:val="24"/>
        </w:rPr>
      </w:pPr>
      <w:r w:rsidRPr="00F715AD">
        <w:rPr>
          <w:rFonts w:ascii="Times New Roman" w:hAnsi="Times New Roman"/>
          <w:sz w:val="24"/>
          <w:szCs w:val="24"/>
        </w:rPr>
        <w:t xml:space="preserve">SPA Coverage Template for Limitations </w:t>
      </w:r>
      <w:r w:rsidRPr="00F715AD" w:rsidR="00B43E72">
        <w:rPr>
          <w:rFonts w:ascii="Times New Roman" w:hAnsi="Times New Roman"/>
          <w:sz w:val="24"/>
          <w:szCs w:val="24"/>
        </w:rPr>
        <w:t xml:space="preserve">(Supplement </w:t>
      </w:r>
      <w:r w:rsidRPr="00F715AD">
        <w:rPr>
          <w:rFonts w:ascii="Times New Roman" w:hAnsi="Times New Roman"/>
          <w:sz w:val="24"/>
          <w:szCs w:val="24"/>
        </w:rPr>
        <w:t>to Attachment 3.1-A</w:t>
      </w:r>
      <w:r w:rsidRPr="006672CC" w:rsidR="009B4A18">
        <w:rPr>
          <w:rFonts w:ascii="Times New Roman" w:hAnsi="Times New Roman"/>
          <w:sz w:val="24"/>
          <w:szCs w:val="24"/>
        </w:rPr>
        <w:t>)</w:t>
      </w:r>
    </w:p>
    <w:p w:rsidRPr="009B4A18" w:rsidR="009B4A18" w:rsidP="009B4A18" w:rsidRDefault="009B4A18" w14:paraId="2A99D7EE" w14:textId="77777777">
      <w:pPr>
        <w:spacing w:after="0" w:line="240" w:lineRule="auto"/>
        <w:ind w:left="360"/>
        <w:rPr>
          <w:szCs w:val="24"/>
        </w:rPr>
      </w:pPr>
    </w:p>
    <w:p w:rsidRPr="009B4A18" w:rsidR="009B4A18" w:rsidP="009B4A18" w:rsidRDefault="009B4A18" w14:paraId="1CC43671" w14:textId="33BDE20F">
      <w:pPr>
        <w:spacing w:after="0" w:line="240" w:lineRule="auto"/>
        <w:ind w:left="360"/>
        <w:rPr>
          <w:szCs w:val="24"/>
        </w:rPr>
      </w:pPr>
      <w:r w:rsidRPr="009B4A18">
        <w:rPr>
          <w:szCs w:val="24"/>
        </w:rPr>
        <w:t>Identifies the medical and remedial services provided to the categorically needy.</w:t>
      </w:r>
    </w:p>
    <w:p w:rsidRPr="009B4A18" w:rsidR="009B4A18" w:rsidP="009B4A18" w:rsidRDefault="009B4A18" w14:paraId="1B389A8A" w14:textId="77777777">
      <w:pPr>
        <w:spacing w:after="0" w:line="240" w:lineRule="auto"/>
        <w:ind w:left="360"/>
        <w:rPr>
          <w:szCs w:val="24"/>
        </w:rPr>
      </w:pPr>
    </w:p>
    <w:p w:rsidRPr="009B4A18" w:rsidR="009B4A18" w:rsidP="006D39F0" w:rsidRDefault="009B4A18" w14:paraId="5843121D" w14:textId="528B2595">
      <w:pPr>
        <w:pStyle w:val="ListParagraph"/>
        <w:numPr>
          <w:ilvl w:val="0"/>
          <w:numId w:val="8"/>
        </w:numPr>
        <w:spacing w:after="0" w:line="240" w:lineRule="auto"/>
        <w:rPr>
          <w:rFonts w:ascii="Times New Roman" w:hAnsi="Times New Roman"/>
          <w:sz w:val="24"/>
          <w:szCs w:val="24"/>
        </w:rPr>
      </w:pPr>
      <w:r w:rsidRPr="009B4A18">
        <w:rPr>
          <w:rFonts w:ascii="Times New Roman" w:hAnsi="Times New Roman"/>
          <w:sz w:val="24"/>
        </w:rPr>
        <w:t xml:space="preserve">SPA Coverage Template for Limitations </w:t>
      </w:r>
      <w:r w:rsidR="00B43E72">
        <w:t xml:space="preserve"> (Supplement </w:t>
      </w:r>
      <w:r w:rsidRPr="009B4A18">
        <w:rPr>
          <w:rFonts w:ascii="Times New Roman" w:hAnsi="Times New Roman"/>
          <w:sz w:val="24"/>
        </w:rPr>
        <w:t xml:space="preserve">to Attachment </w:t>
      </w:r>
      <w:r w:rsidRPr="009B4A18" w:rsidR="0061576F">
        <w:rPr>
          <w:rFonts w:ascii="Times New Roman" w:hAnsi="Times New Roman"/>
          <w:sz w:val="24"/>
        </w:rPr>
        <w:t>3.1-B)</w:t>
      </w:r>
    </w:p>
    <w:p w:rsidR="009B4A18" w:rsidP="009B4A18" w:rsidRDefault="009B4A18" w14:paraId="20B9D7B0" w14:textId="77777777">
      <w:pPr>
        <w:spacing w:after="0" w:line="240" w:lineRule="auto"/>
      </w:pPr>
    </w:p>
    <w:p w:rsidRPr="009B4A18" w:rsidR="0061576F" w:rsidP="009B4A18" w:rsidRDefault="009B4A18" w14:paraId="6F1227F9" w14:textId="6FE8BB48">
      <w:pPr>
        <w:spacing w:after="0" w:line="240" w:lineRule="auto"/>
        <w:ind w:firstLine="360"/>
        <w:rPr>
          <w:szCs w:val="24"/>
        </w:rPr>
      </w:pPr>
      <w:r>
        <w:rPr>
          <w:szCs w:val="24"/>
        </w:rPr>
        <w:t>I</w:t>
      </w:r>
      <w:r w:rsidRPr="009B4A18">
        <w:rPr>
          <w:szCs w:val="24"/>
        </w:rPr>
        <w:t>dentifies the medical and remedial services provided to the medically needy.</w:t>
      </w:r>
    </w:p>
    <w:p w:rsidRPr="005A1DDE" w:rsidR="0061576F" w:rsidP="00DB768F" w:rsidRDefault="0061576F" w14:paraId="4FC36850" w14:textId="77777777">
      <w:pPr>
        <w:spacing w:after="0" w:line="240" w:lineRule="auto"/>
        <w:rPr>
          <w:rFonts w:cs="Times New Roman"/>
          <w:szCs w:val="24"/>
        </w:rPr>
      </w:pPr>
    </w:p>
    <w:p w:rsidRPr="008111D2" w:rsidR="007D6E75" w:rsidP="009F49B4" w:rsidRDefault="007D6E75" w14:paraId="6A17A1FB" w14:textId="5B2E4745">
      <w:pPr>
        <w:pStyle w:val="Heading1"/>
      </w:pPr>
      <w:r w:rsidRPr="008111D2">
        <w:t>E. Timeline</w:t>
      </w:r>
    </w:p>
    <w:p w:rsidR="0061576F" w:rsidP="008111D2" w:rsidRDefault="0061576F" w14:paraId="795B0634" w14:textId="77777777">
      <w:pPr>
        <w:spacing w:after="0" w:line="240" w:lineRule="auto"/>
        <w:rPr>
          <w:szCs w:val="24"/>
        </w:rPr>
      </w:pPr>
    </w:p>
    <w:p w:rsidR="008111D2" w:rsidP="008111D2" w:rsidRDefault="000C30E2" w14:paraId="5B908CA5" w14:textId="2892E541">
      <w:pPr>
        <w:spacing w:after="0" w:line="240" w:lineRule="auto"/>
      </w:pPr>
      <w:r w:rsidRPr="008E4C34">
        <w:t xml:space="preserve">CMS is requesting expedited approval to make </w:t>
      </w:r>
      <w:r w:rsidR="00FC40B4">
        <w:t xml:space="preserve">the SPA templates </w:t>
      </w:r>
      <w:r w:rsidRPr="008E4C34">
        <w:t>available to states as early as possible so that states can begin the process of preparing their submission which entails supplying requested data and/or data sources as</w:t>
      </w:r>
      <w:r w:rsidR="006721CE">
        <w:t xml:space="preserve"> outlined in the instructions. </w:t>
      </w:r>
      <w:r w:rsidRPr="008E4C34">
        <w:t>Th</w:t>
      </w:r>
      <w:r w:rsidR="00FC40B4">
        <w:t>e</w:t>
      </w:r>
      <w:r w:rsidRPr="008E4C34">
        <w:t xml:space="preserve"> SPA template</w:t>
      </w:r>
      <w:r w:rsidR="00FC40B4">
        <w:t>s</w:t>
      </w:r>
      <w:r w:rsidRPr="008E4C34">
        <w:t xml:space="preserve"> must be approved by CMS before expenditures can be claimed at the</w:t>
      </w:r>
      <w:r>
        <w:t xml:space="preserve"> regular</w:t>
      </w:r>
      <w:r w:rsidRPr="008E4C34">
        <w:t xml:space="preserve"> </w:t>
      </w:r>
      <w:r w:rsidRPr="00E15962">
        <w:t>FMAP rates beginning October 1, 2020</w:t>
      </w:r>
      <w:r w:rsidR="00FC40B4">
        <w:t>,</w:t>
      </w:r>
      <w:r w:rsidRPr="00E15962">
        <w:t xml:space="preserve"> for the mandatory state plan benefit of MAT. </w:t>
      </w:r>
    </w:p>
    <w:p w:rsidRPr="008111D2" w:rsidR="000C30E2" w:rsidP="008111D2" w:rsidRDefault="000C30E2" w14:paraId="77735EB5" w14:textId="3D6CBDF8">
      <w:pPr>
        <w:spacing w:after="0" w:line="240" w:lineRule="auto"/>
        <w:rPr>
          <w:szCs w:val="24"/>
        </w:rPr>
      </w:pPr>
    </w:p>
    <w:sectPr w:rsidRPr="008111D2" w:rsidR="000C30E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B4AF" w14:textId="77777777" w:rsidR="00294D83" w:rsidRDefault="00294D83" w:rsidP="008111D2">
      <w:pPr>
        <w:spacing w:after="0" w:line="240" w:lineRule="auto"/>
      </w:pPr>
      <w:r>
        <w:separator/>
      </w:r>
    </w:p>
  </w:endnote>
  <w:endnote w:type="continuationSeparator" w:id="0">
    <w:p w14:paraId="0CFC453C" w14:textId="77777777" w:rsidR="00294D83" w:rsidRDefault="00294D83" w:rsidP="008111D2">
      <w:pPr>
        <w:spacing w:after="0" w:line="240" w:lineRule="auto"/>
      </w:pPr>
      <w:r>
        <w:continuationSeparator/>
      </w:r>
    </w:p>
  </w:endnote>
  <w:endnote w:type="continuationNotice" w:id="1">
    <w:p w14:paraId="5AA60D3D" w14:textId="77777777" w:rsidR="00294D83" w:rsidRDefault="00294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785629"/>
      <w:docPartObj>
        <w:docPartGallery w:val="Page Numbers (Bottom of Page)"/>
        <w:docPartUnique/>
      </w:docPartObj>
    </w:sdtPr>
    <w:sdtEndPr>
      <w:rPr>
        <w:noProof/>
      </w:rPr>
    </w:sdtEndPr>
    <w:sdtContent>
      <w:p w14:paraId="74F9710E" w14:textId="57BD61FA" w:rsidR="007E5CE2" w:rsidRDefault="007E5CE2" w:rsidP="007E5CE2">
        <w:pPr>
          <w:pStyle w:val="Footer"/>
          <w:jc w:val="center"/>
        </w:pPr>
        <w:r>
          <w:fldChar w:fldCharType="begin"/>
        </w:r>
        <w:r>
          <w:instrText xml:space="preserve"> PAGE   \* MERGEFORMAT </w:instrText>
        </w:r>
        <w:r>
          <w:fldChar w:fldCharType="separate"/>
        </w:r>
        <w:r w:rsidR="005841C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F10A1" w14:textId="77777777" w:rsidR="00294D83" w:rsidRDefault="00294D83" w:rsidP="008111D2">
      <w:pPr>
        <w:spacing w:after="0" w:line="240" w:lineRule="auto"/>
      </w:pPr>
      <w:r>
        <w:separator/>
      </w:r>
    </w:p>
  </w:footnote>
  <w:footnote w:type="continuationSeparator" w:id="0">
    <w:p w14:paraId="78F59C9B" w14:textId="77777777" w:rsidR="00294D83" w:rsidRDefault="00294D83" w:rsidP="008111D2">
      <w:pPr>
        <w:spacing w:after="0" w:line="240" w:lineRule="auto"/>
      </w:pPr>
      <w:r>
        <w:continuationSeparator/>
      </w:r>
    </w:p>
  </w:footnote>
  <w:footnote w:type="continuationNotice" w:id="1">
    <w:p w14:paraId="10BEE894" w14:textId="77777777" w:rsidR="00294D83" w:rsidRDefault="00294D83">
      <w:pPr>
        <w:spacing w:after="0" w:line="240" w:lineRule="auto"/>
      </w:pPr>
    </w:p>
  </w:footnote>
  <w:footnote w:id="2">
    <w:p w14:paraId="4FA4107D" w14:textId="3FA7EBFD" w:rsidR="00971A75" w:rsidRPr="00F715AD" w:rsidRDefault="00971A75">
      <w:pPr>
        <w:pStyle w:val="FootnoteText"/>
        <w:rPr>
          <w:rFonts w:ascii="Times New Roman" w:hAnsi="Times New Roman" w:cs="Times New Roman"/>
        </w:rPr>
      </w:pPr>
      <w:r>
        <w:rPr>
          <w:rStyle w:val="FootnoteReference"/>
        </w:rPr>
        <w:footnoteRef/>
      </w:r>
      <w:r w:rsidR="00101248" w:rsidRPr="00101248">
        <w:t xml:space="preserve"> </w:t>
      </w:r>
      <w:r w:rsidR="00101248" w:rsidRPr="00F715AD">
        <w:rPr>
          <w:rFonts w:ascii="Times New Roman" w:hAnsi="Times New Roman" w:cs="Times New Roman"/>
        </w:rPr>
        <w:t>Both templates supplement our state plan collection of information request (Attachment 3.1 A) that is currently approved by OMB under control number 0938-0193 (CMS-179). In this October 2020 iteration, we are submitting both templates under this generic collection of information request (CMS-10398, OMB 0938-1148) since: (1) the templates fit under the parameters of the generic umbrella, (2) the templates are not controversial, (3) we do not anticipate negative public comment, and (4) when ready, both supplements will be removed from this 0938-1148 control number and added to the 0938-0193 control number via the standard PRA process. The purpose is to address the need for expedited approval of the supplemental data fields for the new mandatory Medicaid state plan benefit for MAT. Because of the timeframe and nature of the opioid crisis, we believe it is outside of the public’s interest to follow the standard PRA process for this initial approval.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B5B"/>
    <w:multiLevelType w:val="hybridMultilevel"/>
    <w:tmpl w:val="7E3C6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35758"/>
    <w:multiLevelType w:val="hybridMultilevel"/>
    <w:tmpl w:val="0CF0CBBC"/>
    <w:lvl w:ilvl="0" w:tplc="12E8AFD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DF0052"/>
    <w:multiLevelType w:val="hybridMultilevel"/>
    <w:tmpl w:val="8A821A9C"/>
    <w:lvl w:ilvl="0" w:tplc="099CE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266977"/>
    <w:multiLevelType w:val="hybridMultilevel"/>
    <w:tmpl w:val="9168E7B8"/>
    <w:lvl w:ilvl="0" w:tplc="46E2BC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7"/>
  </w:num>
  <w:num w:numId="4">
    <w:abstractNumId w:val="10"/>
  </w:num>
  <w:num w:numId="5">
    <w:abstractNumId w:val="1"/>
  </w:num>
  <w:num w:numId="6">
    <w:abstractNumId w:val="2"/>
  </w:num>
  <w:num w:numId="7">
    <w:abstractNumId w:val="3"/>
  </w:num>
  <w:num w:numId="8">
    <w:abstractNumId w:val="8"/>
  </w:num>
  <w:num w:numId="9">
    <w:abstractNumId w:val="0"/>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13380"/>
    <w:rsid w:val="00025D65"/>
    <w:rsid w:val="00030C56"/>
    <w:rsid w:val="000324DF"/>
    <w:rsid w:val="00043D0E"/>
    <w:rsid w:val="00064DF0"/>
    <w:rsid w:val="000712B4"/>
    <w:rsid w:val="00087752"/>
    <w:rsid w:val="000A06F7"/>
    <w:rsid w:val="000C30E2"/>
    <w:rsid w:val="000D1CFD"/>
    <w:rsid w:val="000E1D86"/>
    <w:rsid w:val="000E42B0"/>
    <w:rsid w:val="000E55DA"/>
    <w:rsid w:val="00101081"/>
    <w:rsid w:val="00101248"/>
    <w:rsid w:val="0010260D"/>
    <w:rsid w:val="00122C0E"/>
    <w:rsid w:val="00126339"/>
    <w:rsid w:val="00135A64"/>
    <w:rsid w:val="00140CF3"/>
    <w:rsid w:val="001438EF"/>
    <w:rsid w:val="00161692"/>
    <w:rsid w:val="00165615"/>
    <w:rsid w:val="00174BD1"/>
    <w:rsid w:val="00175A39"/>
    <w:rsid w:val="00176304"/>
    <w:rsid w:val="00185CB4"/>
    <w:rsid w:val="001A1FC6"/>
    <w:rsid w:val="001B7368"/>
    <w:rsid w:val="001D197A"/>
    <w:rsid w:val="001E66B6"/>
    <w:rsid w:val="001F2628"/>
    <w:rsid w:val="001F4725"/>
    <w:rsid w:val="0020026D"/>
    <w:rsid w:val="00222B4F"/>
    <w:rsid w:val="00244EEE"/>
    <w:rsid w:val="00252D20"/>
    <w:rsid w:val="00262B47"/>
    <w:rsid w:val="00270765"/>
    <w:rsid w:val="0027114C"/>
    <w:rsid w:val="00294954"/>
    <w:rsid w:val="00294D83"/>
    <w:rsid w:val="002A6BCA"/>
    <w:rsid w:val="002B6C8A"/>
    <w:rsid w:val="002F7A97"/>
    <w:rsid w:val="00323D71"/>
    <w:rsid w:val="003248D0"/>
    <w:rsid w:val="00325F87"/>
    <w:rsid w:val="003627C8"/>
    <w:rsid w:val="003918B4"/>
    <w:rsid w:val="003A0F1E"/>
    <w:rsid w:val="003B0812"/>
    <w:rsid w:val="003B35AB"/>
    <w:rsid w:val="003C20D7"/>
    <w:rsid w:val="003D299A"/>
    <w:rsid w:val="003D3622"/>
    <w:rsid w:val="003F4D04"/>
    <w:rsid w:val="00405CF9"/>
    <w:rsid w:val="004102A3"/>
    <w:rsid w:val="00410519"/>
    <w:rsid w:val="00426DA0"/>
    <w:rsid w:val="00432C17"/>
    <w:rsid w:val="004336DF"/>
    <w:rsid w:val="00433964"/>
    <w:rsid w:val="0043716F"/>
    <w:rsid w:val="0045287C"/>
    <w:rsid w:val="00467E98"/>
    <w:rsid w:val="00474257"/>
    <w:rsid w:val="00475EF8"/>
    <w:rsid w:val="00483058"/>
    <w:rsid w:val="004922B2"/>
    <w:rsid w:val="004A0A30"/>
    <w:rsid w:val="004B13E8"/>
    <w:rsid w:val="004D6241"/>
    <w:rsid w:val="0052333E"/>
    <w:rsid w:val="00535ACB"/>
    <w:rsid w:val="005841C8"/>
    <w:rsid w:val="00594FB8"/>
    <w:rsid w:val="005B20BE"/>
    <w:rsid w:val="005B6A37"/>
    <w:rsid w:val="005C32F9"/>
    <w:rsid w:val="005D001F"/>
    <w:rsid w:val="005D6DD6"/>
    <w:rsid w:val="005E3B79"/>
    <w:rsid w:val="005E4E04"/>
    <w:rsid w:val="005E52BE"/>
    <w:rsid w:val="00602095"/>
    <w:rsid w:val="006026DA"/>
    <w:rsid w:val="0061576F"/>
    <w:rsid w:val="00615AFC"/>
    <w:rsid w:val="00625F07"/>
    <w:rsid w:val="00626CA2"/>
    <w:rsid w:val="00647812"/>
    <w:rsid w:val="006575A0"/>
    <w:rsid w:val="006672CC"/>
    <w:rsid w:val="006721CE"/>
    <w:rsid w:val="00683421"/>
    <w:rsid w:val="00684310"/>
    <w:rsid w:val="00685368"/>
    <w:rsid w:val="006A054B"/>
    <w:rsid w:val="006A7155"/>
    <w:rsid w:val="006A73A0"/>
    <w:rsid w:val="006C0B96"/>
    <w:rsid w:val="006C4626"/>
    <w:rsid w:val="006D0D04"/>
    <w:rsid w:val="006D3269"/>
    <w:rsid w:val="006F4FF9"/>
    <w:rsid w:val="00707666"/>
    <w:rsid w:val="00707E6F"/>
    <w:rsid w:val="0071650B"/>
    <w:rsid w:val="00723A9E"/>
    <w:rsid w:val="0075097C"/>
    <w:rsid w:val="00773E80"/>
    <w:rsid w:val="007816CA"/>
    <w:rsid w:val="00790878"/>
    <w:rsid w:val="007D0E1B"/>
    <w:rsid w:val="007D6E75"/>
    <w:rsid w:val="007E4626"/>
    <w:rsid w:val="007E5CE2"/>
    <w:rsid w:val="007F1947"/>
    <w:rsid w:val="00802598"/>
    <w:rsid w:val="0080513B"/>
    <w:rsid w:val="008111D2"/>
    <w:rsid w:val="00827E9B"/>
    <w:rsid w:val="00836E8F"/>
    <w:rsid w:val="00843AE8"/>
    <w:rsid w:val="00853203"/>
    <w:rsid w:val="00871551"/>
    <w:rsid w:val="00873459"/>
    <w:rsid w:val="0088756F"/>
    <w:rsid w:val="008A5E8B"/>
    <w:rsid w:val="008B15FC"/>
    <w:rsid w:val="008C11BC"/>
    <w:rsid w:val="008D52D1"/>
    <w:rsid w:val="008E4C34"/>
    <w:rsid w:val="008E55E5"/>
    <w:rsid w:val="008F2AED"/>
    <w:rsid w:val="00900066"/>
    <w:rsid w:val="009004E1"/>
    <w:rsid w:val="009420F4"/>
    <w:rsid w:val="00963E2F"/>
    <w:rsid w:val="009676F0"/>
    <w:rsid w:val="00971A75"/>
    <w:rsid w:val="009903AB"/>
    <w:rsid w:val="009B19E8"/>
    <w:rsid w:val="009B4A18"/>
    <w:rsid w:val="009C2F36"/>
    <w:rsid w:val="009E3FAC"/>
    <w:rsid w:val="009E5B3A"/>
    <w:rsid w:val="009F49B4"/>
    <w:rsid w:val="00A032F8"/>
    <w:rsid w:val="00A138F7"/>
    <w:rsid w:val="00A363CA"/>
    <w:rsid w:val="00A36692"/>
    <w:rsid w:val="00A5432B"/>
    <w:rsid w:val="00A566AD"/>
    <w:rsid w:val="00A718B4"/>
    <w:rsid w:val="00A77E8E"/>
    <w:rsid w:val="00A8078F"/>
    <w:rsid w:val="00A8379D"/>
    <w:rsid w:val="00AA37EC"/>
    <w:rsid w:val="00AB01BC"/>
    <w:rsid w:val="00AB0D64"/>
    <w:rsid w:val="00AE1BD8"/>
    <w:rsid w:val="00AE3E80"/>
    <w:rsid w:val="00B43BBD"/>
    <w:rsid w:val="00B43E72"/>
    <w:rsid w:val="00B532F3"/>
    <w:rsid w:val="00B621ED"/>
    <w:rsid w:val="00B7565E"/>
    <w:rsid w:val="00B81805"/>
    <w:rsid w:val="00B87957"/>
    <w:rsid w:val="00BA3F3D"/>
    <w:rsid w:val="00BC5851"/>
    <w:rsid w:val="00BD32FA"/>
    <w:rsid w:val="00BE3952"/>
    <w:rsid w:val="00BF31E3"/>
    <w:rsid w:val="00C2142E"/>
    <w:rsid w:val="00C52C24"/>
    <w:rsid w:val="00C542FA"/>
    <w:rsid w:val="00C6709E"/>
    <w:rsid w:val="00C67775"/>
    <w:rsid w:val="00C71D8E"/>
    <w:rsid w:val="00C84891"/>
    <w:rsid w:val="00C90760"/>
    <w:rsid w:val="00C94C5E"/>
    <w:rsid w:val="00CA693E"/>
    <w:rsid w:val="00CA756E"/>
    <w:rsid w:val="00CB241F"/>
    <w:rsid w:val="00CB646D"/>
    <w:rsid w:val="00CD73B7"/>
    <w:rsid w:val="00CF401E"/>
    <w:rsid w:val="00CF6C1D"/>
    <w:rsid w:val="00D13FDB"/>
    <w:rsid w:val="00D1639B"/>
    <w:rsid w:val="00D166D1"/>
    <w:rsid w:val="00D215B4"/>
    <w:rsid w:val="00D46C38"/>
    <w:rsid w:val="00D64195"/>
    <w:rsid w:val="00D70772"/>
    <w:rsid w:val="00D979DE"/>
    <w:rsid w:val="00DA6C91"/>
    <w:rsid w:val="00DB768F"/>
    <w:rsid w:val="00DD794C"/>
    <w:rsid w:val="00DE28E3"/>
    <w:rsid w:val="00DF098E"/>
    <w:rsid w:val="00E15962"/>
    <w:rsid w:val="00E6782C"/>
    <w:rsid w:val="00E93F3F"/>
    <w:rsid w:val="00E96C6F"/>
    <w:rsid w:val="00EA4AB1"/>
    <w:rsid w:val="00EA7358"/>
    <w:rsid w:val="00EB1115"/>
    <w:rsid w:val="00EB4FBB"/>
    <w:rsid w:val="00ED1851"/>
    <w:rsid w:val="00EE1AD1"/>
    <w:rsid w:val="00F04F6D"/>
    <w:rsid w:val="00F163B6"/>
    <w:rsid w:val="00F2710B"/>
    <w:rsid w:val="00F303E4"/>
    <w:rsid w:val="00F54374"/>
    <w:rsid w:val="00F715AD"/>
    <w:rsid w:val="00F819D1"/>
    <w:rsid w:val="00FB3D21"/>
    <w:rsid w:val="00FC40B4"/>
    <w:rsid w:val="00FD379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D66E"/>
  <w15:docId w15:val="{5202496D-2531-43DA-A950-2ABE2068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9F49B4"/>
    <w:pPr>
      <w:keepNext/>
      <w:keepLines/>
      <w:spacing w:after="0" w:line="240" w:lineRule="auto"/>
      <w:outlineLvl w:val="0"/>
    </w:pPr>
    <w:rPr>
      <w:rFonts w:eastAsiaTheme="majorEastAsia" w:cs="Times New Roman"/>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9B4"/>
    <w:rPr>
      <w:rFonts w:ascii="Times New Roman" w:eastAsiaTheme="majorEastAsia" w:hAnsi="Times New Roman" w:cs="Times New Roman"/>
      <w:bCs/>
      <w:color w:val="000000" w:themeColor="text1"/>
      <w:sz w:val="24"/>
      <w:szCs w:val="24"/>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71D8E"/>
    <w:rPr>
      <w:sz w:val="16"/>
      <w:szCs w:val="16"/>
    </w:rPr>
  </w:style>
  <w:style w:type="paragraph" w:styleId="CommentText">
    <w:name w:val="annotation text"/>
    <w:basedOn w:val="Normal"/>
    <w:link w:val="CommentTextChar"/>
    <w:uiPriority w:val="99"/>
    <w:unhideWhenUsed/>
    <w:rsid w:val="00C71D8E"/>
    <w:pPr>
      <w:spacing w:line="240" w:lineRule="auto"/>
    </w:pPr>
    <w:rPr>
      <w:sz w:val="20"/>
      <w:szCs w:val="20"/>
    </w:rPr>
  </w:style>
  <w:style w:type="character" w:customStyle="1" w:styleId="CommentTextChar">
    <w:name w:val="Comment Text Char"/>
    <w:basedOn w:val="DefaultParagraphFont"/>
    <w:link w:val="CommentText"/>
    <w:uiPriority w:val="99"/>
    <w:rsid w:val="00C71D8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D8E"/>
    <w:rPr>
      <w:b/>
      <w:bCs/>
    </w:rPr>
  </w:style>
  <w:style w:type="character" w:customStyle="1" w:styleId="CommentSubjectChar">
    <w:name w:val="Comment Subject Char"/>
    <w:basedOn w:val="CommentTextChar"/>
    <w:link w:val="CommentSubject"/>
    <w:uiPriority w:val="99"/>
    <w:semiHidden/>
    <w:rsid w:val="00C71D8E"/>
    <w:rPr>
      <w:rFonts w:ascii="Times New Roman" w:hAnsi="Times New Roman"/>
      <w:b/>
      <w:bCs/>
      <w:sz w:val="20"/>
      <w:szCs w:val="20"/>
    </w:rPr>
  </w:style>
  <w:style w:type="character" w:styleId="Emphasis">
    <w:name w:val="Emphasis"/>
    <w:basedOn w:val="DefaultParagraphFont"/>
    <w:uiPriority w:val="20"/>
    <w:qFormat/>
    <w:rsid w:val="00F819D1"/>
    <w:rPr>
      <w:i/>
      <w:iCs/>
    </w:rPr>
  </w:style>
  <w:style w:type="paragraph" w:styleId="Revision">
    <w:name w:val="Revision"/>
    <w:hidden/>
    <w:uiPriority w:val="99"/>
    <w:semiHidden/>
    <w:rsid w:val="00140CF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5A6C5DD71E479DE780C8F95AE422" ma:contentTypeVersion="16" ma:contentTypeDescription="Create a new document." ma:contentTypeScope="" ma:versionID="d81e28bc6139d1c1aaafdf70d8620025">
  <xsd:schema xmlns:xsd="http://www.w3.org/2001/XMLSchema" xmlns:xs="http://www.w3.org/2001/XMLSchema" xmlns:p="http://schemas.microsoft.com/office/2006/metadata/properties" xmlns:ns2="144ea41b-304c-4c03-99c4-debb02094f92" targetNamespace="http://schemas.microsoft.com/office/2006/metadata/properties" ma:root="true" ma:fieldsID="698f1c3dcbf016f94fbc5e367451ae48" ns2:_="">
    <xsd:import namespace="144ea41b-304c-4c03-99c4-debb02094f9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A3CA-2A20-4CE9-85EF-A5DFBC93A775}">
  <ds:schemaRefs>
    <ds:schemaRef ds:uri="http://purl.org/dc/elements/1.1/"/>
    <ds:schemaRef ds:uri="http://schemas.microsoft.com/office/2006/metadata/properties"/>
    <ds:schemaRef ds:uri="144ea41b-304c-4c03-99c4-debb02094f9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AE1710A-C9D1-4CC9-8CD7-79D19D0C88E3}">
  <ds:schemaRefs>
    <ds:schemaRef ds:uri="http://schemas.microsoft.com/sharepoint/v3/contenttype/forms"/>
  </ds:schemaRefs>
</ds:datastoreItem>
</file>

<file path=customXml/itemProps3.xml><?xml version="1.0" encoding="utf-8"?>
<ds:datastoreItem xmlns:ds="http://schemas.openxmlformats.org/officeDocument/2006/customXml" ds:itemID="{0AF41C9B-ECD8-45FD-9941-8A912FAE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FFC05-54C1-4A2F-B5F9-74C1225FAE05}">
  <ds:schemaRefs>
    <ds:schemaRef ds:uri="Microsoft.SharePoint.Taxonomy.ContentTypeSync"/>
  </ds:schemaRefs>
</ds:datastoreItem>
</file>

<file path=customXml/itemProps5.xml><?xml version="1.0" encoding="utf-8"?>
<ds:datastoreItem xmlns:ds="http://schemas.openxmlformats.org/officeDocument/2006/customXml" ds:itemID="{564FE008-61BD-43F3-B8DE-DED32146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2</cp:revision>
  <cp:lastPrinted>2013-09-16T20:06:00Z</cp:lastPrinted>
  <dcterms:created xsi:type="dcterms:W3CDTF">2020-10-27T11:23:00Z</dcterms:created>
  <dcterms:modified xsi:type="dcterms:W3CDTF">2020-10-27T11:23:00Z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0x01010099415A6C5DD71E479DE780C8F95AE422</vt:lpwstr>
  </property>
</Properties>
</file>