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0B" w:rsidRDefault="00573B3F" w:rsidP="00573B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bookmarkStart w:id="0" w:name="_GoBack"/>
      <w:bookmarkEnd w:id="0"/>
      <w:r>
        <w:rPr>
          <w:b/>
          <w:bCs/>
          <w:u w:val="single"/>
        </w:rPr>
        <w:t>Citation</w:t>
      </w:r>
      <w:r>
        <w:rPr>
          <w:b/>
          <w:bCs/>
        </w:rPr>
        <w:t xml:space="preserve"> </w:t>
      </w:r>
    </w:p>
    <w:p w:rsidR="00573B3F" w:rsidRPr="00B20F0B" w:rsidRDefault="00B20F0B" w:rsidP="00573B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42 CFR 447, </w:t>
      </w:r>
      <w:r w:rsidRPr="00B20F0B">
        <w:rPr>
          <w:bCs/>
        </w:rPr>
        <w:t>4</w:t>
      </w:r>
      <w:r w:rsidR="00ED4CA9">
        <w:rPr>
          <w:bCs/>
        </w:rPr>
        <w:t xml:space="preserve">34, 438, </w:t>
      </w:r>
      <w:r w:rsidR="00923C3A">
        <w:rPr>
          <w:bCs/>
        </w:rPr>
        <w:t xml:space="preserve">and 1902(a)(4), 1902(a)(6), </w:t>
      </w:r>
      <w:r>
        <w:rPr>
          <w:bCs/>
        </w:rPr>
        <w:t>and 1903</w:t>
      </w:r>
    </w:p>
    <w:p w:rsidR="00573B3F" w:rsidRDefault="00573B3F" w:rsidP="00573B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4.19  </w:t>
      </w:r>
      <w:r>
        <w:rPr>
          <w:b/>
          <w:bCs/>
          <w:u w:val="single"/>
        </w:rPr>
        <w:t>Payment for Services</w:t>
      </w:r>
    </w:p>
    <w:p w:rsidR="00573B3F" w:rsidRDefault="00573B3F" w:rsidP="00B20F0B">
      <w:pPr>
        <w:pStyle w:val="NoSpacing"/>
      </w:pPr>
      <w:r>
        <w:t xml:space="preserve">The Medicaid agency meets the requirements of 42 CFR Part 447, Subpart </w:t>
      </w:r>
      <w:r w:rsidR="00B20F0B">
        <w:t>A</w:t>
      </w:r>
      <w:r>
        <w:t>,</w:t>
      </w:r>
      <w:r w:rsidR="00B20F0B">
        <w:t xml:space="preserve"> </w:t>
      </w:r>
      <w:r>
        <w:t>and sections 1902(a)(4),</w:t>
      </w:r>
    </w:p>
    <w:p w:rsidR="00733EFE" w:rsidRDefault="00573B3F" w:rsidP="0032132D">
      <w:pPr>
        <w:pStyle w:val="NoSpacing"/>
      </w:pPr>
      <w:r>
        <w:t>1902(a)(6), and 1903</w:t>
      </w:r>
      <w:r w:rsidR="00B20F0B">
        <w:t xml:space="preserve"> with respect to</w:t>
      </w:r>
      <w:r w:rsidR="007D1427">
        <w:t xml:space="preserve"> non-payment for provider-preventable conditions</w:t>
      </w:r>
      <w:r w:rsidR="0032132D">
        <w:t xml:space="preserve">.  </w:t>
      </w:r>
      <w:r w:rsidR="005E73EF">
        <w:t>T</w:t>
      </w:r>
      <w:r w:rsidR="00090181">
        <w:t>he</w:t>
      </w:r>
      <w:r w:rsidR="00733EFE">
        <w:t xml:space="preserve"> State </w:t>
      </w:r>
      <w:r w:rsidR="00090181">
        <w:t>identifies the following provider-preventable conditions for non-payment under Section 4.19</w:t>
      </w:r>
      <w:r w:rsidR="00997146">
        <w:t xml:space="preserve"> A</w:t>
      </w:r>
    </w:p>
    <w:p w:rsidR="0032132D" w:rsidRDefault="0032132D"/>
    <w:p w:rsidR="00090181" w:rsidRDefault="00090181">
      <w:r>
        <w:t>____ Health Care-Acquired Conditions</w:t>
      </w:r>
    </w:p>
    <w:p w:rsidR="00090181" w:rsidRDefault="00090181" w:rsidP="00F73CFE">
      <w:r>
        <w:tab/>
        <w:t>____ Hospital-Acquired Conditions as identified by Medicare</w:t>
      </w:r>
      <w:r w:rsidR="008438B7">
        <w:t xml:space="preserve"> </w:t>
      </w:r>
      <w:r w:rsidR="004F3C92" w:rsidRPr="004F3C92">
        <w:t xml:space="preserve">other than Deep Vein Thrombosis (DVT)/Pulmonary Embolism (PE) </w:t>
      </w:r>
      <w:r w:rsidR="008438B7">
        <w:t>following</w:t>
      </w:r>
      <w:r w:rsidR="004F3C92" w:rsidRPr="004F3C92">
        <w:t xml:space="preserve"> total knee replacement or hip replacement surgery in p</w:t>
      </w:r>
      <w:r w:rsidR="004F3C92">
        <w:t>ediatric and obstetric patients</w:t>
      </w:r>
      <w:r w:rsidR="00ED4CA9">
        <w:t>.</w:t>
      </w:r>
      <w:r w:rsidR="00F73CFE">
        <w:t xml:space="preserve"> </w:t>
      </w:r>
    </w:p>
    <w:p w:rsidR="00ED4CA9" w:rsidRDefault="00ED4CA9" w:rsidP="00A068C5"/>
    <w:p w:rsidR="00A068C5" w:rsidRDefault="00A068C5" w:rsidP="00A068C5">
      <w:r>
        <w:t>____ Other Provider-Preventable Conditions</w:t>
      </w:r>
    </w:p>
    <w:p w:rsidR="00551268" w:rsidRPr="00551268" w:rsidRDefault="00A068C5" w:rsidP="00551268">
      <w:r>
        <w:tab/>
        <w:t xml:space="preserve">____ </w:t>
      </w:r>
      <w:r w:rsidR="00551268">
        <w:t>W</w:t>
      </w:r>
      <w:r w:rsidR="00ED4CA9">
        <w:t>r</w:t>
      </w:r>
      <w:r w:rsidR="00551268">
        <w:t xml:space="preserve">ong </w:t>
      </w:r>
      <w:r w:rsidR="00551268" w:rsidRPr="00551268">
        <w:rPr>
          <w:bCs/>
        </w:rPr>
        <w:t>surgical or other invasive procedure performed on a patient; surgical or other invasive procedure performed on the wrong body part; surgical or other invasive procedure performed on the wrong patient.</w:t>
      </w:r>
    </w:p>
    <w:p w:rsidR="00782D43" w:rsidRPr="009A09C1" w:rsidRDefault="00A068C5">
      <w:r>
        <w:tab/>
        <w:t xml:space="preserve">____ </w:t>
      </w:r>
      <w:r w:rsidR="00E921C3" w:rsidRPr="009A09C1">
        <w:t>Additional</w:t>
      </w:r>
      <w:r w:rsidR="00A96630" w:rsidRPr="009A09C1">
        <w:t xml:space="preserve"> </w:t>
      </w:r>
      <w:r w:rsidR="006D130A" w:rsidRPr="009A09C1">
        <w:t>Other</w:t>
      </w:r>
      <w:r w:rsidR="00A96630" w:rsidRPr="009A09C1">
        <w:t xml:space="preserve"> </w:t>
      </w:r>
      <w:r w:rsidR="006D130A" w:rsidRPr="009A09C1">
        <w:t>Provider-Preventable Conditions</w:t>
      </w:r>
      <w:r w:rsidR="00E921C3" w:rsidRPr="009A09C1">
        <w:t xml:space="preserve"> identified below </w:t>
      </w:r>
      <w:r w:rsidR="00F73CFE" w:rsidRPr="009A09C1">
        <w:t xml:space="preserve">(please indicate the section(s) of the plan and specific service type </w:t>
      </w:r>
      <w:r w:rsidR="00ED4CA9" w:rsidRPr="009A09C1">
        <w:t xml:space="preserve">and provider type </w:t>
      </w:r>
      <w:r w:rsidR="00F73CFE" w:rsidRPr="009A09C1">
        <w:t>to which the provisions will be applied.  For example – 4.19(</w:t>
      </w:r>
      <w:r w:rsidR="004F3C92" w:rsidRPr="009A09C1">
        <w:t>d</w:t>
      </w:r>
      <w:r w:rsidR="00F73CFE" w:rsidRPr="009A09C1">
        <w:t xml:space="preserve">) </w:t>
      </w:r>
      <w:r w:rsidR="004F3C92" w:rsidRPr="009A09C1">
        <w:t>nursing facility</w:t>
      </w:r>
      <w:r w:rsidR="00F73CFE" w:rsidRPr="009A09C1">
        <w:t xml:space="preserve"> services, 4.19(b) physician services) of the plan:</w:t>
      </w:r>
    </w:p>
    <w:p w:rsidR="00340EEE" w:rsidRDefault="00340EEE" w:rsidP="00A068C5">
      <w:pPr>
        <w:rPr>
          <w:i/>
        </w:rPr>
      </w:pPr>
    </w:p>
    <w:p w:rsidR="0090592E" w:rsidRDefault="0090592E" w:rsidP="0090592E">
      <w:pPr>
        <w:rPr>
          <w:i/>
        </w:rPr>
      </w:pPr>
    </w:p>
    <w:p w:rsidR="0090592E" w:rsidRDefault="0090592E" w:rsidP="0090592E">
      <w:pPr>
        <w:rPr>
          <w:i/>
        </w:rPr>
      </w:pPr>
    </w:p>
    <w:p w:rsidR="0090592E" w:rsidRPr="009A09C1" w:rsidRDefault="009A09C1" w:rsidP="009A09C1">
      <w:pPr>
        <w:spacing w:after="0" w:line="240" w:lineRule="auto"/>
        <w:jc w:val="center"/>
        <w:rPr>
          <w:u w:val="single"/>
        </w:rPr>
      </w:pPr>
      <w:r w:rsidRPr="009A09C1">
        <w:rPr>
          <w:u w:val="single"/>
        </w:rPr>
        <w:t>P</w:t>
      </w:r>
      <w:r w:rsidR="0090592E" w:rsidRPr="009A09C1">
        <w:rPr>
          <w:u w:val="single"/>
        </w:rPr>
        <w:t>RA Disclosure Statement</w:t>
      </w:r>
    </w:p>
    <w:p w:rsidR="0090592E" w:rsidRPr="009A09C1" w:rsidRDefault="0090592E" w:rsidP="009A09C1">
      <w:pPr>
        <w:spacing w:after="0" w:line="240" w:lineRule="auto"/>
        <w:jc w:val="center"/>
      </w:pPr>
    </w:p>
    <w:p w:rsidR="0090592E" w:rsidRPr="009A09C1" w:rsidRDefault="0090592E" w:rsidP="009A09C1">
      <w:pPr>
        <w:spacing w:after="0" w:line="240" w:lineRule="auto"/>
      </w:pPr>
      <w:r w:rsidRPr="009A09C1">
        <w:t>According to the Paperwork Reduction Act of 1995, no persons are required to respond to a collection of information unless it displays a valid OMB control number.  The valid OMB control number for this information collection is 0938-</w:t>
      </w:r>
      <w:r w:rsidR="0015120A">
        <w:t>1148</w:t>
      </w:r>
      <w:r w:rsidRPr="009A09C1">
        <w:t xml:space="preserve">.  The time required to complete this information collection is estimated to </w:t>
      </w:r>
      <w:r w:rsidR="009A09C1" w:rsidRPr="009A09C1">
        <w:t>average 7</w:t>
      </w:r>
      <w:r w:rsidRPr="009A09C1">
        <w:t xml:space="preserve"> </w:t>
      </w:r>
      <w:r w:rsidR="000D617E" w:rsidRPr="009A09C1">
        <w:t>hours per</w:t>
      </w:r>
      <w:r w:rsidRPr="009A09C1">
        <w:t xml:space="preserve"> response, including the time to complete and review the information collection.  If you have comments concerning the accuracy of the time estimate(s) or suggestions for improving this form, please write to: CMS, 7500 Security Boulevard, Attn: PRA Reports Clearance Officer, Mail Stop C4-26-05, Baltimore, Maryland 21244-1850.</w:t>
      </w:r>
    </w:p>
    <w:p w:rsidR="0090592E" w:rsidRDefault="0090592E" w:rsidP="009A09C1">
      <w:pPr>
        <w:rPr>
          <w:i/>
        </w:rPr>
      </w:pPr>
    </w:p>
    <w:sectPr w:rsidR="0090592E" w:rsidSect="009A0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2B" w:rsidRDefault="00D6292B" w:rsidP="00733EFE">
      <w:pPr>
        <w:spacing w:after="0" w:line="240" w:lineRule="auto"/>
      </w:pPr>
      <w:r>
        <w:separator/>
      </w:r>
    </w:p>
  </w:endnote>
  <w:endnote w:type="continuationSeparator" w:id="0">
    <w:p w:rsidR="00D6292B" w:rsidRDefault="00D6292B" w:rsidP="0073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E6" w:rsidRDefault="005D58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46" w:rsidRDefault="00997146" w:rsidP="00573B3F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bCs/>
      </w:rPr>
    </w:pPr>
    <w:r>
      <w:rPr>
        <w:b/>
        <w:bCs/>
      </w:rPr>
      <w:t xml:space="preserve">TN No. </w:t>
    </w:r>
    <w:r>
      <w:rPr>
        <w:b/>
        <w:bCs/>
        <w:u w:val="single"/>
      </w:rPr>
      <w:t xml:space="preserve">                   </w:t>
    </w:r>
  </w:p>
  <w:p w:rsidR="00997146" w:rsidRDefault="00997146" w:rsidP="00573B3F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bCs/>
      </w:rPr>
    </w:pPr>
    <w:r>
      <w:rPr>
        <w:b/>
        <w:bCs/>
      </w:rPr>
      <w:t>Supersedes</w:t>
    </w:r>
    <w:r>
      <w:rPr>
        <w:b/>
        <w:bCs/>
      </w:rPr>
      <w:tab/>
    </w:r>
    <w:r>
      <w:rPr>
        <w:b/>
        <w:bCs/>
      </w:rPr>
      <w:tab/>
      <w:t xml:space="preserve">Approval Date </w:t>
    </w:r>
    <w:r>
      <w:rPr>
        <w:b/>
        <w:bCs/>
        <w:u w:val="single"/>
      </w:rPr>
      <w:t xml:space="preserve">              </w:t>
    </w:r>
    <w:r>
      <w:rPr>
        <w:b/>
        <w:bCs/>
      </w:rPr>
      <w:tab/>
      <w:t xml:space="preserve">Effective Date </w:t>
    </w:r>
    <w:r>
      <w:rPr>
        <w:b/>
        <w:bCs/>
        <w:u w:val="single"/>
      </w:rPr>
      <w:t xml:space="preserve">                    </w:t>
    </w:r>
  </w:p>
  <w:p w:rsidR="00997146" w:rsidRDefault="00997146" w:rsidP="00573B3F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bCs/>
      </w:rPr>
    </w:pPr>
    <w:r>
      <w:rPr>
        <w:b/>
        <w:bCs/>
      </w:rPr>
      <w:t xml:space="preserve">TN No. </w:t>
    </w:r>
    <w:r>
      <w:rPr>
        <w:b/>
        <w:bCs/>
        <w:u w:val="single"/>
      </w:rPr>
      <w:t xml:space="preserve">                   </w:t>
    </w:r>
  </w:p>
  <w:p w:rsidR="00997146" w:rsidRDefault="00997146" w:rsidP="00573B3F">
    <w:r>
      <w:rPr>
        <w:b/>
        <w:bCs/>
      </w:rPr>
      <w:t xml:space="preserve">CMS ID:  </w:t>
    </w:r>
    <w:r w:rsidR="00421B0D">
      <w:rPr>
        <w:b/>
        <w:bCs/>
      </w:rPr>
      <w:t>7982E</w:t>
    </w:r>
  </w:p>
  <w:p w:rsidR="00997146" w:rsidRDefault="009971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E6" w:rsidRDefault="005D5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2B" w:rsidRDefault="00D6292B" w:rsidP="00733EFE">
      <w:pPr>
        <w:spacing w:after="0" w:line="240" w:lineRule="auto"/>
      </w:pPr>
      <w:r>
        <w:separator/>
      </w:r>
    </w:p>
  </w:footnote>
  <w:footnote w:type="continuationSeparator" w:id="0">
    <w:p w:rsidR="00D6292B" w:rsidRDefault="00D6292B" w:rsidP="0073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E6" w:rsidRDefault="005D58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C1" w:rsidRPr="009A09C1" w:rsidRDefault="00421B0D" w:rsidP="009A09C1">
    <w:pPr>
      <w:pStyle w:val="Header"/>
      <w:jc w:val="center"/>
      <w:rPr>
        <w:rFonts w:cs="Calibri"/>
      </w:rPr>
    </w:pPr>
    <w:r>
      <w:rPr>
        <w:b/>
        <w:bCs/>
      </w:rPr>
      <w:tab/>
    </w:r>
    <w:r>
      <w:rPr>
        <w:b/>
        <w:bCs/>
      </w:rPr>
      <w:tab/>
    </w:r>
  </w:p>
  <w:p w:rsidR="00421B0D" w:rsidRPr="00573B3F" w:rsidRDefault="00421B0D" w:rsidP="00421B0D">
    <w:pPr>
      <w:pStyle w:val="Header"/>
      <w:jc w:val="center"/>
    </w:pPr>
    <w:r>
      <w:rPr>
        <w:b/>
        <w:bCs/>
      </w:rPr>
      <w:tab/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C1" w:rsidRDefault="00C231BF" w:rsidP="00C231BF">
    <w:pPr>
      <w:pStyle w:val="Header"/>
      <w:jc w:val="right"/>
      <w:rPr>
        <w:rFonts w:cs="Calibri"/>
      </w:rPr>
    </w:pPr>
    <w:r>
      <w:rPr>
        <w:rFonts w:cs="Calibri"/>
      </w:rPr>
      <w:t xml:space="preserve">CMS-10398 #32 (OCN </w:t>
    </w:r>
    <w:r w:rsidR="009A09C1" w:rsidRPr="009A09C1">
      <w:rPr>
        <w:rFonts w:cs="Calibri"/>
      </w:rPr>
      <w:t>0938-1148</w:t>
    </w:r>
    <w:r>
      <w:rPr>
        <w:rFonts w:cs="Calibri"/>
      </w:rPr>
      <w:t>)</w:t>
    </w:r>
  </w:p>
  <w:p w:rsidR="00C231BF" w:rsidRPr="00C231BF" w:rsidRDefault="00C231BF" w:rsidP="00C231BF">
    <w:pPr>
      <w:pStyle w:val="Header"/>
      <w:jc w:val="right"/>
      <w:rPr>
        <w:rFonts w:cs="Calibri"/>
        <w:i/>
      </w:rPr>
    </w:pPr>
    <w:r w:rsidRPr="00C231BF">
      <w:rPr>
        <w:rFonts w:cs="Calibri"/>
        <w:i/>
      </w:rPr>
      <w:t>(CMS-103</w:t>
    </w:r>
    <w:r w:rsidR="007562A5">
      <w:rPr>
        <w:rFonts w:cs="Calibri"/>
        <w:i/>
      </w:rPr>
      <w:t>98</w:t>
    </w:r>
    <w:r w:rsidRPr="00C231BF">
      <w:rPr>
        <w:rFonts w:cs="Calibri"/>
        <w:i/>
      </w:rPr>
      <w:t>, OCN 0938-11</w:t>
    </w:r>
    <w:r w:rsidR="007562A5">
      <w:rPr>
        <w:rFonts w:cs="Calibri"/>
        <w:i/>
      </w:rPr>
      <w:t>48</w:t>
    </w:r>
    <w:r w:rsidRPr="00C231BF">
      <w:rPr>
        <w:rFonts w:cs="Calibri"/>
        <w:i/>
      </w:rPr>
      <w:t>)</w:t>
    </w:r>
  </w:p>
  <w:p w:rsidR="00421B0D" w:rsidRDefault="00421B0D" w:rsidP="009A09C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FE"/>
    <w:rsid w:val="00004F68"/>
    <w:rsid w:val="00017FA7"/>
    <w:rsid w:val="00090181"/>
    <w:rsid w:val="000D617E"/>
    <w:rsid w:val="00114EFE"/>
    <w:rsid w:val="0015120A"/>
    <w:rsid w:val="00232C21"/>
    <w:rsid w:val="002547AF"/>
    <w:rsid w:val="002F3C28"/>
    <w:rsid w:val="0032132D"/>
    <w:rsid w:val="00340EEE"/>
    <w:rsid w:val="00367DD2"/>
    <w:rsid w:val="00421B0D"/>
    <w:rsid w:val="00451DF5"/>
    <w:rsid w:val="00470237"/>
    <w:rsid w:val="004B560F"/>
    <w:rsid w:val="004B71A3"/>
    <w:rsid w:val="004B7E76"/>
    <w:rsid w:val="004F3C92"/>
    <w:rsid w:val="005058A9"/>
    <w:rsid w:val="005157D7"/>
    <w:rsid w:val="00551268"/>
    <w:rsid w:val="00573B3F"/>
    <w:rsid w:val="00593B2E"/>
    <w:rsid w:val="005D53F2"/>
    <w:rsid w:val="005D58E6"/>
    <w:rsid w:val="005E73EF"/>
    <w:rsid w:val="0068558F"/>
    <w:rsid w:val="006B580D"/>
    <w:rsid w:val="006D130A"/>
    <w:rsid w:val="00710247"/>
    <w:rsid w:val="00710F9B"/>
    <w:rsid w:val="00721327"/>
    <w:rsid w:val="00733EFE"/>
    <w:rsid w:val="007562A5"/>
    <w:rsid w:val="00782D43"/>
    <w:rsid w:val="007D1427"/>
    <w:rsid w:val="008438B7"/>
    <w:rsid w:val="00870A45"/>
    <w:rsid w:val="008C5EDA"/>
    <w:rsid w:val="0090592E"/>
    <w:rsid w:val="00923C3A"/>
    <w:rsid w:val="00980E3F"/>
    <w:rsid w:val="00997146"/>
    <w:rsid w:val="009A09C1"/>
    <w:rsid w:val="009E3082"/>
    <w:rsid w:val="00A068C5"/>
    <w:rsid w:val="00A96630"/>
    <w:rsid w:val="00AE4E91"/>
    <w:rsid w:val="00B20F0B"/>
    <w:rsid w:val="00BD349C"/>
    <w:rsid w:val="00C231BF"/>
    <w:rsid w:val="00C24BC0"/>
    <w:rsid w:val="00C33B2C"/>
    <w:rsid w:val="00C64BD1"/>
    <w:rsid w:val="00CC65F9"/>
    <w:rsid w:val="00D34A40"/>
    <w:rsid w:val="00D6292B"/>
    <w:rsid w:val="00D9554F"/>
    <w:rsid w:val="00DC528A"/>
    <w:rsid w:val="00DC7FC2"/>
    <w:rsid w:val="00E315A9"/>
    <w:rsid w:val="00E921C3"/>
    <w:rsid w:val="00EA20F7"/>
    <w:rsid w:val="00ED4CA9"/>
    <w:rsid w:val="00EE7144"/>
    <w:rsid w:val="00F73CFE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FE"/>
  </w:style>
  <w:style w:type="paragraph" w:styleId="Footer">
    <w:name w:val="footer"/>
    <w:basedOn w:val="Normal"/>
    <w:link w:val="FooterChar"/>
    <w:uiPriority w:val="99"/>
    <w:unhideWhenUsed/>
    <w:rsid w:val="0073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FE"/>
  </w:style>
  <w:style w:type="paragraph" w:styleId="NoSpacing">
    <w:name w:val="No Spacing"/>
    <w:uiPriority w:val="1"/>
    <w:qFormat/>
    <w:rsid w:val="00B20F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FE"/>
  </w:style>
  <w:style w:type="paragraph" w:styleId="Footer">
    <w:name w:val="footer"/>
    <w:basedOn w:val="Normal"/>
    <w:link w:val="FooterChar"/>
    <w:uiPriority w:val="99"/>
    <w:unhideWhenUsed/>
    <w:rsid w:val="0073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FE"/>
  </w:style>
  <w:style w:type="paragraph" w:styleId="NoSpacing">
    <w:name w:val="No Spacing"/>
    <w:uiPriority w:val="1"/>
    <w:qFormat/>
    <w:rsid w:val="00B20F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1D53-6A76-4C96-B849-77BAB871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Venesa Johnson Day</dc:creator>
  <cp:lastModifiedBy>SYSTEM</cp:lastModifiedBy>
  <cp:revision>2</cp:revision>
  <cp:lastPrinted>2011-05-26T14:19:00Z</cp:lastPrinted>
  <dcterms:created xsi:type="dcterms:W3CDTF">2018-01-09T16:32:00Z</dcterms:created>
  <dcterms:modified xsi:type="dcterms:W3CDTF">2018-01-09T16:32:00Z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-570195074</vt:i4>
  </property>
  <property fmtid="{D5CDD505-2E9C-101B-9397-08002B2CF9AE}" pid="4" name="_EmailSubject">
    <vt:lpwstr>Generic PRA #32 Provider-Preventable Conditions</vt:lpwstr>
  </property>
  <property fmtid="{D5CDD505-2E9C-101B-9397-08002B2CF9AE}" pid="5" name="_AuthorEmail">
    <vt:lpwstr>Annette.Pearson@cms.hhs.gov</vt:lpwstr>
  </property>
  <property fmtid="{D5CDD505-2E9C-101B-9397-08002B2CF9AE}" pid="6" name="_AuthorEmailDisplayName">
    <vt:lpwstr>Pearson, Annette M. (CMS/CMCS)</vt:lpwstr>
  </property>
  <property fmtid="{D5CDD505-2E9C-101B-9397-08002B2CF9AE}" pid="7" name="_PreviousAdHocReviewCycleID">
    <vt:i4>-1237143737</vt:i4>
  </property>
  <property fmtid="{D5CDD505-2E9C-101B-9397-08002B2CF9AE}" pid="8" name="_ReviewingToolsShownOnce">
    <vt:lpwstr/>
  </property>
</Properties>
</file>