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6E" w:rsidRDefault="00487D6E" w:rsidP="008111D2">
      <w:pPr>
        <w:spacing w:after="0" w:line="240" w:lineRule="auto"/>
        <w:jc w:val="center"/>
        <w:rPr>
          <w:rFonts w:ascii="Arial" w:hAnsi="Arial" w:cs="Arial"/>
          <w:b/>
          <w:sz w:val="32"/>
          <w:szCs w:val="32"/>
        </w:rPr>
      </w:pPr>
      <w:bookmarkStart w:id="0" w:name="_GoBack"/>
      <w:bookmarkEnd w:id="0"/>
    </w:p>
    <w:p w:rsidR="005D2BBC" w:rsidRPr="00CD7F74" w:rsidRDefault="005D2BBC" w:rsidP="008111D2">
      <w:pPr>
        <w:spacing w:after="0" w:line="240" w:lineRule="auto"/>
        <w:jc w:val="center"/>
        <w:rPr>
          <w:rFonts w:ascii="Arial" w:hAnsi="Arial" w:cs="Arial"/>
          <w:b/>
          <w:sz w:val="32"/>
          <w:szCs w:val="32"/>
        </w:rPr>
      </w:pPr>
    </w:p>
    <w:p w:rsidR="00253B99" w:rsidRPr="00CD7F74" w:rsidRDefault="002D72F2" w:rsidP="008111D2">
      <w:pPr>
        <w:spacing w:after="0" w:line="240" w:lineRule="auto"/>
        <w:jc w:val="center"/>
        <w:rPr>
          <w:rFonts w:ascii="Arial" w:hAnsi="Arial" w:cs="Arial"/>
          <w:b/>
          <w:sz w:val="32"/>
          <w:szCs w:val="32"/>
        </w:rPr>
      </w:pPr>
      <w:r w:rsidRPr="00CD7F74">
        <w:rPr>
          <w:rFonts w:ascii="Arial" w:hAnsi="Arial" w:cs="Arial"/>
          <w:b/>
          <w:sz w:val="32"/>
          <w:szCs w:val="32"/>
        </w:rPr>
        <w:t xml:space="preserve">Generic </w:t>
      </w:r>
      <w:r w:rsidR="00253B99" w:rsidRPr="00CD7F74">
        <w:rPr>
          <w:rFonts w:ascii="Arial" w:hAnsi="Arial" w:cs="Arial"/>
          <w:b/>
          <w:sz w:val="32"/>
          <w:szCs w:val="32"/>
        </w:rPr>
        <w:t>Supporting</w:t>
      </w:r>
      <w:r w:rsidR="00BB6559" w:rsidRPr="00CD7F74">
        <w:rPr>
          <w:rFonts w:ascii="Arial" w:hAnsi="Arial" w:cs="Arial"/>
          <w:b/>
          <w:sz w:val="32"/>
          <w:szCs w:val="32"/>
        </w:rPr>
        <w:t xml:space="preserve"> </w:t>
      </w:r>
      <w:r w:rsidR="00253B99" w:rsidRPr="00CD7F74">
        <w:rPr>
          <w:rFonts w:ascii="Arial" w:hAnsi="Arial" w:cs="Arial"/>
          <w:b/>
          <w:sz w:val="32"/>
          <w:szCs w:val="32"/>
        </w:rPr>
        <w:t xml:space="preserve">Statement </w:t>
      </w:r>
      <w:r w:rsidRPr="00CD7F74">
        <w:rPr>
          <w:rFonts w:ascii="Arial" w:hAnsi="Arial" w:cs="Arial"/>
          <w:b/>
          <w:sz w:val="32"/>
          <w:szCs w:val="32"/>
        </w:rPr>
        <w:t>(</w:t>
      </w:r>
      <w:r w:rsidR="001D09B1">
        <w:rPr>
          <w:rFonts w:ascii="Arial" w:hAnsi="Arial" w:cs="Arial"/>
          <w:b/>
          <w:sz w:val="32"/>
          <w:szCs w:val="32"/>
        </w:rPr>
        <w:t>December 2017</w:t>
      </w:r>
      <w:r w:rsidRPr="00CD7F74">
        <w:rPr>
          <w:rFonts w:ascii="Arial" w:hAnsi="Arial" w:cs="Arial"/>
          <w:b/>
          <w:sz w:val="32"/>
          <w:szCs w:val="32"/>
        </w:rPr>
        <w:t>)</w:t>
      </w:r>
    </w:p>
    <w:p w:rsidR="00253B99" w:rsidRDefault="00253B99" w:rsidP="008111D2">
      <w:pPr>
        <w:spacing w:after="0" w:line="240" w:lineRule="auto"/>
        <w:jc w:val="center"/>
        <w:rPr>
          <w:szCs w:val="24"/>
        </w:rPr>
      </w:pPr>
    </w:p>
    <w:p w:rsidR="007D6E75" w:rsidRPr="008111D2" w:rsidRDefault="00B54634" w:rsidP="008111D2">
      <w:pPr>
        <w:spacing w:after="0" w:line="240" w:lineRule="auto"/>
        <w:jc w:val="center"/>
        <w:rPr>
          <w:szCs w:val="24"/>
        </w:rPr>
      </w:pPr>
      <w:r w:rsidRPr="00B54634">
        <w:rPr>
          <w:szCs w:val="24"/>
        </w:rPr>
        <w:t>Generic Clearance for 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7F3C76" w:rsidRDefault="00CB646D" w:rsidP="007F3C76">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4F3ECC">
        <w:rPr>
          <w:rFonts w:cs="Times New Roman"/>
          <w:b/>
          <w:szCs w:val="24"/>
        </w:rPr>
        <w:t xml:space="preserve"> 53</w:t>
      </w:r>
    </w:p>
    <w:p w:rsidR="001D09B1" w:rsidRDefault="001D09B1" w:rsidP="007F3C76">
      <w:pPr>
        <w:spacing w:after="0" w:line="240" w:lineRule="auto"/>
        <w:jc w:val="center"/>
        <w:rPr>
          <w:rFonts w:cs="Times New Roman"/>
          <w:b/>
          <w:szCs w:val="24"/>
        </w:rPr>
      </w:pPr>
      <w:r>
        <w:rPr>
          <w:rFonts w:cs="Times New Roman"/>
          <w:b/>
          <w:szCs w:val="24"/>
        </w:rPr>
        <w:t xml:space="preserve">Section 1115 Substance Use Disorder (SUD) Demonstration: </w:t>
      </w:r>
    </w:p>
    <w:p w:rsidR="001D09B1" w:rsidRDefault="001D09B1" w:rsidP="007F3C76">
      <w:pPr>
        <w:spacing w:after="0" w:line="240" w:lineRule="auto"/>
        <w:jc w:val="center"/>
        <w:rPr>
          <w:rFonts w:cs="Times New Roman"/>
          <w:b/>
          <w:szCs w:val="24"/>
        </w:rPr>
      </w:pPr>
      <w:r>
        <w:rPr>
          <w:rFonts w:cs="Times New Roman"/>
          <w:b/>
          <w:szCs w:val="24"/>
        </w:rPr>
        <w:t>Guide for Developing Implementation Plan Protocols</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7D6E75" w:rsidP="008111D2">
      <w:pPr>
        <w:spacing w:after="0" w:line="240" w:lineRule="auto"/>
        <w:jc w:val="center"/>
        <w:rPr>
          <w:b/>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1D09B1">
          <w:pgSz w:w="12240" w:h="15840" w:code="1"/>
          <w:pgMar w:top="1440" w:right="1080" w:bottom="1440" w:left="1080" w:header="720" w:footer="720" w:gutter="0"/>
          <w:cols w:space="720"/>
          <w:vAlign w:val="center"/>
          <w:docGrid w:linePitch="360"/>
        </w:sectPr>
      </w:pPr>
    </w:p>
    <w:p w:rsidR="00667CF1" w:rsidRPr="00667CF1" w:rsidRDefault="00667CF1" w:rsidP="001D09B1">
      <w:pPr>
        <w:spacing w:after="0" w:line="240" w:lineRule="auto"/>
        <w:ind w:right="1170"/>
      </w:pPr>
    </w:p>
    <w:p w:rsidR="007D6E75" w:rsidRPr="00F54374" w:rsidRDefault="007D6E75" w:rsidP="0084192B">
      <w:pPr>
        <w:pStyle w:val="Heading1"/>
      </w:pPr>
      <w:r w:rsidRPr="00F54374">
        <w:t>A. Background</w:t>
      </w:r>
    </w:p>
    <w:p w:rsidR="00481A68" w:rsidRDefault="009B19E8" w:rsidP="006A584D">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84BB1">
        <w:rPr>
          <w:szCs w:val="24"/>
        </w:rPr>
        <w:t xml:space="preserve">  </w:t>
      </w:r>
    </w:p>
    <w:p w:rsidR="00481A68" w:rsidRDefault="00481A68" w:rsidP="006A584D">
      <w:pPr>
        <w:spacing w:after="0" w:line="240" w:lineRule="auto"/>
        <w:rPr>
          <w:szCs w:val="24"/>
        </w:rPr>
      </w:pPr>
    </w:p>
    <w:p w:rsidR="009B19E8" w:rsidRDefault="00584BB1" w:rsidP="006A584D">
      <w:pPr>
        <w:spacing w:after="0" w:line="240" w:lineRule="auto"/>
        <w:rPr>
          <w:szCs w:val="24"/>
        </w:rPr>
      </w:pPr>
      <w:r>
        <w:rPr>
          <w:szCs w:val="24"/>
        </w:rPr>
        <w:t>In accordance, t</w:t>
      </w:r>
      <w:r w:rsidRPr="00B71166">
        <w:rPr>
          <w:rFonts w:cs="Times New Roman"/>
          <w:szCs w:val="24"/>
        </w:rPr>
        <w:t>h</w:t>
      </w:r>
      <w:r w:rsidR="00481A68">
        <w:rPr>
          <w:rFonts w:cs="Times New Roman"/>
          <w:szCs w:val="24"/>
        </w:rPr>
        <w:t xml:space="preserve">e attached </w:t>
      </w:r>
      <w:r w:rsidRPr="00B71166">
        <w:rPr>
          <w:rFonts w:cs="Times New Roman"/>
          <w:szCs w:val="24"/>
        </w:rPr>
        <w:t xml:space="preserve">template is meant to assist states that are developing an implementation plan for applications for new section 1115 </w:t>
      </w:r>
      <w:r>
        <w:rPr>
          <w:rFonts w:cs="Times New Roman"/>
          <w:szCs w:val="24"/>
        </w:rPr>
        <w:t>substance use disorder (</w:t>
      </w:r>
      <w:r w:rsidRPr="00B71166">
        <w:rPr>
          <w:rFonts w:cs="Times New Roman"/>
          <w:szCs w:val="24"/>
        </w:rPr>
        <w:t>SUD</w:t>
      </w:r>
      <w:r>
        <w:rPr>
          <w:rFonts w:cs="Times New Roman"/>
          <w:szCs w:val="24"/>
        </w:rPr>
        <w:t>)</w:t>
      </w:r>
      <w:r w:rsidRPr="00B71166">
        <w:rPr>
          <w:rFonts w:cs="Times New Roman"/>
          <w:szCs w:val="24"/>
        </w:rPr>
        <w:t xml:space="preserve"> demonstration project</w:t>
      </w:r>
      <w:r>
        <w:rPr>
          <w:rFonts w:cs="Times New Roman"/>
          <w:szCs w:val="24"/>
        </w:rPr>
        <w:t>s pursuant to the State Medicaid Directors’ letter #17-003 issued on November 1, 2017, “Strategies to Address the Opioid Epidemic”</w:t>
      </w:r>
      <w:r w:rsidRPr="00B71166">
        <w:rPr>
          <w:rFonts w:cs="Times New Roman"/>
          <w:szCs w:val="24"/>
        </w:rPr>
        <w:t xml:space="preserve">. </w:t>
      </w:r>
      <w:r>
        <w:rPr>
          <w:rFonts w:cs="Times New Roman"/>
          <w:szCs w:val="24"/>
        </w:rPr>
        <w:t xml:space="preserve"> </w:t>
      </w:r>
    </w:p>
    <w:p w:rsidR="002A3350" w:rsidRPr="00621F8D" w:rsidRDefault="002A3350" w:rsidP="004847B2">
      <w:pPr>
        <w:spacing w:after="0" w:line="240" w:lineRule="auto"/>
        <w:rPr>
          <w:i/>
        </w:rPr>
      </w:pPr>
    </w:p>
    <w:p w:rsidR="007D6E75" w:rsidRPr="008111D2" w:rsidRDefault="007D6E75" w:rsidP="0084192B">
      <w:pPr>
        <w:pStyle w:val="Heading1"/>
      </w:pPr>
      <w:r w:rsidRPr="008111D2">
        <w:t>B. Description of Information Collection</w:t>
      </w:r>
    </w:p>
    <w:p w:rsidR="00F41588" w:rsidRDefault="001D09B1" w:rsidP="008F08FD">
      <w:pPr>
        <w:pStyle w:val="ListParagraph"/>
        <w:widowControl w:val="0"/>
        <w:tabs>
          <w:tab w:val="left" w:pos="739"/>
        </w:tabs>
        <w:autoSpaceDE w:val="0"/>
        <w:autoSpaceDN w:val="0"/>
        <w:spacing w:before="94" w:after="0" w:line="240" w:lineRule="auto"/>
        <w:ind w:left="0" w:right="90"/>
        <w:contextualSpacing w:val="0"/>
        <w:rPr>
          <w:rFonts w:ascii="Times New Roman" w:hAnsi="Times New Roman"/>
          <w:sz w:val="24"/>
          <w:szCs w:val="24"/>
        </w:rPr>
      </w:pPr>
      <w:r w:rsidRPr="00584BB1">
        <w:rPr>
          <w:rFonts w:ascii="Times New Roman" w:hAnsi="Times New Roman"/>
          <w:sz w:val="24"/>
          <w:szCs w:val="24"/>
        </w:rPr>
        <w:t>We anticipate 49 state or U.S. territory Medicaid agency respondents.  Th</w:t>
      </w:r>
      <w:r w:rsidR="00F41588">
        <w:rPr>
          <w:rFonts w:ascii="Times New Roman" w:hAnsi="Times New Roman"/>
          <w:sz w:val="24"/>
          <w:szCs w:val="24"/>
        </w:rPr>
        <w:t xml:space="preserve">e attached </w:t>
      </w:r>
      <w:r w:rsidRPr="00584BB1">
        <w:rPr>
          <w:rFonts w:ascii="Times New Roman" w:hAnsi="Times New Roman"/>
          <w:sz w:val="24"/>
          <w:szCs w:val="24"/>
        </w:rPr>
        <w:t xml:space="preserve">template is meant to assist states that are developing an implementation plan for </w:t>
      </w:r>
      <w:r w:rsidRPr="0031732B">
        <w:rPr>
          <w:rFonts w:ascii="Times New Roman" w:hAnsi="Times New Roman"/>
          <w:sz w:val="24"/>
          <w:szCs w:val="24"/>
        </w:rPr>
        <w:t>appl</w:t>
      </w:r>
      <w:r w:rsidR="00584BB1" w:rsidRPr="0031732B">
        <w:rPr>
          <w:rFonts w:ascii="Times New Roman" w:hAnsi="Times New Roman"/>
          <w:sz w:val="24"/>
          <w:szCs w:val="24"/>
        </w:rPr>
        <w:t xml:space="preserve">ications for a new section 1115 </w:t>
      </w:r>
      <w:r w:rsidRPr="0031732B">
        <w:rPr>
          <w:rFonts w:ascii="Times New Roman" w:hAnsi="Times New Roman"/>
          <w:sz w:val="24"/>
          <w:szCs w:val="24"/>
        </w:rPr>
        <w:t>substance use disorder (SUD)</w:t>
      </w:r>
      <w:r w:rsidRPr="0031732B">
        <w:rPr>
          <w:rFonts w:ascii="Times New Roman" w:hAnsi="Times New Roman"/>
          <w:spacing w:val="33"/>
          <w:sz w:val="24"/>
          <w:szCs w:val="24"/>
        </w:rPr>
        <w:t xml:space="preserve"> </w:t>
      </w:r>
      <w:r w:rsidRPr="0031732B">
        <w:rPr>
          <w:rFonts w:ascii="Times New Roman" w:hAnsi="Times New Roman"/>
          <w:sz w:val="24"/>
          <w:szCs w:val="24"/>
        </w:rPr>
        <w:t xml:space="preserve">demonstrations.  </w:t>
      </w:r>
    </w:p>
    <w:p w:rsidR="00F41588" w:rsidRDefault="00F41588" w:rsidP="008F08FD">
      <w:pPr>
        <w:pStyle w:val="ListParagraph"/>
        <w:widowControl w:val="0"/>
        <w:tabs>
          <w:tab w:val="left" w:pos="739"/>
        </w:tabs>
        <w:autoSpaceDE w:val="0"/>
        <w:autoSpaceDN w:val="0"/>
        <w:spacing w:before="94" w:after="0" w:line="240" w:lineRule="auto"/>
        <w:ind w:left="0" w:right="90"/>
        <w:contextualSpacing w:val="0"/>
        <w:rPr>
          <w:rFonts w:ascii="Times New Roman" w:hAnsi="Times New Roman"/>
          <w:sz w:val="24"/>
          <w:szCs w:val="24"/>
        </w:rPr>
      </w:pPr>
    </w:p>
    <w:p w:rsidR="00F41588" w:rsidRDefault="001D09B1" w:rsidP="008F08FD">
      <w:pPr>
        <w:pStyle w:val="ListParagraph"/>
        <w:widowControl w:val="0"/>
        <w:tabs>
          <w:tab w:val="left" w:pos="739"/>
        </w:tabs>
        <w:autoSpaceDE w:val="0"/>
        <w:autoSpaceDN w:val="0"/>
        <w:spacing w:before="94" w:after="0" w:line="240" w:lineRule="auto"/>
        <w:ind w:left="0" w:right="90"/>
        <w:contextualSpacing w:val="0"/>
        <w:rPr>
          <w:rFonts w:ascii="Times New Roman" w:hAnsi="Times New Roman"/>
          <w:sz w:val="24"/>
          <w:szCs w:val="24"/>
        </w:rPr>
      </w:pPr>
      <w:r w:rsidRPr="0031732B">
        <w:rPr>
          <w:rFonts w:ascii="Times New Roman" w:hAnsi="Times New Roman"/>
          <w:sz w:val="24"/>
          <w:szCs w:val="24"/>
        </w:rPr>
        <w:t>States have the option of submitting their implementation plan as part of their application or as a post-approval protocol. If a state chooses to use a post-approval protocol, the timeframe for submitting the protocol will be specified in the Special Terms and Conditions (STCs) agreement between CMS and the</w:t>
      </w:r>
      <w:r w:rsidRPr="0031732B">
        <w:rPr>
          <w:rFonts w:ascii="Times New Roman" w:hAnsi="Times New Roman"/>
          <w:spacing w:val="22"/>
          <w:sz w:val="24"/>
          <w:szCs w:val="24"/>
        </w:rPr>
        <w:t xml:space="preserve"> </w:t>
      </w:r>
      <w:r w:rsidR="00F41588">
        <w:rPr>
          <w:rFonts w:ascii="Times New Roman" w:hAnsi="Times New Roman"/>
          <w:sz w:val="24"/>
          <w:szCs w:val="24"/>
        </w:rPr>
        <w:t>state.</w:t>
      </w:r>
    </w:p>
    <w:p w:rsidR="00F41588" w:rsidRDefault="00F41588" w:rsidP="008F08FD">
      <w:pPr>
        <w:pStyle w:val="ListParagraph"/>
        <w:widowControl w:val="0"/>
        <w:tabs>
          <w:tab w:val="left" w:pos="739"/>
        </w:tabs>
        <w:autoSpaceDE w:val="0"/>
        <w:autoSpaceDN w:val="0"/>
        <w:spacing w:before="94" w:after="0" w:line="240" w:lineRule="auto"/>
        <w:ind w:left="0" w:right="90"/>
        <w:contextualSpacing w:val="0"/>
        <w:rPr>
          <w:rFonts w:ascii="Times New Roman" w:hAnsi="Times New Roman"/>
          <w:sz w:val="24"/>
          <w:szCs w:val="24"/>
        </w:rPr>
      </w:pPr>
    </w:p>
    <w:p w:rsidR="001D09B1" w:rsidRPr="00584BB1" w:rsidRDefault="001D09B1" w:rsidP="008F08FD">
      <w:pPr>
        <w:pStyle w:val="ListParagraph"/>
        <w:widowControl w:val="0"/>
        <w:tabs>
          <w:tab w:val="left" w:pos="739"/>
        </w:tabs>
        <w:autoSpaceDE w:val="0"/>
        <w:autoSpaceDN w:val="0"/>
        <w:spacing w:before="94" w:after="0" w:line="240" w:lineRule="auto"/>
        <w:ind w:left="0" w:right="90"/>
        <w:contextualSpacing w:val="0"/>
        <w:rPr>
          <w:rFonts w:ascii="Times New Roman" w:hAnsi="Times New Roman"/>
          <w:sz w:val="24"/>
          <w:szCs w:val="24"/>
        </w:rPr>
      </w:pPr>
      <w:r w:rsidRPr="0031732B">
        <w:rPr>
          <w:rFonts w:ascii="Times New Roman" w:hAnsi="Times New Roman"/>
          <w:sz w:val="24"/>
          <w:szCs w:val="24"/>
        </w:rPr>
        <w:t xml:space="preserve">Respondents </w:t>
      </w:r>
      <w:r w:rsidR="00F41588">
        <w:rPr>
          <w:rFonts w:ascii="Times New Roman" w:hAnsi="Times New Roman"/>
          <w:sz w:val="24"/>
          <w:szCs w:val="24"/>
        </w:rPr>
        <w:t>(</w:t>
      </w:r>
      <w:r w:rsidR="00F41588" w:rsidRPr="00584BB1">
        <w:rPr>
          <w:rFonts w:ascii="Times New Roman" w:hAnsi="Times New Roman"/>
          <w:sz w:val="24"/>
          <w:szCs w:val="24"/>
        </w:rPr>
        <w:t>State Medicaid Agencies</w:t>
      </w:r>
      <w:r w:rsidR="00F41588">
        <w:rPr>
          <w:rFonts w:ascii="Times New Roman" w:hAnsi="Times New Roman"/>
          <w:sz w:val="24"/>
          <w:szCs w:val="24"/>
        </w:rPr>
        <w:t xml:space="preserve">) </w:t>
      </w:r>
      <w:r w:rsidRPr="0031732B">
        <w:rPr>
          <w:rFonts w:ascii="Times New Roman" w:hAnsi="Times New Roman"/>
          <w:sz w:val="24"/>
          <w:szCs w:val="24"/>
        </w:rPr>
        <w:t>will manually populate the necessary data</w:t>
      </w:r>
      <w:r w:rsidRPr="0031732B">
        <w:rPr>
          <w:rFonts w:ascii="Times New Roman" w:hAnsi="Times New Roman"/>
          <w:spacing w:val="32"/>
          <w:sz w:val="24"/>
          <w:szCs w:val="24"/>
        </w:rPr>
        <w:t xml:space="preserve"> </w:t>
      </w:r>
      <w:r w:rsidR="008F08FD" w:rsidRPr="0031732B">
        <w:rPr>
          <w:rFonts w:ascii="Times New Roman" w:hAnsi="Times New Roman"/>
          <w:sz w:val="24"/>
          <w:szCs w:val="24"/>
        </w:rPr>
        <w:t>fields</w:t>
      </w:r>
      <w:r w:rsidR="00F41588">
        <w:rPr>
          <w:rFonts w:ascii="Times New Roman" w:hAnsi="Times New Roman"/>
          <w:sz w:val="24"/>
          <w:szCs w:val="24"/>
        </w:rPr>
        <w:t xml:space="preserve"> and </w:t>
      </w:r>
      <w:r w:rsidRPr="00584BB1">
        <w:rPr>
          <w:rFonts w:ascii="Times New Roman" w:hAnsi="Times New Roman"/>
          <w:sz w:val="24"/>
          <w:szCs w:val="24"/>
        </w:rPr>
        <w:t>submit to CMS</w:t>
      </w:r>
      <w:r w:rsidR="008F08FD" w:rsidRPr="00584BB1">
        <w:rPr>
          <w:rFonts w:ascii="Times New Roman" w:hAnsi="Times New Roman"/>
          <w:sz w:val="24"/>
          <w:szCs w:val="24"/>
        </w:rPr>
        <w:t xml:space="preserve"> project officer electronically</w:t>
      </w:r>
      <w:r w:rsidR="005C3919">
        <w:rPr>
          <w:rFonts w:ascii="Times New Roman" w:hAnsi="Times New Roman"/>
          <w:sz w:val="24"/>
          <w:szCs w:val="24"/>
        </w:rPr>
        <w:t xml:space="preserve"> via email.  T</w:t>
      </w:r>
      <w:r w:rsidRPr="00584BB1">
        <w:rPr>
          <w:rFonts w:ascii="Times New Roman" w:hAnsi="Times New Roman"/>
          <w:sz w:val="24"/>
          <w:szCs w:val="24"/>
        </w:rPr>
        <w:t xml:space="preserve">here are no other documents provided to </w:t>
      </w:r>
      <w:r w:rsidR="008F08FD" w:rsidRPr="00584BB1">
        <w:rPr>
          <w:rFonts w:ascii="Times New Roman" w:hAnsi="Times New Roman"/>
          <w:sz w:val="24"/>
          <w:szCs w:val="24"/>
        </w:rPr>
        <w:t>respondent</w:t>
      </w:r>
      <w:r w:rsidR="00F41588">
        <w:rPr>
          <w:rFonts w:ascii="Times New Roman" w:hAnsi="Times New Roman"/>
          <w:sz w:val="24"/>
          <w:szCs w:val="24"/>
        </w:rPr>
        <w:t>s</w:t>
      </w:r>
      <w:r w:rsidR="008F08FD" w:rsidRPr="00584BB1">
        <w:rPr>
          <w:rFonts w:ascii="Times New Roman" w:hAnsi="Times New Roman"/>
          <w:sz w:val="24"/>
          <w:szCs w:val="24"/>
        </w:rPr>
        <w:t xml:space="preserve">.  </w:t>
      </w:r>
      <w:r w:rsidRPr="00584BB1">
        <w:rPr>
          <w:rFonts w:ascii="Times New Roman" w:hAnsi="Times New Roman"/>
          <w:sz w:val="24"/>
          <w:szCs w:val="24"/>
        </w:rPr>
        <w:t>The collected information will help states ensure demonstration implementation plans meet CMS goals and milestones; and facilitate an efficient review</w:t>
      </w:r>
      <w:r w:rsidRPr="00584BB1">
        <w:rPr>
          <w:rFonts w:ascii="Times New Roman" w:hAnsi="Times New Roman"/>
          <w:spacing w:val="26"/>
          <w:sz w:val="24"/>
          <w:szCs w:val="24"/>
        </w:rPr>
        <w:t xml:space="preserve"> </w:t>
      </w:r>
      <w:r w:rsidRPr="00584BB1">
        <w:rPr>
          <w:rFonts w:ascii="Times New Roman" w:hAnsi="Times New Roman"/>
          <w:sz w:val="24"/>
          <w:szCs w:val="24"/>
        </w:rPr>
        <w:t>process.</w:t>
      </w:r>
    </w:p>
    <w:p w:rsidR="001D09B1" w:rsidRDefault="001D09B1" w:rsidP="008910E3">
      <w:pPr>
        <w:spacing w:after="0" w:line="240" w:lineRule="auto"/>
        <w:rPr>
          <w:i/>
        </w:rPr>
      </w:pPr>
    </w:p>
    <w:p w:rsidR="007D6E75" w:rsidRPr="008111D2" w:rsidRDefault="007D6E75" w:rsidP="0084192B">
      <w:pPr>
        <w:pStyle w:val="Heading1"/>
      </w:pPr>
      <w:r w:rsidRPr="008111D2">
        <w:t>C. Deviations from Generic Request</w:t>
      </w:r>
    </w:p>
    <w:p w:rsidR="007D6E75" w:rsidRPr="008111D2" w:rsidRDefault="009B19E8" w:rsidP="0084192B">
      <w:pPr>
        <w:spacing w:line="240" w:lineRule="auto"/>
        <w:rPr>
          <w:szCs w:val="24"/>
        </w:rPr>
      </w:pPr>
      <w:r w:rsidRPr="008111D2">
        <w:rPr>
          <w:szCs w:val="24"/>
        </w:rPr>
        <w:t>No deviations are requested.</w:t>
      </w:r>
    </w:p>
    <w:p w:rsidR="007D6E75" w:rsidRPr="008111D2" w:rsidRDefault="007D6E75" w:rsidP="0084192B">
      <w:pPr>
        <w:pStyle w:val="Heading1"/>
      </w:pPr>
      <w:r w:rsidRPr="008111D2">
        <w:t>D. Burden Hour Deduction</w:t>
      </w:r>
    </w:p>
    <w:p w:rsidR="008E4617" w:rsidRPr="008E4617" w:rsidRDefault="008E4617" w:rsidP="008E4617">
      <w:pPr>
        <w:spacing w:after="0" w:line="240" w:lineRule="auto"/>
        <w:rPr>
          <w:i/>
          <w:szCs w:val="24"/>
        </w:rPr>
      </w:pPr>
      <w:r w:rsidRPr="008E4617">
        <w:rPr>
          <w:i/>
          <w:szCs w:val="24"/>
        </w:rPr>
        <w:t>Wage Estimate</w:t>
      </w:r>
      <w:r w:rsidR="007F7EC5">
        <w:rPr>
          <w:i/>
          <w:szCs w:val="24"/>
        </w:rPr>
        <w:t>s</w:t>
      </w:r>
    </w:p>
    <w:p w:rsidR="008E4617" w:rsidRPr="008E4617" w:rsidRDefault="008E4617" w:rsidP="008E4617">
      <w:pPr>
        <w:spacing w:after="0" w:line="240" w:lineRule="auto"/>
        <w:rPr>
          <w:szCs w:val="24"/>
        </w:rPr>
      </w:pPr>
    </w:p>
    <w:p w:rsidR="008E4617" w:rsidRDefault="008E4617" w:rsidP="008E4617">
      <w:pPr>
        <w:spacing w:after="0" w:line="240" w:lineRule="auto"/>
        <w:rPr>
          <w:szCs w:val="24"/>
        </w:rPr>
      </w:pPr>
      <w:r w:rsidRPr="008E4617">
        <w:rPr>
          <w:szCs w:val="24"/>
        </w:rPr>
        <w:t xml:space="preserve">To derive average costs, we </w:t>
      </w:r>
      <w:r w:rsidR="00F130D0">
        <w:rPr>
          <w:szCs w:val="24"/>
        </w:rPr>
        <w:t xml:space="preserve">are using </w:t>
      </w:r>
      <w:r w:rsidRPr="008E4617">
        <w:rPr>
          <w:szCs w:val="24"/>
        </w:rPr>
        <w:t>data from the U.S. Bureau of Labor Statistics’ May 201</w:t>
      </w:r>
      <w:r w:rsidR="00A07819">
        <w:rPr>
          <w:szCs w:val="24"/>
        </w:rPr>
        <w:t>6</w:t>
      </w:r>
      <w:r w:rsidRPr="008E4617">
        <w:rPr>
          <w:szCs w:val="24"/>
        </w:rPr>
        <w:t xml:space="preserve"> National Occupational Employment and Wage Estimates for all salary estimates </w:t>
      </w:r>
      <w:r w:rsidRPr="008E4617">
        <w:rPr>
          <w:szCs w:val="24"/>
        </w:rPr>
        <w:lastRenderedPageBreak/>
        <w:t>(</w:t>
      </w:r>
      <w:hyperlink r:id="rId8" w:history="1">
        <w:r w:rsidRPr="008E4617">
          <w:rPr>
            <w:rStyle w:val="Hyperlink"/>
            <w:szCs w:val="24"/>
          </w:rPr>
          <w:t>http://www.bls.gov/oes/current/oes_nat.htm</w:t>
        </w:r>
      </w:hyperlink>
      <w:r w:rsidRPr="008E4617">
        <w:rPr>
          <w:szCs w:val="24"/>
        </w:rPr>
        <w:t xml:space="preserve">). In this regard, the following table presents the mean hourly wage, the cost of fringe benefits </w:t>
      </w:r>
      <w:r w:rsidR="00387465">
        <w:rPr>
          <w:szCs w:val="24"/>
        </w:rPr>
        <w:t xml:space="preserve">and overhead </w:t>
      </w:r>
      <w:r w:rsidRPr="008E4617">
        <w:rPr>
          <w:szCs w:val="24"/>
        </w:rPr>
        <w:t>(calculated at 100 percent of salary), and the adjusted hourly wage.</w:t>
      </w:r>
    </w:p>
    <w:p w:rsidR="00584BB1" w:rsidRDefault="00584BB1" w:rsidP="008E4617">
      <w:pPr>
        <w:spacing w:after="0" w:line="240" w:lineRule="auto"/>
        <w:rPr>
          <w:szCs w:val="24"/>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325"/>
        <w:gridCol w:w="1477"/>
        <w:gridCol w:w="1314"/>
        <w:gridCol w:w="1530"/>
        <w:gridCol w:w="1588"/>
      </w:tblGrid>
      <w:tr w:rsidR="008F08FD" w:rsidTr="0084192B">
        <w:trPr>
          <w:trHeight w:val="686"/>
        </w:trPr>
        <w:tc>
          <w:tcPr>
            <w:tcW w:w="3325" w:type="dxa"/>
          </w:tcPr>
          <w:p w:rsidR="008F08FD" w:rsidRPr="008F08FD" w:rsidRDefault="008F08FD" w:rsidP="00592CF1">
            <w:pPr>
              <w:pStyle w:val="TableParagraph"/>
              <w:spacing w:line="171" w:lineRule="exact"/>
              <w:rPr>
                <w:b/>
                <w:sz w:val="18"/>
              </w:rPr>
            </w:pPr>
            <w:r w:rsidRPr="008F08FD">
              <w:rPr>
                <w:b/>
                <w:sz w:val="18"/>
              </w:rPr>
              <w:t>Occupation Title</w:t>
            </w:r>
          </w:p>
        </w:tc>
        <w:tc>
          <w:tcPr>
            <w:tcW w:w="1477" w:type="dxa"/>
          </w:tcPr>
          <w:p w:rsidR="008F08FD" w:rsidRPr="008F08FD" w:rsidRDefault="008F08FD" w:rsidP="00592CF1">
            <w:pPr>
              <w:pStyle w:val="TableParagraph"/>
              <w:spacing w:line="242" w:lineRule="auto"/>
              <w:ind w:right="245"/>
              <w:rPr>
                <w:b/>
                <w:sz w:val="18"/>
              </w:rPr>
            </w:pPr>
            <w:r w:rsidRPr="008F08FD">
              <w:rPr>
                <w:b/>
                <w:sz w:val="18"/>
              </w:rPr>
              <w:t>Occupation Code</w:t>
            </w:r>
          </w:p>
        </w:tc>
        <w:tc>
          <w:tcPr>
            <w:tcW w:w="1314" w:type="dxa"/>
          </w:tcPr>
          <w:p w:rsidR="008F08FD" w:rsidRPr="008F08FD" w:rsidRDefault="008F08FD" w:rsidP="00592CF1">
            <w:pPr>
              <w:pStyle w:val="TableParagraph"/>
              <w:spacing w:line="242" w:lineRule="auto"/>
              <w:ind w:right="325"/>
              <w:rPr>
                <w:b/>
                <w:sz w:val="18"/>
              </w:rPr>
            </w:pPr>
            <w:r w:rsidRPr="008F08FD">
              <w:rPr>
                <w:b/>
                <w:sz w:val="18"/>
              </w:rPr>
              <w:t>Mean Hourly Wage ($/hr)</w:t>
            </w:r>
          </w:p>
        </w:tc>
        <w:tc>
          <w:tcPr>
            <w:tcW w:w="1530" w:type="dxa"/>
            <w:tcBorders>
              <w:right w:val="single" w:sz="3" w:space="0" w:color="000000"/>
            </w:tcBorders>
          </w:tcPr>
          <w:p w:rsidR="008F08FD" w:rsidRPr="008F08FD" w:rsidRDefault="008F08FD" w:rsidP="00592CF1">
            <w:pPr>
              <w:pStyle w:val="TableParagraph"/>
              <w:spacing w:line="242" w:lineRule="auto"/>
              <w:ind w:left="76" w:right="149"/>
              <w:rPr>
                <w:b/>
                <w:sz w:val="18"/>
              </w:rPr>
            </w:pPr>
            <w:r w:rsidRPr="008F08FD">
              <w:rPr>
                <w:b/>
                <w:sz w:val="18"/>
              </w:rPr>
              <w:t>Fringe Benefits and Overhead ($/hr)</w:t>
            </w:r>
          </w:p>
        </w:tc>
        <w:tc>
          <w:tcPr>
            <w:tcW w:w="1588" w:type="dxa"/>
            <w:tcBorders>
              <w:left w:val="single" w:sz="3" w:space="0" w:color="000000"/>
            </w:tcBorders>
          </w:tcPr>
          <w:p w:rsidR="008F08FD" w:rsidRPr="008F08FD" w:rsidRDefault="008F08FD" w:rsidP="00592CF1">
            <w:pPr>
              <w:pStyle w:val="TableParagraph"/>
              <w:spacing w:line="242" w:lineRule="auto"/>
              <w:ind w:right="317"/>
              <w:rPr>
                <w:b/>
                <w:sz w:val="18"/>
              </w:rPr>
            </w:pPr>
            <w:r w:rsidRPr="008F08FD">
              <w:rPr>
                <w:b/>
                <w:sz w:val="18"/>
              </w:rPr>
              <w:t>Adjusted Hourly Wage ($/hr)</w:t>
            </w:r>
          </w:p>
        </w:tc>
      </w:tr>
      <w:tr w:rsidR="008F08FD" w:rsidRPr="00F41588" w:rsidTr="008F08FD">
        <w:trPr>
          <w:trHeight w:val="489"/>
        </w:trPr>
        <w:tc>
          <w:tcPr>
            <w:tcW w:w="3325" w:type="dxa"/>
            <w:tcBorders>
              <w:top w:val="single" w:sz="3" w:space="0" w:color="000000"/>
            </w:tcBorders>
          </w:tcPr>
          <w:p w:rsidR="008F08FD" w:rsidRPr="00F41588" w:rsidRDefault="008F08FD" w:rsidP="00592CF1">
            <w:pPr>
              <w:pStyle w:val="TableParagraph"/>
              <w:spacing w:before="90"/>
              <w:ind w:left="51"/>
              <w:rPr>
                <w:sz w:val="18"/>
              </w:rPr>
            </w:pPr>
            <w:r w:rsidRPr="00F41588">
              <w:rPr>
                <w:sz w:val="18"/>
              </w:rPr>
              <w:t>Database Administrator</w:t>
            </w:r>
          </w:p>
        </w:tc>
        <w:tc>
          <w:tcPr>
            <w:tcW w:w="1477" w:type="dxa"/>
            <w:tcBorders>
              <w:top w:val="single" w:sz="3" w:space="0" w:color="000000"/>
            </w:tcBorders>
          </w:tcPr>
          <w:p w:rsidR="008F08FD" w:rsidRPr="00F41588" w:rsidRDefault="008F08FD" w:rsidP="00592CF1">
            <w:pPr>
              <w:pStyle w:val="TableParagraph"/>
              <w:spacing w:before="76"/>
              <w:rPr>
                <w:sz w:val="18"/>
              </w:rPr>
            </w:pPr>
            <w:r w:rsidRPr="00F41588">
              <w:rPr>
                <w:sz w:val="18"/>
              </w:rPr>
              <w:t>15-1141</w:t>
            </w:r>
          </w:p>
        </w:tc>
        <w:tc>
          <w:tcPr>
            <w:tcW w:w="1314" w:type="dxa"/>
            <w:tcBorders>
              <w:top w:val="single" w:sz="3" w:space="0" w:color="000000"/>
            </w:tcBorders>
          </w:tcPr>
          <w:p w:rsidR="008F08FD" w:rsidRPr="00F41588" w:rsidRDefault="008F08FD" w:rsidP="00592CF1">
            <w:pPr>
              <w:pStyle w:val="TableParagraph"/>
              <w:spacing w:before="63"/>
              <w:ind w:left="65"/>
              <w:rPr>
                <w:sz w:val="18"/>
              </w:rPr>
            </w:pPr>
            <w:r w:rsidRPr="00F41588">
              <w:rPr>
                <w:sz w:val="18"/>
              </w:rPr>
              <w:t>41.89</w:t>
            </w:r>
          </w:p>
        </w:tc>
        <w:tc>
          <w:tcPr>
            <w:tcW w:w="1530" w:type="dxa"/>
            <w:tcBorders>
              <w:top w:val="single" w:sz="3" w:space="0" w:color="000000"/>
              <w:right w:val="single" w:sz="3" w:space="0" w:color="000000"/>
            </w:tcBorders>
          </w:tcPr>
          <w:p w:rsidR="008F08FD" w:rsidRPr="00F41588" w:rsidRDefault="008F08FD" w:rsidP="00592CF1">
            <w:pPr>
              <w:pStyle w:val="TableParagraph"/>
              <w:spacing w:before="63"/>
              <w:ind w:left="89"/>
              <w:rPr>
                <w:sz w:val="18"/>
              </w:rPr>
            </w:pPr>
            <w:r w:rsidRPr="00F41588">
              <w:rPr>
                <w:sz w:val="18"/>
              </w:rPr>
              <w:t>41.89</w:t>
            </w:r>
          </w:p>
        </w:tc>
        <w:tc>
          <w:tcPr>
            <w:tcW w:w="1588" w:type="dxa"/>
            <w:tcBorders>
              <w:top w:val="single" w:sz="3" w:space="0" w:color="000000"/>
              <w:left w:val="single" w:sz="3" w:space="0" w:color="000000"/>
            </w:tcBorders>
          </w:tcPr>
          <w:p w:rsidR="008F08FD" w:rsidRPr="00F41588" w:rsidRDefault="008F08FD" w:rsidP="00592CF1">
            <w:pPr>
              <w:pStyle w:val="TableParagraph"/>
              <w:spacing w:before="76"/>
              <w:ind w:left="65"/>
              <w:rPr>
                <w:sz w:val="18"/>
              </w:rPr>
            </w:pPr>
            <w:r w:rsidRPr="00F41588">
              <w:rPr>
                <w:sz w:val="18"/>
              </w:rPr>
              <w:t>83.78</w:t>
            </w:r>
          </w:p>
        </w:tc>
      </w:tr>
      <w:tr w:rsidR="008F08FD" w:rsidRPr="00F41588" w:rsidTr="008F08FD">
        <w:trPr>
          <w:trHeight w:val="365"/>
        </w:trPr>
        <w:tc>
          <w:tcPr>
            <w:tcW w:w="3325" w:type="dxa"/>
          </w:tcPr>
          <w:p w:rsidR="008F08FD" w:rsidRPr="00F41588" w:rsidRDefault="008F08FD" w:rsidP="00592CF1">
            <w:pPr>
              <w:pStyle w:val="TableParagraph"/>
              <w:spacing w:line="166" w:lineRule="exact"/>
              <w:ind w:left="38"/>
              <w:rPr>
                <w:sz w:val="18"/>
              </w:rPr>
            </w:pPr>
            <w:r w:rsidRPr="00F41588">
              <w:rPr>
                <w:sz w:val="18"/>
              </w:rPr>
              <w:t>Health Services Manager</w:t>
            </w:r>
          </w:p>
        </w:tc>
        <w:tc>
          <w:tcPr>
            <w:tcW w:w="1477" w:type="dxa"/>
          </w:tcPr>
          <w:p w:rsidR="008F08FD" w:rsidRPr="00F41588" w:rsidRDefault="008F08FD" w:rsidP="00592CF1">
            <w:pPr>
              <w:pStyle w:val="TableParagraph"/>
              <w:spacing w:before="22"/>
              <w:ind w:left="88"/>
              <w:rPr>
                <w:sz w:val="18"/>
              </w:rPr>
            </w:pPr>
            <w:r w:rsidRPr="00F41588">
              <w:rPr>
                <w:sz w:val="18"/>
              </w:rPr>
              <w:t>11-9111</w:t>
            </w:r>
          </w:p>
        </w:tc>
        <w:tc>
          <w:tcPr>
            <w:tcW w:w="1314" w:type="dxa"/>
          </w:tcPr>
          <w:p w:rsidR="008F08FD" w:rsidRPr="00F41588" w:rsidRDefault="008F08FD" w:rsidP="00592CF1">
            <w:pPr>
              <w:pStyle w:val="TableParagraph"/>
              <w:spacing w:before="22"/>
              <w:ind w:left="77"/>
              <w:rPr>
                <w:sz w:val="18"/>
              </w:rPr>
            </w:pPr>
            <w:r w:rsidRPr="00F41588">
              <w:rPr>
                <w:sz w:val="18"/>
              </w:rPr>
              <w:t>52.58</w:t>
            </w:r>
          </w:p>
        </w:tc>
        <w:tc>
          <w:tcPr>
            <w:tcW w:w="1530" w:type="dxa"/>
            <w:tcBorders>
              <w:right w:val="single" w:sz="3" w:space="0" w:color="000000"/>
            </w:tcBorders>
          </w:tcPr>
          <w:p w:rsidR="008F08FD" w:rsidRPr="00F41588" w:rsidRDefault="008F08FD" w:rsidP="00592CF1">
            <w:pPr>
              <w:pStyle w:val="TableParagraph"/>
              <w:spacing w:before="4"/>
              <w:ind w:left="95"/>
              <w:rPr>
                <w:sz w:val="18"/>
              </w:rPr>
            </w:pPr>
            <w:r w:rsidRPr="00F41588">
              <w:rPr>
                <w:sz w:val="18"/>
              </w:rPr>
              <w:t>52.58</w:t>
            </w:r>
          </w:p>
        </w:tc>
        <w:tc>
          <w:tcPr>
            <w:tcW w:w="1588" w:type="dxa"/>
            <w:tcBorders>
              <w:left w:val="single" w:sz="3" w:space="0" w:color="000000"/>
            </w:tcBorders>
          </w:tcPr>
          <w:p w:rsidR="008F08FD" w:rsidRPr="00F41588" w:rsidRDefault="008F08FD" w:rsidP="00592CF1">
            <w:pPr>
              <w:pStyle w:val="TableParagraph"/>
              <w:spacing w:before="7"/>
              <w:ind w:left="62"/>
              <w:rPr>
                <w:sz w:val="18"/>
              </w:rPr>
            </w:pPr>
            <w:r w:rsidRPr="00F41588">
              <w:rPr>
                <w:sz w:val="18"/>
              </w:rPr>
              <w:t>105.16</w:t>
            </w:r>
          </w:p>
        </w:tc>
      </w:tr>
      <w:tr w:rsidR="007D7BA2" w:rsidRPr="00F41588" w:rsidTr="008F08FD">
        <w:trPr>
          <w:trHeight w:val="365"/>
        </w:trPr>
        <w:tc>
          <w:tcPr>
            <w:tcW w:w="3325" w:type="dxa"/>
          </w:tcPr>
          <w:p w:rsidR="007D7BA2" w:rsidRPr="00F41588" w:rsidRDefault="007D7BA2" w:rsidP="007D7BA2">
            <w:pPr>
              <w:pStyle w:val="TableParagraph"/>
              <w:spacing w:before="88"/>
              <w:ind w:left="65"/>
              <w:rPr>
                <w:sz w:val="18"/>
              </w:rPr>
            </w:pPr>
            <w:r w:rsidRPr="00F41588">
              <w:rPr>
                <w:sz w:val="18"/>
              </w:rPr>
              <w:t>Management Analyst</w:t>
            </w:r>
          </w:p>
        </w:tc>
        <w:tc>
          <w:tcPr>
            <w:tcW w:w="1477" w:type="dxa"/>
          </w:tcPr>
          <w:p w:rsidR="007D7BA2" w:rsidRPr="00F41588" w:rsidRDefault="007D7BA2" w:rsidP="007D7BA2">
            <w:pPr>
              <w:pStyle w:val="TableParagraph"/>
              <w:spacing w:before="84"/>
              <w:rPr>
                <w:sz w:val="18"/>
              </w:rPr>
            </w:pPr>
            <w:r w:rsidRPr="00F41588">
              <w:rPr>
                <w:sz w:val="18"/>
              </w:rPr>
              <w:t>13-1111</w:t>
            </w:r>
          </w:p>
        </w:tc>
        <w:tc>
          <w:tcPr>
            <w:tcW w:w="1314" w:type="dxa"/>
          </w:tcPr>
          <w:p w:rsidR="007D7BA2" w:rsidRPr="00F41588" w:rsidRDefault="007D7BA2" w:rsidP="007D7BA2">
            <w:pPr>
              <w:pStyle w:val="TableParagraph"/>
              <w:spacing w:before="84"/>
              <w:rPr>
                <w:sz w:val="18"/>
              </w:rPr>
            </w:pPr>
            <w:r w:rsidRPr="00F41588">
              <w:rPr>
                <w:sz w:val="18"/>
              </w:rPr>
              <w:t>44.19</w:t>
            </w:r>
          </w:p>
        </w:tc>
        <w:tc>
          <w:tcPr>
            <w:tcW w:w="1530" w:type="dxa"/>
            <w:tcBorders>
              <w:right w:val="single" w:sz="3" w:space="0" w:color="000000"/>
            </w:tcBorders>
          </w:tcPr>
          <w:p w:rsidR="007D7BA2" w:rsidRPr="00F41588" w:rsidRDefault="007D7BA2" w:rsidP="007D7BA2">
            <w:pPr>
              <w:pStyle w:val="TableParagraph"/>
              <w:spacing w:before="84"/>
              <w:ind w:left="76"/>
              <w:rPr>
                <w:sz w:val="18"/>
              </w:rPr>
            </w:pPr>
            <w:r w:rsidRPr="00F41588">
              <w:rPr>
                <w:sz w:val="18"/>
              </w:rPr>
              <w:t>44.19</w:t>
            </w:r>
          </w:p>
        </w:tc>
        <w:tc>
          <w:tcPr>
            <w:tcW w:w="1588" w:type="dxa"/>
            <w:tcBorders>
              <w:left w:val="single" w:sz="3" w:space="0" w:color="000000"/>
            </w:tcBorders>
          </w:tcPr>
          <w:p w:rsidR="007D7BA2" w:rsidRPr="00F41588" w:rsidRDefault="007D7BA2" w:rsidP="007D7BA2">
            <w:pPr>
              <w:pStyle w:val="TableParagraph"/>
              <w:spacing w:before="84"/>
              <w:rPr>
                <w:sz w:val="18"/>
              </w:rPr>
            </w:pPr>
            <w:r w:rsidRPr="00F41588">
              <w:rPr>
                <w:sz w:val="18"/>
              </w:rPr>
              <w:t>88.38</w:t>
            </w:r>
          </w:p>
        </w:tc>
      </w:tr>
    </w:tbl>
    <w:p w:rsidR="008F08FD" w:rsidRPr="008E4617" w:rsidRDefault="008F08FD" w:rsidP="008E4617">
      <w:pPr>
        <w:spacing w:after="0" w:line="240" w:lineRule="auto"/>
        <w:rPr>
          <w:szCs w:val="24"/>
        </w:rPr>
      </w:pPr>
    </w:p>
    <w:p w:rsidR="008E4617" w:rsidRPr="008E4617" w:rsidRDefault="008E4617" w:rsidP="008E4617">
      <w:pPr>
        <w:spacing w:after="0" w:line="240" w:lineRule="auto"/>
        <w:rPr>
          <w:szCs w:val="24"/>
        </w:rPr>
      </w:pPr>
      <w:r w:rsidRPr="008E4617">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8E4617" w:rsidRPr="008E4617" w:rsidRDefault="008E4617" w:rsidP="008E4617">
      <w:pPr>
        <w:spacing w:after="0" w:line="240" w:lineRule="auto"/>
        <w:rPr>
          <w:szCs w:val="24"/>
        </w:rPr>
      </w:pPr>
    </w:p>
    <w:p w:rsidR="008E4617" w:rsidRPr="008E4617" w:rsidRDefault="008E4617" w:rsidP="008E4617">
      <w:pPr>
        <w:spacing w:after="0" w:line="240" w:lineRule="auto"/>
        <w:rPr>
          <w:i/>
          <w:szCs w:val="24"/>
        </w:rPr>
      </w:pPr>
      <w:r w:rsidRPr="008E4617">
        <w:rPr>
          <w:i/>
          <w:szCs w:val="24"/>
        </w:rPr>
        <w:t xml:space="preserve">Burden </w:t>
      </w:r>
      <w:r w:rsidR="00EC451C">
        <w:rPr>
          <w:i/>
          <w:szCs w:val="24"/>
        </w:rPr>
        <w:t xml:space="preserve">(Time and Cost) </w:t>
      </w:r>
      <w:r w:rsidRPr="008E4617">
        <w:rPr>
          <w:i/>
          <w:szCs w:val="24"/>
        </w:rPr>
        <w:t>Estimate</w:t>
      </w:r>
      <w:r w:rsidR="007F7EC5">
        <w:rPr>
          <w:i/>
          <w:szCs w:val="24"/>
        </w:rPr>
        <w:t>s</w:t>
      </w:r>
    </w:p>
    <w:p w:rsidR="00737C80" w:rsidRDefault="00737C80" w:rsidP="008E4617">
      <w:pPr>
        <w:spacing w:after="0" w:line="240" w:lineRule="auto"/>
        <w:rPr>
          <w:szCs w:val="24"/>
        </w:rPr>
      </w:pPr>
    </w:p>
    <w:p w:rsidR="008F08FD" w:rsidRPr="005C3919" w:rsidRDefault="008F08FD" w:rsidP="0084192B">
      <w:pPr>
        <w:pStyle w:val="BodyText"/>
        <w:spacing w:after="240" w:line="252" w:lineRule="auto"/>
        <w:rPr>
          <w:i w:val="0"/>
          <w:sz w:val="24"/>
        </w:rPr>
      </w:pPr>
      <w:r w:rsidRPr="005C3919">
        <w:rPr>
          <w:i w:val="0"/>
          <w:sz w:val="24"/>
        </w:rPr>
        <w:t>Each state/territory must have an implementation plan that meet the section 1115 SUD demonstration goals and milestones established by CMS aimed at improving quality, accessibility, and outcomes of SUD treatment services in the most cost-effective manner; and details plans for improving the state’s SUD Health Information Technology (IT) infrastructure to enhance the state’s prescription drug monitoring program (PDMP). The burden is associated with completing the template provided to states/territories by CMS to assist in this</w:t>
      </w:r>
      <w:r w:rsidRPr="005C3919">
        <w:rPr>
          <w:i w:val="0"/>
          <w:spacing w:val="15"/>
          <w:sz w:val="24"/>
        </w:rPr>
        <w:t xml:space="preserve"> </w:t>
      </w:r>
      <w:r w:rsidRPr="005C3919">
        <w:rPr>
          <w:i w:val="0"/>
          <w:sz w:val="24"/>
        </w:rPr>
        <w:t>effort.</w:t>
      </w:r>
    </w:p>
    <w:p w:rsidR="008F08FD" w:rsidRPr="005C3919" w:rsidRDefault="008F08FD" w:rsidP="0015328C">
      <w:pPr>
        <w:pStyle w:val="BodyText"/>
        <w:spacing w:line="242" w:lineRule="auto"/>
        <w:rPr>
          <w:i w:val="0"/>
          <w:sz w:val="24"/>
        </w:rPr>
      </w:pPr>
      <w:r w:rsidRPr="005C3919">
        <w:rPr>
          <w:i w:val="0"/>
          <w:sz w:val="24"/>
        </w:rPr>
        <w:t>We estimate potentially 49 states/territories and 8 hours at $</w:t>
      </w:r>
      <w:r w:rsidR="00F50F49">
        <w:rPr>
          <w:i w:val="0"/>
          <w:sz w:val="24"/>
        </w:rPr>
        <w:t>88.38</w:t>
      </w:r>
      <w:r w:rsidRPr="005C3919">
        <w:rPr>
          <w:i w:val="0"/>
          <w:sz w:val="24"/>
        </w:rPr>
        <w:t>/hr for a management analyst to fill in the necessary information in the implementation plan template. We also estimate it will take 4 hours at $</w:t>
      </w:r>
      <w:r w:rsidR="0015328C">
        <w:rPr>
          <w:i w:val="0"/>
          <w:sz w:val="24"/>
        </w:rPr>
        <w:t>83.78/hr</w:t>
      </w:r>
      <w:r w:rsidRPr="005C3919">
        <w:rPr>
          <w:i w:val="0"/>
          <w:sz w:val="24"/>
        </w:rPr>
        <w:t xml:space="preserve"> for a database administrator to provide relevant details of the respective state/territory's plan to improve Health IT infrastructure.  Last, we estimate it will ta</w:t>
      </w:r>
      <w:r w:rsidR="0015328C">
        <w:rPr>
          <w:i w:val="0"/>
          <w:sz w:val="24"/>
        </w:rPr>
        <w:t>ke</w:t>
      </w:r>
      <w:r w:rsidRPr="005C3919">
        <w:rPr>
          <w:i w:val="0"/>
          <w:sz w:val="24"/>
        </w:rPr>
        <w:t xml:space="preserve"> 4 hours at</w:t>
      </w:r>
      <w:r w:rsidR="005B14CC">
        <w:rPr>
          <w:i w:val="0"/>
          <w:sz w:val="24"/>
        </w:rPr>
        <w:t xml:space="preserve"> </w:t>
      </w:r>
      <w:r w:rsidRPr="005C3919">
        <w:rPr>
          <w:i w:val="0"/>
          <w:sz w:val="24"/>
        </w:rPr>
        <w:t>$</w:t>
      </w:r>
      <w:r w:rsidR="0015328C">
        <w:rPr>
          <w:i w:val="0"/>
          <w:sz w:val="24"/>
        </w:rPr>
        <w:t xml:space="preserve">105.16/hr </w:t>
      </w:r>
      <w:r w:rsidRPr="005C3919">
        <w:rPr>
          <w:i w:val="0"/>
          <w:sz w:val="24"/>
        </w:rPr>
        <w:t>for a health services manager to review, provide feedback, approve and submit the implementation plan document to CMS.</w:t>
      </w:r>
    </w:p>
    <w:p w:rsidR="005B14CC" w:rsidRDefault="005B14CC" w:rsidP="008F08FD">
      <w:pPr>
        <w:pStyle w:val="BodyText"/>
        <w:rPr>
          <w:i w:val="0"/>
          <w:sz w:val="24"/>
        </w:rPr>
      </w:pPr>
    </w:p>
    <w:p w:rsidR="008F08FD" w:rsidRDefault="004563F0" w:rsidP="007D7BA2">
      <w:pPr>
        <w:pStyle w:val="BodyText"/>
        <w:rPr>
          <w:i w:val="0"/>
          <w:sz w:val="24"/>
        </w:rPr>
      </w:pPr>
      <w:r>
        <w:rPr>
          <w:i w:val="0"/>
          <w:sz w:val="24"/>
        </w:rPr>
        <w:t>In aggregate, w</w:t>
      </w:r>
      <w:r w:rsidR="008F08FD" w:rsidRPr="005C3919">
        <w:rPr>
          <w:i w:val="0"/>
          <w:sz w:val="24"/>
        </w:rPr>
        <w:t>e estimate a one-time state/territory burden of 784 hr (49 states x 16 hr/response) a</w:t>
      </w:r>
      <w:r w:rsidR="007D7BA2">
        <w:rPr>
          <w:i w:val="0"/>
          <w:sz w:val="24"/>
        </w:rPr>
        <w:t xml:space="preserve">t a cost of </w:t>
      </w:r>
      <w:r>
        <w:rPr>
          <w:i w:val="0"/>
          <w:sz w:val="24"/>
        </w:rPr>
        <w:t>$</w:t>
      </w:r>
      <w:r w:rsidRPr="004563F0">
        <w:rPr>
          <w:i w:val="0"/>
          <w:sz w:val="24"/>
        </w:rPr>
        <w:t>71,677.2</w:t>
      </w:r>
      <w:r>
        <w:rPr>
          <w:i w:val="0"/>
          <w:sz w:val="24"/>
        </w:rPr>
        <w:t>0</w:t>
      </w:r>
      <w:r w:rsidR="008F08FD" w:rsidRPr="005C3919">
        <w:rPr>
          <w:i w:val="0"/>
          <w:sz w:val="24"/>
        </w:rPr>
        <w:t xml:space="preserve"> </w:t>
      </w:r>
      <w:r>
        <w:rPr>
          <w:i w:val="0"/>
          <w:sz w:val="24"/>
        </w:rPr>
        <w:t>[49 states x (</w:t>
      </w:r>
      <w:r w:rsidR="008F08FD" w:rsidRPr="005C3919">
        <w:rPr>
          <w:i w:val="0"/>
          <w:sz w:val="24"/>
        </w:rPr>
        <w:t>(8 hr x</w:t>
      </w:r>
      <w:r w:rsidR="00F50F49">
        <w:rPr>
          <w:i w:val="0"/>
          <w:sz w:val="24"/>
        </w:rPr>
        <w:t xml:space="preserve"> $88.38</w:t>
      </w:r>
      <w:r w:rsidR="0015328C">
        <w:rPr>
          <w:i w:val="0"/>
          <w:sz w:val="24"/>
        </w:rPr>
        <w:t>/hr) + (4 hr x $83.78/hr) + (4 hr x $105.16</w:t>
      </w:r>
      <w:r w:rsidR="008F08FD" w:rsidRPr="005C3919">
        <w:rPr>
          <w:i w:val="0"/>
          <w:sz w:val="24"/>
        </w:rPr>
        <w:t>/hr)</w:t>
      </w:r>
      <w:r>
        <w:rPr>
          <w:i w:val="0"/>
          <w:sz w:val="24"/>
        </w:rPr>
        <w:t>)</w:t>
      </w:r>
      <w:r w:rsidR="008F08FD" w:rsidRPr="005C3919">
        <w:rPr>
          <w:i w:val="0"/>
          <w:sz w:val="24"/>
        </w:rPr>
        <w:t>]</w:t>
      </w:r>
      <w:r>
        <w:rPr>
          <w:i w:val="0"/>
          <w:sz w:val="24"/>
        </w:rPr>
        <w:t xml:space="preserve"> or $</w:t>
      </w:r>
      <w:r w:rsidRPr="004563F0">
        <w:rPr>
          <w:i w:val="0"/>
          <w:sz w:val="24"/>
        </w:rPr>
        <w:t>1,462.8</w:t>
      </w:r>
      <w:r>
        <w:rPr>
          <w:i w:val="0"/>
          <w:sz w:val="24"/>
        </w:rPr>
        <w:t>0 per state ($</w:t>
      </w:r>
      <w:r w:rsidRPr="004563F0">
        <w:rPr>
          <w:i w:val="0"/>
          <w:sz w:val="24"/>
        </w:rPr>
        <w:t>71,677.2</w:t>
      </w:r>
      <w:r>
        <w:rPr>
          <w:i w:val="0"/>
          <w:sz w:val="24"/>
        </w:rPr>
        <w:t>0/49 states)</w:t>
      </w:r>
      <w:r w:rsidR="008F08FD" w:rsidRPr="005C3919">
        <w:rPr>
          <w:i w:val="0"/>
          <w:sz w:val="24"/>
        </w:rPr>
        <w:t>.</w:t>
      </w:r>
    </w:p>
    <w:p w:rsidR="00584BB1" w:rsidRPr="008A60AF" w:rsidRDefault="00584BB1" w:rsidP="00737C80">
      <w:pPr>
        <w:spacing w:after="0" w:line="240" w:lineRule="auto"/>
        <w:rPr>
          <w:i/>
          <w:szCs w:val="24"/>
        </w:rPr>
      </w:pPr>
    </w:p>
    <w:p w:rsidR="00737C80" w:rsidRPr="008A60AF" w:rsidRDefault="00737C80" w:rsidP="00737C80">
      <w:pPr>
        <w:spacing w:after="0" w:line="240" w:lineRule="auto"/>
        <w:rPr>
          <w:i/>
          <w:szCs w:val="24"/>
        </w:rPr>
      </w:pPr>
      <w:r w:rsidRPr="008A60AF">
        <w:rPr>
          <w:i/>
          <w:szCs w:val="24"/>
        </w:rPr>
        <w:t>Information Collection Instruments and Instruction/Guidance Documents</w:t>
      </w:r>
    </w:p>
    <w:p w:rsidR="00737C80" w:rsidRPr="008A60AF" w:rsidRDefault="00737C80" w:rsidP="00737C80">
      <w:pPr>
        <w:spacing w:after="0" w:line="240" w:lineRule="auto"/>
        <w:rPr>
          <w:szCs w:val="24"/>
        </w:rPr>
      </w:pPr>
    </w:p>
    <w:tbl>
      <w:tblPr>
        <w:tblW w:w="0" w:type="auto"/>
        <w:tblLayout w:type="fixed"/>
        <w:tblCellMar>
          <w:left w:w="0" w:type="dxa"/>
          <w:right w:w="0" w:type="dxa"/>
        </w:tblCellMar>
        <w:tblLook w:val="01E0" w:firstRow="1" w:lastRow="1" w:firstColumn="1" w:lastColumn="1" w:noHBand="0" w:noVBand="0"/>
      </w:tblPr>
      <w:tblGrid>
        <w:gridCol w:w="9180"/>
      </w:tblGrid>
      <w:tr w:rsidR="008F08FD" w:rsidRPr="008A60AF" w:rsidTr="0084192B">
        <w:trPr>
          <w:trHeight w:hRule="exact" w:val="890"/>
        </w:trPr>
        <w:tc>
          <w:tcPr>
            <w:tcW w:w="9180" w:type="dxa"/>
          </w:tcPr>
          <w:p w:rsidR="008F08FD" w:rsidRPr="008A60AF" w:rsidRDefault="008F08FD" w:rsidP="0084192B">
            <w:pPr>
              <w:pStyle w:val="TableParagraph"/>
              <w:numPr>
                <w:ilvl w:val="0"/>
                <w:numId w:val="13"/>
              </w:numPr>
              <w:spacing w:before="8" w:line="242" w:lineRule="auto"/>
              <w:rPr>
                <w:sz w:val="24"/>
                <w:szCs w:val="24"/>
              </w:rPr>
            </w:pPr>
            <w:r w:rsidRPr="008A60AF">
              <w:rPr>
                <w:sz w:val="24"/>
                <w:szCs w:val="24"/>
              </w:rPr>
              <w:t>Section 1115 Substance Use Disorder (SUD) Demonstration: Guide for Developing Implementation Plan Protocols - A template and guidelines for developing SUD section 1115 demonstration implementation plans for states.</w:t>
            </w:r>
          </w:p>
          <w:p w:rsidR="0084192B" w:rsidRPr="008A60AF" w:rsidRDefault="0084192B" w:rsidP="0084192B">
            <w:pPr>
              <w:pStyle w:val="TableParagraph"/>
              <w:spacing w:before="8" w:line="242" w:lineRule="auto"/>
              <w:rPr>
                <w:sz w:val="24"/>
                <w:szCs w:val="24"/>
              </w:rPr>
            </w:pPr>
          </w:p>
          <w:p w:rsidR="0084192B" w:rsidRPr="008A60AF" w:rsidRDefault="0084192B" w:rsidP="0084192B">
            <w:pPr>
              <w:pStyle w:val="TableParagraph"/>
              <w:numPr>
                <w:ilvl w:val="0"/>
                <w:numId w:val="13"/>
              </w:numPr>
              <w:spacing w:before="8" w:line="242" w:lineRule="auto"/>
              <w:rPr>
                <w:sz w:val="24"/>
                <w:szCs w:val="24"/>
              </w:rPr>
            </w:pPr>
          </w:p>
        </w:tc>
      </w:tr>
      <w:tr w:rsidR="008F08FD" w:rsidRPr="008A60AF" w:rsidTr="0084192B">
        <w:trPr>
          <w:trHeight w:hRule="exact" w:val="709"/>
        </w:trPr>
        <w:tc>
          <w:tcPr>
            <w:tcW w:w="9180" w:type="dxa"/>
          </w:tcPr>
          <w:p w:rsidR="008F08FD" w:rsidRPr="008A60AF" w:rsidRDefault="008F08FD" w:rsidP="0084192B">
            <w:pPr>
              <w:pStyle w:val="TableParagraph"/>
              <w:numPr>
                <w:ilvl w:val="0"/>
                <w:numId w:val="15"/>
              </w:numPr>
              <w:spacing w:line="242" w:lineRule="auto"/>
              <w:rPr>
                <w:sz w:val="24"/>
                <w:szCs w:val="24"/>
              </w:rPr>
            </w:pPr>
            <w:r w:rsidRPr="008A60AF">
              <w:rPr>
                <w:sz w:val="24"/>
                <w:szCs w:val="24"/>
              </w:rPr>
              <w:t>CMS SMD Letter (November 1, 2017) - details goals, milestones and requirements for implementing new SUD section 1115 demonstrations.</w:t>
            </w:r>
          </w:p>
          <w:p w:rsidR="0084192B" w:rsidRPr="008A60AF" w:rsidRDefault="0084192B" w:rsidP="0084192B">
            <w:pPr>
              <w:pStyle w:val="TableParagraph"/>
              <w:spacing w:line="242" w:lineRule="auto"/>
              <w:ind w:left="720"/>
              <w:rPr>
                <w:sz w:val="24"/>
                <w:szCs w:val="24"/>
              </w:rPr>
            </w:pPr>
          </w:p>
        </w:tc>
      </w:tr>
    </w:tbl>
    <w:p w:rsidR="008A60AF" w:rsidRPr="008A60AF" w:rsidRDefault="008A60AF" w:rsidP="008A60AF">
      <w:pPr>
        <w:pStyle w:val="Heading1"/>
        <w:spacing w:after="0"/>
        <w:rPr>
          <w:szCs w:val="24"/>
        </w:rPr>
      </w:pPr>
    </w:p>
    <w:p w:rsidR="008A60AF" w:rsidRPr="008A60AF" w:rsidRDefault="008A60AF" w:rsidP="008A60AF">
      <w:pPr>
        <w:pStyle w:val="BodyText"/>
        <w:rPr>
          <w:sz w:val="24"/>
          <w:szCs w:val="24"/>
        </w:rPr>
      </w:pPr>
      <w:r w:rsidRPr="008A60AF">
        <w:rPr>
          <w:sz w:val="24"/>
          <w:szCs w:val="24"/>
        </w:rPr>
        <w:t>Forthcoming Information Collection Instruments and Instruction/Guidance Documents</w:t>
      </w:r>
    </w:p>
    <w:p w:rsidR="008A60AF" w:rsidRPr="008A60AF" w:rsidRDefault="008A60AF" w:rsidP="008A60AF">
      <w:pPr>
        <w:pStyle w:val="BodyText"/>
        <w:rPr>
          <w:i w:val="0"/>
          <w:sz w:val="24"/>
          <w:szCs w:val="24"/>
        </w:rPr>
      </w:pPr>
    </w:p>
    <w:p w:rsidR="008A60AF" w:rsidRPr="008A60AF" w:rsidRDefault="008A60AF" w:rsidP="008A60AF">
      <w:pPr>
        <w:pStyle w:val="BodyText"/>
        <w:rPr>
          <w:i w:val="0"/>
          <w:sz w:val="24"/>
          <w:szCs w:val="24"/>
        </w:rPr>
      </w:pPr>
      <w:r w:rsidRPr="008A60AF">
        <w:rPr>
          <w:i w:val="0"/>
          <w:sz w:val="24"/>
          <w:szCs w:val="24"/>
        </w:rPr>
        <w:t xml:space="preserve">In addition to the </w:t>
      </w:r>
      <w:r w:rsidR="00C61571">
        <w:rPr>
          <w:i w:val="0"/>
          <w:sz w:val="24"/>
          <w:szCs w:val="24"/>
        </w:rPr>
        <w:t>implementation p</w:t>
      </w:r>
      <w:r w:rsidRPr="008A60AF">
        <w:rPr>
          <w:i w:val="0"/>
          <w:sz w:val="24"/>
          <w:szCs w:val="24"/>
        </w:rPr>
        <w:t xml:space="preserve">lan requirements, the November 1, 2017, </w:t>
      </w:r>
      <w:r>
        <w:rPr>
          <w:i w:val="0"/>
          <w:sz w:val="24"/>
          <w:szCs w:val="24"/>
        </w:rPr>
        <w:t xml:space="preserve">SMD </w:t>
      </w:r>
      <w:r w:rsidRPr="008A60AF">
        <w:rPr>
          <w:i w:val="0"/>
          <w:sz w:val="24"/>
          <w:szCs w:val="24"/>
        </w:rPr>
        <w:t xml:space="preserve">letter </w:t>
      </w:r>
      <w:r>
        <w:rPr>
          <w:i w:val="0"/>
          <w:sz w:val="24"/>
          <w:szCs w:val="24"/>
        </w:rPr>
        <w:t xml:space="preserve">triggers the following SUD-related </w:t>
      </w:r>
      <w:r w:rsidRPr="008A60AF">
        <w:rPr>
          <w:i w:val="0"/>
          <w:sz w:val="24"/>
          <w:szCs w:val="24"/>
        </w:rPr>
        <w:t>requirements</w:t>
      </w:r>
      <w:r>
        <w:rPr>
          <w:i w:val="0"/>
          <w:sz w:val="24"/>
          <w:szCs w:val="24"/>
        </w:rPr>
        <w:t xml:space="preserve"> whose </w:t>
      </w:r>
      <w:r w:rsidRPr="008A60AF">
        <w:rPr>
          <w:i w:val="0"/>
          <w:sz w:val="24"/>
          <w:szCs w:val="24"/>
        </w:rPr>
        <w:t xml:space="preserve">burden will be furnished to OMB </w:t>
      </w:r>
      <w:r>
        <w:rPr>
          <w:i w:val="0"/>
          <w:sz w:val="24"/>
          <w:szCs w:val="24"/>
        </w:rPr>
        <w:t xml:space="preserve">for approval (user this 0938-1148 control number) </w:t>
      </w:r>
      <w:r w:rsidRPr="008A60AF">
        <w:rPr>
          <w:i w:val="0"/>
          <w:sz w:val="24"/>
          <w:szCs w:val="24"/>
        </w:rPr>
        <w:t xml:space="preserve">when ready. </w:t>
      </w:r>
    </w:p>
    <w:p w:rsidR="008A60AF" w:rsidRPr="008A60AF" w:rsidRDefault="008A60AF" w:rsidP="008A60AF">
      <w:pPr>
        <w:pStyle w:val="BodyText"/>
        <w:rPr>
          <w:i w:val="0"/>
          <w:sz w:val="24"/>
          <w:szCs w:val="24"/>
        </w:rPr>
      </w:pPr>
    </w:p>
    <w:p w:rsidR="008A60AF" w:rsidRPr="008A60AF" w:rsidRDefault="008A60AF" w:rsidP="008A60AF">
      <w:pPr>
        <w:pStyle w:val="ListParagraph"/>
        <w:numPr>
          <w:ilvl w:val="0"/>
          <w:numId w:val="16"/>
        </w:numPr>
        <w:spacing w:after="0" w:line="240" w:lineRule="auto"/>
        <w:contextualSpacing w:val="0"/>
        <w:rPr>
          <w:rFonts w:ascii="Times New Roman" w:hAnsi="Times New Roman"/>
          <w:color w:val="000000" w:themeColor="text1"/>
          <w:sz w:val="24"/>
          <w:szCs w:val="24"/>
        </w:rPr>
      </w:pPr>
      <w:r w:rsidRPr="008A60AF">
        <w:rPr>
          <w:rFonts w:ascii="Times New Roman" w:hAnsi="Times New Roman"/>
          <w:color w:val="000000" w:themeColor="text1"/>
          <w:sz w:val="24"/>
          <w:szCs w:val="24"/>
        </w:rPr>
        <w:t>Section 1115 SUD Demonstration Monitoring Protocol</w:t>
      </w:r>
    </w:p>
    <w:p w:rsidR="008A60AF" w:rsidRPr="008A60AF" w:rsidRDefault="008A60AF" w:rsidP="008A60AF">
      <w:pPr>
        <w:pStyle w:val="ListParagraph"/>
        <w:numPr>
          <w:ilvl w:val="0"/>
          <w:numId w:val="16"/>
        </w:numPr>
        <w:spacing w:after="0" w:line="240" w:lineRule="auto"/>
        <w:contextualSpacing w:val="0"/>
        <w:rPr>
          <w:rFonts w:ascii="Times New Roman" w:hAnsi="Times New Roman"/>
          <w:color w:val="000000" w:themeColor="text1"/>
          <w:sz w:val="24"/>
          <w:szCs w:val="24"/>
        </w:rPr>
      </w:pPr>
      <w:r w:rsidRPr="008A60AF">
        <w:rPr>
          <w:rFonts w:ascii="Times New Roman" w:hAnsi="Times New Roman"/>
          <w:color w:val="000000" w:themeColor="text1"/>
          <w:sz w:val="24"/>
          <w:szCs w:val="24"/>
        </w:rPr>
        <w:t xml:space="preserve">Section 1115 SUD Demonstration Financial Reporting/Budget Neutrality Template </w:t>
      </w:r>
    </w:p>
    <w:p w:rsidR="008A60AF" w:rsidRPr="008A60AF" w:rsidRDefault="008A60AF" w:rsidP="008A60AF">
      <w:pPr>
        <w:pStyle w:val="ListParagraph"/>
        <w:numPr>
          <w:ilvl w:val="0"/>
          <w:numId w:val="16"/>
        </w:numPr>
        <w:spacing w:after="0" w:line="240" w:lineRule="auto"/>
        <w:contextualSpacing w:val="0"/>
        <w:rPr>
          <w:rFonts w:ascii="Times New Roman" w:hAnsi="Times New Roman"/>
          <w:color w:val="000000" w:themeColor="text1"/>
          <w:sz w:val="24"/>
          <w:szCs w:val="24"/>
        </w:rPr>
      </w:pPr>
      <w:r w:rsidRPr="008A60AF">
        <w:rPr>
          <w:rFonts w:ascii="Times New Roman" w:hAnsi="Times New Roman"/>
          <w:color w:val="000000" w:themeColor="text1"/>
          <w:sz w:val="24"/>
          <w:szCs w:val="24"/>
        </w:rPr>
        <w:t xml:space="preserve">Section 1115 SUD Demonstration </w:t>
      </w:r>
      <w:r w:rsidR="00BD2D19">
        <w:rPr>
          <w:rFonts w:ascii="Times New Roman" w:hAnsi="Times New Roman"/>
          <w:color w:val="000000" w:themeColor="text1"/>
          <w:sz w:val="24"/>
          <w:szCs w:val="24"/>
        </w:rPr>
        <w:t>Metrics</w:t>
      </w:r>
    </w:p>
    <w:p w:rsidR="008A60AF" w:rsidRPr="008A60AF" w:rsidRDefault="00C1665C" w:rsidP="008A60AF">
      <w:pPr>
        <w:pStyle w:val="ListParagraph"/>
        <w:numPr>
          <w:ilvl w:val="0"/>
          <w:numId w:val="16"/>
        </w:numPr>
        <w:spacing w:after="0" w:line="240" w:lineRule="auto"/>
        <w:contextualSpacing w:val="0"/>
        <w:rPr>
          <w:rFonts w:ascii="Times New Roman" w:hAnsi="Times New Roman"/>
          <w:color w:val="000000" w:themeColor="text1"/>
          <w:sz w:val="24"/>
          <w:szCs w:val="24"/>
        </w:rPr>
      </w:pPr>
      <w:r>
        <w:rPr>
          <w:rFonts w:ascii="Times New Roman" w:hAnsi="Times New Roman"/>
          <w:color w:val="000000" w:themeColor="text1"/>
          <w:sz w:val="24"/>
          <w:szCs w:val="24"/>
        </w:rPr>
        <w:t>Section 1115 SUD Demonstration E</w:t>
      </w:r>
      <w:r w:rsidR="008A60AF" w:rsidRPr="008A60AF">
        <w:rPr>
          <w:rFonts w:ascii="Times New Roman" w:hAnsi="Times New Roman"/>
          <w:color w:val="000000" w:themeColor="text1"/>
          <w:sz w:val="24"/>
          <w:szCs w:val="24"/>
        </w:rPr>
        <w:t xml:space="preserve">valuation </w:t>
      </w:r>
      <w:r>
        <w:rPr>
          <w:rFonts w:ascii="Times New Roman" w:hAnsi="Times New Roman"/>
          <w:color w:val="000000" w:themeColor="text1"/>
          <w:sz w:val="24"/>
          <w:szCs w:val="24"/>
        </w:rPr>
        <w:t>D</w:t>
      </w:r>
      <w:r w:rsidR="008A60AF" w:rsidRPr="008A60AF">
        <w:rPr>
          <w:rFonts w:ascii="Times New Roman" w:hAnsi="Times New Roman"/>
          <w:color w:val="000000" w:themeColor="text1"/>
          <w:sz w:val="24"/>
          <w:szCs w:val="24"/>
        </w:rPr>
        <w:t xml:space="preserve">esign Template </w:t>
      </w:r>
    </w:p>
    <w:p w:rsidR="008A60AF" w:rsidRPr="008A60AF" w:rsidRDefault="008A60AF" w:rsidP="008A60AF">
      <w:pPr>
        <w:pStyle w:val="Heading1"/>
        <w:spacing w:after="0"/>
        <w:rPr>
          <w:szCs w:val="24"/>
        </w:rPr>
      </w:pPr>
    </w:p>
    <w:p w:rsidR="00737C80" w:rsidRPr="008A60AF" w:rsidRDefault="007D6E75" w:rsidP="008A60AF">
      <w:pPr>
        <w:pStyle w:val="Heading1"/>
        <w:spacing w:after="0"/>
        <w:rPr>
          <w:szCs w:val="24"/>
        </w:rPr>
      </w:pPr>
      <w:r w:rsidRPr="008A60AF">
        <w:rPr>
          <w:szCs w:val="24"/>
        </w:rPr>
        <w:t>E. Timeline</w:t>
      </w:r>
    </w:p>
    <w:p w:rsidR="00A551BC" w:rsidRPr="004563F0" w:rsidRDefault="00D35FF1" w:rsidP="0084192B">
      <w:pPr>
        <w:pStyle w:val="BodyText"/>
        <w:spacing w:before="94"/>
        <w:rPr>
          <w:i w:val="0"/>
          <w:sz w:val="24"/>
        </w:rPr>
      </w:pPr>
      <w:r>
        <w:rPr>
          <w:i w:val="0"/>
          <w:sz w:val="24"/>
        </w:rPr>
        <w:t xml:space="preserve">The plan </w:t>
      </w:r>
      <w:r w:rsidRPr="00D35FF1">
        <w:rPr>
          <w:i w:val="0"/>
          <w:sz w:val="24"/>
        </w:rPr>
        <w:t xml:space="preserve">will be </w:t>
      </w:r>
      <w:r>
        <w:rPr>
          <w:i w:val="0"/>
          <w:sz w:val="24"/>
        </w:rPr>
        <w:t xml:space="preserve">posted </w:t>
      </w:r>
      <w:r w:rsidRPr="00D35FF1">
        <w:rPr>
          <w:i w:val="0"/>
          <w:sz w:val="24"/>
        </w:rPr>
        <w:t>on the state’s website and our website</w:t>
      </w:r>
      <w:r>
        <w:rPr>
          <w:i w:val="0"/>
          <w:sz w:val="24"/>
        </w:rPr>
        <w:t>.</w:t>
      </w:r>
    </w:p>
    <w:p w:rsidR="004563F0" w:rsidRDefault="004563F0" w:rsidP="0084192B">
      <w:pPr>
        <w:pStyle w:val="BodyText"/>
        <w:spacing w:before="94"/>
        <w:rPr>
          <w:szCs w:val="24"/>
        </w:rPr>
      </w:pPr>
    </w:p>
    <w:sectPr w:rsidR="004563F0" w:rsidSect="005B4F1B">
      <w:pgSz w:w="12240" w:h="15840" w:code="1"/>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51" w:rsidRDefault="00F90651" w:rsidP="008111D2">
      <w:pPr>
        <w:spacing w:after="0" w:line="240" w:lineRule="auto"/>
      </w:pPr>
      <w:r>
        <w:separator/>
      </w:r>
    </w:p>
  </w:endnote>
  <w:endnote w:type="continuationSeparator" w:id="0">
    <w:p w:rsidR="00F90651" w:rsidRDefault="00F90651"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51" w:rsidRDefault="00F90651" w:rsidP="008111D2">
      <w:pPr>
        <w:spacing w:after="0" w:line="240" w:lineRule="auto"/>
      </w:pPr>
      <w:r>
        <w:separator/>
      </w:r>
    </w:p>
  </w:footnote>
  <w:footnote w:type="continuationSeparator" w:id="0">
    <w:p w:rsidR="00F90651" w:rsidRDefault="00F90651"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A3B5D"/>
    <w:multiLevelType w:val="hybridMultilevel"/>
    <w:tmpl w:val="C9428992"/>
    <w:lvl w:ilvl="0" w:tplc="9AAC1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E2CCC"/>
    <w:multiLevelType w:val="hybridMultilevel"/>
    <w:tmpl w:val="AF641844"/>
    <w:lvl w:ilvl="0" w:tplc="9AAC1F2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64699E"/>
    <w:multiLevelType w:val="hybridMultilevel"/>
    <w:tmpl w:val="3952673A"/>
    <w:lvl w:ilvl="0" w:tplc="B03A301A">
      <w:numFmt w:val="bullet"/>
      <w:lvlText w:val="•"/>
      <w:lvlJc w:val="left"/>
      <w:pPr>
        <w:ind w:left="192" w:hanging="547"/>
      </w:pPr>
      <w:rPr>
        <w:rFonts w:ascii="Times New Roman" w:eastAsia="Times New Roman" w:hAnsi="Times New Roman" w:cs="Times New Roman" w:hint="default"/>
        <w:w w:val="101"/>
        <w:sz w:val="18"/>
        <w:szCs w:val="18"/>
      </w:rPr>
    </w:lvl>
    <w:lvl w:ilvl="1" w:tplc="9D2AE752">
      <w:numFmt w:val="bullet"/>
      <w:lvlText w:val="•"/>
      <w:lvlJc w:val="left"/>
      <w:pPr>
        <w:ind w:left="1314" w:hanging="547"/>
      </w:pPr>
      <w:rPr>
        <w:rFonts w:hint="default"/>
      </w:rPr>
    </w:lvl>
    <w:lvl w:ilvl="2" w:tplc="B9B0159A">
      <w:numFmt w:val="bullet"/>
      <w:lvlText w:val="•"/>
      <w:lvlJc w:val="left"/>
      <w:pPr>
        <w:ind w:left="2428" w:hanging="547"/>
      </w:pPr>
      <w:rPr>
        <w:rFonts w:hint="default"/>
      </w:rPr>
    </w:lvl>
    <w:lvl w:ilvl="3" w:tplc="31C2455C">
      <w:numFmt w:val="bullet"/>
      <w:lvlText w:val="•"/>
      <w:lvlJc w:val="left"/>
      <w:pPr>
        <w:ind w:left="3542" w:hanging="547"/>
      </w:pPr>
      <w:rPr>
        <w:rFonts w:hint="default"/>
      </w:rPr>
    </w:lvl>
    <w:lvl w:ilvl="4" w:tplc="44A4A444">
      <w:numFmt w:val="bullet"/>
      <w:lvlText w:val="•"/>
      <w:lvlJc w:val="left"/>
      <w:pPr>
        <w:ind w:left="4656" w:hanging="547"/>
      </w:pPr>
      <w:rPr>
        <w:rFonts w:hint="default"/>
      </w:rPr>
    </w:lvl>
    <w:lvl w:ilvl="5" w:tplc="6E4275B4">
      <w:numFmt w:val="bullet"/>
      <w:lvlText w:val="•"/>
      <w:lvlJc w:val="left"/>
      <w:pPr>
        <w:ind w:left="5770" w:hanging="547"/>
      </w:pPr>
      <w:rPr>
        <w:rFonts w:hint="default"/>
      </w:rPr>
    </w:lvl>
    <w:lvl w:ilvl="6" w:tplc="0C020990">
      <w:numFmt w:val="bullet"/>
      <w:lvlText w:val="•"/>
      <w:lvlJc w:val="left"/>
      <w:pPr>
        <w:ind w:left="6884" w:hanging="547"/>
      </w:pPr>
      <w:rPr>
        <w:rFonts w:hint="default"/>
      </w:rPr>
    </w:lvl>
    <w:lvl w:ilvl="7" w:tplc="4672EDB6">
      <w:numFmt w:val="bullet"/>
      <w:lvlText w:val="•"/>
      <w:lvlJc w:val="left"/>
      <w:pPr>
        <w:ind w:left="7998" w:hanging="547"/>
      </w:pPr>
      <w:rPr>
        <w:rFonts w:hint="default"/>
      </w:rPr>
    </w:lvl>
    <w:lvl w:ilvl="8" w:tplc="1400AAE6">
      <w:numFmt w:val="bullet"/>
      <w:lvlText w:val="•"/>
      <w:lvlJc w:val="left"/>
      <w:pPr>
        <w:ind w:left="9112" w:hanging="547"/>
      </w:pPr>
      <w:rPr>
        <w:rFonts w:hint="default"/>
      </w:rPr>
    </w:lvl>
  </w:abstractNum>
  <w:abstractNum w:abstractNumId="9">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042AD8"/>
    <w:multiLevelType w:val="hybridMultilevel"/>
    <w:tmpl w:val="CF1262D2"/>
    <w:lvl w:ilvl="0" w:tplc="984282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8521A"/>
    <w:multiLevelType w:val="hybridMultilevel"/>
    <w:tmpl w:val="DE8C564A"/>
    <w:lvl w:ilvl="0" w:tplc="9AAC1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2"/>
  </w:num>
  <w:num w:numId="6">
    <w:abstractNumId w:val="5"/>
  </w:num>
  <w:num w:numId="7">
    <w:abstractNumId w:val="6"/>
  </w:num>
  <w:num w:numId="8">
    <w:abstractNumId w:val="10"/>
  </w:num>
  <w:num w:numId="9">
    <w:abstractNumId w:val="0"/>
  </w:num>
  <w:num w:numId="10">
    <w:abstractNumId w:val="13"/>
  </w:num>
  <w:num w:numId="11">
    <w:abstractNumId w:val="1"/>
  </w:num>
  <w:num w:numId="12">
    <w:abstractNumId w:val="8"/>
  </w:num>
  <w:num w:numId="13">
    <w:abstractNumId w:val="3"/>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15FB5"/>
    <w:rsid w:val="0003161D"/>
    <w:rsid w:val="000362BD"/>
    <w:rsid w:val="00043D0E"/>
    <w:rsid w:val="000712B4"/>
    <w:rsid w:val="000722FE"/>
    <w:rsid w:val="00087B5B"/>
    <w:rsid w:val="000B28B2"/>
    <w:rsid w:val="000D1CFD"/>
    <w:rsid w:val="000E55DA"/>
    <w:rsid w:val="000E6C4E"/>
    <w:rsid w:val="001003E5"/>
    <w:rsid w:val="00111672"/>
    <w:rsid w:val="001213D3"/>
    <w:rsid w:val="00122C0E"/>
    <w:rsid w:val="00142432"/>
    <w:rsid w:val="001462BF"/>
    <w:rsid w:val="0015328C"/>
    <w:rsid w:val="00163201"/>
    <w:rsid w:val="001756A8"/>
    <w:rsid w:val="00175A39"/>
    <w:rsid w:val="00185CB4"/>
    <w:rsid w:val="001948CD"/>
    <w:rsid w:val="00196A4A"/>
    <w:rsid w:val="001A1FC6"/>
    <w:rsid w:val="001B26B8"/>
    <w:rsid w:val="001D069B"/>
    <w:rsid w:val="001D09B1"/>
    <w:rsid w:val="001D197A"/>
    <w:rsid w:val="001D6DCB"/>
    <w:rsid w:val="001E1FA0"/>
    <w:rsid w:val="001E66B6"/>
    <w:rsid w:val="001F2628"/>
    <w:rsid w:val="001F322B"/>
    <w:rsid w:val="0020026D"/>
    <w:rsid w:val="0020641C"/>
    <w:rsid w:val="00222B4F"/>
    <w:rsid w:val="00252D20"/>
    <w:rsid w:val="00253B99"/>
    <w:rsid w:val="00262B47"/>
    <w:rsid w:val="00270765"/>
    <w:rsid w:val="0027114C"/>
    <w:rsid w:val="00277739"/>
    <w:rsid w:val="00292AD5"/>
    <w:rsid w:val="002A0D2E"/>
    <w:rsid w:val="002A3350"/>
    <w:rsid w:val="002A3FD2"/>
    <w:rsid w:val="002B324D"/>
    <w:rsid w:val="002C17E7"/>
    <w:rsid w:val="002C7F64"/>
    <w:rsid w:val="002D0890"/>
    <w:rsid w:val="002D72F2"/>
    <w:rsid w:val="0031732B"/>
    <w:rsid w:val="00323F99"/>
    <w:rsid w:val="003248D0"/>
    <w:rsid w:val="00325F87"/>
    <w:rsid w:val="00335313"/>
    <w:rsid w:val="00355EAF"/>
    <w:rsid w:val="00360C3A"/>
    <w:rsid w:val="00362735"/>
    <w:rsid w:val="003627C8"/>
    <w:rsid w:val="003844CF"/>
    <w:rsid w:val="00386C4B"/>
    <w:rsid w:val="00387465"/>
    <w:rsid w:val="003918B4"/>
    <w:rsid w:val="003B68E7"/>
    <w:rsid w:val="003C0B99"/>
    <w:rsid w:val="003C2CA5"/>
    <w:rsid w:val="003D1A0C"/>
    <w:rsid w:val="003E257D"/>
    <w:rsid w:val="003F4D04"/>
    <w:rsid w:val="003F573D"/>
    <w:rsid w:val="00405CF9"/>
    <w:rsid w:val="00422BEA"/>
    <w:rsid w:val="00424ED4"/>
    <w:rsid w:val="00432C17"/>
    <w:rsid w:val="00442975"/>
    <w:rsid w:val="004468DD"/>
    <w:rsid w:val="00454007"/>
    <w:rsid w:val="00454BBE"/>
    <w:rsid w:val="004563F0"/>
    <w:rsid w:val="00465B2D"/>
    <w:rsid w:val="00467E98"/>
    <w:rsid w:val="00474257"/>
    <w:rsid w:val="00475EF8"/>
    <w:rsid w:val="00481A68"/>
    <w:rsid w:val="00483058"/>
    <w:rsid w:val="004847B2"/>
    <w:rsid w:val="00484BCD"/>
    <w:rsid w:val="00487D6E"/>
    <w:rsid w:val="004A04A0"/>
    <w:rsid w:val="004A0A30"/>
    <w:rsid w:val="004A2DC7"/>
    <w:rsid w:val="004B13E8"/>
    <w:rsid w:val="004B5A02"/>
    <w:rsid w:val="004D4CCB"/>
    <w:rsid w:val="004D528A"/>
    <w:rsid w:val="004E7B1A"/>
    <w:rsid w:val="004F3ECC"/>
    <w:rsid w:val="005111D2"/>
    <w:rsid w:val="0052333E"/>
    <w:rsid w:val="00534EB0"/>
    <w:rsid w:val="005742B3"/>
    <w:rsid w:val="00584BB1"/>
    <w:rsid w:val="00597229"/>
    <w:rsid w:val="005A3300"/>
    <w:rsid w:val="005A5A92"/>
    <w:rsid w:val="005A7F50"/>
    <w:rsid w:val="005B14CC"/>
    <w:rsid w:val="005B4F1B"/>
    <w:rsid w:val="005B6A37"/>
    <w:rsid w:val="005C3919"/>
    <w:rsid w:val="005C580D"/>
    <w:rsid w:val="005C6140"/>
    <w:rsid w:val="005D001F"/>
    <w:rsid w:val="005D2BBC"/>
    <w:rsid w:val="005E3B79"/>
    <w:rsid w:val="005E52BE"/>
    <w:rsid w:val="005F5AC7"/>
    <w:rsid w:val="006026DA"/>
    <w:rsid w:val="0060557D"/>
    <w:rsid w:val="00614F8C"/>
    <w:rsid w:val="006172CD"/>
    <w:rsid w:val="00621F8D"/>
    <w:rsid w:val="00647812"/>
    <w:rsid w:val="00650047"/>
    <w:rsid w:val="00651B6C"/>
    <w:rsid w:val="00663509"/>
    <w:rsid w:val="00667CF1"/>
    <w:rsid w:val="00685368"/>
    <w:rsid w:val="006A3AF2"/>
    <w:rsid w:val="006A584D"/>
    <w:rsid w:val="006C0B96"/>
    <w:rsid w:val="006C12A3"/>
    <w:rsid w:val="006C4626"/>
    <w:rsid w:val="006D360E"/>
    <w:rsid w:val="006D6A5D"/>
    <w:rsid w:val="006F087C"/>
    <w:rsid w:val="006F2918"/>
    <w:rsid w:val="006F4FF9"/>
    <w:rsid w:val="00707666"/>
    <w:rsid w:val="0071650B"/>
    <w:rsid w:val="00716824"/>
    <w:rsid w:val="00723A9E"/>
    <w:rsid w:val="00726491"/>
    <w:rsid w:val="00737C80"/>
    <w:rsid w:val="007600F4"/>
    <w:rsid w:val="007A014E"/>
    <w:rsid w:val="007A76F4"/>
    <w:rsid w:val="007C458F"/>
    <w:rsid w:val="007D6E75"/>
    <w:rsid w:val="007D7BA2"/>
    <w:rsid w:val="007E72EC"/>
    <w:rsid w:val="007E73ED"/>
    <w:rsid w:val="007F1711"/>
    <w:rsid w:val="007F3C76"/>
    <w:rsid w:val="007F7EC5"/>
    <w:rsid w:val="00802598"/>
    <w:rsid w:val="008111D2"/>
    <w:rsid w:val="00814400"/>
    <w:rsid w:val="00836E8F"/>
    <w:rsid w:val="0084192B"/>
    <w:rsid w:val="00846B8F"/>
    <w:rsid w:val="008606C2"/>
    <w:rsid w:val="00873459"/>
    <w:rsid w:val="0088756F"/>
    <w:rsid w:val="008910E3"/>
    <w:rsid w:val="008A27CB"/>
    <w:rsid w:val="008A60AF"/>
    <w:rsid w:val="008B3BE6"/>
    <w:rsid w:val="008B73D2"/>
    <w:rsid w:val="008C11BC"/>
    <w:rsid w:val="008D52D1"/>
    <w:rsid w:val="008E4617"/>
    <w:rsid w:val="008E6143"/>
    <w:rsid w:val="008F08FD"/>
    <w:rsid w:val="008F2AED"/>
    <w:rsid w:val="009004E1"/>
    <w:rsid w:val="00904ABB"/>
    <w:rsid w:val="009160CB"/>
    <w:rsid w:val="00921262"/>
    <w:rsid w:val="009217D6"/>
    <w:rsid w:val="0093224D"/>
    <w:rsid w:val="009414AD"/>
    <w:rsid w:val="0095297C"/>
    <w:rsid w:val="00963F03"/>
    <w:rsid w:val="009903AB"/>
    <w:rsid w:val="00993A91"/>
    <w:rsid w:val="009A0C35"/>
    <w:rsid w:val="009B19E8"/>
    <w:rsid w:val="009C2F36"/>
    <w:rsid w:val="009E3FAC"/>
    <w:rsid w:val="00A07819"/>
    <w:rsid w:val="00A138F7"/>
    <w:rsid w:val="00A2154C"/>
    <w:rsid w:val="00A278B1"/>
    <w:rsid w:val="00A3663B"/>
    <w:rsid w:val="00A46E37"/>
    <w:rsid w:val="00A551BC"/>
    <w:rsid w:val="00A6078E"/>
    <w:rsid w:val="00A718B4"/>
    <w:rsid w:val="00A91007"/>
    <w:rsid w:val="00AA37EC"/>
    <w:rsid w:val="00AB01BC"/>
    <w:rsid w:val="00AE1BD8"/>
    <w:rsid w:val="00AE235B"/>
    <w:rsid w:val="00AE24CA"/>
    <w:rsid w:val="00AE4F4B"/>
    <w:rsid w:val="00B00BC6"/>
    <w:rsid w:val="00B151B4"/>
    <w:rsid w:val="00B32E2A"/>
    <w:rsid w:val="00B378DB"/>
    <w:rsid w:val="00B43BBD"/>
    <w:rsid w:val="00B532F3"/>
    <w:rsid w:val="00B54634"/>
    <w:rsid w:val="00B80CBA"/>
    <w:rsid w:val="00B82377"/>
    <w:rsid w:val="00B8682E"/>
    <w:rsid w:val="00B87957"/>
    <w:rsid w:val="00B90A77"/>
    <w:rsid w:val="00BA14B9"/>
    <w:rsid w:val="00BB109D"/>
    <w:rsid w:val="00BB19C1"/>
    <w:rsid w:val="00BB6559"/>
    <w:rsid w:val="00BD02EB"/>
    <w:rsid w:val="00BD2D19"/>
    <w:rsid w:val="00BD32FA"/>
    <w:rsid w:val="00BE51D8"/>
    <w:rsid w:val="00BF1C57"/>
    <w:rsid w:val="00C0488A"/>
    <w:rsid w:val="00C1665C"/>
    <w:rsid w:val="00C2142E"/>
    <w:rsid w:val="00C61571"/>
    <w:rsid w:val="00C63B57"/>
    <w:rsid w:val="00C70CFF"/>
    <w:rsid w:val="00C80713"/>
    <w:rsid w:val="00C85C81"/>
    <w:rsid w:val="00C94C5E"/>
    <w:rsid w:val="00CA1801"/>
    <w:rsid w:val="00CA414B"/>
    <w:rsid w:val="00CB241F"/>
    <w:rsid w:val="00CB646D"/>
    <w:rsid w:val="00CD22D7"/>
    <w:rsid w:val="00CD7F74"/>
    <w:rsid w:val="00CF6C1D"/>
    <w:rsid w:val="00D12ABB"/>
    <w:rsid w:val="00D15962"/>
    <w:rsid w:val="00D201ED"/>
    <w:rsid w:val="00D215B4"/>
    <w:rsid w:val="00D35FF1"/>
    <w:rsid w:val="00D42E31"/>
    <w:rsid w:val="00D46C38"/>
    <w:rsid w:val="00D4736A"/>
    <w:rsid w:val="00D67AFF"/>
    <w:rsid w:val="00DB4077"/>
    <w:rsid w:val="00DD794C"/>
    <w:rsid w:val="00DE2D44"/>
    <w:rsid w:val="00DE6E47"/>
    <w:rsid w:val="00DF098E"/>
    <w:rsid w:val="00E017CE"/>
    <w:rsid w:val="00E1369E"/>
    <w:rsid w:val="00E23F27"/>
    <w:rsid w:val="00E34602"/>
    <w:rsid w:val="00E60D81"/>
    <w:rsid w:val="00E831F7"/>
    <w:rsid w:val="00E83C3E"/>
    <w:rsid w:val="00E93F3F"/>
    <w:rsid w:val="00EA4AB1"/>
    <w:rsid w:val="00EB1115"/>
    <w:rsid w:val="00EC24DC"/>
    <w:rsid w:val="00EC451C"/>
    <w:rsid w:val="00EE1AD1"/>
    <w:rsid w:val="00EE4256"/>
    <w:rsid w:val="00EF3A74"/>
    <w:rsid w:val="00F009F1"/>
    <w:rsid w:val="00F01D40"/>
    <w:rsid w:val="00F02098"/>
    <w:rsid w:val="00F04F6D"/>
    <w:rsid w:val="00F07F04"/>
    <w:rsid w:val="00F130D0"/>
    <w:rsid w:val="00F303E4"/>
    <w:rsid w:val="00F34393"/>
    <w:rsid w:val="00F41588"/>
    <w:rsid w:val="00F451B7"/>
    <w:rsid w:val="00F50F49"/>
    <w:rsid w:val="00F54374"/>
    <w:rsid w:val="00F63705"/>
    <w:rsid w:val="00F87359"/>
    <w:rsid w:val="00F90651"/>
    <w:rsid w:val="00FB0571"/>
    <w:rsid w:val="00FB0945"/>
    <w:rsid w:val="00FB3D21"/>
    <w:rsid w:val="00FC4AC5"/>
    <w:rsid w:val="00FC585C"/>
    <w:rsid w:val="00FE644A"/>
    <w:rsid w:val="00FF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84192B"/>
    <w:pPr>
      <w:keepNext/>
      <w:keepLines/>
      <w:spacing w:after="24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92B"/>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84192B"/>
    <w:pPr>
      <w:keepNext/>
      <w:keepLines/>
      <w:spacing w:after="24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92B"/>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2014-06-27T18:10:00Z</cp:lastPrinted>
  <dcterms:created xsi:type="dcterms:W3CDTF">2018-03-01T16:24:00Z</dcterms:created>
  <dcterms:modified xsi:type="dcterms:W3CDTF">2018-03-01T16:24:00Z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-640258126</vt:i4>
  </property>
  <property fmtid="{D5CDD505-2E9C-101B-9397-08002B2CF9AE}" pid="3" name="_NewReviewCycle">
    <vt:lpwstr/>
  </property>
  <property fmtid="{D5CDD505-2E9C-101B-9397-08002B2CF9AE}" pid="4" name="_EmailSubject">
    <vt:lpwstr>Generic PRA #52 Delivery System and Provider Payment Initiatives under Medicaid Managed Care Products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-930053459</vt:i4>
  </property>
  <property fmtid="{D5CDD505-2E9C-101B-9397-08002B2CF9AE}" pid="8" name="_ReviewingToolsShownOnce">
    <vt:lpwstr/>
  </property>
</Properties>
</file>