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1D17E" w14:textId="77777777" w:rsidR="00487D6E" w:rsidRDefault="00487D6E" w:rsidP="008111D2">
      <w:pPr>
        <w:spacing w:after="0" w:line="240" w:lineRule="auto"/>
        <w:jc w:val="center"/>
        <w:rPr>
          <w:rFonts w:ascii="Arial" w:hAnsi="Arial" w:cs="Arial"/>
          <w:b/>
          <w:sz w:val="32"/>
          <w:szCs w:val="32"/>
        </w:rPr>
      </w:pPr>
      <w:bookmarkStart w:id="0" w:name="_GoBack"/>
      <w:bookmarkEnd w:id="0"/>
    </w:p>
    <w:p w14:paraId="1D5311DA" w14:textId="1D0050EA" w:rsidR="00253B99" w:rsidRPr="00CD7F74" w:rsidRDefault="002D72F2" w:rsidP="008111D2">
      <w:pPr>
        <w:spacing w:after="0" w:line="240" w:lineRule="auto"/>
        <w:jc w:val="center"/>
        <w:rPr>
          <w:rFonts w:ascii="Arial" w:hAnsi="Arial" w:cs="Arial"/>
          <w:b/>
          <w:sz w:val="32"/>
          <w:szCs w:val="32"/>
        </w:rPr>
      </w:pPr>
      <w:r w:rsidRPr="00CD7F74">
        <w:rPr>
          <w:rFonts w:ascii="Arial" w:hAnsi="Arial" w:cs="Arial"/>
          <w:b/>
          <w:sz w:val="32"/>
          <w:szCs w:val="32"/>
        </w:rPr>
        <w:t xml:space="preserve">Generic </w:t>
      </w:r>
      <w:r w:rsidR="00253B99" w:rsidRPr="00CD7F74">
        <w:rPr>
          <w:rFonts w:ascii="Arial" w:hAnsi="Arial" w:cs="Arial"/>
          <w:b/>
          <w:sz w:val="32"/>
          <w:szCs w:val="32"/>
        </w:rPr>
        <w:t>Supporting</w:t>
      </w:r>
      <w:r w:rsidR="00BB6559" w:rsidRPr="00CD7F74">
        <w:rPr>
          <w:rFonts w:ascii="Arial" w:hAnsi="Arial" w:cs="Arial"/>
          <w:b/>
          <w:sz w:val="32"/>
          <w:szCs w:val="32"/>
        </w:rPr>
        <w:t xml:space="preserve"> </w:t>
      </w:r>
      <w:r w:rsidR="00253B99" w:rsidRPr="00CD7F74">
        <w:rPr>
          <w:rFonts w:ascii="Arial" w:hAnsi="Arial" w:cs="Arial"/>
          <w:b/>
          <w:sz w:val="32"/>
          <w:szCs w:val="32"/>
        </w:rPr>
        <w:t xml:space="preserve">Statement </w:t>
      </w:r>
      <w:r w:rsidRPr="00CD7F74">
        <w:rPr>
          <w:rFonts w:ascii="Arial" w:hAnsi="Arial" w:cs="Arial"/>
          <w:b/>
          <w:sz w:val="32"/>
          <w:szCs w:val="32"/>
        </w:rPr>
        <w:t>(</w:t>
      </w:r>
      <w:r w:rsidR="00234061">
        <w:rPr>
          <w:rFonts w:ascii="Arial" w:hAnsi="Arial" w:cs="Arial"/>
          <w:b/>
          <w:sz w:val="32"/>
          <w:szCs w:val="32"/>
        </w:rPr>
        <w:t>May</w:t>
      </w:r>
      <w:r w:rsidR="00C84FD4">
        <w:rPr>
          <w:rFonts w:ascii="Arial" w:hAnsi="Arial" w:cs="Arial"/>
          <w:b/>
          <w:sz w:val="32"/>
          <w:szCs w:val="32"/>
        </w:rPr>
        <w:t xml:space="preserve"> 2018</w:t>
      </w:r>
      <w:r w:rsidRPr="00CD7F74">
        <w:rPr>
          <w:rFonts w:ascii="Arial" w:hAnsi="Arial" w:cs="Arial"/>
          <w:b/>
          <w:sz w:val="32"/>
          <w:szCs w:val="32"/>
        </w:rPr>
        <w:t>)</w:t>
      </w:r>
    </w:p>
    <w:p w14:paraId="16E0AAB2" w14:textId="77777777" w:rsidR="00253B99" w:rsidRDefault="00253B99" w:rsidP="008111D2">
      <w:pPr>
        <w:spacing w:after="0" w:line="240" w:lineRule="auto"/>
        <w:jc w:val="center"/>
        <w:rPr>
          <w:szCs w:val="24"/>
        </w:rPr>
      </w:pPr>
    </w:p>
    <w:p w14:paraId="4401389E" w14:textId="77777777" w:rsidR="007D6E75" w:rsidRPr="008111D2" w:rsidRDefault="00B54634" w:rsidP="008111D2">
      <w:pPr>
        <w:spacing w:after="0" w:line="240" w:lineRule="auto"/>
        <w:jc w:val="center"/>
        <w:rPr>
          <w:szCs w:val="24"/>
        </w:rPr>
      </w:pPr>
      <w:r w:rsidRPr="00B54634">
        <w:rPr>
          <w:szCs w:val="24"/>
        </w:rPr>
        <w:t>Generic Clearance for Medicaid and CHIP State Plan, Waiver, and Program Submissions</w:t>
      </w:r>
    </w:p>
    <w:p w14:paraId="7DE5E9F3" w14:textId="77777777" w:rsidR="00DF098E" w:rsidRPr="008111D2" w:rsidRDefault="007D6E75" w:rsidP="008111D2">
      <w:pPr>
        <w:spacing w:after="0" w:line="240" w:lineRule="auto"/>
        <w:jc w:val="center"/>
        <w:rPr>
          <w:szCs w:val="24"/>
        </w:rPr>
      </w:pPr>
      <w:r w:rsidRPr="008111D2">
        <w:rPr>
          <w:szCs w:val="24"/>
        </w:rPr>
        <w:t>(CMS-10398, OMB 0938-1148)</w:t>
      </w:r>
    </w:p>
    <w:p w14:paraId="784D0656" w14:textId="77777777" w:rsidR="007D6E75" w:rsidRPr="008111D2" w:rsidRDefault="007D6E75" w:rsidP="008111D2">
      <w:pPr>
        <w:spacing w:after="0" w:line="240" w:lineRule="auto"/>
        <w:jc w:val="center"/>
        <w:rPr>
          <w:szCs w:val="24"/>
        </w:rPr>
      </w:pPr>
    </w:p>
    <w:p w14:paraId="3DF90335" w14:textId="1D770014" w:rsidR="007F3C76" w:rsidRDefault="00CB646D" w:rsidP="007F3C76">
      <w:pPr>
        <w:spacing w:after="0" w:line="240" w:lineRule="auto"/>
        <w:jc w:val="center"/>
        <w:rPr>
          <w:rFonts w:cs="Times New Roman"/>
          <w:b/>
          <w:szCs w:val="24"/>
        </w:rPr>
      </w:pPr>
      <w:r w:rsidRPr="008111D2">
        <w:rPr>
          <w:rFonts w:cs="Times New Roman"/>
          <w:b/>
          <w:szCs w:val="24"/>
        </w:rPr>
        <w:t xml:space="preserve">Information Collection </w:t>
      </w:r>
      <w:r w:rsidR="00FE644A" w:rsidRPr="008111D2">
        <w:rPr>
          <w:rFonts w:cs="Times New Roman"/>
          <w:b/>
          <w:szCs w:val="24"/>
        </w:rPr>
        <w:t>#</w:t>
      </w:r>
      <w:r w:rsidR="00C65564">
        <w:rPr>
          <w:rFonts w:cs="Times New Roman"/>
          <w:b/>
          <w:szCs w:val="24"/>
        </w:rPr>
        <w:t xml:space="preserve"> 56</w:t>
      </w:r>
    </w:p>
    <w:p w14:paraId="14FCECBC" w14:textId="77777777" w:rsidR="001D09B1" w:rsidRDefault="001D09B1" w:rsidP="007F3C76">
      <w:pPr>
        <w:spacing w:after="0" w:line="240" w:lineRule="auto"/>
        <w:jc w:val="center"/>
        <w:rPr>
          <w:rFonts w:cs="Times New Roman"/>
          <w:b/>
          <w:szCs w:val="24"/>
        </w:rPr>
      </w:pPr>
      <w:r>
        <w:rPr>
          <w:rFonts w:cs="Times New Roman"/>
          <w:b/>
          <w:szCs w:val="24"/>
        </w:rPr>
        <w:t xml:space="preserve">Section 1115 Demonstration: </w:t>
      </w:r>
    </w:p>
    <w:p w14:paraId="4612B207" w14:textId="77777777" w:rsidR="001D09B1" w:rsidRDefault="00E0310E" w:rsidP="007F3C76">
      <w:pPr>
        <w:spacing w:after="0" w:line="240" w:lineRule="auto"/>
        <w:jc w:val="center"/>
        <w:rPr>
          <w:rFonts w:cs="Times New Roman"/>
          <w:b/>
          <w:szCs w:val="24"/>
        </w:rPr>
      </w:pPr>
      <w:r>
        <w:rPr>
          <w:rFonts w:cs="Times New Roman"/>
          <w:b/>
          <w:szCs w:val="24"/>
        </w:rPr>
        <w:t>Budget Neutrality Workbook</w:t>
      </w:r>
    </w:p>
    <w:p w14:paraId="56448631" w14:textId="77777777" w:rsidR="009E3FAC" w:rsidRPr="008111D2" w:rsidRDefault="009E3FAC" w:rsidP="008111D2">
      <w:pPr>
        <w:spacing w:after="0" w:line="240" w:lineRule="auto"/>
        <w:jc w:val="center"/>
        <w:rPr>
          <w:rFonts w:cs="Times New Roman"/>
          <w:szCs w:val="24"/>
        </w:rPr>
      </w:pPr>
    </w:p>
    <w:p w14:paraId="1DDCE2DD" w14:textId="77777777" w:rsidR="007D6E75" w:rsidRPr="008111D2" w:rsidRDefault="007D6E75" w:rsidP="008111D2">
      <w:pPr>
        <w:spacing w:after="0" w:line="240" w:lineRule="auto"/>
        <w:jc w:val="center"/>
        <w:rPr>
          <w:b/>
          <w:szCs w:val="24"/>
        </w:rPr>
      </w:pPr>
    </w:p>
    <w:p w14:paraId="3DF802B0" w14:textId="77777777" w:rsidR="007D6E75" w:rsidRPr="008111D2" w:rsidRDefault="007D6E75" w:rsidP="008111D2">
      <w:pPr>
        <w:spacing w:after="0" w:line="240" w:lineRule="auto"/>
        <w:jc w:val="center"/>
        <w:rPr>
          <w:b/>
          <w:szCs w:val="24"/>
        </w:rPr>
      </w:pPr>
    </w:p>
    <w:p w14:paraId="6E8C01EF" w14:textId="77777777" w:rsidR="007D6E75" w:rsidRPr="008111D2" w:rsidRDefault="007D6E75" w:rsidP="008111D2">
      <w:pPr>
        <w:spacing w:after="0" w:line="240" w:lineRule="auto"/>
        <w:jc w:val="center"/>
        <w:rPr>
          <w:szCs w:val="24"/>
        </w:rPr>
      </w:pPr>
    </w:p>
    <w:p w14:paraId="0C333287" w14:textId="77777777" w:rsidR="007D6E75" w:rsidRPr="008111D2" w:rsidRDefault="007D6E75" w:rsidP="008111D2">
      <w:pPr>
        <w:spacing w:after="0" w:line="240" w:lineRule="auto"/>
        <w:jc w:val="center"/>
        <w:rPr>
          <w:szCs w:val="24"/>
        </w:rPr>
      </w:pPr>
    </w:p>
    <w:p w14:paraId="23260C88" w14:textId="77777777" w:rsidR="007D6E75" w:rsidRPr="008111D2" w:rsidRDefault="007D6E75" w:rsidP="008111D2">
      <w:pPr>
        <w:spacing w:after="0" w:line="240" w:lineRule="auto"/>
        <w:jc w:val="center"/>
        <w:rPr>
          <w:szCs w:val="24"/>
        </w:rPr>
      </w:pPr>
    </w:p>
    <w:p w14:paraId="05BB8CAF" w14:textId="77777777" w:rsidR="007D6E75" w:rsidRPr="008111D2" w:rsidRDefault="007D6E75" w:rsidP="008111D2">
      <w:pPr>
        <w:spacing w:after="0" w:line="240" w:lineRule="auto"/>
        <w:jc w:val="center"/>
        <w:rPr>
          <w:szCs w:val="24"/>
        </w:rPr>
      </w:pPr>
      <w:r w:rsidRPr="008111D2">
        <w:rPr>
          <w:szCs w:val="24"/>
        </w:rPr>
        <w:t>Center for Medicaid and CHIP Services (CMCS)</w:t>
      </w:r>
    </w:p>
    <w:p w14:paraId="2B007DC2" w14:textId="350172DE" w:rsidR="007D6E75" w:rsidRPr="008111D2" w:rsidRDefault="007D6E75" w:rsidP="005E6549">
      <w:pPr>
        <w:spacing w:after="0" w:line="240" w:lineRule="auto"/>
        <w:jc w:val="center"/>
        <w:rPr>
          <w:szCs w:val="24"/>
        </w:rPr>
        <w:sectPr w:rsidR="007D6E75" w:rsidRPr="008111D2" w:rsidSect="001D09B1">
          <w:pgSz w:w="12240" w:h="15840" w:code="1"/>
          <w:pgMar w:top="1440" w:right="1080" w:bottom="1440" w:left="1080" w:header="720" w:footer="720" w:gutter="0"/>
          <w:cols w:space="720"/>
          <w:vAlign w:val="center"/>
          <w:docGrid w:linePitch="360"/>
        </w:sectPr>
      </w:pPr>
      <w:r w:rsidRPr="008111D2">
        <w:rPr>
          <w:szCs w:val="24"/>
        </w:rPr>
        <w:t>Centers for Me</w:t>
      </w:r>
      <w:r w:rsidR="005E6549">
        <w:rPr>
          <w:szCs w:val="24"/>
        </w:rPr>
        <w:t>dicare &amp; Medicaid Services (CMS</w:t>
      </w:r>
    </w:p>
    <w:p w14:paraId="4CE53B3D" w14:textId="164CBAEE" w:rsidR="00667CF1" w:rsidRDefault="00667CF1" w:rsidP="005E6549">
      <w:pPr>
        <w:spacing w:after="0" w:line="240" w:lineRule="auto"/>
        <w:ind w:right="1170"/>
      </w:pPr>
    </w:p>
    <w:p w14:paraId="111E831B" w14:textId="77777777" w:rsidR="00337ECD" w:rsidRPr="00667CF1" w:rsidRDefault="00337ECD" w:rsidP="00337ECD">
      <w:pPr>
        <w:pStyle w:val="ListParagraph"/>
        <w:spacing w:after="0" w:line="240" w:lineRule="auto"/>
        <w:ind w:right="1170"/>
      </w:pPr>
    </w:p>
    <w:p w14:paraId="5A986485" w14:textId="451AB1B7" w:rsidR="00A34954" w:rsidRPr="00443F76" w:rsidRDefault="007D6E75" w:rsidP="00107E26">
      <w:pPr>
        <w:pStyle w:val="Heading1"/>
      </w:pPr>
      <w:r w:rsidRPr="00443F76">
        <w:t xml:space="preserve">A. </w:t>
      </w:r>
      <w:r w:rsidR="00802400">
        <w:t>Background</w:t>
      </w:r>
    </w:p>
    <w:p w14:paraId="4A5CCB2C" w14:textId="77777777" w:rsidR="00150C54" w:rsidRDefault="00150C54" w:rsidP="00150C54">
      <w:pPr>
        <w:spacing w:after="0" w:line="240" w:lineRule="auto"/>
        <w:rPr>
          <w:i/>
          <w:szCs w:val="24"/>
        </w:rPr>
      </w:pPr>
    </w:p>
    <w:p w14:paraId="7E7914A7" w14:textId="77777777" w:rsidR="00867343" w:rsidRPr="00443F76" w:rsidRDefault="00867343" w:rsidP="00867343">
      <w:pPr>
        <w:rPr>
          <w:i/>
          <w:szCs w:val="24"/>
        </w:rPr>
      </w:pPr>
      <w:r w:rsidRPr="00443F76">
        <w:rPr>
          <w:i/>
          <w:szCs w:val="24"/>
        </w:rPr>
        <w:t>Section 1115 Medicaid Demonstration Projects</w:t>
      </w:r>
    </w:p>
    <w:p w14:paraId="452FDB2D" w14:textId="39CA5D6B" w:rsidR="00867343" w:rsidRDefault="00867343" w:rsidP="008D2A22">
      <w:pPr>
        <w:spacing w:line="240" w:lineRule="auto"/>
        <w:rPr>
          <w:szCs w:val="24"/>
        </w:rPr>
      </w:pPr>
      <w:r w:rsidRPr="00516A83">
        <w:rPr>
          <w:szCs w:val="24"/>
        </w:rPr>
        <w:t xml:space="preserve">Under section 1115(a) of the </w:t>
      </w:r>
      <w:r w:rsidR="00A548CA">
        <w:rPr>
          <w:szCs w:val="24"/>
        </w:rPr>
        <w:t xml:space="preserve">Social Security </w:t>
      </w:r>
      <w:r w:rsidRPr="00516A83">
        <w:rPr>
          <w:szCs w:val="24"/>
        </w:rPr>
        <w:t xml:space="preserve">Act, the Secretary of Health and Human Services (“Secretary”) may authorize a state to conduct experimental, pilot, or demonstration projects that, in the judgment of the Secretary, promote the objectives of title XIX of the Act. </w:t>
      </w:r>
      <w:r>
        <w:rPr>
          <w:szCs w:val="24"/>
        </w:rPr>
        <w:t>The Secretary</w:t>
      </w:r>
      <w:r w:rsidRPr="00516A83">
        <w:rPr>
          <w:szCs w:val="24"/>
        </w:rPr>
        <w:t xml:space="preserve"> (1) </w:t>
      </w:r>
      <w:r>
        <w:rPr>
          <w:szCs w:val="24"/>
        </w:rPr>
        <w:t>may,</w:t>
      </w:r>
      <w:r w:rsidRPr="00E34BB9">
        <w:rPr>
          <w:szCs w:val="24"/>
        </w:rPr>
        <w:t xml:space="preserve"> </w:t>
      </w:r>
      <w:r>
        <w:rPr>
          <w:szCs w:val="24"/>
        </w:rPr>
        <w:t xml:space="preserve">under section 1115(a)(1), </w:t>
      </w:r>
      <w:r w:rsidRPr="00516A83">
        <w:rPr>
          <w:szCs w:val="24"/>
        </w:rPr>
        <w:t xml:space="preserve">waive provisions in section 1902 of the Act; and/or (2) </w:t>
      </w:r>
      <w:r>
        <w:rPr>
          <w:szCs w:val="24"/>
        </w:rPr>
        <w:t>may, under</w:t>
      </w:r>
      <w:r w:rsidRPr="00E34BB9">
        <w:rPr>
          <w:szCs w:val="24"/>
        </w:rPr>
        <w:t xml:space="preserve"> </w:t>
      </w:r>
      <w:r w:rsidRPr="00516A83">
        <w:rPr>
          <w:szCs w:val="24"/>
        </w:rPr>
        <w:t>section 1115(a)(2)(A)</w:t>
      </w:r>
      <w:r>
        <w:rPr>
          <w:szCs w:val="24"/>
        </w:rPr>
        <w:t>,</w:t>
      </w:r>
      <w:r w:rsidRPr="00516A83">
        <w:rPr>
          <w:szCs w:val="24"/>
        </w:rPr>
        <w:t xml:space="preserve"> </w:t>
      </w:r>
      <w:r>
        <w:rPr>
          <w:szCs w:val="24"/>
        </w:rPr>
        <w:t>authorize</w:t>
      </w:r>
      <w:r w:rsidRPr="00516A83">
        <w:rPr>
          <w:szCs w:val="24"/>
        </w:rPr>
        <w:t xml:space="preserve"> federal matching funds for </w:t>
      </w:r>
      <w:r>
        <w:rPr>
          <w:szCs w:val="24"/>
        </w:rPr>
        <w:t xml:space="preserve">state </w:t>
      </w:r>
      <w:r w:rsidRPr="00516A83">
        <w:rPr>
          <w:szCs w:val="24"/>
        </w:rPr>
        <w:t xml:space="preserve">expenditures that would not otherwise be matchable (i.e., expenditure authority) under section 1903 of the Act. Section 1902 of the Act </w:t>
      </w:r>
      <w:r>
        <w:rPr>
          <w:szCs w:val="24"/>
        </w:rPr>
        <w:t>lists what elements</w:t>
      </w:r>
      <w:r w:rsidRPr="00516A83">
        <w:rPr>
          <w:szCs w:val="24"/>
        </w:rPr>
        <w:t xml:space="preserve"> the Medicaid state plan</w:t>
      </w:r>
      <w:r>
        <w:rPr>
          <w:szCs w:val="24"/>
        </w:rPr>
        <w:t xml:space="preserve"> must include, such as provisions relating to eligibility</w:t>
      </w:r>
      <w:r w:rsidRPr="00516A83">
        <w:rPr>
          <w:szCs w:val="24"/>
        </w:rPr>
        <w:t xml:space="preserve">, beneficiary protections, benefits and services and cost sharing. Section 1903, “Payments to States,” describes expenditures that may be “matched” with federal title XIX dollars, allowable sources of non-federal share, and managed care requirements. </w:t>
      </w:r>
    </w:p>
    <w:p w14:paraId="3DC71477" w14:textId="77777777" w:rsidR="00867343" w:rsidRPr="00443F76" w:rsidRDefault="00867343" w:rsidP="00867343">
      <w:pPr>
        <w:rPr>
          <w:i/>
          <w:szCs w:val="24"/>
        </w:rPr>
      </w:pPr>
      <w:bookmarkStart w:id="1" w:name="_Toc288057811"/>
      <w:bookmarkStart w:id="2" w:name="_Toc288057812"/>
      <w:bookmarkStart w:id="3" w:name="_Toc288057813"/>
      <w:bookmarkStart w:id="4" w:name="_Toc288057814"/>
      <w:bookmarkStart w:id="5" w:name="_Toc288057839"/>
      <w:bookmarkStart w:id="6" w:name="_Toc288057840"/>
      <w:bookmarkEnd w:id="1"/>
      <w:bookmarkEnd w:id="2"/>
      <w:bookmarkEnd w:id="3"/>
      <w:bookmarkEnd w:id="4"/>
      <w:bookmarkEnd w:id="5"/>
      <w:bookmarkEnd w:id="6"/>
      <w:r w:rsidRPr="00443F76">
        <w:rPr>
          <w:i/>
          <w:szCs w:val="24"/>
        </w:rPr>
        <w:t>Budget Neutrality Overview</w:t>
      </w:r>
    </w:p>
    <w:p w14:paraId="36A0B13B" w14:textId="74B303EB" w:rsidR="00867343" w:rsidRPr="00516A83" w:rsidRDefault="00867343" w:rsidP="008D2A22">
      <w:pPr>
        <w:spacing w:line="240" w:lineRule="auto"/>
        <w:rPr>
          <w:iCs/>
          <w:szCs w:val="24"/>
        </w:rPr>
      </w:pPr>
      <w:r w:rsidRPr="00516A83">
        <w:rPr>
          <w:iCs/>
          <w:szCs w:val="24"/>
        </w:rPr>
        <w:t>Consistent with longstanding policy,</w:t>
      </w:r>
      <w:r>
        <w:rPr>
          <w:iCs/>
          <w:szCs w:val="24"/>
        </w:rPr>
        <w:t xml:space="preserve"> CMS will not approve </w:t>
      </w:r>
      <w:r w:rsidDel="00D077F6">
        <w:rPr>
          <w:iCs/>
          <w:szCs w:val="24"/>
        </w:rPr>
        <w:t>a</w:t>
      </w:r>
      <w:r w:rsidRPr="00516A83" w:rsidDel="00D077F6">
        <w:rPr>
          <w:iCs/>
          <w:szCs w:val="24"/>
        </w:rPr>
        <w:t xml:space="preserve"> </w:t>
      </w:r>
      <w:r w:rsidRPr="00516A83">
        <w:rPr>
          <w:iCs/>
          <w:szCs w:val="24"/>
        </w:rPr>
        <w:t>demonstration</w:t>
      </w:r>
      <w:r>
        <w:rPr>
          <w:iCs/>
          <w:szCs w:val="24"/>
        </w:rPr>
        <w:t xml:space="preserve"> project</w:t>
      </w:r>
      <w:r w:rsidRPr="00516A83">
        <w:rPr>
          <w:iCs/>
          <w:szCs w:val="24"/>
        </w:rPr>
        <w:t xml:space="preserve"> under section 1115(a) of the Act </w:t>
      </w:r>
      <w:r w:rsidDel="00D077F6">
        <w:rPr>
          <w:iCs/>
          <w:szCs w:val="24"/>
        </w:rPr>
        <w:t>unless the project is</w:t>
      </w:r>
      <w:r>
        <w:rPr>
          <w:iCs/>
          <w:szCs w:val="24"/>
        </w:rPr>
        <w:t xml:space="preserve"> expected to </w:t>
      </w:r>
      <w:r w:rsidRPr="00516A83">
        <w:rPr>
          <w:iCs/>
          <w:szCs w:val="24"/>
        </w:rPr>
        <w:t>be budget neutral</w:t>
      </w:r>
      <w:r>
        <w:rPr>
          <w:iCs/>
          <w:szCs w:val="24"/>
        </w:rPr>
        <w:t xml:space="preserve"> to the federal government. </w:t>
      </w:r>
      <w:r w:rsidDel="006D54FA">
        <w:rPr>
          <w:iCs/>
          <w:szCs w:val="24"/>
        </w:rPr>
        <w:t>A budget neutral</w:t>
      </w:r>
      <w:r>
        <w:rPr>
          <w:iCs/>
          <w:szCs w:val="24"/>
        </w:rPr>
        <w:t xml:space="preserve"> demonstration project </w:t>
      </w:r>
      <w:r w:rsidDel="006D54FA">
        <w:rPr>
          <w:iCs/>
          <w:szCs w:val="24"/>
        </w:rPr>
        <w:t xml:space="preserve">will </w:t>
      </w:r>
      <w:r w:rsidRPr="00516A83">
        <w:rPr>
          <w:iCs/>
          <w:szCs w:val="24"/>
        </w:rPr>
        <w:t xml:space="preserve">not result in </w:t>
      </w:r>
      <w:r w:rsidDel="006D54FA">
        <w:rPr>
          <w:iCs/>
          <w:szCs w:val="24"/>
        </w:rPr>
        <w:t xml:space="preserve">Medicaid </w:t>
      </w:r>
      <w:r w:rsidRPr="00516A83" w:rsidDel="006D54FA">
        <w:rPr>
          <w:iCs/>
          <w:szCs w:val="24"/>
        </w:rPr>
        <w:t xml:space="preserve">costs to the </w:t>
      </w:r>
      <w:r w:rsidRPr="00516A83">
        <w:rPr>
          <w:iCs/>
          <w:szCs w:val="24"/>
        </w:rPr>
        <w:t xml:space="preserve">federal </w:t>
      </w:r>
      <w:r w:rsidRPr="00516A83" w:rsidDel="006D54FA">
        <w:rPr>
          <w:iCs/>
          <w:szCs w:val="24"/>
        </w:rPr>
        <w:t xml:space="preserve">government </w:t>
      </w:r>
      <w:r w:rsidRPr="00516A83">
        <w:rPr>
          <w:iCs/>
          <w:szCs w:val="24"/>
        </w:rPr>
        <w:t xml:space="preserve">that </w:t>
      </w:r>
      <w:r w:rsidRPr="00516A83" w:rsidDel="006D54FA">
        <w:rPr>
          <w:iCs/>
          <w:szCs w:val="24"/>
        </w:rPr>
        <w:t>are greater than</w:t>
      </w:r>
      <w:r w:rsidRPr="00516A83">
        <w:rPr>
          <w:iCs/>
          <w:szCs w:val="24"/>
        </w:rPr>
        <w:t xml:space="preserve"> what the </w:t>
      </w:r>
      <w:r>
        <w:rPr>
          <w:iCs/>
          <w:szCs w:val="24"/>
        </w:rPr>
        <w:t>federal government’s</w:t>
      </w:r>
      <w:r w:rsidRPr="00516A83">
        <w:rPr>
          <w:iCs/>
          <w:szCs w:val="24"/>
        </w:rPr>
        <w:t xml:space="preserve"> Medicaid </w:t>
      </w:r>
      <w:r w:rsidRPr="00516A83" w:rsidDel="006D54FA">
        <w:rPr>
          <w:iCs/>
          <w:szCs w:val="24"/>
        </w:rPr>
        <w:t xml:space="preserve">costs </w:t>
      </w:r>
      <w:r>
        <w:rPr>
          <w:iCs/>
          <w:szCs w:val="24"/>
        </w:rPr>
        <w:t>could have been</w:t>
      </w:r>
      <w:r w:rsidRPr="00516A83">
        <w:rPr>
          <w:iCs/>
          <w:szCs w:val="24"/>
        </w:rPr>
        <w:t xml:space="preserve"> absent the demonstration. The overarching goal of CMS’ budget neutrality policy is, therefore, to limit federal </w:t>
      </w:r>
      <w:r>
        <w:rPr>
          <w:iCs/>
          <w:szCs w:val="24"/>
        </w:rPr>
        <w:t>fiscal</w:t>
      </w:r>
      <w:r w:rsidRPr="00516A83">
        <w:rPr>
          <w:iCs/>
          <w:szCs w:val="24"/>
        </w:rPr>
        <w:t xml:space="preserve"> exposure resulting from the use of </w:t>
      </w:r>
      <w:r>
        <w:rPr>
          <w:iCs/>
          <w:szCs w:val="24"/>
        </w:rPr>
        <w:t xml:space="preserve">section </w:t>
      </w:r>
      <w:r w:rsidRPr="00516A83">
        <w:rPr>
          <w:iCs/>
          <w:szCs w:val="24"/>
        </w:rPr>
        <w:t>1115(a) authority in Medicaid.</w:t>
      </w:r>
    </w:p>
    <w:p w14:paraId="2BAA8D1E" w14:textId="77777777" w:rsidR="00220D55" w:rsidRPr="00220D55" w:rsidRDefault="00867343" w:rsidP="008D2A22">
      <w:pPr>
        <w:spacing w:line="240" w:lineRule="auto"/>
        <w:rPr>
          <w:iCs/>
          <w:szCs w:val="24"/>
        </w:rPr>
      </w:pPr>
      <w:r w:rsidRPr="00220D55">
        <w:rPr>
          <w:iCs/>
          <w:szCs w:val="24"/>
        </w:rPr>
        <w:t xml:space="preserve">Furthermore, to evaluate and assure budget neutrality, CMS subjects each demonstration to a budget neutrality test, which results in limits that are placed on the amount of federal Medicaid funding the state may receive over the life of the demonstration approval. </w:t>
      </w:r>
    </w:p>
    <w:p w14:paraId="11516646" w14:textId="24B16BDF" w:rsidR="00220D55" w:rsidRDefault="00220D55" w:rsidP="008D2A22">
      <w:pPr>
        <w:spacing w:line="240" w:lineRule="auto"/>
        <w:rPr>
          <w:iCs/>
          <w:szCs w:val="24"/>
        </w:rPr>
      </w:pPr>
      <w:r w:rsidRPr="00220D55">
        <w:rPr>
          <w:iCs/>
          <w:szCs w:val="24"/>
        </w:rPr>
        <w:t>The characteristics of the budget neutrality test for each demonstration project are determined as part of CMS and state negotiations over the specific terms and conditions of the demonstration project. CMS requests that state officials attest to the accuracy of the data provided to CMS. The essential parameters of the budget neutrality test are specified in the demonstration’s Special Terms and Conditions (STC). CMS’s determination that a demonstration is expected to be budget neutral is based on forecasts, using reasonable projections of future spending and enrollment trends. CMS monitors budget neutrality throughout the demonstration period, and also performs a formal adjudication at the end of the demonstration period to determine whether the state’s actual spending has remained within the specified limit. If actual expenditures are found to have exceeded the limit, the state agrees to return any excess federal share to CMS via the expenditure reconciliation process as a condition of approval of every section 1115(a) demonstration project. CMS will perform an adjudication for every demonstration at the conclusion of each approval period.</w:t>
      </w:r>
    </w:p>
    <w:p w14:paraId="419D8383" w14:textId="48F475A4" w:rsidR="00867343" w:rsidRPr="00516A83" w:rsidRDefault="00867343" w:rsidP="008D2A22">
      <w:pPr>
        <w:spacing w:line="240" w:lineRule="auto"/>
        <w:rPr>
          <w:iCs/>
          <w:szCs w:val="24"/>
        </w:rPr>
      </w:pPr>
      <w:r w:rsidRPr="00516A83">
        <w:rPr>
          <w:iCs/>
          <w:szCs w:val="24"/>
        </w:rPr>
        <w:t>The budget neutrality expenditure limit</w:t>
      </w:r>
      <w:r>
        <w:rPr>
          <w:iCs/>
          <w:szCs w:val="24"/>
        </w:rPr>
        <w:t>s</w:t>
      </w:r>
      <w:r w:rsidRPr="00516A83">
        <w:rPr>
          <w:iCs/>
          <w:szCs w:val="24"/>
        </w:rPr>
        <w:t xml:space="preserve"> </w:t>
      </w:r>
      <w:r>
        <w:rPr>
          <w:iCs/>
          <w:szCs w:val="24"/>
        </w:rPr>
        <w:t>are</w:t>
      </w:r>
      <w:r w:rsidR="005E6549">
        <w:rPr>
          <w:iCs/>
          <w:szCs w:val="24"/>
        </w:rPr>
        <w:t xml:space="preserve"> </w:t>
      </w:r>
      <w:r w:rsidRPr="00516A83">
        <w:rPr>
          <w:iCs/>
          <w:szCs w:val="24"/>
        </w:rPr>
        <w:t>based on projection</w:t>
      </w:r>
      <w:r>
        <w:rPr>
          <w:iCs/>
          <w:szCs w:val="24"/>
        </w:rPr>
        <w:t>s</w:t>
      </w:r>
      <w:r w:rsidRPr="00516A83">
        <w:rPr>
          <w:iCs/>
          <w:szCs w:val="24"/>
        </w:rPr>
        <w:t xml:space="preserve"> of the amount of federal Medicaid funding (federal financial participation, or FFP) that the state </w:t>
      </w:r>
      <w:r>
        <w:rPr>
          <w:iCs/>
          <w:szCs w:val="24"/>
        </w:rPr>
        <w:t xml:space="preserve">could </w:t>
      </w:r>
      <w:r w:rsidRPr="00516A83">
        <w:rPr>
          <w:iCs/>
          <w:szCs w:val="24"/>
        </w:rPr>
        <w:t xml:space="preserve">have received in the absence of the demonstration. </w:t>
      </w:r>
      <w:r>
        <w:rPr>
          <w:iCs/>
          <w:szCs w:val="24"/>
        </w:rPr>
        <w:t xml:space="preserve">As a condition of each section 1115(a) demonstration approval, states agree to limit their receipt of FFP to the amounts indicated in the budget neutrality test, and to return any funds they receive, in excess of those limits, to CMS. A </w:t>
      </w:r>
      <w:r w:rsidRPr="00516A83">
        <w:rPr>
          <w:iCs/>
          <w:szCs w:val="24"/>
        </w:rPr>
        <w:t>budget neutrality test</w:t>
      </w:r>
      <w:r>
        <w:rPr>
          <w:iCs/>
          <w:szCs w:val="24"/>
        </w:rPr>
        <w:t xml:space="preserve"> is required </w:t>
      </w:r>
      <w:r w:rsidRPr="00516A83">
        <w:rPr>
          <w:iCs/>
          <w:szCs w:val="24"/>
        </w:rPr>
        <w:t xml:space="preserve">for any </w:t>
      </w:r>
      <w:r>
        <w:rPr>
          <w:iCs/>
          <w:szCs w:val="24"/>
        </w:rPr>
        <w:t xml:space="preserve">section 1115 </w:t>
      </w:r>
      <w:r w:rsidRPr="00516A83">
        <w:rPr>
          <w:iCs/>
          <w:szCs w:val="24"/>
        </w:rPr>
        <w:t>demonstration</w:t>
      </w:r>
      <w:r>
        <w:rPr>
          <w:iCs/>
          <w:szCs w:val="24"/>
        </w:rPr>
        <w:t xml:space="preserve"> project, regardless of</w:t>
      </w:r>
      <w:r w:rsidRPr="00516A83">
        <w:rPr>
          <w:iCs/>
          <w:szCs w:val="24"/>
        </w:rPr>
        <w:t xml:space="preserve"> </w:t>
      </w:r>
      <w:r>
        <w:rPr>
          <w:iCs/>
          <w:szCs w:val="24"/>
        </w:rPr>
        <w:t>whether it</w:t>
      </w:r>
      <w:r w:rsidRPr="00516A83">
        <w:rPr>
          <w:iCs/>
          <w:szCs w:val="24"/>
        </w:rPr>
        <w:t xml:space="preserve"> involves use of section 1115(a)(1) waivers</w:t>
      </w:r>
      <w:r>
        <w:rPr>
          <w:iCs/>
          <w:szCs w:val="24"/>
        </w:rPr>
        <w:t>,</w:t>
      </w:r>
      <w:r w:rsidRPr="00516A83">
        <w:rPr>
          <w:iCs/>
          <w:szCs w:val="24"/>
        </w:rPr>
        <w:t xml:space="preserve"> section 1115(a)(2)(A) expenditure authority, or both. However, for demonstrations </w:t>
      </w:r>
      <w:r>
        <w:rPr>
          <w:iCs/>
          <w:szCs w:val="24"/>
        </w:rPr>
        <w:t xml:space="preserve">that include only </w:t>
      </w:r>
      <w:r w:rsidRPr="00516A83">
        <w:rPr>
          <w:iCs/>
          <w:szCs w:val="24"/>
        </w:rPr>
        <w:t xml:space="preserve">waiver authorities </w:t>
      </w:r>
      <w:r>
        <w:rPr>
          <w:iCs/>
          <w:szCs w:val="24"/>
        </w:rPr>
        <w:t>under section 1115(a)(1)</w:t>
      </w:r>
      <w:r w:rsidRPr="00516A83">
        <w:rPr>
          <w:iCs/>
          <w:szCs w:val="24"/>
        </w:rPr>
        <w:t xml:space="preserve">, CMS may </w:t>
      </w:r>
      <w:r>
        <w:rPr>
          <w:iCs/>
          <w:szCs w:val="24"/>
        </w:rPr>
        <w:t>determine</w:t>
      </w:r>
      <w:r w:rsidRPr="00516A83">
        <w:rPr>
          <w:iCs/>
          <w:szCs w:val="24"/>
        </w:rPr>
        <w:t xml:space="preserve"> that the authorized waivers will not result in an increase in federal Medicaid spending, and deem the demonstration to be budget neutral without</w:t>
      </w:r>
      <w:r>
        <w:rPr>
          <w:iCs/>
          <w:szCs w:val="24"/>
        </w:rPr>
        <w:t xml:space="preserve"> application of the general methodology described in this letter</w:t>
      </w:r>
      <w:r w:rsidRPr="00516A83">
        <w:rPr>
          <w:iCs/>
          <w:szCs w:val="24"/>
        </w:rPr>
        <w:t xml:space="preserve">. </w:t>
      </w:r>
    </w:p>
    <w:p w14:paraId="55BC7E8B" w14:textId="4183B2D3" w:rsidR="00867343" w:rsidRDefault="00867343" w:rsidP="008D2A22">
      <w:pPr>
        <w:spacing w:line="240" w:lineRule="auto"/>
        <w:rPr>
          <w:szCs w:val="24"/>
        </w:rPr>
      </w:pPr>
      <w:r w:rsidRPr="00516A83">
        <w:rPr>
          <w:szCs w:val="24"/>
        </w:rPr>
        <w:t>For demonstrations with authorized expenditure authority</w:t>
      </w:r>
      <w:r>
        <w:rPr>
          <w:szCs w:val="24"/>
        </w:rPr>
        <w:t xml:space="preserve"> under section 1115(a)(2)</w:t>
      </w:r>
      <w:r w:rsidRPr="00516A83">
        <w:rPr>
          <w:szCs w:val="24"/>
        </w:rPr>
        <w:t xml:space="preserve">, determination of budget neutrality involves calculating that the demonstration </w:t>
      </w:r>
      <w:r>
        <w:rPr>
          <w:szCs w:val="24"/>
        </w:rPr>
        <w:t xml:space="preserve">project </w:t>
      </w:r>
      <w:r w:rsidRPr="00516A83">
        <w:rPr>
          <w:szCs w:val="24"/>
        </w:rPr>
        <w:t>will likely achieve federal Medicaid</w:t>
      </w:r>
      <w:r>
        <w:rPr>
          <w:szCs w:val="24"/>
        </w:rPr>
        <w:t xml:space="preserve"> </w:t>
      </w:r>
      <w:r w:rsidRPr="00516A83">
        <w:rPr>
          <w:szCs w:val="24"/>
        </w:rPr>
        <w:t xml:space="preserve">“savings” sufficient to offset the additional projected </w:t>
      </w:r>
      <w:r>
        <w:rPr>
          <w:szCs w:val="24"/>
        </w:rPr>
        <w:t xml:space="preserve">federal </w:t>
      </w:r>
      <w:r w:rsidRPr="00516A83">
        <w:rPr>
          <w:szCs w:val="24"/>
        </w:rPr>
        <w:t xml:space="preserve">costs resulting from the expenditure authority. Offsetting savings </w:t>
      </w:r>
      <w:r>
        <w:rPr>
          <w:szCs w:val="24"/>
        </w:rPr>
        <w:t>will be factored into</w:t>
      </w:r>
      <w:r w:rsidRPr="00516A83">
        <w:rPr>
          <w:szCs w:val="24"/>
        </w:rPr>
        <w:t xml:space="preserve"> the overall budget neutrality test for the demonstration and, if</w:t>
      </w:r>
      <w:r w:rsidRPr="003255E5">
        <w:rPr>
          <w:szCs w:val="24"/>
        </w:rPr>
        <w:t xml:space="preserve"> the </w:t>
      </w:r>
      <w:r>
        <w:rPr>
          <w:szCs w:val="24"/>
        </w:rPr>
        <w:t>t</w:t>
      </w:r>
      <w:r w:rsidRPr="00BC711F">
        <w:rPr>
          <w:szCs w:val="24"/>
        </w:rPr>
        <w:t>otal federal cost of the state’s Medicaid program</w:t>
      </w:r>
      <w:r>
        <w:rPr>
          <w:szCs w:val="24"/>
        </w:rPr>
        <w:t xml:space="preserve"> (specifically, the portion affected by the demonstration) </w:t>
      </w:r>
      <w:r w:rsidRPr="003255E5">
        <w:rPr>
          <w:szCs w:val="24"/>
        </w:rPr>
        <w:t>plus the expenditure authority</w:t>
      </w:r>
      <w:r w:rsidRPr="00BC711F">
        <w:rPr>
          <w:szCs w:val="24"/>
        </w:rPr>
        <w:t xml:space="preserve"> is less than or equal to the projection of federal Medicaid spending without the demonstration, the demonstration as a whole (including the expenditure authority), is determined to be budget neutral.</w:t>
      </w:r>
    </w:p>
    <w:p w14:paraId="3E8C56C2" w14:textId="45D595EB" w:rsidR="00EC7578" w:rsidRDefault="00867343" w:rsidP="008D2A22">
      <w:pPr>
        <w:spacing w:after="0" w:line="240" w:lineRule="auto"/>
        <w:rPr>
          <w:iCs/>
        </w:rPr>
      </w:pPr>
      <w:r w:rsidRPr="00516A83">
        <w:rPr>
          <w:szCs w:val="24"/>
        </w:rPr>
        <w:t xml:space="preserve">In cases where expenditure authority is provided for coverage of populations or services that the state could have otherwise provided through its Medicaid state plan or </w:t>
      </w:r>
      <w:r>
        <w:rPr>
          <w:szCs w:val="24"/>
        </w:rPr>
        <w:t>other</w:t>
      </w:r>
      <w:r w:rsidRPr="00516A83">
        <w:rPr>
          <w:szCs w:val="24"/>
        </w:rPr>
        <w:t xml:space="preserve"> title XIX </w:t>
      </w:r>
      <w:r>
        <w:rPr>
          <w:szCs w:val="24"/>
        </w:rPr>
        <w:t>authority</w:t>
      </w:r>
      <w:r w:rsidRPr="00516A83">
        <w:rPr>
          <w:szCs w:val="24"/>
        </w:rPr>
        <w:t xml:space="preserve">, </w:t>
      </w:r>
      <w:r>
        <w:rPr>
          <w:szCs w:val="24"/>
        </w:rPr>
        <w:t xml:space="preserve">such as a 1915 waiver, </w:t>
      </w:r>
      <w:r w:rsidRPr="00516A83">
        <w:rPr>
          <w:szCs w:val="24"/>
        </w:rPr>
        <w:t xml:space="preserve">CMS </w:t>
      </w:r>
      <w:r>
        <w:rPr>
          <w:szCs w:val="24"/>
        </w:rPr>
        <w:t>considers these expenditures to be “hypothetical”; that is, the services would have been eligible to receive FFP elsewhere in the Medicaid program. For these hypothetical expenditures, CMS makes</w:t>
      </w:r>
      <w:r w:rsidRPr="00516A83">
        <w:rPr>
          <w:szCs w:val="24"/>
        </w:rPr>
        <w:t xml:space="preserve"> adjustments to the budget neutrality </w:t>
      </w:r>
      <w:r w:rsidR="000E3C91" w:rsidRPr="00516A83">
        <w:rPr>
          <w:szCs w:val="24"/>
        </w:rPr>
        <w:t>test, which</w:t>
      </w:r>
      <w:r>
        <w:rPr>
          <w:szCs w:val="24"/>
        </w:rPr>
        <w:t xml:space="preserve"> effectively treats them as if they were approved Medicaid state plan services. Hypothetical expenditures, therefore, do not necessitate</w:t>
      </w:r>
      <w:r w:rsidRPr="00516A83">
        <w:rPr>
          <w:szCs w:val="24"/>
        </w:rPr>
        <w:t xml:space="preserve"> savings</w:t>
      </w:r>
      <w:r>
        <w:rPr>
          <w:szCs w:val="24"/>
        </w:rPr>
        <w:t xml:space="preserve"> to offset the otherwise-allowable services. This approach reflects CMS’s position that </w:t>
      </w:r>
      <w:r w:rsidRPr="00516A83">
        <w:rPr>
          <w:szCs w:val="24"/>
        </w:rPr>
        <w:t xml:space="preserve">states </w:t>
      </w:r>
      <w:r>
        <w:rPr>
          <w:szCs w:val="24"/>
        </w:rPr>
        <w:t>should not have to</w:t>
      </w:r>
      <w:r w:rsidRPr="00516A83">
        <w:rPr>
          <w:szCs w:val="24"/>
        </w:rPr>
        <w:t xml:space="preserve"> “pay for,” with demonstration savings, costs that could have otherwise </w:t>
      </w:r>
      <w:r>
        <w:rPr>
          <w:szCs w:val="24"/>
        </w:rPr>
        <w:t>been eligible for FFP</w:t>
      </w:r>
      <w:r w:rsidRPr="00516A83">
        <w:rPr>
          <w:szCs w:val="24"/>
        </w:rPr>
        <w:t xml:space="preserve"> under a Medicaid state plan</w:t>
      </w:r>
      <w:r>
        <w:rPr>
          <w:szCs w:val="24"/>
        </w:rPr>
        <w:t xml:space="preserve"> or other title XIX authority; however, when evaluating budget neutrality, </w:t>
      </w:r>
      <w:r w:rsidRPr="00516A83">
        <w:rPr>
          <w:szCs w:val="24"/>
        </w:rPr>
        <w:t xml:space="preserve">CMS does not offset non-hypothetical </w:t>
      </w:r>
      <w:r>
        <w:rPr>
          <w:szCs w:val="24"/>
        </w:rPr>
        <w:t>expenditures</w:t>
      </w:r>
      <w:r w:rsidRPr="00516A83">
        <w:rPr>
          <w:szCs w:val="24"/>
        </w:rPr>
        <w:t xml:space="preserve"> </w:t>
      </w:r>
      <w:r>
        <w:rPr>
          <w:szCs w:val="24"/>
        </w:rPr>
        <w:t>with projected or accrued</w:t>
      </w:r>
      <w:r w:rsidRPr="00516A83">
        <w:rPr>
          <w:szCs w:val="24"/>
        </w:rPr>
        <w:t xml:space="preserve"> savings from hypothetical expenditures.</w:t>
      </w:r>
    </w:p>
    <w:p w14:paraId="0B5BEAEF" w14:textId="77777777" w:rsidR="00C903C4" w:rsidRDefault="00C903C4" w:rsidP="008910E3">
      <w:pPr>
        <w:spacing w:after="0" w:line="240" w:lineRule="auto"/>
        <w:rPr>
          <w:i/>
        </w:rPr>
      </w:pPr>
    </w:p>
    <w:p w14:paraId="6050950F" w14:textId="77777777" w:rsidR="005556AE" w:rsidRPr="008111D2" w:rsidRDefault="005556AE" w:rsidP="00107E26">
      <w:pPr>
        <w:pStyle w:val="Heading1"/>
      </w:pPr>
      <w:r w:rsidRPr="008111D2">
        <w:t>B. Description of Information Collection</w:t>
      </w:r>
    </w:p>
    <w:p w14:paraId="2DAFBFC6" w14:textId="77777777" w:rsidR="00150C54" w:rsidRDefault="00150C54" w:rsidP="0010672B">
      <w:pPr>
        <w:spacing w:after="120" w:line="240" w:lineRule="auto"/>
        <w:rPr>
          <w:rFonts w:cs="Times New Roman"/>
          <w:i/>
          <w:iCs/>
          <w:szCs w:val="24"/>
        </w:rPr>
      </w:pPr>
    </w:p>
    <w:p w14:paraId="7BF624AB" w14:textId="77777777" w:rsidR="00443F76" w:rsidRPr="00443F76" w:rsidRDefault="00443F76" w:rsidP="00443F76">
      <w:pPr>
        <w:rPr>
          <w:rFonts w:cs="Times New Roman"/>
          <w:i/>
          <w:iCs/>
          <w:szCs w:val="24"/>
        </w:rPr>
      </w:pPr>
      <w:r w:rsidRPr="00443F76">
        <w:rPr>
          <w:rFonts w:cs="Times New Roman"/>
          <w:i/>
          <w:iCs/>
          <w:szCs w:val="24"/>
        </w:rPr>
        <w:t>Performance Metrics Database &amp; Analytics (PMDA) Overview</w:t>
      </w:r>
    </w:p>
    <w:p w14:paraId="2CE9A0C5" w14:textId="1335DCBA" w:rsidR="00443F76" w:rsidRPr="00E20BE8" w:rsidRDefault="00443F76" w:rsidP="008D2A22">
      <w:pPr>
        <w:spacing w:line="240" w:lineRule="auto"/>
        <w:rPr>
          <w:rFonts w:cs="Times New Roman"/>
          <w:szCs w:val="24"/>
        </w:rPr>
      </w:pPr>
      <w:r w:rsidRPr="00CE7C0B">
        <w:rPr>
          <w:rFonts w:cs="Times New Roman"/>
          <w:szCs w:val="24"/>
        </w:rPr>
        <w:t>The 1115 PMDA application offers a source of high quality and timely data to improve the Center</w:t>
      </w:r>
      <w:r w:rsidRPr="00E20BE8">
        <w:rPr>
          <w:rFonts w:cs="Times New Roman"/>
          <w:szCs w:val="24"/>
        </w:rPr>
        <w:t xml:space="preserve"> for Medicaid &amp; CHIP Services (CMCS) ability to monitor demonstrations for the achievement of desired outcomes and projected cost savings. The states will upload and submit their budget neutrality workbook to CMCS via PMDA. Eventually PMDA will </w:t>
      </w:r>
      <w:r w:rsidR="00F74076">
        <w:rPr>
          <w:rFonts w:cs="Times New Roman"/>
          <w:szCs w:val="24"/>
        </w:rPr>
        <w:t xml:space="preserve">also </w:t>
      </w:r>
      <w:r w:rsidRPr="00E20BE8">
        <w:rPr>
          <w:rFonts w:cs="Times New Roman"/>
          <w:szCs w:val="24"/>
        </w:rPr>
        <w:t>be  integrated into the Medicaid a</w:t>
      </w:r>
      <w:r w:rsidRPr="00BF60BE">
        <w:rPr>
          <w:rFonts w:cs="Times New Roman"/>
          <w:szCs w:val="24"/>
        </w:rPr>
        <w:t xml:space="preserve">nd CHIP Program (MACPro) System, which </w:t>
      </w:r>
      <w:r w:rsidR="00F74076">
        <w:rPr>
          <w:rFonts w:cs="Times New Roman"/>
          <w:szCs w:val="24"/>
        </w:rPr>
        <w:t xml:space="preserve">currently </w:t>
      </w:r>
      <w:r w:rsidRPr="00E20BE8">
        <w:rPr>
          <w:rFonts w:cs="Times New Roman"/>
          <w:szCs w:val="24"/>
        </w:rPr>
        <w:t xml:space="preserve">allows CMS and states to collaborate online to process State Plan Amendments (SPA), </w:t>
      </w:r>
      <w:r w:rsidR="00F74076">
        <w:rPr>
          <w:rFonts w:cs="Times New Roman"/>
          <w:szCs w:val="24"/>
        </w:rPr>
        <w:t xml:space="preserve">1915 </w:t>
      </w:r>
      <w:r w:rsidRPr="00E20BE8">
        <w:rPr>
          <w:rFonts w:cs="Times New Roman"/>
          <w:szCs w:val="24"/>
        </w:rPr>
        <w:t>waivers, Quality Measures reports,  advance planning d</w:t>
      </w:r>
      <w:r w:rsidRPr="00BF60BE">
        <w:rPr>
          <w:rFonts w:cs="Times New Roman"/>
          <w:szCs w:val="24"/>
        </w:rPr>
        <w:t>ocuments, and other initiatives</w:t>
      </w:r>
      <w:r w:rsidR="00F74076">
        <w:rPr>
          <w:rFonts w:cs="Times New Roman"/>
          <w:szCs w:val="24"/>
        </w:rPr>
        <w:t>.</w:t>
      </w:r>
      <w:r w:rsidRPr="00BF60BE">
        <w:rPr>
          <w:rFonts w:cs="Times New Roman"/>
          <w:szCs w:val="24"/>
        </w:rPr>
        <w:t xml:space="preserve"> </w:t>
      </w:r>
    </w:p>
    <w:p w14:paraId="19C967BB" w14:textId="77777777" w:rsidR="00443F76" w:rsidRPr="00E20BE8" w:rsidRDefault="00443F76" w:rsidP="00443F76">
      <w:pPr>
        <w:pStyle w:val="StyleInfoBlueArialLeftLeft0After12pt"/>
        <w:spacing w:line="276" w:lineRule="auto"/>
        <w:jc w:val="both"/>
        <w:rPr>
          <w:rFonts w:ascii="Times New Roman" w:hAnsi="Times New Roman"/>
          <w:i w:val="0"/>
          <w:color w:val="auto"/>
          <w:szCs w:val="24"/>
        </w:rPr>
      </w:pPr>
      <w:r w:rsidRPr="00E20BE8">
        <w:rPr>
          <w:rFonts w:ascii="Times New Roman" w:hAnsi="Times New Roman"/>
          <w:i w:val="0"/>
          <w:color w:val="auto"/>
          <w:szCs w:val="24"/>
        </w:rPr>
        <w:t>The goal of the PMDA application is to:</w:t>
      </w:r>
    </w:p>
    <w:p w14:paraId="5E9D3352" w14:textId="77777777" w:rsidR="00443F76" w:rsidRPr="00E20BE8" w:rsidRDefault="00443F76" w:rsidP="00443F76">
      <w:pPr>
        <w:pStyle w:val="NormalWeb"/>
        <w:numPr>
          <w:ilvl w:val="0"/>
          <w:numId w:val="21"/>
        </w:numPr>
        <w:tabs>
          <w:tab w:val="clear" w:pos="720"/>
          <w:tab w:val="num" w:pos="810"/>
          <w:tab w:val="num" w:pos="1710"/>
        </w:tabs>
        <w:spacing w:before="0" w:beforeAutospacing="0" w:after="0" w:afterAutospacing="0"/>
        <w:ind w:left="810" w:right="288"/>
        <w:jc w:val="both"/>
        <w:textAlignment w:val="baseline"/>
        <w:rPr>
          <w:color w:val="000000"/>
        </w:rPr>
      </w:pPr>
      <w:r w:rsidRPr="00E20BE8">
        <w:rPr>
          <w:color w:val="000000"/>
        </w:rPr>
        <w:t>Collect programmatic quality and other performance metrics, related reports and other information associated with selected 1115  demonstrations;  </w:t>
      </w:r>
    </w:p>
    <w:p w14:paraId="4FC6A814" w14:textId="77777777" w:rsidR="00443F76" w:rsidRPr="00E20BE8" w:rsidRDefault="00443F76" w:rsidP="00443F76">
      <w:pPr>
        <w:pStyle w:val="NormalWeb"/>
        <w:numPr>
          <w:ilvl w:val="0"/>
          <w:numId w:val="21"/>
        </w:numPr>
        <w:tabs>
          <w:tab w:val="clear" w:pos="720"/>
          <w:tab w:val="num" w:pos="810"/>
          <w:tab w:val="num" w:pos="1710"/>
        </w:tabs>
        <w:spacing w:before="0" w:beforeAutospacing="0" w:after="0" w:afterAutospacing="0"/>
        <w:ind w:left="810" w:right="288"/>
        <w:jc w:val="both"/>
        <w:textAlignment w:val="baseline"/>
        <w:rPr>
          <w:color w:val="000000"/>
        </w:rPr>
      </w:pPr>
      <w:r w:rsidRPr="00E20BE8">
        <w:rPr>
          <w:color w:val="000000"/>
        </w:rPr>
        <w:t>Validate and track performance-based incentive payments for 1115 demonstrations that include them;</w:t>
      </w:r>
    </w:p>
    <w:p w14:paraId="132AF88F" w14:textId="77777777" w:rsidR="00443F76" w:rsidRDefault="00443F76" w:rsidP="00443F76">
      <w:pPr>
        <w:pStyle w:val="NormalWeb"/>
        <w:numPr>
          <w:ilvl w:val="0"/>
          <w:numId w:val="21"/>
        </w:numPr>
        <w:tabs>
          <w:tab w:val="clear" w:pos="720"/>
          <w:tab w:val="num" w:pos="810"/>
          <w:tab w:val="num" w:pos="1710"/>
        </w:tabs>
        <w:spacing w:before="0" w:beforeAutospacing="0" w:after="0" w:afterAutospacing="0"/>
        <w:ind w:left="810" w:right="288"/>
        <w:jc w:val="both"/>
        <w:textAlignment w:val="baseline"/>
        <w:rPr>
          <w:color w:val="000000"/>
        </w:rPr>
      </w:pPr>
      <w:r w:rsidRPr="00E20BE8">
        <w:rPr>
          <w:color w:val="000000"/>
        </w:rPr>
        <w:t>Provide electronic reports that support CMCS oversight, monitoring and evaluation of 1115 demonstration performance, particularly on quality and other performance metrics, and on related incentive payments (if any);</w:t>
      </w:r>
    </w:p>
    <w:p w14:paraId="728E5200" w14:textId="77777777" w:rsidR="00443F76" w:rsidRPr="00425E80" w:rsidRDefault="00443F76" w:rsidP="00443F76">
      <w:pPr>
        <w:pStyle w:val="NormalWeb"/>
        <w:numPr>
          <w:ilvl w:val="0"/>
          <w:numId w:val="21"/>
        </w:numPr>
        <w:tabs>
          <w:tab w:val="clear" w:pos="720"/>
          <w:tab w:val="num" w:pos="810"/>
          <w:tab w:val="num" w:pos="1710"/>
        </w:tabs>
        <w:spacing w:before="0" w:beforeAutospacing="0" w:after="0" w:afterAutospacing="0"/>
        <w:ind w:left="810" w:right="288"/>
        <w:jc w:val="both"/>
        <w:textAlignment w:val="baseline"/>
        <w:rPr>
          <w:color w:val="000000"/>
        </w:rPr>
      </w:pPr>
      <w:r w:rsidRPr="00425E80">
        <w:rPr>
          <w:color w:val="000000"/>
        </w:rPr>
        <w:t>Produce analytic files to support demonstration evaluation.</w:t>
      </w:r>
    </w:p>
    <w:p w14:paraId="58ECB1D9" w14:textId="77777777" w:rsidR="00443F76" w:rsidRDefault="00443F76" w:rsidP="00443F76">
      <w:pPr>
        <w:spacing w:after="0" w:line="240" w:lineRule="auto"/>
        <w:rPr>
          <w:iCs/>
        </w:rPr>
      </w:pPr>
    </w:p>
    <w:p w14:paraId="0B6FC8BF" w14:textId="77777777" w:rsidR="00443F76" w:rsidRPr="00443F76" w:rsidRDefault="00443F76" w:rsidP="00443F76">
      <w:pPr>
        <w:spacing w:after="0" w:line="240" w:lineRule="auto"/>
        <w:contextualSpacing/>
        <w:rPr>
          <w:i/>
        </w:rPr>
      </w:pPr>
      <w:r w:rsidRPr="00443F76">
        <w:rPr>
          <w:i/>
        </w:rPr>
        <w:t>Reporting on and Monitoring of Budget Neutrality Using the PMDA</w:t>
      </w:r>
      <w:r w:rsidRPr="00443F76">
        <w:rPr>
          <w:i/>
          <w:szCs w:val="24"/>
        </w:rPr>
        <w:t xml:space="preserve"> Budget Neutrality Workbook</w:t>
      </w:r>
    </w:p>
    <w:p w14:paraId="5A7504FA" w14:textId="77777777" w:rsidR="00443F76" w:rsidRPr="00FD3FD2" w:rsidRDefault="00443F76" w:rsidP="00443F76">
      <w:pPr>
        <w:spacing w:after="0" w:line="240" w:lineRule="auto"/>
        <w:contextualSpacing/>
      </w:pPr>
    </w:p>
    <w:p w14:paraId="564CD07F" w14:textId="5B02219E" w:rsidR="00443F76" w:rsidRDefault="00443F76" w:rsidP="00443F76">
      <w:pPr>
        <w:spacing w:after="0" w:line="240" w:lineRule="auto"/>
        <w:contextualSpacing/>
      </w:pPr>
      <w:r w:rsidRPr="00516A83">
        <w:rPr>
          <w:iCs/>
          <w:szCs w:val="24"/>
        </w:rPr>
        <w:t xml:space="preserve">The characteristics of </w:t>
      </w:r>
      <w:r>
        <w:rPr>
          <w:iCs/>
          <w:szCs w:val="24"/>
        </w:rPr>
        <w:t>the</w:t>
      </w:r>
      <w:r w:rsidRPr="00516A83">
        <w:rPr>
          <w:iCs/>
          <w:szCs w:val="24"/>
        </w:rPr>
        <w:t xml:space="preserve"> budget neutrality test</w:t>
      </w:r>
      <w:r>
        <w:rPr>
          <w:iCs/>
          <w:szCs w:val="24"/>
        </w:rPr>
        <w:t xml:space="preserve"> for each </w:t>
      </w:r>
      <w:r w:rsidR="00A04F7E">
        <w:rPr>
          <w:iCs/>
          <w:szCs w:val="24"/>
        </w:rPr>
        <w:t>Medicaid 1115 State D</w:t>
      </w:r>
      <w:r>
        <w:rPr>
          <w:iCs/>
          <w:szCs w:val="24"/>
        </w:rPr>
        <w:t>emonstration project</w:t>
      </w:r>
      <w:r w:rsidRPr="00516A83">
        <w:rPr>
          <w:iCs/>
          <w:szCs w:val="24"/>
        </w:rPr>
        <w:t xml:space="preserve"> are determined as part of CMS and state negotiations </w:t>
      </w:r>
      <w:r>
        <w:rPr>
          <w:iCs/>
          <w:szCs w:val="24"/>
        </w:rPr>
        <w:t xml:space="preserve">that culminate </w:t>
      </w:r>
      <w:r>
        <w:t>the</w:t>
      </w:r>
      <w:r w:rsidRPr="00FD3FD2">
        <w:t xml:space="preserve"> demonstration’s </w:t>
      </w:r>
      <w:r>
        <w:t>Special Terms and Conditions (</w:t>
      </w:r>
      <w:r w:rsidRPr="00FD3FD2">
        <w:t>STC</w:t>
      </w:r>
      <w:r>
        <w:t xml:space="preserve">).  These STCs </w:t>
      </w:r>
      <w:r w:rsidRPr="00FD3FD2">
        <w:t xml:space="preserve">include </w:t>
      </w:r>
      <w:r>
        <w:t xml:space="preserve">a </w:t>
      </w:r>
      <w:r w:rsidRPr="00FD3FD2">
        <w:t xml:space="preserve">section describing the monitoring of budget neutrality, general financial requirements and corrective actions in the event that actual spending exceeds the specified limits. Together, these STCs describe the process by which the state should perform the </w:t>
      </w:r>
      <w:r>
        <w:t>respective calculations, a</w:t>
      </w:r>
      <w:r w:rsidRPr="00FD3FD2">
        <w:t xml:space="preserve">s well as how to report the expenditures to CMS and reconciliation processes. </w:t>
      </w:r>
    </w:p>
    <w:p w14:paraId="5BE784A2" w14:textId="77777777" w:rsidR="00443F76" w:rsidRDefault="00443F76" w:rsidP="00443F76">
      <w:pPr>
        <w:spacing w:after="0" w:line="240" w:lineRule="auto"/>
        <w:contextualSpacing/>
      </w:pPr>
    </w:p>
    <w:p w14:paraId="5BD8154A" w14:textId="1F0C796C" w:rsidR="00443F76" w:rsidRDefault="00443F76" w:rsidP="00443F76">
      <w:pPr>
        <w:spacing w:after="0" w:line="240" w:lineRule="auto"/>
        <w:contextualSpacing/>
        <w:rPr>
          <w:szCs w:val="24"/>
        </w:rPr>
      </w:pPr>
      <w:r w:rsidRPr="00FE4F27">
        <w:t>Per each demonstration’s STC</w:t>
      </w:r>
      <w:r w:rsidR="006D7353">
        <w:t>s</w:t>
      </w:r>
      <w:r w:rsidRPr="00FE4F27">
        <w:t xml:space="preserve">, states are required to submit </w:t>
      </w:r>
      <w:r>
        <w:t xml:space="preserve">to CMS </w:t>
      </w:r>
      <w:r w:rsidRPr="00FE4F27">
        <w:t>quarterly monitoring reports within 60-days of the end of each quarter</w:t>
      </w:r>
      <w:r>
        <w:t xml:space="preserve">, as well as </w:t>
      </w:r>
      <w:r w:rsidRPr="00FE4F27">
        <w:t xml:space="preserve">an annual report within 90-days of a </w:t>
      </w:r>
      <w:r>
        <w:t xml:space="preserve">demonstration year’s completion. </w:t>
      </w:r>
      <w:r w:rsidRPr="00FE4F27">
        <w:t xml:space="preserve"> These reports are required to include fiscal reporting to assist in the determination of whether or not the demonstration is tracking as budget neutral</w:t>
      </w:r>
      <w:r>
        <w:t xml:space="preserve">.  In the event that a state is </w:t>
      </w:r>
      <w:r w:rsidRPr="00FE4F27">
        <w:t>found to have exceeded its budget neutrality expenditure limit(s) at the end of its demonstration’s period of performance, the excess funds must be returned to CMS. States return funds by entering a negative adjustment to expenditures claimed on their CMS-64 reports</w:t>
      </w:r>
      <w:r w:rsidR="006D7353">
        <w:t xml:space="preserve"> (OMB 0938-1265)</w:t>
      </w:r>
      <w:r w:rsidRPr="00FE4F27">
        <w:t>.</w:t>
      </w:r>
    </w:p>
    <w:p w14:paraId="0BB59AF1" w14:textId="77777777" w:rsidR="00443F76" w:rsidRDefault="00443F76" w:rsidP="00443F76">
      <w:pPr>
        <w:spacing w:after="0" w:line="240" w:lineRule="auto"/>
        <w:rPr>
          <w:szCs w:val="24"/>
        </w:rPr>
      </w:pPr>
    </w:p>
    <w:p w14:paraId="5105C7F9" w14:textId="14617D53" w:rsidR="00443F76" w:rsidRDefault="00443F76" w:rsidP="00443F76">
      <w:pPr>
        <w:spacing w:after="0" w:line="240" w:lineRule="auto"/>
        <w:rPr>
          <w:rFonts w:cs="Times New Roman"/>
          <w:szCs w:val="24"/>
        </w:rPr>
      </w:pPr>
      <w:r>
        <w:rPr>
          <w:szCs w:val="24"/>
        </w:rPr>
        <w:t xml:space="preserve">Currently, there are inconsistencies in the manner in which states report their financial data, in significant part due to minimal standardization of the collection instrument.  This causes time- consuming reviews and does not support easy monitoring and assessment of budget neutrality over time or across the 1115 demonstration portfolio.   To support more efficient, timely and accurate review of states’ budget neutrality submissions, CMS has developed </w:t>
      </w:r>
      <w:r>
        <w:rPr>
          <w:rFonts w:cs="Times New Roman"/>
          <w:szCs w:val="24"/>
        </w:rPr>
        <w:t>a standardized budget neutrality reporting form, known as the Budget Neutrality Workbook. Specifically, this workbook consolidates into a unified report</w:t>
      </w:r>
      <w:r>
        <w:rPr>
          <w:szCs w:val="24"/>
        </w:rPr>
        <w:t xml:space="preserve"> a standard set of financial data. </w:t>
      </w:r>
      <w:r>
        <w:rPr>
          <w:rFonts w:cs="Times New Roman"/>
          <w:szCs w:val="24"/>
        </w:rPr>
        <w:t>The standardization of the reporting methodology, together with automation of the reporting submission supports</w:t>
      </w:r>
      <w:r w:rsidRPr="007D67B8">
        <w:rPr>
          <w:rFonts w:cs="Times New Roman"/>
          <w:szCs w:val="24"/>
        </w:rPr>
        <w:t xml:space="preserve">: </w:t>
      </w:r>
    </w:p>
    <w:p w14:paraId="65D56CAD" w14:textId="77777777" w:rsidR="00443F76" w:rsidRPr="007D67B8" w:rsidRDefault="00443F76" w:rsidP="00443F76">
      <w:pPr>
        <w:spacing w:after="0" w:line="240" w:lineRule="auto"/>
        <w:rPr>
          <w:rFonts w:cs="Times New Roman"/>
          <w:szCs w:val="24"/>
        </w:rPr>
      </w:pPr>
    </w:p>
    <w:p w14:paraId="47B72527" w14:textId="77777777" w:rsidR="00443F76" w:rsidRPr="00604DA2" w:rsidRDefault="00443F76" w:rsidP="00443F76">
      <w:pPr>
        <w:pStyle w:val="ListParagraph"/>
        <w:numPr>
          <w:ilvl w:val="0"/>
          <w:numId w:val="19"/>
        </w:numPr>
        <w:spacing w:after="0" w:line="240" w:lineRule="auto"/>
        <w:rPr>
          <w:rFonts w:ascii="Times New Roman" w:hAnsi="Times New Roman"/>
          <w:sz w:val="24"/>
          <w:szCs w:val="24"/>
        </w:rPr>
      </w:pPr>
      <w:r>
        <w:rPr>
          <w:rFonts w:ascii="Times New Roman" w:hAnsi="Times New Roman"/>
          <w:sz w:val="24"/>
          <w:szCs w:val="24"/>
        </w:rPr>
        <w:t>c</w:t>
      </w:r>
      <w:r w:rsidRPr="00604DA2">
        <w:rPr>
          <w:rFonts w:ascii="Times New Roman" w:hAnsi="Times New Roman"/>
          <w:sz w:val="24"/>
          <w:szCs w:val="24"/>
        </w:rPr>
        <w:t>onsistency of evaluation</w:t>
      </w:r>
      <w:r>
        <w:rPr>
          <w:rFonts w:ascii="Times New Roman" w:hAnsi="Times New Roman"/>
          <w:sz w:val="24"/>
          <w:szCs w:val="24"/>
        </w:rPr>
        <w:t>,</w:t>
      </w:r>
    </w:p>
    <w:p w14:paraId="5819301E" w14:textId="77777777" w:rsidR="00443F76" w:rsidRPr="00604DA2" w:rsidRDefault="00443F76" w:rsidP="00443F76">
      <w:pPr>
        <w:pStyle w:val="ListParagraph"/>
        <w:numPr>
          <w:ilvl w:val="0"/>
          <w:numId w:val="19"/>
        </w:numPr>
        <w:spacing w:after="0" w:line="240" w:lineRule="auto"/>
        <w:rPr>
          <w:rFonts w:ascii="Times New Roman" w:hAnsi="Times New Roman"/>
          <w:sz w:val="24"/>
          <w:szCs w:val="24"/>
        </w:rPr>
      </w:pPr>
      <w:r>
        <w:rPr>
          <w:rFonts w:ascii="Times New Roman" w:hAnsi="Times New Roman"/>
          <w:sz w:val="24"/>
          <w:szCs w:val="24"/>
        </w:rPr>
        <w:t>a s</w:t>
      </w:r>
      <w:r w:rsidRPr="00604DA2">
        <w:rPr>
          <w:rFonts w:ascii="Times New Roman" w:hAnsi="Times New Roman"/>
          <w:sz w:val="24"/>
          <w:szCs w:val="24"/>
        </w:rPr>
        <w:t xml:space="preserve">treamlined communication methodology </w:t>
      </w:r>
      <w:r>
        <w:rPr>
          <w:rFonts w:ascii="Times New Roman" w:hAnsi="Times New Roman"/>
          <w:sz w:val="24"/>
          <w:szCs w:val="24"/>
        </w:rPr>
        <w:t>between states and CMS,</w:t>
      </w:r>
    </w:p>
    <w:p w14:paraId="5957DEC4" w14:textId="77777777" w:rsidR="00443F76" w:rsidRPr="00604DA2" w:rsidRDefault="00443F76" w:rsidP="00443F76">
      <w:pPr>
        <w:pStyle w:val="ListParagraph"/>
        <w:numPr>
          <w:ilvl w:val="0"/>
          <w:numId w:val="19"/>
        </w:numPr>
        <w:spacing w:after="0" w:line="240" w:lineRule="auto"/>
        <w:rPr>
          <w:rFonts w:ascii="Times New Roman" w:hAnsi="Times New Roman"/>
          <w:sz w:val="24"/>
          <w:szCs w:val="24"/>
        </w:rPr>
      </w:pPr>
      <w:r>
        <w:rPr>
          <w:rFonts w:ascii="Times New Roman" w:hAnsi="Times New Roman"/>
          <w:sz w:val="24"/>
          <w:szCs w:val="24"/>
        </w:rPr>
        <w:t>i</w:t>
      </w:r>
      <w:r w:rsidRPr="00604DA2">
        <w:rPr>
          <w:rFonts w:ascii="Times New Roman" w:hAnsi="Times New Roman"/>
          <w:sz w:val="24"/>
          <w:szCs w:val="24"/>
        </w:rPr>
        <w:t>ncrease in reporting accuracy</w:t>
      </w:r>
      <w:r>
        <w:rPr>
          <w:rFonts w:ascii="Times New Roman" w:hAnsi="Times New Roman"/>
          <w:sz w:val="24"/>
          <w:szCs w:val="24"/>
        </w:rPr>
        <w:t>,</w:t>
      </w:r>
    </w:p>
    <w:p w14:paraId="1B09E650" w14:textId="77777777" w:rsidR="00443F76" w:rsidRPr="00604DA2" w:rsidRDefault="00443F76" w:rsidP="00443F76">
      <w:pPr>
        <w:pStyle w:val="ListParagraph"/>
        <w:numPr>
          <w:ilvl w:val="0"/>
          <w:numId w:val="19"/>
        </w:numPr>
        <w:spacing w:after="0" w:line="240" w:lineRule="auto"/>
        <w:rPr>
          <w:rFonts w:ascii="Times New Roman" w:hAnsi="Times New Roman"/>
          <w:sz w:val="24"/>
          <w:szCs w:val="24"/>
        </w:rPr>
      </w:pPr>
      <w:r>
        <w:rPr>
          <w:rFonts w:ascii="Times New Roman" w:hAnsi="Times New Roman"/>
          <w:sz w:val="24"/>
          <w:szCs w:val="24"/>
        </w:rPr>
        <w:t>r</w:t>
      </w:r>
      <w:r w:rsidRPr="00604DA2">
        <w:rPr>
          <w:rFonts w:ascii="Times New Roman" w:hAnsi="Times New Roman"/>
          <w:sz w:val="24"/>
          <w:szCs w:val="24"/>
        </w:rPr>
        <w:t>educed timeframes required for monitoring and evaluation</w:t>
      </w:r>
      <w:r>
        <w:rPr>
          <w:rFonts w:ascii="Times New Roman" w:hAnsi="Times New Roman"/>
          <w:sz w:val="24"/>
          <w:szCs w:val="24"/>
        </w:rPr>
        <w:t>.</w:t>
      </w:r>
    </w:p>
    <w:p w14:paraId="65D54E1F" w14:textId="77777777" w:rsidR="00443F76" w:rsidRDefault="00443F76" w:rsidP="00443F76">
      <w:pPr>
        <w:pStyle w:val="ListParagraph"/>
        <w:autoSpaceDE w:val="0"/>
        <w:autoSpaceDN w:val="0"/>
        <w:spacing w:after="0" w:line="240" w:lineRule="auto"/>
        <w:ind w:left="0" w:right="90"/>
        <w:rPr>
          <w:rFonts w:ascii="Times New Roman" w:hAnsi="Times New Roman"/>
          <w:sz w:val="24"/>
          <w:szCs w:val="24"/>
        </w:rPr>
      </w:pPr>
    </w:p>
    <w:p w14:paraId="4322EAE8" w14:textId="77777777" w:rsidR="00443F76" w:rsidRDefault="00443F76" w:rsidP="00443F76">
      <w:pPr>
        <w:pStyle w:val="ListParagraph"/>
        <w:autoSpaceDE w:val="0"/>
        <w:autoSpaceDN w:val="0"/>
        <w:spacing w:after="0" w:line="240" w:lineRule="auto"/>
        <w:ind w:left="0" w:right="90"/>
        <w:rPr>
          <w:rFonts w:ascii="Times New Roman" w:hAnsi="Times New Roman"/>
          <w:sz w:val="24"/>
          <w:szCs w:val="24"/>
        </w:rPr>
      </w:pPr>
      <w:r>
        <w:rPr>
          <w:rFonts w:ascii="Times New Roman" w:hAnsi="Times New Roman"/>
          <w:sz w:val="24"/>
          <w:szCs w:val="24"/>
        </w:rPr>
        <w:t xml:space="preserve">The new Budget Neutrality Workbook automates the entire submission process. By incorporating the workbook into the Medicaid 1115 Performance Metrics Database &amp; Analytics (PMDA) workflow, submissions are parsed and validated, notifying the state of any upfront potential problems with their submissions, reducing downstream communication, and subsequent needs for clarification or modifications to the budget neutrality workbook. The workbook has been formulated for use for the entire life span of the demonstration (up to and beyond 25 years). This allows reuse of the same document, with updates for the quarterly period being reported, and discards the need to produce different documents for each quarterly or annual submission. </w:t>
      </w:r>
    </w:p>
    <w:p w14:paraId="2D9A927C" w14:textId="77777777" w:rsidR="00443F76" w:rsidRDefault="00443F76" w:rsidP="00443F76">
      <w:pPr>
        <w:pStyle w:val="ListParagraph"/>
        <w:autoSpaceDE w:val="0"/>
        <w:autoSpaceDN w:val="0"/>
        <w:spacing w:after="0" w:line="240" w:lineRule="auto"/>
        <w:ind w:left="0" w:right="90"/>
        <w:rPr>
          <w:rFonts w:ascii="Times New Roman" w:hAnsi="Times New Roman"/>
          <w:sz w:val="24"/>
          <w:szCs w:val="24"/>
        </w:rPr>
      </w:pPr>
    </w:p>
    <w:p w14:paraId="1DF26E79" w14:textId="7B11A401" w:rsidR="00443F76" w:rsidRDefault="00443F76" w:rsidP="00443F76">
      <w:pPr>
        <w:pStyle w:val="ListParagraph"/>
        <w:autoSpaceDE w:val="0"/>
        <w:autoSpaceDN w:val="0"/>
        <w:spacing w:after="0" w:line="240" w:lineRule="auto"/>
        <w:ind w:left="0" w:right="90"/>
        <w:rPr>
          <w:rFonts w:ascii="Times New Roman" w:hAnsi="Times New Roman"/>
          <w:sz w:val="24"/>
          <w:szCs w:val="24"/>
        </w:rPr>
      </w:pPr>
      <w:r>
        <w:rPr>
          <w:rFonts w:ascii="Times New Roman" w:hAnsi="Times New Roman"/>
          <w:sz w:val="24"/>
          <w:szCs w:val="24"/>
        </w:rPr>
        <w:t xml:space="preserve">The PMDA application, which is used for submission, will historically retain all financial data and related documents, reducing the number of duplicate records required and the need for respondents to retain records. </w:t>
      </w:r>
    </w:p>
    <w:p w14:paraId="182C70F5" w14:textId="77777777" w:rsidR="00443F76" w:rsidRPr="005556AE" w:rsidRDefault="00443F76" w:rsidP="008910E3">
      <w:pPr>
        <w:spacing w:after="0" w:line="240" w:lineRule="auto"/>
      </w:pPr>
    </w:p>
    <w:p w14:paraId="77DCBB0C" w14:textId="77777777" w:rsidR="007D6E75" w:rsidRPr="008111D2" w:rsidRDefault="007D6E75" w:rsidP="00107E26">
      <w:pPr>
        <w:pStyle w:val="Heading1"/>
      </w:pPr>
      <w:r w:rsidRPr="008111D2">
        <w:t>C. Deviations from Generic Request</w:t>
      </w:r>
    </w:p>
    <w:p w14:paraId="419935BF" w14:textId="77777777" w:rsidR="00150C54" w:rsidRDefault="00150C54" w:rsidP="00AB0285">
      <w:pPr>
        <w:spacing w:after="0" w:line="240" w:lineRule="auto"/>
        <w:rPr>
          <w:szCs w:val="24"/>
        </w:rPr>
      </w:pPr>
    </w:p>
    <w:p w14:paraId="6A00AA53" w14:textId="0C8D07F0" w:rsidR="007D6E75" w:rsidRPr="008111D2" w:rsidRDefault="009B19E8" w:rsidP="0084192B">
      <w:pPr>
        <w:spacing w:line="240" w:lineRule="auto"/>
        <w:rPr>
          <w:szCs w:val="24"/>
        </w:rPr>
      </w:pPr>
      <w:r w:rsidRPr="008111D2">
        <w:rPr>
          <w:szCs w:val="24"/>
        </w:rPr>
        <w:t xml:space="preserve">No deviations </w:t>
      </w:r>
      <w:r w:rsidR="00DE1DFF">
        <w:rPr>
          <w:szCs w:val="24"/>
        </w:rPr>
        <w:t>from the generic PRA request</w:t>
      </w:r>
      <w:r w:rsidRPr="008111D2">
        <w:rPr>
          <w:szCs w:val="24"/>
        </w:rPr>
        <w:t>.</w:t>
      </w:r>
    </w:p>
    <w:p w14:paraId="369332CE" w14:textId="77777777" w:rsidR="004833FA" w:rsidRPr="00803247" w:rsidRDefault="007D6E75" w:rsidP="00107E26">
      <w:pPr>
        <w:pStyle w:val="Heading1"/>
        <w:rPr>
          <w:i/>
        </w:rPr>
      </w:pPr>
      <w:r w:rsidRPr="00803247">
        <w:t>D. Burden Hour Deduction</w:t>
      </w:r>
      <w:r w:rsidR="004833FA" w:rsidRPr="00803247">
        <w:t xml:space="preserve"> </w:t>
      </w:r>
    </w:p>
    <w:p w14:paraId="318E77DD" w14:textId="77777777" w:rsidR="00150C54" w:rsidRDefault="00150C54" w:rsidP="00CF494F">
      <w:pPr>
        <w:pStyle w:val="ListParagraph"/>
        <w:autoSpaceDE w:val="0"/>
        <w:autoSpaceDN w:val="0"/>
        <w:spacing w:after="0" w:line="240" w:lineRule="auto"/>
        <w:ind w:left="0" w:right="90"/>
        <w:rPr>
          <w:rFonts w:ascii="Times New Roman" w:hAnsi="Times New Roman"/>
          <w:sz w:val="24"/>
          <w:szCs w:val="24"/>
        </w:rPr>
      </w:pPr>
    </w:p>
    <w:p w14:paraId="62D2B3D2" w14:textId="12CF0E11" w:rsidR="00CF494F" w:rsidRPr="0028799E" w:rsidRDefault="00CF494F" w:rsidP="00CF494F">
      <w:pPr>
        <w:pStyle w:val="ListParagraph"/>
        <w:autoSpaceDE w:val="0"/>
        <w:autoSpaceDN w:val="0"/>
        <w:spacing w:after="0" w:line="240" w:lineRule="auto"/>
        <w:ind w:left="0" w:right="90"/>
        <w:rPr>
          <w:rFonts w:ascii="Times New Roman" w:hAnsi="Times New Roman"/>
          <w:sz w:val="24"/>
          <w:szCs w:val="24"/>
        </w:rPr>
      </w:pPr>
      <w:r w:rsidRPr="0028799E">
        <w:rPr>
          <w:rFonts w:ascii="Times New Roman" w:hAnsi="Times New Roman"/>
          <w:sz w:val="24"/>
          <w:szCs w:val="24"/>
        </w:rPr>
        <w:t>We expect the burden hours to complete the PMDA budget neutrality workbook to be the same or similar to the hours it takes today for states to complete Medicaid budget neutrality spread</w:t>
      </w:r>
      <w:r w:rsidR="00215C25">
        <w:rPr>
          <w:rFonts w:ascii="Times New Roman" w:hAnsi="Times New Roman"/>
          <w:sz w:val="24"/>
          <w:szCs w:val="24"/>
        </w:rPr>
        <w:t xml:space="preserve">sheets.  Today we require </w:t>
      </w:r>
      <w:r w:rsidRPr="0028799E">
        <w:rPr>
          <w:rFonts w:ascii="Times New Roman" w:hAnsi="Times New Roman"/>
          <w:sz w:val="24"/>
          <w:szCs w:val="24"/>
        </w:rPr>
        <w:t>quarterly and annual budget neutrality reports, and the 4</w:t>
      </w:r>
      <w:r w:rsidRPr="0028799E">
        <w:rPr>
          <w:rFonts w:ascii="Times New Roman" w:hAnsi="Times New Roman"/>
          <w:sz w:val="24"/>
          <w:szCs w:val="24"/>
          <w:vertAlign w:val="superscript"/>
        </w:rPr>
        <w:t>th</w:t>
      </w:r>
      <w:r w:rsidRPr="0028799E">
        <w:rPr>
          <w:rFonts w:ascii="Times New Roman" w:hAnsi="Times New Roman"/>
          <w:sz w:val="24"/>
          <w:szCs w:val="24"/>
        </w:rPr>
        <w:t xml:space="preserve"> quarter report may be included in the annual report.   We expect to maintain the same number of report</w:t>
      </w:r>
      <w:r w:rsidR="00F74076">
        <w:rPr>
          <w:rFonts w:ascii="Times New Roman" w:hAnsi="Times New Roman"/>
          <w:sz w:val="24"/>
          <w:szCs w:val="24"/>
        </w:rPr>
        <w:t>s</w:t>
      </w:r>
      <w:r w:rsidRPr="0028799E">
        <w:rPr>
          <w:rFonts w:ascii="Times New Roman" w:hAnsi="Times New Roman"/>
          <w:sz w:val="24"/>
          <w:szCs w:val="24"/>
        </w:rPr>
        <w:t xml:space="preserve">. In addition, no different from current expectations, states will have to reference the CMS MBES system to obtain financial data on actual costs under the demonstration. These actual cost </w:t>
      </w:r>
      <w:r w:rsidR="000E3C91" w:rsidRPr="0028799E">
        <w:rPr>
          <w:rFonts w:ascii="Times New Roman" w:hAnsi="Times New Roman"/>
          <w:sz w:val="24"/>
          <w:szCs w:val="24"/>
        </w:rPr>
        <w:t>data are</w:t>
      </w:r>
      <w:r w:rsidR="00F74076">
        <w:rPr>
          <w:rFonts w:ascii="Times New Roman" w:hAnsi="Times New Roman"/>
          <w:sz w:val="24"/>
          <w:szCs w:val="24"/>
        </w:rPr>
        <w:t xml:space="preserve"> </w:t>
      </w:r>
      <w:r w:rsidRPr="0028799E">
        <w:rPr>
          <w:rFonts w:ascii="Times New Roman" w:hAnsi="Times New Roman"/>
          <w:sz w:val="24"/>
          <w:szCs w:val="24"/>
        </w:rPr>
        <w:t>used to populate the currently used budget neutrality spreadsheets,</w:t>
      </w:r>
      <w:r w:rsidR="00F74076">
        <w:rPr>
          <w:rFonts w:ascii="Times New Roman" w:hAnsi="Times New Roman"/>
          <w:sz w:val="24"/>
          <w:szCs w:val="24"/>
        </w:rPr>
        <w:t xml:space="preserve"> </w:t>
      </w:r>
      <w:r w:rsidRPr="0028799E">
        <w:rPr>
          <w:rFonts w:ascii="Times New Roman" w:hAnsi="Times New Roman"/>
          <w:sz w:val="24"/>
          <w:szCs w:val="24"/>
        </w:rPr>
        <w:t xml:space="preserve">and that </w:t>
      </w:r>
      <w:r w:rsidR="00F74076">
        <w:rPr>
          <w:rFonts w:ascii="Times New Roman" w:hAnsi="Times New Roman"/>
          <w:sz w:val="24"/>
          <w:szCs w:val="24"/>
        </w:rPr>
        <w:t xml:space="preserve">will </w:t>
      </w:r>
      <w:r w:rsidR="000E3C91">
        <w:rPr>
          <w:rFonts w:ascii="Times New Roman" w:hAnsi="Times New Roman"/>
          <w:sz w:val="24"/>
          <w:szCs w:val="24"/>
        </w:rPr>
        <w:t xml:space="preserve">remain </w:t>
      </w:r>
      <w:r w:rsidR="000E3C91" w:rsidRPr="0028799E">
        <w:rPr>
          <w:rFonts w:ascii="Times New Roman" w:hAnsi="Times New Roman"/>
          <w:sz w:val="24"/>
          <w:szCs w:val="24"/>
        </w:rPr>
        <w:t>the</w:t>
      </w:r>
      <w:r w:rsidRPr="0028799E">
        <w:rPr>
          <w:rFonts w:ascii="Times New Roman" w:hAnsi="Times New Roman"/>
          <w:sz w:val="24"/>
          <w:szCs w:val="24"/>
        </w:rPr>
        <w:t xml:space="preserve"> case for the Budget Neutrality Workbook.  </w:t>
      </w:r>
    </w:p>
    <w:p w14:paraId="48495AED" w14:textId="77777777" w:rsidR="00CF494F" w:rsidRPr="0028799E" w:rsidRDefault="00CF494F" w:rsidP="00CF494F">
      <w:pPr>
        <w:pStyle w:val="ListParagraph"/>
        <w:autoSpaceDE w:val="0"/>
        <w:autoSpaceDN w:val="0"/>
        <w:spacing w:after="0" w:line="240" w:lineRule="auto"/>
        <w:ind w:left="0" w:right="90"/>
        <w:rPr>
          <w:rFonts w:ascii="Times New Roman" w:hAnsi="Times New Roman"/>
          <w:sz w:val="24"/>
          <w:szCs w:val="24"/>
        </w:rPr>
      </w:pPr>
    </w:p>
    <w:p w14:paraId="4132158E" w14:textId="2B95DFAF" w:rsidR="00CF494F" w:rsidRPr="0028799E" w:rsidRDefault="00CF494F" w:rsidP="00CF494F">
      <w:pPr>
        <w:pStyle w:val="ListParagraph"/>
        <w:autoSpaceDE w:val="0"/>
        <w:autoSpaceDN w:val="0"/>
        <w:spacing w:after="0" w:line="240" w:lineRule="auto"/>
        <w:ind w:left="0" w:right="90"/>
        <w:rPr>
          <w:rFonts w:ascii="Times New Roman" w:hAnsi="Times New Roman"/>
          <w:sz w:val="24"/>
          <w:szCs w:val="24"/>
        </w:rPr>
      </w:pPr>
      <w:r w:rsidRPr="0028799E">
        <w:rPr>
          <w:rFonts w:ascii="Times New Roman" w:hAnsi="Times New Roman"/>
          <w:sz w:val="24"/>
          <w:szCs w:val="24"/>
        </w:rPr>
        <w:t xml:space="preserve">During User Acceptance Testing, California and Florida were sampled for hourly burden. Florida completed the form with 3-MEGs (Medicaid Eligibility Groups) within 45 minutes, and California completed the form with 20-MEGs within 1 hour and 15 minutes. Both states reported no variance in hour burdens.    </w:t>
      </w:r>
    </w:p>
    <w:p w14:paraId="3971D229" w14:textId="77777777" w:rsidR="00CF494F" w:rsidRPr="0028799E" w:rsidRDefault="00CF494F" w:rsidP="00CF494F">
      <w:pPr>
        <w:pStyle w:val="ListParagraph"/>
        <w:autoSpaceDE w:val="0"/>
        <w:autoSpaceDN w:val="0"/>
        <w:spacing w:after="0" w:line="240" w:lineRule="auto"/>
        <w:ind w:left="0" w:right="90"/>
        <w:rPr>
          <w:rFonts w:ascii="Times New Roman" w:hAnsi="Times New Roman"/>
          <w:sz w:val="24"/>
          <w:szCs w:val="24"/>
        </w:rPr>
      </w:pPr>
    </w:p>
    <w:p w14:paraId="5E98461C" w14:textId="5DFC95B4" w:rsidR="00CF494F" w:rsidRPr="0028799E" w:rsidRDefault="00CF494F" w:rsidP="00CF494F">
      <w:pPr>
        <w:pStyle w:val="ListParagraph"/>
        <w:autoSpaceDE w:val="0"/>
        <w:autoSpaceDN w:val="0"/>
        <w:spacing w:after="0" w:line="240" w:lineRule="auto"/>
        <w:ind w:left="0" w:right="90"/>
        <w:rPr>
          <w:rFonts w:ascii="Times New Roman" w:hAnsi="Times New Roman"/>
          <w:sz w:val="24"/>
          <w:szCs w:val="24"/>
        </w:rPr>
      </w:pPr>
      <w:r w:rsidRPr="0028799E">
        <w:rPr>
          <w:rFonts w:ascii="Times New Roman" w:hAnsi="Times New Roman"/>
          <w:sz w:val="24"/>
          <w:szCs w:val="24"/>
        </w:rPr>
        <w:t xml:space="preserve">CMS anticipates 53 state or U.S. territory Medicaid agency </w:t>
      </w:r>
      <w:r w:rsidR="00147447">
        <w:rPr>
          <w:rFonts w:ascii="Times New Roman" w:hAnsi="Times New Roman"/>
          <w:sz w:val="24"/>
          <w:szCs w:val="24"/>
        </w:rPr>
        <w:t xml:space="preserve">demonstration </w:t>
      </w:r>
      <w:r w:rsidR="00623AA6">
        <w:rPr>
          <w:rFonts w:ascii="Times New Roman" w:hAnsi="Times New Roman"/>
          <w:sz w:val="24"/>
          <w:szCs w:val="24"/>
        </w:rPr>
        <w:t>respons</w:t>
      </w:r>
      <w:r w:rsidR="00147447">
        <w:rPr>
          <w:rFonts w:ascii="Times New Roman" w:hAnsi="Times New Roman"/>
          <w:sz w:val="24"/>
          <w:szCs w:val="24"/>
        </w:rPr>
        <w:t>e</w:t>
      </w:r>
      <w:r w:rsidRPr="0028799E">
        <w:rPr>
          <w:rFonts w:ascii="Times New Roman" w:hAnsi="Times New Roman"/>
          <w:sz w:val="24"/>
          <w:szCs w:val="24"/>
        </w:rPr>
        <w:t>s</w:t>
      </w:r>
      <w:r w:rsidR="00147447">
        <w:rPr>
          <w:rFonts w:ascii="Times New Roman" w:hAnsi="Times New Roman"/>
          <w:sz w:val="24"/>
          <w:szCs w:val="24"/>
        </w:rPr>
        <w:t xml:space="preserve"> from 4</w:t>
      </w:r>
      <w:r w:rsidR="00220D31">
        <w:rPr>
          <w:rFonts w:ascii="Times New Roman" w:hAnsi="Times New Roman"/>
          <w:sz w:val="24"/>
          <w:szCs w:val="24"/>
        </w:rPr>
        <w:t>2</w:t>
      </w:r>
      <w:r w:rsidR="00147447">
        <w:rPr>
          <w:rFonts w:ascii="Times New Roman" w:hAnsi="Times New Roman"/>
          <w:sz w:val="24"/>
          <w:szCs w:val="24"/>
        </w:rPr>
        <w:t xml:space="preserve"> states</w:t>
      </w:r>
      <w:r w:rsidRPr="0028799E">
        <w:rPr>
          <w:rFonts w:ascii="Times New Roman" w:hAnsi="Times New Roman"/>
          <w:sz w:val="24"/>
          <w:szCs w:val="24"/>
        </w:rPr>
        <w:t xml:space="preserve">. The workbook needs to be populated for each demonstration. States with multiple demonstrations will submit multiple workbooks, which is consistent with current submission methods. There are no anticipated additional annual costs with the exception of training costs. </w:t>
      </w:r>
    </w:p>
    <w:p w14:paraId="12C68A80" w14:textId="77777777" w:rsidR="00CF494F" w:rsidRPr="0028799E" w:rsidRDefault="00CF494F" w:rsidP="00CF494F">
      <w:pPr>
        <w:pStyle w:val="ListParagraph"/>
        <w:autoSpaceDE w:val="0"/>
        <w:autoSpaceDN w:val="0"/>
        <w:spacing w:after="0" w:line="240" w:lineRule="auto"/>
        <w:ind w:left="0" w:right="90"/>
        <w:rPr>
          <w:rFonts w:ascii="Times New Roman" w:hAnsi="Times New Roman"/>
          <w:sz w:val="24"/>
          <w:szCs w:val="24"/>
        </w:rPr>
      </w:pPr>
    </w:p>
    <w:p w14:paraId="447104C6" w14:textId="02F35B7A" w:rsidR="0028799E" w:rsidRDefault="0028799E" w:rsidP="0028799E">
      <w:pPr>
        <w:spacing w:after="0" w:line="240" w:lineRule="auto"/>
      </w:pPr>
      <w:r w:rsidRPr="0028799E">
        <w:t>No statistical methods are employed in information collection</w:t>
      </w:r>
      <w:r w:rsidR="007B22F4">
        <w:t xml:space="preserve"> and in addition</w:t>
      </w:r>
      <w:r w:rsidR="005B2ACF">
        <w:t>,</w:t>
      </w:r>
      <w:r w:rsidR="007B22F4">
        <w:t xml:space="preserve"> the quarterly and annual reporting data fields are no</w:t>
      </w:r>
      <w:r w:rsidR="00147447">
        <w:t>t</w:t>
      </w:r>
      <w:r w:rsidR="007B22F4">
        <w:t xml:space="preserve"> duplicating any other collections</w:t>
      </w:r>
      <w:r w:rsidRPr="0028799E">
        <w:t>.</w:t>
      </w:r>
      <w:r>
        <w:t xml:space="preserve"> </w:t>
      </w:r>
    </w:p>
    <w:p w14:paraId="72989680" w14:textId="77777777" w:rsidR="00CF494F" w:rsidRDefault="00CF494F" w:rsidP="008E4617">
      <w:pPr>
        <w:spacing w:after="0" w:line="240" w:lineRule="auto"/>
        <w:rPr>
          <w:i/>
          <w:szCs w:val="24"/>
        </w:rPr>
      </w:pPr>
    </w:p>
    <w:p w14:paraId="4810DDF4" w14:textId="77777777" w:rsidR="008E4617" w:rsidRPr="008E4617" w:rsidRDefault="008E4617" w:rsidP="008E4617">
      <w:pPr>
        <w:spacing w:after="0" w:line="240" w:lineRule="auto"/>
        <w:rPr>
          <w:i/>
          <w:szCs w:val="24"/>
        </w:rPr>
      </w:pPr>
      <w:r w:rsidRPr="008E4617">
        <w:rPr>
          <w:i/>
          <w:szCs w:val="24"/>
        </w:rPr>
        <w:t>Wage Estimate</w:t>
      </w:r>
      <w:r w:rsidR="007F7EC5">
        <w:rPr>
          <w:i/>
          <w:szCs w:val="24"/>
        </w:rPr>
        <w:t>s</w:t>
      </w:r>
    </w:p>
    <w:p w14:paraId="4A1FC0AB" w14:textId="77777777" w:rsidR="008E4617" w:rsidRPr="008E4617" w:rsidRDefault="008E4617" w:rsidP="008E4617">
      <w:pPr>
        <w:spacing w:after="0" w:line="240" w:lineRule="auto"/>
        <w:rPr>
          <w:szCs w:val="24"/>
        </w:rPr>
      </w:pPr>
    </w:p>
    <w:p w14:paraId="3F2F3098" w14:textId="2B08121F" w:rsidR="008E4617" w:rsidRDefault="008E4617" w:rsidP="008E4617">
      <w:pPr>
        <w:spacing w:after="0" w:line="240" w:lineRule="auto"/>
        <w:rPr>
          <w:szCs w:val="24"/>
        </w:rPr>
      </w:pPr>
      <w:r w:rsidRPr="008E4617">
        <w:rPr>
          <w:szCs w:val="24"/>
        </w:rPr>
        <w:t xml:space="preserve">To derive average costs, we </w:t>
      </w:r>
      <w:r w:rsidR="00F130D0">
        <w:rPr>
          <w:szCs w:val="24"/>
        </w:rPr>
        <w:t xml:space="preserve">are using </w:t>
      </w:r>
      <w:r w:rsidRPr="008E4617">
        <w:rPr>
          <w:szCs w:val="24"/>
        </w:rPr>
        <w:t>data from the U.S. Bureau of Labor Statistics’ May 201</w:t>
      </w:r>
      <w:r w:rsidR="00084BF8">
        <w:rPr>
          <w:szCs w:val="24"/>
        </w:rPr>
        <w:t>7</w:t>
      </w:r>
      <w:r w:rsidRPr="008E4617">
        <w:rPr>
          <w:szCs w:val="24"/>
        </w:rPr>
        <w:t xml:space="preserve"> National Occupational Employment and Wage Estimates for all salary estimates (</w:t>
      </w:r>
      <w:hyperlink r:id="rId9" w:history="1">
        <w:r w:rsidRPr="008E4617">
          <w:rPr>
            <w:rStyle w:val="Hyperlink"/>
            <w:szCs w:val="24"/>
          </w:rPr>
          <w:t>http://www.bls.gov/oes/current/oes_nat.htm</w:t>
        </w:r>
      </w:hyperlink>
      <w:r w:rsidRPr="008E4617">
        <w:rPr>
          <w:szCs w:val="24"/>
        </w:rPr>
        <w:t xml:space="preserve">). In this regard, the following table presents the mean hourly wage, the cost of fringe benefits </w:t>
      </w:r>
      <w:r w:rsidR="00387465">
        <w:rPr>
          <w:szCs w:val="24"/>
        </w:rPr>
        <w:t xml:space="preserve">and overhead </w:t>
      </w:r>
      <w:r w:rsidRPr="008E4617">
        <w:rPr>
          <w:szCs w:val="24"/>
        </w:rPr>
        <w:t>(calculated at 100 percent of salary), and the adjusted hourly wage.</w:t>
      </w:r>
    </w:p>
    <w:p w14:paraId="10681435" w14:textId="77777777" w:rsidR="00584BB1" w:rsidRDefault="00584BB1" w:rsidP="008E4617">
      <w:pPr>
        <w:spacing w:after="0" w:line="240" w:lineRule="auto"/>
        <w:rPr>
          <w:szCs w:val="24"/>
        </w:rPr>
      </w:pPr>
    </w:p>
    <w:tbl>
      <w:tblPr>
        <w:tblW w:w="0" w:type="auto"/>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3325"/>
        <w:gridCol w:w="1477"/>
        <w:gridCol w:w="1314"/>
        <w:gridCol w:w="1530"/>
        <w:gridCol w:w="1588"/>
      </w:tblGrid>
      <w:tr w:rsidR="008F08FD" w:rsidRPr="00CF62F9" w14:paraId="560B6932" w14:textId="77777777" w:rsidTr="0084192B">
        <w:trPr>
          <w:trHeight w:val="686"/>
        </w:trPr>
        <w:tc>
          <w:tcPr>
            <w:tcW w:w="3325" w:type="dxa"/>
          </w:tcPr>
          <w:p w14:paraId="03DBF8B2" w14:textId="77777777" w:rsidR="008F08FD" w:rsidRPr="00CF62F9" w:rsidRDefault="008F08FD" w:rsidP="00CF62F9">
            <w:pPr>
              <w:pStyle w:val="TableParagraph"/>
              <w:rPr>
                <w:b/>
                <w:sz w:val="20"/>
                <w:szCs w:val="20"/>
              </w:rPr>
            </w:pPr>
            <w:r w:rsidRPr="00CF62F9">
              <w:rPr>
                <w:b/>
                <w:sz w:val="20"/>
                <w:szCs w:val="20"/>
              </w:rPr>
              <w:t>Occupation Title</w:t>
            </w:r>
          </w:p>
        </w:tc>
        <w:tc>
          <w:tcPr>
            <w:tcW w:w="1477" w:type="dxa"/>
          </w:tcPr>
          <w:p w14:paraId="28E06410" w14:textId="77777777" w:rsidR="008F08FD" w:rsidRPr="00CF62F9" w:rsidRDefault="008F08FD" w:rsidP="00CF62F9">
            <w:pPr>
              <w:pStyle w:val="TableParagraph"/>
              <w:ind w:right="245"/>
              <w:jc w:val="center"/>
              <w:rPr>
                <w:b/>
                <w:sz w:val="20"/>
                <w:szCs w:val="20"/>
              </w:rPr>
            </w:pPr>
            <w:r w:rsidRPr="00CF62F9">
              <w:rPr>
                <w:b/>
                <w:sz w:val="20"/>
                <w:szCs w:val="20"/>
              </w:rPr>
              <w:t>Occupation Code</w:t>
            </w:r>
          </w:p>
        </w:tc>
        <w:tc>
          <w:tcPr>
            <w:tcW w:w="1314" w:type="dxa"/>
          </w:tcPr>
          <w:p w14:paraId="436B7169" w14:textId="28C118FB" w:rsidR="008F08FD" w:rsidRPr="00CF62F9" w:rsidRDefault="008F08FD" w:rsidP="00CF62F9">
            <w:pPr>
              <w:pStyle w:val="TableParagraph"/>
              <w:ind w:right="325"/>
              <w:jc w:val="center"/>
              <w:rPr>
                <w:b/>
                <w:sz w:val="20"/>
                <w:szCs w:val="20"/>
              </w:rPr>
            </w:pPr>
            <w:r w:rsidRPr="00CF62F9">
              <w:rPr>
                <w:b/>
                <w:sz w:val="20"/>
                <w:szCs w:val="20"/>
              </w:rPr>
              <w:t>Mean Hourly Wage ($/</w:t>
            </w:r>
            <w:r w:rsidR="000E3C91" w:rsidRPr="00CF62F9">
              <w:rPr>
                <w:b/>
                <w:sz w:val="20"/>
                <w:szCs w:val="20"/>
              </w:rPr>
              <w:t>hr.</w:t>
            </w:r>
            <w:r w:rsidRPr="00CF62F9">
              <w:rPr>
                <w:b/>
                <w:sz w:val="20"/>
                <w:szCs w:val="20"/>
              </w:rPr>
              <w:t>)</w:t>
            </w:r>
          </w:p>
        </w:tc>
        <w:tc>
          <w:tcPr>
            <w:tcW w:w="1530" w:type="dxa"/>
            <w:tcBorders>
              <w:right w:val="single" w:sz="3" w:space="0" w:color="000000"/>
            </w:tcBorders>
          </w:tcPr>
          <w:p w14:paraId="0BEA9A72" w14:textId="153F4032" w:rsidR="008F08FD" w:rsidRPr="00CF62F9" w:rsidRDefault="008F08FD" w:rsidP="00CF62F9">
            <w:pPr>
              <w:pStyle w:val="TableParagraph"/>
              <w:ind w:left="76" w:right="149"/>
              <w:jc w:val="center"/>
              <w:rPr>
                <w:b/>
                <w:sz w:val="20"/>
                <w:szCs w:val="20"/>
              </w:rPr>
            </w:pPr>
            <w:r w:rsidRPr="00CF62F9">
              <w:rPr>
                <w:b/>
                <w:sz w:val="20"/>
                <w:szCs w:val="20"/>
              </w:rPr>
              <w:t>Fringe Benefits and Overhead ($/</w:t>
            </w:r>
            <w:r w:rsidR="000E3C91" w:rsidRPr="00CF62F9">
              <w:rPr>
                <w:b/>
                <w:sz w:val="20"/>
                <w:szCs w:val="20"/>
              </w:rPr>
              <w:t>hr.</w:t>
            </w:r>
            <w:r w:rsidRPr="00CF62F9">
              <w:rPr>
                <w:b/>
                <w:sz w:val="20"/>
                <w:szCs w:val="20"/>
              </w:rPr>
              <w:t>)</w:t>
            </w:r>
          </w:p>
        </w:tc>
        <w:tc>
          <w:tcPr>
            <w:tcW w:w="1588" w:type="dxa"/>
            <w:tcBorders>
              <w:left w:val="single" w:sz="3" w:space="0" w:color="000000"/>
            </w:tcBorders>
          </w:tcPr>
          <w:p w14:paraId="4233BDF6" w14:textId="07BD45A7" w:rsidR="008F08FD" w:rsidRPr="00CF62F9" w:rsidRDefault="008F08FD" w:rsidP="00CF62F9">
            <w:pPr>
              <w:pStyle w:val="TableParagraph"/>
              <w:ind w:right="317"/>
              <w:jc w:val="center"/>
              <w:rPr>
                <w:b/>
                <w:sz w:val="20"/>
                <w:szCs w:val="20"/>
              </w:rPr>
            </w:pPr>
            <w:r w:rsidRPr="00CF62F9">
              <w:rPr>
                <w:b/>
                <w:sz w:val="20"/>
                <w:szCs w:val="20"/>
              </w:rPr>
              <w:t>Adjusted Hourly Wage ($/</w:t>
            </w:r>
            <w:r w:rsidR="000E3C91" w:rsidRPr="00CF62F9">
              <w:rPr>
                <w:b/>
                <w:sz w:val="20"/>
                <w:szCs w:val="20"/>
              </w:rPr>
              <w:t>hr.</w:t>
            </w:r>
            <w:r w:rsidRPr="00CF62F9">
              <w:rPr>
                <w:b/>
                <w:sz w:val="20"/>
                <w:szCs w:val="20"/>
              </w:rPr>
              <w:t>)</w:t>
            </w:r>
          </w:p>
        </w:tc>
      </w:tr>
      <w:tr w:rsidR="00CF62F9" w:rsidRPr="00CF62F9" w14:paraId="3A5D8FF5" w14:textId="77777777" w:rsidTr="008F08FD">
        <w:trPr>
          <w:trHeight w:val="402"/>
        </w:trPr>
        <w:tc>
          <w:tcPr>
            <w:tcW w:w="3325" w:type="dxa"/>
            <w:tcBorders>
              <w:bottom w:val="single" w:sz="3" w:space="0" w:color="000000"/>
            </w:tcBorders>
          </w:tcPr>
          <w:p w14:paraId="0ECF9369" w14:textId="77777777" w:rsidR="00CF62F9" w:rsidRPr="00CF62F9" w:rsidRDefault="00CF62F9" w:rsidP="00CF62F9">
            <w:pPr>
              <w:pStyle w:val="TableParagraph"/>
              <w:ind w:left="65"/>
              <w:rPr>
                <w:sz w:val="20"/>
                <w:szCs w:val="20"/>
              </w:rPr>
            </w:pPr>
            <w:r w:rsidRPr="00CF62F9">
              <w:rPr>
                <w:sz w:val="20"/>
                <w:szCs w:val="20"/>
              </w:rPr>
              <w:t>Financial Manager</w:t>
            </w:r>
          </w:p>
        </w:tc>
        <w:tc>
          <w:tcPr>
            <w:tcW w:w="1477" w:type="dxa"/>
            <w:tcBorders>
              <w:bottom w:val="single" w:sz="3" w:space="0" w:color="000000"/>
            </w:tcBorders>
          </w:tcPr>
          <w:p w14:paraId="4C56DA5E" w14:textId="77777777" w:rsidR="00CF62F9" w:rsidRPr="00CF62F9" w:rsidRDefault="00CF62F9" w:rsidP="00CF62F9">
            <w:pPr>
              <w:pStyle w:val="TableParagraph"/>
              <w:jc w:val="center"/>
              <w:rPr>
                <w:sz w:val="20"/>
                <w:szCs w:val="20"/>
              </w:rPr>
            </w:pPr>
            <w:r w:rsidRPr="00CF62F9">
              <w:rPr>
                <w:sz w:val="20"/>
                <w:szCs w:val="20"/>
              </w:rPr>
              <w:t>11-3031</w:t>
            </w:r>
          </w:p>
        </w:tc>
        <w:tc>
          <w:tcPr>
            <w:tcW w:w="1314" w:type="dxa"/>
            <w:tcBorders>
              <w:bottom w:val="single" w:sz="3" w:space="0" w:color="000000"/>
            </w:tcBorders>
          </w:tcPr>
          <w:p w14:paraId="3B041CF8" w14:textId="1EE6C12F" w:rsidR="00CF62F9" w:rsidRPr="00CF62F9" w:rsidRDefault="00CF62F9" w:rsidP="00CF62F9">
            <w:pPr>
              <w:pStyle w:val="TableParagraph"/>
              <w:jc w:val="center"/>
              <w:rPr>
                <w:sz w:val="20"/>
                <w:szCs w:val="20"/>
              </w:rPr>
            </w:pPr>
            <w:r w:rsidRPr="00CF62F9">
              <w:rPr>
                <w:sz w:val="20"/>
                <w:szCs w:val="20"/>
              </w:rPr>
              <w:t>69.01</w:t>
            </w:r>
          </w:p>
        </w:tc>
        <w:tc>
          <w:tcPr>
            <w:tcW w:w="1530" w:type="dxa"/>
            <w:tcBorders>
              <w:bottom w:val="single" w:sz="3" w:space="0" w:color="000000"/>
              <w:right w:val="single" w:sz="3" w:space="0" w:color="000000"/>
            </w:tcBorders>
          </w:tcPr>
          <w:p w14:paraId="27D82140" w14:textId="363FF252" w:rsidR="00CF62F9" w:rsidRPr="00CF62F9" w:rsidRDefault="00CF62F9" w:rsidP="00CF62F9">
            <w:pPr>
              <w:pStyle w:val="TableParagraph"/>
              <w:ind w:left="76"/>
              <w:jc w:val="center"/>
              <w:rPr>
                <w:sz w:val="20"/>
                <w:szCs w:val="20"/>
              </w:rPr>
            </w:pPr>
            <w:r w:rsidRPr="00CF62F9">
              <w:rPr>
                <w:sz w:val="20"/>
                <w:szCs w:val="20"/>
              </w:rPr>
              <w:t>69.01</w:t>
            </w:r>
          </w:p>
        </w:tc>
        <w:tc>
          <w:tcPr>
            <w:tcW w:w="1588" w:type="dxa"/>
            <w:tcBorders>
              <w:left w:val="single" w:sz="3" w:space="0" w:color="000000"/>
              <w:bottom w:val="single" w:sz="3" w:space="0" w:color="000000"/>
            </w:tcBorders>
          </w:tcPr>
          <w:p w14:paraId="29804ED8" w14:textId="6348DAE9" w:rsidR="00CF62F9" w:rsidRPr="00CF62F9" w:rsidRDefault="00CF62F9" w:rsidP="00CF62F9">
            <w:pPr>
              <w:pStyle w:val="TableParagraph"/>
              <w:jc w:val="center"/>
              <w:rPr>
                <w:sz w:val="20"/>
                <w:szCs w:val="20"/>
              </w:rPr>
            </w:pPr>
            <w:r w:rsidRPr="00CF62F9">
              <w:rPr>
                <w:sz w:val="20"/>
                <w:szCs w:val="20"/>
              </w:rPr>
              <w:t>138.02</w:t>
            </w:r>
          </w:p>
        </w:tc>
      </w:tr>
      <w:tr w:rsidR="00CF62F9" w:rsidRPr="00CF62F9" w14:paraId="35F67524" w14:textId="77777777" w:rsidTr="008F08FD">
        <w:trPr>
          <w:trHeight w:val="365"/>
        </w:trPr>
        <w:tc>
          <w:tcPr>
            <w:tcW w:w="3325" w:type="dxa"/>
          </w:tcPr>
          <w:p w14:paraId="32687B87" w14:textId="77777777" w:rsidR="00CF62F9" w:rsidRPr="00CF62F9" w:rsidRDefault="00CF62F9" w:rsidP="00CF62F9">
            <w:pPr>
              <w:pStyle w:val="TableParagraph"/>
              <w:ind w:left="38"/>
              <w:rPr>
                <w:sz w:val="20"/>
                <w:szCs w:val="20"/>
              </w:rPr>
            </w:pPr>
            <w:r w:rsidRPr="00CF62F9">
              <w:rPr>
                <w:sz w:val="20"/>
                <w:szCs w:val="20"/>
              </w:rPr>
              <w:t>Health Services Manager</w:t>
            </w:r>
          </w:p>
        </w:tc>
        <w:tc>
          <w:tcPr>
            <w:tcW w:w="1477" w:type="dxa"/>
          </w:tcPr>
          <w:p w14:paraId="6D57B57E" w14:textId="77777777" w:rsidR="00CF62F9" w:rsidRPr="00CF62F9" w:rsidRDefault="00CF62F9" w:rsidP="00CF62F9">
            <w:pPr>
              <w:pStyle w:val="TableParagraph"/>
              <w:ind w:left="88"/>
              <w:jc w:val="center"/>
              <w:rPr>
                <w:sz w:val="20"/>
                <w:szCs w:val="20"/>
              </w:rPr>
            </w:pPr>
            <w:r w:rsidRPr="00CF62F9">
              <w:rPr>
                <w:sz w:val="20"/>
                <w:szCs w:val="20"/>
              </w:rPr>
              <w:t>11-9111</w:t>
            </w:r>
          </w:p>
        </w:tc>
        <w:tc>
          <w:tcPr>
            <w:tcW w:w="1314" w:type="dxa"/>
          </w:tcPr>
          <w:p w14:paraId="58DA9F9A" w14:textId="69409CD7" w:rsidR="00CF62F9" w:rsidRPr="00CF62F9" w:rsidRDefault="00CF62F9" w:rsidP="00CF62F9">
            <w:pPr>
              <w:pStyle w:val="TableParagraph"/>
              <w:ind w:left="77"/>
              <w:jc w:val="center"/>
              <w:rPr>
                <w:sz w:val="20"/>
                <w:szCs w:val="20"/>
              </w:rPr>
            </w:pPr>
            <w:r w:rsidRPr="00CF62F9">
              <w:rPr>
                <w:sz w:val="20"/>
                <w:szCs w:val="20"/>
              </w:rPr>
              <w:t>53.69</w:t>
            </w:r>
          </w:p>
        </w:tc>
        <w:tc>
          <w:tcPr>
            <w:tcW w:w="1530" w:type="dxa"/>
            <w:tcBorders>
              <w:right w:val="single" w:sz="3" w:space="0" w:color="000000"/>
            </w:tcBorders>
          </w:tcPr>
          <w:p w14:paraId="5629C876" w14:textId="0866618A" w:rsidR="00CF62F9" w:rsidRPr="00CF62F9" w:rsidRDefault="00CF62F9" w:rsidP="00CF62F9">
            <w:pPr>
              <w:pStyle w:val="TableParagraph"/>
              <w:ind w:left="95"/>
              <w:jc w:val="center"/>
              <w:rPr>
                <w:sz w:val="20"/>
                <w:szCs w:val="20"/>
              </w:rPr>
            </w:pPr>
            <w:r w:rsidRPr="00CF62F9">
              <w:rPr>
                <w:sz w:val="20"/>
                <w:szCs w:val="20"/>
              </w:rPr>
              <w:t>53.69</w:t>
            </w:r>
          </w:p>
        </w:tc>
        <w:tc>
          <w:tcPr>
            <w:tcW w:w="1588" w:type="dxa"/>
            <w:tcBorders>
              <w:left w:val="single" w:sz="3" w:space="0" w:color="000000"/>
            </w:tcBorders>
          </w:tcPr>
          <w:p w14:paraId="1BFC37D4" w14:textId="1EC1588F" w:rsidR="00CF62F9" w:rsidRPr="00CF62F9" w:rsidRDefault="00CF62F9" w:rsidP="00CF62F9">
            <w:pPr>
              <w:pStyle w:val="TableParagraph"/>
              <w:ind w:left="62"/>
              <w:jc w:val="center"/>
              <w:rPr>
                <w:sz w:val="20"/>
                <w:szCs w:val="20"/>
              </w:rPr>
            </w:pPr>
            <w:r w:rsidRPr="00CF62F9">
              <w:rPr>
                <w:sz w:val="20"/>
                <w:szCs w:val="20"/>
              </w:rPr>
              <w:t>107.38</w:t>
            </w:r>
          </w:p>
        </w:tc>
      </w:tr>
    </w:tbl>
    <w:p w14:paraId="4AF8B79A" w14:textId="77777777" w:rsidR="008F08FD" w:rsidRPr="008E4617" w:rsidRDefault="008F08FD" w:rsidP="008E4617">
      <w:pPr>
        <w:spacing w:after="0" w:line="240" w:lineRule="auto"/>
        <w:rPr>
          <w:szCs w:val="24"/>
        </w:rPr>
      </w:pPr>
    </w:p>
    <w:p w14:paraId="42A85A66" w14:textId="77777777" w:rsidR="008E4617" w:rsidRPr="008E4617" w:rsidRDefault="008E4617" w:rsidP="008E4617">
      <w:pPr>
        <w:spacing w:after="0" w:line="240" w:lineRule="auto"/>
        <w:rPr>
          <w:szCs w:val="24"/>
        </w:rPr>
      </w:pPr>
      <w:r w:rsidRPr="008E4617">
        <w:rPr>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4FA0D185" w14:textId="77777777" w:rsidR="008E4617" w:rsidRPr="008E4617" w:rsidRDefault="008E4617" w:rsidP="008E4617">
      <w:pPr>
        <w:spacing w:after="0" w:line="240" w:lineRule="auto"/>
        <w:rPr>
          <w:szCs w:val="24"/>
        </w:rPr>
      </w:pPr>
    </w:p>
    <w:p w14:paraId="6792CCAE" w14:textId="77777777" w:rsidR="008E4617" w:rsidRPr="008E4617" w:rsidRDefault="008E4617" w:rsidP="008E4617">
      <w:pPr>
        <w:spacing w:after="0" w:line="240" w:lineRule="auto"/>
        <w:rPr>
          <w:i/>
          <w:szCs w:val="24"/>
        </w:rPr>
      </w:pPr>
      <w:r w:rsidRPr="008E4617">
        <w:rPr>
          <w:i/>
          <w:szCs w:val="24"/>
        </w:rPr>
        <w:t xml:space="preserve">Burden </w:t>
      </w:r>
      <w:r w:rsidR="00EC451C">
        <w:rPr>
          <w:i/>
          <w:szCs w:val="24"/>
        </w:rPr>
        <w:t xml:space="preserve">(Time and Cost) </w:t>
      </w:r>
      <w:r w:rsidRPr="008E4617">
        <w:rPr>
          <w:i/>
          <w:szCs w:val="24"/>
        </w:rPr>
        <w:t>Estimate</w:t>
      </w:r>
      <w:r w:rsidR="007F7EC5">
        <w:rPr>
          <w:i/>
          <w:szCs w:val="24"/>
        </w:rPr>
        <w:t>s</w:t>
      </w:r>
    </w:p>
    <w:p w14:paraId="05C32899" w14:textId="77777777" w:rsidR="00737C80" w:rsidRDefault="00737C80" w:rsidP="008E4617">
      <w:pPr>
        <w:spacing w:after="0" w:line="240" w:lineRule="auto"/>
        <w:rPr>
          <w:szCs w:val="24"/>
        </w:rPr>
      </w:pPr>
    </w:p>
    <w:p w14:paraId="2AF932F3" w14:textId="57CFF74F" w:rsidR="008F08FD" w:rsidRPr="005C3919" w:rsidRDefault="008F08FD" w:rsidP="004E6C57">
      <w:pPr>
        <w:pStyle w:val="BodyText"/>
        <w:spacing w:after="240"/>
        <w:rPr>
          <w:i w:val="0"/>
          <w:sz w:val="24"/>
        </w:rPr>
      </w:pPr>
      <w:r w:rsidRPr="005C3919">
        <w:rPr>
          <w:i w:val="0"/>
          <w:sz w:val="24"/>
        </w:rPr>
        <w:t xml:space="preserve">Each state/territory </w:t>
      </w:r>
      <w:r w:rsidR="00FA0A35">
        <w:rPr>
          <w:i w:val="0"/>
          <w:sz w:val="24"/>
        </w:rPr>
        <w:t>will be required to</w:t>
      </w:r>
      <w:r w:rsidRPr="005C3919">
        <w:rPr>
          <w:i w:val="0"/>
          <w:sz w:val="24"/>
        </w:rPr>
        <w:t xml:space="preserve"> </w:t>
      </w:r>
      <w:r w:rsidR="002D129A">
        <w:rPr>
          <w:i w:val="0"/>
          <w:sz w:val="24"/>
        </w:rPr>
        <w:t xml:space="preserve">complete the Budget Neutrality Workbook </w:t>
      </w:r>
      <w:r w:rsidRPr="005C3919">
        <w:rPr>
          <w:i w:val="0"/>
          <w:sz w:val="24"/>
        </w:rPr>
        <w:t>established by CMS</w:t>
      </w:r>
      <w:r w:rsidR="002D129A">
        <w:rPr>
          <w:i w:val="0"/>
          <w:sz w:val="24"/>
        </w:rPr>
        <w:t>,</w:t>
      </w:r>
      <w:r w:rsidRPr="005C3919">
        <w:rPr>
          <w:i w:val="0"/>
          <w:sz w:val="24"/>
        </w:rPr>
        <w:t xml:space="preserve"> aimed at improving </w:t>
      </w:r>
      <w:r w:rsidR="002D129A">
        <w:rPr>
          <w:i w:val="0"/>
          <w:sz w:val="24"/>
        </w:rPr>
        <w:t>the consistency of budget neutrality across all 1115 demonstrations.</w:t>
      </w:r>
      <w:r w:rsidRPr="005C3919">
        <w:rPr>
          <w:i w:val="0"/>
          <w:sz w:val="24"/>
        </w:rPr>
        <w:t xml:space="preserve"> The burden is associated with completing </w:t>
      </w:r>
      <w:r w:rsidR="002D129A">
        <w:rPr>
          <w:i w:val="0"/>
          <w:sz w:val="24"/>
        </w:rPr>
        <w:t xml:space="preserve">and submitting </w:t>
      </w:r>
      <w:r w:rsidRPr="005C3919">
        <w:rPr>
          <w:i w:val="0"/>
          <w:sz w:val="24"/>
        </w:rPr>
        <w:t>the template provided to states/territories by CMS to assist in this</w:t>
      </w:r>
      <w:r w:rsidRPr="005C3919">
        <w:rPr>
          <w:i w:val="0"/>
          <w:spacing w:val="15"/>
          <w:sz w:val="24"/>
        </w:rPr>
        <w:t xml:space="preserve"> </w:t>
      </w:r>
      <w:r w:rsidRPr="005C3919">
        <w:rPr>
          <w:i w:val="0"/>
          <w:sz w:val="24"/>
        </w:rPr>
        <w:t>effort</w:t>
      </w:r>
      <w:r w:rsidR="00147447">
        <w:rPr>
          <w:i w:val="0"/>
          <w:sz w:val="24"/>
        </w:rPr>
        <w:t>, as well as the</w:t>
      </w:r>
      <w:r w:rsidR="00635952">
        <w:rPr>
          <w:i w:val="0"/>
          <w:sz w:val="24"/>
        </w:rPr>
        <w:t xml:space="preserve"> burden related to states viewing as necessary the Budget Neutrality Playbook and the PMDA Budget Neutrality Training Video, as listed below.</w:t>
      </w:r>
    </w:p>
    <w:p w14:paraId="3524650D" w14:textId="604F82D7" w:rsidR="002D129A" w:rsidRDefault="002D129A" w:rsidP="008F08FD">
      <w:pPr>
        <w:pStyle w:val="BodyText"/>
        <w:spacing w:line="242" w:lineRule="auto"/>
        <w:jc w:val="both"/>
        <w:rPr>
          <w:i w:val="0"/>
          <w:sz w:val="24"/>
        </w:rPr>
      </w:pPr>
      <w:r>
        <w:rPr>
          <w:i w:val="0"/>
          <w:sz w:val="24"/>
        </w:rPr>
        <w:t xml:space="preserve">States with multiple 1115 demonstrations are currently required to submit their budget neutrality </w:t>
      </w:r>
      <w:r w:rsidR="00147447">
        <w:rPr>
          <w:i w:val="0"/>
          <w:sz w:val="24"/>
        </w:rPr>
        <w:t xml:space="preserve">data </w:t>
      </w:r>
      <w:r>
        <w:rPr>
          <w:i w:val="0"/>
          <w:sz w:val="24"/>
        </w:rPr>
        <w:t>separately for each demonstration.  This requirement will not differ.</w:t>
      </w:r>
    </w:p>
    <w:p w14:paraId="50457638" w14:textId="77777777" w:rsidR="002D129A" w:rsidRDefault="002D129A" w:rsidP="008F08FD">
      <w:pPr>
        <w:pStyle w:val="BodyText"/>
        <w:spacing w:line="242" w:lineRule="auto"/>
        <w:jc w:val="both"/>
        <w:rPr>
          <w:i w:val="0"/>
          <w:sz w:val="24"/>
        </w:rPr>
      </w:pPr>
    </w:p>
    <w:p w14:paraId="13D51BA9" w14:textId="4F77677F" w:rsidR="008F08FD" w:rsidRPr="009E1BC7" w:rsidRDefault="008D6F33" w:rsidP="004E6C57">
      <w:pPr>
        <w:pStyle w:val="BodyText"/>
        <w:rPr>
          <w:i w:val="0"/>
          <w:sz w:val="24"/>
        </w:rPr>
      </w:pPr>
      <w:r>
        <w:rPr>
          <w:i w:val="0"/>
          <w:sz w:val="24"/>
          <w:u w:val="single"/>
        </w:rPr>
        <w:t>B</w:t>
      </w:r>
      <w:r w:rsidRPr="008D6F33">
        <w:rPr>
          <w:i w:val="0"/>
          <w:sz w:val="24"/>
          <w:u w:val="single"/>
        </w:rPr>
        <w:t xml:space="preserve">udget </w:t>
      </w:r>
      <w:r>
        <w:rPr>
          <w:i w:val="0"/>
          <w:sz w:val="24"/>
          <w:u w:val="single"/>
        </w:rPr>
        <w:t>N</w:t>
      </w:r>
      <w:r w:rsidRPr="008D6F33">
        <w:rPr>
          <w:i w:val="0"/>
          <w:sz w:val="24"/>
          <w:u w:val="single"/>
        </w:rPr>
        <w:t xml:space="preserve">eutrality </w:t>
      </w:r>
      <w:r>
        <w:rPr>
          <w:i w:val="0"/>
          <w:sz w:val="24"/>
          <w:u w:val="single"/>
        </w:rPr>
        <w:t>W</w:t>
      </w:r>
      <w:r w:rsidRPr="008D6F33">
        <w:rPr>
          <w:i w:val="0"/>
          <w:sz w:val="24"/>
          <w:u w:val="single"/>
        </w:rPr>
        <w:t>orkbook</w:t>
      </w:r>
      <w:r>
        <w:rPr>
          <w:i w:val="0"/>
          <w:sz w:val="24"/>
        </w:rPr>
        <w:t xml:space="preserve">  </w:t>
      </w:r>
      <w:r w:rsidR="008F08FD" w:rsidRPr="009E1BC7">
        <w:rPr>
          <w:i w:val="0"/>
          <w:sz w:val="24"/>
        </w:rPr>
        <w:t xml:space="preserve">We estimate </w:t>
      </w:r>
      <w:r w:rsidR="001B42DB" w:rsidRPr="009E1BC7">
        <w:rPr>
          <w:i w:val="0"/>
          <w:sz w:val="24"/>
        </w:rPr>
        <w:t>forty-two (42) states reporting, with a total of fifty-three (53) 1115 demonstrations; however, we anticipate this number to grow in the upcoming years.  Each demonstration is</w:t>
      </w:r>
      <w:r w:rsidR="00441D67">
        <w:rPr>
          <w:i w:val="0"/>
          <w:sz w:val="24"/>
        </w:rPr>
        <w:t xml:space="preserve"> </w:t>
      </w:r>
      <w:r w:rsidR="001B42DB" w:rsidRPr="009E1BC7">
        <w:rPr>
          <w:i w:val="0"/>
          <w:sz w:val="24"/>
        </w:rPr>
        <w:t>estimated to need 6 hours quarterly/annually at</w:t>
      </w:r>
      <w:r w:rsidR="008F08FD" w:rsidRPr="009E1BC7">
        <w:rPr>
          <w:i w:val="0"/>
          <w:sz w:val="24"/>
        </w:rPr>
        <w:t xml:space="preserve"> $</w:t>
      </w:r>
      <w:r w:rsidR="00970D1A" w:rsidRPr="009E1BC7">
        <w:rPr>
          <w:i w:val="0"/>
          <w:sz w:val="24"/>
        </w:rPr>
        <w:t>138.02</w:t>
      </w:r>
      <w:r w:rsidR="008F08FD" w:rsidRPr="009E1BC7">
        <w:rPr>
          <w:i w:val="0"/>
          <w:sz w:val="24"/>
        </w:rPr>
        <w:t>/</w:t>
      </w:r>
      <w:r w:rsidR="000E3C91" w:rsidRPr="009E1BC7">
        <w:rPr>
          <w:i w:val="0"/>
          <w:sz w:val="24"/>
        </w:rPr>
        <w:t>hr.</w:t>
      </w:r>
      <w:r w:rsidR="008F08FD" w:rsidRPr="009E1BC7">
        <w:rPr>
          <w:i w:val="0"/>
          <w:sz w:val="24"/>
        </w:rPr>
        <w:t xml:space="preserve"> for a </w:t>
      </w:r>
      <w:r w:rsidR="001B42DB" w:rsidRPr="009E1BC7">
        <w:rPr>
          <w:i w:val="0"/>
          <w:sz w:val="24"/>
        </w:rPr>
        <w:t>financial manager</w:t>
      </w:r>
      <w:r w:rsidR="008F08FD" w:rsidRPr="009E1BC7">
        <w:rPr>
          <w:i w:val="0"/>
          <w:sz w:val="24"/>
        </w:rPr>
        <w:t xml:space="preserve"> to </w:t>
      </w:r>
      <w:r w:rsidR="001B42DB" w:rsidRPr="009E1BC7">
        <w:rPr>
          <w:i w:val="0"/>
          <w:sz w:val="24"/>
        </w:rPr>
        <w:t xml:space="preserve">complete </w:t>
      </w:r>
      <w:r w:rsidR="008F08FD" w:rsidRPr="009E1BC7">
        <w:rPr>
          <w:i w:val="0"/>
          <w:sz w:val="24"/>
        </w:rPr>
        <w:t xml:space="preserve">the necessary information in the </w:t>
      </w:r>
      <w:r w:rsidR="001B42DB" w:rsidRPr="009E1BC7">
        <w:rPr>
          <w:i w:val="0"/>
          <w:sz w:val="24"/>
        </w:rPr>
        <w:t>budget neutrality workbook</w:t>
      </w:r>
      <w:r w:rsidR="008F08FD" w:rsidRPr="009E1BC7">
        <w:rPr>
          <w:i w:val="0"/>
          <w:sz w:val="24"/>
        </w:rPr>
        <w:t xml:space="preserve">. We also estimate it will take </w:t>
      </w:r>
      <w:r w:rsidR="001B42DB" w:rsidRPr="009E1BC7">
        <w:rPr>
          <w:i w:val="0"/>
          <w:sz w:val="24"/>
        </w:rPr>
        <w:t xml:space="preserve">1 </w:t>
      </w:r>
      <w:r w:rsidR="008F08FD" w:rsidRPr="009E1BC7">
        <w:rPr>
          <w:i w:val="0"/>
          <w:sz w:val="24"/>
        </w:rPr>
        <w:t>hour at $</w:t>
      </w:r>
      <w:r w:rsidR="00200AD7" w:rsidRPr="009E1BC7">
        <w:rPr>
          <w:i w:val="0"/>
          <w:sz w:val="24"/>
        </w:rPr>
        <w:t>107.38/</w:t>
      </w:r>
      <w:r w:rsidR="000E3C91" w:rsidRPr="009E1BC7">
        <w:rPr>
          <w:i w:val="0"/>
          <w:sz w:val="24"/>
        </w:rPr>
        <w:t>hr.</w:t>
      </w:r>
      <w:r w:rsidR="008F08FD" w:rsidRPr="009E1BC7">
        <w:rPr>
          <w:i w:val="0"/>
          <w:sz w:val="24"/>
        </w:rPr>
        <w:t xml:space="preserve"> for a health services manager to review and submit the </w:t>
      </w:r>
      <w:r w:rsidR="001B42DB" w:rsidRPr="009E1BC7">
        <w:rPr>
          <w:i w:val="0"/>
          <w:sz w:val="24"/>
        </w:rPr>
        <w:t>budget neutrality workbook as part of their quarterly/annual submission</w:t>
      </w:r>
      <w:r w:rsidR="008F08FD" w:rsidRPr="009E1BC7">
        <w:rPr>
          <w:i w:val="0"/>
          <w:sz w:val="24"/>
        </w:rPr>
        <w:t xml:space="preserve"> to CMS.</w:t>
      </w:r>
      <w:r w:rsidR="00B666BC" w:rsidRPr="009E1BC7">
        <w:rPr>
          <w:i w:val="0"/>
          <w:sz w:val="24"/>
        </w:rPr>
        <w:t xml:space="preserve"> </w:t>
      </w:r>
    </w:p>
    <w:p w14:paraId="7192E9A6" w14:textId="77777777" w:rsidR="001B42DB" w:rsidRPr="009E1BC7" w:rsidRDefault="001B42DB" w:rsidP="00604DA2">
      <w:pPr>
        <w:pStyle w:val="BodyText"/>
        <w:spacing w:line="242" w:lineRule="auto"/>
        <w:jc w:val="both"/>
        <w:rPr>
          <w:i w:val="0"/>
          <w:sz w:val="24"/>
        </w:rPr>
      </w:pPr>
    </w:p>
    <w:p w14:paraId="268EB400" w14:textId="7A715CFB" w:rsidR="00181D3E" w:rsidRDefault="004E6C57" w:rsidP="004E6C57">
      <w:pPr>
        <w:pStyle w:val="BodyText"/>
        <w:rPr>
          <w:i w:val="0"/>
          <w:sz w:val="24"/>
        </w:rPr>
      </w:pPr>
      <w:r w:rsidRPr="009E1BC7">
        <w:rPr>
          <w:i w:val="0"/>
          <w:sz w:val="24"/>
        </w:rPr>
        <w:t>In aggregate w</w:t>
      </w:r>
      <w:r w:rsidR="008F08FD" w:rsidRPr="009E1BC7">
        <w:rPr>
          <w:i w:val="0"/>
          <w:sz w:val="24"/>
        </w:rPr>
        <w:t>e estimate a</w:t>
      </w:r>
      <w:r w:rsidR="001B42DB" w:rsidRPr="009E1BC7">
        <w:rPr>
          <w:i w:val="0"/>
          <w:sz w:val="24"/>
        </w:rPr>
        <w:t xml:space="preserve">n </w:t>
      </w:r>
      <w:r w:rsidRPr="009E1BC7">
        <w:rPr>
          <w:i w:val="0"/>
          <w:sz w:val="24"/>
        </w:rPr>
        <w:t xml:space="preserve">annual </w:t>
      </w:r>
      <w:r w:rsidR="001B42DB" w:rsidRPr="009E1BC7">
        <w:rPr>
          <w:i w:val="0"/>
          <w:sz w:val="24"/>
        </w:rPr>
        <w:t>on-going</w:t>
      </w:r>
      <w:r w:rsidR="008F08FD" w:rsidRPr="009E1BC7">
        <w:rPr>
          <w:i w:val="0"/>
          <w:sz w:val="24"/>
        </w:rPr>
        <w:t xml:space="preserve"> burden </w:t>
      </w:r>
      <w:r w:rsidR="00147447">
        <w:rPr>
          <w:i w:val="0"/>
          <w:sz w:val="24"/>
        </w:rPr>
        <w:t xml:space="preserve">for completing the workbook to be </w:t>
      </w:r>
      <w:r w:rsidRPr="009E1BC7">
        <w:rPr>
          <w:i w:val="0"/>
          <w:sz w:val="24"/>
        </w:rPr>
        <w:t xml:space="preserve">1,855 hours (53 submissions per year x </w:t>
      </w:r>
      <w:r w:rsidR="005E4F41">
        <w:rPr>
          <w:i w:val="0"/>
          <w:sz w:val="24"/>
        </w:rPr>
        <w:t>7 hours/response x 5 responses/year</w:t>
      </w:r>
      <w:r w:rsidRPr="009E1BC7">
        <w:rPr>
          <w:i w:val="0"/>
          <w:sz w:val="24"/>
        </w:rPr>
        <w:t>) at a cost of $</w:t>
      </w:r>
      <w:r w:rsidR="004D3177" w:rsidRPr="004D3177">
        <w:rPr>
          <w:i w:val="0"/>
          <w:sz w:val="24"/>
        </w:rPr>
        <w:t>247,907.5</w:t>
      </w:r>
      <w:r w:rsidR="004D3177">
        <w:rPr>
          <w:i w:val="0"/>
          <w:sz w:val="24"/>
        </w:rPr>
        <w:t>0</w:t>
      </w:r>
      <w:r w:rsidR="00016C77">
        <w:rPr>
          <w:i w:val="0"/>
          <w:sz w:val="24"/>
        </w:rPr>
        <w:t xml:space="preserve"> </w:t>
      </w:r>
      <w:r w:rsidRPr="009E1BC7">
        <w:rPr>
          <w:i w:val="0"/>
          <w:sz w:val="24"/>
        </w:rPr>
        <w:t>[</w:t>
      </w:r>
      <w:r w:rsidR="00181D3E" w:rsidRPr="009E1BC7">
        <w:rPr>
          <w:i w:val="0"/>
          <w:sz w:val="24"/>
        </w:rPr>
        <w:t xml:space="preserve">(53 submissions x </w:t>
      </w:r>
      <w:r w:rsidR="00AF06E5">
        <w:rPr>
          <w:i w:val="0"/>
          <w:sz w:val="24"/>
        </w:rPr>
        <w:t>30</w:t>
      </w:r>
      <w:r w:rsidRPr="009E1BC7">
        <w:rPr>
          <w:i w:val="0"/>
          <w:sz w:val="24"/>
        </w:rPr>
        <w:t xml:space="preserve"> </w:t>
      </w:r>
      <w:r w:rsidR="000E3C91" w:rsidRPr="009E1BC7">
        <w:rPr>
          <w:i w:val="0"/>
          <w:sz w:val="24"/>
        </w:rPr>
        <w:t>hr. /</w:t>
      </w:r>
      <w:r w:rsidR="00AF06E5">
        <w:rPr>
          <w:i w:val="0"/>
          <w:sz w:val="24"/>
        </w:rPr>
        <w:t>year</w:t>
      </w:r>
      <w:r w:rsidR="000E3C91" w:rsidRPr="009E1BC7">
        <w:rPr>
          <w:i w:val="0"/>
          <w:sz w:val="24"/>
        </w:rPr>
        <w:t xml:space="preserve"> x</w:t>
      </w:r>
      <w:r w:rsidRPr="009E1BC7">
        <w:rPr>
          <w:i w:val="0"/>
          <w:sz w:val="24"/>
        </w:rPr>
        <w:t xml:space="preserve"> $</w:t>
      </w:r>
      <w:r w:rsidR="00970D1A" w:rsidRPr="009E1BC7">
        <w:rPr>
          <w:i w:val="0"/>
          <w:sz w:val="24"/>
        </w:rPr>
        <w:t>138.02</w:t>
      </w:r>
      <w:r w:rsidRPr="009E1BC7">
        <w:rPr>
          <w:i w:val="0"/>
          <w:sz w:val="24"/>
        </w:rPr>
        <w:t>/</w:t>
      </w:r>
      <w:r w:rsidR="000E3C91" w:rsidRPr="009E1BC7">
        <w:rPr>
          <w:i w:val="0"/>
          <w:sz w:val="24"/>
        </w:rPr>
        <w:t>hr.</w:t>
      </w:r>
      <w:r w:rsidRPr="009E1BC7">
        <w:rPr>
          <w:i w:val="0"/>
          <w:sz w:val="24"/>
        </w:rPr>
        <w:t>) + (</w:t>
      </w:r>
      <w:r w:rsidR="00181D3E" w:rsidRPr="009E1BC7">
        <w:rPr>
          <w:i w:val="0"/>
          <w:sz w:val="24"/>
        </w:rPr>
        <w:t xml:space="preserve">53 submissions x </w:t>
      </w:r>
      <w:r w:rsidR="00AF06E5">
        <w:rPr>
          <w:i w:val="0"/>
          <w:sz w:val="24"/>
        </w:rPr>
        <w:t>5</w:t>
      </w:r>
      <w:r w:rsidRPr="009E1BC7">
        <w:rPr>
          <w:i w:val="0"/>
          <w:sz w:val="24"/>
        </w:rPr>
        <w:t xml:space="preserve"> </w:t>
      </w:r>
      <w:r w:rsidR="000E3C91" w:rsidRPr="009E1BC7">
        <w:rPr>
          <w:i w:val="0"/>
          <w:sz w:val="24"/>
        </w:rPr>
        <w:t>hr. /</w:t>
      </w:r>
      <w:r w:rsidR="00AF06E5">
        <w:rPr>
          <w:i w:val="0"/>
          <w:sz w:val="24"/>
        </w:rPr>
        <w:t>year</w:t>
      </w:r>
      <w:r w:rsidRPr="009E1BC7">
        <w:rPr>
          <w:i w:val="0"/>
          <w:sz w:val="24"/>
        </w:rPr>
        <w:t xml:space="preserve"> x $</w:t>
      </w:r>
      <w:r w:rsidR="00200AD7" w:rsidRPr="009E1BC7">
        <w:rPr>
          <w:i w:val="0"/>
          <w:sz w:val="24"/>
        </w:rPr>
        <w:t>107.38</w:t>
      </w:r>
      <w:r w:rsidRPr="009E1BC7">
        <w:rPr>
          <w:i w:val="0"/>
          <w:sz w:val="24"/>
        </w:rPr>
        <w:t>/</w:t>
      </w:r>
      <w:r w:rsidR="000E3C91" w:rsidRPr="009E1BC7">
        <w:rPr>
          <w:i w:val="0"/>
          <w:sz w:val="24"/>
        </w:rPr>
        <w:t>hr.</w:t>
      </w:r>
      <w:r w:rsidRPr="009E1BC7">
        <w:rPr>
          <w:i w:val="0"/>
          <w:sz w:val="24"/>
        </w:rPr>
        <w:t>)</w:t>
      </w:r>
      <w:r w:rsidR="00181D3E" w:rsidRPr="009E1BC7">
        <w:rPr>
          <w:i w:val="0"/>
          <w:sz w:val="24"/>
        </w:rPr>
        <w:t>] or</w:t>
      </w:r>
      <w:r w:rsidR="00181D3E">
        <w:rPr>
          <w:i w:val="0"/>
          <w:sz w:val="24"/>
        </w:rPr>
        <w:t xml:space="preserve"> </w:t>
      </w:r>
      <w:r w:rsidR="00016C77">
        <w:rPr>
          <w:i w:val="0"/>
          <w:sz w:val="24"/>
        </w:rPr>
        <w:t>$</w:t>
      </w:r>
      <w:r w:rsidR="00CE448B" w:rsidRPr="00CE448B">
        <w:rPr>
          <w:i w:val="0"/>
          <w:sz w:val="24"/>
        </w:rPr>
        <w:t>4,677.5</w:t>
      </w:r>
      <w:r w:rsidR="00016C77">
        <w:rPr>
          <w:i w:val="0"/>
          <w:sz w:val="24"/>
        </w:rPr>
        <w:t xml:space="preserve"> per submission ($</w:t>
      </w:r>
      <w:r w:rsidR="00CA7F1D" w:rsidRPr="00CA7F1D">
        <w:rPr>
          <w:i w:val="0"/>
          <w:sz w:val="24"/>
        </w:rPr>
        <w:t>247,907.5</w:t>
      </w:r>
      <w:r w:rsidR="00CA6DAE">
        <w:rPr>
          <w:i w:val="0"/>
          <w:sz w:val="24"/>
        </w:rPr>
        <w:t>0</w:t>
      </w:r>
      <w:r w:rsidR="00016C77">
        <w:rPr>
          <w:i w:val="0"/>
          <w:sz w:val="24"/>
        </w:rPr>
        <w:t>/53 submissions) or $</w:t>
      </w:r>
      <w:r w:rsidR="007D0FCB">
        <w:rPr>
          <w:i w:val="0"/>
          <w:sz w:val="24"/>
        </w:rPr>
        <w:t>5,902.56</w:t>
      </w:r>
      <w:r w:rsidR="00016C77">
        <w:rPr>
          <w:i w:val="0"/>
          <w:sz w:val="24"/>
        </w:rPr>
        <w:t xml:space="preserve"> per state/territory ($</w:t>
      </w:r>
      <w:r w:rsidR="007D0FCB" w:rsidRPr="00CA7F1D">
        <w:rPr>
          <w:i w:val="0"/>
          <w:sz w:val="24"/>
        </w:rPr>
        <w:t>247,907.5</w:t>
      </w:r>
      <w:r w:rsidR="007D0FCB">
        <w:rPr>
          <w:i w:val="0"/>
          <w:sz w:val="24"/>
        </w:rPr>
        <w:t>0</w:t>
      </w:r>
      <w:r w:rsidR="00016C77">
        <w:rPr>
          <w:i w:val="0"/>
          <w:sz w:val="24"/>
        </w:rPr>
        <w:t>/42 respondents).</w:t>
      </w:r>
    </w:p>
    <w:p w14:paraId="2710F5A3" w14:textId="77777777" w:rsidR="00A73BC8" w:rsidRDefault="00A73BC8" w:rsidP="004E6C57">
      <w:pPr>
        <w:pStyle w:val="BodyText"/>
        <w:rPr>
          <w:i w:val="0"/>
          <w:sz w:val="24"/>
        </w:rPr>
      </w:pPr>
    </w:p>
    <w:p w14:paraId="757EC3A0" w14:textId="796ED90D" w:rsidR="007101D4" w:rsidRDefault="00A82659" w:rsidP="004E6C57">
      <w:pPr>
        <w:pStyle w:val="BodyText"/>
        <w:rPr>
          <w:i w:val="0"/>
          <w:sz w:val="24"/>
          <w:szCs w:val="24"/>
        </w:rPr>
      </w:pPr>
      <w:r>
        <w:rPr>
          <w:i w:val="0"/>
          <w:sz w:val="24"/>
          <w:u w:val="single"/>
        </w:rPr>
        <w:t xml:space="preserve">Training &amp; </w:t>
      </w:r>
      <w:r w:rsidR="00D33316">
        <w:rPr>
          <w:i w:val="0"/>
          <w:sz w:val="24"/>
          <w:u w:val="single"/>
        </w:rPr>
        <w:t>Instruction</w:t>
      </w:r>
      <w:r w:rsidR="00386D86">
        <w:rPr>
          <w:i w:val="0"/>
          <w:sz w:val="24"/>
        </w:rPr>
        <w:t xml:space="preserve">  </w:t>
      </w:r>
      <w:r w:rsidR="00A73BC8" w:rsidRPr="003B38DD">
        <w:rPr>
          <w:i w:val="0"/>
          <w:sz w:val="24"/>
        </w:rPr>
        <w:t>We estimate that each state will spend</w:t>
      </w:r>
      <w:r w:rsidR="00F7439B" w:rsidRPr="003B38DD">
        <w:rPr>
          <w:i w:val="0"/>
          <w:sz w:val="24"/>
        </w:rPr>
        <w:t xml:space="preserve"> up to  30 minutes to review the </w:t>
      </w:r>
      <w:r w:rsidR="00DC6D2A" w:rsidRPr="003B38DD">
        <w:rPr>
          <w:i w:val="0"/>
          <w:sz w:val="24"/>
        </w:rPr>
        <w:t xml:space="preserve">“State User </w:t>
      </w:r>
      <w:r w:rsidR="00F7439B" w:rsidRPr="003B38DD">
        <w:rPr>
          <w:i w:val="0"/>
          <w:sz w:val="24"/>
        </w:rPr>
        <w:t>Budget Neutrality</w:t>
      </w:r>
      <w:r w:rsidR="00DC6D2A" w:rsidRPr="003B38DD">
        <w:rPr>
          <w:i w:val="0"/>
          <w:sz w:val="24"/>
        </w:rPr>
        <w:t xml:space="preserve"> Playbook” and to watch the two videos “</w:t>
      </w:r>
      <w:r w:rsidR="00DC6D2A" w:rsidRPr="003B38DD">
        <w:rPr>
          <w:bCs/>
          <w:i w:val="0"/>
          <w:sz w:val="24"/>
          <w:szCs w:val="24"/>
        </w:rPr>
        <w:t>Overview of the Budget Neutrality Workbook Template</w:t>
      </w:r>
      <w:r w:rsidR="00DC6D2A" w:rsidRPr="003B38DD">
        <w:rPr>
          <w:i w:val="0"/>
          <w:sz w:val="24"/>
          <w:szCs w:val="24"/>
        </w:rPr>
        <w:t xml:space="preserve"> (4:39 minutes) and </w:t>
      </w:r>
      <w:r w:rsidR="00DC6D2A" w:rsidRPr="003B38DD">
        <w:rPr>
          <w:bCs/>
          <w:i w:val="0"/>
          <w:sz w:val="24"/>
          <w:szCs w:val="24"/>
        </w:rPr>
        <w:t>Completing the Budget Neutrality Workbook Template</w:t>
      </w:r>
      <w:r w:rsidR="00DC6D2A" w:rsidRPr="003B38DD">
        <w:rPr>
          <w:i w:val="0"/>
          <w:sz w:val="24"/>
          <w:szCs w:val="24"/>
        </w:rPr>
        <w:t xml:space="preserve"> </w:t>
      </w:r>
      <w:r w:rsidR="003B38DD" w:rsidRPr="003B38DD">
        <w:rPr>
          <w:i w:val="0"/>
          <w:sz w:val="24"/>
          <w:szCs w:val="24"/>
        </w:rPr>
        <w:t>(9:26 minutes</w:t>
      </w:r>
      <w:r w:rsidR="00147447">
        <w:rPr>
          <w:i w:val="0"/>
          <w:sz w:val="24"/>
          <w:szCs w:val="24"/>
        </w:rPr>
        <w:t>)</w:t>
      </w:r>
      <w:r w:rsidR="003B38DD" w:rsidRPr="003B38DD">
        <w:rPr>
          <w:i w:val="0"/>
          <w:sz w:val="24"/>
          <w:szCs w:val="24"/>
        </w:rPr>
        <w:t>.”</w:t>
      </w:r>
      <w:r w:rsidR="00147447">
        <w:rPr>
          <w:i w:val="0"/>
          <w:sz w:val="24"/>
          <w:szCs w:val="24"/>
        </w:rPr>
        <w:t xml:space="preserve">  </w:t>
      </w:r>
    </w:p>
    <w:p w14:paraId="453F9693" w14:textId="77777777" w:rsidR="007101D4" w:rsidRDefault="007101D4" w:rsidP="004E6C57">
      <w:pPr>
        <w:pStyle w:val="BodyText"/>
        <w:rPr>
          <w:i w:val="0"/>
          <w:sz w:val="24"/>
          <w:szCs w:val="24"/>
        </w:rPr>
      </w:pPr>
    </w:p>
    <w:p w14:paraId="50AC3E50" w14:textId="508849A0" w:rsidR="00A73BC8" w:rsidRPr="003B38DD" w:rsidRDefault="007101D4" w:rsidP="004E6C57">
      <w:pPr>
        <w:pStyle w:val="BodyText"/>
        <w:rPr>
          <w:i w:val="0"/>
          <w:sz w:val="24"/>
        </w:rPr>
      </w:pPr>
      <w:r>
        <w:rPr>
          <w:i w:val="0"/>
          <w:sz w:val="24"/>
          <w:szCs w:val="24"/>
        </w:rPr>
        <w:t xml:space="preserve">In aggregate we estimate 42 hours (30 </w:t>
      </w:r>
      <w:r w:rsidR="00147447">
        <w:rPr>
          <w:i w:val="0"/>
          <w:sz w:val="24"/>
          <w:szCs w:val="24"/>
        </w:rPr>
        <w:t xml:space="preserve"> minutes </w:t>
      </w:r>
      <w:r>
        <w:rPr>
          <w:i w:val="0"/>
          <w:sz w:val="24"/>
          <w:szCs w:val="24"/>
        </w:rPr>
        <w:t>x</w:t>
      </w:r>
      <w:r w:rsidR="00147447">
        <w:rPr>
          <w:i w:val="0"/>
          <w:sz w:val="24"/>
          <w:szCs w:val="24"/>
        </w:rPr>
        <w:t xml:space="preserve"> 4</w:t>
      </w:r>
      <w:r w:rsidR="00220D31">
        <w:rPr>
          <w:i w:val="0"/>
          <w:sz w:val="24"/>
          <w:szCs w:val="24"/>
        </w:rPr>
        <w:t>2</w:t>
      </w:r>
      <w:r w:rsidR="00147447">
        <w:rPr>
          <w:i w:val="0"/>
          <w:sz w:val="24"/>
          <w:szCs w:val="24"/>
        </w:rPr>
        <w:t xml:space="preserve"> states </w:t>
      </w:r>
      <w:r>
        <w:rPr>
          <w:i w:val="0"/>
          <w:sz w:val="24"/>
          <w:szCs w:val="24"/>
        </w:rPr>
        <w:t>x</w:t>
      </w:r>
      <w:r w:rsidR="00220D31">
        <w:rPr>
          <w:i w:val="0"/>
          <w:sz w:val="24"/>
          <w:szCs w:val="24"/>
        </w:rPr>
        <w:t xml:space="preserve"> </w:t>
      </w:r>
      <w:r>
        <w:rPr>
          <w:i w:val="0"/>
          <w:sz w:val="24"/>
          <w:szCs w:val="24"/>
        </w:rPr>
        <w:t>2 respondents</w:t>
      </w:r>
      <w:r w:rsidR="00390B81">
        <w:rPr>
          <w:i w:val="0"/>
          <w:sz w:val="24"/>
          <w:szCs w:val="24"/>
        </w:rPr>
        <w:t>/state</w:t>
      </w:r>
      <w:r>
        <w:rPr>
          <w:i w:val="0"/>
          <w:sz w:val="24"/>
          <w:szCs w:val="24"/>
        </w:rPr>
        <w:t xml:space="preserve"> at a cost of </w:t>
      </w:r>
      <w:r w:rsidR="00390B81" w:rsidRPr="00390B81">
        <w:rPr>
          <w:i w:val="0"/>
          <w:sz w:val="24"/>
        </w:rPr>
        <w:t xml:space="preserve"> </w:t>
      </w:r>
      <w:r w:rsidR="00390B81" w:rsidRPr="009E1BC7">
        <w:rPr>
          <w:i w:val="0"/>
          <w:sz w:val="24"/>
        </w:rPr>
        <w:t>$</w:t>
      </w:r>
      <w:r w:rsidR="00114272" w:rsidRPr="00114272">
        <w:rPr>
          <w:i w:val="0"/>
          <w:sz w:val="24"/>
        </w:rPr>
        <w:t>5,153.4</w:t>
      </w:r>
      <w:r w:rsidR="00114272">
        <w:rPr>
          <w:i w:val="0"/>
          <w:sz w:val="24"/>
        </w:rPr>
        <w:t>0</w:t>
      </w:r>
      <w:r w:rsidR="00390B81">
        <w:rPr>
          <w:i w:val="0"/>
          <w:sz w:val="24"/>
        </w:rPr>
        <w:t xml:space="preserve"> </w:t>
      </w:r>
      <w:r w:rsidR="00390B81" w:rsidRPr="009E1BC7">
        <w:rPr>
          <w:i w:val="0"/>
          <w:sz w:val="24"/>
        </w:rPr>
        <w:t>[(</w:t>
      </w:r>
      <w:r w:rsidR="00390B81">
        <w:rPr>
          <w:i w:val="0"/>
          <w:sz w:val="24"/>
        </w:rPr>
        <w:t>30 minutes x 42</w:t>
      </w:r>
      <w:r w:rsidR="00390B81" w:rsidRPr="009E1BC7">
        <w:rPr>
          <w:i w:val="0"/>
          <w:sz w:val="24"/>
        </w:rPr>
        <w:t xml:space="preserve"> </w:t>
      </w:r>
      <w:r w:rsidR="00390B81">
        <w:rPr>
          <w:i w:val="0"/>
          <w:sz w:val="24"/>
        </w:rPr>
        <w:t xml:space="preserve">states </w:t>
      </w:r>
      <w:r w:rsidR="00390B81" w:rsidRPr="009E1BC7">
        <w:rPr>
          <w:i w:val="0"/>
          <w:sz w:val="24"/>
        </w:rPr>
        <w:t>x $138.02/hr.) + (3</w:t>
      </w:r>
      <w:r w:rsidR="00390B81">
        <w:rPr>
          <w:i w:val="0"/>
          <w:sz w:val="24"/>
        </w:rPr>
        <w:t>0</w:t>
      </w:r>
      <w:r w:rsidR="00390B81" w:rsidRPr="009E1BC7">
        <w:rPr>
          <w:i w:val="0"/>
          <w:sz w:val="24"/>
        </w:rPr>
        <w:t xml:space="preserve"> </w:t>
      </w:r>
      <w:r w:rsidR="00390B81">
        <w:rPr>
          <w:i w:val="0"/>
          <w:sz w:val="24"/>
        </w:rPr>
        <w:t xml:space="preserve">minutes </w:t>
      </w:r>
      <w:r w:rsidR="00390B81" w:rsidRPr="009E1BC7">
        <w:rPr>
          <w:i w:val="0"/>
          <w:sz w:val="24"/>
        </w:rPr>
        <w:t xml:space="preserve">x </w:t>
      </w:r>
      <w:r w:rsidR="00390B81">
        <w:rPr>
          <w:i w:val="0"/>
          <w:sz w:val="24"/>
        </w:rPr>
        <w:t xml:space="preserve">42 states </w:t>
      </w:r>
      <w:r w:rsidR="00390B81" w:rsidRPr="009E1BC7">
        <w:rPr>
          <w:i w:val="0"/>
          <w:sz w:val="24"/>
        </w:rPr>
        <w:t>x $107.38/hr.)] or</w:t>
      </w:r>
      <w:r w:rsidR="00390B81">
        <w:rPr>
          <w:i w:val="0"/>
          <w:sz w:val="24"/>
        </w:rPr>
        <w:t xml:space="preserve"> $</w:t>
      </w:r>
      <w:r w:rsidR="00114272" w:rsidRPr="00114272">
        <w:rPr>
          <w:i w:val="0"/>
          <w:sz w:val="24"/>
        </w:rPr>
        <w:t>122.7</w:t>
      </w:r>
      <w:r w:rsidR="00114272">
        <w:rPr>
          <w:i w:val="0"/>
          <w:sz w:val="24"/>
        </w:rPr>
        <w:t>0</w:t>
      </w:r>
      <w:r w:rsidR="00390B81">
        <w:rPr>
          <w:i w:val="0"/>
          <w:sz w:val="24"/>
        </w:rPr>
        <w:t xml:space="preserve"> per state/territory ($</w:t>
      </w:r>
      <w:r w:rsidR="00114272" w:rsidRPr="00114272">
        <w:rPr>
          <w:i w:val="0"/>
          <w:sz w:val="24"/>
        </w:rPr>
        <w:t>5,153.4</w:t>
      </w:r>
      <w:r w:rsidR="00114272">
        <w:rPr>
          <w:i w:val="0"/>
          <w:sz w:val="24"/>
        </w:rPr>
        <w:t>0</w:t>
      </w:r>
      <w:r w:rsidR="00390B81">
        <w:rPr>
          <w:i w:val="0"/>
          <w:sz w:val="24"/>
        </w:rPr>
        <w:t>/42 respondents).</w:t>
      </w:r>
    </w:p>
    <w:p w14:paraId="0D45BDA0" w14:textId="77777777" w:rsidR="00016C77" w:rsidRDefault="00016C77" w:rsidP="00737C80">
      <w:pPr>
        <w:spacing w:after="0" w:line="240" w:lineRule="auto"/>
        <w:rPr>
          <w:i/>
        </w:rPr>
      </w:pPr>
    </w:p>
    <w:p w14:paraId="11C80436" w14:textId="7DDF67AC" w:rsidR="00D33316" w:rsidRPr="00D33316" w:rsidRDefault="00D33316" w:rsidP="00737C80">
      <w:pPr>
        <w:spacing w:after="0" w:line="240" w:lineRule="auto"/>
      </w:pPr>
      <w:r w:rsidRPr="00F9380F">
        <w:rPr>
          <w:u w:val="single"/>
        </w:rPr>
        <w:t>Burden Summary</w:t>
      </w:r>
      <w:r>
        <w:t xml:space="preserve">  Our total burden estimates are set out in the following table.</w:t>
      </w:r>
    </w:p>
    <w:p w14:paraId="41563414" w14:textId="77777777" w:rsidR="00D33316" w:rsidRDefault="00D33316" w:rsidP="00737C80">
      <w:pPr>
        <w:spacing w:after="0" w:line="240" w:lineRule="auto"/>
        <w:rPr>
          <w:i/>
        </w:rPr>
      </w:pP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530"/>
        <w:gridCol w:w="1350"/>
        <w:gridCol w:w="1260"/>
        <w:gridCol w:w="1080"/>
        <w:gridCol w:w="1350"/>
        <w:gridCol w:w="1391"/>
      </w:tblGrid>
      <w:tr w:rsidR="008D656A" w:rsidRPr="00E41741" w14:paraId="24A70144" w14:textId="77777777" w:rsidTr="00AA1D5A">
        <w:trPr>
          <w:trHeight w:val="800"/>
          <w:tblHeader/>
        </w:trPr>
        <w:tc>
          <w:tcPr>
            <w:tcW w:w="1620" w:type="dxa"/>
            <w:shd w:val="clear" w:color="auto" w:fill="auto"/>
          </w:tcPr>
          <w:p w14:paraId="1263753F" w14:textId="2C8C66DD" w:rsidR="008D656A" w:rsidRPr="00E41741" w:rsidRDefault="008D656A" w:rsidP="00E41741">
            <w:pPr>
              <w:spacing w:after="0" w:line="240" w:lineRule="auto"/>
              <w:rPr>
                <w:b/>
                <w:sz w:val="20"/>
                <w:szCs w:val="20"/>
              </w:rPr>
            </w:pPr>
            <w:r w:rsidRPr="00E41741">
              <w:rPr>
                <w:b/>
                <w:sz w:val="20"/>
                <w:szCs w:val="20"/>
              </w:rPr>
              <w:t>Requirement</w:t>
            </w:r>
          </w:p>
        </w:tc>
        <w:tc>
          <w:tcPr>
            <w:tcW w:w="1530" w:type="dxa"/>
            <w:shd w:val="clear" w:color="auto" w:fill="auto"/>
          </w:tcPr>
          <w:p w14:paraId="0C95A6CA" w14:textId="77777777" w:rsidR="008D656A" w:rsidRPr="00E41741" w:rsidRDefault="008D656A" w:rsidP="00E41741">
            <w:pPr>
              <w:spacing w:after="0" w:line="240" w:lineRule="auto"/>
              <w:rPr>
                <w:b/>
                <w:sz w:val="20"/>
                <w:szCs w:val="20"/>
              </w:rPr>
            </w:pPr>
            <w:r w:rsidRPr="00E41741">
              <w:rPr>
                <w:b/>
                <w:sz w:val="20"/>
                <w:szCs w:val="20"/>
              </w:rPr>
              <w:t>Respondents</w:t>
            </w:r>
          </w:p>
        </w:tc>
        <w:tc>
          <w:tcPr>
            <w:tcW w:w="1350" w:type="dxa"/>
            <w:shd w:val="clear" w:color="auto" w:fill="auto"/>
          </w:tcPr>
          <w:p w14:paraId="642C4FFF" w14:textId="5A2A3869" w:rsidR="008D656A" w:rsidRPr="00E41741" w:rsidRDefault="008D656A" w:rsidP="00E41741">
            <w:pPr>
              <w:spacing w:after="0" w:line="240" w:lineRule="auto"/>
              <w:rPr>
                <w:b/>
                <w:sz w:val="20"/>
                <w:szCs w:val="20"/>
              </w:rPr>
            </w:pPr>
            <w:r w:rsidRPr="00E41741">
              <w:rPr>
                <w:b/>
                <w:sz w:val="20"/>
                <w:szCs w:val="20"/>
              </w:rPr>
              <w:t>Total Responses</w:t>
            </w:r>
          </w:p>
        </w:tc>
        <w:tc>
          <w:tcPr>
            <w:tcW w:w="1260" w:type="dxa"/>
            <w:shd w:val="clear" w:color="auto" w:fill="auto"/>
          </w:tcPr>
          <w:p w14:paraId="1305E7D2" w14:textId="77777777" w:rsidR="008D656A" w:rsidRPr="00E41741" w:rsidRDefault="008D656A" w:rsidP="00E41741">
            <w:pPr>
              <w:spacing w:after="0" w:line="240" w:lineRule="auto"/>
              <w:rPr>
                <w:b/>
                <w:sz w:val="20"/>
                <w:szCs w:val="20"/>
              </w:rPr>
            </w:pPr>
            <w:r w:rsidRPr="00E41741">
              <w:rPr>
                <w:b/>
                <w:sz w:val="20"/>
                <w:szCs w:val="20"/>
              </w:rPr>
              <w:t>Burden per Response (hours)</w:t>
            </w:r>
          </w:p>
        </w:tc>
        <w:tc>
          <w:tcPr>
            <w:tcW w:w="1080" w:type="dxa"/>
          </w:tcPr>
          <w:p w14:paraId="649B1244" w14:textId="77777777" w:rsidR="008D656A" w:rsidRPr="00E41741" w:rsidRDefault="008D656A" w:rsidP="00E41741">
            <w:pPr>
              <w:spacing w:after="0" w:line="240" w:lineRule="auto"/>
              <w:rPr>
                <w:b/>
                <w:sz w:val="20"/>
                <w:szCs w:val="20"/>
              </w:rPr>
            </w:pPr>
            <w:r w:rsidRPr="00E41741">
              <w:rPr>
                <w:b/>
                <w:sz w:val="20"/>
                <w:szCs w:val="20"/>
              </w:rPr>
              <w:t>Total Annual Burden (hours)</w:t>
            </w:r>
          </w:p>
        </w:tc>
        <w:tc>
          <w:tcPr>
            <w:tcW w:w="1350" w:type="dxa"/>
          </w:tcPr>
          <w:p w14:paraId="2C18B6A3" w14:textId="77777777" w:rsidR="008D656A" w:rsidRPr="00E41741" w:rsidRDefault="008D656A" w:rsidP="00E41741">
            <w:pPr>
              <w:spacing w:after="0" w:line="240" w:lineRule="auto"/>
              <w:rPr>
                <w:b/>
                <w:sz w:val="20"/>
                <w:szCs w:val="20"/>
              </w:rPr>
            </w:pPr>
            <w:r w:rsidRPr="00E41741">
              <w:rPr>
                <w:b/>
                <w:sz w:val="20"/>
                <w:szCs w:val="20"/>
              </w:rPr>
              <w:t>Labor cost of Reporting ($/hr)</w:t>
            </w:r>
          </w:p>
        </w:tc>
        <w:tc>
          <w:tcPr>
            <w:tcW w:w="1391" w:type="dxa"/>
            <w:shd w:val="clear" w:color="auto" w:fill="auto"/>
          </w:tcPr>
          <w:p w14:paraId="4B234F53" w14:textId="77777777" w:rsidR="008D656A" w:rsidRPr="00E41741" w:rsidRDefault="008D656A" w:rsidP="00E41741">
            <w:pPr>
              <w:spacing w:after="0" w:line="240" w:lineRule="auto"/>
              <w:rPr>
                <w:b/>
                <w:sz w:val="20"/>
                <w:szCs w:val="20"/>
              </w:rPr>
            </w:pPr>
            <w:r w:rsidRPr="00E41741">
              <w:rPr>
                <w:b/>
                <w:sz w:val="20"/>
                <w:szCs w:val="20"/>
              </w:rPr>
              <w:t>Total Cost ($)</w:t>
            </w:r>
          </w:p>
        </w:tc>
      </w:tr>
      <w:tr w:rsidR="008D656A" w:rsidRPr="00E41741" w14:paraId="03891A63" w14:textId="77777777" w:rsidTr="00AA1D5A">
        <w:tc>
          <w:tcPr>
            <w:tcW w:w="1620" w:type="dxa"/>
            <w:shd w:val="clear" w:color="auto" w:fill="auto"/>
          </w:tcPr>
          <w:p w14:paraId="35E84693" w14:textId="231358DE" w:rsidR="008D656A" w:rsidRPr="00E41741" w:rsidRDefault="00A52562" w:rsidP="00E41741">
            <w:pPr>
              <w:spacing w:after="0" w:line="240" w:lineRule="auto"/>
              <w:rPr>
                <w:sz w:val="20"/>
                <w:szCs w:val="20"/>
              </w:rPr>
            </w:pPr>
            <w:r w:rsidRPr="00A52562">
              <w:rPr>
                <w:sz w:val="20"/>
                <w:szCs w:val="20"/>
              </w:rPr>
              <w:t>Budget Neutrality Workbook</w:t>
            </w:r>
          </w:p>
        </w:tc>
        <w:tc>
          <w:tcPr>
            <w:tcW w:w="1530" w:type="dxa"/>
            <w:shd w:val="clear" w:color="auto" w:fill="auto"/>
          </w:tcPr>
          <w:p w14:paraId="2AE84A13" w14:textId="77777777" w:rsidR="008D656A" w:rsidRPr="00E41741" w:rsidRDefault="008D656A" w:rsidP="00E41741">
            <w:pPr>
              <w:spacing w:after="0" w:line="240" w:lineRule="auto"/>
              <w:rPr>
                <w:sz w:val="20"/>
                <w:szCs w:val="20"/>
              </w:rPr>
            </w:pPr>
            <w:r w:rsidRPr="00E41741">
              <w:rPr>
                <w:sz w:val="20"/>
                <w:szCs w:val="20"/>
              </w:rPr>
              <w:t>42</w:t>
            </w:r>
          </w:p>
        </w:tc>
        <w:tc>
          <w:tcPr>
            <w:tcW w:w="1350" w:type="dxa"/>
            <w:shd w:val="clear" w:color="auto" w:fill="auto"/>
          </w:tcPr>
          <w:p w14:paraId="2C6E781F" w14:textId="5C0DAC26" w:rsidR="008D656A" w:rsidRPr="00E41741" w:rsidRDefault="001A758E" w:rsidP="00E41741">
            <w:pPr>
              <w:spacing w:after="0" w:line="240" w:lineRule="auto"/>
              <w:rPr>
                <w:sz w:val="20"/>
                <w:szCs w:val="20"/>
              </w:rPr>
            </w:pPr>
            <w:r>
              <w:rPr>
                <w:sz w:val="20"/>
                <w:szCs w:val="20"/>
              </w:rPr>
              <w:t>265 (</w:t>
            </w:r>
            <w:r w:rsidR="00A52562" w:rsidRPr="00A52562">
              <w:rPr>
                <w:sz w:val="20"/>
                <w:szCs w:val="20"/>
              </w:rPr>
              <w:t>5</w:t>
            </w:r>
            <w:r w:rsidR="00A52562">
              <w:rPr>
                <w:sz w:val="20"/>
                <w:szCs w:val="20"/>
              </w:rPr>
              <w:t>3</w:t>
            </w:r>
            <w:r>
              <w:rPr>
                <w:sz w:val="20"/>
                <w:szCs w:val="20"/>
              </w:rPr>
              <w:t xml:space="preserve"> responses x 5 responses/year)</w:t>
            </w:r>
          </w:p>
        </w:tc>
        <w:tc>
          <w:tcPr>
            <w:tcW w:w="1260" w:type="dxa"/>
            <w:shd w:val="clear" w:color="auto" w:fill="auto"/>
          </w:tcPr>
          <w:p w14:paraId="2503001A" w14:textId="5340100A" w:rsidR="008D656A" w:rsidRPr="00E41741" w:rsidRDefault="001A758E" w:rsidP="00E41741">
            <w:pPr>
              <w:spacing w:after="0" w:line="240" w:lineRule="auto"/>
              <w:rPr>
                <w:sz w:val="20"/>
                <w:szCs w:val="20"/>
              </w:rPr>
            </w:pPr>
            <w:r>
              <w:rPr>
                <w:sz w:val="20"/>
                <w:szCs w:val="20"/>
              </w:rPr>
              <w:t>7</w:t>
            </w:r>
          </w:p>
        </w:tc>
        <w:tc>
          <w:tcPr>
            <w:tcW w:w="1080" w:type="dxa"/>
          </w:tcPr>
          <w:p w14:paraId="7F2799D1" w14:textId="79A690EB" w:rsidR="008D656A" w:rsidRPr="00E41741" w:rsidRDefault="00E166DB" w:rsidP="00E41741">
            <w:pPr>
              <w:spacing w:after="0" w:line="240" w:lineRule="auto"/>
              <w:rPr>
                <w:sz w:val="20"/>
                <w:szCs w:val="20"/>
              </w:rPr>
            </w:pPr>
            <w:r w:rsidRPr="00E166DB">
              <w:rPr>
                <w:sz w:val="20"/>
                <w:szCs w:val="20"/>
              </w:rPr>
              <w:t>1,855</w:t>
            </w:r>
          </w:p>
        </w:tc>
        <w:tc>
          <w:tcPr>
            <w:tcW w:w="1350" w:type="dxa"/>
          </w:tcPr>
          <w:p w14:paraId="2D44E5DB" w14:textId="148D74A4" w:rsidR="008D656A" w:rsidRPr="00E41741" w:rsidRDefault="00E166DB" w:rsidP="00E41741">
            <w:pPr>
              <w:spacing w:after="0" w:line="240" w:lineRule="auto"/>
              <w:rPr>
                <w:sz w:val="20"/>
                <w:szCs w:val="20"/>
              </w:rPr>
            </w:pPr>
            <w:r w:rsidRPr="00E166DB">
              <w:rPr>
                <w:sz w:val="20"/>
                <w:szCs w:val="20"/>
              </w:rPr>
              <w:t>Varies</w:t>
            </w:r>
          </w:p>
        </w:tc>
        <w:tc>
          <w:tcPr>
            <w:tcW w:w="1391" w:type="dxa"/>
            <w:shd w:val="clear" w:color="auto" w:fill="auto"/>
          </w:tcPr>
          <w:p w14:paraId="4732D102" w14:textId="0CE7FD47" w:rsidR="008D656A" w:rsidRPr="00E41741" w:rsidRDefault="00152AF8" w:rsidP="00E41741">
            <w:pPr>
              <w:spacing w:after="0" w:line="240" w:lineRule="auto"/>
              <w:rPr>
                <w:sz w:val="20"/>
                <w:szCs w:val="20"/>
              </w:rPr>
            </w:pPr>
            <w:r w:rsidRPr="00152AF8">
              <w:rPr>
                <w:sz w:val="20"/>
                <w:szCs w:val="20"/>
              </w:rPr>
              <w:t>247,907.50</w:t>
            </w:r>
          </w:p>
        </w:tc>
      </w:tr>
      <w:tr w:rsidR="008D656A" w:rsidRPr="00E41741" w14:paraId="5BD1F196" w14:textId="77777777" w:rsidTr="00AA1D5A">
        <w:tc>
          <w:tcPr>
            <w:tcW w:w="1620" w:type="dxa"/>
            <w:shd w:val="clear" w:color="auto" w:fill="auto"/>
          </w:tcPr>
          <w:p w14:paraId="3DC60794" w14:textId="590D20B9" w:rsidR="008D656A" w:rsidRPr="00E41741" w:rsidRDefault="00A82659" w:rsidP="00E41741">
            <w:pPr>
              <w:spacing w:after="0" w:line="240" w:lineRule="auto"/>
              <w:rPr>
                <w:sz w:val="20"/>
                <w:szCs w:val="20"/>
              </w:rPr>
            </w:pPr>
            <w:r>
              <w:rPr>
                <w:sz w:val="20"/>
                <w:szCs w:val="20"/>
              </w:rPr>
              <w:t xml:space="preserve">Training &amp; </w:t>
            </w:r>
            <w:r w:rsidR="00A52562" w:rsidRPr="00A52562">
              <w:rPr>
                <w:sz w:val="20"/>
                <w:szCs w:val="20"/>
              </w:rPr>
              <w:t>Instruction</w:t>
            </w:r>
          </w:p>
        </w:tc>
        <w:tc>
          <w:tcPr>
            <w:tcW w:w="1530" w:type="dxa"/>
            <w:shd w:val="clear" w:color="auto" w:fill="auto"/>
          </w:tcPr>
          <w:p w14:paraId="711D9AC5" w14:textId="14CA4700" w:rsidR="008D656A" w:rsidRPr="00E41741" w:rsidRDefault="008D656A" w:rsidP="00E41741">
            <w:pPr>
              <w:spacing w:after="0" w:line="240" w:lineRule="auto"/>
              <w:rPr>
                <w:sz w:val="20"/>
                <w:szCs w:val="20"/>
              </w:rPr>
            </w:pPr>
            <w:r w:rsidRPr="00E41741">
              <w:rPr>
                <w:sz w:val="20"/>
                <w:szCs w:val="20"/>
              </w:rPr>
              <w:t>4</w:t>
            </w:r>
            <w:r w:rsidR="00A52562">
              <w:rPr>
                <w:sz w:val="20"/>
                <w:szCs w:val="20"/>
              </w:rPr>
              <w:t>2</w:t>
            </w:r>
          </w:p>
        </w:tc>
        <w:tc>
          <w:tcPr>
            <w:tcW w:w="1350" w:type="dxa"/>
            <w:shd w:val="clear" w:color="auto" w:fill="auto"/>
          </w:tcPr>
          <w:p w14:paraId="17C767E3" w14:textId="54D9511D" w:rsidR="008D656A" w:rsidRPr="00E41741" w:rsidRDefault="00A52562" w:rsidP="00E41741">
            <w:pPr>
              <w:spacing w:after="0" w:line="240" w:lineRule="auto"/>
              <w:rPr>
                <w:sz w:val="20"/>
                <w:szCs w:val="20"/>
              </w:rPr>
            </w:pPr>
            <w:r w:rsidRPr="00A52562">
              <w:rPr>
                <w:sz w:val="20"/>
                <w:szCs w:val="20"/>
              </w:rPr>
              <w:t>42</w:t>
            </w:r>
          </w:p>
        </w:tc>
        <w:tc>
          <w:tcPr>
            <w:tcW w:w="1260" w:type="dxa"/>
            <w:shd w:val="clear" w:color="auto" w:fill="auto"/>
          </w:tcPr>
          <w:p w14:paraId="57E92DBB" w14:textId="1BCAB5A8" w:rsidR="008D656A" w:rsidRPr="00E41741" w:rsidRDefault="00E166DB" w:rsidP="00E41741">
            <w:pPr>
              <w:spacing w:after="0" w:line="240" w:lineRule="auto"/>
              <w:rPr>
                <w:sz w:val="20"/>
                <w:szCs w:val="20"/>
              </w:rPr>
            </w:pPr>
            <w:r>
              <w:rPr>
                <w:sz w:val="20"/>
                <w:szCs w:val="20"/>
              </w:rPr>
              <w:t>1</w:t>
            </w:r>
            <w:r w:rsidR="00A47FFB">
              <w:rPr>
                <w:sz w:val="20"/>
                <w:szCs w:val="20"/>
              </w:rPr>
              <w:t xml:space="preserve"> (30 min x 2 respondents)</w:t>
            </w:r>
          </w:p>
        </w:tc>
        <w:tc>
          <w:tcPr>
            <w:tcW w:w="1080" w:type="dxa"/>
          </w:tcPr>
          <w:p w14:paraId="278C369A" w14:textId="4EE47674" w:rsidR="008D656A" w:rsidRPr="00E41741" w:rsidRDefault="00A47FFB" w:rsidP="00E41741">
            <w:pPr>
              <w:spacing w:after="0" w:line="240" w:lineRule="auto"/>
              <w:rPr>
                <w:sz w:val="20"/>
                <w:szCs w:val="20"/>
              </w:rPr>
            </w:pPr>
            <w:r w:rsidRPr="00A47FFB">
              <w:rPr>
                <w:sz w:val="20"/>
                <w:szCs w:val="20"/>
              </w:rPr>
              <w:t>42</w:t>
            </w:r>
          </w:p>
        </w:tc>
        <w:tc>
          <w:tcPr>
            <w:tcW w:w="1350" w:type="dxa"/>
          </w:tcPr>
          <w:p w14:paraId="4917795A" w14:textId="75AD4F7C" w:rsidR="008D656A" w:rsidRPr="00E41741" w:rsidRDefault="00E166DB" w:rsidP="00E41741">
            <w:pPr>
              <w:spacing w:after="0" w:line="240" w:lineRule="auto"/>
              <w:rPr>
                <w:sz w:val="20"/>
                <w:szCs w:val="20"/>
              </w:rPr>
            </w:pPr>
            <w:r>
              <w:rPr>
                <w:sz w:val="20"/>
                <w:szCs w:val="20"/>
              </w:rPr>
              <w:t>Varies</w:t>
            </w:r>
          </w:p>
        </w:tc>
        <w:tc>
          <w:tcPr>
            <w:tcW w:w="1391" w:type="dxa"/>
            <w:shd w:val="clear" w:color="auto" w:fill="auto"/>
          </w:tcPr>
          <w:p w14:paraId="24974F82" w14:textId="110E2BA1" w:rsidR="008D656A" w:rsidRPr="00E41741" w:rsidRDefault="00152AF8" w:rsidP="00E41741">
            <w:pPr>
              <w:spacing w:after="0" w:line="240" w:lineRule="auto"/>
              <w:rPr>
                <w:sz w:val="20"/>
                <w:szCs w:val="20"/>
              </w:rPr>
            </w:pPr>
            <w:r w:rsidRPr="00152AF8">
              <w:rPr>
                <w:sz w:val="20"/>
                <w:szCs w:val="20"/>
              </w:rPr>
              <w:t>5,153.40</w:t>
            </w:r>
          </w:p>
        </w:tc>
      </w:tr>
      <w:tr w:rsidR="008D656A" w:rsidRPr="00E41741" w14:paraId="1088B78D" w14:textId="77777777" w:rsidTr="00AA1D5A">
        <w:tc>
          <w:tcPr>
            <w:tcW w:w="1620" w:type="dxa"/>
            <w:shd w:val="clear" w:color="auto" w:fill="D9D9D9" w:themeFill="background1" w:themeFillShade="D9"/>
          </w:tcPr>
          <w:p w14:paraId="202DECA6" w14:textId="77777777" w:rsidR="008D656A" w:rsidRPr="00E41741" w:rsidRDefault="008D656A" w:rsidP="00E41741">
            <w:pPr>
              <w:spacing w:after="0" w:line="240" w:lineRule="auto"/>
              <w:rPr>
                <w:b/>
                <w:sz w:val="20"/>
                <w:szCs w:val="20"/>
              </w:rPr>
            </w:pPr>
            <w:r w:rsidRPr="00E41741">
              <w:rPr>
                <w:b/>
                <w:sz w:val="20"/>
                <w:szCs w:val="20"/>
              </w:rPr>
              <w:t>Total</w:t>
            </w:r>
          </w:p>
        </w:tc>
        <w:tc>
          <w:tcPr>
            <w:tcW w:w="1530" w:type="dxa"/>
            <w:shd w:val="clear" w:color="auto" w:fill="D9D9D9" w:themeFill="background1" w:themeFillShade="D9"/>
          </w:tcPr>
          <w:p w14:paraId="1CDC5806" w14:textId="7484F4BD" w:rsidR="008D656A" w:rsidRPr="00E41741" w:rsidRDefault="008D656A" w:rsidP="00E41741">
            <w:pPr>
              <w:spacing w:after="0" w:line="240" w:lineRule="auto"/>
              <w:rPr>
                <w:sz w:val="20"/>
                <w:szCs w:val="20"/>
              </w:rPr>
            </w:pPr>
            <w:r w:rsidRPr="00E41741">
              <w:rPr>
                <w:sz w:val="20"/>
                <w:szCs w:val="20"/>
              </w:rPr>
              <w:t>4</w:t>
            </w:r>
            <w:r w:rsidR="00A52562" w:rsidRPr="00A52562">
              <w:rPr>
                <w:sz w:val="20"/>
                <w:szCs w:val="20"/>
              </w:rPr>
              <w:t>2</w:t>
            </w:r>
          </w:p>
        </w:tc>
        <w:tc>
          <w:tcPr>
            <w:tcW w:w="1350" w:type="dxa"/>
            <w:shd w:val="clear" w:color="auto" w:fill="D9D9D9" w:themeFill="background1" w:themeFillShade="D9"/>
          </w:tcPr>
          <w:p w14:paraId="4C29AF1A" w14:textId="21E75820" w:rsidR="008D656A" w:rsidRPr="00E41741" w:rsidRDefault="001A758E" w:rsidP="00E41741">
            <w:pPr>
              <w:spacing w:after="0" w:line="240" w:lineRule="auto"/>
              <w:rPr>
                <w:sz w:val="20"/>
                <w:szCs w:val="20"/>
              </w:rPr>
            </w:pPr>
            <w:r>
              <w:rPr>
                <w:sz w:val="20"/>
                <w:szCs w:val="20"/>
              </w:rPr>
              <w:t>307</w:t>
            </w:r>
          </w:p>
        </w:tc>
        <w:tc>
          <w:tcPr>
            <w:tcW w:w="1260" w:type="dxa"/>
            <w:shd w:val="clear" w:color="auto" w:fill="D9D9D9" w:themeFill="background1" w:themeFillShade="D9"/>
          </w:tcPr>
          <w:p w14:paraId="762F58E0" w14:textId="2FD034D4" w:rsidR="008D656A" w:rsidRPr="00E41741" w:rsidRDefault="00E166DB" w:rsidP="00E41741">
            <w:pPr>
              <w:tabs>
                <w:tab w:val="left" w:pos="585"/>
              </w:tabs>
              <w:spacing w:after="0" w:line="240" w:lineRule="auto"/>
              <w:rPr>
                <w:sz w:val="20"/>
                <w:szCs w:val="20"/>
              </w:rPr>
            </w:pPr>
            <w:r>
              <w:rPr>
                <w:sz w:val="20"/>
                <w:szCs w:val="20"/>
              </w:rPr>
              <w:t>8</w:t>
            </w:r>
          </w:p>
        </w:tc>
        <w:tc>
          <w:tcPr>
            <w:tcW w:w="1080" w:type="dxa"/>
            <w:shd w:val="clear" w:color="auto" w:fill="D9D9D9" w:themeFill="background1" w:themeFillShade="D9"/>
          </w:tcPr>
          <w:p w14:paraId="117180D0" w14:textId="29558451" w:rsidR="008D656A" w:rsidRPr="00E41741" w:rsidRDefault="00A47FFB" w:rsidP="00E41741">
            <w:pPr>
              <w:spacing w:after="0" w:line="240" w:lineRule="auto"/>
              <w:rPr>
                <w:sz w:val="20"/>
                <w:szCs w:val="20"/>
              </w:rPr>
            </w:pPr>
            <w:r w:rsidRPr="00A47FFB">
              <w:rPr>
                <w:sz w:val="20"/>
                <w:szCs w:val="20"/>
              </w:rPr>
              <w:t>1,897</w:t>
            </w:r>
          </w:p>
        </w:tc>
        <w:tc>
          <w:tcPr>
            <w:tcW w:w="1350" w:type="dxa"/>
            <w:shd w:val="clear" w:color="auto" w:fill="D9D9D9" w:themeFill="background1" w:themeFillShade="D9"/>
          </w:tcPr>
          <w:p w14:paraId="4A6773B8" w14:textId="5AC3EEF1" w:rsidR="008D656A" w:rsidRPr="00E41741" w:rsidRDefault="00E166DB" w:rsidP="00E41741">
            <w:pPr>
              <w:spacing w:after="0" w:line="240" w:lineRule="auto"/>
              <w:rPr>
                <w:sz w:val="20"/>
                <w:szCs w:val="20"/>
              </w:rPr>
            </w:pPr>
            <w:r w:rsidRPr="00E166DB">
              <w:rPr>
                <w:sz w:val="20"/>
                <w:szCs w:val="20"/>
              </w:rPr>
              <w:t>Varies</w:t>
            </w:r>
          </w:p>
        </w:tc>
        <w:tc>
          <w:tcPr>
            <w:tcW w:w="1391" w:type="dxa"/>
            <w:shd w:val="clear" w:color="auto" w:fill="D9D9D9" w:themeFill="background1" w:themeFillShade="D9"/>
          </w:tcPr>
          <w:p w14:paraId="7DCF309B" w14:textId="7469F7D8" w:rsidR="008D656A" w:rsidRPr="00E41741" w:rsidRDefault="00152AF8" w:rsidP="00E41741">
            <w:pPr>
              <w:spacing w:after="0" w:line="240" w:lineRule="auto"/>
              <w:rPr>
                <w:sz w:val="20"/>
                <w:szCs w:val="20"/>
              </w:rPr>
            </w:pPr>
            <w:r w:rsidRPr="00152AF8">
              <w:rPr>
                <w:sz w:val="20"/>
                <w:szCs w:val="20"/>
              </w:rPr>
              <w:t>253,060.9</w:t>
            </w:r>
            <w:r w:rsidR="003102AA">
              <w:rPr>
                <w:sz w:val="20"/>
                <w:szCs w:val="20"/>
              </w:rPr>
              <w:t>0</w:t>
            </w:r>
          </w:p>
        </w:tc>
      </w:tr>
    </w:tbl>
    <w:p w14:paraId="52AA2600" w14:textId="77777777" w:rsidR="00D33316" w:rsidRDefault="00D33316" w:rsidP="00737C80">
      <w:pPr>
        <w:spacing w:after="0" w:line="240" w:lineRule="auto"/>
        <w:rPr>
          <w:i/>
        </w:rPr>
      </w:pPr>
    </w:p>
    <w:p w14:paraId="1A726337" w14:textId="177D6362" w:rsidR="00737C80" w:rsidRPr="00737C80" w:rsidRDefault="00737C80" w:rsidP="00737C80">
      <w:pPr>
        <w:spacing w:after="0" w:line="240" w:lineRule="auto"/>
        <w:rPr>
          <w:i/>
        </w:rPr>
      </w:pPr>
      <w:r w:rsidRPr="00737C80">
        <w:rPr>
          <w:i/>
        </w:rPr>
        <w:t xml:space="preserve">Information Collection Instruments and Instruction/Guidance </w:t>
      </w:r>
      <w:r w:rsidR="007D770B">
        <w:rPr>
          <w:i/>
        </w:rPr>
        <w:t>Materials</w:t>
      </w:r>
    </w:p>
    <w:p w14:paraId="1F278E4E" w14:textId="77777777" w:rsidR="0043142D" w:rsidRDefault="0043142D" w:rsidP="0043142D">
      <w:pPr>
        <w:pStyle w:val="BodyText"/>
        <w:rPr>
          <w:sz w:val="24"/>
        </w:rPr>
      </w:pPr>
    </w:p>
    <w:p w14:paraId="4C191293" w14:textId="6572409C" w:rsidR="00F7439B" w:rsidRPr="00F7439B" w:rsidRDefault="007028EB" w:rsidP="00F7439B">
      <w:pPr>
        <w:pStyle w:val="BodyText"/>
        <w:numPr>
          <w:ilvl w:val="0"/>
          <w:numId w:val="22"/>
        </w:numPr>
        <w:rPr>
          <w:i w:val="0"/>
          <w:sz w:val="24"/>
          <w:szCs w:val="24"/>
        </w:rPr>
      </w:pPr>
      <w:r w:rsidRPr="00493093">
        <w:rPr>
          <w:b/>
          <w:sz w:val="24"/>
          <w:szCs w:val="24"/>
        </w:rPr>
        <w:t>PMDA Budget Neutrality Workbook Template</w:t>
      </w:r>
      <w:r w:rsidRPr="00F7439B">
        <w:rPr>
          <w:i w:val="0"/>
          <w:sz w:val="24"/>
          <w:szCs w:val="24"/>
        </w:rPr>
        <w:t xml:space="preserve"> – instructional overview – provides details for completing the workbook and identifies each cell within the workbook that needs to be populated</w:t>
      </w:r>
      <w:r w:rsidR="00700650">
        <w:rPr>
          <w:i w:val="0"/>
          <w:sz w:val="24"/>
          <w:szCs w:val="24"/>
        </w:rPr>
        <w:t>.</w:t>
      </w:r>
    </w:p>
    <w:p w14:paraId="60A1043B" w14:textId="6B257C9B" w:rsidR="00F7439B" w:rsidRPr="00F7439B" w:rsidRDefault="00F7439B" w:rsidP="00F7439B">
      <w:pPr>
        <w:pStyle w:val="BodyText"/>
        <w:numPr>
          <w:ilvl w:val="0"/>
          <w:numId w:val="22"/>
        </w:numPr>
        <w:rPr>
          <w:i w:val="0"/>
          <w:sz w:val="24"/>
          <w:szCs w:val="24"/>
        </w:rPr>
      </w:pPr>
      <w:r w:rsidRPr="00F7439B">
        <w:rPr>
          <w:b/>
          <w:bCs/>
          <w:sz w:val="24"/>
          <w:szCs w:val="24"/>
        </w:rPr>
        <w:t>S</w:t>
      </w:r>
      <w:r>
        <w:rPr>
          <w:b/>
          <w:bCs/>
          <w:sz w:val="24"/>
          <w:szCs w:val="24"/>
        </w:rPr>
        <w:t xml:space="preserve">tate </w:t>
      </w:r>
      <w:r w:rsidRPr="00F7439B">
        <w:rPr>
          <w:b/>
          <w:bCs/>
          <w:sz w:val="24"/>
          <w:szCs w:val="24"/>
        </w:rPr>
        <w:t>U</w:t>
      </w:r>
      <w:r>
        <w:rPr>
          <w:b/>
          <w:bCs/>
          <w:sz w:val="24"/>
          <w:szCs w:val="24"/>
        </w:rPr>
        <w:t>ser</w:t>
      </w:r>
      <w:r w:rsidRPr="00F7439B">
        <w:rPr>
          <w:b/>
          <w:bCs/>
          <w:sz w:val="24"/>
          <w:szCs w:val="24"/>
        </w:rPr>
        <w:t xml:space="preserve"> Budget Neutrality Playbook</w:t>
      </w:r>
      <w:r w:rsidRPr="00F7439B">
        <w:rPr>
          <w:sz w:val="24"/>
          <w:szCs w:val="24"/>
        </w:rPr>
        <w:t xml:space="preserve"> </w:t>
      </w:r>
    </w:p>
    <w:p w14:paraId="43AA747B" w14:textId="57214ABE" w:rsidR="00F7439B" w:rsidRPr="00F7439B" w:rsidRDefault="00F7439B" w:rsidP="00F7439B">
      <w:pPr>
        <w:pStyle w:val="BodyText"/>
        <w:numPr>
          <w:ilvl w:val="0"/>
          <w:numId w:val="22"/>
        </w:numPr>
        <w:rPr>
          <w:i w:val="0"/>
          <w:sz w:val="24"/>
          <w:szCs w:val="24"/>
        </w:rPr>
      </w:pPr>
      <w:r w:rsidRPr="00F7439B">
        <w:rPr>
          <w:b/>
          <w:bCs/>
          <w:sz w:val="24"/>
          <w:szCs w:val="24"/>
        </w:rPr>
        <w:t>Video: Overview of the Budget Neutrality Workbook Template</w:t>
      </w:r>
      <w:r w:rsidRPr="00F7439B">
        <w:rPr>
          <w:sz w:val="24"/>
          <w:szCs w:val="24"/>
        </w:rPr>
        <w:t xml:space="preserve"> – (4:39 minutes—2 chapters)  </w:t>
      </w:r>
      <w:hyperlink r:id="rId10" w:tgtFrame="_blank" w:history="1">
        <w:r w:rsidRPr="00F7439B">
          <w:rPr>
            <w:rStyle w:val="Hyperlink"/>
            <w:rFonts w:eastAsiaTheme="majorEastAsia"/>
            <w:sz w:val="24"/>
            <w:szCs w:val="24"/>
          </w:rPr>
          <w:t>https://cvpcorp-1115pmda.adobeconnect.com/bnwoverview/</w:t>
        </w:r>
      </w:hyperlink>
    </w:p>
    <w:p w14:paraId="73A33012" w14:textId="7D435C7C" w:rsidR="00F7439B" w:rsidRPr="00493093" w:rsidRDefault="00F7439B" w:rsidP="00F7439B">
      <w:pPr>
        <w:pStyle w:val="BodyText"/>
        <w:numPr>
          <w:ilvl w:val="0"/>
          <w:numId w:val="22"/>
        </w:numPr>
        <w:rPr>
          <w:rStyle w:val="Hyperlink"/>
          <w:i w:val="0"/>
          <w:color w:val="auto"/>
          <w:sz w:val="24"/>
          <w:szCs w:val="24"/>
          <w:u w:val="none"/>
        </w:rPr>
      </w:pPr>
      <w:r w:rsidRPr="00F7439B">
        <w:rPr>
          <w:b/>
          <w:bCs/>
          <w:sz w:val="24"/>
          <w:szCs w:val="24"/>
        </w:rPr>
        <w:t>Video: Completing the Budget Neutrality Workbook Template</w:t>
      </w:r>
      <w:r w:rsidRPr="00F7439B">
        <w:rPr>
          <w:sz w:val="24"/>
          <w:szCs w:val="24"/>
        </w:rPr>
        <w:t xml:space="preserve"> (9:26 minutes—3 chapters)  </w:t>
      </w:r>
      <w:hyperlink r:id="rId11" w:tgtFrame="_blank" w:history="1">
        <w:r w:rsidRPr="00F7439B">
          <w:rPr>
            <w:rStyle w:val="Hyperlink"/>
            <w:rFonts w:eastAsiaTheme="majorEastAsia"/>
            <w:sz w:val="24"/>
            <w:szCs w:val="24"/>
          </w:rPr>
          <w:t>https://cvpcorp-1115pmda.adobeconnect.com/subnw/</w:t>
        </w:r>
      </w:hyperlink>
    </w:p>
    <w:p w14:paraId="4B217DC7" w14:textId="493BD049" w:rsidR="00FE3C32" w:rsidRPr="00F7439B" w:rsidRDefault="00FE3C32" w:rsidP="00F7439B">
      <w:pPr>
        <w:pStyle w:val="BodyText"/>
        <w:numPr>
          <w:ilvl w:val="0"/>
          <w:numId w:val="22"/>
        </w:numPr>
        <w:rPr>
          <w:i w:val="0"/>
          <w:sz w:val="24"/>
          <w:szCs w:val="24"/>
        </w:rPr>
      </w:pPr>
      <w:r>
        <w:rPr>
          <w:b/>
          <w:bCs/>
          <w:sz w:val="24"/>
          <w:szCs w:val="24"/>
        </w:rPr>
        <w:t xml:space="preserve">Video Script: </w:t>
      </w:r>
      <w:r w:rsidRPr="00F7439B">
        <w:rPr>
          <w:b/>
          <w:bCs/>
          <w:sz w:val="24"/>
          <w:szCs w:val="24"/>
        </w:rPr>
        <w:t>Completing the Budget Neutrality Workbook Template</w:t>
      </w:r>
    </w:p>
    <w:p w14:paraId="08924228" w14:textId="77777777" w:rsidR="003767DA" w:rsidRDefault="003767DA" w:rsidP="00107E26">
      <w:pPr>
        <w:pStyle w:val="Heading1"/>
      </w:pPr>
    </w:p>
    <w:p w14:paraId="425A9CDF" w14:textId="77777777" w:rsidR="00737C80" w:rsidRPr="002A4CA6" w:rsidRDefault="007D6E75" w:rsidP="00107E26">
      <w:pPr>
        <w:pStyle w:val="Heading1"/>
      </w:pPr>
      <w:r w:rsidRPr="002A4CA6">
        <w:t>E. Timeline</w:t>
      </w:r>
    </w:p>
    <w:p w14:paraId="5E7D2479" w14:textId="77777777" w:rsidR="00443F76" w:rsidRDefault="00443F76" w:rsidP="007A5704">
      <w:pPr>
        <w:spacing w:after="0" w:line="240" w:lineRule="auto"/>
      </w:pPr>
    </w:p>
    <w:p w14:paraId="68A35F1A" w14:textId="1F82D6BF" w:rsidR="00473379" w:rsidRDefault="00473379" w:rsidP="007A5704">
      <w:pPr>
        <w:spacing w:after="0" w:line="240" w:lineRule="auto"/>
      </w:pPr>
      <w:r>
        <w:t>Not applicable.</w:t>
      </w:r>
    </w:p>
    <w:p w14:paraId="5E84504B" w14:textId="77777777" w:rsidR="00473379" w:rsidRDefault="00473379" w:rsidP="007A5704">
      <w:pPr>
        <w:spacing w:after="0" w:line="240" w:lineRule="auto"/>
      </w:pPr>
    </w:p>
    <w:p w14:paraId="7FD1158A" w14:textId="718C934E" w:rsidR="006F24FB" w:rsidRPr="006F24FB" w:rsidRDefault="006F24FB" w:rsidP="007A5704">
      <w:pPr>
        <w:spacing w:after="0" w:line="240" w:lineRule="auto"/>
        <w:rPr>
          <w:iCs/>
          <w:szCs w:val="24"/>
        </w:rPr>
      </w:pPr>
    </w:p>
    <w:p w14:paraId="7884E01C" w14:textId="77777777" w:rsidR="00443F76" w:rsidRDefault="00443F76" w:rsidP="007A5704">
      <w:pPr>
        <w:pStyle w:val="BodyText"/>
        <w:rPr>
          <w:szCs w:val="24"/>
        </w:rPr>
      </w:pPr>
    </w:p>
    <w:sectPr w:rsidR="00443F76" w:rsidSect="005B4F1B">
      <w:pgSz w:w="12240" w:h="15840" w:code="1"/>
      <w:pgMar w:top="1440" w:right="135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75DC6" w14:textId="77777777" w:rsidR="00BF1D4B" w:rsidRDefault="00BF1D4B" w:rsidP="008111D2">
      <w:pPr>
        <w:spacing w:after="0" w:line="240" w:lineRule="auto"/>
      </w:pPr>
      <w:r>
        <w:separator/>
      </w:r>
    </w:p>
  </w:endnote>
  <w:endnote w:type="continuationSeparator" w:id="0">
    <w:p w14:paraId="27AD7DA6" w14:textId="77777777" w:rsidR="00BF1D4B" w:rsidRDefault="00BF1D4B"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BFAD4" w14:textId="77777777" w:rsidR="00BF1D4B" w:rsidRDefault="00BF1D4B" w:rsidP="008111D2">
      <w:pPr>
        <w:spacing w:after="0" w:line="240" w:lineRule="auto"/>
      </w:pPr>
      <w:r>
        <w:separator/>
      </w:r>
    </w:p>
  </w:footnote>
  <w:footnote w:type="continuationSeparator" w:id="0">
    <w:p w14:paraId="3516C544" w14:textId="77777777" w:rsidR="00BF1D4B" w:rsidRDefault="00BF1D4B"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F4195"/>
    <w:multiLevelType w:val="hybridMultilevel"/>
    <w:tmpl w:val="A250765A"/>
    <w:lvl w:ilvl="0" w:tplc="D77AE7F8">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19B0C77"/>
    <w:multiLevelType w:val="hybridMultilevel"/>
    <w:tmpl w:val="AD40F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AA3B5D"/>
    <w:multiLevelType w:val="hybridMultilevel"/>
    <w:tmpl w:val="C9428992"/>
    <w:lvl w:ilvl="0" w:tplc="9AAC1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9E2CCC"/>
    <w:multiLevelType w:val="hybridMultilevel"/>
    <w:tmpl w:val="AF641844"/>
    <w:lvl w:ilvl="0" w:tplc="9AAC1F2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D64699E"/>
    <w:multiLevelType w:val="hybridMultilevel"/>
    <w:tmpl w:val="3952673A"/>
    <w:lvl w:ilvl="0" w:tplc="B03A301A">
      <w:numFmt w:val="bullet"/>
      <w:lvlText w:val="•"/>
      <w:lvlJc w:val="left"/>
      <w:pPr>
        <w:ind w:left="192" w:hanging="547"/>
      </w:pPr>
      <w:rPr>
        <w:rFonts w:ascii="Times New Roman" w:eastAsia="Times New Roman" w:hAnsi="Times New Roman" w:cs="Times New Roman" w:hint="default"/>
        <w:w w:val="101"/>
        <w:sz w:val="18"/>
        <w:szCs w:val="18"/>
      </w:rPr>
    </w:lvl>
    <w:lvl w:ilvl="1" w:tplc="9D2AE752">
      <w:numFmt w:val="bullet"/>
      <w:lvlText w:val="•"/>
      <w:lvlJc w:val="left"/>
      <w:pPr>
        <w:ind w:left="1314" w:hanging="547"/>
      </w:pPr>
      <w:rPr>
        <w:rFonts w:hint="default"/>
      </w:rPr>
    </w:lvl>
    <w:lvl w:ilvl="2" w:tplc="B9B0159A">
      <w:numFmt w:val="bullet"/>
      <w:lvlText w:val="•"/>
      <w:lvlJc w:val="left"/>
      <w:pPr>
        <w:ind w:left="2428" w:hanging="547"/>
      </w:pPr>
      <w:rPr>
        <w:rFonts w:hint="default"/>
      </w:rPr>
    </w:lvl>
    <w:lvl w:ilvl="3" w:tplc="31C2455C">
      <w:numFmt w:val="bullet"/>
      <w:lvlText w:val="•"/>
      <w:lvlJc w:val="left"/>
      <w:pPr>
        <w:ind w:left="3542" w:hanging="547"/>
      </w:pPr>
      <w:rPr>
        <w:rFonts w:hint="default"/>
      </w:rPr>
    </w:lvl>
    <w:lvl w:ilvl="4" w:tplc="44A4A444">
      <w:numFmt w:val="bullet"/>
      <w:lvlText w:val="•"/>
      <w:lvlJc w:val="left"/>
      <w:pPr>
        <w:ind w:left="4656" w:hanging="547"/>
      </w:pPr>
      <w:rPr>
        <w:rFonts w:hint="default"/>
      </w:rPr>
    </w:lvl>
    <w:lvl w:ilvl="5" w:tplc="6E4275B4">
      <w:numFmt w:val="bullet"/>
      <w:lvlText w:val="•"/>
      <w:lvlJc w:val="left"/>
      <w:pPr>
        <w:ind w:left="5770" w:hanging="547"/>
      </w:pPr>
      <w:rPr>
        <w:rFonts w:hint="default"/>
      </w:rPr>
    </w:lvl>
    <w:lvl w:ilvl="6" w:tplc="0C020990">
      <w:numFmt w:val="bullet"/>
      <w:lvlText w:val="•"/>
      <w:lvlJc w:val="left"/>
      <w:pPr>
        <w:ind w:left="6884" w:hanging="547"/>
      </w:pPr>
      <w:rPr>
        <w:rFonts w:hint="default"/>
      </w:rPr>
    </w:lvl>
    <w:lvl w:ilvl="7" w:tplc="4672EDB6">
      <w:numFmt w:val="bullet"/>
      <w:lvlText w:val="•"/>
      <w:lvlJc w:val="left"/>
      <w:pPr>
        <w:ind w:left="7998" w:hanging="547"/>
      </w:pPr>
      <w:rPr>
        <w:rFonts w:hint="default"/>
      </w:rPr>
    </w:lvl>
    <w:lvl w:ilvl="8" w:tplc="1400AAE6">
      <w:numFmt w:val="bullet"/>
      <w:lvlText w:val="•"/>
      <w:lvlJc w:val="left"/>
      <w:pPr>
        <w:ind w:left="9112" w:hanging="547"/>
      </w:pPr>
      <w:rPr>
        <w:rFonts w:hint="default"/>
      </w:rPr>
    </w:lvl>
  </w:abstractNum>
  <w:abstractNum w:abstractNumId="10">
    <w:nsid w:val="4113277C"/>
    <w:multiLevelType w:val="hybridMultilevel"/>
    <w:tmpl w:val="005871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BE14DFB"/>
    <w:multiLevelType w:val="hybridMultilevel"/>
    <w:tmpl w:val="CB0A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B50A73"/>
    <w:multiLevelType w:val="hybridMultilevel"/>
    <w:tmpl w:val="2F54F2EE"/>
    <w:lvl w:ilvl="0" w:tplc="9AAC1F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9025814"/>
    <w:multiLevelType w:val="hybridMultilevel"/>
    <w:tmpl w:val="F06863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042AD8"/>
    <w:multiLevelType w:val="hybridMultilevel"/>
    <w:tmpl w:val="CF1262D2"/>
    <w:lvl w:ilvl="0" w:tplc="9842824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88521A"/>
    <w:multiLevelType w:val="hybridMultilevel"/>
    <w:tmpl w:val="DE8C564A"/>
    <w:lvl w:ilvl="0" w:tplc="9AAC1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66218A"/>
    <w:multiLevelType w:val="multilevel"/>
    <w:tmpl w:val="E274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11"/>
  </w:num>
  <w:num w:numId="4">
    <w:abstractNumId w:val="17"/>
  </w:num>
  <w:num w:numId="5">
    <w:abstractNumId w:val="3"/>
  </w:num>
  <w:num w:numId="6">
    <w:abstractNumId w:val="6"/>
  </w:num>
  <w:num w:numId="7">
    <w:abstractNumId w:val="7"/>
  </w:num>
  <w:num w:numId="8">
    <w:abstractNumId w:val="15"/>
  </w:num>
  <w:num w:numId="9">
    <w:abstractNumId w:val="0"/>
  </w:num>
  <w:num w:numId="10">
    <w:abstractNumId w:val="18"/>
  </w:num>
  <w:num w:numId="11">
    <w:abstractNumId w:val="2"/>
  </w:num>
  <w:num w:numId="12">
    <w:abstractNumId w:val="9"/>
  </w:num>
  <w:num w:numId="13">
    <w:abstractNumId w:val="4"/>
  </w:num>
  <w:num w:numId="14">
    <w:abstractNumId w:val="20"/>
  </w:num>
  <w:num w:numId="15">
    <w:abstractNumId w:val="19"/>
  </w:num>
  <w:num w:numId="16">
    <w:abstractNumId w:val="10"/>
  </w:num>
  <w:num w:numId="17">
    <w:abstractNumId w:val="5"/>
  </w:num>
  <w:num w:numId="18">
    <w:abstractNumId w:val="13"/>
  </w:num>
  <w:num w:numId="19">
    <w:abstractNumId w:val="12"/>
  </w:num>
  <w:num w:numId="20">
    <w:abstractNumId w:val="14"/>
  </w:num>
  <w:num w:numId="21">
    <w:abstractNumId w:val="2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012D5"/>
    <w:rsid w:val="000061C4"/>
    <w:rsid w:val="00011FEE"/>
    <w:rsid w:val="00015FB5"/>
    <w:rsid w:val="00016C77"/>
    <w:rsid w:val="00027E8F"/>
    <w:rsid w:val="0003161D"/>
    <w:rsid w:val="000362BD"/>
    <w:rsid w:val="00043D0E"/>
    <w:rsid w:val="00045648"/>
    <w:rsid w:val="000548DE"/>
    <w:rsid w:val="00063E11"/>
    <w:rsid w:val="000643E3"/>
    <w:rsid w:val="000712B4"/>
    <w:rsid w:val="000722FE"/>
    <w:rsid w:val="0008164F"/>
    <w:rsid w:val="00084BF8"/>
    <w:rsid w:val="00087B5B"/>
    <w:rsid w:val="00096C8E"/>
    <w:rsid w:val="000A3364"/>
    <w:rsid w:val="000A442A"/>
    <w:rsid w:val="000A48DC"/>
    <w:rsid w:val="000B28B2"/>
    <w:rsid w:val="000D1CFD"/>
    <w:rsid w:val="000E3C91"/>
    <w:rsid w:val="000E55DA"/>
    <w:rsid w:val="000E6C4E"/>
    <w:rsid w:val="000E7BF6"/>
    <w:rsid w:val="000F362E"/>
    <w:rsid w:val="001003E5"/>
    <w:rsid w:val="0010672B"/>
    <w:rsid w:val="00107E26"/>
    <w:rsid w:val="00111672"/>
    <w:rsid w:val="00113D59"/>
    <w:rsid w:val="00114272"/>
    <w:rsid w:val="001213D3"/>
    <w:rsid w:val="00122C0E"/>
    <w:rsid w:val="00131E5A"/>
    <w:rsid w:val="001353BD"/>
    <w:rsid w:val="00142432"/>
    <w:rsid w:val="00147447"/>
    <w:rsid w:val="00150C54"/>
    <w:rsid w:val="00152AF8"/>
    <w:rsid w:val="00153271"/>
    <w:rsid w:val="00163201"/>
    <w:rsid w:val="0016497A"/>
    <w:rsid w:val="001756A8"/>
    <w:rsid w:val="00175A39"/>
    <w:rsid w:val="00181585"/>
    <w:rsid w:val="00181D3E"/>
    <w:rsid w:val="00184079"/>
    <w:rsid w:val="00185CB4"/>
    <w:rsid w:val="001948CD"/>
    <w:rsid w:val="00196A4A"/>
    <w:rsid w:val="00197A63"/>
    <w:rsid w:val="001A1FC6"/>
    <w:rsid w:val="001A758E"/>
    <w:rsid w:val="001B26B8"/>
    <w:rsid w:val="001B42DB"/>
    <w:rsid w:val="001D0641"/>
    <w:rsid w:val="001D069B"/>
    <w:rsid w:val="001D09B1"/>
    <w:rsid w:val="001D197A"/>
    <w:rsid w:val="001D1C35"/>
    <w:rsid w:val="001D6DCB"/>
    <w:rsid w:val="001E1FA0"/>
    <w:rsid w:val="001E66B6"/>
    <w:rsid w:val="001F2628"/>
    <w:rsid w:val="001F322B"/>
    <w:rsid w:val="0020026D"/>
    <w:rsid w:val="00200AD7"/>
    <w:rsid w:val="00203975"/>
    <w:rsid w:val="0020641C"/>
    <w:rsid w:val="0021213D"/>
    <w:rsid w:val="00215C25"/>
    <w:rsid w:val="00220D31"/>
    <w:rsid w:val="00220D55"/>
    <w:rsid w:val="00222B4F"/>
    <w:rsid w:val="00227CC6"/>
    <w:rsid w:val="00234061"/>
    <w:rsid w:val="00235691"/>
    <w:rsid w:val="00252D20"/>
    <w:rsid w:val="00253B99"/>
    <w:rsid w:val="00260F63"/>
    <w:rsid w:val="00262B47"/>
    <w:rsid w:val="00270765"/>
    <w:rsid w:val="0027114C"/>
    <w:rsid w:val="002743A6"/>
    <w:rsid w:val="0028799E"/>
    <w:rsid w:val="00292AD5"/>
    <w:rsid w:val="00294A0D"/>
    <w:rsid w:val="002A0D2E"/>
    <w:rsid w:val="002A1FBE"/>
    <w:rsid w:val="002A3350"/>
    <w:rsid w:val="002A3FD2"/>
    <w:rsid w:val="002A4CA6"/>
    <w:rsid w:val="002B324D"/>
    <w:rsid w:val="002C17E7"/>
    <w:rsid w:val="002C4DFD"/>
    <w:rsid w:val="002C7F64"/>
    <w:rsid w:val="002D0890"/>
    <w:rsid w:val="002D129A"/>
    <w:rsid w:val="002D72F2"/>
    <w:rsid w:val="002E16EF"/>
    <w:rsid w:val="002E20A2"/>
    <w:rsid w:val="002F77FB"/>
    <w:rsid w:val="003102AA"/>
    <w:rsid w:val="0031362E"/>
    <w:rsid w:val="0031732B"/>
    <w:rsid w:val="00323F99"/>
    <w:rsid w:val="003248D0"/>
    <w:rsid w:val="00325F87"/>
    <w:rsid w:val="00335313"/>
    <w:rsid w:val="0033679F"/>
    <w:rsid w:val="00337ECD"/>
    <w:rsid w:val="00344B11"/>
    <w:rsid w:val="00355EAF"/>
    <w:rsid w:val="00360C3A"/>
    <w:rsid w:val="00362735"/>
    <w:rsid w:val="003627C8"/>
    <w:rsid w:val="003767AA"/>
    <w:rsid w:val="003767DA"/>
    <w:rsid w:val="003844CF"/>
    <w:rsid w:val="00386C4B"/>
    <w:rsid w:val="00386D86"/>
    <w:rsid w:val="00387465"/>
    <w:rsid w:val="00390B81"/>
    <w:rsid w:val="003918B4"/>
    <w:rsid w:val="003927DF"/>
    <w:rsid w:val="003940DC"/>
    <w:rsid w:val="003A6CA3"/>
    <w:rsid w:val="003B03F9"/>
    <w:rsid w:val="003B0A7A"/>
    <w:rsid w:val="003B299C"/>
    <w:rsid w:val="003B38DD"/>
    <w:rsid w:val="003B68E7"/>
    <w:rsid w:val="003C2CA5"/>
    <w:rsid w:val="003C7CBF"/>
    <w:rsid w:val="003D1A0C"/>
    <w:rsid w:val="003D5E9C"/>
    <w:rsid w:val="003E257D"/>
    <w:rsid w:val="003E5F5B"/>
    <w:rsid w:val="003F3168"/>
    <w:rsid w:val="003F4D04"/>
    <w:rsid w:val="003F573D"/>
    <w:rsid w:val="00405CF9"/>
    <w:rsid w:val="00423962"/>
    <w:rsid w:val="00424ED4"/>
    <w:rsid w:val="00425E80"/>
    <w:rsid w:val="0043142D"/>
    <w:rsid w:val="00432C17"/>
    <w:rsid w:val="00436365"/>
    <w:rsid w:val="00441D67"/>
    <w:rsid w:val="00442975"/>
    <w:rsid w:val="00443F76"/>
    <w:rsid w:val="004468DD"/>
    <w:rsid w:val="004502D6"/>
    <w:rsid w:val="004522CE"/>
    <w:rsid w:val="00454007"/>
    <w:rsid w:val="00454BBE"/>
    <w:rsid w:val="004566C6"/>
    <w:rsid w:val="00456FF9"/>
    <w:rsid w:val="00465B2D"/>
    <w:rsid w:val="00467E98"/>
    <w:rsid w:val="00473379"/>
    <w:rsid w:val="00474257"/>
    <w:rsid w:val="00475EF8"/>
    <w:rsid w:val="00476395"/>
    <w:rsid w:val="00483058"/>
    <w:rsid w:val="004833FA"/>
    <w:rsid w:val="004847B2"/>
    <w:rsid w:val="00484BCD"/>
    <w:rsid w:val="00487D6E"/>
    <w:rsid w:val="00493093"/>
    <w:rsid w:val="004A04A0"/>
    <w:rsid w:val="004A0A30"/>
    <w:rsid w:val="004A2DC7"/>
    <w:rsid w:val="004B13E8"/>
    <w:rsid w:val="004B5A02"/>
    <w:rsid w:val="004C7294"/>
    <w:rsid w:val="004D0857"/>
    <w:rsid w:val="004D2D4E"/>
    <w:rsid w:val="004D3177"/>
    <w:rsid w:val="004D4A22"/>
    <w:rsid w:val="004D4CCB"/>
    <w:rsid w:val="004D528A"/>
    <w:rsid w:val="004E6C57"/>
    <w:rsid w:val="004E7B1A"/>
    <w:rsid w:val="005111D2"/>
    <w:rsid w:val="0052333E"/>
    <w:rsid w:val="0052692B"/>
    <w:rsid w:val="00534726"/>
    <w:rsid w:val="00534EB0"/>
    <w:rsid w:val="00535665"/>
    <w:rsid w:val="005373DE"/>
    <w:rsid w:val="005556AE"/>
    <w:rsid w:val="005742B3"/>
    <w:rsid w:val="00584BB1"/>
    <w:rsid w:val="00597229"/>
    <w:rsid w:val="005A5A92"/>
    <w:rsid w:val="005A7F50"/>
    <w:rsid w:val="005B2ACF"/>
    <w:rsid w:val="005B4F1B"/>
    <w:rsid w:val="005B6A37"/>
    <w:rsid w:val="005C3919"/>
    <w:rsid w:val="005C4FE2"/>
    <w:rsid w:val="005C580D"/>
    <w:rsid w:val="005C6140"/>
    <w:rsid w:val="005D001F"/>
    <w:rsid w:val="005D2BBC"/>
    <w:rsid w:val="005E3B79"/>
    <w:rsid w:val="005E4F41"/>
    <w:rsid w:val="005E52BE"/>
    <w:rsid w:val="005E6549"/>
    <w:rsid w:val="005F5AC7"/>
    <w:rsid w:val="006026DA"/>
    <w:rsid w:val="00604DA2"/>
    <w:rsid w:val="0060557D"/>
    <w:rsid w:val="00614F8C"/>
    <w:rsid w:val="006172CD"/>
    <w:rsid w:val="00621F8D"/>
    <w:rsid w:val="00623AA6"/>
    <w:rsid w:val="00631FDE"/>
    <w:rsid w:val="00635952"/>
    <w:rsid w:val="00641F60"/>
    <w:rsid w:val="00643782"/>
    <w:rsid w:val="00647812"/>
    <w:rsid w:val="00650047"/>
    <w:rsid w:val="00651B6C"/>
    <w:rsid w:val="00663509"/>
    <w:rsid w:val="00667CF1"/>
    <w:rsid w:val="00682FAE"/>
    <w:rsid w:val="00685368"/>
    <w:rsid w:val="006946AB"/>
    <w:rsid w:val="006A3AF2"/>
    <w:rsid w:val="006A584D"/>
    <w:rsid w:val="006B1E9A"/>
    <w:rsid w:val="006C0B96"/>
    <w:rsid w:val="006C12A3"/>
    <w:rsid w:val="006C4626"/>
    <w:rsid w:val="006D24AA"/>
    <w:rsid w:val="006D360E"/>
    <w:rsid w:val="006D6A5D"/>
    <w:rsid w:val="006D7353"/>
    <w:rsid w:val="006E1E10"/>
    <w:rsid w:val="006E2A21"/>
    <w:rsid w:val="006F087C"/>
    <w:rsid w:val="006F24FB"/>
    <w:rsid w:val="006F2918"/>
    <w:rsid w:val="006F4FF9"/>
    <w:rsid w:val="00700650"/>
    <w:rsid w:val="00702396"/>
    <w:rsid w:val="007028EB"/>
    <w:rsid w:val="00707666"/>
    <w:rsid w:val="007101D4"/>
    <w:rsid w:val="007105DC"/>
    <w:rsid w:val="00714597"/>
    <w:rsid w:val="0071650B"/>
    <w:rsid w:val="00716824"/>
    <w:rsid w:val="00723A9E"/>
    <w:rsid w:val="007240E7"/>
    <w:rsid w:val="00726491"/>
    <w:rsid w:val="00737C80"/>
    <w:rsid w:val="007600F4"/>
    <w:rsid w:val="00777B46"/>
    <w:rsid w:val="007A014E"/>
    <w:rsid w:val="007A5704"/>
    <w:rsid w:val="007A76F4"/>
    <w:rsid w:val="007B0FDD"/>
    <w:rsid w:val="007B22F4"/>
    <w:rsid w:val="007C458F"/>
    <w:rsid w:val="007D0FCB"/>
    <w:rsid w:val="007D67B8"/>
    <w:rsid w:val="007D6E75"/>
    <w:rsid w:val="007D770B"/>
    <w:rsid w:val="007E5C16"/>
    <w:rsid w:val="007E72EC"/>
    <w:rsid w:val="007E73ED"/>
    <w:rsid w:val="007F1711"/>
    <w:rsid w:val="007F3C76"/>
    <w:rsid w:val="007F7EC5"/>
    <w:rsid w:val="00802400"/>
    <w:rsid w:val="00802598"/>
    <w:rsid w:val="00803247"/>
    <w:rsid w:val="008111D2"/>
    <w:rsid w:val="00814400"/>
    <w:rsid w:val="008177DE"/>
    <w:rsid w:val="00836E8F"/>
    <w:rsid w:val="008379E3"/>
    <w:rsid w:val="0084192B"/>
    <w:rsid w:val="00846B8F"/>
    <w:rsid w:val="00850D75"/>
    <w:rsid w:val="00856AFD"/>
    <w:rsid w:val="008606C2"/>
    <w:rsid w:val="00867343"/>
    <w:rsid w:val="008721C1"/>
    <w:rsid w:val="00873459"/>
    <w:rsid w:val="00875352"/>
    <w:rsid w:val="0088476C"/>
    <w:rsid w:val="0088756F"/>
    <w:rsid w:val="008910E3"/>
    <w:rsid w:val="008A27CB"/>
    <w:rsid w:val="008B3BE6"/>
    <w:rsid w:val="008B73D2"/>
    <w:rsid w:val="008C11BC"/>
    <w:rsid w:val="008D2A22"/>
    <w:rsid w:val="008D52D1"/>
    <w:rsid w:val="008D656A"/>
    <w:rsid w:val="008D6F33"/>
    <w:rsid w:val="008E4617"/>
    <w:rsid w:val="008E6143"/>
    <w:rsid w:val="008F08FD"/>
    <w:rsid w:val="008F2AED"/>
    <w:rsid w:val="008F6D39"/>
    <w:rsid w:val="009004E1"/>
    <w:rsid w:val="00904ABB"/>
    <w:rsid w:val="009073C6"/>
    <w:rsid w:val="009160CB"/>
    <w:rsid w:val="00917FD0"/>
    <w:rsid w:val="00921262"/>
    <w:rsid w:val="009217D6"/>
    <w:rsid w:val="00927BE3"/>
    <w:rsid w:val="0093224D"/>
    <w:rsid w:val="009414AD"/>
    <w:rsid w:val="0095297C"/>
    <w:rsid w:val="00954934"/>
    <w:rsid w:val="00963F03"/>
    <w:rsid w:val="00970D1A"/>
    <w:rsid w:val="0098626A"/>
    <w:rsid w:val="009903AB"/>
    <w:rsid w:val="00993A91"/>
    <w:rsid w:val="00994F98"/>
    <w:rsid w:val="009968BB"/>
    <w:rsid w:val="009A0C35"/>
    <w:rsid w:val="009B19E8"/>
    <w:rsid w:val="009B32D5"/>
    <w:rsid w:val="009B6B42"/>
    <w:rsid w:val="009C2F36"/>
    <w:rsid w:val="009E1BC7"/>
    <w:rsid w:val="009E3FAC"/>
    <w:rsid w:val="009E422B"/>
    <w:rsid w:val="009F0256"/>
    <w:rsid w:val="00A04F7E"/>
    <w:rsid w:val="00A07819"/>
    <w:rsid w:val="00A138F7"/>
    <w:rsid w:val="00A2154C"/>
    <w:rsid w:val="00A278B1"/>
    <w:rsid w:val="00A34954"/>
    <w:rsid w:val="00A3663B"/>
    <w:rsid w:val="00A445B8"/>
    <w:rsid w:val="00A46E37"/>
    <w:rsid w:val="00A47FFB"/>
    <w:rsid w:val="00A52562"/>
    <w:rsid w:val="00A548CA"/>
    <w:rsid w:val="00A551BC"/>
    <w:rsid w:val="00A6078E"/>
    <w:rsid w:val="00A718B4"/>
    <w:rsid w:val="00A73BC8"/>
    <w:rsid w:val="00A742F4"/>
    <w:rsid w:val="00A82659"/>
    <w:rsid w:val="00A91007"/>
    <w:rsid w:val="00A93EA7"/>
    <w:rsid w:val="00A9704C"/>
    <w:rsid w:val="00AA37EC"/>
    <w:rsid w:val="00AA495B"/>
    <w:rsid w:val="00AB01BC"/>
    <w:rsid w:val="00AB0285"/>
    <w:rsid w:val="00AE1BD8"/>
    <w:rsid w:val="00AE235B"/>
    <w:rsid w:val="00AE24CA"/>
    <w:rsid w:val="00AE4F4B"/>
    <w:rsid w:val="00AF06E5"/>
    <w:rsid w:val="00B00BC6"/>
    <w:rsid w:val="00B151B4"/>
    <w:rsid w:val="00B32E2A"/>
    <w:rsid w:val="00B378DB"/>
    <w:rsid w:val="00B42174"/>
    <w:rsid w:val="00B43BBD"/>
    <w:rsid w:val="00B46E67"/>
    <w:rsid w:val="00B532F3"/>
    <w:rsid w:val="00B53477"/>
    <w:rsid w:val="00B54634"/>
    <w:rsid w:val="00B5668C"/>
    <w:rsid w:val="00B57C7E"/>
    <w:rsid w:val="00B666BC"/>
    <w:rsid w:val="00B80CBA"/>
    <w:rsid w:val="00B82377"/>
    <w:rsid w:val="00B85A7B"/>
    <w:rsid w:val="00B8682E"/>
    <w:rsid w:val="00B87957"/>
    <w:rsid w:val="00B91242"/>
    <w:rsid w:val="00B95670"/>
    <w:rsid w:val="00BA14B9"/>
    <w:rsid w:val="00BA610D"/>
    <w:rsid w:val="00BB109D"/>
    <w:rsid w:val="00BB19C1"/>
    <w:rsid w:val="00BB6559"/>
    <w:rsid w:val="00BC1A74"/>
    <w:rsid w:val="00BD02EB"/>
    <w:rsid w:val="00BD1E9D"/>
    <w:rsid w:val="00BD2C00"/>
    <w:rsid w:val="00BD32FA"/>
    <w:rsid w:val="00BE51D8"/>
    <w:rsid w:val="00BF1C57"/>
    <w:rsid w:val="00BF1D4B"/>
    <w:rsid w:val="00BF60BE"/>
    <w:rsid w:val="00C0488A"/>
    <w:rsid w:val="00C2142E"/>
    <w:rsid w:val="00C325E1"/>
    <w:rsid w:val="00C52E3D"/>
    <w:rsid w:val="00C63B57"/>
    <w:rsid w:val="00C65564"/>
    <w:rsid w:val="00C70CFF"/>
    <w:rsid w:val="00C7631F"/>
    <w:rsid w:val="00C77262"/>
    <w:rsid w:val="00C80713"/>
    <w:rsid w:val="00C84FD4"/>
    <w:rsid w:val="00C85C81"/>
    <w:rsid w:val="00C903C4"/>
    <w:rsid w:val="00C94C5E"/>
    <w:rsid w:val="00CA1801"/>
    <w:rsid w:val="00CA414B"/>
    <w:rsid w:val="00CA60B3"/>
    <w:rsid w:val="00CA6DAE"/>
    <w:rsid w:val="00CA7F1D"/>
    <w:rsid w:val="00CB241F"/>
    <w:rsid w:val="00CB646D"/>
    <w:rsid w:val="00CB7DDC"/>
    <w:rsid w:val="00CC0E51"/>
    <w:rsid w:val="00CD22D7"/>
    <w:rsid w:val="00CD7F74"/>
    <w:rsid w:val="00CE2A7F"/>
    <w:rsid w:val="00CE448B"/>
    <w:rsid w:val="00CE7C0B"/>
    <w:rsid w:val="00CF494F"/>
    <w:rsid w:val="00CF62F9"/>
    <w:rsid w:val="00CF6C1D"/>
    <w:rsid w:val="00D013CD"/>
    <w:rsid w:val="00D12ABB"/>
    <w:rsid w:val="00D15962"/>
    <w:rsid w:val="00D201ED"/>
    <w:rsid w:val="00D215B4"/>
    <w:rsid w:val="00D33316"/>
    <w:rsid w:val="00D4002B"/>
    <w:rsid w:val="00D42E31"/>
    <w:rsid w:val="00D46C38"/>
    <w:rsid w:val="00D4736A"/>
    <w:rsid w:val="00D54419"/>
    <w:rsid w:val="00D87E83"/>
    <w:rsid w:val="00D91161"/>
    <w:rsid w:val="00DA31AF"/>
    <w:rsid w:val="00DB4077"/>
    <w:rsid w:val="00DC39E2"/>
    <w:rsid w:val="00DC6D2A"/>
    <w:rsid w:val="00DD794C"/>
    <w:rsid w:val="00DE1DFF"/>
    <w:rsid w:val="00DE2D44"/>
    <w:rsid w:val="00DE6E47"/>
    <w:rsid w:val="00DF0890"/>
    <w:rsid w:val="00DF098E"/>
    <w:rsid w:val="00DF646A"/>
    <w:rsid w:val="00E017CE"/>
    <w:rsid w:val="00E0310E"/>
    <w:rsid w:val="00E134EC"/>
    <w:rsid w:val="00E1369E"/>
    <w:rsid w:val="00E166DB"/>
    <w:rsid w:val="00E23F27"/>
    <w:rsid w:val="00E34602"/>
    <w:rsid w:val="00E41741"/>
    <w:rsid w:val="00E46B2E"/>
    <w:rsid w:val="00E53B53"/>
    <w:rsid w:val="00E60D81"/>
    <w:rsid w:val="00E65ED9"/>
    <w:rsid w:val="00E80247"/>
    <w:rsid w:val="00E81F3B"/>
    <w:rsid w:val="00E831F7"/>
    <w:rsid w:val="00E83C3E"/>
    <w:rsid w:val="00E92E50"/>
    <w:rsid w:val="00E93F3F"/>
    <w:rsid w:val="00E97E5B"/>
    <w:rsid w:val="00EA4AB1"/>
    <w:rsid w:val="00EB1115"/>
    <w:rsid w:val="00EB7FBA"/>
    <w:rsid w:val="00EC24DC"/>
    <w:rsid w:val="00EC451C"/>
    <w:rsid w:val="00EC7578"/>
    <w:rsid w:val="00EE1AD1"/>
    <w:rsid w:val="00EE4256"/>
    <w:rsid w:val="00EE58CD"/>
    <w:rsid w:val="00EF3A74"/>
    <w:rsid w:val="00F009F1"/>
    <w:rsid w:val="00F01D40"/>
    <w:rsid w:val="00F02098"/>
    <w:rsid w:val="00F04F6D"/>
    <w:rsid w:val="00F07F04"/>
    <w:rsid w:val="00F130D0"/>
    <w:rsid w:val="00F26D0D"/>
    <w:rsid w:val="00F303E4"/>
    <w:rsid w:val="00F34393"/>
    <w:rsid w:val="00F36BDB"/>
    <w:rsid w:val="00F41076"/>
    <w:rsid w:val="00F451B7"/>
    <w:rsid w:val="00F54374"/>
    <w:rsid w:val="00F56BF9"/>
    <w:rsid w:val="00F63705"/>
    <w:rsid w:val="00F65437"/>
    <w:rsid w:val="00F74076"/>
    <w:rsid w:val="00F7439B"/>
    <w:rsid w:val="00F85CCE"/>
    <w:rsid w:val="00F87359"/>
    <w:rsid w:val="00F91233"/>
    <w:rsid w:val="00F9295B"/>
    <w:rsid w:val="00F92F05"/>
    <w:rsid w:val="00F9380F"/>
    <w:rsid w:val="00FA0A35"/>
    <w:rsid w:val="00FB0571"/>
    <w:rsid w:val="00FB0945"/>
    <w:rsid w:val="00FB3D21"/>
    <w:rsid w:val="00FC4AC5"/>
    <w:rsid w:val="00FC5417"/>
    <w:rsid w:val="00FC585C"/>
    <w:rsid w:val="00FE3C32"/>
    <w:rsid w:val="00FE4F27"/>
    <w:rsid w:val="00FE644A"/>
    <w:rsid w:val="00FF0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4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107E26"/>
    <w:pPr>
      <w:keepNext/>
      <w:keepLines/>
      <w:spacing w:after="0" w:line="240" w:lineRule="auto"/>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E26"/>
    <w:rPr>
      <w:rFonts w:ascii="Times New Roman" w:eastAsiaTheme="majorEastAsia" w:hAnsi="Times New Roman" w:cstheme="majorBidi"/>
      <w:b/>
      <w:bCs/>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unhideWhenUsed/>
    <w:rsid w:val="00F54374"/>
    <w:rPr>
      <w:vertAlign w:val="superscript"/>
    </w:rPr>
  </w:style>
  <w:style w:type="paragraph" w:styleId="FootnoteText">
    <w:name w:val="footnote text"/>
    <w:basedOn w:val="Normal"/>
    <w:link w:val="FootnoteTextChar"/>
    <w:uiPriority w:val="99"/>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F63705"/>
    <w:rPr>
      <w:sz w:val="16"/>
      <w:szCs w:val="16"/>
    </w:rPr>
  </w:style>
  <w:style w:type="paragraph" w:styleId="CommentText">
    <w:name w:val="annotation text"/>
    <w:basedOn w:val="Normal"/>
    <w:link w:val="CommentTextChar"/>
    <w:uiPriority w:val="99"/>
    <w:unhideWhenUsed/>
    <w:rsid w:val="00F63705"/>
    <w:pPr>
      <w:spacing w:line="240" w:lineRule="auto"/>
    </w:pPr>
    <w:rPr>
      <w:sz w:val="20"/>
      <w:szCs w:val="20"/>
    </w:rPr>
  </w:style>
  <w:style w:type="character" w:customStyle="1" w:styleId="CommentTextChar">
    <w:name w:val="Comment Text Char"/>
    <w:basedOn w:val="DefaultParagraphFont"/>
    <w:link w:val="CommentText"/>
    <w:uiPriority w:val="99"/>
    <w:rsid w:val="00F6370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63705"/>
    <w:rPr>
      <w:b/>
      <w:bCs/>
    </w:rPr>
  </w:style>
  <w:style w:type="character" w:customStyle="1" w:styleId="CommentSubjectChar">
    <w:name w:val="Comment Subject Char"/>
    <w:basedOn w:val="CommentTextChar"/>
    <w:link w:val="CommentSubject"/>
    <w:uiPriority w:val="99"/>
    <w:semiHidden/>
    <w:rsid w:val="00F63705"/>
    <w:rPr>
      <w:rFonts w:ascii="Times New Roman" w:hAnsi="Times New Roman"/>
      <w:b/>
      <w:bCs/>
      <w:sz w:val="20"/>
      <w:szCs w:val="20"/>
    </w:rPr>
  </w:style>
  <w:style w:type="paragraph" w:styleId="Revision">
    <w:name w:val="Revision"/>
    <w:hidden/>
    <w:uiPriority w:val="99"/>
    <w:semiHidden/>
    <w:rsid w:val="00B54634"/>
    <w:pPr>
      <w:spacing w:after="0" w:line="240" w:lineRule="auto"/>
    </w:pPr>
    <w:rPr>
      <w:rFonts w:ascii="Times New Roman" w:hAnsi="Times New Roman"/>
      <w:sz w:val="24"/>
    </w:rPr>
  </w:style>
  <w:style w:type="paragraph" w:customStyle="1" w:styleId="BodyA">
    <w:name w:val="Body A"/>
    <w:rsid w:val="004A2DC7"/>
    <w:pPr>
      <w:widowControl w:val="0"/>
      <w:pBdr>
        <w:top w:val="nil"/>
        <w:left w:val="nil"/>
        <w:bottom w:val="nil"/>
        <w:right w:val="nil"/>
        <w:between w:val="nil"/>
        <w:bar w:val="nil"/>
      </w:pBdr>
      <w:spacing w:after="0" w:line="240" w:lineRule="auto"/>
    </w:pPr>
    <w:rPr>
      <w:rFonts w:ascii="Courier" w:eastAsia="Arial Unicode MS" w:hAnsi="Arial Unicode MS" w:cs="Arial Unicode MS"/>
      <w:color w:val="000000"/>
      <w:sz w:val="24"/>
      <w:szCs w:val="24"/>
      <w:u w:color="000000"/>
      <w:bdr w:val="nil"/>
      <w:lang w:val="pt-PT"/>
    </w:rPr>
  </w:style>
  <w:style w:type="paragraph" w:styleId="BodyText">
    <w:name w:val="Body Text"/>
    <w:basedOn w:val="Normal"/>
    <w:link w:val="BodyTextChar"/>
    <w:uiPriority w:val="1"/>
    <w:qFormat/>
    <w:rsid w:val="001D09B1"/>
    <w:pPr>
      <w:widowControl w:val="0"/>
      <w:autoSpaceDE w:val="0"/>
      <w:autoSpaceDN w:val="0"/>
      <w:spacing w:after="0" w:line="240" w:lineRule="auto"/>
    </w:pPr>
    <w:rPr>
      <w:rFonts w:eastAsia="Times New Roman" w:cs="Times New Roman"/>
      <w:i/>
      <w:sz w:val="18"/>
      <w:szCs w:val="18"/>
    </w:rPr>
  </w:style>
  <w:style w:type="character" w:customStyle="1" w:styleId="BodyTextChar">
    <w:name w:val="Body Text Char"/>
    <w:basedOn w:val="DefaultParagraphFont"/>
    <w:link w:val="BodyText"/>
    <w:uiPriority w:val="1"/>
    <w:rsid w:val="001D09B1"/>
    <w:rPr>
      <w:rFonts w:ascii="Times New Roman" w:eastAsia="Times New Roman" w:hAnsi="Times New Roman" w:cs="Times New Roman"/>
      <w:i/>
      <w:sz w:val="18"/>
      <w:szCs w:val="18"/>
    </w:rPr>
  </w:style>
  <w:style w:type="paragraph" w:customStyle="1" w:styleId="TableParagraph">
    <w:name w:val="Table Paragraph"/>
    <w:basedOn w:val="Normal"/>
    <w:uiPriority w:val="1"/>
    <w:qFormat/>
    <w:rsid w:val="008F08FD"/>
    <w:pPr>
      <w:widowControl w:val="0"/>
      <w:autoSpaceDE w:val="0"/>
      <w:autoSpaceDN w:val="0"/>
      <w:spacing w:after="0" w:line="240" w:lineRule="auto"/>
      <w:ind w:left="78"/>
    </w:pPr>
    <w:rPr>
      <w:rFonts w:eastAsia="Times New Roman" w:cs="Times New Roman"/>
      <w:sz w:val="22"/>
    </w:rPr>
  </w:style>
  <w:style w:type="paragraph" w:customStyle="1" w:styleId="StyleInfoBlueArialLeftLeft0After12pt">
    <w:name w:val="Style InfoBlue + Arial Left Left:  0&quot; After:  12 pt"/>
    <w:basedOn w:val="Normal"/>
    <w:rsid w:val="002A1FBE"/>
    <w:pPr>
      <w:widowControl w:val="0"/>
      <w:spacing w:after="240" w:line="240" w:lineRule="atLeast"/>
    </w:pPr>
    <w:rPr>
      <w:rFonts w:ascii="Arial" w:eastAsia="Times New Roman" w:hAnsi="Arial" w:cs="Times New Roman"/>
      <w:i/>
      <w:iCs/>
      <w:color w:val="0000FF"/>
      <w:szCs w:val="20"/>
    </w:rPr>
  </w:style>
  <w:style w:type="paragraph" w:styleId="NormalWeb">
    <w:name w:val="Normal (Web)"/>
    <w:basedOn w:val="Normal"/>
    <w:uiPriority w:val="99"/>
    <w:unhideWhenUsed/>
    <w:rsid w:val="002A1FBE"/>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107E26"/>
    <w:pPr>
      <w:keepNext/>
      <w:keepLines/>
      <w:spacing w:after="0" w:line="240" w:lineRule="auto"/>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E26"/>
    <w:rPr>
      <w:rFonts w:ascii="Times New Roman" w:eastAsiaTheme="majorEastAsia" w:hAnsi="Times New Roman" w:cstheme="majorBidi"/>
      <w:b/>
      <w:bCs/>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unhideWhenUsed/>
    <w:rsid w:val="00F54374"/>
    <w:rPr>
      <w:vertAlign w:val="superscript"/>
    </w:rPr>
  </w:style>
  <w:style w:type="paragraph" w:styleId="FootnoteText">
    <w:name w:val="footnote text"/>
    <w:basedOn w:val="Normal"/>
    <w:link w:val="FootnoteTextChar"/>
    <w:uiPriority w:val="99"/>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F63705"/>
    <w:rPr>
      <w:sz w:val="16"/>
      <w:szCs w:val="16"/>
    </w:rPr>
  </w:style>
  <w:style w:type="paragraph" w:styleId="CommentText">
    <w:name w:val="annotation text"/>
    <w:basedOn w:val="Normal"/>
    <w:link w:val="CommentTextChar"/>
    <w:uiPriority w:val="99"/>
    <w:unhideWhenUsed/>
    <w:rsid w:val="00F63705"/>
    <w:pPr>
      <w:spacing w:line="240" w:lineRule="auto"/>
    </w:pPr>
    <w:rPr>
      <w:sz w:val="20"/>
      <w:szCs w:val="20"/>
    </w:rPr>
  </w:style>
  <w:style w:type="character" w:customStyle="1" w:styleId="CommentTextChar">
    <w:name w:val="Comment Text Char"/>
    <w:basedOn w:val="DefaultParagraphFont"/>
    <w:link w:val="CommentText"/>
    <w:uiPriority w:val="99"/>
    <w:rsid w:val="00F6370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63705"/>
    <w:rPr>
      <w:b/>
      <w:bCs/>
    </w:rPr>
  </w:style>
  <w:style w:type="character" w:customStyle="1" w:styleId="CommentSubjectChar">
    <w:name w:val="Comment Subject Char"/>
    <w:basedOn w:val="CommentTextChar"/>
    <w:link w:val="CommentSubject"/>
    <w:uiPriority w:val="99"/>
    <w:semiHidden/>
    <w:rsid w:val="00F63705"/>
    <w:rPr>
      <w:rFonts w:ascii="Times New Roman" w:hAnsi="Times New Roman"/>
      <w:b/>
      <w:bCs/>
      <w:sz w:val="20"/>
      <w:szCs w:val="20"/>
    </w:rPr>
  </w:style>
  <w:style w:type="paragraph" w:styleId="Revision">
    <w:name w:val="Revision"/>
    <w:hidden/>
    <w:uiPriority w:val="99"/>
    <w:semiHidden/>
    <w:rsid w:val="00B54634"/>
    <w:pPr>
      <w:spacing w:after="0" w:line="240" w:lineRule="auto"/>
    </w:pPr>
    <w:rPr>
      <w:rFonts w:ascii="Times New Roman" w:hAnsi="Times New Roman"/>
      <w:sz w:val="24"/>
    </w:rPr>
  </w:style>
  <w:style w:type="paragraph" w:customStyle="1" w:styleId="BodyA">
    <w:name w:val="Body A"/>
    <w:rsid w:val="004A2DC7"/>
    <w:pPr>
      <w:widowControl w:val="0"/>
      <w:pBdr>
        <w:top w:val="nil"/>
        <w:left w:val="nil"/>
        <w:bottom w:val="nil"/>
        <w:right w:val="nil"/>
        <w:between w:val="nil"/>
        <w:bar w:val="nil"/>
      </w:pBdr>
      <w:spacing w:after="0" w:line="240" w:lineRule="auto"/>
    </w:pPr>
    <w:rPr>
      <w:rFonts w:ascii="Courier" w:eastAsia="Arial Unicode MS" w:hAnsi="Arial Unicode MS" w:cs="Arial Unicode MS"/>
      <w:color w:val="000000"/>
      <w:sz w:val="24"/>
      <w:szCs w:val="24"/>
      <w:u w:color="000000"/>
      <w:bdr w:val="nil"/>
      <w:lang w:val="pt-PT"/>
    </w:rPr>
  </w:style>
  <w:style w:type="paragraph" w:styleId="BodyText">
    <w:name w:val="Body Text"/>
    <w:basedOn w:val="Normal"/>
    <w:link w:val="BodyTextChar"/>
    <w:uiPriority w:val="1"/>
    <w:qFormat/>
    <w:rsid w:val="001D09B1"/>
    <w:pPr>
      <w:widowControl w:val="0"/>
      <w:autoSpaceDE w:val="0"/>
      <w:autoSpaceDN w:val="0"/>
      <w:spacing w:after="0" w:line="240" w:lineRule="auto"/>
    </w:pPr>
    <w:rPr>
      <w:rFonts w:eastAsia="Times New Roman" w:cs="Times New Roman"/>
      <w:i/>
      <w:sz w:val="18"/>
      <w:szCs w:val="18"/>
    </w:rPr>
  </w:style>
  <w:style w:type="character" w:customStyle="1" w:styleId="BodyTextChar">
    <w:name w:val="Body Text Char"/>
    <w:basedOn w:val="DefaultParagraphFont"/>
    <w:link w:val="BodyText"/>
    <w:uiPriority w:val="1"/>
    <w:rsid w:val="001D09B1"/>
    <w:rPr>
      <w:rFonts w:ascii="Times New Roman" w:eastAsia="Times New Roman" w:hAnsi="Times New Roman" w:cs="Times New Roman"/>
      <w:i/>
      <w:sz w:val="18"/>
      <w:szCs w:val="18"/>
    </w:rPr>
  </w:style>
  <w:style w:type="paragraph" w:customStyle="1" w:styleId="TableParagraph">
    <w:name w:val="Table Paragraph"/>
    <w:basedOn w:val="Normal"/>
    <w:uiPriority w:val="1"/>
    <w:qFormat/>
    <w:rsid w:val="008F08FD"/>
    <w:pPr>
      <w:widowControl w:val="0"/>
      <w:autoSpaceDE w:val="0"/>
      <w:autoSpaceDN w:val="0"/>
      <w:spacing w:after="0" w:line="240" w:lineRule="auto"/>
      <w:ind w:left="78"/>
    </w:pPr>
    <w:rPr>
      <w:rFonts w:eastAsia="Times New Roman" w:cs="Times New Roman"/>
      <w:sz w:val="22"/>
    </w:rPr>
  </w:style>
  <w:style w:type="paragraph" w:customStyle="1" w:styleId="StyleInfoBlueArialLeftLeft0After12pt">
    <w:name w:val="Style InfoBlue + Arial Left Left:  0&quot; After:  12 pt"/>
    <w:basedOn w:val="Normal"/>
    <w:rsid w:val="002A1FBE"/>
    <w:pPr>
      <w:widowControl w:val="0"/>
      <w:spacing w:after="240" w:line="240" w:lineRule="atLeast"/>
    </w:pPr>
    <w:rPr>
      <w:rFonts w:ascii="Arial" w:eastAsia="Times New Roman" w:hAnsi="Arial" w:cs="Times New Roman"/>
      <w:i/>
      <w:iCs/>
      <w:color w:val="0000FF"/>
      <w:szCs w:val="20"/>
    </w:rPr>
  </w:style>
  <w:style w:type="paragraph" w:styleId="NormalWeb">
    <w:name w:val="Normal (Web)"/>
    <w:basedOn w:val="Normal"/>
    <w:uiPriority w:val="99"/>
    <w:unhideWhenUsed/>
    <w:rsid w:val="002A1FB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883326624">
      <w:bodyDiv w:val="1"/>
      <w:marLeft w:val="0"/>
      <w:marRight w:val="0"/>
      <w:marTop w:val="0"/>
      <w:marBottom w:val="0"/>
      <w:divBdr>
        <w:top w:val="none" w:sz="0" w:space="0" w:color="auto"/>
        <w:left w:val="none" w:sz="0" w:space="0" w:color="auto"/>
        <w:bottom w:val="none" w:sz="0" w:space="0" w:color="auto"/>
        <w:right w:val="none" w:sz="0" w:space="0" w:color="auto"/>
      </w:divBdr>
    </w:div>
    <w:div w:id="1782526782">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vpcorp-1115pmda.adobeconnect.com/subnw/" TargetMode="External"/><Relationship Id="rId5" Type="http://schemas.openxmlformats.org/officeDocument/2006/relationships/settings" Target="settings.xml"/><Relationship Id="rId10" Type="http://schemas.openxmlformats.org/officeDocument/2006/relationships/hyperlink" Target="https://cvpcorp-1115pmda.adobeconnect.com/bnwoverview/" TargetMode="External"/><Relationship Id="rId4" Type="http://schemas.microsoft.com/office/2007/relationships/stylesWithEffects" Target="stylesWithEffect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DD8BA-23F9-41DE-B1C6-6776FADB7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2536</Words>
  <Characters>14457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SYSTEM</cp:lastModifiedBy>
  <cp:revision>2</cp:revision>
  <cp:lastPrinted>2018-05-03T12:13:00Z</cp:lastPrinted>
  <dcterms:created xsi:type="dcterms:W3CDTF">2018-05-03T17:04:00Z</dcterms:created>
  <dcterms:modified xsi:type="dcterms:W3CDTF">2018-05-03T17:04:00Z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2077230452</vt:i4>
  </property>
  <property fmtid="{D5CDD505-2E9C-101B-9397-08002B2CF9AE}" pid="4" name="_EmailSubject">
    <vt:lpwstr>RESENDING FINAL Draft PRA package -  1115 PMDA budget neutrality workbook</vt:lpwstr>
  </property>
  <property fmtid="{D5CDD505-2E9C-101B-9397-08002B2CF9AE}" pid="5" name="_AuthorEmail">
    <vt:lpwstr>Emerson.Carvalho@cms.hhs.gov</vt:lpwstr>
  </property>
  <property fmtid="{D5CDD505-2E9C-101B-9397-08002B2CF9AE}" pid="6" name="_AuthorEmailDisplayName">
    <vt:lpwstr>Carvalho, Emerson V. (CMS/CMCS)</vt:lpwstr>
  </property>
  <property fmtid="{D5CDD505-2E9C-101B-9397-08002B2CF9AE}" pid="7" name="_PreviousAdHocReviewCycleID">
    <vt:i4>1226456244</vt:i4>
  </property>
  <property fmtid="{D5CDD505-2E9C-101B-9397-08002B2CF9AE}" pid="8" name="_ReviewingToolsShownOnce">
    <vt:lpwstr/>
  </property>
</Properties>
</file>