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06" w:rsidRDefault="00DF3C40" w:rsidP="00A42F06">
      <w:pPr>
        <w:jc w:val="center"/>
        <w:rPr>
          <w:b/>
          <w:sz w:val="28"/>
          <w:szCs w:val="28"/>
        </w:rPr>
      </w:pPr>
      <w:bookmarkStart w:id="0" w:name="_GoBack"/>
      <w:bookmarkEnd w:id="0"/>
      <w:r>
        <w:rPr>
          <w:b/>
          <w:sz w:val="28"/>
          <w:szCs w:val="28"/>
        </w:rPr>
        <w:t>State Plan Under Title XIX of the Social Security Act</w:t>
      </w:r>
    </w:p>
    <w:p w:rsidR="00DF3C40" w:rsidRPr="00DE6848" w:rsidRDefault="00DF3C40" w:rsidP="00A42F06">
      <w:pPr>
        <w:jc w:val="center"/>
        <w:rPr>
          <w:b/>
          <w:sz w:val="28"/>
          <w:szCs w:val="28"/>
        </w:rPr>
      </w:pPr>
      <w:r>
        <w:rPr>
          <w:b/>
          <w:sz w:val="28"/>
          <w:szCs w:val="28"/>
        </w:rPr>
        <w:t>State:  ----</w:t>
      </w:r>
    </w:p>
    <w:p w:rsidR="007045B4" w:rsidRDefault="00980066" w:rsidP="00A42F06">
      <w:pPr>
        <w:jc w:val="center"/>
        <w:rPr>
          <w:b/>
          <w:sz w:val="28"/>
          <w:szCs w:val="28"/>
        </w:rPr>
      </w:pPr>
      <w:r>
        <w:rPr>
          <w:b/>
          <w:sz w:val="28"/>
          <w:szCs w:val="28"/>
        </w:rPr>
        <w:t>THRESHOLD METHODOLOGY FOR IDENTIFICATION OF APPLICABLE FMAP RATES</w:t>
      </w:r>
    </w:p>
    <w:p w:rsidR="00980066" w:rsidRDefault="00980066" w:rsidP="007E67B8">
      <w:pPr>
        <w:rPr>
          <w:b/>
          <w:sz w:val="28"/>
          <w:szCs w:val="28"/>
        </w:rPr>
      </w:pPr>
      <w:r w:rsidRPr="00F34E8A">
        <w:t>The State will implement the threshold methodology to determine</w:t>
      </w:r>
      <w:r>
        <w:t xml:space="preserve"> the appropriate FMAP rate for expenditures for</w:t>
      </w:r>
      <w:r w:rsidRPr="00F34E8A">
        <w:t xml:space="preserve"> individuals </w:t>
      </w:r>
      <w:r>
        <w:t>enrolled in the adult group described in 42 CFR 435.119 and receiving benefits in accordance with 42 CFR Part 440</w:t>
      </w:r>
      <w:r w:rsidR="00E13144">
        <w:t xml:space="preserve"> Subpart C</w:t>
      </w:r>
      <w:r>
        <w:t xml:space="preserve">.  The threshold methodology </w:t>
      </w:r>
      <w:r w:rsidR="00010F99">
        <w:t xml:space="preserve">consists </w:t>
      </w:r>
      <w:r>
        <w:t>of two parts</w:t>
      </w:r>
      <w:r w:rsidR="00010F99">
        <w:t>:</w:t>
      </w:r>
      <w:r>
        <w:t xml:space="preserve"> an individual-based</w:t>
      </w:r>
      <w:r w:rsidR="00010F99">
        <w:t xml:space="preserve"> determination related to</w:t>
      </w:r>
      <w:r>
        <w:t xml:space="preserve"> enrolled individuals, and </w:t>
      </w:r>
      <w:r w:rsidR="00010F99">
        <w:t xml:space="preserve">as applicable, </w:t>
      </w:r>
      <w:r>
        <w:t>appropriate population-based adjustments.</w:t>
      </w:r>
    </w:p>
    <w:p w:rsidR="0055730A" w:rsidRPr="00DE6848" w:rsidRDefault="00A42F06" w:rsidP="007E67B8">
      <w:pPr>
        <w:jc w:val="center"/>
        <w:rPr>
          <w:b/>
        </w:rPr>
      </w:pPr>
      <w:r w:rsidRPr="00DE6848">
        <w:rPr>
          <w:b/>
          <w:sz w:val="28"/>
          <w:szCs w:val="28"/>
        </w:rPr>
        <w:t>Part 1 –</w:t>
      </w:r>
      <w:r w:rsidR="00980066" w:rsidRPr="007303E6">
        <w:rPr>
          <w:b/>
          <w:sz w:val="28"/>
          <w:szCs w:val="28"/>
        </w:rPr>
        <w:t xml:space="preserve"> </w:t>
      </w:r>
      <w:r w:rsidR="00010B6A" w:rsidRPr="007303E6">
        <w:rPr>
          <w:b/>
          <w:sz w:val="28"/>
          <w:szCs w:val="28"/>
        </w:rPr>
        <w:t>Adult Group</w:t>
      </w:r>
      <w:r w:rsidR="00010B6A" w:rsidRPr="00DE6848">
        <w:rPr>
          <w:b/>
        </w:rPr>
        <w:t xml:space="preserve"> </w:t>
      </w:r>
      <w:r w:rsidR="00980066" w:rsidRPr="007303E6">
        <w:rPr>
          <w:b/>
          <w:sz w:val="28"/>
          <w:szCs w:val="28"/>
        </w:rPr>
        <w:t xml:space="preserve">Individual Income-Based Determinations </w:t>
      </w:r>
    </w:p>
    <w:p w:rsidR="007045B4" w:rsidRDefault="00D206A1" w:rsidP="007303E6">
      <w:pPr>
        <w:pStyle w:val="ListParagraph"/>
        <w:ind w:left="0"/>
      </w:pPr>
      <w:r>
        <w:t>For individuals eligible in the adult group, t</w:t>
      </w:r>
      <w:r w:rsidR="00AF6036">
        <w:t xml:space="preserve">he state will make an individual income-based determination  for purposes of the threshold methodology </w:t>
      </w:r>
      <w:r w:rsidR="00543BA8" w:rsidRPr="00F34E8A">
        <w:t xml:space="preserve">by </w:t>
      </w:r>
      <w:r w:rsidR="00AF6036">
        <w:t>comparing individual income to</w:t>
      </w:r>
      <w:r w:rsidR="00543BA8" w:rsidRPr="00F34E8A">
        <w:t xml:space="preserve"> the relevant </w:t>
      </w:r>
      <w:r w:rsidR="007045B4">
        <w:t xml:space="preserve">converted </w:t>
      </w:r>
      <w:r w:rsidR="00543BA8" w:rsidRPr="00F34E8A">
        <w:t>income eligibility standards in effect on December 1, 2009</w:t>
      </w:r>
      <w:r w:rsidR="007045B4">
        <w:t>, and included in the MAGI Conversion Plan</w:t>
      </w:r>
      <w:r w:rsidR="00F71F8C">
        <w:t xml:space="preserve"> (Part 2)</w:t>
      </w:r>
      <w:r w:rsidR="007045B4">
        <w:t xml:space="preserve"> </w:t>
      </w:r>
      <w:r w:rsidR="00543BA8" w:rsidRPr="00F34E8A">
        <w:t xml:space="preserve">approved by CMS on </w:t>
      </w:r>
      <w:r w:rsidR="007045B4">
        <w:t>________________________ (insert date).</w:t>
      </w:r>
      <w:r w:rsidR="00AF6036">
        <w:t xml:space="preserve">  </w:t>
      </w:r>
      <w:r w:rsidR="004E7235">
        <w:t>Under the threshold methodology, the expenditures of i</w:t>
      </w:r>
      <w:r w:rsidR="00AF6036">
        <w:t xml:space="preserve">ndividuals with incomes </w:t>
      </w:r>
      <w:r>
        <w:t>below</w:t>
      </w:r>
      <w:r w:rsidR="00AF6036">
        <w:t xml:space="preserve"> the relevant converted income standards for the applicable subgroup will be</w:t>
      </w:r>
      <w:r>
        <w:t xml:space="preserve"> provisionally</w:t>
      </w:r>
      <w:r w:rsidR="004E7235">
        <w:t xml:space="preserve"> considered as those for which the newly eligible FMAP is not available</w:t>
      </w:r>
      <w:r w:rsidR="00AF6036">
        <w:t>.</w:t>
      </w:r>
      <w:r w:rsidR="00BF2350">
        <w:t xml:space="preserve">  The relevant MAGI-converted standards </w:t>
      </w:r>
      <w:r w:rsidR="00620C2B">
        <w:t xml:space="preserve">for each population group in the new adult group </w:t>
      </w:r>
      <w:r w:rsidR="00BF2350">
        <w:t>are described in Table 1.</w:t>
      </w:r>
    </w:p>
    <w:p w:rsidR="005F5B8D" w:rsidRDefault="007045B4" w:rsidP="005F5B8D">
      <w:pPr>
        <w:pStyle w:val="ListParagraph"/>
      </w:pPr>
      <w:r>
        <w:t xml:space="preserve"> </w:t>
      </w:r>
    </w:p>
    <w:p w:rsidR="00506F69" w:rsidRDefault="00D733B9" w:rsidP="00263E44">
      <w:pPr>
        <w:pStyle w:val="ListParagraph"/>
        <w:tabs>
          <w:tab w:val="left" w:pos="4128"/>
        </w:tabs>
        <w:rPr>
          <w:b/>
        </w:rPr>
      </w:pPr>
      <w:r>
        <w:rPr>
          <w:b/>
        </w:rPr>
        <w:tab/>
      </w:r>
    </w:p>
    <w:p w:rsidR="001E3885" w:rsidRDefault="001E3885" w:rsidP="007E67B8">
      <w:pPr>
        <w:pStyle w:val="ListParagraph"/>
        <w:rPr>
          <w:b/>
          <w:sz w:val="28"/>
          <w:szCs w:val="28"/>
        </w:rPr>
      </w:pPr>
    </w:p>
    <w:p w:rsidR="001E3885" w:rsidRDefault="001E3885">
      <w:pPr>
        <w:rPr>
          <w:b/>
          <w:sz w:val="28"/>
          <w:szCs w:val="28"/>
        </w:rPr>
        <w:sectPr w:rsidR="001E3885" w:rsidSect="00030224">
          <w:headerReference w:type="default" r:id="rId9"/>
          <w:footerReference w:type="default" r:id="rId10"/>
          <w:pgSz w:w="12240" w:h="15840" w:code="1"/>
          <w:pgMar w:top="1440" w:right="1080" w:bottom="1440" w:left="1440" w:header="720" w:footer="720" w:gutter="0"/>
          <w:cols w:space="720"/>
          <w:docGrid w:linePitch="360"/>
        </w:sectPr>
      </w:pPr>
    </w:p>
    <w:p w:rsidR="001E3885" w:rsidRDefault="000D39E6">
      <w:pPr>
        <w:rPr>
          <w:b/>
          <w:sz w:val="28"/>
          <w:szCs w:val="28"/>
        </w:rPr>
      </w:pPr>
      <w:r>
        <w:rPr>
          <w:b/>
          <w:sz w:val="28"/>
          <w:szCs w:val="28"/>
        </w:rPr>
        <w:lastRenderedPageBreak/>
        <w:t>Table 1 : Adult Group Eligibility Standards and Threshold Methodology Features</w:t>
      </w:r>
    </w:p>
    <w:tbl>
      <w:tblPr>
        <w:tblStyle w:val="TableGrid1"/>
        <w:tblW w:w="12277" w:type="dxa"/>
        <w:jc w:val="center"/>
        <w:tblLayout w:type="fixed"/>
        <w:tblLook w:val="04A0" w:firstRow="1" w:lastRow="0" w:firstColumn="1" w:lastColumn="0" w:noHBand="0" w:noVBand="1"/>
      </w:tblPr>
      <w:tblGrid>
        <w:gridCol w:w="2539"/>
        <w:gridCol w:w="4860"/>
        <w:gridCol w:w="1710"/>
        <w:gridCol w:w="1620"/>
        <w:gridCol w:w="1548"/>
      </w:tblGrid>
      <w:tr w:rsidR="001D5502" w:rsidRPr="001E3885" w:rsidTr="003B3BBA">
        <w:trPr>
          <w:jc w:val="center"/>
        </w:trPr>
        <w:tc>
          <w:tcPr>
            <w:tcW w:w="7399" w:type="dxa"/>
            <w:gridSpan w:val="2"/>
            <w:tcBorders>
              <w:top w:val="double" w:sz="4" w:space="0" w:color="auto"/>
              <w:left w:val="double" w:sz="4" w:space="0" w:color="auto"/>
              <w:bottom w:val="single" w:sz="4" w:space="0" w:color="auto"/>
              <w:right w:val="single" w:sz="4" w:space="0" w:color="auto"/>
            </w:tcBorders>
            <w:shd w:val="clear" w:color="auto" w:fill="FFFFFF" w:themeFill="background1"/>
          </w:tcPr>
          <w:p w:rsidR="001D5502" w:rsidRPr="001E3885" w:rsidRDefault="001D5502" w:rsidP="001E3885">
            <w:pPr>
              <w:jc w:val="center"/>
              <w:rPr>
                <w:b/>
              </w:rPr>
            </w:pPr>
            <w:r w:rsidRPr="001E3885">
              <w:rPr>
                <w:b/>
              </w:rPr>
              <w:t>Covered Populations Within New Adult Group</w:t>
            </w:r>
          </w:p>
        </w:tc>
        <w:tc>
          <w:tcPr>
            <w:tcW w:w="4878" w:type="dxa"/>
            <w:gridSpan w:val="3"/>
            <w:tcBorders>
              <w:top w:val="double" w:sz="4" w:space="0" w:color="auto"/>
              <w:left w:val="single" w:sz="4" w:space="0" w:color="auto"/>
              <w:bottom w:val="single" w:sz="4" w:space="0" w:color="auto"/>
              <w:right w:val="double" w:sz="4" w:space="0" w:color="auto"/>
            </w:tcBorders>
            <w:shd w:val="clear" w:color="auto" w:fill="FFFFFF" w:themeFill="background1"/>
          </w:tcPr>
          <w:p w:rsidR="001D5502" w:rsidRPr="001E3885" w:rsidRDefault="001D5502" w:rsidP="003B3BBA">
            <w:pPr>
              <w:jc w:val="center"/>
              <w:rPr>
                <w:b/>
              </w:rPr>
            </w:pPr>
            <w:r w:rsidRPr="001E3885">
              <w:rPr>
                <w:b/>
              </w:rPr>
              <w:t>Applicable Population Adjustment</w:t>
            </w:r>
          </w:p>
        </w:tc>
      </w:tr>
      <w:tr w:rsidR="001D5502" w:rsidRPr="001E3885" w:rsidTr="003B3BBA">
        <w:trPr>
          <w:trHeight w:val="980"/>
          <w:jc w:val="center"/>
        </w:trPr>
        <w:tc>
          <w:tcPr>
            <w:tcW w:w="2539" w:type="dxa"/>
            <w:vMerge w:val="restart"/>
            <w:tcBorders>
              <w:top w:val="single" w:sz="4" w:space="0" w:color="auto"/>
              <w:left w:val="double" w:sz="4" w:space="0" w:color="auto"/>
              <w:bottom w:val="single" w:sz="4" w:space="0" w:color="auto"/>
              <w:right w:val="single" w:sz="4" w:space="0" w:color="auto"/>
            </w:tcBorders>
            <w:shd w:val="clear" w:color="auto" w:fill="FFFFFF" w:themeFill="background1"/>
          </w:tcPr>
          <w:p w:rsidR="001D5502" w:rsidRPr="001E3885" w:rsidRDefault="001D5502" w:rsidP="009560D1">
            <w:pPr>
              <w:jc w:val="center"/>
              <w:rPr>
                <w:b/>
                <w:sz w:val="20"/>
                <w:szCs w:val="20"/>
              </w:rPr>
            </w:pPr>
            <w:r w:rsidRPr="001E3885">
              <w:rPr>
                <w:b/>
                <w:sz w:val="20"/>
                <w:szCs w:val="20"/>
              </w:rPr>
              <w:t>Population Group</w:t>
            </w:r>
          </w:p>
          <w:p w:rsidR="001D5502" w:rsidRPr="001E3885" w:rsidRDefault="001D5502" w:rsidP="001E3885">
            <w:pPr>
              <w:rPr>
                <w:b/>
                <w:sz w:val="20"/>
                <w:szCs w:val="20"/>
              </w:rPr>
            </w:pPr>
          </w:p>
        </w:tc>
        <w:tc>
          <w:tcPr>
            <w:tcW w:w="48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D5502" w:rsidRPr="00A82C9E" w:rsidRDefault="001D5502" w:rsidP="001E3885">
            <w:pPr>
              <w:jc w:val="center"/>
              <w:rPr>
                <w:b/>
                <w:color w:val="000000" w:themeColor="text1"/>
                <w:sz w:val="20"/>
                <w:szCs w:val="20"/>
              </w:rPr>
            </w:pPr>
            <w:r w:rsidRPr="00A82C9E">
              <w:rPr>
                <w:b/>
                <w:color w:val="000000" w:themeColor="text1"/>
                <w:sz w:val="20"/>
                <w:szCs w:val="20"/>
              </w:rPr>
              <w:t>Relevant Population Group Threshold</w:t>
            </w:r>
          </w:p>
          <w:p w:rsidR="001D5502" w:rsidRPr="00A82C9E" w:rsidRDefault="001D5502" w:rsidP="001E3885">
            <w:pPr>
              <w:rPr>
                <w:color w:val="000000" w:themeColor="text1"/>
                <w:sz w:val="20"/>
                <w:szCs w:val="20"/>
              </w:rPr>
            </w:pPr>
          </w:p>
          <w:p w:rsidR="001D5502" w:rsidRPr="00A82C9E" w:rsidRDefault="001D5502" w:rsidP="00E81BD6">
            <w:pPr>
              <w:contextualSpacing/>
              <w:rPr>
                <w:color w:val="000000" w:themeColor="text1"/>
                <w:sz w:val="18"/>
                <w:szCs w:val="18"/>
              </w:rPr>
            </w:pPr>
            <w:r w:rsidRPr="00A82C9E">
              <w:rPr>
                <w:color w:val="000000" w:themeColor="text1"/>
                <w:sz w:val="18"/>
                <w:szCs w:val="18"/>
              </w:rPr>
              <w:t>For each population group, indicate the lower of:</w:t>
            </w:r>
          </w:p>
          <w:p w:rsidR="001D5502" w:rsidRPr="00A82C9E" w:rsidRDefault="001D5502" w:rsidP="00E81BD6">
            <w:pPr>
              <w:contextualSpacing/>
              <w:rPr>
                <w:color w:val="000000" w:themeColor="text1"/>
                <w:sz w:val="18"/>
                <w:szCs w:val="18"/>
              </w:rPr>
            </w:pPr>
            <w:r w:rsidRPr="00A82C9E">
              <w:rPr>
                <w:color w:val="000000" w:themeColor="text1"/>
                <w:sz w:val="18"/>
                <w:szCs w:val="18"/>
              </w:rPr>
              <w:t xml:space="preserve"> </w:t>
            </w:r>
          </w:p>
          <w:p w:rsidR="001D5502" w:rsidRPr="00A82C9E" w:rsidRDefault="001D5502" w:rsidP="001E3885">
            <w:pPr>
              <w:numPr>
                <w:ilvl w:val="0"/>
                <w:numId w:val="29"/>
              </w:numPr>
              <w:ind w:left="189" w:hanging="189"/>
              <w:contextualSpacing/>
              <w:rPr>
                <w:color w:val="000000" w:themeColor="text1"/>
                <w:sz w:val="18"/>
                <w:szCs w:val="18"/>
              </w:rPr>
            </w:pPr>
            <w:r w:rsidRPr="00A82C9E">
              <w:rPr>
                <w:color w:val="000000" w:themeColor="text1"/>
                <w:sz w:val="18"/>
                <w:szCs w:val="18"/>
              </w:rPr>
              <w:t xml:space="preserve"> The reference in the MAGI Conversion Plan (Part 2) to the relevant income standard and the appropriate cross-reference,  or</w:t>
            </w:r>
          </w:p>
          <w:p w:rsidR="001D5502" w:rsidRPr="00A82C9E" w:rsidRDefault="001D5502" w:rsidP="001E3885">
            <w:pPr>
              <w:numPr>
                <w:ilvl w:val="0"/>
                <w:numId w:val="29"/>
              </w:numPr>
              <w:ind w:left="189" w:hanging="189"/>
              <w:contextualSpacing/>
              <w:rPr>
                <w:color w:val="000000" w:themeColor="text1"/>
                <w:sz w:val="18"/>
                <w:szCs w:val="18"/>
              </w:rPr>
            </w:pPr>
            <w:r w:rsidRPr="00A82C9E">
              <w:rPr>
                <w:color w:val="000000" w:themeColor="text1"/>
                <w:sz w:val="18"/>
                <w:szCs w:val="18"/>
              </w:rPr>
              <w:t xml:space="preserve"> 133% FPL. </w:t>
            </w:r>
          </w:p>
          <w:p w:rsidR="001D5502" w:rsidRPr="00A82C9E" w:rsidRDefault="001D5502" w:rsidP="00E81BD6">
            <w:pPr>
              <w:contextualSpacing/>
              <w:rPr>
                <w:color w:val="000000" w:themeColor="text1"/>
                <w:sz w:val="18"/>
                <w:szCs w:val="18"/>
              </w:rPr>
            </w:pPr>
          </w:p>
          <w:p w:rsidR="001D5502" w:rsidRPr="00A82C9E" w:rsidRDefault="001D5502" w:rsidP="00E81BD6">
            <w:pPr>
              <w:contextualSpacing/>
              <w:rPr>
                <w:color w:val="000000" w:themeColor="text1"/>
                <w:sz w:val="18"/>
                <w:szCs w:val="18"/>
              </w:rPr>
            </w:pPr>
            <w:r w:rsidRPr="00A82C9E">
              <w:rPr>
                <w:color w:val="000000" w:themeColor="text1"/>
                <w:sz w:val="18"/>
                <w:szCs w:val="18"/>
              </w:rPr>
              <w:t>If a population group was not covered as of 12/1/09, enter “Not covered”.</w:t>
            </w:r>
          </w:p>
          <w:p w:rsidR="001D5502" w:rsidRPr="00A82C9E" w:rsidRDefault="001D5502" w:rsidP="001E3885">
            <w:pPr>
              <w:ind w:left="189"/>
              <w:contextualSpacing/>
              <w:rPr>
                <w:color w:val="000000" w:themeColor="text1"/>
                <w:sz w:val="20"/>
                <w:szCs w:val="20"/>
              </w:rPr>
            </w:pP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D5502" w:rsidRPr="00A82C9E" w:rsidRDefault="001D5502" w:rsidP="009560D1">
            <w:pPr>
              <w:jc w:val="center"/>
              <w:rPr>
                <w:b/>
                <w:color w:val="000000" w:themeColor="text1"/>
                <w:sz w:val="20"/>
                <w:szCs w:val="20"/>
              </w:rPr>
            </w:pPr>
            <w:r w:rsidRPr="00A82C9E">
              <w:rPr>
                <w:b/>
                <w:color w:val="000000" w:themeColor="text1"/>
                <w:sz w:val="20"/>
                <w:szCs w:val="20"/>
              </w:rPr>
              <w:t>Resource Proxy</w:t>
            </w:r>
          </w:p>
          <w:p w:rsidR="001D5502" w:rsidRPr="00A82C9E" w:rsidRDefault="001D5502" w:rsidP="009560D1">
            <w:pPr>
              <w:jc w:val="center"/>
              <w:rPr>
                <w:b/>
                <w:color w:val="000000" w:themeColor="text1"/>
                <w:sz w:val="20"/>
                <w:szCs w:val="20"/>
              </w:rPr>
            </w:pP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D5502" w:rsidRPr="00A82C9E" w:rsidRDefault="001D5502" w:rsidP="009560D1">
            <w:pPr>
              <w:jc w:val="center"/>
              <w:rPr>
                <w:b/>
                <w:color w:val="000000" w:themeColor="text1"/>
                <w:sz w:val="20"/>
                <w:szCs w:val="20"/>
              </w:rPr>
            </w:pPr>
            <w:r w:rsidRPr="00A82C9E">
              <w:rPr>
                <w:b/>
                <w:color w:val="000000" w:themeColor="text1"/>
                <w:sz w:val="20"/>
                <w:szCs w:val="20"/>
              </w:rPr>
              <w:t>Enrollment Cap</w:t>
            </w:r>
          </w:p>
        </w:tc>
        <w:tc>
          <w:tcPr>
            <w:tcW w:w="1548" w:type="dxa"/>
            <w:vMerge w:val="restart"/>
            <w:tcBorders>
              <w:top w:val="single" w:sz="4" w:space="0" w:color="auto"/>
              <w:left w:val="single" w:sz="4" w:space="0" w:color="auto"/>
              <w:bottom w:val="single" w:sz="4" w:space="0" w:color="auto"/>
              <w:right w:val="double" w:sz="4" w:space="0" w:color="auto"/>
            </w:tcBorders>
            <w:shd w:val="clear" w:color="auto" w:fill="FFFFFF" w:themeFill="background1"/>
          </w:tcPr>
          <w:p w:rsidR="001D5502" w:rsidRPr="00A82C9E" w:rsidRDefault="001D5502" w:rsidP="009560D1">
            <w:pPr>
              <w:jc w:val="center"/>
              <w:rPr>
                <w:b/>
                <w:color w:val="000000" w:themeColor="text1"/>
                <w:sz w:val="20"/>
                <w:szCs w:val="20"/>
              </w:rPr>
            </w:pPr>
            <w:r w:rsidRPr="00A82C9E">
              <w:rPr>
                <w:b/>
                <w:color w:val="000000" w:themeColor="text1"/>
                <w:sz w:val="20"/>
                <w:szCs w:val="20"/>
              </w:rPr>
              <w:t>Special</w:t>
            </w:r>
          </w:p>
          <w:p w:rsidR="001D5502" w:rsidRPr="00A82C9E" w:rsidRDefault="001D5502" w:rsidP="009560D1">
            <w:pPr>
              <w:jc w:val="center"/>
              <w:rPr>
                <w:b/>
                <w:color w:val="000000" w:themeColor="text1"/>
                <w:sz w:val="20"/>
                <w:szCs w:val="20"/>
              </w:rPr>
            </w:pPr>
            <w:r w:rsidRPr="00A82C9E">
              <w:rPr>
                <w:b/>
                <w:color w:val="000000" w:themeColor="text1"/>
                <w:sz w:val="20"/>
                <w:szCs w:val="20"/>
              </w:rPr>
              <w:t>Circumstances</w:t>
            </w:r>
          </w:p>
        </w:tc>
      </w:tr>
      <w:tr w:rsidR="001D5502" w:rsidRPr="001E3885" w:rsidTr="003B3BBA">
        <w:trPr>
          <w:trHeight w:val="244"/>
          <w:jc w:val="center"/>
        </w:trPr>
        <w:tc>
          <w:tcPr>
            <w:tcW w:w="2539" w:type="dxa"/>
            <w:vMerge/>
            <w:tcBorders>
              <w:left w:val="double" w:sz="4" w:space="0" w:color="auto"/>
              <w:bottom w:val="single" w:sz="4" w:space="0" w:color="auto"/>
              <w:right w:val="single" w:sz="4" w:space="0" w:color="auto"/>
            </w:tcBorders>
            <w:shd w:val="clear" w:color="auto" w:fill="FFFFFF" w:themeFill="background1"/>
          </w:tcPr>
          <w:p w:rsidR="001D5502" w:rsidRPr="001E3885" w:rsidRDefault="001D5502" w:rsidP="001E3885">
            <w:pPr>
              <w:rPr>
                <w:b/>
                <w:sz w:val="20"/>
                <w:szCs w:val="20"/>
              </w:rPr>
            </w:pPr>
          </w:p>
        </w:tc>
        <w:tc>
          <w:tcPr>
            <w:tcW w:w="4860" w:type="dxa"/>
            <w:vMerge/>
            <w:tcBorders>
              <w:left w:val="single" w:sz="4" w:space="0" w:color="auto"/>
              <w:bottom w:val="single" w:sz="4" w:space="0" w:color="auto"/>
              <w:right w:val="single" w:sz="4" w:space="0" w:color="auto"/>
            </w:tcBorders>
            <w:shd w:val="clear" w:color="auto" w:fill="FFFFFF" w:themeFill="background1"/>
          </w:tcPr>
          <w:p w:rsidR="001D5502" w:rsidRPr="00A82C9E" w:rsidRDefault="001D5502" w:rsidP="001E3885">
            <w:pPr>
              <w:rPr>
                <w:b/>
                <w:color w:val="000000" w:themeColor="text1"/>
                <w:sz w:val="20"/>
                <w:szCs w:val="20"/>
              </w:rPr>
            </w:pPr>
          </w:p>
        </w:tc>
        <w:tc>
          <w:tcPr>
            <w:tcW w:w="1710" w:type="dxa"/>
            <w:vMerge/>
            <w:tcBorders>
              <w:left w:val="single" w:sz="4" w:space="0" w:color="auto"/>
              <w:bottom w:val="single" w:sz="4" w:space="0" w:color="auto"/>
              <w:right w:val="single" w:sz="4" w:space="0" w:color="auto"/>
            </w:tcBorders>
            <w:shd w:val="clear" w:color="auto" w:fill="FFFFFF" w:themeFill="background1"/>
          </w:tcPr>
          <w:p w:rsidR="001D5502" w:rsidRPr="00A82C9E" w:rsidRDefault="001D5502" w:rsidP="001E3885">
            <w:pPr>
              <w:rPr>
                <w:b/>
                <w:color w:val="000000" w:themeColor="text1"/>
                <w:sz w:val="20"/>
                <w:szCs w:val="20"/>
              </w:rPr>
            </w:pPr>
          </w:p>
        </w:tc>
        <w:tc>
          <w:tcPr>
            <w:tcW w:w="1620" w:type="dxa"/>
            <w:vMerge/>
            <w:tcBorders>
              <w:left w:val="single" w:sz="4" w:space="0" w:color="auto"/>
              <w:bottom w:val="single" w:sz="4" w:space="0" w:color="auto"/>
              <w:right w:val="single" w:sz="4" w:space="0" w:color="auto"/>
            </w:tcBorders>
            <w:shd w:val="clear" w:color="auto" w:fill="FFFFFF" w:themeFill="background1"/>
          </w:tcPr>
          <w:p w:rsidR="001D5502" w:rsidRPr="00A82C9E" w:rsidRDefault="001D5502" w:rsidP="001E3885">
            <w:pPr>
              <w:rPr>
                <w:b/>
                <w:color w:val="000000" w:themeColor="text1"/>
                <w:sz w:val="20"/>
                <w:szCs w:val="20"/>
              </w:rPr>
            </w:pPr>
          </w:p>
        </w:tc>
        <w:tc>
          <w:tcPr>
            <w:tcW w:w="1548" w:type="dxa"/>
            <w:vMerge/>
            <w:tcBorders>
              <w:left w:val="single" w:sz="4" w:space="0" w:color="auto"/>
              <w:bottom w:val="single" w:sz="4" w:space="0" w:color="auto"/>
              <w:right w:val="double" w:sz="4" w:space="0" w:color="auto"/>
            </w:tcBorders>
            <w:shd w:val="clear" w:color="auto" w:fill="FFFFFF" w:themeFill="background1"/>
          </w:tcPr>
          <w:p w:rsidR="001D5502" w:rsidRPr="00A82C9E" w:rsidRDefault="001D5502" w:rsidP="001E3885">
            <w:pPr>
              <w:rPr>
                <w:b/>
                <w:color w:val="000000" w:themeColor="text1"/>
                <w:sz w:val="20"/>
                <w:szCs w:val="20"/>
              </w:rPr>
            </w:pPr>
          </w:p>
        </w:tc>
      </w:tr>
      <w:tr w:rsidR="001D5502" w:rsidRPr="00A82C9E" w:rsidTr="001D5502">
        <w:trPr>
          <w:jc w:val="center"/>
        </w:trPr>
        <w:tc>
          <w:tcPr>
            <w:tcW w:w="2539" w:type="dxa"/>
            <w:vMerge/>
            <w:tcBorders>
              <w:top w:val="single" w:sz="4" w:space="0" w:color="auto"/>
              <w:left w:val="double" w:sz="4" w:space="0" w:color="auto"/>
              <w:bottom w:val="single" w:sz="4" w:space="0" w:color="auto"/>
              <w:right w:val="single" w:sz="4" w:space="0" w:color="auto"/>
            </w:tcBorders>
            <w:shd w:val="clear" w:color="auto" w:fill="FFFFFF" w:themeFill="background1"/>
          </w:tcPr>
          <w:p w:rsidR="001D5502" w:rsidRPr="001E3885" w:rsidRDefault="001D5502" w:rsidP="001E3885">
            <w:pPr>
              <w:rPr>
                <w:b/>
                <w:sz w:val="20"/>
                <w:szCs w:val="20"/>
              </w:rPr>
            </w:pPr>
          </w:p>
        </w:tc>
        <w:tc>
          <w:tcPr>
            <w:tcW w:w="4860"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1D5502" w:rsidRPr="00A82C9E" w:rsidRDefault="001D5502" w:rsidP="001E3885">
            <w:pPr>
              <w:rPr>
                <w:b/>
                <w:color w:val="000000" w:themeColor="text1"/>
                <w:sz w:val="20"/>
                <w:szCs w:val="20"/>
              </w:rPr>
            </w:pPr>
          </w:p>
        </w:tc>
        <w:tc>
          <w:tcPr>
            <w:tcW w:w="4878" w:type="dxa"/>
            <w:gridSpan w:val="3"/>
            <w:tcBorders>
              <w:top w:val="single" w:sz="4" w:space="0" w:color="auto"/>
              <w:left w:val="single" w:sz="4" w:space="0" w:color="auto"/>
              <w:bottom w:val="single" w:sz="4" w:space="0" w:color="auto"/>
              <w:right w:val="double" w:sz="4" w:space="0" w:color="auto"/>
            </w:tcBorders>
            <w:shd w:val="clear" w:color="auto" w:fill="FFFFFF" w:themeFill="background1"/>
          </w:tcPr>
          <w:p w:rsidR="001D5502" w:rsidRPr="00A82C9E" w:rsidRDefault="001D5502" w:rsidP="001E3885">
            <w:pPr>
              <w:jc w:val="center"/>
              <w:rPr>
                <w:color w:val="000000" w:themeColor="text1"/>
                <w:sz w:val="18"/>
                <w:szCs w:val="20"/>
              </w:rPr>
            </w:pPr>
          </w:p>
          <w:p w:rsidR="001D5502" w:rsidRPr="00A82C9E" w:rsidRDefault="001D5502" w:rsidP="003F5F57">
            <w:pPr>
              <w:rPr>
                <w:b/>
                <w:color w:val="000000" w:themeColor="text1"/>
                <w:sz w:val="20"/>
                <w:szCs w:val="20"/>
              </w:rPr>
            </w:pPr>
            <w:r w:rsidRPr="00A82C9E">
              <w:rPr>
                <w:color w:val="000000" w:themeColor="text1"/>
                <w:sz w:val="18"/>
                <w:szCs w:val="20"/>
              </w:rPr>
              <w:t>Enter “Y” (Yes), “N” (No), or “NA” in the appropriate column to indicate if the population adjustment will apply to each population group. Provide additional information in corresponding attachments.</w:t>
            </w:r>
          </w:p>
        </w:tc>
      </w:tr>
      <w:tr w:rsidR="001D5502" w:rsidRPr="001E3885" w:rsidTr="003B3BBA">
        <w:trPr>
          <w:jc w:val="center"/>
        </w:trPr>
        <w:tc>
          <w:tcPr>
            <w:tcW w:w="2539" w:type="dxa"/>
            <w:tcBorders>
              <w:top w:val="single" w:sz="4" w:space="0" w:color="auto"/>
              <w:left w:val="double" w:sz="4" w:space="0" w:color="auto"/>
              <w:bottom w:val="double" w:sz="4" w:space="0" w:color="auto"/>
            </w:tcBorders>
            <w:shd w:val="clear" w:color="auto" w:fill="FFFFFF" w:themeFill="background1"/>
          </w:tcPr>
          <w:p w:rsidR="001D5502" w:rsidRPr="001E3885" w:rsidRDefault="001D5502" w:rsidP="009560D1">
            <w:pPr>
              <w:jc w:val="center"/>
              <w:rPr>
                <w:b/>
              </w:rPr>
            </w:pPr>
            <w:r>
              <w:rPr>
                <w:b/>
              </w:rPr>
              <w:t>A</w:t>
            </w:r>
          </w:p>
        </w:tc>
        <w:tc>
          <w:tcPr>
            <w:tcW w:w="4860" w:type="dxa"/>
            <w:tcBorders>
              <w:top w:val="single" w:sz="4" w:space="0" w:color="auto"/>
              <w:bottom w:val="double" w:sz="4" w:space="0" w:color="auto"/>
            </w:tcBorders>
            <w:shd w:val="clear" w:color="auto" w:fill="FFFFFF" w:themeFill="background1"/>
          </w:tcPr>
          <w:p w:rsidR="001D5502" w:rsidRPr="001E3885" w:rsidRDefault="001D5502" w:rsidP="009560D1">
            <w:pPr>
              <w:jc w:val="center"/>
            </w:pPr>
            <w:r>
              <w:t>B</w:t>
            </w:r>
          </w:p>
        </w:tc>
        <w:tc>
          <w:tcPr>
            <w:tcW w:w="1710" w:type="dxa"/>
            <w:tcBorders>
              <w:top w:val="single" w:sz="4" w:space="0" w:color="auto"/>
              <w:bottom w:val="double" w:sz="4" w:space="0" w:color="auto"/>
            </w:tcBorders>
            <w:shd w:val="clear" w:color="auto" w:fill="FFFFFF" w:themeFill="background1"/>
          </w:tcPr>
          <w:p w:rsidR="001D5502" w:rsidRPr="001E3885" w:rsidRDefault="001D5502" w:rsidP="001D5502">
            <w:pPr>
              <w:jc w:val="center"/>
            </w:pPr>
            <w:r>
              <w:t>C</w:t>
            </w:r>
          </w:p>
        </w:tc>
        <w:tc>
          <w:tcPr>
            <w:tcW w:w="1620" w:type="dxa"/>
            <w:tcBorders>
              <w:top w:val="single" w:sz="4" w:space="0" w:color="auto"/>
              <w:bottom w:val="double" w:sz="4" w:space="0" w:color="auto"/>
            </w:tcBorders>
            <w:shd w:val="clear" w:color="auto" w:fill="FFFFFF" w:themeFill="background1"/>
          </w:tcPr>
          <w:p w:rsidR="001D5502" w:rsidRPr="001E3885" w:rsidRDefault="001D5502" w:rsidP="001D5502">
            <w:pPr>
              <w:jc w:val="center"/>
            </w:pPr>
            <w:r>
              <w:t>D</w:t>
            </w:r>
          </w:p>
        </w:tc>
        <w:tc>
          <w:tcPr>
            <w:tcW w:w="1548" w:type="dxa"/>
            <w:tcBorders>
              <w:top w:val="single" w:sz="4" w:space="0" w:color="auto"/>
              <w:bottom w:val="double" w:sz="4" w:space="0" w:color="auto"/>
              <w:right w:val="double" w:sz="4" w:space="0" w:color="auto"/>
            </w:tcBorders>
            <w:shd w:val="clear" w:color="auto" w:fill="FFFFFF" w:themeFill="background1"/>
          </w:tcPr>
          <w:p w:rsidR="001D5502" w:rsidRPr="001E3885" w:rsidRDefault="001D5502" w:rsidP="001D5502">
            <w:pPr>
              <w:jc w:val="center"/>
            </w:pPr>
            <w:r>
              <w:t>E</w:t>
            </w:r>
          </w:p>
        </w:tc>
      </w:tr>
      <w:tr w:rsidR="001D5502" w:rsidRPr="001E3885" w:rsidTr="003B3BBA">
        <w:trPr>
          <w:jc w:val="center"/>
        </w:trPr>
        <w:tc>
          <w:tcPr>
            <w:tcW w:w="2539" w:type="dxa"/>
            <w:tcBorders>
              <w:top w:val="double" w:sz="4" w:space="0" w:color="auto"/>
              <w:left w:val="double" w:sz="4" w:space="0" w:color="auto"/>
            </w:tcBorders>
            <w:shd w:val="clear" w:color="auto" w:fill="FFFFFF" w:themeFill="background1"/>
          </w:tcPr>
          <w:p w:rsidR="001D5502" w:rsidRPr="001E3885" w:rsidRDefault="001D5502" w:rsidP="001E3885">
            <w:pPr>
              <w:rPr>
                <w:b/>
              </w:rPr>
            </w:pPr>
            <w:r w:rsidRPr="001E3885">
              <w:rPr>
                <w:b/>
              </w:rPr>
              <w:t>Parents/Caretaker Relatives</w:t>
            </w:r>
          </w:p>
        </w:tc>
        <w:tc>
          <w:tcPr>
            <w:tcW w:w="4860" w:type="dxa"/>
            <w:tcBorders>
              <w:top w:val="double" w:sz="4" w:space="0" w:color="auto"/>
            </w:tcBorders>
            <w:shd w:val="clear" w:color="auto" w:fill="FFFFFF" w:themeFill="background1"/>
          </w:tcPr>
          <w:p w:rsidR="001D5502" w:rsidRPr="001E3885" w:rsidRDefault="001D5502" w:rsidP="001E3885"/>
        </w:tc>
        <w:tc>
          <w:tcPr>
            <w:tcW w:w="1710" w:type="dxa"/>
            <w:tcBorders>
              <w:top w:val="double" w:sz="4" w:space="0" w:color="auto"/>
            </w:tcBorders>
            <w:shd w:val="clear" w:color="auto" w:fill="FFFFFF" w:themeFill="background1"/>
          </w:tcPr>
          <w:p w:rsidR="001D5502" w:rsidRPr="001E3885" w:rsidRDefault="001D5502" w:rsidP="001E3885"/>
        </w:tc>
        <w:tc>
          <w:tcPr>
            <w:tcW w:w="1620" w:type="dxa"/>
            <w:tcBorders>
              <w:top w:val="double" w:sz="4" w:space="0" w:color="auto"/>
            </w:tcBorders>
            <w:shd w:val="clear" w:color="auto" w:fill="FFFFFF" w:themeFill="background1"/>
          </w:tcPr>
          <w:p w:rsidR="001D5502" w:rsidRPr="001E3885" w:rsidRDefault="001D5502" w:rsidP="001E3885"/>
        </w:tc>
        <w:tc>
          <w:tcPr>
            <w:tcW w:w="1548" w:type="dxa"/>
            <w:tcBorders>
              <w:top w:val="double" w:sz="4" w:space="0" w:color="auto"/>
              <w:right w:val="double" w:sz="4" w:space="0" w:color="auto"/>
            </w:tcBorders>
            <w:shd w:val="clear" w:color="auto" w:fill="FFFFFF" w:themeFill="background1"/>
          </w:tcPr>
          <w:p w:rsidR="001D5502" w:rsidRPr="001E3885" w:rsidRDefault="001D5502" w:rsidP="001E3885"/>
        </w:tc>
      </w:tr>
      <w:tr w:rsidR="001D5502" w:rsidRPr="001E3885" w:rsidTr="003B3BBA">
        <w:trPr>
          <w:jc w:val="center"/>
        </w:trPr>
        <w:tc>
          <w:tcPr>
            <w:tcW w:w="2539" w:type="dxa"/>
            <w:tcBorders>
              <w:left w:val="double" w:sz="4" w:space="0" w:color="auto"/>
            </w:tcBorders>
            <w:shd w:val="clear" w:color="auto" w:fill="FFFFFF" w:themeFill="background1"/>
          </w:tcPr>
          <w:p w:rsidR="001D5502" w:rsidRPr="001E3885" w:rsidRDefault="001D5502" w:rsidP="001E3885">
            <w:pPr>
              <w:rPr>
                <w:b/>
              </w:rPr>
            </w:pPr>
            <w:r w:rsidRPr="001E3885">
              <w:rPr>
                <w:b/>
              </w:rPr>
              <w:t xml:space="preserve">Disabled Persons, non-institutionalized </w:t>
            </w:r>
          </w:p>
        </w:tc>
        <w:tc>
          <w:tcPr>
            <w:tcW w:w="4860" w:type="dxa"/>
            <w:shd w:val="clear" w:color="auto" w:fill="FFFFFF" w:themeFill="background1"/>
          </w:tcPr>
          <w:p w:rsidR="001D5502" w:rsidRPr="001E3885" w:rsidRDefault="001D5502" w:rsidP="001E3885"/>
        </w:tc>
        <w:tc>
          <w:tcPr>
            <w:tcW w:w="1710" w:type="dxa"/>
            <w:shd w:val="clear" w:color="auto" w:fill="FFFFFF" w:themeFill="background1"/>
          </w:tcPr>
          <w:p w:rsidR="001D5502" w:rsidRPr="001E3885" w:rsidRDefault="001D5502" w:rsidP="001E3885"/>
        </w:tc>
        <w:tc>
          <w:tcPr>
            <w:tcW w:w="1620" w:type="dxa"/>
            <w:shd w:val="clear" w:color="auto" w:fill="FFFFFF" w:themeFill="background1"/>
          </w:tcPr>
          <w:p w:rsidR="001D5502" w:rsidRPr="001E3885" w:rsidRDefault="001D5502" w:rsidP="001E3885"/>
        </w:tc>
        <w:tc>
          <w:tcPr>
            <w:tcW w:w="1548" w:type="dxa"/>
            <w:tcBorders>
              <w:right w:val="double" w:sz="4" w:space="0" w:color="auto"/>
            </w:tcBorders>
            <w:shd w:val="clear" w:color="auto" w:fill="FFFFFF" w:themeFill="background1"/>
          </w:tcPr>
          <w:p w:rsidR="001D5502" w:rsidRPr="001E3885" w:rsidRDefault="001D5502" w:rsidP="001E3885"/>
        </w:tc>
      </w:tr>
      <w:tr w:rsidR="001D5502" w:rsidRPr="001E3885" w:rsidTr="003B3BBA">
        <w:trPr>
          <w:jc w:val="center"/>
        </w:trPr>
        <w:tc>
          <w:tcPr>
            <w:tcW w:w="2539" w:type="dxa"/>
            <w:tcBorders>
              <w:left w:val="double" w:sz="4" w:space="0" w:color="auto"/>
            </w:tcBorders>
            <w:shd w:val="clear" w:color="auto" w:fill="FFFFFF" w:themeFill="background1"/>
          </w:tcPr>
          <w:p w:rsidR="001D5502" w:rsidRPr="001E3885" w:rsidRDefault="001D5502" w:rsidP="001E3885">
            <w:pPr>
              <w:rPr>
                <w:b/>
              </w:rPr>
            </w:pPr>
            <w:r w:rsidRPr="001E3885">
              <w:rPr>
                <w:b/>
              </w:rPr>
              <w:t xml:space="preserve">Disabled Persons, institutionalized </w:t>
            </w:r>
          </w:p>
        </w:tc>
        <w:tc>
          <w:tcPr>
            <w:tcW w:w="4860" w:type="dxa"/>
            <w:shd w:val="clear" w:color="auto" w:fill="FFFFFF" w:themeFill="background1"/>
          </w:tcPr>
          <w:p w:rsidR="001D5502" w:rsidRPr="001E3885" w:rsidRDefault="001D5502" w:rsidP="001E3885"/>
        </w:tc>
        <w:tc>
          <w:tcPr>
            <w:tcW w:w="1710" w:type="dxa"/>
            <w:shd w:val="clear" w:color="auto" w:fill="FFFFFF" w:themeFill="background1"/>
          </w:tcPr>
          <w:p w:rsidR="001D5502" w:rsidRPr="001E3885" w:rsidRDefault="001D5502" w:rsidP="001E3885"/>
        </w:tc>
        <w:tc>
          <w:tcPr>
            <w:tcW w:w="1620" w:type="dxa"/>
            <w:shd w:val="clear" w:color="auto" w:fill="FFFFFF" w:themeFill="background1"/>
          </w:tcPr>
          <w:p w:rsidR="001D5502" w:rsidRPr="001E3885" w:rsidRDefault="001D5502" w:rsidP="001E3885"/>
        </w:tc>
        <w:tc>
          <w:tcPr>
            <w:tcW w:w="1548" w:type="dxa"/>
            <w:tcBorders>
              <w:right w:val="double" w:sz="4" w:space="0" w:color="auto"/>
            </w:tcBorders>
            <w:shd w:val="clear" w:color="auto" w:fill="FFFFFF" w:themeFill="background1"/>
          </w:tcPr>
          <w:p w:rsidR="001D5502" w:rsidRPr="001E3885" w:rsidRDefault="001D5502" w:rsidP="001E3885"/>
        </w:tc>
      </w:tr>
      <w:tr w:rsidR="001D5502" w:rsidRPr="001E3885" w:rsidTr="003B3BBA">
        <w:trPr>
          <w:jc w:val="center"/>
        </w:trPr>
        <w:tc>
          <w:tcPr>
            <w:tcW w:w="2539" w:type="dxa"/>
            <w:tcBorders>
              <w:left w:val="double" w:sz="4" w:space="0" w:color="auto"/>
            </w:tcBorders>
            <w:shd w:val="clear" w:color="auto" w:fill="FFFFFF" w:themeFill="background1"/>
          </w:tcPr>
          <w:p w:rsidR="001D5502" w:rsidRPr="001E3885" w:rsidRDefault="001D5502" w:rsidP="001E3885">
            <w:pPr>
              <w:rPr>
                <w:b/>
              </w:rPr>
            </w:pPr>
            <w:r w:rsidRPr="001E3885">
              <w:rPr>
                <w:b/>
              </w:rPr>
              <w:t>Children Age 19, 20, or 21</w:t>
            </w:r>
          </w:p>
        </w:tc>
        <w:tc>
          <w:tcPr>
            <w:tcW w:w="4860" w:type="dxa"/>
            <w:shd w:val="clear" w:color="auto" w:fill="FFFFFF" w:themeFill="background1"/>
          </w:tcPr>
          <w:p w:rsidR="001D5502" w:rsidRPr="001E3885" w:rsidRDefault="001D5502" w:rsidP="001E3885"/>
        </w:tc>
        <w:tc>
          <w:tcPr>
            <w:tcW w:w="1710" w:type="dxa"/>
            <w:shd w:val="clear" w:color="auto" w:fill="FFFFFF" w:themeFill="background1"/>
          </w:tcPr>
          <w:p w:rsidR="001D5502" w:rsidRPr="001E3885" w:rsidRDefault="001D5502" w:rsidP="001E3885"/>
        </w:tc>
        <w:tc>
          <w:tcPr>
            <w:tcW w:w="1620" w:type="dxa"/>
            <w:shd w:val="clear" w:color="auto" w:fill="FFFFFF" w:themeFill="background1"/>
          </w:tcPr>
          <w:p w:rsidR="001D5502" w:rsidRPr="001E3885" w:rsidRDefault="001D5502" w:rsidP="001E3885"/>
        </w:tc>
        <w:tc>
          <w:tcPr>
            <w:tcW w:w="1548" w:type="dxa"/>
            <w:tcBorders>
              <w:right w:val="double" w:sz="4" w:space="0" w:color="auto"/>
            </w:tcBorders>
            <w:shd w:val="clear" w:color="auto" w:fill="FFFFFF" w:themeFill="background1"/>
          </w:tcPr>
          <w:p w:rsidR="001D5502" w:rsidRPr="001E3885" w:rsidRDefault="001D5502" w:rsidP="001E3885"/>
        </w:tc>
      </w:tr>
      <w:tr w:rsidR="001D5502" w:rsidRPr="001E3885" w:rsidTr="003B3BBA">
        <w:trPr>
          <w:trHeight w:val="350"/>
          <w:jc w:val="center"/>
        </w:trPr>
        <w:tc>
          <w:tcPr>
            <w:tcW w:w="2539" w:type="dxa"/>
            <w:tcBorders>
              <w:left w:val="double" w:sz="4" w:space="0" w:color="auto"/>
            </w:tcBorders>
            <w:shd w:val="clear" w:color="auto" w:fill="FFFFFF" w:themeFill="background1"/>
          </w:tcPr>
          <w:p w:rsidR="001D5502" w:rsidRPr="001E3885" w:rsidRDefault="001D5502" w:rsidP="001E3885">
            <w:pPr>
              <w:rPr>
                <w:b/>
              </w:rPr>
            </w:pPr>
            <w:r w:rsidRPr="001E3885">
              <w:rPr>
                <w:b/>
              </w:rPr>
              <w:t>Childless Adults</w:t>
            </w:r>
          </w:p>
        </w:tc>
        <w:tc>
          <w:tcPr>
            <w:tcW w:w="4860" w:type="dxa"/>
            <w:shd w:val="clear" w:color="auto" w:fill="FFFFFF" w:themeFill="background1"/>
          </w:tcPr>
          <w:p w:rsidR="001D5502" w:rsidRPr="001E3885" w:rsidRDefault="001D5502" w:rsidP="001E3885"/>
        </w:tc>
        <w:tc>
          <w:tcPr>
            <w:tcW w:w="1710" w:type="dxa"/>
            <w:shd w:val="clear" w:color="auto" w:fill="FFFFFF" w:themeFill="background1"/>
          </w:tcPr>
          <w:p w:rsidR="001D5502" w:rsidRPr="001E3885" w:rsidRDefault="001D5502" w:rsidP="001E3885"/>
        </w:tc>
        <w:tc>
          <w:tcPr>
            <w:tcW w:w="1620" w:type="dxa"/>
            <w:shd w:val="clear" w:color="auto" w:fill="FFFFFF" w:themeFill="background1"/>
          </w:tcPr>
          <w:p w:rsidR="001D5502" w:rsidRPr="001E3885" w:rsidRDefault="001D5502" w:rsidP="001E3885"/>
        </w:tc>
        <w:tc>
          <w:tcPr>
            <w:tcW w:w="1548" w:type="dxa"/>
            <w:tcBorders>
              <w:right w:val="double" w:sz="4" w:space="0" w:color="auto"/>
            </w:tcBorders>
            <w:shd w:val="clear" w:color="auto" w:fill="FFFFFF" w:themeFill="background1"/>
          </w:tcPr>
          <w:p w:rsidR="001D5502" w:rsidRPr="001E3885" w:rsidRDefault="001D5502" w:rsidP="001E3885"/>
        </w:tc>
      </w:tr>
      <w:tr w:rsidR="001D5502" w:rsidRPr="001E3885" w:rsidTr="003B3BBA">
        <w:trPr>
          <w:trHeight w:val="440"/>
          <w:jc w:val="center"/>
        </w:trPr>
        <w:tc>
          <w:tcPr>
            <w:tcW w:w="2539" w:type="dxa"/>
            <w:tcBorders>
              <w:left w:val="double" w:sz="4" w:space="0" w:color="auto"/>
              <w:bottom w:val="double" w:sz="4" w:space="0" w:color="auto"/>
            </w:tcBorders>
            <w:shd w:val="clear" w:color="auto" w:fill="FFFFFF" w:themeFill="background1"/>
          </w:tcPr>
          <w:p w:rsidR="001D5502" w:rsidRPr="001E3885" w:rsidRDefault="001D5502" w:rsidP="001E3885">
            <w:pPr>
              <w:rPr>
                <w:b/>
              </w:rPr>
            </w:pPr>
          </w:p>
        </w:tc>
        <w:tc>
          <w:tcPr>
            <w:tcW w:w="4860" w:type="dxa"/>
            <w:tcBorders>
              <w:bottom w:val="double" w:sz="4" w:space="0" w:color="auto"/>
            </w:tcBorders>
            <w:shd w:val="clear" w:color="auto" w:fill="FFFFFF" w:themeFill="background1"/>
          </w:tcPr>
          <w:p w:rsidR="001D5502" w:rsidRPr="001E3885" w:rsidRDefault="001D5502" w:rsidP="001E3885"/>
        </w:tc>
        <w:tc>
          <w:tcPr>
            <w:tcW w:w="1710" w:type="dxa"/>
            <w:tcBorders>
              <w:bottom w:val="double" w:sz="4" w:space="0" w:color="auto"/>
            </w:tcBorders>
            <w:shd w:val="clear" w:color="auto" w:fill="FFFFFF" w:themeFill="background1"/>
          </w:tcPr>
          <w:p w:rsidR="001D5502" w:rsidRPr="001E3885" w:rsidRDefault="001D5502" w:rsidP="001E3885"/>
        </w:tc>
        <w:tc>
          <w:tcPr>
            <w:tcW w:w="1620" w:type="dxa"/>
            <w:tcBorders>
              <w:bottom w:val="double" w:sz="4" w:space="0" w:color="auto"/>
            </w:tcBorders>
            <w:shd w:val="clear" w:color="auto" w:fill="FFFFFF" w:themeFill="background1"/>
          </w:tcPr>
          <w:p w:rsidR="001D5502" w:rsidRPr="001E3885" w:rsidRDefault="001D5502" w:rsidP="001E3885"/>
        </w:tc>
        <w:tc>
          <w:tcPr>
            <w:tcW w:w="1548" w:type="dxa"/>
            <w:tcBorders>
              <w:bottom w:val="double" w:sz="4" w:space="0" w:color="auto"/>
              <w:right w:val="double" w:sz="4" w:space="0" w:color="auto"/>
            </w:tcBorders>
            <w:shd w:val="clear" w:color="auto" w:fill="FFFFFF" w:themeFill="background1"/>
          </w:tcPr>
          <w:p w:rsidR="001D5502" w:rsidRPr="001E3885" w:rsidRDefault="001D5502" w:rsidP="001E3885"/>
        </w:tc>
      </w:tr>
    </w:tbl>
    <w:p w:rsidR="001E3885" w:rsidRDefault="001E3885" w:rsidP="007E67B8">
      <w:pPr>
        <w:pStyle w:val="ListParagraph"/>
        <w:rPr>
          <w:b/>
          <w:sz w:val="28"/>
          <w:szCs w:val="28"/>
        </w:rPr>
        <w:sectPr w:rsidR="001E3885" w:rsidSect="00620C2B">
          <w:pgSz w:w="15840" w:h="12240" w:orient="landscape" w:code="1"/>
          <w:pgMar w:top="1440" w:right="1440" w:bottom="1080" w:left="1440" w:header="720" w:footer="720" w:gutter="0"/>
          <w:cols w:space="720"/>
          <w:docGrid w:linePitch="360"/>
        </w:sectPr>
      </w:pPr>
    </w:p>
    <w:p w:rsidR="00DE6848" w:rsidRDefault="009B1EBD" w:rsidP="007E67B8">
      <w:pPr>
        <w:pStyle w:val="ListParagraph"/>
        <w:rPr>
          <w:b/>
          <w:sz w:val="28"/>
          <w:szCs w:val="28"/>
        </w:rPr>
      </w:pPr>
      <w:r w:rsidRPr="00DE6848">
        <w:rPr>
          <w:b/>
          <w:sz w:val="28"/>
          <w:szCs w:val="28"/>
        </w:rPr>
        <w:lastRenderedPageBreak/>
        <w:t xml:space="preserve">Part 2 – </w:t>
      </w:r>
      <w:r w:rsidR="00142381">
        <w:rPr>
          <w:b/>
          <w:sz w:val="28"/>
          <w:szCs w:val="28"/>
        </w:rPr>
        <w:t xml:space="preserve">Population-based Adjustments to the Newly Eligible Population Based on </w:t>
      </w:r>
      <w:r w:rsidRPr="00DE6848">
        <w:rPr>
          <w:b/>
          <w:sz w:val="28"/>
          <w:szCs w:val="28"/>
        </w:rPr>
        <w:t xml:space="preserve">Resource Test, Enrollment Cap or Special Circumstances </w:t>
      </w:r>
    </w:p>
    <w:p w:rsidR="007E67B8" w:rsidRPr="00DE6848" w:rsidRDefault="007E67B8" w:rsidP="007E67B8">
      <w:pPr>
        <w:pStyle w:val="ListParagraph"/>
        <w:rPr>
          <w:u w:val="single"/>
        </w:rPr>
      </w:pPr>
    </w:p>
    <w:p w:rsidR="00A50F21" w:rsidRPr="004663F0" w:rsidRDefault="003B0E1B" w:rsidP="003B0E1B">
      <w:pPr>
        <w:pStyle w:val="ListParagraph"/>
        <w:numPr>
          <w:ilvl w:val="0"/>
          <w:numId w:val="14"/>
        </w:numPr>
        <w:rPr>
          <w:u w:val="single"/>
        </w:rPr>
      </w:pPr>
      <w:r w:rsidRPr="0060341D">
        <w:rPr>
          <w:b/>
        </w:rPr>
        <w:t>Optional Resource Criteria Proxy Adjustment</w:t>
      </w:r>
      <w:r w:rsidR="00A465E7" w:rsidRPr="0060341D">
        <w:rPr>
          <w:b/>
        </w:rPr>
        <w:t xml:space="preserve"> (</w:t>
      </w:r>
      <w:r w:rsidR="007A7D7B">
        <w:rPr>
          <w:b/>
        </w:rPr>
        <w:t>42 CFR</w:t>
      </w:r>
      <w:r w:rsidR="00A465E7" w:rsidRPr="0060341D">
        <w:rPr>
          <w:b/>
        </w:rPr>
        <w:t xml:space="preserve"> 433.206(d))</w:t>
      </w:r>
    </w:p>
    <w:p w:rsidR="004663F0" w:rsidRDefault="004663F0" w:rsidP="004663F0">
      <w:pPr>
        <w:pStyle w:val="ListParagraph"/>
        <w:ind w:left="360"/>
        <w:rPr>
          <w:u w:val="single"/>
        </w:rPr>
      </w:pPr>
    </w:p>
    <w:p w:rsidR="00541E58" w:rsidRPr="009E3B62" w:rsidRDefault="00EF3EB3" w:rsidP="00541E58">
      <w:pPr>
        <w:pStyle w:val="ListParagraph"/>
        <w:numPr>
          <w:ilvl w:val="0"/>
          <w:numId w:val="19"/>
        </w:numPr>
      </w:pPr>
      <w:r w:rsidRPr="00EF3EB3">
        <w:t xml:space="preserve"> ___ </w:t>
      </w:r>
      <w:r w:rsidRPr="00EF3EB3">
        <w:tab/>
        <w:t>[STATE] applies a resource proxy adjustment</w:t>
      </w:r>
      <w:r w:rsidR="00BF2350">
        <w:t xml:space="preserve"> to population group(s) subject to a resource test on December 1, 2009.</w:t>
      </w:r>
    </w:p>
    <w:p w:rsidR="000E358A" w:rsidRDefault="00EF3EB3">
      <w:pPr>
        <w:pStyle w:val="ListParagraph"/>
      </w:pPr>
      <w:r w:rsidRPr="00EF3EB3">
        <w:t xml:space="preserve"> ___</w:t>
      </w:r>
      <w:r w:rsidRPr="00EF3EB3">
        <w:tab/>
        <w:t xml:space="preserve">[STATE] does </w:t>
      </w:r>
      <w:r w:rsidRPr="00EF3EB3">
        <w:rPr>
          <w:u w:val="single"/>
        </w:rPr>
        <w:t>NOT</w:t>
      </w:r>
      <w:r w:rsidRPr="00EF3EB3">
        <w:t xml:space="preserve"> apply a resource proxy adjustment </w:t>
      </w:r>
      <w:r w:rsidR="009E3B62">
        <w:t>(Skip item</w:t>
      </w:r>
      <w:r w:rsidR="0042152D">
        <w:t>s</w:t>
      </w:r>
      <w:r w:rsidR="009E3B62">
        <w:t xml:space="preserve"> 2</w:t>
      </w:r>
      <w:r w:rsidR="0042152D">
        <w:t xml:space="preserve"> through </w:t>
      </w:r>
      <w:r w:rsidR="00A444BB">
        <w:t>3</w:t>
      </w:r>
      <w:r w:rsidR="00C819B4">
        <w:t xml:space="preserve"> and go to </w:t>
      </w:r>
      <w:r w:rsidR="004C7FB8">
        <w:t>S</w:t>
      </w:r>
      <w:r w:rsidR="00122845">
        <w:t>ection</w:t>
      </w:r>
      <w:r w:rsidR="00C819B4">
        <w:t xml:space="preserve"> B</w:t>
      </w:r>
      <w:r w:rsidR="009E3B62">
        <w:t>)</w:t>
      </w:r>
    </w:p>
    <w:p w:rsidR="000E358A" w:rsidRDefault="000E358A">
      <w:pPr>
        <w:pStyle w:val="ListParagraph"/>
        <w:rPr>
          <w:u w:val="single"/>
        </w:rPr>
      </w:pPr>
    </w:p>
    <w:p w:rsidR="007045B4" w:rsidRDefault="004663F0" w:rsidP="00620C2B">
      <w:pPr>
        <w:pStyle w:val="ListParagraph"/>
        <w:tabs>
          <w:tab w:val="left" w:pos="2520"/>
        </w:tabs>
      </w:pPr>
      <w:r>
        <w:t xml:space="preserve">Table </w:t>
      </w:r>
      <w:r w:rsidR="00BF2350">
        <w:t xml:space="preserve">1 </w:t>
      </w:r>
      <w:r>
        <w:t>indicate</w:t>
      </w:r>
      <w:r w:rsidR="00C5199B">
        <w:t>s</w:t>
      </w:r>
      <w:r>
        <w:t xml:space="preserve"> </w:t>
      </w:r>
      <w:r w:rsidR="004F35D6">
        <w:t xml:space="preserve">the </w:t>
      </w:r>
      <w:r w:rsidR="003861BD">
        <w:t>group or</w:t>
      </w:r>
      <w:r>
        <w:t xml:space="preserve"> groups</w:t>
      </w:r>
      <w:r w:rsidR="00C5199B">
        <w:t xml:space="preserve"> </w:t>
      </w:r>
      <w:r w:rsidR="004F35D6">
        <w:t>for</w:t>
      </w:r>
      <w:r w:rsidR="00C5199B">
        <w:t xml:space="preserve"> which</w:t>
      </w:r>
      <w:r>
        <w:t xml:space="preserve"> </w:t>
      </w:r>
      <w:r w:rsidR="00C5199B">
        <w:t>[STATE]</w:t>
      </w:r>
      <w:r>
        <w:t xml:space="preserve"> </w:t>
      </w:r>
      <w:r w:rsidR="00C57EAE">
        <w:t xml:space="preserve">applies </w:t>
      </w:r>
      <w:r>
        <w:t>a resource proxy adjustment</w:t>
      </w:r>
      <w:r w:rsidR="004F35D6">
        <w:t xml:space="preserve"> to the expenditures</w:t>
      </w:r>
      <w:r w:rsidR="00C57EAE">
        <w:t xml:space="preserve"> applicable for individuals eligible and enrolled under 42 CFR 435.119</w:t>
      </w:r>
      <w:r>
        <w:t>.</w:t>
      </w:r>
      <w:r w:rsidR="00BF2350">
        <w:t xml:space="preserve">  Resource proxies are only permitted for population groups that were subject to a resource proxy adjustment as of December 1, 2009.</w:t>
      </w:r>
    </w:p>
    <w:p w:rsidR="00C00684" w:rsidRDefault="008063BB" w:rsidP="00620C2B">
      <w:pPr>
        <w:ind w:left="720"/>
      </w:pPr>
      <w:r>
        <w:t>The effective date</w:t>
      </w:r>
      <w:r w:rsidR="00476251">
        <w:t>(</w:t>
      </w:r>
      <w:r>
        <w:t>s</w:t>
      </w:r>
      <w:r w:rsidR="00476251">
        <w:t>)</w:t>
      </w:r>
      <w:r>
        <w:t xml:space="preserve"> for application of the resource proxy adjustment is </w:t>
      </w:r>
      <w:r w:rsidR="00476251">
        <w:t xml:space="preserve">specified and </w:t>
      </w:r>
      <w:r>
        <w:t xml:space="preserve">described in </w:t>
      </w:r>
      <w:r w:rsidR="00C819B4">
        <w:t xml:space="preserve">Attachment </w:t>
      </w:r>
      <w:r w:rsidR="00A444BB">
        <w:t>B</w:t>
      </w:r>
      <w:r w:rsidRPr="00C61180">
        <w:t>.</w:t>
      </w:r>
      <w:r>
        <w:t xml:space="preserve">  </w:t>
      </w:r>
    </w:p>
    <w:p w:rsidR="0042152D" w:rsidRDefault="004663F0" w:rsidP="004663F0">
      <w:pPr>
        <w:pStyle w:val="ListParagraph"/>
        <w:numPr>
          <w:ilvl w:val="0"/>
          <w:numId w:val="19"/>
        </w:numPr>
      </w:pPr>
      <w:r>
        <w:t xml:space="preserve">Data source used for resource proxy </w:t>
      </w:r>
      <w:r w:rsidR="003C605E">
        <w:t>adjustments:</w:t>
      </w:r>
    </w:p>
    <w:p w:rsidR="000E358A" w:rsidRDefault="000E358A">
      <w:pPr>
        <w:pStyle w:val="ListParagraph"/>
      </w:pPr>
    </w:p>
    <w:p w:rsidR="000E358A" w:rsidRDefault="0042152D">
      <w:pPr>
        <w:pStyle w:val="ListParagraph"/>
      </w:pPr>
      <w:r>
        <w:t>[STATE]:</w:t>
      </w:r>
      <w:r w:rsidR="003C605E">
        <w:t xml:space="preserve"> </w:t>
      </w:r>
    </w:p>
    <w:p w:rsidR="00A465E7" w:rsidRDefault="00A465E7" w:rsidP="00A465E7">
      <w:pPr>
        <w:pStyle w:val="ListParagraph"/>
        <w:ind w:left="1080"/>
      </w:pPr>
    </w:p>
    <w:p w:rsidR="000E358A" w:rsidRDefault="00A465E7">
      <w:pPr>
        <w:pStyle w:val="ListParagraph"/>
        <w:ind w:left="1440" w:hanging="720"/>
      </w:pPr>
      <w:r>
        <w:t>___</w:t>
      </w:r>
      <w:r w:rsidR="009E3B62">
        <w:tab/>
      </w:r>
      <w:r w:rsidR="0042152D">
        <w:t>Applies e</w:t>
      </w:r>
      <w:r>
        <w:t xml:space="preserve">xisting state data </w:t>
      </w:r>
      <w:r w:rsidR="0042152D">
        <w:t xml:space="preserve">from </w:t>
      </w:r>
      <w:r>
        <w:t>periods before January 1, 2014</w:t>
      </w:r>
      <w:r w:rsidR="007A0D81">
        <w:t xml:space="preserve">. </w:t>
      </w:r>
    </w:p>
    <w:p w:rsidR="004663F0" w:rsidRDefault="004663F0" w:rsidP="00A465E7">
      <w:pPr>
        <w:pStyle w:val="ListParagraph"/>
        <w:ind w:left="1080"/>
      </w:pPr>
    </w:p>
    <w:p w:rsidR="000E358A" w:rsidRDefault="00A465E7">
      <w:pPr>
        <w:pStyle w:val="ListParagraph"/>
        <w:ind w:left="1440" w:hanging="720"/>
      </w:pPr>
      <w:r>
        <w:t>___</w:t>
      </w:r>
      <w:r w:rsidR="009E3B62">
        <w:tab/>
      </w:r>
      <w:r w:rsidR="0042152D">
        <w:t>Applies d</w:t>
      </w:r>
      <w:r>
        <w:t>ata obtained through a post-eligibility statistically valid sample of individuals.</w:t>
      </w:r>
    </w:p>
    <w:p w:rsidR="000E358A" w:rsidRDefault="000E358A">
      <w:pPr>
        <w:pStyle w:val="ListParagraph"/>
        <w:ind w:left="1440" w:hanging="720"/>
      </w:pPr>
    </w:p>
    <w:p w:rsidR="000E358A" w:rsidRPr="00C61180" w:rsidRDefault="0042152D">
      <w:pPr>
        <w:pStyle w:val="ListParagraph"/>
        <w:ind w:left="1440" w:hanging="720"/>
      </w:pPr>
      <w:r>
        <w:t xml:space="preserve">Data used in resource proxy adjustments is described in </w:t>
      </w:r>
      <w:r w:rsidR="00C819B4" w:rsidRPr="00C61180">
        <w:t>A</w:t>
      </w:r>
      <w:r w:rsidRPr="00C61180">
        <w:t>ttachment</w:t>
      </w:r>
      <w:r w:rsidR="00726D59" w:rsidRPr="00C61180">
        <w:t xml:space="preserve"> </w:t>
      </w:r>
      <w:r w:rsidR="00A444BB">
        <w:t>B</w:t>
      </w:r>
      <w:r w:rsidRPr="00C61180">
        <w:t>.</w:t>
      </w:r>
    </w:p>
    <w:p w:rsidR="00A465E7" w:rsidRPr="00C61180" w:rsidRDefault="00A465E7" w:rsidP="00A465E7">
      <w:pPr>
        <w:pStyle w:val="ListParagraph"/>
        <w:ind w:left="1080"/>
      </w:pPr>
    </w:p>
    <w:p w:rsidR="00346838" w:rsidRPr="00C61180" w:rsidRDefault="003861BD" w:rsidP="004663F0">
      <w:pPr>
        <w:pStyle w:val="ListParagraph"/>
        <w:numPr>
          <w:ilvl w:val="0"/>
          <w:numId w:val="19"/>
        </w:numPr>
      </w:pPr>
      <w:r w:rsidRPr="00C61180">
        <w:t xml:space="preserve">Resource Proxy </w:t>
      </w:r>
      <w:r w:rsidR="004663F0" w:rsidRPr="00C61180">
        <w:t xml:space="preserve">Methodology: </w:t>
      </w:r>
      <w:r w:rsidR="00B0239A" w:rsidRPr="00C61180">
        <w:t xml:space="preserve"> </w:t>
      </w:r>
      <w:r w:rsidR="00C5199B" w:rsidRPr="00C61180">
        <w:t xml:space="preserve">Attachment </w:t>
      </w:r>
      <w:r w:rsidR="00A444BB">
        <w:t>B</w:t>
      </w:r>
      <w:r w:rsidR="00C819B4" w:rsidRPr="00C61180">
        <w:t xml:space="preserve"> </w:t>
      </w:r>
      <w:r w:rsidR="004663F0" w:rsidRPr="00C61180">
        <w:t>describe</w:t>
      </w:r>
      <w:r w:rsidR="00C5199B" w:rsidRPr="00C61180">
        <w:t>s</w:t>
      </w:r>
      <w:r w:rsidR="004663F0" w:rsidRPr="00C61180">
        <w:t xml:space="preserve"> the sampling approach </w:t>
      </w:r>
      <w:r w:rsidR="00142381" w:rsidRPr="00C61180">
        <w:t>or other</w:t>
      </w:r>
      <w:r w:rsidR="004663F0" w:rsidRPr="00C61180">
        <w:t xml:space="preserve"> methodology </w:t>
      </w:r>
      <w:r w:rsidR="00142381" w:rsidRPr="00C61180">
        <w:t xml:space="preserve">used </w:t>
      </w:r>
      <w:r w:rsidR="004663F0" w:rsidRPr="00C61180">
        <w:t xml:space="preserve">for calculating the adjustment. </w:t>
      </w:r>
    </w:p>
    <w:p w:rsidR="00030224" w:rsidRDefault="00030224" w:rsidP="00030224">
      <w:pPr>
        <w:rPr>
          <w:b/>
        </w:rPr>
      </w:pPr>
    </w:p>
    <w:p w:rsidR="00FB1D40" w:rsidRPr="00FB1D40" w:rsidRDefault="00A67565" w:rsidP="00030224">
      <w:pPr>
        <w:pStyle w:val="ListParagraph"/>
        <w:numPr>
          <w:ilvl w:val="0"/>
          <w:numId w:val="14"/>
        </w:numPr>
        <w:rPr>
          <w:u w:val="single"/>
        </w:rPr>
      </w:pPr>
      <w:r w:rsidRPr="00030224">
        <w:rPr>
          <w:b/>
        </w:rPr>
        <w:t>Enrollment Cap Adjustment (</w:t>
      </w:r>
      <w:r w:rsidR="00FB1D40">
        <w:rPr>
          <w:b/>
        </w:rPr>
        <w:t>42 CFR</w:t>
      </w:r>
      <w:r w:rsidRPr="00030224">
        <w:rPr>
          <w:b/>
        </w:rPr>
        <w:t xml:space="preserve"> 433.206(e))</w:t>
      </w:r>
      <w:r>
        <w:t xml:space="preserve"> </w:t>
      </w:r>
    </w:p>
    <w:p w:rsidR="000E358A" w:rsidRDefault="000E358A">
      <w:pPr>
        <w:pStyle w:val="ListParagraph"/>
        <w:ind w:left="360"/>
        <w:rPr>
          <w:u w:val="single"/>
        </w:rPr>
      </w:pPr>
    </w:p>
    <w:p w:rsidR="00C5199B" w:rsidRDefault="00C5199B" w:rsidP="00243687">
      <w:pPr>
        <w:pStyle w:val="ListParagraph"/>
        <w:numPr>
          <w:ilvl w:val="0"/>
          <w:numId w:val="20"/>
        </w:numPr>
      </w:pPr>
      <w:r>
        <w:t xml:space="preserve">___ </w:t>
      </w:r>
      <w:r>
        <w:tab/>
      </w:r>
      <w:r w:rsidR="00BE5565">
        <w:t>An enrollment cap adjustment is appli</w:t>
      </w:r>
      <w:r w:rsidR="007132D0">
        <w:t>ed</w:t>
      </w:r>
      <w:r w:rsidR="00BE5565">
        <w:t xml:space="preserve"> </w:t>
      </w:r>
      <w:r w:rsidR="007132D0">
        <w:t>(complete items 2 through 4).</w:t>
      </w:r>
    </w:p>
    <w:p w:rsidR="00D261CD" w:rsidRDefault="00C5199B" w:rsidP="00D261CD">
      <w:pPr>
        <w:pStyle w:val="ListParagraph"/>
      </w:pPr>
      <w:r>
        <w:t>___</w:t>
      </w:r>
      <w:r>
        <w:tab/>
      </w:r>
      <w:r w:rsidR="00BE5565">
        <w:t>An enrollment cap adjustment is not appl</w:t>
      </w:r>
      <w:r w:rsidR="007132D0">
        <w:t>ied</w:t>
      </w:r>
      <w:r w:rsidR="00BE5565">
        <w:t xml:space="preserve"> </w:t>
      </w:r>
      <w:r w:rsidR="00FB1D40">
        <w:t>(</w:t>
      </w:r>
      <w:r w:rsidR="007132D0">
        <w:t>s</w:t>
      </w:r>
      <w:r w:rsidR="00FB1D40">
        <w:t>kip items 2 through 4</w:t>
      </w:r>
      <w:r w:rsidR="00C819B4">
        <w:t xml:space="preserve"> and go to </w:t>
      </w:r>
      <w:r w:rsidR="004C7FB8">
        <w:t>S</w:t>
      </w:r>
      <w:r w:rsidR="00122845">
        <w:t>ection</w:t>
      </w:r>
      <w:r w:rsidR="00C819B4">
        <w:t xml:space="preserve"> C</w:t>
      </w:r>
      <w:r w:rsidR="00FB1D40">
        <w:t>)</w:t>
      </w:r>
      <w:r w:rsidR="007132D0">
        <w:t>.</w:t>
      </w:r>
    </w:p>
    <w:p w:rsidR="00D261CD" w:rsidRDefault="00D261CD" w:rsidP="00D261CD">
      <w:pPr>
        <w:pStyle w:val="ListParagraph"/>
      </w:pPr>
    </w:p>
    <w:p w:rsidR="009B1EBD" w:rsidRDefault="00620C2B" w:rsidP="00E81BD6">
      <w:pPr>
        <w:pStyle w:val="ListParagraph"/>
        <w:numPr>
          <w:ilvl w:val="0"/>
          <w:numId w:val="20"/>
        </w:numPr>
      </w:pPr>
      <w:r>
        <w:t xml:space="preserve">Attachment </w:t>
      </w:r>
      <w:r w:rsidR="00A444BB">
        <w:t>C</w:t>
      </w:r>
      <w:r>
        <w:t xml:space="preserve"> describes</w:t>
      </w:r>
      <w:r w:rsidR="00C5199B">
        <w:t xml:space="preserve"> </w:t>
      </w:r>
      <w:r w:rsidR="00146E9F">
        <w:t xml:space="preserve">any enrollment caps authorized in </w:t>
      </w:r>
      <w:r w:rsidR="004C7FB8">
        <w:t xml:space="preserve">section </w:t>
      </w:r>
      <w:r w:rsidR="00146E9F">
        <w:t xml:space="preserve">1115 demonstrations as of December 1, 2009 that are applicable to populations that </w:t>
      </w:r>
      <w:r w:rsidR="00C5199B">
        <w:t>[STATE]</w:t>
      </w:r>
      <w:r w:rsidR="00146E9F">
        <w:t xml:space="preserve"> cover</w:t>
      </w:r>
      <w:r w:rsidR="00E84400">
        <w:t>s</w:t>
      </w:r>
      <w:r w:rsidR="00146E9F">
        <w:t xml:space="preserve"> in the </w:t>
      </w:r>
      <w:r w:rsidR="00C06113">
        <w:t xml:space="preserve">eligibility </w:t>
      </w:r>
      <w:r w:rsidR="00146E9F">
        <w:t>group</w:t>
      </w:r>
      <w:r w:rsidR="00A96E13">
        <w:t xml:space="preserve"> described at 42 CFR 435.119</w:t>
      </w:r>
      <w:r w:rsidR="00BE5565">
        <w:t xml:space="preserve"> and received full benefits, benchmark benefits, or benchmark equivalent benefits as determined by CMS</w:t>
      </w:r>
      <w:r w:rsidR="00146E9F">
        <w:t>.</w:t>
      </w:r>
      <w:r w:rsidR="00BE5565">
        <w:t xml:space="preserve"> </w:t>
      </w:r>
      <w:r w:rsidR="00146E9F">
        <w:t xml:space="preserve"> </w:t>
      </w:r>
      <w:r>
        <w:t>The e</w:t>
      </w:r>
      <w:r w:rsidRPr="00620C2B">
        <w:t>nrollment cap</w:t>
      </w:r>
      <w:r w:rsidR="007132D0">
        <w:t xml:space="preserve"> or caps are </w:t>
      </w:r>
      <w:r w:rsidRPr="00620C2B">
        <w:t xml:space="preserve">as specified in </w:t>
      </w:r>
      <w:r w:rsidR="007132D0">
        <w:t xml:space="preserve">the applicable section 1115 </w:t>
      </w:r>
      <w:r w:rsidRPr="00620C2B">
        <w:t>demonstration special terms and conditions as confirmed by CMS, or</w:t>
      </w:r>
      <w:r w:rsidR="007132D0">
        <w:t xml:space="preserve"> in </w:t>
      </w:r>
      <w:r w:rsidRPr="00620C2B">
        <w:t xml:space="preserve">alternative authorized cap </w:t>
      </w:r>
      <w:r w:rsidR="007132D0">
        <w:t xml:space="preserve">or caps as </w:t>
      </w:r>
      <w:r w:rsidRPr="00620C2B">
        <w:t>confirmed by CMS.  Attach CMS correspondence confirming the applicable enrollment cap</w:t>
      </w:r>
      <w:r w:rsidR="007132D0">
        <w:t>(s)</w:t>
      </w:r>
      <w:r w:rsidRPr="00620C2B">
        <w:t xml:space="preserve">.  </w:t>
      </w:r>
      <w:r>
        <w:t xml:space="preserve"> </w:t>
      </w:r>
    </w:p>
    <w:p w:rsidR="000E358A" w:rsidRDefault="000E358A">
      <w:pPr>
        <w:pStyle w:val="ListParagraph"/>
        <w:spacing w:after="0" w:line="240" w:lineRule="auto"/>
      </w:pPr>
    </w:p>
    <w:p w:rsidR="00146E9F" w:rsidRDefault="007A0D81" w:rsidP="00243687">
      <w:pPr>
        <w:pStyle w:val="ListParagraph"/>
        <w:numPr>
          <w:ilvl w:val="0"/>
          <w:numId w:val="20"/>
        </w:numPr>
        <w:spacing w:after="0" w:line="240" w:lineRule="auto"/>
      </w:pPr>
      <w:r>
        <w:t>[STATE]</w:t>
      </w:r>
      <w:r w:rsidR="00005E44">
        <w:t xml:space="preserve"> </w:t>
      </w:r>
      <w:r w:rsidR="00A63034">
        <w:t xml:space="preserve">applies a combined </w:t>
      </w:r>
      <w:r w:rsidR="00005E44">
        <w:t>enrollment cap</w:t>
      </w:r>
      <w:r w:rsidR="003B3058">
        <w:t xml:space="preserve"> adjustment</w:t>
      </w:r>
      <w:r w:rsidR="00005E44">
        <w:t xml:space="preserve"> for purposes of claiming FMAP in the adult group</w:t>
      </w:r>
      <w:r w:rsidR="00C00684">
        <w:t>:</w:t>
      </w:r>
    </w:p>
    <w:p w:rsidR="00005E44" w:rsidRDefault="00005E44" w:rsidP="009B1EBD">
      <w:pPr>
        <w:spacing w:after="0" w:line="240" w:lineRule="auto"/>
      </w:pPr>
    </w:p>
    <w:p w:rsidR="00444B91" w:rsidRDefault="00005E44" w:rsidP="00444B91">
      <w:pPr>
        <w:tabs>
          <w:tab w:val="left" w:pos="2520"/>
        </w:tabs>
        <w:ind w:left="720"/>
      </w:pPr>
      <w:r>
        <w:t>___ Yes</w:t>
      </w:r>
      <w:r w:rsidR="00A63034">
        <w:t>.  T</w:t>
      </w:r>
      <w:r w:rsidR="00444B91">
        <w:t>he combined enrollment cap</w:t>
      </w:r>
      <w:r w:rsidR="003B3058">
        <w:t xml:space="preserve"> adjustment</w:t>
      </w:r>
      <w:r w:rsidR="00A63034">
        <w:t xml:space="preserve"> is</w:t>
      </w:r>
      <w:r w:rsidR="001E3885">
        <w:t xml:space="preserve"> described in Attachment </w:t>
      </w:r>
      <w:r w:rsidR="00A444BB">
        <w:t>C</w:t>
      </w:r>
      <w:r w:rsidR="00444B91">
        <w:t xml:space="preserve"> </w:t>
      </w:r>
      <w:r w:rsidR="00620C2B">
        <w:t xml:space="preserve"> </w:t>
      </w:r>
    </w:p>
    <w:p w:rsidR="00005E44" w:rsidRDefault="00005E44" w:rsidP="008E5051">
      <w:pPr>
        <w:tabs>
          <w:tab w:val="left" w:pos="1080"/>
        </w:tabs>
        <w:ind w:left="720"/>
      </w:pPr>
      <w:r>
        <w:t>___ No</w:t>
      </w:r>
      <w:r w:rsidR="00A63034">
        <w:t xml:space="preserve">.  </w:t>
      </w:r>
    </w:p>
    <w:p w:rsidR="003861BD" w:rsidRPr="00E60C88" w:rsidRDefault="003861BD" w:rsidP="003861BD">
      <w:pPr>
        <w:pStyle w:val="ListParagraph"/>
        <w:numPr>
          <w:ilvl w:val="0"/>
          <w:numId w:val="20"/>
        </w:numPr>
        <w:spacing w:after="0" w:line="240" w:lineRule="auto"/>
      </w:pPr>
      <w:r>
        <w:t>Enrollment Cap Methodology</w:t>
      </w:r>
      <w:r w:rsidRPr="003861BD">
        <w:t xml:space="preserve">: </w:t>
      </w:r>
      <w:r w:rsidR="003B3058">
        <w:t xml:space="preserve"> </w:t>
      </w:r>
      <w:r w:rsidR="007A0D81" w:rsidRPr="00E60C88">
        <w:t xml:space="preserve">Attachment </w:t>
      </w:r>
      <w:r w:rsidR="00A444BB">
        <w:t>C</w:t>
      </w:r>
      <w:r w:rsidR="00E60C88" w:rsidRPr="00E60C88">
        <w:t xml:space="preserve"> </w:t>
      </w:r>
      <w:r w:rsidR="007A0D81" w:rsidRPr="00E60C88">
        <w:t>describes</w:t>
      </w:r>
      <w:r w:rsidRPr="00E60C88">
        <w:t xml:space="preserve"> the methodology for calculating the </w:t>
      </w:r>
      <w:r w:rsidR="00A62A6D">
        <w:t xml:space="preserve">enrollment cap </w:t>
      </w:r>
      <w:r w:rsidRPr="00E60C88">
        <w:t>adjustment</w:t>
      </w:r>
      <w:r w:rsidR="00A96E13" w:rsidRPr="00E60C88">
        <w:t>, including the use of combined enrollment caps, if applicable</w:t>
      </w:r>
      <w:r w:rsidRPr="00E60C88">
        <w:t xml:space="preserve">. </w:t>
      </w:r>
    </w:p>
    <w:p w:rsidR="007A5012" w:rsidRPr="00E60C88" w:rsidRDefault="007A5012" w:rsidP="00005E44">
      <w:pPr>
        <w:tabs>
          <w:tab w:val="left" w:pos="2520"/>
        </w:tabs>
        <w:ind w:left="720"/>
      </w:pPr>
    </w:p>
    <w:p w:rsidR="008E5051" w:rsidRPr="00E60C88" w:rsidRDefault="00FE64D8" w:rsidP="0060341D">
      <w:pPr>
        <w:pStyle w:val="ListParagraph"/>
        <w:numPr>
          <w:ilvl w:val="0"/>
          <w:numId w:val="14"/>
        </w:numPr>
      </w:pPr>
      <w:r w:rsidRPr="00E60C88">
        <w:rPr>
          <w:b/>
        </w:rPr>
        <w:t>Special Circumstances (</w:t>
      </w:r>
      <w:r w:rsidR="007A7D7B" w:rsidRPr="007A7D7B">
        <w:rPr>
          <w:b/>
        </w:rPr>
        <w:t xml:space="preserve">42 CFR </w:t>
      </w:r>
      <w:r w:rsidRPr="00E60C88">
        <w:rPr>
          <w:b/>
        </w:rPr>
        <w:t>433.206(g))</w:t>
      </w:r>
      <w:r w:rsidRPr="00E60C88">
        <w:t xml:space="preserve"> </w:t>
      </w:r>
    </w:p>
    <w:p w:rsidR="008E5051" w:rsidRPr="00E60C88" w:rsidRDefault="008E5051" w:rsidP="008E5051">
      <w:pPr>
        <w:pStyle w:val="ListParagraph"/>
        <w:ind w:left="360"/>
      </w:pPr>
    </w:p>
    <w:p w:rsidR="001719C3" w:rsidRPr="00E60C88" w:rsidRDefault="001719C3" w:rsidP="001719C3">
      <w:pPr>
        <w:pStyle w:val="ListParagraph"/>
        <w:numPr>
          <w:ilvl w:val="0"/>
          <w:numId w:val="22"/>
        </w:numPr>
      </w:pPr>
      <w:r w:rsidRPr="00E60C88">
        <w:t>___</w:t>
      </w:r>
      <w:r w:rsidRPr="00E60C88">
        <w:tab/>
        <w:t>[STATE] appl</w:t>
      </w:r>
      <w:r w:rsidR="00C00684" w:rsidRPr="00E60C88">
        <w:t>ies</w:t>
      </w:r>
      <w:r w:rsidRPr="00E60C88">
        <w:t xml:space="preserve"> special circumstances adjustment(s)</w:t>
      </w:r>
      <w:r w:rsidR="00A62A6D">
        <w:t xml:space="preserve"> (complete item 2).</w:t>
      </w:r>
    </w:p>
    <w:p w:rsidR="000E358A" w:rsidRPr="00E60C88" w:rsidRDefault="001719C3">
      <w:pPr>
        <w:pStyle w:val="ListParagraph"/>
      </w:pPr>
      <w:r w:rsidRPr="00E60C88">
        <w:t>___</w:t>
      </w:r>
      <w:r w:rsidRPr="00E60C88">
        <w:tab/>
        <w:t xml:space="preserve">[STATE] </w:t>
      </w:r>
      <w:r w:rsidR="00C00684" w:rsidRPr="00E60C88">
        <w:t xml:space="preserve">does </w:t>
      </w:r>
      <w:r w:rsidR="00EF3EB3" w:rsidRPr="00E60C88">
        <w:rPr>
          <w:u w:val="single"/>
        </w:rPr>
        <w:t>not</w:t>
      </w:r>
      <w:r w:rsidRPr="00E60C88">
        <w:t xml:space="preserve"> apply a special circumstances adjustment </w:t>
      </w:r>
      <w:r w:rsidR="00FB1D40" w:rsidRPr="00E60C88">
        <w:t>(</w:t>
      </w:r>
      <w:r w:rsidR="00A62A6D">
        <w:t>s</w:t>
      </w:r>
      <w:r w:rsidR="00FB1D40" w:rsidRPr="00E60C88">
        <w:t>kip item 2</w:t>
      </w:r>
      <w:r w:rsidR="00C819B4" w:rsidRPr="00E60C88">
        <w:t xml:space="preserve"> and go to Part 3</w:t>
      </w:r>
      <w:r w:rsidR="00FB1D40" w:rsidRPr="00E60C88">
        <w:t>)</w:t>
      </w:r>
      <w:r w:rsidR="00A62A6D">
        <w:t>.</w:t>
      </w:r>
    </w:p>
    <w:p w:rsidR="001719C3" w:rsidRPr="00E60C88" w:rsidRDefault="001719C3" w:rsidP="001719C3">
      <w:pPr>
        <w:pStyle w:val="ListParagraph"/>
        <w:ind w:left="360"/>
      </w:pPr>
    </w:p>
    <w:p w:rsidR="0060341D" w:rsidRDefault="00E1695F" w:rsidP="004A4E51">
      <w:pPr>
        <w:pStyle w:val="ListParagraph"/>
        <w:numPr>
          <w:ilvl w:val="0"/>
          <w:numId w:val="22"/>
        </w:numPr>
      </w:pPr>
      <w:r w:rsidRPr="00E60C88">
        <w:t xml:space="preserve">Attachment </w:t>
      </w:r>
      <w:r w:rsidR="00A444BB">
        <w:t>D</w:t>
      </w:r>
      <w:r w:rsidR="00E60C88">
        <w:t xml:space="preserve"> </w:t>
      </w:r>
      <w:r>
        <w:t xml:space="preserve">describes the </w:t>
      </w:r>
      <w:r w:rsidR="00C5199B">
        <w:t xml:space="preserve">special circumstances </w:t>
      </w:r>
      <w:r w:rsidR="0060341D">
        <w:t>adjustment</w:t>
      </w:r>
      <w:r w:rsidR="005442E5">
        <w:t>(</w:t>
      </w:r>
      <w:r w:rsidR="0060341D">
        <w:t>s</w:t>
      </w:r>
      <w:r w:rsidR="005442E5">
        <w:t>)</w:t>
      </w:r>
      <w:r w:rsidR="00C5199B">
        <w:t xml:space="preserve"> </w:t>
      </w:r>
      <w:r>
        <w:t xml:space="preserve">that are applied, including the population groups to which the adjustments apply and the methodology for calculating the adjustments. </w:t>
      </w:r>
      <w:r w:rsidR="0060341D">
        <w:t xml:space="preserve"> </w:t>
      </w:r>
      <w:r w:rsidR="00C5199B">
        <w:t xml:space="preserve"> </w:t>
      </w:r>
    </w:p>
    <w:p w:rsidR="00EA7E0D" w:rsidRDefault="00EA7E0D" w:rsidP="00A42F06">
      <w:pPr>
        <w:jc w:val="center"/>
        <w:rPr>
          <w:b/>
          <w:sz w:val="28"/>
          <w:szCs w:val="28"/>
        </w:rPr>
      </w:pPr>
    </w:p>
    <w:p w:rsidR="00BF2350" w:rsidRPr="00BF2350" w:rsidRDefault="00A42F06" w:rsidP="00BF2350">
      <w:pPr>
        <w:jc w:val="center"/>
        <w:rPr>
          <w:b/>
          <w:sz w:val="28"/>
          <w:szCs w:val="28"/>
        </w:rPr>
      </w:pPr>
      <w:r w:rsidRPr="00DE6848">
        <w:rPr>
          <w:b/>
          <w:sz w:val="28"/>
          <w:szCs w:val="28"/>
        </w:rPr>
        <w:t xml:space="preserve">Part </w:t>
      </w:r>
      <w:r w:rsidR="002537C7" w:rsidRPr="00DE6848">
        <w:rPr>
          <w:b/>
          <w:sz w:val="28"/>
          <w:szCs w:val="28"/>
        </w:rPr>
        <w:t>3</w:t>
      </w:r>
      <w:r w:rsidRPr="00DE6848">
        <w:rPr>
          <w:b/>
          <w:sz w:val="28"/>
          <w:szCs w:val="28"/>
        </w:rPr>
        <w:t xml:space="preserve"> – </w:t>
      </w:r>
      <w:r w:rsidR="00BF2350">
        <w:rPr>
          <w:b/>
          <w:sz w:val="28"/>
          <w:szCs w:val="24"/>
        </w:rPr>
        <w:t xml:space="preserve">One-Time </w:t>
      </w:r>
      <w:r w:rsidR="00BF2350" w:rsidRPr="00B81654">
        <w:rPr>
          <w:b/>
          <w:sz w:val="28"/>
          <w:szCs w:val="24"/>
        </w:rPr>
        <w:t>Tr</w:t>
      </w:r>
      <w:r w:rsidR="00BF2350">
        <w:rPr>
          <w:b/>
          <w:sz w:val="28"/>
          <w:szCs w:val="24"/>
        </w:rPr>
        <w:t>ansitions of Previously Covered Populations into the New Adult Group</w:t>
      </w:r>
    </w:p>
    <w:p w:rsidR="00BF2350" w:rsidRDefault="00BF2350" w:rsidP="00BF2350">
      <w:pPr>
        <w:pStyle w:val="ListParagraph"/>
      </w:pPr>
    </w:p>
    <w:p w:rsidR="00BF2350" w:rsidRDefault="00BF2350" w:rsidP="00BF2350">
      <w:pPr>
        <w:pStyle w:val="ListParagraph"/>
        <w:numPr>
          <w:ilvl w:val="0"/>
          <w:numId w:val="27"/>
        </w:numPr>
        <w:rPr>
          <w:b/>
        </w:rPr>
      </w:pPr>
      <w:r>
        <w:rPr>
          <w:b/>
        </w:rPr>
        <w:t xml:space="preserve">Transitioning Previous Section 1115 and State Plan Populations to the New Adult Group </w:t>
      </w:r>
    </w:p>
    <w:p w:rsidR="00BF2350" w:rsidRPr="00444B91" w:rsidRDefault="00BF2350" w:rsidP="00BF2350">
      <w:pPr>
        <w:pStyle w:val="ListParagraph"/>
        <w:ind w:left="0"/>
        <w:rPr>
          <w:b/>
        </w:rPr>
      </w:pPr>
    </w:p>
    <w:p w:rsidR="00BF2350" w:rsidRPr="007303E6" w:rsidRDefault="00BF2350" w:rsidP="00BF2350">
      <w:pPr>
        <w:pStyle w:val="ListParagraph"/>
      </w:pPr>
      <w:r w:rsidRPr="007303E6">
        <w:t>___</w:t>
      </w:r>
      <w:r w:rsidRPr="007303E6">
        <w:tab/>
        <w:t>Individuals previously eligible for Medicaid coverage through a section 1115 demonstration program</w:t>
      </w:r>
      <w:r>
        <w:t xml:space="preserve"> or</w:t>
      </w:r>
      <w:r w:rsidRPr="007303E6">
        <w:t xml:space="preserve"> </w:t>
      </w:r>
      <w:r>
        <w:t xml:space="preserve">a mandatory or optional state plan eligibility category </w:t>
      </w:r>
      <w:r w:rsidRPr="007303E6">
        <w:t xml:space="preserve">will be transitioned to the new adult group described in 42 CFR 435.119 in accordance with a CMS-approved transition plan, included as Attachment </w:t>
      </w:r>
      <w:r w:rsidR="00A444BB">
        <w:t>E</w:t>
      </w:r>
      <w:r w:rsidRPr="007303E6">
        <w:t xml:space="preserve">.  </w:t>
      </w:r>
      <w:r w:rsidR="00C7735D">
        <w:t>For purposes of claiming federal funding at the appropriate FMAP for the populations transitioned to new adult group, t</w:t>
      </w:r>
      <w:r w:rsidRPr="007303E6">
        <w:t xml:space="preserve">he threshold methodology </w:t>
      </w:r>
      <w:r w:rsidR="00C7735D">
        <w:t xml:space="preserve">is </w:t>
      </w:r>
      <w:r w:rsidRPr="007303E6">
        <w:t>a</w:t>
      </w:r>
      <w:r>
        <w:t>pplied pursuant to</w:t>
      </w:r>
      <w:r w:rsidR="00C7735D">
        <w:t xml:space="preserve"> and as described in</w:t>
      </w:r>
      <w:r>
        <w:t xml:space="preserve"> Attachment </w:t>
      </w:r>
      <w:r w:rsidR="00A444BB">
        <w:t>E</w:t>
      </w:r>
      <w:r w:rsidR="00C7735D">
        <w:t xml:space="preserve">, and </w:t>
      </w:r>
      <w:r w:rsidRPr="007303E6">
        <w:t xml:space="preserve">where applicable, </w:t>
      </w:r>
      <w:r w:rsidR="00C7735D">
        <w:t xml:space="preserve">is </w:t>
      </w:r>
      <w:r w:rsidRPr="007303E6">
        <w:t xml:space="preserve">subject to any special circumstances described in Attachment </w:t>
      </w:r>
      <w:r w:rsidR="004E7235">
        <w:t>D</w:t>
      </w:r>
      <w:r w:rsidRPr="007303E6">
        <w:t>.</w:t>
      </w:r>
    </w:p>
    <w:p w:rsidR="00BF2350" w:rsidRPr="007303E6" w:rsidRDefault="00BF2350" w:rsidP="00BF2350">
      <w:pPr>
        <w:ind w:left="720"/>
      </w:pPr>
      <w:r w:rsidRPr="007303E6">
        <w:t>___</w:t>
      </w:r>
      <w:r w:rsidRPr="007303E6">
        <w:tab/>
        <w:t xml:space="preserve">[State] does not have any relevant populations requiring such transitions. </w:t>
      </w:r>
    </w:p>
    <w:p w:rsidR="00BF2350" w:rsidRDefault="00BF2350" w:rsidP="00A42F06">
      <w:pPr>
        <w:jc w:val="center"/>
        <w:rPr>
          <w:b/>
          <w:sz w:val="28"/>
          <w:szCs w:val="28"/>
        </w:rPr>
      </w:pPr>
    </w:p>
    <w:p w:rsidR="005B2568" w:rsidRDefault="00BF2350" w:rsidP="00A42F06">
      <w:pPr>
        <w:jc w:val="center"/>
        <w:rPr>
          <w:b/>
          <w:sz w:val="28"/>
          <w:szCs w:val="28"/>
        </w:rPr>
      </w:pPr>
      <w:r>
        <w:rPr>
          <w:b/>
          <w:sz w:val="28"/>
          <w:szCs w:val="28"/>
        </w:rPr>
        <w:t xml:space="preserve">Part 4 - </w:t>
      </w:r>
      <w:r w:rsidR="005B2568">
        <w:rPr>
          <w:b/>
          <w:sz w:val="28"/>
          <w:szCs w:val="28"/>
        </w:rPr>
        <w:t xml:space="preserve">Applicability of Special FMAP Rates </w:t>
      </w:r>
    </w:p>
    <w:p w:rsidR="005B2568" w:rsidRPr="004B40B1" w:rsidRDefault="005B2568" w:rsidP="005B2568">
      <w:pPr>
        <w:pStyle w:val="ListParagraph"/>
        <w:numPr>
          <w:ilvl w:val="0"/>
          <w:numId w:val="7"/>
        </w:numPr>
        <w:rPr>
          <w:b/>
        </w:rPr>
      </w:pPr>
      <w:r w:rsidRPr="004B40B1">
        <w:rPr>
          <w:b/>
        </w:rPr>
        <w:t>Expansion State Designation</w:t>
      </w:r>
    </w:p>
    <w:p w:rsidR="005B2568" w:rsidRPr="00DE6848" w:rsidRDefault="005B2568" w:rsidP="005B2568">
      <w:pPr>
        <w:pStyle w:val="ListParagraph"/>
        <w:ind w:left="360"/>
        <w:rPr>
          <w:b/>
        </w:rPr>
      </w:pPr>
    </w:p>
    <w:p w:rsidR="005B2568" w:rsidRDefault="005B2568" w:rsidP="00122845">
      <w:pPr>
        <w:pStyle w:val="ListParagraph"/>
      </w:pPr>
      <w:r>
        <w:t>[STATE]:</w:t>
      </w:r>
    </w:p>
    <w:p w:rsidR="005B2568" w:rsidRDefault="005B2568" w:rsidP="005B2568">
      <w:pPr>
        <w:pStyle w:val="ListParagraph"/>
      </w:pPr>
    </w:p>
    <w:p w:rsidR="005B2568" w:rsidRDefault="005B2568" w:rsidP="005B2568">
      <w:pPr>
        <w:pStyle w:val="ListParagraph"/>
        <w:ind w:left="1440" w:hanging="720"/>
      </w:pPr>
      <w:r>
        <w:t>___</w:t>
      </w:r>
      <w:r>
        <w:tab/>
        <w:t xml:space="preserve">Does </w:t>
      </w:r>
      <w:r w:rsidRPr="00EF3EB3">
        <w:rPr>
          <w:u w:val="single"/>
        </w:rPr>
        <w:t>NOT</w:t>
      </w:r>
      <w:r>
        <w:t xml:space="preserve"> meet the definition of expansion state in 42 CFR 433.204(b).  (Skip </w:t>
      </w:r>
      <w:r w:rsidR="005442E5">
        <w:t>section B</w:t>
      </w:r>
      <w:r>
        <w:t xml:space="preserve"> and go to Part </w:t>
      </w:r>
      <w:r w:rsidR="00C819B4">
        <w:t>4</w:t>
      </w:r>
      <w:r>
        <w:t>)</w:t>
      </w:r>
    </w:p>
    <w:p w:rsidR="005B2568" w:rsidRDefault="005B2568" w:rsidP="005B2568">
      <w:pPr>
        <w:pStyle w:val="ListParagraph"/>
        <w:ind w:left="1440" w:hanging="720"/>
        <w:rPr>
          <w:b/>
        </w:rPr>
      </w:pPr>
    </w:p>
    <w:p w:rsidR="005B2568" w:rsidRDefault="005B2568" w:rsidP="005B2568">
      <w:pPr>
        <w:pStyle w:val="ListParagraph"/>
        <w:ind w:left="1440" w:hanging="720"/>
      </w:pPr>
      <w:r>
        <w:t>___</w:t>
      </w:r>
      <w:r>
        <w:tab/>
        <w:t xml:space="preserve">Meets the definition of expansion state as defined in 42 CFR 433.204(b), determined in accordance with the CMS letter confirming expansion state status, dated __________________(insert date) </w:t>
      </w:r>
    </w:p>
    <w:p w:rsidR="005B2568" w:rsidRDefault="005B2568" w:rsidP="005B2568">
      <w:pPr>
        <w:pStyle w:val="ListParagraph"/>
      </w:pPr>
    </w:p>
    <w:p w:rsidR="005B2568" w:rsidRPr="007303E6" w:rsidRDefault="005B2568" w:rsidP="00122845">
      <w:pPr>
        <w:pStyle w:val="ListParagraph"/>
        <w:numPr>
          <w:ilvl w:val="0"/>
          <w:numId w:val="7"/>
        </w:numPr>
        <w:rPr>
          <w:b/>
        </w:rPr>
      </w:pPr>
      <w:r w:rsidRPr="007303E6">
        <w:rPr>
          <w:b/>
        </w:rPr>
        <w:t xml:space="preserve">Qualification for Temporary 2.2 Percentage Point Increase in FMAP.  </w:t>
      </w:r>
    </w:p>
    <w:p w:rsidR="005B2568" w:rsidRDefault="005B2568" w:rsidP="005B2568">
      <w:pPr>
        <w:pStyle w:val="ListParagraph"/>
      </w:pPr>
    </w:p>
    <w:p w:rsidR="005B2568" w:rsidRDefault="005B2568" w:rsidP="005B2568">
      <w:pPr>
        <w:pStyle w:val="ListParagraph"/>
      </w:pPr>
      <w:r>
        <w:t xml:space="preserve">[STATE]: </w:t>
      </w:r>
    </w:p>
    <w:p w:rsidR="005B2568" w:rsidRDefault="005B2568" w:rsidP="005B2568">
      <w:pPr>
        <w:pStyle w:val="ListParagraph"/>
      </w:pPr>
    </w:p>
    <w:p w:rsidR="005B2568" w:rsidRDefault="005B2568" w:rsidP="005B2568">
      <w:pPr>
        <w:pStyle w:val="ListParagraph"/>
        <w:ind w:left="1440" w:hanging="720"/>
      </w:pPr>
      <w:r>
        <w:t>___</w:t>
      </w:r>
      <w:r>
        <w:tab/>
        <w:t xml:space="preserve">Does </w:t>
      </w:r>
      <w:r w:rsidRPr="00EF3EB3">
        <w:rPr>
          <w:u w:val="single"/>
        </w:rPr>
        <w:t>NOT</w:t>
      </w:r>
      <w:r>
        <w:t xml:space="preserve"> qualify for temporary 2.2 percentage point increase in FMAP under 42 CFR</w:t>
      </w:r>
      <w:r w:rsidRPr="00C25F82">
        <w:t xml:space="preserve"> 433.10</w:t>
      </w:r>
      <w:r>
        <w:t>(c)</w:t>
      </w:r>
      <w:r w:rsidRPr="00C25F82">
        <w:t>(7)</w:t>
      </w:r>
      <w:r w:rsidR="00C819B4">
        <w:t xml:space="preserve">.  </w:t>
      </w:r>
    </w:p>
    <w:p w:rsidR="005B2568" w:rsidRDefault="005B2568" w:rsidP="005B2568">
      <w:pPr>
        <w:pStyle w:val="ListParagraph"/>
        <w:ind w:left="1440" w:hanging="720"/>
      </w:pPr>
      <w:r w:rsidRPr="007045B4">
        <w:t xml:space="preserve"> </w:t>
      </w:r>
    </w:p>
    <w:p w:rsidR="005B2568" w:rsidRDefault="005B2568" w:rsidP="005B2568">
      <w:pPr>
        <w:pStyle w:val="ListParagraph"/>
        <w:ind w:left="1440" w:hanging="720"/>
      </w:pPr>
      <w:r w:rsidRPr="00C25F82">
        <w:t>___</w:t>
      </w:r>
      <w:r>
        <w:tab/>
        <w:t>Qualifies for temporary 2.2 percentage point increase in FMAP under 42 CFR</w:t>
      </w:r>
      <w:r w:rsidRPr="00C25F82">
        <w:t xml:space="preserve"> 433.10</w:t>
      </w:r>
      <w:r>
        <w:t>(c)</w:t>
      </w:r>
      <w:r w:rsidRPr="00C25F82">
        <w:t>(7)</w:t>
      </w:r>
      <w:r>
        <w:t>, determined in accordance with the CMS letter confirming eligibility for the temporary FMAP increase, dated _____________ (insert date). The [STATE] will not claim any federal funding  for individuals determined eligible under 42 CFR 435.119 at the FMAP rate described in 42 CFR 433.10(c)(6).</w:t>
      </w:r>
    </w:p>
    <w:p w:rsidR="00444B91" w:rsidRDefault="00444B91" w:rsidP="00444B91">
      <w:pPr>
        <w:pStyle w:val="ListParagraph"/>
        <w:tabs>
          <w:tab w:val="left" w:pos="2520"/>
        </w:tabs>
        <w:ind w:left="0"/>
        <w:jc w:val="center"/>
        <w:rPr>
          <w:b/>
          <w:sz w:val="28"/>
          <w:szCs w:val="24"/>
        </w:rPr>
      </w:pPr>
    </w:p>
    <w:p w:rsidR="00ED4022" w:rsidRPr="009B0CF1" w:rsidRDefault="00ED4022" w:rsidP="009B0CF1">
      <w:pPr>
        <w:pStyle w:val="ListParagraph"/>
        <w:ind w:left="360" w:firstLine="360"/>
      </w:pPr>
    </w:p>
    <w:p w:rsidR="00A42F06" w:rsidRPr="00DE6848" w:rsidRDefault="005B2568" w:rsidP="00A42F06">
      <w:pPr>
        <w:jc w:val="center"/>
        <w:rPr>
          <w:sz w:val="28"/>
          <w:szCs w:val="28"/>
        </w:rPr>
      </w:pPr>
      <w:r>
        <w:rPr>
          <w:b/>
          <w:sz w:val="28"/>
          <w:szCs w:val="28"/>
        </w:rPr>
        <w:t xml:space="preserve">Part </w:t>
      </w:r>
      <w:r w:rsidR="00444B91">
        <w:rPr>
          <w:b/>
          <w:sz w:val="28"/>
          <w:szCs w:val="28"/>
        </w:rPr>
        <w:t xml:space="preserve">5 </w:t>
      </w:r>
      <w:r>
        <w:rPr>
          <w:b/>
          <w:sz w:val="28"/>
          <w:szCs w:val="28"/>
        </w:rPr>
        <w:t xml:space="preserve">- </w:t>
      </w:r>
      <w:r w:rsidR="002537C7" w:rsidRPr="00DE6848">
        <w:rPr>
          <w:b/>
          <w:sz w:val="28"/>
          <w:szCs w:val="28"/>
        </w:rPr>
        <w:t>State Attestations</w:t>
      </w:r>
    </w:p>
    <w:p w:rsidR="002537C7" w:rsidRDefault="00F43AD7" w:rsidP="00A42F06">
      <w:r>
        <w:t>The</w:t>
      </w:r>
      <w:r w:rsidR="009A374C">
        <w:t xml:space="preserve"> State</w:t>
      </w:r>
      <w:r w:rsidR="00B21531" w:rsidRPr="0060341D">
        <w:t xml:space="preserve"> attests to the following</w:t>
      </w:r>
      <w:r w:rsidR="002537C7" w:rsidRPr="0060341D">
        <w:t>:</w:t>
      </w:r>
    </w:p>
    <w:p w:rsidR="005B2568" w:rsidRDefault="002537C7" w:rsidP="00C61180">
      <w:pPr>
        <w:pStyle w:val="ListParagraph"/>
        <w:numPr>
          <w:ilvl w:val="0"/>
          <w:numId w:val="25"/>
        </w:numPr>
      </w:pPr>
      <w:r>
        <w:t xml:space="preserve">The </w:t>
      </w:r>
      <w:r w:rsidR="005B2568">
        <w:t>application of the threshold</w:t>
      </w:r>
      <w:r w:rsidR="006C38C9">
        <w:t xml:space="preserve"> methodology will </w:t>
      </w:r>
      <w:r w:rsidR="0060341D">
        <w:t xml:space="preserve">not affect the timing </w:t>
      </w:r>
      <w:r w:rsidR="006C38C9">
        <w:t xml:space="preserve">or approval </w:t>
      </w:r>
      <w:r w:rsidR="0060341D">
        <w:t xml:space="preserve">of any </w:t>
      </w:r>
      <w:r w:rsidR="00CF3C91">
        <w:t xml:space="preserve">individual’s </w:t>
      </w:r>
      <w:r w:rsidR="006C38C9">
        <w:t>eligibility for Medicaid</w:t>
      </w:r>
      <w:r w:rsidR="00C819B4">
        <w:t>.</w:t>
      </w:r>
      <w:r w:rsidR="00CF3C91">
        <w:t xml:space="preserve"> </w:t>
      </w:r>
    </w:p>
    <w:p w:rsidR="00C61180" w:rsidRDefault="00C61180" w:rsidP="00C61180">
      <w:pPr>
        <w:pStyle w:val="ListParagraph"/>
      </w:pPr>
    </w:p>
    <w:p w:rsidR="00C819B4" w:rsidRDefault="005B2568" w:rsidP="00E81BD6">
      <w:pPr>
        <w:pStyle w:val="ListParagraph"/>
        <w:numPr>
          <w:ilvl w:val="0"/>
          <w:numId w:val="25"/>
        </w:numPr>
      </w:pPr>
      <w:r>
        <w:t xml:space="preserve">The application of the threshold methodology </w:t>
      </w:r>
      <w:r w:rsidR="006C38C9">
        <w:t xml:space="preserve">will </w:t>
      </w:r>
      <w:r w:rsidR="00CF3C91">
        <w:t>not be biased</w:t>
      </w:r>
      <w:r w:rsidR="006C38C9">
        <w:t xml:space="preserve"> in such a manner as to inappropriately establish the numbers of, or medical assistance expenditures for, individuals determined to be newly or not newly eligible</w:t>
      </w:r>
      <w:r>
        <w:t>.</w:t>
      </w:r>
      <w:r w:rsidR="0060341D">
        <w:t xml:space="preserve"> </w:t>
      </w:r>
      <w:r w:rsidR="00B34930">
        <w:t xml:space="preserve">  </w:t>
      </w:r>
    </w:p>
    <w:p w:rsidR="00305242" w:rsidRDefault="00305242" w:rsidP="003B3BBA">
      <w:pPr>
        <w:pStyle w:val="ListParagraph"/>
      </w:pPr>
    </w:p>
    <w:p w:rsidR="00305242" w:rsidRDefault="00305242" w:rsidP="003B3BBA">
      <w:r>
        <w:t>ATTACHMENTS</w:t>
      </w:r>
    </w:p>
    <w:p w:rsidR="00305242" w:rsidRDefault="00305242" w:rsidP="003B3BBA">
      <w:r>
        <w:rPr>
          <w:sz w:val="24"/>
          <w:szCs w:val="24"/>
        </w:rPr>
        <w:t>Not all of the attachments indicated below will apply to all states; some attachments may describe methodologies for multiple population groups within the new adult group</w:t>
      </w:r>
      <w:r w:rsidR="0085284C">
        <w:rPr>
          <w:sz w:val="24"/>
          <w:szCs w:val="24"/>
        </w:rPr>
        <w:t xml:space="preserve">.  </w:t>
      </w:r>
      <w:r>
        <w:t>Indicate those of the following attachments which are included with this SPA:</w:t>
      </w:r>
    </w:p>
    <w:p w:rsidR="00305242" w:rsidRDefault="00305242" w:rsidP="003B3BBA"/>
    <w:p w:rsidR="00305242" w:rsidRPr="003B3BBA" w:rsidRDefault="00305242" w:rsidP="003B3BBA">
      <w:pPr>
        <w:ind w:left="360"/>
        <w:rPr>
          <w:sz w:val="24"/>
          <w:szCs w:val="24"/>
        </w:rPr>
      </w:pPr>
      <w:r>
        <w:t>___</w:t>
      </w:r>
      <w:r>
        <w:tab/>
        <w:t xml:space="preserve">  </w:t>
      </w:r>
      <w:r w:rsidRPr="0085284C">
        <w:t>Attachment</w:t>
      </w:r>
      <w:r w:rsidRPr="003B3BBA">
        <w:rPr>
          <w:sz w:val="24"/>
          <w:szCs w:val="24"/>
        </w:rPr>
        <w:t xml:space="preserve"> A – Conversion Plan Standards Referenced in Table 1</w:t>
      </w:r>
    </w:p>
    <w:p w:rsidR="00305242" w:rsidRPr="003B3BBA" w:rsidRDefault="00305242" w:rsidP="003B3BBA">
      <w:pPr>
        <w:ind w:left="360"/>
        <w:rPr>
          <w:sz w:val="24"/>
          <w:szCs w:val="24"/>
        </w:rPr>
      </w:pPr>
      <w:r>
        <w:t>___</w:t>
      </w:r>
      <w:r>
        <w:tab/>
        <w:t xml:space="preserve">  </w:t>
      </w:r>
      <w:r w:rsidRPr="003B3BBA">
        <w:rPr>
          <w:sz w:val="24"/>
          <w:szCs w:val="24"/>
        </w:rPr>
        <w:t>Attachment B – Resource Criteria Proxy Methodology</w:t>
      </w:r>
    </w:p>
    <w:p w:rsidR="00305242" w:rsidRPr="003B3BBA" w:rsidRDefault="00305242" w:rsidP="003B3BBA">
      <w:pPr>
        <w:ind w:left="360"/>
        <w:rPr>
          <w:sz w:val="24"/>
          <w:szCs w:val="24"/>
        </w:rPr>
      </w:pPr>
      <w:r>
        <w:t>___</w:t>
      </w:r>
      <w:r>
        <w:tab/>
        <w:t xml:space="preserve">  </w:t>
      </w:r>
      <w:r w:rsidRPr="003B3BBA">
        <w:rPr>
          <w:sz w:val="24"/>
          <w:szCs w:val="24"/>
        </w:rPr>
        <w:t>Attachment C – Enrollment Cap Methodology</w:t>
      </w:r>
    </w:p>
    <w:p w:rsidR="00305242" w:rsidRPr="003B3BBA" w:rsidRDefault="00305242" w:rsidP="003B3BBA">
      <w:pPr>
        <w:ind w:left="360"/>
        <w:rPr>
          <w:sz w:val="24"/>
          <w:szCs w:val="24"/>
        </w:rPr>
      </w:pPr>
      <w:r>
        <w:t>___</w:t>
      </w:r>
      <w:r>
        <w:tab/>
        <w:t xml:space="preserve">  </w:t>
      </w:r>
      <w:r w:rsidRPr="003B3BBA">
        <w:rPr>
          <w:sz w:val="24"/>
          <w:szCs w:val="24"/>
        </w:rPr>
        <w:t xml:space="preserve">Attachment D – Special Circumstances Adjustment Methodology </w:t>
      </w:r>
    </w:p>
    <w:p w:rsidR="00305242" w:rsidRPr="003B3BBA" w:rsidRDefault="00305242" w:rsidP="003B3BBA">
      <w:pPr>
        <w:ind w:left="360"/>
        <w:rPr>
          <w:sz w:val="24"/>
          <w:szCs w:val="24"/>
        </w:rPr>
      </w:pPr>
      <w:r>
        <w:t>___</w:t>
      </w:r>
      <w:r>
        <w:tab/>
        <w:t xml:space="preserve">  </w:t>
      </w:r>
      <w:r w:rsidRPr="003B3BBA">
        <w:rPr>
          <w:sz w:val="24"/>
          <w:szCs w:val="24"/>
        </w:rPr>
        <w:t>Attachment E – Transition Plans</w:t>
      </w:r>
    </w:p>
    <w:p w:rsidR="00305242" w:rsidRDefault="00305242" w:rsidP="003B3BBA"/>
    <w:p w:rsidR="00087376" w:rsidRDefault="00087376" w:rsidP="003B3BBA"/>
    <w:p w:rsidR="00087376" w:rsidRDefault="00087376" w:rsidP="00087376">
      <w:pPr>
        <w:jc w:val="center"/>
      </w:pPr>
      <w:r w:rsidRPr="00087376">
        <w:t>PRA Disclosure Statement</w:t>
      </w:r>
    </w:p>
    <w:p w:rsidR="00087376" w:rsidRPr="0085284C" w:rsidRDefault="00087376" w:rsidP="003B3BBA">
      <w:r w:rsidRPr="00087376">
        <w:t>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w:t>
      </w:r>
      <w:r>
        <w:t>ction is estimated to average 4</w:t>
      </w:r>
      <w:r w:rsidRPr="00087376">
        <w:t xml:space="preserve"> </w:t>
      </w:r>
      <w:r>
        <w:t xml:space="preserve">hours </w:t>
      </w:r>
      <w:r w:rsidRPr="00087376">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087376" w:rsidRPr="0085284C" w:rsidSect="00620C2B">
      <w:pgSz w:w="12240" w:h="15840" w:code="1"/>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C65" w:rsidRDefault="00417C65" w:rsidP="003319EE">
      <w:pPr>
        <w:spacing w:after="0" w:line="240" w:lineRule="auto"/>
      </w:pPr>
      <w:r>
        <w:separator/>
      </w:r>
    </w:p>
  </w:endnote>
  <w:endnote w:type="continuationSeparator" w:id="0">
    <w:p w:rsidR="00417C65" w:rsidRDefault="00417C65" w:rsidP="0033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438732"/>
      <w:docPartObj>
        <w:docPartGallery w:val="Page Numbers (Bottom of Page)"/>
        <w:docPartUnique/>
      </w:docPartObj>
    </w:sdtPr>
    <w:sdtEndPr>
      <w:rPr>
        <w:noProof/>
      </w:rPr>
    </w:sdtEndPr>
    <w:sdtContent>
      <w:p w:rsidR="00AF6036" w:rsidRDefault="0088128E">
        <w:pPr>
          <w:pStyle w:val="Footer"/>
          <w:jc w:val="center"/>
        </w:pPr>
        <w:r>
          <w:fldChar w:fldCharType="begin"/>
        </w:r>
        <w:r w:rsidR="005A0391">
          <w:instrText xml:space="preserve"> PAGE   \* MERGEFORMAT </w:instrText>
        </w:r>
        <w:r>
          <w:fldChar w:fldCharType="separate"/>
        </w:r>
        <w:r w:rsidR="00656E7C">
          <w:rPr>
            <w:noProof/>
          </w:rPr>
          <w:t>1</w:t>
        </w:r>
        <w:r>
          <w:rPr>
            <w:noProof/>
          </w:rPr>
          <w:fldChar w:fldCharType="end"/>
        </w:r>
      </w:p>
    </w:sdtContent>
  </w:sdt>
  <w:p w:rsidR="00AF6036" w:rsidRDefault="00AF6036">
    <w:pPr>
      <w:pStyle w:val="Footer"/>
    </w:pPr>
  </w:p>
  <w:p w:rsidR="00AF6036" w:rsidRDefault="00AF6036" w:rsidP="004E65A3">
    <w:pPr>
      <w:pStyle w:val="Footer"/>
    </w:pPr>
    <w:r>
      <w:t>TN – 14-XX</w:t>
    </w:r>
    <w:r>
      <w:tab/>
      <w:t xml:space="preserve">                                 Approval Date –xx-xx-xxx</w:t>
    </w:r>
    <w:r>
      <w:tab/>
    </w:r>
    <w:r>
      <w:tab/>
      <w:t>Effective Date –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C65" w:rsidRDefault="00417C65" w:rsidP="003319EE">
      <w:pPr>
        <w:spacing w:after="0" w:line="240" w:lineRule="auto"/>
      </w:pPr>
      <w:r>
        <w:separator/>
      </w:r>
    </w:p>
  </w:footnote>
  <w:footnote w:type="continuationSeparator" w:id="0">
    <w:p w:rsidR="00417C65" w:rsidRDefault="00417C65" w:rsidP="00331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DA3" w:rsidRPr="006F3AA8" w:rsidRDefault="00E32DA3" w:rsidP="00E32DA3">
    <w:pPr>
      <w:pStyle w:val="Header"/>
      <w:jc w:val="right"/>
      <w:rPr>
        <w:sz w:val="18"/>
      </w:rPr>
    </w:pPr>
    <w:r w:rsidRPr="006F3AA8">
      <w:rPr>
        <w:sz w:val="18"/>
      </w:rPr>
      <w:t>OMB Control Number: 0938‐1148</w:t>
    </w:r>
  </w:p>
  <w:p w:rsidR="00E32DA3" w:rsidRPr="006F3AA8" w:rsidRDefault="00C95072" w:rsidP="00E32DA3">
    <w:pPr>
      <w:pStyle w:val="Header"/>
      <w:jc w:val="right"/>
      <w:rPr>
        <w:sz w:val="18"/>
      </w:rPr>
    </w:pPr>
    <w:r>
      <w:rPr>
        <w:sz w:val="18"/>
      </w:rPr>
      <w:t>Expiration Date: Not Required</w:t>
    </w:r>
  </w:p>
  <w:p w:rsidR="00E32DA3" w:rsidRDefault="00E32DA3" w:rsidP="002B741A">
    <w:pPr>
      <w:pStyle w:val="Header"/>
      <w:jc w:val="right"/>
    </w:pPr>
  </w:p>
  <w:p w:rsidR="00AF6036" w:rsidRDefault="00AF6036" w:rsidP="002B741A">
    <w:pPr>
      <w:pStyle w:val="Header"/>
      <w:jc w:val="right"/>
    </w:pPr>
    <w:r>
      <w:t xml:space="preserve">Supplement </w:t>
    </w:r>
    <w:r w:rsidR="00DE1AC3">
      <w:t xml:space="preserve">18 </w:t>
    </w:r>
    <w:r>
      <w:t>to Attachment 2.6A</w:t>
    </w:r>
  </w:p>
  <w:p w:rsidR="00AF6036" w:rsidRDefault="00AF6036" w:rsidP="002B741A">
    <w:pPr>
      <w:pStyle w:val="Header"/>
      <w:jc w:val="right"/>
    </w:pPr>
    <w:r>
      <w:t xml:space="preserve">Page </w:t>
    </w:r>
    <w:r w:rsidR="0088128E">
      <w:fldChar w:fldCharType="begin"/>
    </w:r>
    <w:r w:rsidR="005A0391">
      <w:instrText xml:space="preserve"> PAGE  \* Arabic  \* MERGEFORMAT </w:instrText>
    </w:r>
    <w:r w:rsidR="0088128E">
      <w:fldChar w:fldCharType="separate"/>
    </w:r>
    <w:r w:rsidR="00656E7C">
      <w:rPr>
        <w:noProof/>
      </w:rPr>
      <w:t>1</w:t>
    </w:r>
    <w:r w:rsidR="0088128E">
      <w:rPr>
        <w:noProof/>
      </w:rPr>
      <w:fldChar w:fldCharType="end"/>
    </w:r>
  </w:p>
  <w:p w:rsidR="00AF6036" w:rsidRDefault="00AF6036" w:rsidP="002B741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49B"/>
    <w:multiLevelType w:val="hybridMultilevel"/>
    <w:tmpl w:val="24C29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479E5"/>
    <w:multiLevelType w:val="hybridMultilevel"/>
    <w:tmpl w:val="17C06E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843ECF8E">
      <w:start w:val="25"/>
      <w:numFmt w:val="bullet"/>
      <w:lvlText w:val="-"/>
      <w:lvlJc w:val="left"/>
      <w:pPr>
        <w:ind w:left="1800" w:hanging="360"/>
      </w:pPr>
      <w:rPr>
        <w:rFonts w:ascii="Calibri" w:eastAsiaTheme="minorHAnsi" w:hAnsi="Calibri" w:cs="Calibr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DC2688"/>
    <w:multiLevelType w:val="hybridMultilevel"/>
    <w:tmpl w:val="744AA386"/>
    <w:lvl w:ilvl="0" w:tplc="7ACA0AAA">
      <w:start w:val="100"/>
      <w:numFmt w:val="bullet"/>
      <w:lvlText w:val=""/>
      <w:lvlJc w:val="left"/>
      <w:pPr>
        <w:ind w:left="2880" w:hanging="360"/>
      </w:pPr>
      <w:rPr>
        <w:rFonts w:ascii="Symbol" w:eastAsiaTheme="minorHAnsi" w:hAnsi="Symbol"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E9D4FE1"/>
    <w:multiLevelType w:val="hybridMultilevel"/>
    <w:tmpl w:val="67E058D8"/>
    <w:lvl w:ilvl="0" w:tplc="39CEF0CC">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3E70B4"/>
    <w:multiLevelType w:val="hybridMultilevel"/>
    <w:tmpl w:val="CC4065CA"/>
    <w:lvl w:ilvl="0" w:tplc="4DC4B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3B659A"/>
    <w:multiLevelType w:val="hybridMultilevel"/>
    <w:tmpl w:val="24C29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97404"/>
    <w:multiLevelType w:val="hybridMultilevel"/>
    <w:tmpl w:val="FDCC28F4"/>
    <w:lvl w:ilvl="0" w:tplc="57FA93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7444F"/>
    <w:multiLevelType w:val="hybridMultilevel"/>
    <w:tmpl w:val="A906D7D4"/>
    <w:lvl w:ilvl="0" w:tplc="372E5C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708BB"/>
    <w:multiLevelType w:val="hybridMultilevel"/>
    <w:tmpl w:val="4E9E7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CB4370"/>
    <w:multiLevelType w:val="hybridMultilevel"/>
    <w:tmpl w:val="28801E90"/>
    <w:lvl w:ilvl="0" w:tplc="08669D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13664"/>
    <w:multiLevelType w:val="hybridMultilevel"/>
    <w:tmpl w:val="1FD695B6"/>
    <w:lvl w:ilvl="0" w:tplc="57BE719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3C1A0C"/>
    <w:multiLevelType w:val="hybridMultilevel"/>
    <w:tmpl w:val="C220C630"/>
    <w:lvl w:ilvl="0" w:tplc="51A6A2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F1889"/>
    <w:multiLevelType w:val="hybridMultilevel"/>
    <w:tmpl w:val="54D4A4B4"/>
    <w:lvl w:ilvl="0" w:tplc="10F621E2">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D621B9"/>
    <w:multiLevelType w:val="hybridMultilevel"/>
    <w:tmpl w:val="CFE04558"/>
    <w:lvl w:ilvl="0" w:tplc="372E5CE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10703E5"/>
    <w:multiLevelType w:val="hybridMultilevel"/>
    <w:tmpl w:val="F70C2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5731E"/>
    <w:multiLevelType w:val="hybridMultilevel"/>
    <w:tmpl w:val="C506EAA2"/>
    <w:lvl w:ilvl="0" w:tplc="A9C209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731F2A"/>
    <w:multiLevelType w:val="hybridMultilevel"/>
    <w:tmpl w:val="742AE07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nsid w:val="37365BB7"/>
    <w:multiLevelType w:val="hybridMultilevel"/>
    <w:tmpl w:val="F4DAE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6385C"/>
    <w:multiLevelType w:val="hybridMultilevel"/>
    <w:tmpl w:val="C930F3A8"/>
    <w:lvl w:ilvl="0" w:tplc="257C7B4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1FF6"/>
    <w:multiLevelType w:val="hybridMultilevel"/>
    <w:tmpl w:val="DE564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C07EF"/>
    <w:multiLevelType w:val="hybridMultilevel"/>
    <w:tmpl w:val="9FACF570"/>
    <w:lvl w:ilvl="0" w:tplc="6302BAA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07E3692"/>
    <w:multiLevelType w:val="hybridMultilevel"/>
    <w:tmpl w:val="05D62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FB0947"/>
    <w:multiLevelType w:val="hybridMultilevel"/>
    <w:tmpl w:val="348E8F0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76172F9"/>
    <w:multiLevelType w:val="hybridMultilevel"/>
    <w:tmpl w:val="FF863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3840865"/>
    <w:multiLevelType w:val="hybridMultilevel"/>
    <w:tmpl w:val="6DB2B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9437B6"/>
    <w:multiLevelType w:val="hybridMultilevel"/>
    <w:tmpl w:val="E3A24FF6"/>
    <w:lvl w:ilvl="0" w:tplc="1050223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0F006A"/>
    <w:multiLevelType w:val="hybridMultilevel"/>
    <w:tmpl w:val="3E408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071D0"/>
    <w:multiLevelType w:val="hybridMultilevel"/>
    <w:tmpl w:val="1730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C624AB"/>
    <w:multiLevelType w:val="hybridMultilevel"/>
    <w:tmpl w:val="3F9E1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A9645B"/>
    <w:multiLevelType w:val="hybridMultilevel"/>
    <w:tmpl w:val="FB6260B2"/>
    <w:lvl w:ilvl="0" w:tplc="1AD268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D52575"/>
    <w:multiLevelType w:val="hybridMultilevel"/>
    <w:tmpl w:val="8078EC56"/>
    <w:lvl w:ilvl="0" w:tplc="504246E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1">
    <w:nsid w:val="7A8C2847"/>
    <w:multiLevelType w:val="hybridMultilevel"/>
    <w:tmpl w:val="160C446E"/>
    <w:lvl w:ilvl="0" w:tplc="D89C6A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16"/>
  </w:num>
  <w:num w:numId="5">
    <w:abstractNumId w:val="30"/>
  </w:num>
  <w:num w:numId="6">
    <w:abstractNumId w:val="2"/>
  </w:num>
  <w:num w:numId="7">
    <w:abstractNumId w:val="25"/>
  </w:num>
  <w:num w:numId="8">
    <w:abstractNumId w:val="9"/>
  </w:num>
  <w:num w:numId="9">
    <w:abstractNumId w:val="10"/>
  </w:num>
  <w:num w:numId="10">
    <w:abstractNumId w:val="18"/>
  </w:num>
  <w:num w:numId="11">
    <w:abstractNumId w:val="3"/>
  </w:num>
  <w:num w:numId="12">
    <w:abstractNumId w:val="12"/>
  </w:num>
  <w:num w:numId="13">
    <w:abstractNumId w:val="15"/>
  </w:num>
  <w:num w:numId="14">
    <w:abstractNumId w:val="20"/>
  </w:num>
  <w:num w:numId="15">
    <w:abstractNumId w:val="4"/>
  </w:num>
  <w:num w:numId="16">
    <w:abstractNumId w:val="23"/>
  </w:num>
  <w:num w:numId="17">
    <w:abstractNumId w:val="22"/>
  </w:num>
  <w:num w:numId="18">
    <w:abstractNumId w:val="26"/>
  </w:num>
  <w:num w:numId="19">
    <w:abstractNumId w:val="19"/>
  </w:num>
  <w:num w:numId="20">
    <w:abstractNumId w:val="5"/>
  </w:num>
  <w:num w:numId="21">
    <w:abstractNumId w:val="28"/>
  </w:num>
  <w:num w:numId="22">
    <w:abstractNumId w:val="0"/>
  </w:num>
  <w:num w:numId="23">
    <w:abstractNumId w:val="24"/>
  </w:num>
  <w:num w:numId="24">
    <w:abstractNumId w:val="14"/>
  </w:num>
  <w:num w:numId="25">
    <w:abstractNumId w:val="6"/>
  </w:num>
  <w:num w:numId="26">
    <w:abstractNumId w:val="29"/>
  </w:num>
  <w:num w:numId="27">
    <w:abstractNumId w:val="21"/>
  </w:num>
  <w:num w:numId="28">
    <w:abstractNumId w:val="11"/>
  </w:num>
  <w:num w:numId="29">
    <w:abstractNumId w:val="8"/>
  </w:num>
  <w:num w:numId="30">
    <w:abstractNumId w:val="17"/>
  </w:num>
  <w:num w:numId="31">
    <w:abstractNumId w:val="3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06"/>
    <w:rsid w:val="000002D6"/>
    <w:rsid w:val="00005E44"/>
    <w:rsid w:val="00010B6A"/>
    <w:rsid w:val="00010F99"/>
    <w:rsid w:val="00027806"/>
    <w:rsid w:val="00030224"/>
    <w:rsid w:val="00037A55"/>
    <w:rsid w:val="00050ACC"/>
    <w:rsid w:val="00051DB6"/>
    <w:rsid w:val="00070256"/>
    <w:rsid w:val="00085735"/>
    <w:rsid w:val="00086280"/>
    <w:rsid w:val="00087376"/>
    <w:rsid w:val="000A682A"/>
    <w:rsid w:val="000A76A8"/>
    <w:rsid w:val="000B409F"/>
    <w:rsid w:val="000B627E"/>
    <w:rsid w:val="000B6786"/>
    <w:rsid w:val="000C1B2B"/>
    <w:rsid w:val="000C78ED"/>
    <w:rsid w:val="000D0758"/>
    <w:rsid w:val="000D39E6"/>
    <w:rsid w:val="000D57CD"/>
    <w:rsid w:val="000D6414"/>
    <w:rsid w:val="000E358A"/>
    <w:rsid w:val="001123CF"/>
    <w:rsid w:val="00122845"/>
    <w:rsid w:val="001275B4"/>
    <w:rsid w:val="00130990"/>
    <w:rsid w:val="00142381"/>
    <w:rsid w:val="0014459F"/>
    <w:rsid w:val="00146E9F"/>
    <w:rsid w:val="001477E9"/>
    <w:rsid w:val="001508D2"/>
    <w:rsid w:val="001573E1"/>
    <w:rsid w:val="00160CD0"/>
    <w:rsid w:val="001719C3"/>
    <w:rsid w:val="001720B0"/>
    <w:rsid w:val="00177D87"/>
    <w:rsid w:val="00180464"/>
    <w:rsid w:val="001940EE"/>
    <w:rsid w:val="001B73F1"/>
    <w:rsid w:val="001C5CA4"/>
    <w:rsid w:val="001D5502"/>
    <w:rsid w:val="001E3885"/>
    <w:rsid w:val="001E3DD9"/>
    <w:rsid w:val="001F29F2"/>
    <w:rsid w:val="001F3750"/>
    <w:rsid w:val="001F539A"/>
    <w:rsid w:val="002010FC"/>
    <w:rsid w:val="002042A0"/>
    <w:rsid w:val="00227B20"/>
    <w:rsid w:val="00231CFE"/>
    <w:rsid w:val="00243687"/>
    <w:rsid w:val="00243791"/>
    <w:rsid w:val="00245EFD"/>
    <w:rsid w:val="00247E84"/>
    <w:rsid w:val="00251800"/>
    <w:rsid w:val="002537C7"/>
    <w:rsid w:val="00253DBD"/>
    <w:rsid w:val="00263E44"/>
    <w:rsid w:val="00266BAF"/>
    <w:rsid w:val="00267395"/>
    <w:rsid w:val="002A3224"/>
    <w:rsid w:val="002A42BE"/>
    <w:rsid w:val="002B1922"/>
    <w:rsid w:val="002B401E"/>
    <w:rsid w:val="002B49DC"/>
    <w:rsid w:val="002B741A"/>
    <w:rsid w:val="002C4C19"/>
    <w:rsid w:val="002C5EE8"/>
    <w:rsid w:val="002E2477"/>
    <w:rsid w:val="002E7968"/>
    <w:rsid w:val="002F0762"/>
    <w:rsid w:val="00305242"/>
    <w:rsid w:val="00310511"/>
    <w:rsid w:val="00310B25"/>
    <w:rsid w:val="00325F16"/>
    <w:rsid w:val="003319EE"/>
    <w:rsid w:val="0033264F"/>
    <w:rsid w:val="003445B7"/>
    <w:rsid w:val="00346838"/>
    <w:rsid w:val="003539C3"/>
    <w:rsid w:val="00354AFA"/>
    <w:rsid w:val="003557D8"/>
    <w:rsid w:val="003628CA"/>
    <w:rsid w:val="00366453"/>
    <w:rsid w:val="00372A32"/>
    <w:rsid w:val="003861BD"/>
    <w:rsid w:val="00387CDD"/>
    <w:rsid w:val="003A483F"/>
    <w:rsid w:val="003B0E1B"/>
    <w:rsid w:val="003B3058"/>
    <w:rsid w:val="003B3BBA"/>
    <w:rsid w:val="003C2DA7"/>
    <w:rsid w:val="003C605E"/>
    <w:rsid w:val="003F0B3B"/>
    <w:rsid w:val="003F5F57"/>
    <w:rsid w:val="003F7C87"/>
    <w:rsid w:val="00401CCC"/>
    <w:rsid w:val="00403BFE"/>
    <w:rsid w:val="00412476"/>
    <w:rsid w:val="00417C65"/>
    <w:rsid w:val="0042152D"/>
    <w:rsid w:val="004217B4"/>
    <w:rsid w:val="00424A12"/>
    <w:rsid w:val="00444B91"/>
    <w:rsid w:val="00456732"/>
    <w:rsid w:val="00464238"/>
    <w:rsid w:val="004663F0"/>
    <w:rsid w:val="004666ED"/>
    <w:rsid w:val="00476251"/>
    <w:rsid w:val="004771AB"/>
    <w:rsid w:val="004860E7"/>
    <w:rsid w:val="00492708"/>
    <w:rsid w:val="00495B67"/>
    <w:rsid w:val="00495FD7"/>
    <w:rsid w:val="004A2DF9"/>
    <w:rsid w:val="004A4E51"/>
    <w:rsid w:val="004A588C"/>
    <w:rsid w:val="004B40B1"/>
    <w:rsid w:val="004B5E4D"/>
    <w:rsid w:val="004C7CEE"/>
    <w:rsid w:val="004C7FB8"/>
    <w:rsid w:val="004D5BE1"/>
    <w:rsid w:val="004E4EA7"/>
    <w:rsid w:val="004E64E8"/>
    <w:rsid w:val="004E65A3"/>
    <w:rsid w:val="004E7235"/>
    <w:rsid w:val="004E7843"/>
    <w:rsid w:val="004F35D6"/>
    <w:rsid w:val="004F6072"/>
    <w:rsid w:val="005060F3"/>
    <w:rsid w:val="00506F69"/>
    <w:rsid w:val="0050700C"/>
    <w:rsid w:val="00515851"/>
    <w:rsid w:val="00534A73"/>
    <w:rsid w:val="00537847"/>
    <w:rsid w:val="0054188D"/>
    <w:rsid w:val="00541E58"/>
    <w:rsid w:val="00543BA8"/>
    <w:rsid w:val="005442E5"/>
    <w:rsid w:val="00544A63"/>
    <w:rsid w:val="0055730A"/>
    <w:rsid w:val="0055745B"/>
    <w:rsid w:val="00563D60"/>
    <w:rsid w:val="005942E2"/>
    <w:rsid w:val="00597FC9"/>
    <w:rsid w:val="005A0391"/>
    <w:rsid w:val="005A09B8"/>
    <w:rsid w:val="005B2568"/>
    <w:rsid w:val="005B3DB9"/>
    <w:rsid w:val="005C65AA"/>
    <w:rsid w:val="005E09A7"/>
    <w:rsid w:val="005E789B"/>
    <w:rsid w:val="005F520A"/>
    <w:rsid w:val="005F5B8D"/>
    <w:rsid w:val="005F7010"/>
    <w:rsid w:val="005F778B"/>
    <w:rsid w:val="005F778C"/>
    <w:rsid w:val="0060341D"/>
    <w:rsid w:val="00603BF5"/>
    <w:rsid w:val="006133A1"/>
    <w:rsid w:val="00620C2B"/>
    <w:rsid w:val="00621BD0"/>
    <w:rsid w:val="00630699"/>
    <w:rsid w:val="00631F7C"/>
    <w:rsid w:val="00641B20"/>
    <w:rsid w:val="00643B95"/>
    <w:rsid w:val="006473EA"/>
    <w:rsid w:val="0065273E"/>
    <w:rsid w:val="00655FD4"/>
    <w:rsid w:val="00656E7C"/>
    <w:rsid w:val="0066280F"/>
    <w:rsid w:val="00662CD2"/>
    <w:rsid w:val="00663C97"/>
    <w:rsid w:val="00675C5E"/>
    <w:rsid w:val="00687217"/>
    <w:rsid w:val="0069664E"/>
    <w:rsid w:val="006A13FE"/>
    <w:rsid w:val="006A23C7"/>
    <w:rsid w:val="006B573F"/>
    <w:rsid w:val="006C261B"/>
    <w:rsid w:val="006C38C9"/>
    <w:rsid w:val="006D4813"/>
    <w:rsid w:val="006D5C4F"/>
    <w:rsid w:val="006D7715"/>
    <w:rsid w:val="006F4105"/>
    <w:rsid w:val="006F4455"/>
    <w:rsid w:val="00702BDC"/>
    <w:rsid w:val="007045B4"/>
    <w:rsid w:val="007077C2"/>
    <w:rsid w:val="00710675"/>
    <w:rsid w:val="007132D0"/>
    <w:rsid w:val="00726D59"/>
    <w:rsid w:val="007303E6"/>
    <w:rsid w:val="00732D63"/>
    <w:rsid w:val="007512E2"/>
    <w:rsid w:val="00754938"/>
    <w:rsid w:val="00763ECC"/>
    <w:rsid w:val="00770FE1"/>
    <w:rsid w:val="007A0D81"/>
    <w:rsid w:val="007A1059"/>
    <w:rsid w:val="007A5012"/>
    <w:rsid w:val="007A7D7B"/>
    <w:rsid w:val="007C0510"/>
    <w:rsid w:val="007C2BA9"/>
    <w:rsid w:val="007D4646"/>
    <w:rsid w:val="007E0319"/>
    <w:rsid w:val="007E3CD2"/>
    <w:rsid w:val="007E67B8"/>
    <w:rsid w:val="007F5FB2"/>
    <w:rsid w:val="008063BB"/>
    <w:rsid w:val="00807D74"/>
    <w:rsid w:val="00821645"/>
    <w:rsid w:val="00827CFF"/>
    <w:rsid w:val="008467BA"/>
    <w:rsid w:val="0085284C"/>
    <w:rsid w:val="00855182"/>
    <w:rsid w:val="00860D4D"/>
    <w:rsid w:val="00865698"/>
    <w:rsid w:val="008669F7"/>
    <w:rsid w:val="00866A23"/>
    <w:rsid w:val="00867011"/>
    <w:rsid w:val="00870F3A"/>
    <w:rsid w:val="008729D7"/>
    <w:rsid w:val="0087560A"/>
    <w:rsid w:val="0088128E"/>
    <w:rsid w:val="00896B11"/>
    <w:rsid w:val="00896EE6"/>
    <w:rsid w:val="008A5E3C"/>
    <w:rsid w:val="008B2CB9"/>
    <w:rsid w:val="008B3688"/>
    <w:rsid w:val="008B463F"/>
    <w:rsid w:val="008C373C"/>
    <w:rsid w:val="008E1336"/>
    <w:rsid w:val="008E5051"/>
    <w:rsid w:val="008F2B9A"/>
    <w:rsid w:val="00916A27"/>
    <w:rsid w:val="009533BC"/>
    <w:rsid w:val="00955760"/>
    <w:rsid w:val="009560D1"/>
    <w:rsid w:val="009675BB"/>
    <w:rsid w:val="0097312E"/>
    <w:rsid w:val="0097768E"/>
    <w:rsid w:val="00980066"/>
    <w:rsid w:val="00992241"/>
    <w:rsid w:val="0099325C"/>
    <w:rsid w:val="00995580"/>
    <w:rsid w:val="009A374C"/>
    <w:rsid w:val="009B0CF1"/>
    <w:rsid w:val="009B1935"/>
    <w:rsid w:val="009B1EBD"/>
    <w:rsid w:val="009C00D8"/>
    <w:rsid w:val="009C3E2D"/>
    <w:rsid w:val="009E3B62"/>
    <w:rsid w:val="00A03393"/>
    <w:rsid w:val="00A04BE3"/>
    <w:rsid w:val="00A14CC5"/>
    <w:rsid w:val="00A155C7"/>
    <w:rsid w:val="00A32B07"/>
    <w:rsid w:val="00A33D83"/>
    <w:rsid w:val="00A42F06"/>
    <w:rsid w:val="00A444BB"/>
    <w:rsid w:val="00A465E7"/>
    <w:rsid w:val="00A50F21"/>
    <w:rsid w:val="00A563B6"/>
    <w:rsid w:val="00A62A6D"/>
    <w:rsid w:val="00A63034"/>
    <w:rsid w:val="00A67565"/>
    <w:rsid w:val="00A82C9E"/>
    <w:rsid w:val="00A863B5"/>
    <w:rsid w:val="00A91060"/>
    <w:rsid w:val="00A92D75"/>
    <w:rsid w:val="00A96E13"/>
    <w:rsid w:val="00AA0E3E"/>
    <w:rsid w:val="00AB2F7B"/>
    <w:rsid w:val="00AB3545"/>
    <w:rsid w:val="00AC0E10"/>
    <w:rsid w:val="00AC350A"/>
    <w:rsid w:val="00AC5A08"/>
    <w:rsid w:val="00AE1879"/>
    <w:rsid w:val="00AF6036"/>
    <w:rsid w:val="00B0239A"/>
    <w:rsid w:val="00B122D0"/>
    <w:rsid w:val="00B20454"/>
    <w:rsid w:val="00B21531"/>
    <w:rsid w:val="00B34930"/>
    <w:rsid w:val="00B526A4"/>
    <w:rsid w:val="00B96678"/>
    <w:rsid w:val="00B96C7F"/>
    <w:rsid w:val="00B970EB"/>
    <w:rsid w:val="00BA1516"/>
    <w:rsid w:val="00BB05A4"/>
    <w:rsid w:val="00BB5689"/>
    <w:rsid w:val="00BB6106"/>
    <w:rsid w:val="00BB67CF"/>
    <w:rsid w:val="00BE4D15"/>
    <w:rsid w:val="00BE5565"/>
    <w:rsid w:val="00BF2350"/>
    <w:rsid w:val="00BF3FBB"/>
    <w:rsid w:val="00BF4C91"/>
    <w:rsid w:val="00C00684"/>
    <w:rsid w:val="00C06113"/>
    <w:rsid w:val="00C131DE"/>
    <w:rsid w:val="00C15A44"/>
    <w:rsid w:val="00C235B8"/>
    <w:rsid w:val="00C25F82"/>
    <w:rsid w:val="00C36A87"/>
    <w:rsid w:val="00C50BC4"/>
    <w:rsid w:val="00C5199B"/>
    <w:rsid w:val="00C552E0"/>
    <w:rsid w:val="00C57EAE"/>
    <w:rsid w:val="00C61180"/>
    <w:rsid w:val="00C70873"/>
    <w:rsid w:val="00C70DBA"/>
    <w:rsid w:val="00C71DC5"/>
    <w:rsid w:val="00C7735D"/>
    <w:rsid w:val="00C808EF"/>
    <w:rsid w:val="00C819B4"/>
    <w:rsid w:val="00C95072"/>
    <w:rsid w:val="00CA4D83"/>
    <w:rsid w:val="00CB5F0F"/>
    <w:rsid w:val="00CC1D5C"/>
    <w:rsid w:val="00CE22E8"/>
    <w:rsid w:val="00CE5BF2"/>
    <w:rsid w:val="00CE5E15"/>
    <w:rsid w:val="00CF3C91"/>
    <w:rsid w:val="00D03CEB"/>
    <w:rsid w:val="00D15263"/>
    <w:rsid w:val="00D152B1"/>
    <w:rsid w:val="00D164F1"/>
    <w:rsid w:val="00D20675"/>
    <w:rsid w:val="00D206A1"/>
    <w:rsid w:val="00D261CD"/>
    <w:rsid w:val="00D34AB5"/>
    <w:rsid w:val="00D42EF2"/>
    <w:rsid w:val="00D51AB7"/>
    <w:rsid w:val="00D62A07"/>
    <w:rsid w:val="00D733B9"/>
    <w:rsid w:val="00D81A37"/>
    <w:rsid w:val="00D9302D"/>
    <w:rsid w:val="00D95633"/>
    <w:rsid w:val="00D973F8"/>
    <w:rsid w:val="00DC152B"/>
    <w:rsid w:val="00DD2980"/>
    <w:rsid w:val="00DD4B30"/>
    <w:rsid w:val="00DE1AC3"/>
    <w:rsid w:val="00DE4686"/>
    <w:rsid w:val="00DE6848"/>
    <w:rsid w:val="00DF3C40"/>
    <w:rsid w:val="00DF605C"/>
    <w:rsid w:val="00DF7F5A"/>
    <w:rsid w:val="00E02542"/>
    <w:rsid w:val="00E062B8"/>
    <w:rsid w:val="00E13144"/>
    <w:rsid w:val="00E1695F"/>
    <w:rsid w:val="00E30208"/>
    <w:rsid w:val="00E32DA3"/>
    <w:rsid w:val="00E33237"/>
    <w:rsid w:val="00E348EC"/>
    <w:rsid w:val="00E51595"/>
    <w:rsid w:val="00E60C88"/>
    <w:rsid w:val="00E67CF7"/>
    <w:rsid w:val="00E7528B"/>
    <w:rsid w:val="00E81BD6"/>
    <w:rsid w:val="00E84400"/>
    <w:rsid w:val="00E92196"/>
    <w:rsid w:val="00EA2529"/>
    <w:rsid w:val="00EA7E0D"/>
    <w:rsid w:val="00EB11C8"/>
    <w:rsid w:val="00EB1BD2"/>
    <w:rsid w:val="00EB478A"/>
    <w:rsid w:val="00EB6C02"/>
    <w:rsid w:val="00EC2618"/>
    <w:rsid w:val="00EC5BB2"/>
    <w:rsid w:val="00ED4022"/>
    <w:rsid w:val="00EF3EB3"/>
    <w:rsid w:val="00F02244"/>
    <w:rsid w:val="00F130D6"/>
    <w:rsid w:val="00F34E8A"/>
    <w:rsid w:val="00F43341"/>
    <w:rsid w:val="00F43AD7"/>
    <w:rsid w:val="00F61B77"/>
    <w:rsid w:val="00F61FF6"/>
    <w:rsid w:val="00F653D1"/>
    <w:rsid w:val="00F7181F"/>
    <w:rsid w:val="00F71F8C"/>
    <w:rsid w:val="00F9357A"/>
    <w:rsid w:val="00F97055"/>
    <w:rsid w:val="00FB1D40"/>
    <w:rsid w:val="00FB4E53"/>
    <w:rsid w:val="00FC5E9F"/>
    <w:rsid w:val="00FC6919"/>
    <w:rsid w:val="00FE64D8"/>
    <w:rsid w:val="00FF13C5"/>
    <w:rsid w:val="00FF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2F06"/>
    <w:pPr>
      <w:ind w:left="720"/>
      <w:contextualSpacing/>
    </w:pPr>
  </w:style>
  <w:style w:type="character" w:styleId="Hyperlink">
    <w:name w:val="Hyperlink"/>
    <w:basedOn w:val="DefaultParagraphFont"/>
    <w:uiPriority w:val="99"/>
    <w:semiHidden/>
    <w:unhideWhenUsed/>
    <w:rsid w:val="003319EE"/>
    <w:rPr>
      <w:color w:val="0000FF" w:themeColor="hyperlink"/>
      <w:u w:val="single"/>
    </w:rPr>
  </w:style>
  <w:style w:type="paragraph" w:customStyle="1" w:styleId="Default">
    <w:name w:val="Default"/>
    <w:rsid w:val="003319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3319EE"/>
    <w:rPr>
      <w:vertAlign w:val="superscript"/>
    </w:rPr>
  </w:style>
  <w:style w:type="paragraph" w:styleId="FootnoteText">
    <w:name w:val="footnote text"/>
    <w:basedOn w:val="Normal"/>
    <w:link w:val="FootnoteTextChar"/>
    <w:uiPriority w:val="99"/>
    <w:semiHidden/>
    <w:unhideWhenUsed/>
    <w:rsid w:val="00331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9EE"/>
    <w:rPr>
      <w:sz w:val="20"/>
      <w:szCs w:val="20"/>
    </w:rPr>
  </w:style>
  <w:style w:type="character" w:styleId="CommentReference">
    <w:name w:val="annotation reference"/>
    <w:basedOn w:val="DefaultParagraphFont"/>
    <w:uiPriority w:val="99"/>
    <w:semiHidden/>
    <w:unhideWhenUsed/>
    <w:rsid w:val="0099325C"/>
    <w:rPr>
      <w:sz w:val="16"/>
      <w:szCs w:val="16"/>
    </w:rPr>
  </w:style>
  <w:style w:type="paragraph" w:styleId="CommentText">
    <w:name w:val="annotation text"/>
    <w:basedOn w:val="Normal"/>
    <w:link w:val="CommentTextChar"/>
    <w:uiPriority w:val="99"/>
    <w:unhideWhenUsed/>
    <w:rsid w:val="0099325C"/>
    <w:pPr>
      <w:spacing w:line="240" w:lineRule="auto"/>
    </w:pPr>
    <w:rPr>
      <w:sz w:val="20"/>
      <w:szCs w:val="20"/>
    </w:rPr>
  </w:style>
  <w:style w:type="character" w:customStyle="1" w:styleId="CommentTextChar">
    <w:name w:val="Comment Text Char"/>
    <w:basedOn w:val="DefaultParagraphFont"/>
    <w:link w:val="CommentText"/>
    <w:uiPriority w:val="99"/>
    <w:rsid w:val="0099325C"/>
    <w:rPr>
      <w:sz w:val="20"/>
      <w:szCs w:val="20"/>
    </w:rPr>
  </w:style>
  <w:style w:type="paragraph" w:styleId="CommentSubject">
    <w:name w:val="annotation subject"/>
    <w:basedOn w:val="CommentText"/>
    <w:next w:val="CommentText"/>
    <w:link w:val="CommentSubjectChar"/>
    <w:uiPriority w:val="99"/>
    <w:semiHidden/>
    <w:unhideWhenUsed/>
    <w:rsid w:val="0099325C"/>
    <w:rPr>
      <w:b/>
      <w:bCs/>
    </w:rPr>
  </w:style>
  <w:style w:type="character" w:customStyle="1" w:styleId="CommentSubjectChar">
    <w:name w:val="Comment Subject Char"/>
    <w:basedOn w:val="CommentTextChar"/>
    <w:link w:val="CommentSubject"/>
    <w:uiPriority w:val="99"/>
    <w:semiHidden/>
    <w:rsid w:val="0099325C"/>
    <w:rPr>
      <w:b/>
      <w:bCs/>
      <w:sz w:val="20"/>
      <w:szCs w:val="20"/>
    </w:rPr>
  </w:style>
  <w:style w:type="paragraph" w:styleId="BalloonText">
    <w:name w:val="Balloon Text"/>
    <w:basedOn w:val="Normal"/>
    <w:link w:val="BalloonTextChar"/>
    <w:uiPriority w:val="99"/>
    <w:semiHidden/>
    <w:unhideWhenUsed/>
    <w:rsid w:val="0099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25C"/>
    <w:rPr>
      <w:rFonts w:ascii="Tahoma" w:hAnsi="Tahoma" w:cs="Tahoma"/>
      <w:sz w:val="16"/>
      <w:szCs w:val="16"/>
    </w:rPr>
  </w:style>
  <w:style w:type="paragraph" w:styleId="Header">
    <w:name w:val="header"/>
    <w:basedOn w:val="Normal"/>
    <w:link w:val="HeaderChar"/>
    <w:uiPriority w:val="99"/>
    <w:unhideWhenUsed/>
    <w:rsid w:val="0063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F7C"/>
  </w:style>
  <w:style w:type="paragraph" w:styleId="Footer">
    <w:name w:val="footer"/>
    <w:basedOn w:val="Normal"/>
    <w:link w:val="FooterChar"/>
    <w:uiPriority w:val="99"/>
    <w:unhideWhenUsed/>
    <w:rsid w:val="0063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F7C"/>
  </w:style>
  <w:style w:type="paragraph" w:styleId="Revision">
    <w:name w:val="Revision"/>
    <w:hidden/>
    <w:uiPriority w:val="99"/>
    <w:semiHidden/>
    <w:rsid w:val="00F9357A"/>
    <w:pPr>
      <w:spacing w:after="0" w:line="240" w:lineRule="auto"/>
    </w:pPr>
  </w:style>
  <w:style w:type="table" w:customStyle="1" w:styleId="TableGrid1">
    <w:name w:val="Table Grid1"/>
    <w:basedOn w:val="TableNormal"/>
    <w:next w:val="TableGrid"/>
    <w:uiPriority w:val="59"/>
    <w:rsid w:val="001E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2F06"/>
    <w:pPr>
      <w:ind w:left="720"/>
      <w:contextualSpacing/>
    </w:pPr>
  </w:style>
  <w:style w:type="character" w:styleId="Hyperlink">
    <w:name w:val="Hyperlink"/>
    <w:basedOn w:val="DefaultParagraphFont"/>
    <w:uiPriority w:val="99"/>
    <w:semiHidden/>
    <w:unhideWhenUsed/>
    <w:rsid w:val="003319EE"/>
    <w:rPr>
      <w:color w:val="0000FF" w:themeColor="hyperlink"/>
      <w:u w:val="single"/>
    </w:rPr>
  </w:style>
  <w:style w:type="paragraph" w:customStyle="1" w:styleId="Default">
    <w:name w:val="Default"/>
    <w:rsid w:val="003319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3319EE"/>
    <w:rPr>
      <w:vertAlign w:val="superscript"/>
    </w:rPr>
  </w:style>
  <w:style w:type="paragraph" w:styleId="FootnoteText">
    <w:name w:val="footnote text"/>
    <w:basedOn w:val="Normal"/>
    <w:link w:val="FootnoteTextChar"/>
    <w:uiPriority w:val="99"/>
    <w:semiHidden/>
    <w:unhideWhenUsed/>
    <w:rsid w:val="00331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9EE"/>
    <w:rPr>
      <w:sz w:val="20"/>
      <w:szCs w:val="20"/>
    </w:rPr>
  </w:style>
  <w:style w:type="character" w:styleId="CommentReference">
    <w:name w:val="annotation reference"/>
    <w:basedOn w:val="DefaultParagraphFont"/>
    <w:uiPriority w:val="99"/>
    <w:semiHidden/>
    <w:unhideWhenUsed/>
    <w:rsid w:val="0099325C"/>
    <w:rPr>
      <w:sz w:val="16"/>
      <w:szCs w:val="16"/>
    </w:rPr>
  </w:style>
  <w:style w:type="paragraph" w:styleId="CommentText">
    <w:name w:val="annotation text"/>
    <w:basedOn w:val="Normal"/>
    <w:link w:val="CommentTextChar"/>
    <w:uiPriority w:val="99"/>
    <w:unhideWhenUsed/>
    <w:rsid w:val="0099325C"/>
    <w:pPr>
      <w:spacing w:line="240" w:lineRule="auto"/>
    </w:pPr>
    <w:rPr>
      <w:sz w:val="20"/>
      <w:szCs w:val="20"/>
    </w:rPr>
  </w:style>
  <w:style w:type="character" w:customStyle="1" w:styleId="CommentTextChar">
    <w:name w:val="Comment Text Char"/>
    <w:basedOn w:val="DefaultParagraphFont"/>
    <w:link w:val="CommentText"/>
    <w:uiPriority w:val="99"/>
    <w:rsid w:val="0099325C"/>
    <w:rPr>
      <w:sz w:val="20"/>
      <w:szCs w:val="20"/>
    </w:rPr>
  </w:style>
  <w:style w:type="paragraph" w:styleId="CommentSubject">
    <w:name w:val="annotation subject"/>
    <w:basedOn w:val="CommentText"/>
    <w:next w:val="CommentText"/>
    <w:link w:val="CommentSubjectChar"/>
    <w:uiPriority w:val="99"/>
    <w:semiHidden/>
    <w:unhideWhenUsed/>
    <w:rsid w:val="0099325C"/>
    <w:rPr>
      <w:b/>
      <w:bCs/>
    </w:rPr>
  </w:style>
  <w:style w:type="character" w:customStyle="1" w:styleId="CommentSubjectChar">
    <w:name w:val="Comment Subject Char"/>
    <w:basedOn w:val="CommentTextChar"/>
    <w:link w:val="CommentSubject"/>
    <w:uiPriority w:val="99"/>
    <w:semiHidden/>
    <w:rsid w:val="0099325C"/>
    <w:rPr>
      <w:b/>
      <w:bCs/>
      <w:sz w:val="20"/>
      <w:szCs w:val="20"/>
    </w:rPr>
  </w:style>
  <w:style w:type="paragraph" w:styleId="BalloonText">
    <w:name w:val="Balloon Text"/>
    <w:basedOn w:val="Normal"/>
    <w:link w:val="BalloonTextChar"/>
    <w:uiPriority w:val="99"/>
    <w:semiHidden/>
    <w:unhideWhenUsed/>
    <w:rsid w:val="0099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25C"/>
    <w:rPr>
      <w:rFonts w:ascii="Tahoma" w:hAnsi="Tahoma" w:cs="Tahoma"/>
      <w:sz w:val="16"/>
      <w:szCs w:val="16"/>
    </w:rPr>
  </w:style>
  <w:style w:type="paragraph" w:styleId="Header">
    <w:name w:val="header"/>
    <w:basedOn w:val="Normal"/>
    <w:link w:val="HeaderChar"/>
    <w:uiPriority w:val="99"/>
    <w:unhideWhenUsed/>
    <w:rsid w:val="0063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F7C"/>
  </w:style>
  <w:style w:type="paragraph" w:styleId="Footer">
    <w:name w:val="footer"/>
    <w:basedOn w:val="Normal"/>
    <w:link w:val="FooterChar"/>
    <w:uiPriority w:val="99"/>
    <w:unhideWhenUsed/>
    <w:rsid w:val="0063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F7C"/>
  </w:style>
  <w:style w:type="paragraph" w:styleId="Revision">
    <w:name w:val="Revision"/>
    <w:hidden/>
    <w:uiPriority w:val="99"/>
    <w:semiHidden/>
    <w:rsid w:val="00F9357A"/>
    <w:pPr>
      <w:spacing w:after="0" w:line="240" w:lineRule="auto"/>
    </w:pPr>
  </w:style>
  <w:style w:type="table" w:customStyle="1" w:styleId="TableGrid1">
    <w:name w:val="Table Grid1"/>
    <w:basedOn w:val="TableNormal"/>
    <w:next w:val="TableGrid"/>
    <w:uiPriority w:val="59"/>
    <w:rsid w:val="001E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3420">
      <w:bodyDiv w:val="1"/>
      <w:marLeft w:val="0"/>
      <w:marRight w:val="0"/>
      <w:marTop w:val="0"/>
      <w:marBottom w:val="0"/>
      <w:divBdr>
        <w:top w:val="none" w:sz="0" w:space="0" w:color="auto"/>
        <w:left w:val="none" w:sz="0" w:space="0" w:color="auto"/>
        <w:bottom w:val="none" w:sz="0" w:space="0" w:color="auto"/>
        <w:right w:val="none" w:sz="0" w:space="0" w:color="auto"/>
      </w:divBdr>
    </w:div>
    <w:div w:id="126895553">
      <w:bodyDiv w:val="1"/>
      <w:marLeft w:val="0"/>
      <w:marRight w:val="0"/>
      <w:marTop w:val="0"/>
      <w:marBottom w:val="0"/>
      <w:divBdr>
        <w:top w:val="none" w:sz="0" w:space="0" w:color="auto"/>
        <w:left w:val="none" w:sz="0" w:space="0" w:color="auto"/>
        <w:bottom w:val="none" w:sz="0" w:space="0" w:color="auto"/>
        <w:right w:val="none" w:sz="0" w:space="0" w:color="auto"/>
      </w:divBdr>
    </w:div>
    <w:div w:id="204567813">
      <w:bodyDiv w:val="1"/>
      <w:marLeft w:val="0"/>
      <w:marRight w:val="0"/>
      <w:marTop w:val="0"/>
      <w:marBottom w:val="0"/>
      <w:divBdr>
        <w:top w:val="none" w:sz="0" w:space="0" w:color="auto"/>
        <w:left w:val="none" w:sz="0" w:space="0" w:color="auto"/>
        <w:bottom w:val="none" w:sz="0" w:space="0" w:color="auto"/>
        <w:right w:val="none" w:sz="0" w:space="0" w:color="auto"/>
      </w:divBdr>
    </w:div>
    <w:div w:id="306592910">
      <w:bodyDiv w:val="1"/>
      <w:marLeft w:val="0"/>
      <w:marRight w:val="0"/>
      <w:marTop w:val="0"/>
      <w:marBottom w:val="0"/>
      <w:divBdr>
        <w:top w:val="none" w:sz="0" w:space="0" w:color="auto"/>
        <w:left w:val="none" w:sz="0" w:space="0" w:color="auto"/>
        <w:bottom w:val="none" w:sz="0" w:space="0" w:color="auto"/>
        <w:right w:val="none" w:sz="0" w:space="0" w:color="auto"/>
      </w:divBdr>
    </w:div>
    <w:div w:id="491528528">
      <w:bodyDiv w:val="1"/>
      <w:marLeft w:val="0"/>
      <w:marRight w:val="0"/>
      <w:marTop w:val="0"/>
      <w:marBottom w:val="0"/>
      <w:divBdr>
        <w:top w:val="none" w:sz="0" w:space="0" w:color="auto"/>
        <w:left w:val="none" w:sz="0" w:space="0" w:color="auto"/>
        <w:bottom w:val="none" w:sz="0" w:space="0" w:color="auto"/>
        <w:right w:val="none" w:sz="0" w:space="0" w:color="auto"/>
      </w:divBdr>
    </w:div>
    <w:div w:id="574358445">
      <w:bodyDiv w:val="1"/>
      <w:marLeft w:val="0"/>
      <w:marRight w:val="0"/>
      <w:marTop w:val="0"/>
      <w:marBottom w:val="0"/>
      <w:divBdr>
        <w:top w:val="none" w:sz="0" w:space="0" w:color="auto"/>
        <w:left w:val="none" w:sz="0" w:space="0" w:color="auto"/>
        <w:bottom w:val="none" w:sz="0" w:space="0" w:color="auto"/>
        <w:right w:val="none" w:sz="0" w:space="0" w:color="auto"/>
      </w:divBdr>
    </w:div>
    <w:div w:id="775641188">
      <w:bodyDiv w:val="1"/>
      <w:marLeft w:val="0"/>
      <w:marRight w:val="0"/>
      <w:marTop w:val="0"/>
      <w:marBottom w:val="0"/>
      <w:divBdr>
        <w:top w:val="none" w:sz="0" w:space="0" w:color="auto"/>
        <w:left w:val="none" w:sz="0" w:space="0" w:color="auto"/>
        <w:bottom w:val="none" w:sz="0" w:space="0" w:color="auto"/>
        <w:right w:val="none" w:sz="0" w:space="0" w:color="auto"/>
      </w:divBdr>
    </w:div>
    <w:div w:id="818036388">
      <w:bodyDiv w:val="1"/>
      <w:marLeft w:val="0"/>
      <w:marRight w:val="0"/>
      <w:marTop w:val="0"/>
      <w:marBottom w:val="0"/>
      <w:divBdr>
        <w:top w:val="none" w:sz="0" w:space="0" w:color="auto"/>
        <w:left w:val="none" w:sz="0" w:space="0" w:color="auto"/>
        <w:bottom w:val="none" w:sz="0" w:space="0" w:color="auto"/>
        <w:right w:val="none" w:sz="0" w:space="0" w:color="auto"/>
      </w:divBdr>
    </w:div>
    <w:div w:id="837042348">
      <w:bodyDiv w:val="1"/>
      <w:marLeft w:val="0"/>
      <w:marRight w:val="0"/>
      <w:marTop w:val="0"/>
      <w:marBottom w:val="0"/>
      <w:divBdr>
        <w:top w:val="none" w:sz="0" w:space="0" w:color="auto"/>
        <w:left w:val="none" w:sz="0" w:space="0" w:color="auto"/>
        <w:bottom w:val="none" w:sz="0" w:space="0" w:color="auto"/>
        <w:right w:val="none" w:sz="0" w:space="0" w:color="auto"/>
      </w:divBdr>
    </w:div>
    <w:div w:id="842821457">
      <w:bodyDiv w:val="1"/>
      <w:marLeft w:val="0"/>
      <w:marRight w:val="0"/>
      <w:marTop w:val="0"/>
      <w:marBottom w:val="0"/>
      <w:divBdr>
        <w:top w:val="none" w:sz="0" w:space="0" w:color="auto"/>
        <w:left w:val="none" w:sz="0" w:space="0" w:color="auto"/>
        <w:bottom w:val="none" w:sz="0" w:space="0" w:color="auto"/>
        <w:right w:val="none" w:sz="0" w:space="0" w:color="auto"/>
      </w:divBdr>
    </w:div>
    <w:div w:id="898318934">
      <w:bodyDiv w:val="1"/>
      <w:marLeft w:val="0"/>
      <w:marRight w:val="0"/>
      <w:marTop w:val="0"/>
      <w:marBottom w:val="0"/>
      <w:divBdr>
        <w:top w:val="none" w:sz="0" w:space="0" w:color="auto"/>
        <w:left w:val="none" w:sz="0" w:space="0" w:color="auto"/>
        <w:bottom w:val="none" w:sz="0" w:space="0" w:color="auto"/>
        <w:right w:val="none" w:sz="0" w:space="0" w:color="auto"/>
      </w:divBdr>
    </w:div>
    <w:div w:id="984162288">
      <w:bodyDiv w:val="1"/>
      <w:marLeft w:val="0"/>
      <w:marRight w:val="0"/>
      <w:marTop w:val="0"/>
      <w:marBottom w:val="0"/>
      <w:divBdr>
        <w:top w:val="none" w:sz="0" w:space="0" w:color="auto"/>
        <w:left w:val="none" w:sz="0" w:space="0" w:color="auto"/>
        <w:bottom w:val="none" w:sz="0" w:space="0" w:color="auto"/>
        <w:right w:val="none" w:sz="0" w:space="0" w:color="auto"/>
      </w:divBdr>
    </w:div>
    <w:div w:id="1052457498">
      <w:bodyDiv w:val="1"/>
      <w:marLeft w:val="0"/>
      <w:marRight w:val="0"/>
      <w:marTop w:val="0"/>
      <w:marBottom w:val="0"/>
      <w:divBdr>
        <w:top w:val="none" w:sz="0" w:space="0" w:color="auto"/>
        <w:left w:val="none" w:sz="0" w:space="0" w:color="auto"/>
        <w:bottom w:val="none" w:sz="0" w:space="0" w:color="auto"/>
        <w:right w:val="none" w:sz="0" w:space="0" w:color="auto"/>
      </w:divBdr>
    </w:div>
    <w:div w:id="1110856651">
      <w:bodyDiv w:val="1"/>
      <w:marLeft w:val="0"/>
      <w:marRight w:val="0"/>
      <w:marTop w:val="0"/>
      <w:marBottom w:val="0"/>
      <w:divBdr>
        <w:top w:val="none" w:sz="0" w:space="0" w:color="auto"/>
        <w:left w:val="none" w:sz="0" w:space="0" w:color="auto"/>
        <w:bottom w:val="none" w:sz="0" w:space="0" w:color="auto"/>
        <w:right w:val="none" w:sz="0" w:space="0" w:color="auto"/>
      </w:divBdr>
    </w:div>
    <w:div w:id="1345018246">
      <w:bodyDiv w:val="1"/>
      <w:marLeft w:val="0"/>
      <w:marRight w:val="0"/>
      <w:marTop w:val="0"/>
      <w:marBottom w:val="0"/>
      <w:divBdr>
        <w:top w:val="none" w:sz="0" w:space="0" w:color="auto"/>
        <w:left w:val="none" w:sz="0" w:space="0" w:color="auto"/>
        <w:bottom w:val="none" w:sz="0" w:space="0" w:color="auto"/>
        <w:right w:val="none" w:sz="0" w:space="0" w:color="auto"/>
      </w:divBdr>
    </w:div>
    <w:div w:id="1433431530">
      <w:bodyDiv w:val="1"/>
      <w:marLeft w:val="0"/>
      <w:marRight w:val="0"/>
      <w:marTop w:val="0"/>
      <w:marBottom w:val="0"/>
      <w:divBdr>
        <w:top w:val="none" w:sz="0" w:space="0" w:color="auto"/>
        <w:left w:val="none" w:sz="0" w:space="0" w:color="auto"/>
        <w:bottom w:val="none" w:sz="0" w:space="0" w:color="auto"/>
        <w:right w:val="none" w:sz="0" w:space="0" w:color="auto"/>
      </w:divBdr>
    </w:div>
    <w:div w:id="1629239293">
      <w:bodyDiv w:val="1"/>
      <w:marLeft w:val="0"/>
      <w:marRight w:val="0"/>
      <w:marTop w:val="0"/>
      <w:marBottom w:val="0"/>
      <w:divBdr>
        <w:top w:val="none" w:sz="0" w:space="0" w:color="auto"/>
        <w:left w:val="none" w:sz="0" w:space="0" w:color="auto"/>
        <w:bottom w:val="none" w:sz="0" w:space="0" w:color="auto"/>
        <w:right w:val="none" w:sz="0" w:space="0" w:color="auto"/>
      </w:divBdr>
    </w:div>
    <w:div w:id="1728531834">
      <w:bodyDiv w:val="1"/>
      <w:marLeft w:val="0"/>
      <w:marRight w:val="0"/>
      <w:marTop w:val="0"/>
      <w:marBottom w:val="0"/>
      <w:divBdr>
        <w:top w:val="none" w:sz="0" w:space="0" w:color="auto"/>
        <w:left w:val="none" w:sz="0" w:space="0" w:color="auto"/>
        <w:bottom w:val="none" w:sz="0" w:space="0" w:color="auto"/>
        <w:right w:val="none" w:sz="0" w:space="0" w:color="auto"/>
      </w:divBdr>
    </w:div>
    <w:div w:id="2014797793">
      <w:bodyDiv w:val="1"/>
      <w:marLeft w:val="0"/>
      <w:marRight w:val="0"/>
      <w:marTop w:val="0"/>
      <w:marBottom w:val="0"/>
      <w:divBdr>
        <w:top w:val="none" w:sz="0" w:space="0" w:color="auto"/>
        <w:left w:val="none" w:sz="0" w:space="0" w:color="auto"/>
        <w:bottom w:val="none" w:sz="0" w:space="0" w:color="auto"/>
        <w:right w:val="none" w:sz="0" w:space="0" w:color="auto"/>
      </w:divBdr>
    </w:div>
    <w:div w:id="2084837422">
      <w:bodyDiv w:val="1"/>
      <w:marLeft w:val="0"/>
      <w:marRight w:val="0"/>
      <w:marTop w:val="0"/>
      <w:marBottom w:val="0"/>
      <w:divBdr>
        <w:top w:val="none" w:sz="0" w:space="0" w:color="auto"/>
        <w:left w:val="none" w:sz="0" w:space="0" w:color="auto"/>
        <w:bottom w:val="none" w:sz="0" w:space="0" w:color="auto"/>
        <w:right w:val="none" w:sz="0" w:space="0" w:color="auto"/>
      </w:divBdr>
    </w:div>
    <w:div w:id="212017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A12E1-3CFD-4D94-BEA3-5F65D70A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 Anderson</dc:creator>
  <cp:lastModifiedBy>SYSTEM</cp:lastModifiedBy>
  <cp:revision>2</cp:revision>
  <cp:lastPrinted>2013-09-16T18:56:00Z</cp:lastPrinted>
  <dcterms:created xsi:type="dcterms:W3CDTF">2017-12-29T16:56:00Z</dcterms:created>
  <dcterms:modified xsi:type="dcterms:W3CDTF">2017-12-29T16:56:00Z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1248955970</vt:i4>
  </property>
  <property fmtid="{D5CDD505-2E9C-101B-9397-08002B2CF9AE}" pid="4" name="_EmailSubject">
    <vt:lpwstr>Generic PRA #21 FMAP Claiming State Plan Amendment</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243107862</vt:i4>
  </property>
  <property fmtid="{D5CDD505-2E9C-101B-9397-08002B2CF9AE}" pid="8" name="_ReviewingToolsShownOnce">
    <vt:lpwstr/>
  </property>
</Properties>
</file>