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2C" w:rsidRPr="00FA514C" w:rsidRDefault="00916868" w:rsidP="00916868">
      <w:pPr>
        <w:pStyle w:val="Default"/>
        <w:jc w:val="center"/>
        <w:rPr>
          <w:b/>
          <w:color w:val="auto"/>
          <w:sz w:val="22"/>
          <w:szCs w:val="22"/>
        </w:rPr>
      </w:pPr>
      <w:bookmarkStart w:id="0" w:name="_GoBack"/>
      <w:bookmarkEnd w:id="0"/>
      <w:r w:rsidRPr="00FA514C">
        <w:rPr>
          <w:b/>
          <w:color w:val="auto"/>
          <w:sz w:val="22"/>
          <w:szCs w:val="22"/>
        </w:rPr>
        <w:t xml:space="preserve">[State] Application Certification Statement - </w:t>
      </w:r>
      <w:r w:rsidR="005E2A2C" w:rsidRPr="00FA514C">
        <w:rPr>
          <w:b/>
          <w:color w:val="auto"/>
          <w:sz w:val="22"/>
          <w:szCs w:val="22"/>
        </w:rPr>
        <w:t>Section 1115(</w:t>
      </w:r>
      <w:r w:rsidR="0087269C" w:rsidRPr="00FA514C">
        <w:rPr>
          <w:b/>
          <w:color w:val="auto"/>
          <w:sz w:val="22"/>
          <w:szCs w:val="22"/>
        </w:rPr>
        <w:t>f</w:t>
      </w:r>
      <w:r w:rsidR="005E2A2C" w:rsidRPr="00FA514C">
        <w:rPr>
          <w:b/>
          <w:color w:val="auto"/>
          <w:sz w:val="22"/>
          <w:szCs w:val="22"/>
        </w:rPr>
        <w:t xml:space="preserve">) Three Year Extension </w:t>
      </w:r>
    </w:p>
    <w:p w:rsidR="00916868" w:rsidRPr="00FA514C" w:rsidRDefault="00916868" w:rsidP="00916868">
      <w:pPr>
        <w:pStyle w:val="Default"/>
        <w:jc w:val="center"/>
        <w:rPr>
          <w:b/>
          <w:color w:val="auto"/>
          <w:sz w:val="22"/>
          <w:szCs w:val="22"/>
        </w:rPr>
      </w:pPr>
    </w:p>
    <w:p w:rsidR="005E2A2C" w:rsidRPr="00FA514C" w:rsidRDefault="005E2A2C" w:rsidP="005E2A2C">
      <w:pPr>
        <w:pStyle w:val="Default"/>
        <w:rPr>
          <w:color w:val="auto"/>
        </w:rPr>
      </w:pPr>
    </w:p>
    <w:p w:rsidR="001F4776" w:rsidRDefault="005E2A2C" w:rsidP="00B8513D">
      <w:pPr>
        <w:pStyle w:val="Default"/>
        <w:rPr>
          <w:color w:val="auto"/>
        </w:rPr>
      </w:pPr>
      <w:r w:rsidRPr="00FA514C">
        <w:rPr>
          <w:color w:val="auto"/>
        </w:rPr>
        <w:t>This document</w:t>
      </w:r>
      <w:r w:rsidR="001F4776" w:rsidRPr="00FA514C">
        <w:rPr>
          <w:color w:val="auto"/>
        </w:rPr>
        <w:t xml:space="preserve">, together with </w:t>
      </w:r>
      <w:r w:rsidR="00360BC0" w:rsidRPr="00FA514C">
        <w:rPr>
          <w:color w:val="auto"/>
        </w:rPr>
        <w:t xml:space="preserve">the </w:t>
      </w:r>
      <w:r w:rsidRPr="00FA514C">
        <w:rPr>
          <w:color w:val="auto"/>
        </w:rPr>
        <w:t xml:space="preserve">supporting </w:t>
      </w:r>
      <w:r w:rsidR="001F4776" w:rsidRPr="00FA514C">
        <w:rPr>
          <w:color w:val="auto"/>
        </w:rPr>
        <w:t>documentation</w:t>
      </w:r>
      <w:r w:rsidR="008F0C67" w:rsidRPr="00FA514C">
        <w:rPr>
          <w:color w:val="auto"/>
        </w:rPr>
        <w:t xml:space="preserve"> outlined below</w:t>
      </w:r>
      <w:r w:rsidR="001F4776" w:rsidRPr="00FA514C">
        <w:rPr>
          <w:color w:val="auto"/>
        </w:rPr>
        <w:t xml:space="preserve">, </w:t>
      </w:r>
      <w:r w:rsidRPr="00FA514C">
        <w:rPr>
          <w:color w:val="auto"/>
        </w:rPr>
        <w:t xml:space="preserve">constitutes </w:t>
      </w:r>
      <w:r w:rsidR="00360BC0" w:rsidRPr="00FA514C">
        <w:rPr>
          <w:color w:val="auto"/>
        </w:rPr>
        <w:t xml:space="preserve">[insert </w:t>
      </w:r>
      <w:r w:rsidRPr="00FA514C">
        <w:rPr>
          <w:color w:val="auto"/>
        </w:rPr>
        <w:t>state</w:t>
      </w:r>
      <w:r w:rsidR="00360BC0" w:rsidRPr="00FA514C">
        <w:rPr>
          <w:color w:val="auto"/>
        </w:rPr>
        <w:t xml:space="preserve">] </w:t>
      </w:r>
      <w:r w:rsidR="001C1B61" w:rsidRPr="00FA514C">
        <w:rPr>
          <w:color w:val="auto"/>
        </w:rPr>
        <w:t>application</w:t>
      </w:r>
      <w:r w:rsidRPr="00FA514C">
        <w:rPr>
          <w:color w:val="auto"/>
        </w:rPr>
        <w:t xml:space="preserve"> to the Centers for Medicare &amp; Medicaid Services (CMS) </w:t>
      </w:r>
      <w:r w:rsidR="008F0C67" w:rsidRPr="00FA514C">
        <w:rPr>
          <w:color w:val="auto"/>
        </w:rPr>
        <w:t>for a 3-year extension of i</w:t>
      </w:r>
      <w:r w:rsidRPr="00FA514C">
        <w:rPr>
          <w:color w:val="auto"/>
        </w:rPr>
        <w:t>ts approved demonstration entitled, [insert demo name and project no], pursuant to section 1115(</w:t>
      </w:r>
      <w:r w:rsidR="001F4776" w:rsidRPr="00FA514C">
        <w:rPr>
          <w:color w:val="auto"/>
        </w:rPr>
        <w:t>f</w:t>
      </w:r>
      <w:r w:rsidRPr="00FA514C">
        <w:rPr>
          <w:color w:val="auto"/>
        </w:rPr>
        <w:t>) of the Social Security Act</w:t>
      </w:r>
      <w:r w:rsidR="001F4776" w:rsidRPr="00FA514C">
        <w:rPr>
          <w:color w:val="auto"/>
        </w:rPr>
        <w:t>.</w:t>
      </w:r>
    </w:p>
    <w:p w:rsidR="001F4776" w:rsidRDefault="001F4776" w:rsidP="00B8513D">
      <w:pPr>
        <w:pStyle w:val="Default"/>
        <w:rPr>
          <w:color w:val="auto"/>
        </w:rPr>
      </w:pPr>
    </w:p>
    <w:p w:rsidR="001F4776" w:rsidRDefault="001F4776" w:rsidP="00B8513D">
      <w:pPr>
        <w:pStyle w:val="Default"/>
        <w:rPr>
          <w:color w:val="auto"/>
        </w:rPr>
      </w:pPr>
      <w:r w:rsidRPr="001F4776">
        <w:rPr>
          <w:b/>
          <w:color w:val="auto"/>
        </w:rPr>
        <w:t>Type of Request</w:t>
      </w:r>
      <w:r>
        <w:rPr>
          <w:color w:val="auto"/>
        </w:rPr>
        <w:t xml:space="preserve"> </w:t>
      </w:r>
      <w:r w:rsidRPr="001F4776">
        <w:rPr>
          <w:color w:val="auto"/>
          <w:sz w:val="22"/>
          <w:szCs w:val="22"/>
        </w:rPr>
        <w:t>(</w:t>
      </w:r>
      <w:r w:rsidRPr="001F4776">
        <w:rPr>
          <w:i/>
          <w:color w:val="auto"/>
          <w:sz w:val="22"/>
          <w:szCs w:val="22"/>
        </w:rPr>
        <w:t>select one only</w:t>
      </w:r>
      <w:r w:rsidRPr="001F4776">
        <w:rPr>
          <w:color w:val="auto"/>
          <w:sz w:val="22"/>
          <w:szCs w:val="22"/>
        </w:rPr>
        <w:t>)</w:t>
      </w:r>
      <w:r>
        <w:rPr>
          <w:color w:val="auto"/>
        </w:rPr>
        <w:t>:</w:t>
      </w:r>
    </w:p>
    <w:p w:rsidR="001F4776" w:rsidRDefault="001F4776" w:rsidP="00B8513D">
      <w:pPr>
        <w:pStyle w:val="Default"/>
        <w:rPr>
          <w:color w:val="auto"/>
        </w:rPr>
      </w:pPr>
    </w:p>
    <w:p w:rsidR="001F4776" w:rsidRPr="00E97F84" w:rsidRDefault="001F4776" w:rsidP="00B8513D">
      <w:pPr>
        <w:pStyle w:val="Default"/>
        <w:rPr>
          <w:b/>
          <w:color w:val="auto"/>
        </w:rPr>
      </w:pPr>
      <w:r w:rsidRPr="00E97F84">
        <w:rPr>
          <w:b/>
          <w:color w:val="auto"/>
        </w:rPr>
        <w:t>________</w:t>
      </w:r>
      <w:r w:rsidRPr="00E97F84">
        <w:rPr>
          <w:rFonts w:ascii="Arial" w:hAnsi="Arial" w:cs="Arial"/>
          <w:b/>
          <w:color w:val="auto"/>
          <w:sz w:val="22"/>
          <w:szCs w:val="22"/>
        </w:rPr>
        <w:t xml:space="preserve"> </w:t>
      </w:r>
      <w:r w:rsidRPr="00E97F84">
        <w:rPr>
          <w:b/>
          <w:color w:val="auto"/>
        </w:rPr>
        <w:t xml:space="preserve">Section 1115(f) extension </w:t>
      </w:r>
      <w:r w:rsidRPr="00E97F84">
        <w:rPr>
          <w:b/>
          <w:color w:val="auto"/>
          <w:u w:val="single"/>
        </w:rPr>
        <w:t>with no</w:t>
      </w:r>
      <w:r w:rsidRPr="00E97F84">
        <w:rPr>
          <w:b/>
          <w:color w:val="auto"/>
        </w:rPr>
        <w:t xml:space="preserve"> program changes</w:t>
      </w:r>
    </w:p>
    <w:p w:rsidR="001F4776" w:rsidRDefault="001F4776" w:rsidP="00B8513D">
      <w:pPr>
        <w:pStyle w:val="Default"/>
        <w:rPr>
          <w:color w:val="auto"/>
        </w:rPr>
      </w:pPr>
    </w:p>
    <w:p w:rsidR="008F0C67" w:rsidRDefault="008F0C67" w:rsidP="001F4776">
      <w:pPr>
        <w:pStyle w:val="Default"/>
        <w:ind w:left="720"/>
        <w:rPr>
          <w:color w:val="auto"/>
        </w:rPr>
      </w:pPr>
      <w:r>
        <w:rPr>
          <w:color w:val="auto"/>
        </w:rPr>
        <w:t xml:space="preserve">This </w:t>
      </w:r>
      <w:r w:rsidRPr="004932EE">
        <w:rPr>
          <w:color w:val="auto"/>
        </w:rPr>
        <w:t xml:space="preserve">constitutes the state's </w:t>
      </w:r>
      <w:r>
        <w:rPr>
          <w:color w:val="auto"/>
        </w:rPr>
        <w:t>application</w:t>
      </w:r>
      <w:r w:rsidRPr="004932EE">
        <w:rPr>
          <w:color w:val="auto"/>
        </w:rPr>
        <w:t xml:space="preserve"> to the Centers for Medicare &amp; Medicaid Services (CMS) to extend its demonstration without any programmatic changes.  The state is </w:t>
      </w:r>
      <w:r>
        <w:rPr>
          <w:color w:val="auto"/>
        </w:rPr>
        <w:t xml:space="preserve">requesting </w:t>
      </w:r>
      <w:r w:rsidR="000B4AA1">
        <w:rPr>
          <w:color w:val="auto"/>
        </w:rPr>
        <w:t xml:space="preserve">to extend </w:t>
      </w:r>
      <w:r>
        <w:rPr>
          <w:color w:val="auto"/>
        </w:rPr>
        <w:t xml:space="preserve">approval of the demonstration subject to the </w:t>
      </w:r>
      <w:r w:rsidR="00773ADC">
        <w:rPr>
          <w:color w:val="auto"/>
        </w:rPr>
        <w:t xml:space="preserve">same </w:t>
      </w:r>
      <w:r w:rsidRPr="004932EE">
        <w:rPr>
          <w:color w:val="auto"/>
        </w:rPr>
        <w:t>Special Terms and Conditions (STCs)</w:t>
      </w:r>
      <w:r>
        <w:rPr>
          <w:color w:val="auto"/>
        </w:rPr>
        <w:t xml:space="preserve">, waivers, and expenditure authorities in effect for the </w:t>
      </w:r>
      <w:r w:rsidRPr="00FA514C">
        <w:rPr>
          <w:color w:val="auto"/>
        </w:rPr>
        <w:t>period [insert current demo period].</w:t>
      </w:r>
      <w:r>
        <w:rPr>
          <w:color w:val="auto"/>
        </w:rPr>
        <w:t xml:space="preserve">   </w:t>
      </w:r>
    </w:p>
    <w:p w:rsidR="008F0C67" w:rsidRDefault="008F0C67" w:rsidP="001F4776">
      <w:pPr>
        <w:pStyle w:val="Default"/>
        <w:ind w:left="720"/>
        <w:rPr>
          <w:color w:val="auto"/>
        </w:rPr>
      </w:pPr>
    </w:p>
    <w:p w:rsidR="008F0C67" w:rsidRDefault="008F0C67" w:rsidP="008F0C67">
      <w:pPr>
        <w:pStyle w:val="Default"/>
        <w:ind w:left="720"/>
        <w:rPr>
          <w:color w:val="auto"/>
        </w:rPr>
      </w:pPr>
      <w:r>
        <w:rPr>
          <w:color w:val="auto"/>
        </w:rPr>
        <w:t xml:space="preserve">The state is submitting the following items that are necessary to ensure that the demonstration is operating in accordance with the objectives of title XIX </w:t>
      </w:r>
      <w:r w:rsidR="00360BC0">
        <w:rPr>
          <w:color w:val="auto"/>
        </w:rPr>
        <w:t xml:space="preserve">and/or title XXI </w:t>
      </w:r>
      <w:r>
        <w:rPr>
          <w:color w:val="auto"/>
        </w:rPr>
        <w:t>as originally approved.  The state’s application will only be considered compl</w:t>
      </w:r>
      <w:r w:rsidR="00360BC0">
        <w:rPr>
          <w:color w:val="auto"/>
        </w:rPr>
        <w:t>ete for purposes of initiating federal review and f</w:t>
      </w:r>
      <w:r>
        <w:rPr>
          <w:color w:val="auto"/>
        </w:rPr>
        <w:t>ederal-level public notice when the state provides the information as requested in the below appendices.</w:t>
      </w:r>
    </w:p>
    <w:p w:rsidR="001F4776" w:rsidRDefault="001F4776" w:rsidP="001F4776">
      <w:pPr>
        <w:pStyle w:val="Default"/>
        <w:ind w:left="720"/>
        <w:rPr>
          <w:color w:val="auto"/>
        </w:rPr>
      </w:pPr>
    </w:p>
    <w:p w:rsidR="00773ADC" w:rsidRPr="00773ADC" w:rsidRDefault="00773ADC" w:rsidP="00773ADC">
      <w:pPr>
        <w:pStyle w:val="ListParagraph"/>
        <w:numPr>
          <w:ilvl w:val="0"/>
          <w:numId w:val="2"/>
        </w:numPr>
        <w:spacing w:after="0" w:line="240" w:lineRule="auto"/>
        <w:rPr>
          <w:rFonts w:ascii="Times New Roman" w:hAnsi="Times New Roman" w:cs="Times New Roman"/>
          <w:sz w:val="24"/>
          <w:szCs w:val="24"/>
        </w:rPr>
      </w:pPr>
      <w:r w:rsidRPr="00773ADC">
        <w:rPr>
          <w:rFonts w:ascii="Times New Roman" w:hAnsi="Times New Roman" w:cs="Times New Roman"/>
          <w:b/>
          <w:sz w:val="24"/>
          <w:szCs w:val="24"/>
        </w:rPr>
        <w:t xml:space="preserve">Appendix A: </w:t>
      </w:r>
      <w:r w:rsidRPr="00773ADC">
        <w:rPr>
          <w:rFonts w:ascii="Times New Roman" w:hAnsi="Times New Roman" w:cs="Times New Roman"/>
          <w:sz w:val="24"/>
          <w:szCs w:val="24"/>
        </w:rPr>
        <w:t>A historical narrative summary of the demonstration project, which includes the objectives set forth at the time the demonstration was approved, evidence of how these objectives have or have not been met, and the future goals of the program.</w:t>
      </w:r>
    </w:p>
    <w:p w:rsidR="008F0C67" w:rsidRDefault="008F0C67" w:rsidP="008F0C67">
      <w:pPr>
        <w:pStyle w:val="Default"/>
        <w:numPr>
          <w:ilvl w:val="0"/>
          <w:numId w:val="2"/>
        </w:numPr>
        <w:rPr>
          <w:color w:val="auto"/>
        </w:rPr>
      </w:pPr>
      <w:r>
        <w:rPr>
          <w:b/>
          <w:color w:val="auto"/>
        </w:rPr>
        <w:t xml:space="preserve">Appendix </w:t>
      </w:r>
      <w:r w:rsidR="00773ADC">
        <w:rPr>
          <w:b/>
          <w:color w:val="auto"/>
        </w:rPr>
        <w:t>B</w:t>
      </w:r>
      <w:r>
        <w:rPr>
          <w:b/>
          <w:color w:val="auto"/>
        </w:rPr>
        <w:t xml:space="preserve">: </w:t>
      </w:r>
      <w:r>
        <w:rPr>
          <w:color w:val="auto"/>
        </w:rPr>
        <w:t>Budget</w:t>
      </w:r>
      <w:r w:rsidR="00773ADC">
        <w:rPr>
          <w:color w:val="auto"/>
        </w:rPr>
        <w:t>/allotment</w:t>
      </w:r>
      <w:r>
        <w:rPr>
          <w:color w:val="auto"/>
        </w:rPr>
        <w:t xml:space="preserve"> neutrality assessment, and projections for the projected 3-year extension period.  The state will present an analysis of budget</w:t>
      </w:r>
      <w:r w:rsidR="00773ADC">
        <w:rPr>
          <w:color w:val="auto"/>
        </w:rPr>
        <w:t>/allotment</w:t>
      </w:r>
      <w:r>
        <w:rPr>
          <w:color w:val="auto"/>
        </w:rPr>
        <w:t xml:space="preserve"> neutrality for the current demonstration approval period, including status of budget</w:t>
      </w:r>
      <w:r w:rsidR="00773ADC">
        <w:rPr>
          <w:color w:val="auto"/>
        </w:rPr>
        <w:t>/allotment</w:t>
      </w:r>
      <w:r>
        <w:rPr>
          <w:color w:val="auto"/>
        </w:rPr>
        <w:t xml:space="preserve"> neutrality to date based on the most recent expenditure and member month data, and projections through then end of the current approval that incorporate the latest data.  CMS will also review the state’s </w:t>
      </w:r>
      <w:r w:rsidRPr="002516D3">
        <w:rPr>
          <w:kern w:val="28"/>
        </w:rPr>
        <w:t xml:space="preserve">Medicaid and </w:t>
      </w:r>
      <w:r>
        <w:rPr>
          <w:kern w:val="28"/>
        </w:rPr>
        <w:t>S</w:t>
      </w:r>
      <w:r w:rsidRPr="002516D3">
        <w:rPr>
          <w:kern w:val="28"/>
        </w:rPr>
        <w:t>tate Children’s Health Insurance Program Budget and Expenditure System</w:t>
      </w:r>
      <w:r>
        <w:rPr>
          <w:color w:val="auto"/>
        </w:rPr>
        <w:t xml:space="preserve"> (MBES/CBES) expenditure reports to ensure that the demonstration has not exceeded the </w:t>
      </w:r>
      <w:r w:rsidR="001B1620">
        <w:rPr>
          <w:color w:val="auto"/>
        </w:rPr>
        <w:t>f</w:t>
      </w:r>
      <w:r>
        <w:rPr>
          <w:color w:val="auto"/>
        </w:rPr>
        <w:t>ederal expenditure limits established for the demonstration.  The state’s actual expenditures incurred over the period from initial approval through the current expiration date, together with the projected costs for the requested 3-year extension period, must comply with CMS budget</w:t>
      </w:r>
      <w:r w:rsidR="00773ADC">
        <w:rPr>
          <w:color w:val="auto"/>
        </w:rPr>
        <w:t>/allotment</w:t>
      </w:r>
      <w:r>
        <w:rPr>
          <w:color w:val="auto"/>
        </w:rPr>
        <w:t xml:space="preserve"> neutrality requirements outlined in the STCs.  </w:t>
      </w:r>
    </w:p>
    <w:p w:rsidR="008F0C67" w:rsidRDefault="00773ADC" w:rsidP="008F0C67">
      <w:pPr>
        <w:pStyle w:val="Default"/>
        <w:numPr>
          <w:ilvl w:val="0"/>
          <w:numId w:val="2"/>
        </w:numPr>
        <w:rPr>
          <w:color w:val="auto"/>
        </w:rPr>
      </w:pPr>
      <w:r>
        <w:rPr>
          <w:b/>
          <w:color w:val="auto"/>
        </w:rPr>
        <w:t>Appendix C</w:t>
      </w:r>
      <w:r w:rsidR="008F0C67">
        <w:rPr>
          <w:b/>
          <w:color w:val="auto"/>
        </w:rPr>
        <w:t xml:space="preserve">: </w:t>
      </w:r>
      <w:r w:rsidR="008F0C67">
        <w:rPr>
          <w:color w:val="auto"/>
        </w:rPr>
        <w:t xml:space="preserve">Interim evaluation of the overall impact of the demonstration that includes evaluation activities and findings to date, in addition to plans for evaluation activities over the 3-year extension period.  The interim evaluation should provide CMS with a clear analysis of the state’s achievement in obtaining the outcomes </w:t>
      </w:r>
      <w:r w:rsidR="008F0C67">
        <w:rPr>
          <w:color w:val="auto"/>
        </w:rPr>
        <w:lastRenderedPageBreak/>
        <w:t>expected as a direct effect of the demonstration program.  The state’s interim evaluation must meet all of the requirements outlined in the STCs.</w:t>
      </w:r>
    </w:p>
    <w:p w:rsidR="008F0C67" w:rsidRDefault="008F0C67" w:rsidP="008F0C67">
      <w:pPr>
        <w:pStyle w:val="Default"/>
        <w:numPr>
          <w:ilvl w:val="0"/>
          <w:numId w:val="2"/>
        </w:numPr>
        <w:rPr>
          <w:color w:val="auto"/>
        </w:rPr>
      </w:pPr>
      <w:r>
        <w:rPr>
          <w:b/>
          <w:color w:val="auto"/>
        </w:rPr>
        <w:t xml:space="preserve">Appendix </w:t>
      </w:r>
      <w:r w:rsidR="00773ADC">
        <w:rPr>
          <w:b/>
          <w:color w:val="auto"/>
        </w:rPr>
        <w:t>D</w:t>
      </w:r>
      <w:r>
        <w:rPr>
          <w:b/>
          <w:color w:val="auto"/>
        </w:rPr>
        <w:t xml:space="preserve">: </w:t>
      </w:r>
      <w:r>
        <w:rPr>
          <w:color w:val="auto"/>
        </w:rPr>
        <w:t>Summaries of External Quality Review Organization (EQRO) reports, managed care organization and state quality assurance monitoring, and any other documentation of the quality of and access to care provided under the demonstration.</w:t>
      </w:r>
    </w:p>
    <w:p w:rsidR="008F0C67" w:rsidRDefault="008F0C67" w:rsidP="008F0C67">
      <w:pPr>
        <w:pStyle w:val="Default"/>
        <w:numPr>
          <w:ilvl w:val="0"/>
          <w:numId w:val="2"/>
        </w:numPr>
        <w:rPr>
          <w:color w:val="auto"/>
        </w:rPr>
      </w:pPr>
      <w:r>
        <w:rPr>
          <w:b/>
          <w:color w:val="auto"/>
        </w:rPr>
        <w:t xml:space="preserve">Appendix </w:t>
      </w:r>
      <w:r w:rsidR="00773ADC">
        <w:rPr>
          <w:b/>
          <w:color w:val="auto"/>
        </w:rPr>
        <w:t>E</w:t>
      </w:r>
      <w:r>
        <w:rPr>
          <w:b/>
          <w:color w:val="auto"/>
        </w:rPr>
        <w:t xml:space="preserve">: </w:t>
      </w:r>
      <w:r>
        <w:rPr>
          <w:color w:val="auto"/>
        </w:rPr>
        <w:t>Documentation of the state’s compliance with the public notice process set forth in 42 CFR 431.408 and 431.420.</w:t>
      </w:r>
    </w:p>
    <w:p w:rsidR="001F4776" w:rsidRDefault="001F4776" w:rsidP="00B8513D">
      <w:pPr>
        <w:pStyle w:val="Default"/>
        <w:rPr>
          <w:color w:val="auto"/>
        </w:rPr>
      </w:pPr>
    </w:p>
    <w:p w:rsidR="008F0C67" w:rsidRDefault="008F0C67" w:rsidP="00B8513D">
      <w:pPr>
        <w:pStyle w:val="Default"/>
        <w:rPr>
          <w:color w:val="auto"/>
        </w:rPr>
      </w:pPr>
    </w:p>
    <w:p w:rsidR="008F0C67" w:rsidRPr="00E97F84" w:rsidRDefault="008F0C67" w:rsidP="008F0C67">
      <w:pPr>
        <w:pStyle w:val="Default"/>
        <w:rPr>
          <w:b/>
          <w:color w:val="auto"/>
        </w:rPr>
      </w:pPr>
      <w:r>
        <w:rPr>
          <w:color w:val="auto"/>
        </w:rPr>
        <w:t>________</w:t>
      </w:r>
      <w:r w:rsidRPr="001F4776">
        <w:rPr>
          <w:rFonts w:ascii="Arial" w:hAnsi="Arial" w:cs="Arial"/>
          <w:color w:val="auto"/>
          <w:sz w:val="22"/>
          <w:szCs w:val="22"/>
        </w:rPr>
        <w:t xml:space="preserve"> </w:t>
      </w:r>
      <w:r w:rsidRPr="00E97F84">
        <w:rPr>
          <w:b/>
          <w:color w:val="auto"/>
        </w:rPr>
        <w:t xml:space="preserve">Section 1115(f) extension </w:t>
      </w:r>
      <w:r w:rsidRPr="00E97F84">
        <w:rPr>
          <w:b/>
          <w:color w:val="auto"/>
          <w:u w:val="single"/>
        </w:rPr>
        <w:t>with</w:t>
      </w:r>
      <w:r w:rsidRPr="00E97F84">
        <w:rPr>
          <w:b/>
          <w:color w:val="auto"/>
        </w:rPr>
        <w:t xml:space="preserve"> program changes</w:t>
      </w:r>
    </w:p>
    <w:p w:rsidR="008F0C67" w:rsidRDefault="008F0C67" w:rsidP="00B8513D">
      <w:pPr>
        <w:pStyle w:val="Default"/>
        <w:rPr>
          <w:color w:val="auto"/>
        </w:rPr>
      </w:pPr>
    </w:p>
    <w:p w:rsidR="005461B5" w:rsidRDefault="008F0C67" w:rsidP="008F0C67">
      <w:pPr>
        <w:pStyle w:val="Default"/>
        <w:ind w:left="720"/>
      </w:pPr>
      <w:r>
        <w:rPr>
          <w:color w:val="auto"/>
        </w:rPr>
        <w:t xml:space="preserve">This </w:t>
      </w:r>
      <w:r w:rsidRPr="004932EE">
        <w:rPr>
          <w:color w:val="auto"/>
        </w:rPr>
        <w:t xml:space="preserve">constitutes the state's </w:t>
      </w:r>
      <w:r>
        <w:rPr>
          <w:color w:val="auto"/>
        </w:rPr>
        <w:t>application</w:t>
      </w:r>
      <w:r w:rsidRPr="004932EE">
        <w:rPr>
          <w:color w:val="auto"/>
        </w:rPr>
        <w:t xml:space="preserve"> to the Centers for Medicare &amp; Medicaid Services (CMS) to extend its demonstration </w:t>
      </w:r>
      <w:r w:rsidR="005E2A2C" w:rsidRPr="004932EE">
        <w:rPr>
          <w:color w:val="auto"/>
        </w:rPr>
        <w:t>with</w:t>
      </w:r>
      <w:r w:rsidR="005E2A2C">
        <w:rPr>
          <w:color w:val="auto"/>
        </w:rPr>
        <w:t xml:space="preserve"> </w:t>
      </w:r>
      <w:r w:rsidR="00360BC0">
        <w:rPr>
          <w:color w:val="auto"/>
        </w:rPr>
        <w:t xml:space="preserve">minor </w:t>
      </w:r>
      <w:r w:rsidR="00BE5705">
        <w:rPr>
          <w:color w:val="auto"/>
        </w:rPr>
        <w:t xml:space="preserve">demonstration program </w:t>
      </w:r>
      <w:r w:rsidR="005E2A2C">
        <w:rPr>
          <w:color w:val="auto"/>
        </w:rPr>
        <w:t>changes</w:t>
      </w:r>
      <w:r w:rsidR="00392633">
        <w:rPr>
          <w:color w:val="auto"/>
        </w:rPr>
        <w:t>.</w:t>
      </w:r>
      <w:r w:rsidR="005E2A2C" w:rsidRPr="004932EE">
        <w:rPr>
          <w:color w:val="auto"/>
        </w:rPr>
        <w:t xml:space="preserve">  </w:t>
      </w:r>
      <w:r w:rsidR="005461B5">
        <w:t>In combination with completing th</w:t>
      </w:r>
      <w:r w:rsidR="000B4AA1">
        <w:t>e Section 1115 Extension T</w:t>
      </w:r>
      <w:r w:rsidR="005461B5">
        <w:t xml:space="preserve">emplate, the state may also choose to submit a redline version of its approved Special Terms and Conditions </w:t>
      </w:r>
      <w:r w:rsidR="005461B5" w:rsidRPr="004932EE">
        <w:rPr>
          <w:color w:val="auto"/>
        </w:rPr>
        <w:t>(STCs)</w:t>
      </w:r>
      <w:r w:rsidR="005461B5">
        <w:rPr>
          <w:color w:val="auto"/>
        </w:rPr>
        <w:t xml:space="preserve"> </w:t>
      </w:r>
      <w:r w:rsidR="005461B5">
        <w:t>to identify how it proposes to revise its demonstration agreement with CMS.</w:t>
      </w:r>
    </w:p>
    <w:p w:rsidR="005461B5" w:rsidRDefault="005461B5" w:rsidP="00B8513D">
      <w:pPr>
        <w:pStyle w:val="Default"/>
      </w:pPr>
    </w:p>
    <w:p w:rsidR="00970F61" w:rsidRDefault="00392633" w:rsidP="000B4AA1">
      <w:pPr>
        <w:pStyle w:val="Default"/>
        <w:ind w:left="720"/>
        <w:rPr>
          <w:color w:val="auto"/>
        </w:rPr>
      </w:pPr>
      <w:r>
        <w:rPr>
          <w:color w:val="auto"/>
        </w:rPr>
        <w:t>With the exception of the proposed changes outlined in th</w:t>
      </w:r>
      <w:r w:rsidR="000003B2">
        <w:rPr>
          <w:color w:val="auto"/>
        </w:rPr>
        <w:t>is application</w:t>
      </w:r>
      <w:r>
        <w:rPr>
          <w:color w:val="auto"/>
        </w:rPr>
        <w:t>, t</w:t>
      </w:r>
      <w:r w:rsidR="005E2A2C" w:rsidRPr="004932EE">
        <w:rPr>
          <w:color w:val="auto"/>
        </w:rPr>
        <w:t xml:space="preserve">he state is </w:t>
      </w:r>
      <w:r w:rsidR="005E2A2C">
        <w:rPr>
          <w:color w:val="auto"/>
        </w:rPr>
        <w:t xml:space="preserve">requesting </w:t>
      </w:r>
      <w:r w:rsidR="000B4AA1">
        <w:rPr>
          <w:color w:val="auto"/>
        </w:rPr>
        <w:t xml:space="preserve">CMS to extend </w:t>
      </w:r>
      <w:r w:rsidR="005E2A2C">
        <w:rPr>
          <w:color w:val="auto"/>
        </w:rPr>
        <w:t xml:space="preserve">approval of the demonstration subject to the </w:t>
      </w:r>
      <w:r w:rsidR="00773ADC">
        <w:rPr>
          <w:color w:val="auto"/>
        </w:rPr>
        <w:t xml:space="preserve">same </w:t>
      </w:r>
      <w:r w:rsidR="005E2A2C" w:rsidRPr="004932EE">
        <w:rPr>
          <w:color w:val="auto"/>
        </w:rPr>
        <w:t>STCs</w:t>
      </w:r>
      <w:r w:rsidR="005E2A2C">
        <w:rPr>
          <w:color w:val="auto"/>
        </w:rPr>
        <w:t xml:space="preserve">, waivers, and expenditure authorities </w:t>
      </w:r>
      <w:r w:rsidR="005E2A2C" w:rsidRPr="004932EE">
        <w:rPr>
          <w:color w:val="auto"/>
        </w:rPr>
        <w:t xml:space="preserve">currently </w:t>
      </w:r>
      <w:r w:rsidR="005E2A2C">
        <w:rPr>
          <w:color w:val="auto"/>
        </w:rPr>
        <w:t xml:space="preserve">in effect for the </w:t>
      </w:r>
      <w:r w:rsidR="005E2A2C" w:rsidRPr="00FA514C">
        <w:rPr>
          <w:color w:val="auto"/>
        </w:rPr>
        <w:t>period [insert current demo period].</w:t>
      </w:r>
      <w:r w:rsidR="005E2A2C">
        <w:rPr>
          <w:color w:val="auto"/>
        </w:rPr>
        <w:t xml:space="preserve">  </w:t>
      </w:r>
    </w:p>
    <w:p w:rsidR="00970F61" w:rsidRDefault="00970F61" w:rsidP="000003B2">
      <w:pPr>
        <w:pStyle w:val="Default"/>
        <w:rPr>
          <w:color w:val="auto"/>
        </w:rPr>
      </w:pPr>
    </w:p>
    <w:p w:rsidR="000B4AA1" w:rsidRPr="008D111F" w:rsidRDefault="000B4AA1" w:rsidP="000B4AA1">
      <w:pPr>
        <w:spacing w:after="0" w:line="240" w:lineRule="auto"/>
        <w:ind w:left="720"/>
        <w:rPr>
          <w:rFonts w:ascii="Times New Roman" w:hAnsi="Times New Roman" w:cs="Times New Roman"/>
          <w:sz w:val="24"/>
          <w:szCs w:val="24"/>
        </w:rPr>
      </w:pPr>
      <w:r w:rsidRPr="008D111F">
        <w:rPr>
          <w:rFonts w:ascii="Times New Roman" w:hAnsi="Times New Roman" w:cs="Times New Roman"/>
          <w:sz w:val="24"/>
          <w:szCs w:val="24"/>
        </w:rPr>
        <w:t xml:space="preserve">The state’s application will only be considered complete for purposes of initiating </w:t>
      </w:r>
      <w:r w:rsidR="00360BC0">
        <w:rPr>
          <w:rFonts w:ascii="Times New Roman" w:hAnsi="Times New Roman" w:cs="Times New Roman"/>
          <w:sz w:val="24"/>
          <w:szCs w:val="24"/>
        </w:rPr>
        <w:t>f</w:t>
      </w:r>
      <w:r w:rsidRPr="008D111F">
        <w:rPr>
          <w:rFonts w:ascii="Times New Roman" w:hAnsi="Times New Roman" w:cs="Times New Roman"/>
          <w:sz w:val="24"/>
          <w:szCs w:val="24"/>
        </w:rPr>
        <w:t xml:space="preserve">ederal review and </w:t>
      </w:r>
      <w:r w:rsidR="00360BC0">
        <w:rPr>
          <w:rFonts w:ascii="Times New Roman" w:hAnsi="Times New Roman" w:cs="Times New Roman"/>
          <w:sz w:val="24"/>
          <w:szCs w:val="24"/>
        </w:rPr>
        <w:t>f</w:t>
      </w:r>
      <w:r w:rsidRPr="008D111F">
        <w:rPr>
          <w:rFonts w:ascii="Times New Roman" w:hAnsi="Times New Roman" w:cs="Times New Roman"/>
          <w:sz w:val="24"/>
          <w:szCs w:val="24"/>
        </w:rPr>
        <w:t xml:space="preserve">ederal-level public notice when the state provides the information </w:t>
      </w:r>
      <w:r w:rsidR="00360BC0">
        <w:rPr>
          <w:rFonts w:ascii="Times New Roman" w:hAnsi="Times New Roman" w:cs="Times New Roman"/>
          <w:sz w:val="24"/>
          <w:szCs w:val="24"/>
        </w:rPr>
        <w:t xml:space="preserve">requested in Appendices A through </w:t>
      </w:r>
      <w:r w:rsidR="00773ADC">
        <w:rPr>
          <w:rFonts w:ascii="Times New Roman" w:hAnsi="Times New Roman" w:cs="Times New Roman"/>
          <w:sz w:val="24"/>
          <w:szCs w:val="24"/>
        </w:rPr>
        <w:t>E</w:t>
      </w:r>
      <w:r w:rsidR="00360BC0">
        <w:rPr>
          <w:rFonts w:ascii="Times New Roman" w:hAnsi="Times New Roman" w:cs="Times New Roman"/>
          <w:sz w:val="24"/>
          <w:szCs w:val="24"/>
        </w:rPr>
        <w:t xml:space="preserve"> above</w:t>
      </w:r>
      <w:r w:rsidR="00E97F84">
        <w:rPr>
          <w:rFonts w:ascii="Times New Roman" w:hAnsi="Times New Roman" w:cs="Times New Roman"/>
          <w:sz w:val="24"/>
          <w:szCs w:val="24"/>
        </w:rPr>
        <w:t>,</w:t>
      </w:r>
      <w:r w:rsidR="00360BC0">
        <w:rPr>
          <w:rFonts w:ascii="Times New Roman" w:hAnsi="Times New Roman" w:cs="Times New Roman"/>
          <w:sz w:val="24"/>
          <w:szCs w:val="24"/>
        </w:rPr>
        <w:t xml:space="preserve"> along with </w:t>
      </w:r>
      <w:r w:rsidRPr="008D111F">
        <w:rPr>
          <w:rFonts w:ascii="Times New Roman" w:hAnsi="Times New Roman" w:cs="Times New Roman"/>
          <w:sz w:val="24"/>
          <w:szCs w:val="24"/>
        </w:rPr>
        <w:t>the Section 1115 Extension Template</w:t>
      </w:r>
      <w:r w:rsidR="00360BC0">
        <w:rPr>
          <w:rFonts w:ascii="Times New Roman" w:hAnsi="Times New Roman" w:cs="Times New Roman"/>
          <w:sz w:val="24"/>
          <w:szCs w:val="24"/>
        </w:rPr>
        <w:t xml:space="preserve"> identifying the program changes being requested for the extension period</w:t>
      </w:r>
      <w:r w:rsidRPr="008D111F">
        <w:rPr>
          <w:rFonts w:ascii="Times New Roman" w:hAnsi="Times New Roman" w:cs="Times New Roman"/>
          <w:sz w:val="24"/>
          <w:szCs w:val="24"/>
        </w:rPr>
        <w:t>.  Please</w:t>
      </w:r>
      <w:r>
        <w:rPr>
          <w:rFonts w:ascii="Times New Roman" w:hAnsi="Times New Roman" w:cs="Times New Roman"/>
          <w:sz w:val="24"/>
          <w:szCs w:val="24"/>
        </w:rPr>
        <w:t xml:space="preserve"> list all enclosures that accompany this document constituting the state’s whole submission.    </w:t>
      </w:r>
    </w:p>
    <w:p w:rsidR="000B4AA1" w:rsidRPr="0008436F" w:rsidRDefault="000B4AA1" w:rsidP="000B4AA1">
      <w:pPr>
        <w:spacing w:after="0" w:line="240" w:lineRule="auto"/>
        <w:rPr>
          <w:rFonts w:ascii="Times New Roman" w:hAnsi="Times New Roman" w:cs="Times New Roman"/>
          <w:sz w:val="24"/>
          <w:szCs w:val="24"/>
          <w:highlight w:val="yellow"/>
        </w:rPr>
      </w:pP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sidRPr="0008436F">
        <w:rPr>
          <w:rFonts w:ascii="Times New Roman" w:hAnsi="Times New Roman" w:cs="Times New Roman"/>
          <w:sz w:val="24"/>
          <w:szCs w:val="24"/>
        </w:rPr>
        <w:t>Section 1115 Extension Template</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Enclosure] </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[List Enclosure]</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Enclosure] </w:t>
      </w:r>
    </w:p>
    <w:p w:rsidR="000B4AA1" w:rsidRDefault="000B4AA1" w:rsidP="000003B2">
      <w:pPr>
        <w:pStyle w:val="Default"/>
      </w:pPr>
    </w:p>
    <w:p w:rsidR="000E3133" w:rsidRDefault="000E3133" w:rsidP="000E3133">
      <w:pPr>
        <w:spacing w:after="0" w:line="240" w:lineRule="auto"/>
        <w:rPr>
          <w:rFonts w:ascii="Times New Roman" w:hAnsi="Times New Roman"/>
          <w:sz w:val="24"/>
          <w:szCs w:val="24"/>
        </w:rPr>
      </w:pPr>
      <w:r w:rsidRPr="004932EE">
        <w:rPr>
          <w:rFonts w:ascii="Times New Roman" w:hAnsi="Times New Roman" w:cs="Times New Roman"/>
          <w:sz w:val="24"/>
          <w:szCs w:val="24"/>
        </w:rPr>
        <w:t xml:space="preserve">The </w:t>
      </w:r>
      <w:r>
        <w:rPr>
          <w:rFonts w:ascii="Times New Roman" w:hAnsi="Times New Roman" w:cs="Times New Roman"/>
          <w:sz w:val="24"/>
          <w:szCs w:val="24"/>
        </w:rPr>
        <w:t>s</w:t>
      </w:r>
      <w:r w:rsidRPr="004932EE">
        <w:rPr>
          <w:rFonts w:ascii="Times New Roman" w:hAnsi="Times New Roman" w:cs="Times New Roman"/>
          <w:sz w:val="24"/>
          <w:szCs w:val="24"/>
        </w:rPr>
        <w:t>tate attests that</w:t>
      </w:r>
      <w:r>
        <w:rPr>
          <w:rFonts w:ascii="Times New Roman" w:hAnsi="Times New Roman" w:cs="Times New Roman"/>
          <w:sz w:val="24"/>
          <w:szCs w:val="24"/>
        </w:rPr>
        <w:t xml:space="preserve"> </w:t>
      </w:r>
      <w:r w:rsidRPr="004932EE">
        <w:rPr>
          <w:rFonts w:ascii="Times New Roman" w:hAnsi="Times New Roman" w:cs="Times New Roman"/>
          <w:sz w:val="24"/>
          <w:szCs w:val="24"/>
        </w:rPr>
        <w:t xml:space="preserve">it </w:t>
      </w:r>
      <w:r>
        <w:rPr>
          <w:rFonts w:ascii="Times New Roman" w:hAnsi="Times New Roman" w:cs="Times New Roman"/>
          <w:sz w:val="24"/>
          <w:szCs w:val="24"/>
        </w:rPr>
        <w:t xml:space="preserve">has </w:t>
      </w:r>
      <w:r w:rsidRPr="004932EE">
        <w:rPr>
          <w:rFonts w:ascii="Times New Roman" w:hAnsi="Times New Roman" w:cs="Times New Roman"/>
          <w:sz w:val="24"/>
          <w:szCs w:val="24"/>
        </w:rPr>
        <w:t>abide</w:t>
      </w:r>
      <w:r>
        <w:rPr>
          <w:rFonts w:ascii="Times New Roman" w:hAnsi="Times New Roman" w:cs="Times New Roman"/>
          <w:sz w:val="24"/>
          <w:szCs w:val="24"/>
        </w:rPr>
        <w:t>d</w:t>
      </w:r>
      <w:r w:rsidRPr="004932EE">
        <w:rPr>
          <w:rFonts w:ascii="Times New Roman" w:hAnsi="Times New Roman" w:cs="Times New Roman"/>
          <w:sz w:val="24"/>
          <w:szCs w:val="24"/>
        </w:rPr>
        <w:t xml:space="preserve"> by all provisions of the approved </w:t>
      </w:r>
      <w:r>
        <w:rPr>
          <w:rFonts w:ascii="Times New Roman" w:hAnsi="Times New Roman" w:cs="Times New Roman"/>
          <w:sz w:val="24"/>
          <w:szCs w:val="24"/>
        </w:rPr>
        <w:t xml:space="preserve">STCs </w:t>
      </w:r>
      <w:r w:rsidRPr="004932EE">
        <w:rPr>
          <w:rFonts w:ascii="Times New Roman" w:hAnsi="Times New Roman" w:cs="Times New Roman"/>
          <w:sz w:val="24"/>
          <w:szCs w:val="24"/>
        </w:rPr>
        <w:t xml:space="preserve">and will continuously operate the </w:t>
      </w:r>
      <w:r>
        <w:rPr>
          <w:rFonts w:ascii="Times New Roman" w:hAnsi="Times New Roman" w:cs="Times New Roman"/>
          <w:sz w:val="24"/>
          <w:szCs w:val="24"/>
        </w:rPr>
        <w:t xml:space="preserve">demonstration </w:t>
      </w:r>
      <w:r w:rsidRPr="004932EE">
        <w:rPr>
          <w:rFonts w:ascii="Times New Roman" w:hAnsi="Times New Roman" w:cs="Times New Roman"/>
          <w:sz w:val="24"/>
          <w:szCs w:val="24"/>
        </w:rPr>
        <w:t>in accordance with the requirements</w:t>
      </w:r>
      <w:r w:rsidRPr="00DB211C">
        <w:rPr>
          <w:rFonts w:ascii="Times New Roman" w:hAnsi="Times New Roman"/>
          <w:sz w:val="24"/>
          <w:szCs w:val="24"/>
        </w:rPr>
        <w:t xml:space="preserve"> </w:t>
      </w:r>
      <w:r>
        <w:rPr>
          <w:rFonts w:ascii="Times New Roman" w:hAnsi="Times New Roman"/>
          <w:sz w:val="24"/>
          <w:szCs w:val="24"/>
        </w:rPr>
        <w:t xml:space="preserve">outlined in the </w:t>
      </w:r>
      <w:r w:rsidRPr="00DB211C">
        <w:rPr>
          <w:rFonts w:ascii="Times New Roman" w:hAnsi="Times New Roman"/>
          <w:sz w:val="24"/>
          <w:szCs w:val="24"/>
        </w:rPr>
        <w:t>STCs</w:t>
      </w:r>
      <w:r>
        <w:rPr>
          <w:rFonts w:ascii="Times New Roman" w:hAnsi="Times New Roman"/>
          <w:sz w:val="24"/>
          <w:szCs w:val="24"/>
        </w:rPr>
        <w:t>.</w:t>
      </w:r>
    </w:p>
    <w:p w:rsidR="000E3133" w:rsidRDefault="000E3133" w:rsidP="000E3133">
      <w:pPr>
        <w:spacing w:after="0" w:line="240" w:lineRule="auto"/>
        <w:rPr>
          <w:rFonts w:ascii="Times New Roman" w:hAnsi="Times New Roman"/>
          <w:sz w:val="24"/>
          <w:szCs w:val="24"/>
        </w:rPr>
      </w:pPr>
    </w:p>
    <w:p w:rsidR="000E3133" w:rsidRPr="001A3046" w:rsidRDefault="000E3133" w:rsidP="000E3133">
      <w:pPr>
        <w:spacing w:after="0" w:line="240" w:lineRule="auto"/>
        <w:rPr>
          <w:rFonts w:ascii="Times New Roman" w:hAnsi="Times New Roman"/>
          <w:b/>
          <w:sz w:val="24"/>
          <w:szCs w:val="24"/>
        </w:rPr>
      </w:pPr>
      <w:r>
        <w:rPr>
          <w:rFonts w:ascii="Times New Roman" w:hAnsi="Times New Roman"/>
          <w:b/>
          <w:sz w:val="24"/>
          <w:szCs w:val="24"/>
        </w:rPr>
        <w:t>Signature:__________________________________</w:t>
      </w:r>
      <w:r>
        <w:rPr>
          <w:rFonts w:ascii="Times New Roman" w:hAnsi="Times New Roman"/>
          <w:b/>
          <w:sz w:val="24"/>
          <w:szCs w:val="24"/>
        </w:rPr>
        <w:tab/>
        <w:t>Date:______________________</w:t>
      </w:r>
    </w:p>
    <w:p w:rsidR="000E3133" w:rsidRPr="001A3046" w:rsidRDefault="000E3133" w:rsidP="000E3133">
      <w:pPr>
        <w:spacing w:after="0" w:line="240" w:lineRule="auto"/>
        <w:rPr>
          <w:rFonts w:ascii="Times New Roman" w:hAnsi="Times New Roman" w:cs="Times New Roman"/>
        </w:rPr>
      </w:pPr>
      <w:r>
        <w:rPr>
          <w:rFonts w:ascii="Times New Roman" w:hAnsi="Times New Roman" w:cs="Times New Roman"/>
          <w:sz w:val="24"/>
          <w:szCs w:val="24"/>
        </w:rPr>
        <w:tab/>
        <w:t xml:space="preserve">          </w:t>
      </w:r>
      <w:r w:rsidR="00547C4B">
        <w:rPr>
          <w:rFonts w:ascii="Times New Roman" w:hAnsi="Times New Roman" w:cs="Times New Roman"/>
          <w:sz w:val="24"/>
          <w:szCs w:val="24"/>
        </w:rPr>
        <w:t xml:space="preserve">                 </w:t>
      </w:r>
      <w:r w:rsidRPr="001A3046">
        <w:rPr>
          <w:rFonts w:ascii="Times New Roman" w:hAnsi="Times New Roman" w:cs="Times New Roman"/>
        </w:rPr>
        <w:t>[</w:t>
      </w:r>
      <w:r w:rsidR="00547C4B">
        <w:rPr>
          <w:rFonts w:ascii="Times New Roman" w:hAnsi="Times New Roman" w:cs="Times New Roman"/>
        </w:rPr>
        <w:t>Governor</w:t>
      </w:r>
      <w:r w:rsidRPr="001A3046">
        <w:rPr>
          <w:rFonts w:ascii="Times New Roman" w:hAnsi="Times New Roman" w:cs="Times New Roman"/>
        </w:rPr>
        <w:t>]</w:t>
      </w:r>
    </w:p>
    <w:p w:rsidR="000E3133" w:rsidRDefault="00773ADC" w:rsidP="000E3133">
      <w:r>
        <w:rPr>
          <w:noProof/>
        </w:rPr>
        <mc:AlternateContent>
          <mc:Choice Requires="wps">
            <w:drawing>
              <wp:anchor distT="0" distB="0" distL="114300" distR="114300" simplePos="0" relativeHeight="251659264" behindDoc="0" locked="0" layoutInCell="1" allowOverlap="1" wp14:anchorId="6976C4DE" wp14:editId="0C6B6DEA">
                <wp:simplePos x="0" y="0"/>
                <wp:positionH relativeFrom="column">
                  <wp:posOffset>-9525</wp:posOffset>
                </wp:positionH>
                <wp:positionV relativeFrom="paragraph">
                  <wp:posOffset>140335</wp:posOffset>
                </wp:positionV>
                <wp:extent cx="5819775" cy="1403985"/>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FFFFFF"/>
                        </a:solidFill>
                        <a:ln w="15875" cmpd="dbl">
                          <a:solidFill>
                            <a:srgbClr val="000000"/>
                          </a:solidFill>
                          <a:miter lim="800000"/>
                          <a:headEnd/>
                          <a:tailEnd/>
                        </a:ln>
                      </wps:spPr>
                      <wps:txbx>
                        <w:txbxContent>
                          <w:p w:rsidR="00547C4B" w:rsidRPr="000653E3" w:rsidRDefault="000653E3" w:rsidP="000653E3">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 xml:space="preserve">CMS will notify the state no later than 15 days of submitting its application of whether we determine the state’s application meets the requirements for a streamlined federal review under section 1115(f).  The state will have an opportunity to modify its application submission if CMS determines it does not meet the requirements of </w:t>
                            </w:r>
                            <w:r w:rsidR="00E97F84">
                              <w:rPr>
                                <w14:textOutline w14:w="9525" w14:cap="rnd" w14:cmpd="sng" w14:algn="ctr">
                                  <w14:solidFill>
                                    <w14:srgbClr w14:val="000000"/>
                                  </w14:solidFill>
                                  <w14:prstDash w14:val="solid"/>
                                  <w14:bevel/>
                                </w14:textOutline>
                              </w:rPr>
                              <w:t xml:space="preserve">section </w:t>
                            </w:r>
                            <w:r w:rsidRPr="000653E3">
                              <w:rPr>
                                <w14:textOutline w14:w="9525" w14:cap="rnd" w14:cmpd="sng" w14:algn="ctr">
                                  <w14:solidFill>
                                    <w14:srgbClr w14:val="000000"/>
                                  </w14:solidFill>
                                  <w14:prstDash w14:val="solid"/>
                                  <w14:bevel/>
                                </w14:textOutline>
                              </w:rPr>
                              <w:t>1115(f).  If CMS reviews the state’s submission and determines that the proposed changes significantly alter the original objectives and goals of the existing demonstration as approved, CMS has the discretion to process this application full scope pursuant to regular statutory timeframes for an extension or as an application for a new demonstration.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1.05pt;width:45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" strokeweight="1.25pt">
                <v:stroke linestyle="thinThin"/>
                <v:textbox>
                  <w:txbxContent>
                    <w:p w:rsidR="00547C4B" w:rsidRPr="000653E3" w:rsidRDefault="000653E3" w:rsidP="000653E3">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 xml:space="preserve">CMS will notify the state no later than 15 days of submitting its application of whether we determine the state’s application meets the requirements for a streamlined federal review under section 1115(f).  The state will have an opportunity to modify its application submission if CMS determines it does not meet the requirements of </w:t>
                      </w:r>
                      <w:r w:rsidR="00E97F84">
                        <w:rPr>
                          <w14:textOutline w14:w="9525" w14:cap="rnd" w14:cmpd="sng" w14:algn="ctr">
                            <w14:solidFill>
                              <w14:srgbClr w14:val="000000"/>
                            </w14:solidFill>
                            <w14:prstDash w14:val="solid"/>
                            <w14:bevel/>
                          </w14:textOutline>
                        </w:rPr>
                        <w:t xml:space="preserve">section </w:t>
                      </w:r>
                      <w:r w:rsidRPr="000653E3">
                        <w:rPr>
                          <w14:textOutline w14:w="9525" w14:cap="rnd" w14:cmpd="sng" w14:algn="ctr">
                            <w14:solidFill>
                              <w14:srgbClr w14:val="000000"/>
                            </w14:solidFill>
                            <w14:prstDash w14:val="solid"/>
                            <w14:bevel/>
                          </w14:textOutline>
                        </w:rPr>
                        <w:t>1115(f).  If CMS reviews the state’s submission and determines that the proposed changes significantly alter the original objectives and goals of the existing demonstration as approved, CMS has the discretion to process this application full scope pursuant to regular statutory timeframes for an extension or as an application for a new demonstration.</w:t>
                      </w:r>
                    </w:p>
                  </w:txbxContent>
                </v:textbox>
              </v:shape>
            </w:pict>
          </mc:Fallback>
        </mc:AlternateContent>
      </w:r>
    </w:p>
    <w:p w:rsidR="00547C4B" w:rsidRPr="000003B2" w:rsidRDefault="00547C4B" w:rsidP="00547C4B">
      <w:pPr>
        <w:pStyle w:val="Default"/>
        <w:rPr>
          <w:color w:val="auto"/>
        </w:rPr>
      </w:pPr>
    </w:p>
    <w:p w:rsidR="00E97F84" w:rsidRDefault="00E97F84" w:rsidP="00B8513D">
      <w:pPr>
        <w:spacing w:after="0" w:line="240" w:lineRule="auto"/>
      </w:pPr>
    </w:p>
    <w:p w:rsidR="00B06AEA" w:rsidRDefault="00B06AEA">
      <w:r>
        <w:br w:type="page"/>
      </w:r>
    </w:p>
    <w:p w:rsidR="00B06AEA" w:rsidRDefault="00B06AEA" w:rsidP="00B06AEA">
      <w:pPr>
        <w:spacing w:after="0" w:line="240" w:lineRule="auto"/>
        <w:jc w:val="center"/>
        <w:rPr>
          <w:rFonts w:ascii="Times New Roman" w:hAnsi="Times New Roman" w:cs="Times New Roman"/>
          <w:sz w:val="24"/>
          <w:szCs w:val="24"/>
        </w:rPr>
      </w:pPr>
      <w:r w:rsidRPr="00D823F1">
        <w:rPr>
          <w:rFonts w:ascii="Times New Roman" w:hAnsi="Times New Roman" w:cs="Times New Roman"/>
          <w:sz w:val="24"/>
          <w:szCs w:val="24"/>
        </w:rPr>
        <w:lastRenderedPageBreak/>
        <w:t>PRA Disclosure Statement</w:t>
      </w:r>
    </w:p>
    <w:p w:rsidR="00B06AEA" w:rsidRPr="00D823F1" w:rsidRDefault="00B06AEA" w:rsidP="00B06AEA">
      <w:pPr>
        <w:spacing w:after="0" w:line="240" w:lineRule="auto"/>
        <w:jc w:val="center"/>
        <w:rPr>
          <w:rFonts w:ascii="Times New Roman" w:hAnsi="Times New Roman" w:cs="Times New Roman"/>
          <w:sz w:val="24"/>
          <w:szCs w:val="24"/>
        </w:rPr>
      </w:pPr>
    </w:p>
    <w:p w:rsidR="00547C4B" w:rsidRDefault="00B06AEA" w:rsidP="00B06AEA">
      <w:pPr>
        <w:spacing w:after="0" w:line="240" w:lineRule="auto"/>
      </w:pPr>
      <w:r w:rsidRPr="008015CE">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8015CE">
        <w:rPr>
          <w:rFonts w:ascii="Times New Roman" w:hAnsi="Times New Roman" w:cs="Times New Roman"/>
          <w:bCs/>
          <w:sz w:val="24"/>
          <w:szCs w:val="24"/>
        </w:rPr>
        <w:t>0938-1148 (CMS-10398</w:t>
      </w:r>
      <w:r w:rsidR="008015CE" w:rsidRPr="008015CE">
        <w:rPr>
          <w:rFonts w:ascii="Times New Roman" w:hAnsi="Times New Roman" w:cs="Times New Roman"/>
          <w:bCs/>
          <w:sz w:val="24"/>
          <w:szCs w:val="24"/>
        </w:rPr>
        <w:t xml:space="preserve"> #51</w:t>
      </w:r>
      <w:r w:rsidRPr="008015CE">
        <w:rPr>
          <w:rFonts w:ascii="Times New Roman" w:hAnsi="Times New Roman" w:cs="Times New Roman"/>
          <w:bCs/>
          <w:sz w:val="24"/>
          <w:szCs w:val="24"/>
        </w:rPr>
        <w:t xml:space="preserve">). </w:t>
      </w:r>
      <w:r w:rsidRPr="008015CE">
        <w:rPr>
          <w:rFonts w:ascii="Times New Roman" w:hAnsi="Times New Roman" w:cs="Times New Roman"/>
          <w:sz w:val="24"/>
          <w:szCs w:val="24"/>
        </w:rPr>
        <w:t xml:space="preserve">The time required to complete this information collection is estimated to average </w:t>
      </w:r>
      <w:r w:rsidR="00A06559" w:rsidRPr="008015CE">
        <w:rPr>
          <w:rFonts w:ascii="Times New Roman" w:hAnsi="Times New Roman" w:cs="Times New Roman"/>
          <w:sz w:val="24"/>
          <w:szCs w:val="24"/>
        </w:rPr>
        <w:t>150</w:t>
      </w:r>
      <w:r w:rsidRPr="008015CE">
        <w:rPr>
          <w:rFonts w:ascii="Times New Roman" w:hAnsi="Times New Roman" w:cs="Times New Roman"/>
          <w:bCs/>
          <w:sz w:val="24"/>
          <w:szCs w:val="24"/>
        </w:rPr>
        <w:t xml:space="preserve"> hours </w:t>
      </w:r>
      <w:r w:rsidRPr="008015CE">
        <w:rPr>
          <w:rFonts w:ascii="Times New Roman" w:hAnsi="Times New Roman" w:cs="Times New Roman"/>
          <w:sz w:val="24"/>
          <w:szCs w:val="24"/>
        </w:rPr>
        <w:t>per response, including the time to review instructions, search existing data resources, gather the data needed, and</w:t>
      </w:r>
      <w:r w:rsidRPr="00D823F1">
        <w:rPr>
          <w:rFonts w:ascii="Times New Roman" w:hAnsi="Times New Roman" w:cs="Times New Roman"/>
          <w:sz w:val="24"/>
          <w:szCs w:val="24"/>
        </w:rPr>
        <w:t xml:space="preserve">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547C4B" w:rsidSect="00B06AEA">
      <w:headerReference w:type="even"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05" w:rsidRDefault="00814405" w:rsidP="00814405">
      <w:pPr>
        <w:spacing w:after="0" w:line="240" w:lineRule="auto"/>
      </w:pPr>
      <w:r>
        <w:separator/>
      </w:r>
    </w:p>
  </w:endnote>
  <w:endnote w:type="continuationSeparator" w:id="0">
    <w:p w:rsidR="00814405" w:rsidRDefault="00814405" w:rsidP="0081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842686"/>
      <w:docPartObj>
        <w:docPartGallery w:val="Page Numbers (Bottom of Page)"/>
        <w:docPartUnique/>
      </w:docPartObj>
    </w:sdtPr>
    <w:sdtEndPr/>
    <w:sdtContent>
      <w:sdt>
        <w:sdtPr>
          <w:id w:val="860082579"/>
          <w:docPartObj>
            <w:docPartGallery w:val="Page Numbers (Top of Page)"/>
            <w:docPartUnique/>
          </w:docPartObj>
        </w:sdtPr>
        <w:sdtEndPr/>
        <w:sdtContent>
          <w:p w:rsidR="00814405" w:rsidRDefault="00C4353D" w:rsidP="00C435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47EE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7EEF">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05" w:rsidRDefault="00814405" w:rsidP="00814405">
      <w:pPr>
        <w:spacing w:after="0" w:line="240" w:lineRule="auto"/>
      </w:pPr>
      <w:r>
        <w:separator/>
      </w:r>
    </w:p>
  </w:footnote>
  <w:footnote w:type="continuationSeparator" w:id="0">
    <w:p w:rsidR="00814405" w:rsidRDefault="00814405" w:rsidP="0081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EA" w:rsidRDefault="00B06AEA">
    <w:pPr>
      <w:pStyle w:val="Header"/>
    </w:pPr>
    <w:r w:rsidRPr="00945461">
      <w:rPr>
        <w:rFonts w:ascii="Times New Roman" w:hAnsi="Times New Roman" w:cs="Times New Roman"/>
        <w:sz w:val="24"/>
        <w:szCs w:val="24"/>
      </w:rPr>
      <w:t>Page 2 –</w:t>
    </w:r>
    <w:r>
      <w:rPr>
        <w:rFonts w:ascii="Times New Roman" w:hAnsi="Times New Roman" w:cs="Times New Roman"/>
        <w:sz w:val="24"/>
        <w:szCs w:val="24"/>
      </w:rPr>
      <w:t xml:space="preserve"> [State] S</w:t>
    </w:r>
    <w:r w:rsidRPr="00945461">
      <w:rPr>
        <w:rFonts w:ascii="Times New Roman" w:hAnsi="Times New Roman" w:cs="Times New Roman"/>
        <w:sz w:val="24"/>
        <w:szCs w:val="24"/>
      </w:rPr>
      <w:t>ection 1115(</w:t>
    </w:r>
    <w:r>
      <w:rPr>
        <w:rFonts w:ascii="Times New Roman" w:hAnsi="Times New Roman" w:cs="Times New Roman"/>
        <w:sz w:val="24"/>
        <w:szCs w:val="24"/>
      </w:rPr>
      <w:t>f</w:t>
    </w:r>
    <w:r w:rsidRPr="00945461">
      <w:rPr>
        <w:rFonts w:ascii="Times New Roman" w:hAnsi="Times New Roman" w:cs="Times New Roman"/>
        <w:sz w:val="24"/>
        <w:szCs w:val="24"/>
      </w:rPr>
      <w:t>) Application Attestation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559" w:rsidRDefault="00A06559" w:rsidP="00A06559">
    <w:pPr>
      <w:pStyle w:val="Header"/>
      <w:jc w:val="right"/>
      <w:rPr>
        <w:rFonts w:ascii="Times New Roman" w:hAnsi="Times New Roman" w:cs="Times New Roman"/>
        <w:sz w:val="24"/>
        <w:szCs w:val="24"/>
      </w:rPr>
    </w:pPr>
    <w:r>
      <w:rPr>
        <w:rFonts w:ascii="Times New Roman" w:hAnsi="Times New Roman" w:cs="Times New Roman"/>
        <w:sz w:val="24"/>
        <w:szCs w:val="24"/>
      </w:rPr>
      <w:t>OMB No.: 0938-1148</w:t>
    </w:r>
  </w:p>
  <w:p w:rsidR="00A06559" w:rsidRPr="00A06559" w:rsidRDefault="00A06559" w:rsidP="00A06559">
    <w:pPr>
      <w:pStyle w:val="Header"/>
      <w:jc w:val="right"/>
      <w:rPr>
        <w:rFonts w:ascii="Times New Roman" w:hAnsi="Times New Roman" w:cs="Times New Roman"/>
        <w:sz w:val="24"/>
        <w:szCs w:val="24"/>
      </w:rPr>
    </w:pPr>
    <w:r>
      <w:rPr>
        <w:rFonts w:ascii="Times New Roman" w:hAnsi="Times New Roman" w:cs="Times New Roman"/>
        <w:sz w:val="24"/>
        <w:szCs w:val="24"/>
      </w:rPr>
      <w:t>CMS Form: CMS-10398</w:t>
    </w:r>
    <w:r w:rsidR="008015CE">
      <w:rPr>
        <w:rFonts w:ascii="Times New Roman" w:hAnsi="Times New Roman" w:cs="Times New Roman"/>
        <w:sz w:val="24"/>
        <w:szCs w:val="24"/>
      </w:rPr>
      <w:t xml:space="preserve"> #51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D6D0E"/>
    <w:multiLevelType w:val="hybridMultilevel"/>
    <w:tmpl w:val="205CB4C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6EA87E8F"/>
    <w:multiLevelType w:val="hybridMultilevel"/>
    <w:tmpl w:val="326CB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2C"/>
    <w:rsid w:val="000003B2"/>
    <w:rsid w:val="000653E3"/>
    <w:rsid w:val="0008436F"/>
    <w:rsid w:val="000B4AA1"/>
    <w:rsid w:val="000E3133"/>
    <w:rsid w:val="000E4D2D"/>
    <w:rsid w:val="00164066"/>
    <w:rsid w:val="001B1620"/>
    <w:rsid w:val="001C1B61"/>
    <w:rsid w:val="001F4776"/>
    <w:rsid w:val="002D00C3"/>
    <w:rsid w:val="0030016A"/>
    <w:rsid w:val="00360BC0"/>
    <w:rsid w:val="00392633"/>
    <w:rsid w:val="003A7F8A"/>
    <w:rsid w:val="005461B5"/>
    <w:rsid w:val="00547C4B"/>
    <w:rsid w:val="005E2A2C"/>
    <w:rsid w:val="00600EF5"/>
    <w:rsid w:val="006B56D8"/>
    <w:rsid w:val="0075530C"/>
    <w:rsid w:val="00773ADC"/>
    <w:rsid w:val="007F0B44"/>
    <w:rsid w:val="007F52A3"/>
    <w:rsid w:val="008015CE"/>
    <w:rsid w:val="00814405"/>
    <w:rsid w:val="00816BB5"/>
    <w:rsid w:val="00847EEF"/>
    <w:rsid w:val="0087269C"/>
    <w:rsid w:val="008B708C"/>
    <w:rsid w:val="008C2EAD"/>
    <w:rsid w:val="008D111F"/>
    <w:rsid w:val="008F0C67"/>
    <w:rsid w:val="00916868"/>
    <w:rsid w:val="00970F61"/>
    <w:rsid w:val="0099097A"/>
    <w:rsid w:val="00A06559"/>
    <w:rsid w:val="00B06AEA"/>
    <w:rsid w:val="00B8513D"/>
    <w:rsid w:val="00BE5705"/>
    <w:rsid w:val="00C4353D"/>
    <w:rsid w:val="00C449EA"/>
    <w:rsid w:val="00D27246"/>
    <w:rsid w:val="00D307A8"/>
    <w:rsid w:val="00D45F5E"/>
    <w:rsid w:val="00D82C38"/>
    <w:rsid w:val="00E355B2"/>
    <w:rsid w:val="00E91BC4"/>
    <w:rsid w:val="00E97F84"/>
    <w:rsid w:val="00FA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A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436F"/>
    <w:pPr>
      <w:ind w:left="720"/>
      <w:contextualSpacing/>
    </w:pPr>
  </w:style>
  <w:style w:type="paragraph" w:styleId="Header">
    <w:name w:val="header"/>
    <w:basedOn w:val="Normal"/>
    <w:link w:val="HeaderChar"/>
    <w:uiPriority w:val="99"/>
    <w:unhideWhenUsed/>
    <w:rsid w:val="0081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05"/>
  </w:style>
  <w:style w:type="paragraph" w:styleId="Footer">
    <w:name w:val="footer"/>
    <w:basedOn w:val="Normal"/>
    <w:link w:val="FooterChar"/>
    <w:uiPriority w:val="99"/>
    <w:unhideWhenUsed/>
    <w:rsid w:val="0081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05"/>
  </w:style>
  <w:style w:type="table" w:styleId="TableGrid">
    <w:name w:val="Table Grid"/>
    <w:basedOn w:val="TableNormal"/>
    <w:uiPriority w:val="59"/>
    <w:rsid w:val="001F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8C"/>
    <w:rPr>
      <w:rFonts w:ascii="Tahoma" w:hAnsi="Tahoma" w:cs="Tahoma"/>
      <w:sz w:val="16"/>
      <w:szCs w:val="16"/>
    </w:rPr>
  </w:style>
  <w:style w:type="character" w:styleId="Hyperlink">
    <w:name w:val="Hyperlink"/>
    <w:basedOn w:val="DefaultParagraphFont"/>
    <w:uiPriority w:val="99"/>
    <w:unhideWhenUsed/>
    <w:rsid w:val="007F0B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A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436F"/>
    <w:pPr>
      <w:ind w:left="720"/>
      <w:contextualSpacing/>
    </w:pPr>
  </w:style>
  <w:style w:type="paragraph" w:styleId="Header">
    <w:name w:val="header"/>
    <w:basedOn w:val="Normal"/>
    <w:link w:val="HeaderChar"/>
    <w:uiPriority w:val="99"/>
    <w:unhideWhenUsed/>
    <w:rsid w:val="0081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05"/>
  </w:style>
  <w:style w:type="paragraph" w:styleId="Footer">
    <w:name w:val="footer"/>
    <w:basedOn w:val="Normal"/>
    <w:link w:val="FooterChar"/>
    <w:uiPriority w:val="99"/>
    <w:unhideWhenUsed/>
    <w:rsid w:val="0081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05"/>
  </w:style>
  <w:style w:type="table" w:styleId="TableGrid">
    <w:name w:val="Table Grid"/>
    <w:basedOn w:val="TableNormal"/>
    <w:uiPriority w:val="59"/>
    <w:rsid w:val="001F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8C"/>
    <w:rPr>
      <w:rFonts w:ascii="Tahoma" w:hAnsi="Tahoma" w:cs="Tahoma"/>
      <w:sz w:val="16"/>
      <w:szCs w:val="16"/>
    </w:rPr>
  </w:style>
  <w:style w:type="character" w:styleId="Hyperlink">
    <w:name w:val="Hyperlink"/>
    <w:basedOn w:val="DefaultParagraphFont"/>
    <w:uiPriority w:val="99"/>
    <w:unhideWhenUsed/>
    <w:rsid w:val="007F0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1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0EC1-28CF-4CCE-9010-E048B599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Moore</dc:creator>
  <cp:lastModifiedBy>SYSTEM</cp:lastModifiedBy>
  <cp:revision>2</cp:revision>
  <cp:lastPrinted>2015-07-15T17:13:00Z</cp:lastPrinted>
  <dcterms:created xsi:type="dcterms:W3CDTF">2018-01-12T15:18:00Z</dcterms:created>
  <dcterms:modified xsi:type="dcterms:W3CDTF">2018-01-12T15:18:00Z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-1209762369</vt:i4>
  </property>
  <property fmtid="{D5CDD505-2E9C-101B-9397-08002B2CF9AE}" pid="3" name="_NewReviewCycle">
    <vt:lpwstr/>
  </property>
  <property fmtid="{D5CDD505-2E9C-101B-9397-08002B2CF9AE}" pid="4" name="_EmailSubject">
    <vt:lpwstr>Generic PRA #51 1115 Fast Track</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1377243729</vt:i4>
  </property>
  <property fmtid="{D5CDD505-2E9C-101B-9397-08002B2CF9AE}" pid="8" name="_ReviewingToolsShownOnce">
    <vt:lpwstr/>
  </property>
</Properties>
</file>