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CC" w:rsidRDefault="00C744CC" w:rsidP="00C744CC">
      <w:pPr>
        <w:tabs>
          <w:tab w:val="left" w:pos="4140"/>
          <w:tab w:val="left" w:pos="4500"/>
        </w:tabs>
        <w:jc w:val="center"/>
        <w:rPr>
          <w:rFonts w:ascii="Times New Roman" w:hAnsi="Times New Roman"/>
          <w:b/>
        </w:rPr>
      </w:pPr>
      <w:bookmarkStart w:id="0" w:name="_GoBack"/>
      <w:bookmarkEnd w:id="0"/>
    </w:p>
    <w:p w:rsidR="00C03EDF" w:rsidRDefault="005C4386" w:rsidP="00703DFE">
      <w:pPr>
        <w:tabs>
          <w:tab w:val="left" w:pos="4140"/>
          <w:tab w:val="left" w:pos="4500"/>
        </w:tabs>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r w:rsidR="0038003E">
        <w:rPr>
          <w:rFonts w:ascii="Times New Roman" w:hAnsi="Times New Roman"/>
          <w:b/>
        </w:rPr>
        <w:t xml:space="preserve">Form </w:t>
      </w:r>
      <w:r w:rsidR="0011076E">
        <w:rPr>
          <w:rFonts w:ascii="Times New Roman" w:hAnsi="Times New Roman"/>
          <w:b/>
        </w:rPr>
        <w:t>SSA-561</w:t>
      </w:r>
      <w:r w:rsidR="00E33038">
        <w:rPr>
          <w:rFonts w:ascii="Times New Roman" w:hAnsi="Times New Roman"/>
          <w:b/>
        </w:rPr>
        <w:t>-U2</w:t>
      </w:r>
    </w:p>
    <w:p w:rsidR="00855A2B" w:rsidRDefault="0011076E" w:rsidP="00703DFE">
      <w:pPr>
        <w:jc w:val="center"/>
        <w:rPr>
          <w:rFonts w:ascii="Times New Roman" w:hAnsi="Times New Roman"/>
          <w:b/>
        </w:rPr>
      </w:pPr>
      <w:r>
        <w:rPr>
          <w:rFonts w:ascii="Times New Roman" w:hAnsi="Times New Roman"/>
          <w:b/>
        </w:rPr>
        <w:t xml:space="preserve">Request for Reconsideration </w:t>
      </w:r>
    </w:p>
    <w:p w:rsidR="0011076E" w:rsidRDefault="0011076E" w:rsidP="0011076E">
      <w:pPr>
        <w:tabs>
          <w:tab w:val="right" w:pos="6444"/>
        </w:tabs>
        <w:snapToGrid/>
        <w:jc w:val="center"/>
        <w:rPr>
          <w:rFonts w:ascii="Times New Roman" w:hAnsi="Times New Roman"/>
          <w:b/>
          <w:snapToGrid w:val="0"/>
        </w:rPr>
      </w:pPr>
      <w:r>
        <w:rPr>
          <w:rFonts w:ascii="Times New Roman" w:hAnsi="Times New Roman"/>
          <w:b/>
          <w:snapToGrid w:val="0"/>
        </w:rPr>
        <w:t>20 CFR 404.907-404.921, 416.1407-416.1421, 418.1009, and 418.1325</w:t>
      </w:r>
    </w:p>
    <w:p w:rsidR="0011076E" w:rsidRDefault="0011076E" w:rsidP="0011076E">
      <w:pPr>
        <w:jc w:val="center"/>
      </w:pPr>
      <w:r>
        <w:rPr>
          <w:rFonts w:ascii="Times New Roman" w:hAnsi="Times New Roman"/>
          <w:b/>
        </w:rPr>
        <w:t>OMB No. 0960-0622</w:t>
      </w:r>
    </w:p>
    <w:p w:rsidR="00703DFE" w:rsidRDefault="00703DFE" w:rsidP="00C03EDF">
      <w:pPr>
        <w:rPr>
          <w:rFonts w:ascii="Times New Roman" w:hAnsi="Times New Roman"/>
          <w:b/>
          <w:snapToGrid w:val="0"/>
          <w:u w:val="single"/>
        </w:rPr>
      </w:pPr>
    </w:p>
    <w:p w:rsidR="00B318CD" w:rsidRDefault="00703DFE" w:rsidP="00703DFE">
      <w:r>
        <w:rPr>
          <w:rFonts w:ascii="Times New Roman" w:hAnsi="Times New Roman"/>
          <w:b/>
          <w:snapToGrid w:val="0"/>
          <w:u w:val="single"/>
        </w:rPr>
        <w:t>Background</w:t>
      </w:r>
    </w:p>
    <w:p w:rsidR="002B0DC3" w:rsidRDefault="008C7D23" w:rsidP="0038003E">
      <w:pPr>
        <w:pStyle w:val="NormalWeb"/>
        <w:shd w:val="clear" w:color="auto" w:fill="FFFFFF"/>
      </w:pPr>
      <w:r>
        <w:t xml:space="preserve">Individuals can use the paper form </w:t>
      </w:r>
      <w:r w:rsidR="00AC7718">
        <w:t>SSA-561</w:t>
      </w:r>
      <w:r w:rsidR="00E33038">
        <w:t>-U2</w:t>
      </w:r>
      <w:r w:rsidR="002B3C2D">
        <w:t xml:space="preserve"> </w:t>
      </w:r>
      <w:r w:rsidR="006B0CE3">
        <w:t xml:space="preserve">or the </w:t>
      </w:r>
      <w:r w:rsidR="00895D8E">
        <w:t xml:space="preserve">Internet </w:t>
      </w:r>
      <w:r w:rsidR="006B0CE3">
        <w:t>i</w:t>
      </w:r>
      <w:r w:rsidR="00AC7718">
        <w:t>561</w:t>
      </w:r>
      <w:r w:rsidR="006B0CE3">
        <w:t xml:space="preserve"> to file a </w:t>
      </w:r>
      <w:r w:rsidR="00AC7718">
        <w:t>reconsideration request</w:t>
      </w:r>
      <w:r w:rsidR="006B0CE3">
        <w:t xml:space="preserve"> on a non-medical or </w:t>
      </w:r>
      <w:r w:rsidR="00663CBA">
        <w:t xml:space="preserve">initial </w:t>
      </w:r>
      <w:r w:rsidR="006B0CE3">
        <w:t xml:space="preserve">disability determination. </w:t>
      </w:r>
      <w:r w:rsidR="00895D8E">
        <w:t xml:space="preserve"> </w:t>
      </w:r>
      <w:r w:rsidR="00985293">
        <w:t>T</w:t>
      </w:r>
      <w:r>
        <w:t>he</w:t>
      </w:r>
      <w:r w:rsidR="001C5158">
        <w:t xml:space="preserve"> i</w:t>
      </w:r>
      <w:r w:rsidR="00AC7718">
        <w:t>561</w:t>
      </w:r>
      <w:r w:rsidR="001C5158">
        <w:t xml:space="preserve"> is the</w:t>
      </w:r>
      <w:r>
        <w:t xml:space="preserve"> electronic version of the </w:t>
      </w:r>
      <w:r w:rsidR="006B0CE3">
        <w:t xml:space="preserve">paper form </w:t>
      </w:r>
      <w:r w:rsidR="00AC7718">
        <w:t>SSA-561</w:t>
      </w:r>
      <w:r w:rsidR="00E33038">
        <w:t>-U2</w:t>
      </w:r>
      <w:r w:rsidR="001C5158">
        <w:t xml:space="preserve"> </w:t>
      </w:r>
      <w:r w:rsidR="00797A7F">
        <w:t>and is</w:t>
      </w:r>
      <w:r>
        <w:t xml:space="preserve"> part of </w:t>
      </w:r>
      <w:r w:rsidR="00895D8E">
        <w:t>the agency’s iAppeals application</w:t>
      </w:r>
      <w:r w:rsidR="006B0CE3">
        <w:t>.</w:t>
      </w:r>
      <w:r w:rsidR="00895D8E">
        <w:t xml:space="preserve">  The iAppeals application is available on the SSA.gov website, and allows individuals to file an appeal over the Internet. </w:t>
      </w:r>
      <w:r w:rsidR="00030434">
        <w:t xml:space="preserve"> </w:t>
      </w:r>
      <w:r w:rsidR="00895D8E">
        <w:t>The iAppeals application</w:t>
      </w:r>
      <w:r w:rsidR="002B0DC3">
        <w:t xml:space="preserve"> </w:t>
      </w:r>
      <w:r w:rsidR="00030434">
        <w:t xml:space="preserve">also includes the </w:t>
      </w:r>
      <w:r>
        <w:t>i</w:t>
      </w:r>
      <w:r w:rsidR="00AC7718">
        <w:t>501</w:t>
      </w:r>
      <w:r>
        <w:t xml:space="preserve"> (</w:t>
      </w:r>
      <w:r w:rsidRPr="00BC7755">
        <w:t xml:space="preserve">Request for </w:t>
      </w:r>
      <w:r w:rsidR="001E61BD">
        <w:t>Hearing by Administrative Law Judge</w:t>
      </w:r>
      <w:r w:rsidR="00895D8E">
        <w:t>; OMB # 0960</w:t>
      </w:r>
      <w:r w:rsidR="00895D8E">
        <w:noBreakHyphen/>
      </w:r>
      <w:r w:rsidR="001E61BD">
        <w:t>0269)</w:t>
      </w:r>
      <w:r>
        <w:t xml:space="preserve"> and </w:t>
      </w:r>
      <w:r w:rsidRPr="00AE19CA">
        <w:t>i3441 (Disability Report</w:t>
      </w:r>
      <w:r>
        <w:t>; OMB # 0960-0144).</w:t>
      </w:r>
      <w:r w:rsidR="003F3D3C">
        <w:t xml:space="preserve"> </w:t>
      </w:r>
    </w:p>
    <w:p w:rsidR="00542993" w:rsidRDefault="00542993" w:rsidP="0038003E">
      <w:pPr>
        <w:pStyle w:val="NormalWeb"/>
        <w:shd w:val="clear" w:color="auto" w:fill="FFFFFF"/>
      </w:pPr>
    </w:p>
    <w:p w:rsidR="009A4235" w:rsidRDefault="00895D8E" w:rsidP="0038003E">
      <w:pPr>
        <w:pStyle w:val="NormalWeb"/>
        <w:shd w:val="clear" w:color="auto" w:fill="FFFFFF"/>
      </w:pPr>
      <w:r>
        <w:t>As part of our appeals process, we require the respondent to submit both an appeals form (either the HA-501 to request a hearing on a non-medical or initial disability determination; or the SSA-561 to request a reconsideration on a non-medical or initial disability determination) along with the SSA-3441 to submit a disability appeal.  To ensure that we obtain all of the information we need to process an appeal submitted through iAppeals, we implemented the single submission process in March 2015.  Single submission requires individuals to complete and simultaneously submit the appeal request (i561 or i501) and disability report (i3441) to file an appeal on an initial disability determination through iAppeals.  To ensure individuals understand the process and requirement for filing a reconsideration or hearing for an initial disability determination through iAppeals, we provide a detailed Terms of Service page and have individuals acknowledge that they read and understand the terms of service for using iAppeals to file an appeal</w:t>
      </w:r>
      <w:r w:rsidR="008F1923">
        <w:t xml:space="preserve">. </w:t>
      </w:r>
    </w:p>
    <w:p w:rsidR="009A4235" w:rsidRDefault="009A4235" w:rsidP="0038003E">
      <w:pPr>
        <w:pStyle w:val="NormalWeb"/>
        <w:shd w:val="clear" w:color="auto" w:fill="FFFFFF"/>
      </w:pPr>
    </w:p>
    <w:p w:rsidR="0038003E" w:rsidRPr="0038003E" w:rsidRDefault="0038003E" w:rsidP="00C03EDF">
      <w:pPr>
        <w:rPr>
          <w:rFonts w:ascii="Times New Roman" w:hAnsi="Times New Roman"/>
          <w:b/>
          <w:snapToGrid w:val="0"/>
          <w:u w:val="single"/>
        </w:rPr>
      </w:pPr>
      <w:r w:rsidRPr="0038003E">
        <w:rPr>
          <w:rFonts w:ascii="Times New Roman" w:hAnsi="Times New Roman"/>
          <w:b/>
          <w:snapToGrid w:val="0"/>
          <w:u w:val="single"/>
        </w:rPr>
        <w:t>Re</w:t>
      </w:r>
      <w:r w:rsidR="00835406">
        <w:rPr>
          <w:rFonts w:ascii="Times New Roman" w:hAnsi="Times New Roman"/>
          <w:b/>
          <w:snapToGrid w:val="0"/>
          <w:u w:val="single"/>
        </w:rPr>
        <w:t>vision to the i561</w:t>
      </w:r>
      <w:r w:rsidR="00542993">
        <w:rPr>
          <w:rFonts w:ascii="Times New Roman" w:hAnsi="Times New Roman"/>
          <w:b/>
          <w:snapToGrid w:val="0"/>
          <w:u w:val="single"/>
        </w:rPr>
        <w:t xml:space="preserve"> </w:t>
      </w:r>
      <w:r w:rsidR="00AC7130">
        <w:rPr>
          <w:rFonts w:ascii="Times New Roman" w:hAnsi="Times New Roman"/>
          <w:b/>
          <w:snapToGrid w:val="0"/>
          <w:u w:val="single"/>
        </w:rPr>
        <w:t xml:space="preserve"> - </w:t>
      </w:r>
      <w:r w:rsidR="00542993">
        <w:rPr>
          <w:rFonts w:ascii="Times New Roman" w:hAnsi="Times New Roman"/>
          <w:b/>
          <w:snapToGrid w:val="0"/>
          <w:u w:val="single"/>
        </w:rPr>
        <w:t>Terms of Service</w:t>
      </w:r>
      <w:r w:rsidRPr="0038003E">
        <w:rPr>
          <w:rFonts w:ascii="Times New Roman" w:hAnsi="Times New Roman"/>
          <w:b/>
          <w:snapToGrid w:val="0"/>
          <w:u w:val="single"/>
        </w:rPr>
        <w:t>:</w:t>
      </w:r>
    </w:p>
    <w:p w:rsidR="00B318CD" w:rsidRDefault="00B318CD" w:rsidP="00C03EDF">
      <w:pPr>
        <w:rPr>
          <w:rFonts w:ascii="Times New Roman" w:hAnsi="Times New Roman"/>
          <w:snapToGrid w:val="0"/>
        </w:rPr>
      </w:pPr>
    </w:p>
    <w:p w:rsidR="001E647F" w:rsidRPr="001E647F" w:rsidRDefault="001E647F" w:rsidP="001E647F">
      <w:pPr>
        <w:numPr>
          <w:ilvl w:val="0"/>
          <w:numId w:val="1"/>
        </w:numPr>
        <w:rPr>
          <w:rFonts w:ascii="Times New Roman" w:hAnsi="Times New Roman"/>
          <w:snapToGrid w:val="0"/>
        </w:rPr>
      </w:pPr>
      <w:r w:rsidRPr="001E647F">
        <w:rPr>
          <w:rFonts w:ascii="Times New Roman" w:hAnsi="Times New Roman"/>
          <w:b/>
          <w:snapToGrid w:val="0"/>
          <w:u w:val="single"/>
        </w:rPr>
        <w:t xml:space="preserve">Change </w:t>
      </w:r>
      <w:r w:rsidRPr="00AC7718">
        <w:rPr>
          <w:rFonts w:ascii="Times New Roman" w:hAnsi="Times New Roman"/>
          <w:b/>
          <w:snapToGrid w:val="0"/>
          <w:u w:val="single"/>
        </w:rPr>
        <w:t>#1</w:t>
      </w:r>
      <w:r w:rsidRPr="00AC7718">
        <w:rPr>
          <w:rFonts w:ascii="Times New Roman" w:hAnsi="Times New Roman"/>
          <w:b/>
          <w:snapToGrid w:val="0"/>
        </w:rPr>
        <w:t>:</w:t>
      </w:r>
      <w:r w:rsidRPr="001E647F">
        <w:rPr>
          <w:rFonts w:ascii="Times New Roman" w:hAnsi="Times New Roman"/>
          <w:snapToGrid w:val="0"/>
        </w:rPr>
        <w:t xml:space="preserve">  </w:t>
      </w:r>
      <w:r w:rsidR="00895D8E" w:rsidRPr="00187302">
        <w:rPr>
          <w:rFonts w:ascii="Times New Roman" w:hAnsi="Times New Roman"/>
          <w:snapToGrid w:val="0"/>
        </w:rPr>
        <w:t>On the Terms of Service</w:t>
      </w:r>
      <w:r w:rsidR="00895D8E">
        <w:rPr>
          <w:rFonts w:ascii="Times New Roman" w:hAnsi="Times New Roman"/>
          <w:snapToGrid w:val="0"/>
        </w:rPr>
        <w:t xml:space="preserve"> page</w:t>
      </w:r>
      <w:r w:rsidR="00895D8E" w:rsidRPr="00187302">
        <w:rPr>
          <w:rFonts w:ascii="Times New Roman" w:hAnsi="Times New Roman"/>
          <w:snapToGrid w:val="0"/>
        </w:rPr>
        <w:t xml:space="preserve">, we added more details concerning the requirements for appealing an initial disability determination through iAppeals. </w:t>
      </w:r>
      <w:r w:rsidR="00895D8E">
        <w:rPr>
          <w:rFonts w:ascii="Times New Roman" w:hAnsi="Times New Roman"/>
          <w:snapToGrid w:val="0"/>
        </w:rPr>
        <w:t xml:space="preserve"> </w:t>
      </w:r>
      <w:r w:rsidR="00895D8E" w:rsidRPr="00187302">
        <w:rPr>
          <w:rFonts w:ascii="Times New Roman" w:hAnsi="Times New Roman"/>
          <w:snapToGrid w:val="0"/>
        </w:rPr>
        <w:t>We also added information concerning the submission of additional evidence and an acknowledgement button</w:t>
      </w:r>
      <w:r w:rsidR="003F0543">
        <w:rPr>
          <w:rFonts w:ascii="Times New Roman" w:hAnsi="Times New Roman"/>
          <w:snapToGrid w:val="0"/>
        </w:rPr>
        <w:t xml:space="preserve">. </w:t>
      </w:r>
      <w:r w:rsidR="00542993">
        <w:rPr>
          <w:rFonts w:ascii="Times New Roman" w:hAnsi="Times New Roman"/>
          <w:snapToGrid w:val="0"/>
        </w:rPr>
        <w:t xml:space="preserve"> </w:t>
      </w:r>
    </w:p>
    <w:p w:rsidR="001E647F" w:rsidRPr="001E647F" w:rsidRDefault="001E647F" w:rsidP="001E647F">
      <w:pPr>
        <w:rPr>
          <w:rFonts w:ascii="Times New Roman" w:hAnsi="Times New Roman"/>
          <w:snapToGrid w:val="0"/>
        </w:rPr>
      </w:pPr>
    </w:p>
    <w:p w:rsidR="003F0543" w:rsidRDefault="001E647F" w:rsidP="001E647F">
      <w:pPr>
        <w:ind w:left="360"/>
        <w:rPr>
          <w:rFonts w:ascii="Times New Roman" w:hAnsi="Times New Roman"/>
          <w:snapToGrid w:val="0"/>
        </w:rPr>
      </w:pPr>
      <w:r w:rsidRPr="00AC7718">
        <w:rPr>
          <w:rFonts w:ascii="Times New Roman" w:hAnsi="Times New Roman"/>
          <w:b/>
          <w:snapToGrid w:val="0"/>
          <w:u w:val="single"/>
        </w:rPr>
        <w:t>Justification #1</w:t>
      </w:r>
      <w:r w:rsidRPr="00AC7718">
        <w:rPr>
          <w:rFonts w:ascii="Times New Roman" w:hAnsi="Times New Roman"/>
          <w:b/>
          <w:snapToGrid w:val="0"/>
        </w:rPr>
        <w:t>:</w:t>
      </w:r>
      <w:r w:rsidRPr="001E647F">
        <w:rPr>
          <w:rFonts w:ascii="Times New Roman" w:hAnsi="Times New Roman"/>
          <w:b/>
          <w:snapToGrid w:val="0"/>
        </w:rPr>
        <w:t xml:space="preserve">  </w:t>
      </w:r>
      <w:r w:rsidR="00895D8E" w:rsidRPr="00187302">
        <w:rPr>
          <w:rFonts w:ascii="Times New Roman" w:hAnsi="Times New Roman"/>
          <w:snapToGrid w:val="0"/>
        </w:rPr>
        <w:t>We added th</w:t>
      </w:r>
      <w:r w:rsidR="00895D8E">
        <w:rPr>
          <w:rFonts w:ascii="Times New Roman" w:hAnsi="Times New Roman"/>
          <w:snapToGrid w:val="0"/>
        </w:rPr>
        <w:t>is</w:t>
      </w:r>
      <w:r w:rsidR="00895D8E" w:rsidRPr="00187302">
        <w:rPr>
          <w:rFonts w:ascii="Times New Roman" w:hAnsi="Times New Roman"/>
          <w:snapToGrid w:val="0"/>
        </w:rPr>
        <w:t xml:space="preserve"> information to provide individuals a detailed explanation concerning the iAppeals requirements for filing an appeal on an initial disability determination</w:t>
      </w:r>
      <w:r w:rsidR="00895D8E">
        <w:rPr>
          <w:rFonts w:ascii="Times New Roman" w:hAnsi="Times New Roman"/>
          <w:snapToGrid w:val="0"/>
        </w:rPr>
        <w:t xml:space="preserve"> and submitting evidence.  The acknowledgement button will show that an individual read and understood the Terms of Service</w:t>
      </w:r>
      <w:r w:rsidR="00AC7130">
        <w:rPr>
          <w:rFonts w:ascii="Times New Roman" w:hAnsi="Times New Roman"/>
          <w:snapToGrid w:val="0"/>
        </w:rPr>
        <w:t xml:space="preserve">. </w:t>
      </w:r>
      <w:r w:rsidR="003F0543">
        <w:rPr>
          <w:rFonts w:ascii="Times New Roman" w:hAnsi="Times New Roman"/>
          <w:snapToGrid w:val="0"/>
        </w:rPr>
        <w:t xml:space="preserve"> </w:t>
      </w:r>
    </w:p>
    <w:sectPr w:rsidR="003F0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D0C"/>
    <w:multiLevelType w:val="hybridMultilevel"/>
    <w:tmpl w:val="8EC83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2CD6"/>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43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076E"/>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5894"/>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158"/>
    <w:rsid w:val="001C536A"/>
    <w:rsid w:val="001D38D3"/>
    <w:rsid w:val="001D4E4C"/>
    <w:rsid w:val="001D5165"/>
    <w:rsid w:val="001E0A5B"/>
    <w:rsid w:val="001E35CA"/>
    <w:rsid w:val="001E3D0E"/>
    <w:rsid w:val="001E5EEA"/>
    <w:rsid w:val="001E61BD"/>
    <w:rsid w:val="001E641A"/>
    <w:rsid w:val="001E647F"/>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44A6C"/>
    <w:rsid w:val="00250589"/>
    <w:rsid w:val="0025115C"/>
    <w:rsid w:val="00257808"/>
    <w:rsid w:val="002618F3"/>
    <w:rsid w:val="0026238C"/>
    <w:rsid w:val="002625B6"/>
    <w:rsid w:val="00262A2A"/>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0DC3"/>
    <w:rsid w:val="002B1345"/>
    <w:rsid w:val="002B189A"/>
    <w:rsid w:val="002B25AD"/>
    <w:rsid w:val="002B3C2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003E"/>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0543"/>
    <w:rsid w:val="003F1CB9"/>
    <w:rsid w:val="003F3D3C"/>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2F53"/>
    <w:rsid w:val="004637B3"/>
    <w:rsid w:val="004640EE"/>
    <w:rsid w:val="004645BA"/>
    <w:rsid w:val="00467D8D"/>
    <w:rsid w:val="00471DCB"/>
    <w:rsid w:val="00472C38"/>
    <w:rsid w:val="00476C32"/>
    <w:rsid w:val="00476F42"/>
    <w:rsid w:val="00480884"/>
    <w:rsid w:val="00480A1E"/>
    <w:rsid w:val="00482360"/>
    <w:rsid w:val="004841A0"/>
    <w:rsid w:val="004848C3"/>
    <w:rsid w:val="0049182E"/>
    <w:rsid w:val="00496783"/>
    <w:rsid w:val="0049723B"/>
    <w:rsid w:val="004A05B1"/>
    <w:rsid w:val="004A0DC7"/>
    <w:rsid w:val="004A2EC0"/>
    <w:rsid w:val="004A3175"/>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175B7"/>
    <w:rsid w:val="00524F1A"/>
    <w:rsid w:val="005267D9"/>
    <w:rsid w:val="005349ED"/>
    <w:rsid w:val="00534FAA"/>
    <w:rsid w:val="005350FF"/>
    <w:rsid w:val="00535221"/>
    <w:rsid w:val="00535AE2"/>
    <w:rsid w:val="0054153A"/>
    <w:rsid w:val="0054172E"/>
    <w:rsid w:val="00542993"/>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7F6"/>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317D"/>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3CBA"/>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0CE3"/>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3DFE"/>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2948"/>
    <w:rsid w:val="00763277"/>
    <w:rsid w:val="007674A8"/>
    <w:rsid w:val="007676CE"/>
    <w:rsid w:val="00771360"/>
    <w:rsid w:val="00771E65"/>
    <w:rsid w:val="007731CB"/>
    <w:rsid w:val="00773CD3"/>
    <w:rsid w:val="00775793"/>
    <w:rsid w:val="007839DB"/>
    <w:rsid w:val="00783A7F"/>
    <w:rsid w:val="00783C02"/>
    <w:rsid w:val="0078455A"/>
    <w:rsid w:val="007871AA"/>
    <w:rsid w:val="00787638"/>
    <w:rsid w:val="00792BC4"/>
    <w:rsid w:val="007940FE"/>
    <w:rsid w:val="00795849"/>
    <w:rsid w:val="007972F3"/>
    <w:rsid w:val="00797A7F"/>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406"/>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5D8E"/>
    <w:rsid w:val="00897376"/>
    <w:rsid w:val="008979F9"/>
    <w:rsid w:val="008A131E"/>
    <w:rsid w:val="008A2AD5"/>
    <w:rsid w:val="008A7148"/>
    <w:rsid w:val="008B1A2D"/>
    <w:rsid w:val="008B1CEF"/>
    <w:rsid w:val="008B1FEA"/>
    <w:rsid w:val="008C1B0B"/>
    <w:rsid w:val="008C238A"/>
    <w:rsid w:val="008C3BD5"/>
    <w:rsid w:val="008C7966"/>
    <w:rsid w:val="008C7D23"/>
    <w:rsid w:val="008D327C"/>
    <w:rsid w:val="008D4419"/>
    <w:rsid w:val="008E2B29"/>
    <w:rsid w:val="008E33D0"/>
    <w:rsid w:val="008E5809"/>
    <w:rsid w:val="008E7B0D"/>
    <w:rsid w:val="008F177D"/>
    <w:rsid w:val="008F1923"/>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25AF9"/>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5293"/>
    <w:rsid w:val="00987B9B"/>
    <w:rsid w:val="00987DFF"/>
    <w:rsid w:val="009920A3"/>
    <w:rsid w:val="00993323"/>
    <w:rsid w:val="009942BC"/>
    <w:rsid w:val="009A4235"/>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0C3B"/>
    <w:rsid w:val="009F2050"/>
    <w:rsid w:val="009F48B7"/>
    <w:rsid w:val="009F60E4"/>
    <w:rsid w:val="009F678C"/>
    <w:rsid w:val="009F74FD"/>
    <w:rsid w:val="00A02E8F"/>
    <w:rsid w:val="00A0587D"/>
    <w:rsid w:val="00A10741"/>
    <w:rsid w:val="00A11DE2"/>
    <w:rsid w:val="00A122C9"/>
    <w:rsid w:val="00A14EE3"/>
    <w:rsid w:val="00A16DFB"/>
    <w:rsid w:val="00A31864"/>
    <w:rsid w:val="00A31A85"/>
    <w:rsid w:val="00A32ACE"/>
    <w:rsid w:val="00A35121"/>
    <w:rsid w:val="00A35432"/>
    <w:rsid w:val="00A35962"/>
    <w:rsid w:val="00A42E36"/>
    <w:rsid w:val="00A45035"/>
    <w:rsid w:val="00A4773D"/>
    <w:rsid w:val="00A517A0"/>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0231"/>
    <w:rsid w:val="00AA28FE"/>
    <w:rsid w:val="00AA2C12"/>
    <w:rsid w:val="00AA5028"/>
    <w:rsid w:val="00AA6030"/>
    <w:rsid w:val="00AA79B5"/>
    <w:rsid w:val="00AA79FD"/>
    <w:rsid w:val="00AC01DE"/>
    <w:rsid w:val="00AC2EEB"/>
    <w:rsid w:val="00AC7130"/>
    <w:rsid w:val="00AC7718"/>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8CD"/>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259E"/>
    <w:rsid w:val="00C63D2F"/>
    <w:rsid w:val="00C66E86"/>
    <w:rsid w:val="00C6776D"/>
    <w:rsid w:val="00C717A5"/>
    <w:rsid w:val="00C720A0"/>
    <w:rsid w:val="00C72556"/>
    <w:rsid w:val="00C72601"/>
    <w:rsid w:val="00C740FC"/>
    <w:rsid w:val="00C74493"/>
    <w:rsid w:val="00C744CC"/>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218A"/>
    <w:rsid w:val="00D43314"/>
    <w:rsid w:val="00D51CAF"/>
    <w:rsid w:val="00D539AC"/>
    <w:rsid w:val="00D54557"/>
    <w:rsid w:val="00D55F40"/>
    <w:rsid w:val="00D64CF8"/>
    <w:rsid w:val="00D71D7E"/>
    <w:rsid w:val="00D72E1A"/>
    <w:rsid w:val="00D73F70"/>
    <w:rsid w:val="00D755DE"/>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3038"/>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46BA"/>
    <w:rsid w:val="00EC6A7D"/>
    <w:rsid w:val="00EC6CAF"/>
    <w:rsid w:val="00ED1BF5"/>
    <w:rsid w:val="00ED3F8C"/>
    <w:rsid w:val="00EE4833"/>
    <w:rsid w:val="00EF2106"/>
    <w:rsid w:val="00F005C8"/>
    <w:rsid w:val="00F01C7C"/>
    <w:rsid w:val="00F0281B"/>
    <w:rsid w:val="00F03E4F"/>
    <w:rsid w:val="00F06C16"/>
    <w:rsid w:val="00F07E55"/>
    <w:rsid w:val="00F106EB"/>
    <w:rsid w:val="00F1277E"/>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6C70"/>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38003E"/>
    <w:rPr>
      <w:color w:val="0033DD"/>
      <w:u w:val="single"/>
    </w:rPr>
  </w:style>
  <w:style w:type="paragraph" w:styleId="NormalWeb">
    <w:name w:val="Normal (Web)"/>
    <w:basedOn w:val="Normal"/>
    <w:uiPriority w:val="99"/>
    <w:unhideWhenUsed/>
    <w:rsid w:val="0038003E"/>
    <w:pPr>
      <w:widowControl/>
      <w:snapToGrid/>
      <w:spacing w:before="48" w:after="48"/>
    </w:pPr>
    <w:rPr>
      <w:rFonts w:ascii="Times New Roman" w:hAnsi="Times New Roman"/>
      <w:color w:val="000000"/>
    </w:rPr>
  </w:style>
  <w:style w:type="paragraph" w:styleId="BalloonText">
    <w:name w:val="Balloon Text"/>
    <w:basedOn w:val="Normal"/>
    <w:link w:val="BalloonTextChar"/>
    <w:rsid w:val="00AA0231"/>
    <w:rPr>
      <w:rFonts w:ascii="Segoe UI" w:hAnsi="Segoe UI" w:cs="Segoe UI"/>
      <w:sz w:val="18"/>
      <w:szCs w:val="18"/>
    </w:rPr>
  </w:style>
  <w:style w:type="character" w:customStyle="1" w:styleId="BalloonTextChar">
    <w:name w:val="Balloon Text Char"/>
    <w:basedOn w:val="DefaultParagraphFont"/>
    <w:link w:val="BalloonText"/>
    <w:rsid w:val="00AA02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38003E"/>
    <w:rPr>
      <w:color w:val="0033DD"/>
      <w:u w:val="single"/>
    </w:rPr>
  </w:style>
  <w:style w:type="paragraph" w:styleId="NormalWeb">
    <w:name w:val="Normal (Web)"/>
    <w:basedOn w:val="Normal"/>
    <w:uiPriority w:val="99"/>
    <w:unhideWhenUsed/>
    <w:rsid w:val="0038003E"/>
    <w:pPr>
      <w:widowControl/>
      <w:snapToGrid/>
      <w:spacing w:before="48" w:after="48"/>
    </w:pPr>
    <w:rPr>
      <w:rFonts w:ascii="Times New Roman" w:hAnsi="Times New Roman"/>
      <w:color w:val="000000"/>
    </w:rPr>
  </w:style>
  <w:style w:type="paragraph" w:styleId="BalloonText">
    <w:name w:val="Balloon Text"/>
    <w:basedOn w:val="Normal"/>
    <w:link w:val="BalloonTextChar"/>
    <w:rsid w:val="00AA0231"/>
    <w:rPr>
      <w:rFonts w:ascii="Segoe UI" w:hAnsi="Segoe UI" w:cs="Segoe UI"/>
      <w:sz w:val="18"/>
      <w:szCs w:val="18"/>
    </w:rPr>
  </w:style>
  <w:style w:type="character" w:customStyle="1" w:styleId="BalloonTextChar">
    <w:name w:val="Balloon Text Char"/>
    <w:basedOn w:val="DefaultParagraphFont"/>
    <w:link w:val="BalloonText"/>
    <w:rsid w:val="00AA0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913">
      <w:bodyDiv w:val="1"/>
      <w:marLeft w:val="0"/>
      <w:marRight w:val="0"/>
      <w:marTop w:val="0"/>
      <w:marBottom w:val="0"/>
      <w:divBdr>
        <w:top w:val="none" w:sz="0" w:space="0" w:color="auto"/>
        <w:left w:val="none" w:sz="0" w:space="0" w:color="auto"/>
        <w:bottom w:val="none" w:sz="0" w:space="0" w:color="auto"/>
        <w:right w:val="none" w:sz="0" w:space="0" w:color="auto"/>
      </w:divBdr>
      <w:divsChild>
        <w:div w:id="1274047229">
          <w:marLeft w:val="0"/>
          <w:marRight w:val="0"/>
          <w:marTop w:val="0"/>
          <w:marBottom w:val="0"/>
          <w:divBdr>
            <w:top w:val="none" w:sz="0" w:space="0" w:color="auto"/>
            <w:left w:val="none" w:sz="0" w:space="0" w:color="auto"/>
            <w:bottom w:val="none" w:sz="0" w:space="0" w:color="auto"/>
            <w:right w:val="none" w:sz="0" w:space="0" w:color="auto"/>
          </w:divBdr>
          <w:divsChild>
            <w:div w:id="452790982">
              <w:marLeft w:val="150"/>
              <w:marRight w:val="120"/>
              <w:marTop w:val="0"/>
              <w:marBottom w:val="0"/>
              <w:divBdr>
                <w:top w:val="none" w:sz="0" w:space="0" w:color="auto"/>
                <w:left w:val="none" w:sz="0" w:space="0" w:color="auto"/>
                <w:bottom w:val="none" w:sz="0" w:space="0" w:color="auto"/>
                <w:right w:val="none" w:sz="0" w:space="0" w:color="auto"/>
              </w:divBdr>
              <w:divsChild>
                <w:div w:id="2249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896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2417</CharactersWithSpaces>
  <SharedDoc>false</SharedDoc>
  <HLinks>
    <vt:vector size="6" baseType="variant">
      <vt:variant>
        <vt:i4>1835024</vt:i4>
      </vt:variant>
      <vt:variant>
        <vt:i4>0</vt:i4>
      </vt:variant>
      <vt:variant>
        <vt:i4>0</vt:i4>
      </vt:variant>
      <vt:variant>
        <vt:i4>5</vt:i4>
      </vt:variant>
      <vt:variant>
        <vt:lpwstr>http://policynet.ba.ssa.gov/poms.nsf/lnx/0202210205</vt:lpwstr>
      </vt:variant>
      <vt:variant>
        <vt:lpwstr>b1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SYSTEM</cp:lastModifiedBy>
  <cp:revision>2</cp:revision>
  <cp:lastPrinted>2017-11-16T18:29:00Z</cp:lastPrinted>
  <dcterms:created xsi:type="dcterms:W3CDTF">2017-12-28T19:48:00Z</dcterms:created>
  <dcterms:modified xsi:type="dcterms:W3CDTF">2017-12-28T19:48:00Z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-523826414</vt:i4>
  </property>
  <property fmtid="{D5CDD505-2E9C-101B-9397-08002B2CF9AE}" pid="3" name="_NewReviewCycle">
    <vt:lpwstr/>
  </property>
  <property fmtid="{D5CDD505-2E9C-101B-9397-08002B2CF9AE}" pid="4" name="_EmailSubject">
    <vt:lpwstr>DCRDP Response:  Form SSA-4588-OP6 (OMB No. 0960-0462)</vt:lpwstr>
  </property>
  <property fmtid="{D5CDD505-2E9C-101B-9397-08002B2CF9AE}" pid="5" name="_AuthorEmail">
    <vt:lpwstr>Tylar.H.Graves@ssa.gov</vt:lpwstr>
  </property>
  <property fmtid="{D5CDD505-2E9C-101B-9397-08002B2CF9AE}" pid="6" name="_AuthorEmailDisplayName">
    <vt:lpwstr>Graves, Tylar H.</vt:lpwstr>
  </property>
  <property fmtid="{D5CDD505-2E9C-101B-9397-08002B2CF9AE}" pid="7" name="_ReviewingToolsShownOnce">
    <vt:lpwstr/>
  </property>
</Properties>
</file>