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F03E0F" w14:textId="77777777" w:rsidR="00B535BD" w:rsidRPr="00B5163D" w:rsidRDefault="00B535BD" w:rsidP="00B535BD">
      <w:pPr>
        <w:widowControl/>
        <w:tabs>
          <w:tab w:val="left" w:pos="-1080"/>
          <w:tab w:val="left" w:pos="-720"/>
          <w:tab w:val="left" w:pos="720"/>
          <w:tab w:val="left" w:pos="1152"/>
          <w:tab w:val="left" w:pos="1728"/>
          <w:tab w:val="left" w:pos="2304"/>
          <w:tab w:val="left" w:pos="2880"/>
          <w:tab w:val="left" w:pos="5040"/>
          <w:tab w:val="left" w:pos="6048"/>
          <w:tab w:val="left" w:pos="8640"/>
          <w:tab w:val="left" w:pos="9216"/>
        </w:tabs>
        <w:rPr>
          <w:rFonts w:ascii="Times New Roman" w:hAnsi="Times New Roman"/>
        </w:rPr>
      </w:pPr>
      <w:r w:rsidRPr="00B5163D">
        <w:rPr>
          <w:rFonts w:ascii="Times New Roman" w:hAnsi="Times New Roman"/>
          <w:b/>
        </w:rPr>
        <w:t>B.</w:t>
      </w:r>
      <w:r w:rsidRPr="00B5163D">
        <w:rPr>
          <w:rFonts w:ascii="Times New Roman" w:hAnsi="Times New Roman"/>
        </w:rPr>
        <w:t xml:space="preserve"> </w:t>
      </w:r>
      <w:r w:rsidRPr="00B5163D">
        <w:rPr>
          <w:rFonts w:ascii="Times New Roman" w:hAnsi="Times New Roman"/>
          <w:b/>
        </w:rPr>
        <w:t>Statistical Methods</w:t>
      </w:r>
    </w:p>
    <w:p w14:paraId="6389A9ED" w14:textId="77777777" w:rsidR="00B535BD" w:rsidRPr="00B5163D" w:rsidRDefault="00B535BD" w:rsidP="00B535BD">
      <w:pPr>
        <w:widowControl/>
        <w:tabs>
          <w:tab w:val="left" w:pos="-1080"/>
          <w:tab w:val="left" w:pos="-720"/>
          <w:tab w:val="left" w:pos="720"/>
          <w:tab w:val="left" w:pos="1152"/>
          <w:tab w:val="left" w:pos="1728"/>
          <w:tab w:val="left" w:pos="2304"/>
          <w:tab w:val="left" w:pos="2880"/>
          <w:tab w:val="left" w:pos="5040"/>
          <w:tab w:val="left" w:pos="6048"/>
          <w:tab w:val="left" w:pos="8640"/>
          <w:tab w:val="left" w:pos="9216"/>
        </w:tabs>
        <w:rPr>
          <w:rFonts w:ascii="Times New Roman" w:hAnsi="Times New Roman"/>
        </w:rPr>
      </w:pPr>
    </w:p>
    <w:p w14:paraId="3348D931" w14:textId="77777777" w:rsidR="00B535BD" w:rsidRPr="00B5163D" w:rsidRDefault="00B535BD" w:rsidP="00B535BD">
      <w:pPr>
        <w:widowControl/>
        <w:tabs>
          <w:tab w:val="left" w:pos="-1080"/>
          <w:tab w:val="left" w:pos="-720"/>
          <w:tab w:val="left" w:pos="720"/>
          <w:tab w:val="left" w:pos="1152"/>
          <w:tab w:val="left" w:pos="1728"/>
          <w:tab w:val="left" w:pos="2304"/>
          <w:tab w:val="left" w:pos="2880"/>
          <w:tab w:val="left" w:pos="5040"/>
          <w:tab w:val="left" w:pos="6048"/>
          <w:tab w:val="left" w:pos="8640"/>
          <w:tab w:val="left" w:pos="9216"/>
        </w:tabs>
        <w:rPr>
          <w:rFonts w:ascii="Times New Roman" w:hAnsi="Times New Roman"/>
          <w:u w:val="single"/>
        </w:rPr>
      </w:pPr>
      <w:r w:rsidRPr="00B5163D">
        <w:rPr>
          <w:rFonts w:ascii="Times New Roman" w:hAnsi="Times New Roman"/>
        </w:rPr>
        <w:t xml:space="preserve">1. </w:t>
      </w:r>
      <w:r w:rsidRPr="00B5163D">
        <w:rPr>
          <w:rFonts w:ascii="Times New Roman" w:hAnsi="Times New Roman"/>
        </w:rPr>
        <w:tab/>
      </w:r>
      <w:r w:rsidRPr="00B5163D">
        <w:rPr>
          <w:rFonts w:ascii="Times New Roman" w:hAnsi="Times New Roman"/>
          <w:u w:val="single"/>
        </w:rPr>
        <w:t>Universe and Respondents Selection</w:t>
      </w:r>
    </w:p>
    <w:p w14:paraId="0CC0FC74" w14:textId="77777777" w:rsidR="00B535BD" w:rsidRPr="00B5163D" w:rsidRDefault="00B535BD" w:rsidP="00B535BD">
      <w:pPr>
        <w:widowControl/>
        <w:tabs>
          <w:tab w:val="left" w:pos="-1080"/>
          <w:tab w:val="left" w:pos="-720"/>
          <w:tab w:val="left" w:pos="720"/>
          <w:tab w:val="left" w:pos="1152"/>
          <w:tab w:val="left" w:pos="1728"/>
          <w:tab w:val="left" w:pos="2304"/>
          <w:tab w:val="left" w:pos="2880"/>
          <w:tab w:val="left" w:pos="5040"/>
          <w:tab w:val="left" w:pos="6048"/>
          <w:tab w:val="left" w:pos="8640"/>
          <w:tab w:val="left" w:pos="9216"/>
        </w:tabs>
        <w:rPr>
          <w:rFonts w:ascii="Times New Roman" w:hAnsi="Times New Roman"/>
          <w:u w:val="single"/>
        </w:rPr>
      </w:pPr>
    </w:p>
    <w:p w14:paraId="62A1A4D6" w14:textId="77777777" w:rsidR="00505160" w:rsidRPr="00B5163D" w:rsidRDefault="00505160" w:rsidP="00954A8C">
      <w:pPr>
        <w:widowControl/>
        <w:tabs>
          <w:tab w:val="left" w:pos="-1080"/>
          <w:tab w:val="left" w:pos="-720"/>
          <w:tab w:val="left" w:pos="720"/>
          <w:tab w:val="left" w:pos="1152"/>
          <w:tab w:val="left" w:pos="1728"/>
          <w:tab w:val="left" w:pos="2304"/>
          <w:tab w:val="left" w:pos="2880"/>
          <w:tab w:val="left" w:pos="5040"/>
          <w:tab w:val="left" w:pos="6048"/>
          <w:tab w:val="left" w:pos="8640"/>
          <w:tab w:val="left" w:pos="9216"/>
        </w:tabs>
        <w:rPr>
          <w:rFonts w:ascii="Times New Roman" w:hAnsi="Times New Roman"/>
        </w:rPr>
      </w:pPr>
      <w:r w:rsidRPr="00B5163D">
        <w:rPr>
          <w:rFonts w:ascii="Times New Roman" w:hAnsi="Times New Roman"/>
        </w:rPr>
        <w:t xml:space="preserve">The universe for the </w:t>
      </w:r>
      <w:r w:rsidR="004F6C4F">
        <w:rPr>
          <w:rFonts w:ascii="Times New Roman" w:hAnsi="Times New Roman"/>
        </w:rPr>
        <w:t xml:space="preserve">prison portion of the </w:t>
      </w:r>
      <w:r w:rsidRPr="00B5163D">
        <w:rPr>
          <w:rFonts w:ascii="Times New Roman" w:hAnsi="Times New Roman"/>
        </w:rPr>
        <w:t xml:space="preserve">DCRP is all deaths </w:t>
      </w:r>
      <w:r w:rsidR="00937EC5">
        <w:rPr>
          <w:rFonts w:ascii="Times New Roman" w:hAnsi="Times New Roman"/>
        </w:rPr>
        <w:t xml:space="preserve">of incarcerated persons </w:t>
      </w:r>
      <w:r w:rsidRPr="00B5163D">
        <w:rPr>
          <w:rFonts w:ascii="Times New Roman" w:hAnsi="Times New Roman"/>
        </w:rPr>
        <w:t xml:space="preserve">occurring </w:t>
      </w:r>
      <w:r w:rsidR="00914272" w:rsidRPr="00B5163D">
        <w:rPr>
          <w:rFonts w:ascii="Times New Roman" w:hAnsi="Times New Roman"/>
        </w:rPr>
        <w:t xml:space="preserve">in the custody of </w:t>
      </w:r>
      <w:r w:rsidRPr="00B5163D">
        <w:rPr>
          <w:rFonts w:ascii="Times New Roman" w:hAnsi="Times New Roman"/>
        </w:rPr>
        <w:t xml:space="preserve">state prisons. </w:t>
      </w:r>
      <w:r w:rsidR="006B0C8D">
        <w:rPr>
          <w:rFonts w:ascii="Times New Roman" w:hAnsi="Times New Roman"/>
        </w:rPr>
        <w:t>Respondents are perso</w:t>
      </w:r>
      <w:r w:rsidR="00D65410">
        <w:rPr>
          <w:rFonts w:ascii="Times New Roman" w:hAnsi="Times New Roman"/>
        </w:rPr>
        <w:t xml:space="preserve">ns in organizations having custody over the decedent. </w:t>
      </w:r>
      <w:r w:rsidR="002219CD">
        <w:rPr>
          <w:rFonts w:ascii="Times New Roman" w:hAnsi="Times New Roman"/>
        </w:rPr>
        <w:t>The potential r</w:t>
      </w:r>
      <w:r w:rsidRPr="00B5163D">
        <w:rPr>
          <w:rFonts w:ascii="Times New Roman" w:hAnsi="Times New Roman"/>
        </w:rPr>
        <w:t>espondent universe consists of each of the 50 state departments of corrections</w:t>
      </w:r>
      <w:r w:rsidR="0015556E">
        <w:rPr>
          <w:rFonts w:ascii="Times New Roman" w:hAnsi="Times New Roman"/>
        </w:rPr>
        <w:t xml:space="preserve"> (DOCs)</w:t>
      </w:r>
      <w:r w:rsidRPr="00B5163D">
        <w:rPr>
          <w:rFonts w:ascii="Times New Roman" w:hAnsi="Times New Roman"/>
        </w:rPr>
        <w:t xml:space="preserve">.  BJS collects data from persons in the </w:t>
      </w:r>
      <w:r w:rsidR="0015556E">
        <w:rPr>
          <w:rFonts w:ascii="Times New Roman" w:hAnsi="Times New Roman"/>
        </w:rPr>
        <w:t>DOC</w:t>
      </w:r>
      <w:r w:rsidRPr="00B5163D">
        <w:rPr>
          <w:rFonts w:ascii="Times New Roman" w:hAnsi="Times New Roman"/>
        </w:rPr>
        <w:t xml:space="preserve"> directly. </w:t>
      </w:r>
    </w:p>
    <w:p w14:paraId="6E3D9682" w14:textId="77777777" w:rsidR="00B535BD" w:rsidRPr="00B5163D" w:rsidRDefault="00B535BD" w:rsidP="00505160">
      <w:pPr>
        <w:widowControl/>
        <w:tabs>
          <w:tab w:val="left" w:pos="-1080"/>
          <w:tab w:val="left" w:pos="-720"/>
          <w:tab w:val="left" w:pos="720"/>
          <w:tab w:val="left" w:pos="1152"/>
          <w:tab w:val="left" w:pos="1728"/>
          <w:tab w:val="left" w:pos="2304"/>
          <w:tab w:val="left" w:pos="2880"/>
          <w:tab w:val="left" w:pos="5040"/>
          <w:tab w:val="left" w:pos="6048"/>
          <w:tab w:val="left" w:pos="8640"/>
          <w:tab w:val="left" w:pos="9216"/>
        </w:tabs>
        <w:rPr>
          <w:rFonts w:ascii="Times New Roman" w:hAnsi="Times New Roman"/>
        </w:rPr>
      </w:pPr>
    </w:p>
    <w:p w14:paraId="4BC3E13A" w14:textId="77777777" w:rsidR="00747202" w:rsidRDefault="00B535BD" w:rsidP="00954A8C">
      <w:pPr>
        <w:widowControl/>
        <w:tabs>
          <w:tab w:val="left" w:pos="-1080"/>
          <w:tab w:val="left" w:pos="-720"/>
          <w:tab w:val="left" w:pos="720"/>
          <w:tab w:val="left" w:pos="1152"/>
          <w:tab w:val="left" w:pos="1728"/>
          <w:tab w:val="left" w:pos="2304"/>
          <w:tab w:val="left" w:pos="2880"/>
          <w:tab w:val="left" w:pos="5040"/>
          <w:tab w:val="left" w:pos="6048"/>
          <w:tab w:val="left" w:pos="8640"/>
          <w:tab w:val="left" w:pos="9216"/>
        </w:tabs>
        <w:rPr>
          <w:rFonts w:ascii="Times New Roman" w:hAnsi="Times New Roman"/>
        </w:rPr>
      </w:pPr>
      <w:r w:rsidRPr="00B5163D">
        <w:rPr>
          <w:rFonts w:ascii="Times New Roman" w:hAnsi="Times New Roman"/>
        </w:rPr>
        <w:t xml:space="preserve">For </w:t>
      </w:r>
      <w:r w:rsidR="00505160" w:rsidRPr="00B5163D">
        <w:rPr>
          <w:rFonts w:ascii="Times New Roman" w:hAnsi="Times New Roman"/>
        </w:rPr>
        <w:t xml:space="preserve">each of the three collections under the DCRP (as identified in the introduction to Part A), BJS collects data on the entire universe of deaths that fall under the scope of the DCRP, rather than sampling </w:t>
      </w:r>
      <w:r w:rsidR="00D65410">
        <w:rPr>
          <w:rFonts w:ascii="Times New Roman" w:hAnsi="Times New Roman"/>
        </w:rPr>
        <w:t xml:space="preserve">deaths or </w:t>
      </w:r>
      <w:r w:rsidR="00747202" w:rsidRPr="00B5163D">
        <w:rPr>
          <w:rFonts w:ascii="Times New Roman" w:hAnsi="Times New Roman"/>
        </w:rPr>
        <w:t xml:space="preserve">agencies. </w:t>
      </w:r>
      <w:r w:rsidRPr="00B5163D">
        <w:rPr>
          <w:rFonts w:ascii="Times New Roman" w:hAnsi="Times New Roman"/>
        </w:rPr>
        <w:t xml:space="preserve">The </w:t>
      </w:r>
      <w:r w:rsidR="000A5D22">
        <w:rPr>
          <w:rFonts w:ascii="Times New Roman" w:hAnsi="Times New Roman"/>
        </w:rPr>
        <w:t>2013</w:t>
      </w:r>
      <w:r w:rsidRPr="00B5163D">
        <w:rPr>
          <w:rFonts w:ascii="Times New Roman" w:hAnsi="Times New Roman"/>
        </w:rPr>
        <w:t xml:space="preserve"> D</w:t>
      </w:r>
      <w:r w:rsidR="00D65410">
        <w:rPr>
          <w:rFonts w:ascii="Times New Roman" w:hAnsi="Times New Roman"/>
        </w:rPr>
        <w:t xml:space="preserve">eath in Custody Reporting Act </w:t>
      </w:r>
      <w:r w:rsidRPr="00B5163D">
        <w:rPr>
          <w:rFonts w:ascii="Times New Roman" w:hAnsi="Times New Roman"/>
        </w:rPr>
        <w:t xml:space="preserve">legislation </w:t>
      </w:r>
      <w:r w:rsidR="00747202" w:rsidRPr="00B5163D">
        <w:rPr>
          <w:rFonts w:ascii="Times New Roman" w:hAnsi="Times New Roman"/>
        </w:rPr>
        <w:t xml:space="preserve">(referenced in Part A, Item 1) required </w:t>
      </w:r>
      <w:r w:rsidRPr="00B5163D">
        <w:rPr>
          <w:rFonts w:ascii="Times New Roman" w:hAnsi="Times New Roman"/>
        </w:rPr>
        <w:t>all state</w:t>
      </w:r>
      <w:r w:rsidR="000A5D22">
        <w:rPr>
          <w:rFonts w:ascii="Times New Roman" w:hAnsi="Times New Roman"/>
        </w:rPr>
        <w:t xml:space="preserve"> and federal </w:t>
      </w:r>
      <w:r w:rsidRPr="00B5163D">
        <w:rPr>
          <w:rFonts w:ascii="Times New Roman" w:hAnsi="Times New Roman"/>
        </w:rPr>
        <w:t>prisons</w:t>
      </w:r>
      <w:r w:rsidR="00747202" w:rsidRPr="00B5163D">
        <w:rPr>
          <w:rFonts w:ascii="Times New Roman" w:hAnsi="Times New Roman"/>
        </w:rPr>
        <w:t xml:space="preserve">, </w:t>
      </w:r>
      <w:r w:rsidR="000A5D22">
        <w:rPr>
          <w:rFonts w:ascii="Times New Roman" w:hAnsi="Times New Roman"/>
        </w:rPr>
        <w:t xml:space="preserve">as well as </w:t>
      </w:r>
      <w:r w:rsidRPr="00B5163D">
        <w:rPr>
          <w:rFonts w:ascii="Times New Roman" w:hAnsi="Times New Roman"/>
        </w:rPr>
        <w:t>local jails</w:t>
      </w:r>
      <w:r w:rsidR="00747202" w:rsidRPr="00B5163D">
        <w:rPr>
          <w:rFonts w:ascii="Times New Roman" w:hAnsi="Times New Roman"/>
        </w:rPr>
        <w:t>, and</w:t>
      </w:r>
      <w:r w:rsidR="004B5167">
        <w:rPr>
          <w:rFonts w:ascii="Times New Roman" w:hAnsi="Times New Roman"/>
        </w:rPr>
        <w:t xml:space="preserve"> </w:t>
      </w:r>
      <w:r w:rsidR="000A5D22">
        <w:rPr>
          <w:rFonts w:ascii="Times New Roman" w:hAnsi="Times New Roman"/>
        </w:rPr>
        <w:t xml:space="preserve">federal, </w:t>
      </w:r>
      <w:r w:rsidR="004B5167">
        <w:rPr>
          <w:rFonts w:ascii="Times New Roman" w:hAnsi="Times New Roman"/>
        </w:rPr>
        <w:t>state and</w:t>
      </w:r>
      <w:r w:rsidR="00747202" w:rsidRPr="00B5163D">
        <w:rPr>
          <w:rFonts w:ascii="Times New Roman" w:hAnsi="Times New Roman"/>
        </w:rPr>
        <w:t xml:space="preserve"> local law enforcement agencies</w:t>
      </w:r>
      <w:r w:rsidRPr="00B5163D">
        <w:rPr>
          <w:rFonts w:ascii="Times New Roman" w:hAnsi="Times New Roman"/>
        </w:rPr>
        <w:t xml:space="preserve"> </w:t>
      </w:r>
      <w:r w:rsidR="00747202" w:rsidRPr="00B5163D">
        <w:rPr>
          <w:rFonts w:ascii="Times New Roman" w:hAnsi="Times New Roman"/>
        </w:rPr>
        <w:t xml:space="preserve">to </w:t>
      </w:r>
      <w:r w:rsidRPr="00B5163D">
        <w:rPr>
          <w:rFonts w:ascii="Times New Roman" w:hAnsi="Times New Roman"/>
        </w:rPr>
        <w:t>report data on deaths in custody</w:t>
      </w:r>
      <w:r w:rsidR="00A81958">
        <w:rPr>
          <w:rFonts w:ascii="Times New Roman" w:hAnsi="Times New Roman"/>
        </w:rPr>
        <w:t xml:space="preserve"> to the Attorney General.  </w:t>
      </w:r>
      <w:r w:rsidR="002219CD">
        <w:rPr>
          <w:rFonts w:ascii="Times New Roman" w:hAnsi="Times New Roman"/>
        </w:rPr>
        <w:t xml:space="preserve">BJS established reporting procedures for the DCRP in </w:t>
      </w:r>
      <w:r w:rsidR="00747202" w:rsidRPr="00B5163D">
        <w:rPr>
          <w:rFonts w:ascii="Times New Roman" w:hAnsi="Times New Roman"/>
        </w:rPr>
        <w:t xml:space="preserve">response </w:t>
      </w:r>
      <w:r w:rsidR="00D65410">
        <w:rPr>
          <w:rFonts w:ascii="Times New Roman" w:hAnsi="Times New Roman"/>
        </w:rPr>
        <w:t>to the DICRA legislation</w:t>
      </w:r>
      <w:r w:rsidR="002219CD">
        <w:rPr>
          <w:rFonts w:ascii="Times New Roman" w:hAnsi="Times New Roman"/>
        </w:rPr>
        <w:t xml:space="preserve"> and has maintained these reporting procedures since</w:t>
      </w:r>
      <w:r w:rsidR="00B45DD7">
        <w:rPr>
          <w:rFonts w:ascii="Times New Roman" w:hAnsi="Times New Roman"/>
        </w:rPr>
        <w:t xml:space="preserve"> 2000.</w:t>
      </w:r>
      <w:r w:rsidR="002219CD">
        <w:rPr>
          <w:rFonts w:ascii="Times New Roman" w:hAnsi="Times New Roman"/>
        </w:rPr>
        <w:t xml:space="preserve">  </w:t>
      </w:r>
      <w:r w:rsidR="00140849">
        <w:rPr>
          <w:rFonts w:ascii="Times New Roman" w:hAnsi="Times New Roman"/>
        </w:rPr>
        <w:t>I</w:t>
      </w:r>
      <w:r w:rsidR="00747202" w:rsidRPr="00B5163D">
        <w:rPr>
          <w:rFonts w:ascii="Times New Roman" w:hAnsi="Times New Roman"/>
        </w:rPr>
        <w:t xml:space="preserve">n 2001, BJS established procedures for collecting data directly from the 50 state departments of corrections. In doing this, BJS built upon established contacts and procedures for collecting data from these entities for other BJS collections. </w:t>
      </w:r>
    </w:p>
    <w:p w14:paraId="34A44C68" w14:textId="77777777" w:rsidR="002219CD" w:rsidRPr="00B5163D" w:rsidRDefault="002219CD" w:rsidP="00954A8C">
      <w:pPr>
        <w:widowControl/>
        <w:tabs>
          <w:tab w:val="left" w:pos="-1080"/>
          <w:tab w:val="left" w:pos="-720"/>
          <w:tab w:val="left" w:pos="720"/>
          <w:tab w:val="left" w:pos="1152"/>
          <w:tab w:val="left" w:pos="1728"/>
          <w:tab w:val="left" w:pos="2304"/>
          <w:tab w:val="left" w:pos="2880"/>
          <w:tab w:val="left" w:pos="5040"/>
          <w:tab w:val="left" w:pos="6048"/>
          <w:tab w:val="left" w:pos="8640"/>
          <w:tab w:val="left" w:pos="9216"/>
        </w:tabs>
        <w:rPr>
          <w:rFonts w:ascii="Times New Roman" w:hAnsi="Times New Roman"/>
        </w:rPr>
      </w:pPr>
    </w:p>
    <w:p w14:paraId="1E13FF8F" w14:textId="77777777" w:rsidR="00B45DD7" w:rsidRDefault="00D71C71" w:rsidP="00B45DD7">
      <w:pPr>
        <w:widowControl/>
        <w:tabs>
          <w:tab w:val="left" w:pos="-1080"/>
          <w:tab w:val="left" w:pos="-720"/>
          <w:tab w:val="left" w:pos="720"/>
          <w:tab w:val="left" w:pos="1152"/>
          <w:tab w:val="left" w:pos="1728"/>
          <w:tab w:val="left" w:pos="2304"/>
          <w:tab w:val="left" w:pos="2880"/>
          <w:tab w:val="left" w:pos="5040"/>
          <w:tab w:val="left" w:pos="6048"/>
          <w:tab w:val="left" w:pos="8640"/>
          <w:tab w:val="left" w:pos="9216"/>
        </w:tabs>
        <w:rPr>
          <w:rFonts w:ascii="Times New Roman" w:hAnsi="Times New Roman"/>
        </w:rPr>
      </w:pPr>
      <w:r w:rsidRPr="00B5163D">
        <w:rPr>
          <w:rFonts w:ascii="Times New Roman" w:hAnsi="Times New Roman"/>
        </w:rPr>
        <w:t xml:space="preserve">BJS obtains the universe of deaths rather than samples for a number of reasons.  </w:t>
      </w:r>
      <w:r w:rsidR="000156CD">
        <w:rPr>
          <w:rFonts w:ascii="Times New Roman" w:hAnsi="Times New Roman"/>
        </w:rPr>
        <w:t xml:space="preserve">The principle reason is that the 2013 </w:t>
      </w:r>
      <w:r w:rsidR="00287AE5">
        <w:rPr>
          <w:rFonts w:ascii="Times New Roman" w:hAnsi="Times New Roman"/>
        </w:rPr>
        <w:t>DICRA</w:t>
      </w:r>
      <w:r w:rsidR="000156CD">
        <w:rPr>
          <w:rFonts w:ascii="Times New Roman" w:hAnsi="Times New Roman"/>
        </w:rPr>
        <w:t xml:space="preserve"> requires a full enumeration of deaths occurring in the custody</w:t>
      </w:r>
      <w:r w:rsidR="00A52C85">
        <w:rPr>
          <w:rFonts w:ascii="Times New Roman" w:hAnsi="Times New Roman"/>
        </w:rPr>
        <w:t>, including those occurring in state prisons</w:t>
      </w:r>
      <w:r w:rsidR="000156CD">
        <w:rPr>
          <w:rFonts w:ascii="Times New Roman" w:hAnsi="Times New Roman"/>
        </w:rPr>
        <w:t xml:space="preserve">. </w:t>
      </w:r>
      <w:r w:rsidR="00287AE5">
        <w:rPr>
          <w:rFonts w:ascii="Times New Roman" w:hAnsi="Times New Roman"/>
        </w:rPr>
        <w:t xml:space="preserve">Furthermore, </w:t>
      </w:r>
      <w:r w:rsidR="00B45DD7">
        <w:rPr>
          <w:rFonts w:ascii="Times New Roman" w:hAnsi="Times New Roman"/>
        </w:rPr>
        <w:t>the</w:t>
      </w:r>
      <w:r w:rsidRPr="00B5163D">
        <w:rPr>
          <w:rFonts w:ascii="Times New Roman" w:hAnsi="Times New Roman"/>
        </w:rPr>
        <w:t xml:space="preserve"> goal of the DCRP is to track changes in </w:t>
      </w:r>
      <w:r w:rsidR="00B45DD7">
        <w:rPr>
          <w:rFonts w:ascii="Times New Roman" w:hAnsi="Times New Roman"/>
        </w:rPr>
        <w:t xml:space="preserve">custodial </w:t>
      </w:r>
      <w:r w:rsidRPr="00B5163D">
        <w:rPr>
          <w:rFonts w:ascii="Times New Roman" w:hAnsi="Times New Roman"/>
        </w:rPr>
        <w:t>mortality in state prisons</w:t>
      </w:r>
      <w:r w:rsidR="00A81958">
        <w:rPr>
          <w:rFonts w:ascii="Times New Roman" w:hAnsi="Times New Roman"/>
        </w:rPr>
        <w:t>,</w:t>
      </w:r>
      <w:r w:rsidRPr="00B5163D">
        <w:rPr>
          <w:rFonts w:ascii="Times New Roman" w:hAnsi="Times New Roman"/>
        </w:rPr>
        <w:t xml:space="preserve"> and sampling would complicate this task immensely as well as preclude making important comparisons over time among causes of death and by demographic groups.  </w:t>
      </w:r>
    </w:p>
    <w:p w14:paraId="003FD942" w14:textId="77777777" w:rsidR="00B45DD7" w:rsidRDefault="00B45DD7" w:rsidP="00B45DD7">
      <w:pPr>
        <w:widowControl/>
        <w:tabs>
          <w:tab w:val="left" w:pos="-1080"/>
          <w:tab w:val="left" w:pos="-720"/>
          <w:tab w:val="left" w:pos="720"/>
          <w:tab w:val="left" w:pos="1152"/>
          <w:tab w:val="left" w:pos="1728"/>
          <w:tab w:val="left" w:pos="2304"/>
          <w:tab w:val="left" w:pos="2880"/>
          <w:tab w:val="left" w:pos="5040"/>
          <w:tab w:val="left" w:pos="6048"/>
          <w:tab w:val="left" w:pos="8640"/>
          <w:tab w:val="left" w:pos="9216"/>
        </w:tabs>
        <w:rPr>
          <w:rFonts w:ascii="Times New Roman" w:hAnsi="Times New Roman"/>
        </w:rPr>
      </w:pPr>
    </w:p>
    <w:p w14:paraId="2C7E7752" w14:textId="1D9C380A" w:rsidR="00B45DD7" w:rsidRDefault="00B45DD7" w:rsidP="00B45DD7">
      <w:pPr>
        <w:widowControl/>
        <w:tabs>
          <w:tab w:val="left" w:pos="-1080"/>
          <w:tab w:val="left" w:pos="-720"/>
          <w:tab w:val="left" w:pos="720"/>
          <w:tab w:val="left" w:pos="1152"/>
          <w:tab w:val="left" w:pos="1728"/>
          <w:tab w:val="left" w:pos="2304"/>
          <w:tab w:val="left" w:pos="2880"/>
          <w:tab w:val="left" w:pos="5040"/>
          <w:tab w:val="left" w:pos="6048"/>
          <w:tab w:val="left" w:pos="8640"/>
          <w:tab w:val="left" w:pos="9216"/>
        </w:tabs>
        <w:rPr>
          <w:rFonts w:ascii="Times New Roman" w:hAnsi="Times New Roman"/>
        </w:rPr>
      </w:pPr>
      <w:r w:rsidRPr="00B5163D">
        <w:rPr>
          <w:rFonts w:ascii="Times New Roman" w:hAnsi="Times New Roman"/>
        </w:rPr>
        <w:t xml:space="preserve">For the prison portion of the DCRP, </w:t>
      </w:r>
      <w:r>
        <w:rPr>
          <w:rFonts w:ascii="Times New Roman" w:hAnsi="Times New Roman"/>
        </w:rPr>
        <w:t>a</w:t>
      </w:r>
      <w:r w:rsidRPr="00B5163D">
        <w:rPr>
          <w:rFonts w:ascii="Times New Roman" w:hAnsi="Times New Roman"/>
        </w:rPr>
        <w:t xml:space="preserve"> goal of the program is to track state-level changes in mortality in prisons, not simply to generate a national estimate of prison</w:t>
      </w:r>
      <w:r>
        <w:rPr>
          <w:rFonts w:ascii="Times New Roman" w:hAnsi="Times New Roman"/>
        </w:rPr>
        <w:t>er</w:t>
      </w:r>
      <w:r w:rsidRPr="00B5163D">
        <w:rPr>
          <w:rFonts w:ascii="Times New Roman" w:hAnsi="Times New Roman"/>
        </w:rPr>
        <w:t xml:space="preserve"> mortality. The only option to achieve this goal by sampling would be to sample death records within a state. Given the relative rarity of some important</w:t>
      </w:r>
      <w:r>
        <w:rPr>
          <w:rFonts w:ascii="Times New Roman" w:hAnsi="Times New Roman"/>
        </w:rPr>
        <w:t xml:space="preserve"> manners</w:t>
      </w:r>
      <w:r w:rsidRPr="00B5163D">
        <w:rPr>
          <w:rFonts w:ascii="Times New Roman" w:hAnsi="Times New Roman"/>
        </w:rPr>
        <w:t xml:space="preserve"> of death (e.g., suicide and homicide), sampling strategies, by design, would be very complicated and potentially burdensome on the respondents</w:t>
      </w:r>
      <w:r w:rsidR="00890AEC">
        <w:rPr>
          <w:rFonts w:ascii="Times New Roman" w:hAnsi="Times New Roman"/>
        </w:rPr>
        <w:t xml:space="preserve"> because a sampling design would have to be done at the facility rather than the DOC-level</w:t>
      </w:r>
      <w:r w:rsidRPr="00B5163D">
        <w:rPr>
          <w:rFonts w:ascii="Times New Roman" w:hAnsi="Times New Roman"/>
        </w:rPr>
        <w:t xml:space="preserve">.  </w:t>
      </w:r>
      <w:r w:rsidR="0013207F">
        <w:rPr>
          <w:rFonts w:ascii="Times New Roman" w:hAnsi="Times New Roman"/>
        </w:rPr>
        <w:t>There are an estimated 1,2</w:t>
      </w:r>
      <w:r w:rsidR="00B00BEE">
        <w:rPr>
          <w:rFonts w:ascii="Times New Roman" w:hAnsi="Times New Roman"/>
        </w:rPr>
        <w:t>5</w:t>
      </w:r>
      <w:r w:rsidR="0013207F">
        <w:rPr>
          <w:rFonts w:ascii="Times New Roman" w:hAnsi="Times New Roman"/>
        </w:rPr>
        <w:t xml:space="preserve">0 </w:t>
      </w:r>
      <w:r w:rsidR="00B00BEE">
        <w:rPr>
          <w:rFonts w:ascii="Times New Roman" w:hAnsi="Times New Roman"/>
        </w:rPr>
        <w:t xml:space="preserve">state </w:t>
      </w:r>
      <w:bookmarkStart w:id="0" w:name="_GoBack"/>
      <w:bookmarkEnd w:id="0"/>
      <w:r w:rsidR="0013207F">
        <w:rPr>
          <w:rFonts w:ascii="Times New Roman" w:hAnsi="Times New Roman"/>
        </w:rPr>
        <w:t>prison facilities in the United States, represented by 50 state-centralized DOCs. In order to generate state-level prisoner mortality estimates, we would have to design a prison sample that was both state and nationally representative. The sample respondents would far exceed the current number of DCRP prison collection respondents (50 respondents representing 50 DOCs).</w:t>
      </w:r>
    </w:p>
    <w:p w14:paraId="0AB43D11" w14:textId="77777777" w:rsidR="00B45DD7" w:rsidRPr="00B5163D" w:rsidRDefault="00B45DD7" w:rsidP="00B45DD7">
      <w:pPr>
        <w:widowControl/>
        <w:tabs>
          <w:tab w:val="left" w:pos="-1080"/>
          <w:tab w:val="left" w:pos="-720"/>
          <w:tab w:val="left" w:pos="720"/>
          <w:tab w:val="left" w:pos="1152"/>
          <w:tab w:val="left" w:pos="1728"/>
          <w:tab w:val="left" w:pos="2304"/>
          <w:tab w:val="left" w:pos="2880"/>
          <w:tab w:val="left" w:pos="5040"/>
          <w:tab w:val="left" w:pos="6048"/>
          <w:tab w:val="left" w:pos="8640"/>
          <w:tab w:val="left" w:pos="9216"/>
        </w:tabs>
        <w:rPr>
          <w:rFonts w:ascii="Times New Roman" w:hAnsi="Times New Roman"/>
        </w:rPr>
      </w:pPr>
    </w:p>
    <w:p w14:paraId="3F97607C" w14:textId="77777777" w:rsidR="00D71C71" w:rsidRPr="00B5163D" w:rsidRDefault="00D71C71" w:rsidP="00D71C71">
      <w:pPr>
        <w:widowControl/>
        <w:tabs>
          <w:tab w:val="left" w:pos="-1080"/>
          <w:tab w:val="left" w:pos="-720"/>
          <w:tab w:val="left" w:pos="720"/>
          <w:tab w:val="left" w:pos="1152"/>
          <w:tab w:val="left" w:pos="1728"/>
          <w:tab w:val="left" w:pos="2304"/>
          <w:tab w:val="left" w:pos="2880"/>
          <w:tab w:val="left" w:pos="5040"/>
          <w:tab w:val="left" w:pos="6048"/>
          <w:tab w:val="left" w:pos="8640"/>
          <w:tab w:val="left" w:pos="9216"/>
        </w:tabs>
        <w:rPr>
          <w:rFonts w:ascii="Times New Roman" w:hAnsi="Times New Roman"/>
        </w:rPr>
      </w:pPr>
      <w:r w:rsidRPr="00B5163D">
        <w:rPr>
          <w:rFonts w:ascii="Times New Roman" w:hAnsi="Times New Roman"/>
        </w:rPr>
        <w:t xml:space="preserve">Sampling deaths to obtain information about the circumstances leading to </w:t>
      </w:r>
      <w:r w:rsidR="00950757">
        <w:rPr>
          <w:rFonts w:ascii="Times New Roman" w:hAnsi="Times New Roman"/>
        </w:rPr>
        <w:t xml:space="preserve">prisoner </w:t>
      </w:r>
      <w:r w:rsidRPr="00B5163D">
        <w:rPr>
          <w:rFonts w:ascii="Times New Roman" w:hAnsi="Times New Roman"/>
        </w:rPr>
        <w:t xml:space="preserve">deaths would significantly compromise BJS’ ability to accurately report on mortality in prisons. Sampling respondents would not appreciably reduce burden but would greatly diminish the quality and utility of the data. </w:t>
      </w:r>
    </w:p>
    <w:p w14:paraId="2D5D4E70" w14:textId="77777777" w:rsidR="00D71C71" w:rsidRPr="00B5163D" w:rsidRDefault="00D71C71" w:rsidP="009911B1">
      <w:pPr>
        <w:widowControl/>
        <w:tabs>
          <w:tab w:val="left" w:pos="-1080"/>
          <w:tab w:val="left" w:pos="-720"/>
          <w:tab w:val="left" w:pos="720"/>
          <w:tab w:val="left" w:pos="1152"/>
          <w:tab w:val="left" w:pos="1728"/>
          <w:tab w:val="left" w:pos="2304"/>
          <w:tab w:val="left" w:pos="2880"/>
          <w:tab w:val="left" w:pos="5040"/>
          <w:tab w:val="left" w:pos="6048"/>
          <w:tab w:val="left" w:pos="8640"/>
          <w:tab w:val="left" w:pos="9216"/>
        </w:tabs>
        <w:rPr>
          <w:rFonts w:ascii="Times New Roman" w:hAnsi="Times New Roman"/>
        </w:rPr>
      </w:pPr>
    </w:p>
    <w:p w14:paraId="6F96ECE9" w14:textId="77777777" w:rsidR="00954A8C" w:rsidRPr="00B5163D" w:rsidRDefault="00954A8C" w:rsidP="00954A8C">
      <w:pPr>
        <w:widowControl/>
        <w:tabs>
          <w:tab w:val="left" w:pos="-1080"/>
          <w:tab w:val="left" w:pos="-720"/>
          <w:tab w:val="left" w:pos="720"/>
          <w:tab w:val="left" w:pos="1152"/>
          <w:tab w:val="left" w:pos="1728"/>
          <w:tab w:val="left" w:pos="2304"/>
          <w:tab w:val="left" w:pos="2880"/>
          <w:tab w:val="left" w:pos="5040"/>
          <w:tab w:val="left" w:pos="6048"/>
          <w:tab w:val="left" w:pos="8640"/>
          <w:tab w:val="left" w:pos="9216"/>
        </w:tabs>
        <w:rPr>
          <w:rFonts w:ascii="Times New Roman" w:hAnsi="Times New Roman"/>
        </w:rPr>
      </w:pPr>
    </w:p>
    <w:p w14:paraId="0C0B98C4" w14:textId="77777777" w:rsidR="00B535BD" w:rsidRPr="00B5163D" w:rsidRDefault="00B535BD" w:rsidP="00B535BD">
      <w:pPr>
        <w:widowControl/>
        <w:tabs>
          <w:tab w:val="left" w:pos="-1080"/>
          <w:tab w:val="left" w:pos="-720"/>
          <w:tab w:val="left" w:pos="720"/>
          <w:tab w:val="left" w:pos="1152"/>
          <w:tab w:val="left" w:pos="1728"/>
          <w:tab w:val="left" w:pos="2304"/>
          <w:tab w:val="left" w:pos="2880"/>
          <w:tab w:val="left" w:pos="5040"/>
          <w:tab w:val="left" w:pos="6048"/>
          <w:tab w:val="left" w:pos="8640"/>
          <w:tab w:val="left" w:pos="9216"/>
        </w:tabs>
        <w:rPr>
          <w:rFonts w:ascii="Times New Roman" w:hAnsi="Times New Roman"/>
          <w:u w:val="single"/>
        </w:rPr>
      </w:pPr>
      <w:r w:rsidRPr="00B5163D" w:rsidDel="003E7A37">
        <w:rPr>
          <w:rFonts w:ascii="Times New Roman" w:hAnsi="Times New Roman"/>
        </w:rPr>
        <w:t xml:space="preserve"> </w:t>
      </w:r>
      <w:r w:rsidRPr="00B5163D">
        <w:rPr>
          <w:rFonts w:ascii="Times New Roman" w:hAnsi="Times New Roman"/>
        </w:rPr>
        <w:t>2.</w:t>
      </w:r>
      <w:r w:rsidRPr="00B5163D">
        <w:rPr>
          <w:rFonts w:ascii="Times New Roman" w:hAnsi="Times New Roman"/>
        </w:rPr>
        <w:tab/>
      </w:r>
      <w:r w:rsidRPr="00B5163D">
        <w:rPr>
          <w:rFonts w:ascii="Times New Roman" w:hAnsi="Times New Roman"/>
          <w:u w:val="single"/>
        </w:rPr>
        <w:t>Procedures for Information Collection</w:t>
      </w:r>
    </w:p>
    <w:p w14:paraId="33F03CE5" w14:textId="77777777" w:rsidR="00B535BD" w:rsidRPr="00B5163D" w:rsidRDefault="00B535BD" w:rsidP="00B535BD">
      <w:pPr>
        <w:widowControl/>
        <w:tabs>
          <w:tab w:val="left" w:pos="-1080"/>
          <w:tab w:val="left" w:pos="-720"/>
          <w:tab w:val="left" w:pos="720"/>
          <w:tab w:val="left" w:pos="1152"/>
          <w:tab w:val="left" w:pos="1728"/>
          <w:tab w:val="left" w:pos="2304"/>
          <w:tab w:val="left" w:pos="2880"/>
          <w:tab w:val="left" w:pos="5040"/>
          <w:tab w:val="left" w:pos="6048"/>
          <w:tab w:val="left" w:pos="8640"/>
          <w:tab w:val="left" w:pos="9216"/>
        </w:tabs>
        <w:rPr>
          <w:rFonts w:ascii="Times New Roman" w:hAnsi="Times New Roman"/>
          <w:u w:val="single"/>
        </w:rPr>
      </w:pPr>
    </w:p>
    <w:p w14:paraId="225CDEAE" w14:textId="77777777" w:rsidR="002E0BEE" w:rsidRPr="00B5163D" w:rsidRDefault="00B535BD" w:rsidP="00954A8C">
      <w:pPr>
        <w:widowControl/>
        <w:tabs>
          <w:tab w:val="left" w:pos="-1080"/>
          <w:tab w:val="left" w:pos="-720"/>
          <w:tab w:val="left" w:pos="720"/>
          <w:tab w:val="left" w:pos="1152"/>
          <w:tab w:val="left" w:pos="1728"/>
          <w:tab w:val="left" w:pos="2304"/>
          <w:tab w:val="left" w:pos="2880"/>
          <w:tab w:val="left" w:pos="5040"/>
          <w:tab w:val="left" w:pos="6048"/>
          <w:tab w:val="left" w:pos="8640"/>
          <w:tab w:val="left" w:pos="9216"/>
        </w:tabs>
        <w:rPr>
          <w:rFonts w:ascii="Times New Roman" w:hAnsi="Times New Roman"/>
        </w:rPr>
      </w:pPr>
      <w:r w:rsidRPr="00B5163D">
        <w:rPr>
          <w:rFonts w:ascii="Times New Roman" w:hAnsi="Times New Roman"/>
          <w:b/>
          <w:i/>
        </w:rPr>
        <w:lastRenderedPageBreak/>
        <w:t xml:space="preserve">Procedures for the </w:t>
      </w:r>
      <w:r w:rsidR="009911B1" w:rsidRPr="00B5163D">
        <w:rPr>
          <w:rFonts w:ascii="Times New Roman" w:hAnsi="Times New Roman"/>
          <w:b/>
          <w:i/>
        </w:rPr>
        <w:t>DCRP</w:t>
      </w:r>
      <w:r w:rsidRPr="00B5163D">
        <w:rPr>
          <w:rFonts w:ascii="Times New Roman" w:hAnsi="Times New Roman"/>
          <w:b/>
          <w:i/>
        </w:rPr>
        <w:t xml:space="preserve"> </w:t>
      </w:r>
      <w:r w:rsidR="009911B1" w:rsidRPr="00B5163D">
        <w:rPr>
          <w:rFonts w:ascii="Times New Roman" w:hAnsi="Times New Roman"/>
          <w:b/>
          <w:i/>
        </w:rPr>
        <w:t>c</w:t>
      </w:r>
      <w:r w:rsidRPr="00B5163D">
        <w:rPr>
          <w:rFonts w:ascii="Times New Roman" w:hAnsi="Times New Roman"/>
          <w:b/>
          <w:i/>
        </w:rPr>
        <w:t>ollection</w:t>
      </w:r>
      <w:r w:rsidRPr="00B5163D">
        <w:rPr>
          <w:rFonts w:ascii="Times New Roman" w:hAnsi="Times New Roman"/>
        </w:rPr>
        <w:t xml:space="preserve">. </w:t>
      </w:r>
      <w:r w:rsidR="009911B1" w:rsidRPr="00B5163D">
        <w:rPr>
          <w:rFonts w:ascii="Times New Roman" w:hAnsi="Times New Roman"/>
        </w:rPr>
        <w:t xml:space="preserve"> </w:t>
      </w:r>
      <w:r w:rsidR="00AD63CD">
        <w:rPr>
          <w:rFonts w:ascii="Times New Roman" w:hAnsi="Times New Roman"/>
        </w:rPr>
        <w:t xml:space="preserve">During November of the year prior to the upcoming calendar year collection, BJS’ data collection agent (RTI International) notifies </w:t>
      </w:r>
      <w:r w:rsidR="00844E0A" w:rsidRPr="00B5163D">
        <w:rPr>
          <w:rFonts w:ascii="Times New Roman" w:hAnsi="Times New Roman"/>
        </w:rPr>
        <w:t xml:space="preserve">prison respondents </w:t>
      </w:r>
      <w:r w:rsidR="00AD63CD">
        <w:rPr>
          <w:rFonts w:ascii="Times New Roman" w:hAnsi="Times New Roman"/>
        </w:rPr>
        <w:t>of the annual collection cycle. The notification occurs during annual verification calls.  In the annual verification calls, RTI verifies that the current collection year respondent will</w:t>
      </w:r>
      <w:r w:rsidR="00382F41">
        <w:rPr>
          <w:rFonts w:ascii="Times New Roman" w:hAnsi="Times New Roman"/>
        </w:rPr>
        <w:t xml:space="preserve"> be</w:t>
      </w:r>
      <w:r w:rsidR="00AD63CD">
        <w:rPr>
          <w:rFonts w:ascii="Times New Roman" w:hAnsi="Times New Roman"/>
        </w:rPr>
        <w:t xml:space="preserve"> the respondent for the upcoming collection year and if not, will obtain the new respondent’s contact information.</w:t>
      </w:r>
      <w:r w:rsidR="00535CF5">
        <w:rPr>
          <w:rFonts w:ascii="Times New Roman" w:hAnsi="Times New Roman"/>
        </w:rPr>
        <w:t xml:space="preserve"> Changes in prison respondents is not common –</w:t>
      </w:r>
      <w:r w:rsidR="00141BE9">
        <w:rPr>
          <w:rFonts w:ascii="Times New Roman" w:hAnsi="Times New Roman"/>
        </w:rPr>
        <w:t>fewer than three DOC</w:t>
      </w:r>
      <w:r w:rsidR="00535CF5">
        <w:rPr>
          <w:rFonts w:ascii="Times New Roman" w:hAnsi="Times New Roman"/>
        </w:rPr>
        <w:t xml:space="preserve"> respondent</w:t>
      </w:r>
      <w:r w:rsidR="00141BE9">
        <w:rPr>
          <w:rFonts w:ascii="Times New Roman" w:hAnsi="Times New Roman"/>
        </w:rPr>
        <w:t>s</w:t>
      </w:r>
      <w:r w:rsidR="00535CF5">
        <w:rPr>
          <w:rFonts w:ascii="Times New Roman" w:hAnsi="Times New Roman"/>
        </w:rPr>
        <w:t xml:space="preserve"> changes annually. </w:t>
      </w:r>
      <w:r w:rsidR="00AD63CD">
        <w:rPr>
          <w:rFonts w:ascii="Times New Roman" w:hAnsi="Times New Roman"/>
        </w:rPr>
        <w:t xml:space="preserve">  </w:t>
      </w:r>
    </w:p>
    <w:p w14:paraId="5FD7899B" w14:textId="77777777" w:rsidR="002E0BEE" w:rsidRPr="00B5163D" w:rsidRDefault="002E0BEE" w:rsidP="00954A8C">
      <w:pPr>
        <w:widowControl/>
        <w:tabs>
          <w:tab w:val="left" w:pos="-1080"/>
          <w:tab w:val="left" w:pos="-720"/>
          <w:tab w:val="left" w:pos="720"/>
          <w:tab w:val="left" w:pos="1152"/>
          <w:tab w:val="left" w:pos="1728"/>
          <w:tab w:val="left" w:pos="2304"/>
          <w:tab w:val="left" w:pos="2880"/>
          <w:tab w:val="left" w:pos="5040"/>
          <w:tab w:val="left" w:pos="6048"/>
          <w:tab w:val="left" w:pos="8640"/>
          <w:tab w:val="left" w:pos="9216"/>
        </w:tabs>
        <w:rPr>
          <w:rFonts w:ascii="Times New Roman" w:hAnsi="Times New Roman"/>
        </w:rPr>
      </w:pPr>
    </w:p>
    <w:p w14:paraId="6AC6FBB0" w14:textId="6D126A7F" w:rsidR="00E54DE7" w:rsidRDefault="002E0BEE" w:rsidP="00954A8C">
      <w:pPr>
        <w:widowControl/>
        <w:tabs>
          <w:tab w:val="left" w:pos="-1080"/>
          <w:tab w:val="left" w:pos="-720"/>
          <w:tab w:val="left" w:pos="720"/>
          <w:tab w:val="left" w:pos="1152"/>
          <w:tab w:val="left" w:pos="1728"/>
          <w:tab w:val="left" w:pos="2304"/>
          <w:tab w:val="left" w:pos="2880"/>
          <w:tab w:val="left" w:pos="5040"/>
          <w:tab w:val="left" w:pos="6048"/>
          <w:tab w:val="left" w:pos="8640"/>
          <w:tab w:val="left" w:pos="9216"/>
        </w:tabs>
        <w:rPr>
          <w:rFonts w:ascii="Times New Roman" w:hAnsi="Times New Roman"/>
        </w:rPr>
      </w:pPr>
      <w:r w:rsidRPr="00B5163D">
        <w:rPr>
          <w:rFonts w:ascii="Times New Roman" w:hAnsi="Times New Roman"/>
        </w:rPr>
        <w:t>Using the contact information</w:t>
      </w:r>
      <w:r w:rsidR="003007F9">
        <w:rPr>
          <w:rFonts w:ascii="Times New Roman" w:hAnsi="Times New Roman"/>
        </w:rPr>
        <w:t xml:space="preserve"> obtained</w:t>
      </w:r>
      <w:r w:rsidRPr="00B5163D">
        <w:rPr>
          <w:rFonts w:ascii="Times New Roman" w:hAnsi="Times New Roman"/>
        </w:rPr>
        <w:t xml:space="preserve"> from the verification calls, </w:t>
      </w:r>
      <w:r w:rsidR="00AD63CD">
        <w:rPr>
          <w:rFonts w:ascii="Times New Roman" w:hAnsi="Times New Roman"/>
        </w:rPr>
        <w:t>RTI mails to each DCRP</w:t>
      </w:r>
      <w:r w:rsidR="00490B2F">
        <w:rPr>
          <w:rFonts w:ascii="Times New Roman" w:hAnsi="Times New Roman"/>
        </w:rPr>
        <w:t xml:space="preserve"> Pr</w:t>
      </w:r>
      <w:r w:rsidR="00AD63CD">
        <w:rPr>
          <w:rFonts w:ascii="Times New Roman" w:hAnsi="Times New Roman"/>
        </w:rPr>
        <w:t xml:space="preserve">ison respondent an information </w:t>
      </w:r>
      <w:r w:rsidR="00DC6699" w:rsidRPr="00B5163D">
        <w:rPr>
          <w:rFonts w:ascii="Times New Roman" w:hAnsi="Times New Roman"/>
        </w:rPr>
        <w:t>packet</w:t>
      </w:r>
      <w:r w:rsidRPr="00B5163D">
        <w:rPr>
          <w:rFonts w:ascii="Times New Roman" w:hAnsi="Times New Roman"/>
        </w:rPr>
        <w:t xml:space="preserve"> announcing the start of the current year’s collection </w:t>
      </w:r>
      <w:r w:rsidR="00DC6699" w:rsidRPr="00B5163D">
        <w:rPr>
          <w:rFonts w:ascii="Times New Roman" w:hAnsi="Times New Roman"/>
        </w:rPr>
        <w:t xml:space="preserve">cycle </w:t>
      </w:r>
      <w:r w:rsidR="00B535BD" w:rsidRPr="00B5163D">
        <w:rPr>
          <w:rFonts w:ascii="Times New Roman" w:hAnsi="Times New Roman"/>
        </w:rPr>
        <w:t>(</w:t>
      </w:r>
      <w:r w:rsidR="00B46FE2">
        <w:rPr>
          <w:rFonts w:ascii="Times New Roman" w:hAnsi="Times New Roman"/>
        </w:rPr>
        <w:t>see Appendix C, attachment G</w:t>
      </w:r>
      <w:r w:rsidR="00DC6699" w:rsidRPr="00B5163D">
        <w:rPr>
          <w:rFonts w:ascii="Times New Roman" w:hAnsi="Times New Roman"/>
        </w:rPr>
        <w:t>)</w:t>
      </w:r>
      <w:r w:rsidR="00B535BD" w:rsidRPr="00B5163D">
        <w:rPr>
          <w:rFonts w:ascii="Times New Roman" w:hAnsi="Times New Roman"/>
        </w:rPr>
        <w:t xml:space="preserve">. </w:t>
      </w:r>
      <w:r w:rsidR="00DC6699" w:rsidRPr="00B5163D">
        <w:rPr>
          <w:rFonts w:ascii="Times New Roman" w:hAnsi="Times New Roman"/>
        </w:rPr>
        <w:t xml:space="preserve">In addition to the announcement letter, the packets contain </w:t>
      </w:r>
      <w:r w:rsidR="00EB051D" w:rsidRPr="00B5163D">
        <w:rPr>
          <w:rFonts w:ascii="Times New Roman" w:hAnsi="Times New Roman"/>
        </w:rPr>
        <w:t xml:space="preserve">year-specific </w:t>
      </w:r>
      <w:r w:rsidR="00DC6699" w:rsidRPr="00B5163D">
        <w:rPr>
          <w:rFonts w:ascii="Times New Roman" w:hAnsi="Times New Roman"/>
        </w:rPr>
        <w:t xml:space="preserve">envelopes </w:t>
      </w:r>
      <w:r w:rsidR="00C9111C" w:rsidRPr="00B5163D">
        <w:rPr>
          <w:rFonts w:ascii="Times New Roman" w:hAnsi="Times New Roman"/>
        </w:rPr>
        <w:t>that distinguish</w:t>
      </w:r>
      <w:r w:rsidR="00DC6699" w:rsidRPr="00B5163D">
        <w:rPr>
          <w:rFonts w:ascii="Times New Roman" w:hAnsi="Times New Roman"/>
        </w:rPr>
        <w:t xml:space="preserve"> the current year’s </w:t>
      </w:r>
      <w:r w:rsidR="00C9111C" w:rsidRPr="00B5163D">
        <w:rPr>
          <w:rFonts w:ascii="Times New Roman" w:hAnsi="Times New Roman"/>
        </w:rPr>
        <w:t>surveys (NPS-4A for prisons) from the annual summary forms (NPS-4 for prisons).</w:t>
      </w:r>
      <w:r w:rsidR="00E54DE7">
        <w:rPr>
          <w:rFonts w:ascii="Times New Roman" w:hAnsi="Times New Roman"/>
        </w:rPr>
        <w:t xml:space="preserve"> </w:t>
      </w:r>
    </w:p>
    <w:p w14:paraId="6EB27CDB" w14:textId="77777777" w:rsidR="000B7008" w:rsidRDefault="000B7008" w:rsidP="00954A8C">
      <w:pPr>
        <w:widowControl/>
        <w:tabs>
          <w:tab w:val="left" w:pos="-1080"/>
          <w:tab w:val="left" w:pos="-720"/>
          <w:tab w:val="left" w:pos="720"/>
          <w:tab w:val="left" w:pos="1152"/>
          <w:tab w:val="left" w:pos="1728"/>
          <w:tab w:val="left" w:pos="2304"/>
          <w:tab w:val="left" w:pos="2880"/>
          <w:tab w:val="left" w:pos="5040"/>
          <w:tab w:val="left" w:pos="6048"/>
          <w:tab w:val="left" w:pos="8640"/>
          <w:tab w:val="left" w:pos="9216"/>
        </w:tabs>
        <w:rPr>
          <w:rFonts w:ascii="Times New Roman" w:hAnsi="Times New Roman"/>
        </w:rPr>
      </w:pPr>
    </w:p>
    <w:p w14:paraId="506CC961" w14:textId="77777777" w:rsidR="00B535BD" w:rsidRPr="00B5163D" w:rsidRDefault="00E54DE7" w:rsidP="00954A8C">
      <w:pPr>
        <w:widowControl/>
        <w:tabs>
          <w:tab w:val="left" w:pos="-1080"/>
          <w:tab w:val="left" w:pos="-720"/>
          <w:tab w:val="left" w:pos="720"/>
          <w:tab w:val="left" w:pos="1152"/>
          <w:tab w:val="left" w:pos="1728"/>
          <w:tab w:val="left" w:pos="2304"/>
          <w:tab w:val="left" w:pos="2880"/>
          <w:tab w:val="left" w:pos="5040"/>
          <w:tab w:val="left" w:pos="6048"/>
          <w:tab w:val="left" w:pos="8640"/>
          <w:tab w:val="left" w:pos="9216"/>
        </w:tabs>
        <w:rPr>
          <w:rFonts w:ascii="Times New Roman" w:hAnsi="Times New Roman"/>
        </w:rPr>
      </w:pPr>
      <w:r>
        <w:rPr>
          <w:rFonts w:ascii="Times New Roman" w:hAnsi="Times New Roman"/>
        </w:rPr>
        <w:t>The</w:t>
      </w:r>
      <w:r w:rsidR="002B6DD4" w:rsidRPr="00B5163D">
        <w:rPr>
          <w:rFonts w:ascii="Times New Roman" w:hAnsi="Times New Roman"/>
        </w:rPr>
        <w:t xml:space="preserve"> </w:t>
      </w:r>
      <w:r w:rsidR="002532E7" w:rsidRPr="00B5163D">
        <w:rPr>
          <w:rFonts w:ascii="Times New Roman" w:hAnsi="Times New Roman"/>
        </w:rPr>
        <w:t>packets include</w:t>
      </w:r>
      <w:r w:rsidR="00915B12" w:rsidRPr="00B5163D">
        <w:rPr>
          <w:rFonts w:ascii="Times New Roman" w:hAnsi="Times New Roman"/>
        </w:rPr>
        <w:t xml:space="preserve"> a reporting instructions sheet and a DCRP fact sheet. </w:t>
      </w:r>
      <w:r>
        <w:rPr>
          <w:rFonts w:ascii="Times New Roman" w:hAnsi="Times New Roman"/>
        </w:rPr>
        <w:t xml:space="preserve">The instruction sheet directs the respondents to the DCRP Web-site and provides them with login information to use in submitting data via the Web-reporting tool.  In addition, respondents are reminded to submit </w:t>
      </w:r>
      <w:r w:rsidR="00B535BD" w:rsidRPr="00B5163D">
        <w:rPr>
          <w:rFonts w:ascii="Times New Roman" w:hAnsi="Times New Roman"/>
        </w:rPr>
        <w:t>an annual summary form</w:t>
      </w:r>
      <w:r w:rsidR="009147B8" w:rsidRPr="00B5163D">
        <w:rPr>
          <w:rFonts w:ascii="Times New Roman" w:hAnsi="Times New Roman"/>
        </w:rPr>
        <w:t xml:space="preserve"> and any</w:t>
      </w:r>
      <w:r>
        <w:rPr>
          <w:rFonts w:ascii="Times New Roman" w:hAnsi="Times New Roman"/>
        </w:rPr>
        <w:t xml:space="preserve"> outstanding</w:t>
      </w:r>
      <w:r w:rsidR="009147B8" w:rsidRPr="00B5163D">
        <w:rPr>
          <w:rFonts w:ascii="Times New Roman" w:hAnsi="Times New Roman"/>
        </w:rPr>
        <w:t xml:space="preserve"> death </w:t>
      </w:r>
      <w:r w:rsidR="006F3F47">
        <w:rPr>
          <w:rFonts w:ascii="Times New Roman" w:hAnsi="Times New Roman"/>
        </w:rPr>
        <w:t xml:space="preserve">record </w:t>
      </w:r>
      <w:r w:rsidR="009147B8" w:rsidRPr="00B5163D">
        <w:rPr>
          <w:rFonts w:ascii="Times New Roman" w:hAnsi="Times New Roman"/>
        </w:rPr>
        <w:t>forms</w:t>
      </w:r>
      <w:r w:rsidR="00B535BD" w:rsidRPr="00B5163D">
        <w:rPr>
          <w:rFonts w:ascii="Times New Roman" w:hAnsi="Times New Roman"/>
        </w:rPr>
        <w:t xml:space="preserve"> f</w:t>
      </w:r>
      <w:r w:rsidR="009147B8" w:rsidRPr="00B5163D">
        <w:rPr>
          <w:rFonts w:ascii="Times New Roman" w:hAnsi="Times New Roman"/>
        </w:rPr>
        <w:t>rom the</w:t>
      </w:r>
      <w:r w:rsidR="00B535BD" w:rsidRPr="00B5163D">
        <w:rPr>
          <w:rFonts w:ascii="Times New Roman" w:hAnsi="Times New Roman"/>
        </w:rPr>
        <w:t xml:space="preserve"> preceding year</w:t>
      </w:r>
      <w:r w:rsidR="002B6DD4" w:rsidRPr="00B5163D">
        <w:rPr>
          <w:rFonts w:ascii="Times New Roman" w:hAnsi="Times New Roman"/>
        </w:rPr>
        <w:t xml:space="preserve"> by March 1</w:t>
      </w:r>
      <w:r w:rsidR="002B6DD4" w:rsidRPr="00B5163D">
        <w:rPr>
          <w:rFonts w:ascii="Times New Roman" w:hAnsi="Times New Roman"/>
          <w:vertAlign w:val="superscript"/>
        </w:rPr>
        <w:t>st</w:t>
      </w:r>
      <w:r w:rsidR="002B6DD4" w:rsidRPr="00B5163D">
        <w:rPr>
          <w:rFonts w:ascii="Times New Roman" w:hAnsi="Times New Roman"/>
        </w:rPr>
        <w:t xml:space="preserve"> </w:t>
      </w:r>
      <w:r w:rsidR="00156A73">
        <w:rPr>
          <w:rFonts w:ascii="Times New Roman" w:hAnsi="Times New Roman"/>
        </w:rPr>
        <w:t>of the current year</w:t>
      </w:r>
      <w:r w:rsidR="003007F9">
        <w:rPr>
          <w:rFonts w:ascii="Times New Roman" w:hAnsi="Times New Roman"/>
        </w:rPr>
        <w:t xml:space="preserve">. </w:t>
      </w:r>
      <w:r>
        <w:rPr>
          <w:rFonts w:ascii="Times New Roman" w:hAnsi="Times New Roman"/>
        </w:rPr>
        <w:t>The primary mode of collection, the</w:t>
      </w:r>
      <w:r w:rsidR="00AF3962">
        <w:rPr>
          <w:rFonts w:ascii="Times New Roman" w:hAnsi="Times New Roman"/>
        </w:rPr>
        <w:t xml:space="preserve"> </w:t>
      </w:r>
      <w:r>
        <w:rPr>
          <w:rFonts w:ascii="Times New Roman" w:hAnsi="Times New Roman"/>
        </w:rPr>
        <w:t>Web-reporting tool</w:t>
      </w:r>
      <w:r w:rsidR="00276C72">
        <w:rPr>
          <w:rFonts w:ascii="Times New Roman" w:hAnsi="Times New Roman"/>
        </w:rPr>
        <w:t xml:space="preserve">, </w:t>
      </w:r>
      <w:r>
        <w:rPr>
          <w:rFonts w:ascii="Times New Roman" w:hAnsi="Times New Roman"/>
        </w:rPr>
        <w:t xml:space="preserve">allows respondents to submit individual death record forms on an ongoing basis. Secondary modes of submission of records include </w:t>
      </w:r>
      <w:r w:rsidR="00B535BD" w:rsidRPr="00B5163D">
        <w:rPr>
          <w:rFonts w:ascii="Times New Roman" w:hAnsi="Times New Roman"/>
        </w:rPr>
        <w:t>email, fax or U.S.P.S.</w:t>
      </w:r>
      <w:r w:rsidR="002B6DD4" w:rsidRPr="00B5163D">
        <w:rPr>
          <w:rFonts w:ascii="Times New Roman" w:hAnsi="Times New Roman"/>
        </w:rPr>
        <w:t xml:space="preserve"> A postage-paid business reply envelope is provided for respondents who cho</w:t>
      </w:r>
      <w:r w:rsidR="006F3F47">
        <w:rPr>
          <w:rFonts w:ascii="Times New Roman" w:hAnsi="Times New Roman"/>
        </w:rPr>
        <w:t>o</w:t>
      </w:r>
      <w:r w:rsidR="002B6DD4" w:rsidRPr="00B5163D">
        <w:rPr>
          <w:rFonts w:ascii="Times New Roman" w:hAnsi="Times New Roman"/>
        </w:rPr>
        <w:t>se to submit their data via U.S. mail.</w:t>
      </w:r>
    </w:p>
    <w:p w14:paraId="787676C3" w14:textId="77777777" w:rsidR="00B535BD" w:rsidRPr="00B5163D" w:rsidRDefault="00B535BD" w:rsidP="00954A8C">
      <w:pPr>
        <w:widowControl/>
        <w:tabs>
          <w:tab w:val="left" w:pos="-1080"/>
          <w:tab w:val="left" w:pos="-720"/>
          <w:tab w:val="left" w:pos="720"/>
          <w:tab w:val="left" w:pos="1152"/>
          <w:tab w:val="left" w:pos="1728"/>
          <w:tab w:val="left" w:pos="2304"/>
          <w:tab w:val="left" w:pos="2880"/>
          <w:tab w:val="left" w:pos="5040"/>
          <w:tab w:val="left" w:pos="6048"/>
          <w:tab w:val="left" w:pos="8640"/>
          <w:tab w:val="left" w:pos="9216"/>
        </w:tabs>
        <w:rPr>
          <w:rFonts w:ascii="Times New Roman" w:hAnsi="Times New Roman"/>
        </w:rPr>
      </w:pPr>
    </w:p>
    <w:p w14:paraId="73B6FF96" w14:textId="71C77C46" w:rsidR="00B535BD" w:rsidRPr="00B5163D" w:rsidRDefault="00276C72" w:rsidP="00954A8C">
      <w:pPr>
        <w:widowControl/>
        <w:tabs>
          <w:tab w:val="left" w:pos="-1080"/>
          <w:tab w:val="left" w:pos="-720"/>
          <w:tab w:val="left" w:pos="720"/>
          <w:tab w:val="left" w:pos="1152"/>
          <w:tab w:val="left" w:pos="1728"/>
          <w:tab w:val="left" w:pos="2304"/>
          <w:tab w:val="left" w:pos="2880"/>
          <w:tab w:val="left" w:pos="5040"/>
          <w:tab w:val="left" w:pos="6048"/>
          <w:tab w:val="left" w:pos="8640"/>
          <w:tab w:val="left" w:pos="9216"/>
        </w:tabs>
        <w:rPr>
          <w:rFonts w:ascii="Times New Roman" w:hAnsi="Times New Roman"/>
        </w:rPr>
      </w:pPr>
      <w:r>
        <w:rPr>
          <w:rFonts w:ascii="Times New Roman" w:hAnsi="Times New Roman"/>
        </w:rPr>
        <w:t>All d</w:t>
      </w:r>
      <w:r w:rsidR="00B535BD" w:rsidRPr="00B5163D">
        <w:rPr>
          <w:rFonts w:ascii="Times New Roman" w:hAnsi="Times New Roman"/>
        </w:rPr>
        <w:t xml:space="preserve">ata </w:t>
      </w:r>
      <w:r>
        <w:rPr>
          <w:rFonts w:ascii="Times New Roman" w:hAnsi="Times New Roman"/>
        </w:rPr>
        <w:t xml:space="preserve">for a calendar year </w:t>
      </w:r>
      <w:r w:rsidR="006F0E05">
        <w:rPr>
          <w:rFonts w:ascii="Times New Roman" w:hAnsi="Times New Roman"/>
        </w:rPr>
        <w:t>are due within 9</w:t>
      </w:r>
      <w:r w:rsidR="00B535BD" w:rsidRPr="00B5163D">
        <w:rPr>
          <w:rFonts w:ascii="Times New Roman" w:hAnsi="Times New Roman"/>
        </w:rPr>
        <w:t xml:space="preserve">0 days following the end of the year.  </w:t>
      </w:r>
      <w:r w:rsidR="006F0E05">
        <w:rPr>
          <w:rFonts w:ascii="Times New Roman" w:hAnsi="Times New Roman"/>
        </w:rPr>
        <w:t>Follow-up contacts begin in May and continue through July foll</w:t>
      </w:r>
      <w:r w:rsidR="00B535BD" w:rsidRPr="00B5163D">
        <w:rPr>
          <w:rFonts w:ascii="Times New Roman" w:hAnsi="Times New Roman"/>
        </w:rPr>
        <w:t xml:space="preserve">owing the collection year to </w:t>
      </w:r>
      <w:r w:rsidR="00A73BCE">
        <w:rPr>
          <w:rFonts w:ascii="Times New Roman" w:hAnsi="Times New Roman"/>
        </w:rPr>
        <w:t xml:space="preserve">solicit </w:t>
      </w:r>
      <w:r w:rsidR="00B535BD" w:rsidRPr="00B5163D">
        <w:rPr>
          <w:rFonts w:ascii="Times New Roman" w:hAnsi="Times New Roman"/>
        </w:rPr>
        <w:t>late responses. RTI contacts nonrespondents via phone</w:t>
      </w:r>
      <w:r>
        <w:rPr>
          <w:rFonts w:ascii="Times New Roman" w:hAnsi="Times New Roman"/>
        </w:rPr>
        <w:t xml:space="preserve">, fax, </w:t>
      </w:r>
      <w:r w:rsidR="00B535BD" w:rsidRPr="00B5163D">
        <w:rPr>
          <w:rFonts w:ascii="Times New Roman" w:hAnsi="Times New Roman"/>
        </w:rPr>
        <w:t>email</w:t>
      </w:r>
      <w:r>
        <w:rPr>
          <w:rFonts w:ascii="Times New Roman" w:hAnsi="Times New Roman"/>
        </w:rPr>
        <w:t>, and mail (for respondents for whom RTI does not have an email address)</w:t>
      </w:r>
      <w:r w:rsidR="00B535BD" w:rsidRPr="00B5163D">
        <w:rPr>
          <w:rFonts w:ascii="Times New Roman" w:hAnsi="Times New Roman"/>
        </w:rPr>
        <w:t>. Concentrated data quality follow-up with respon</w:t>
      </w:r>
      <w:r w:rsidR="00735093">
        <w:rPr>
          <w:rFonts w:ascii="Times New Roman" w:hAnsi="Times New Roman"/>
        </w:rPr>
        <w:t xml:space="preserve">dents runs May through July </w:t>
      </w:r>
      <w:r w:rsidR="009911B1" w:rsidRPr="00B5163D">
        <w:rPr>
          <w:rFonts w:ascii="Times New Roman" w:hAnsi="Times New Roman"/>
        </w:rPr>
        <w:t xml:space="preserve">(see </w:t>
      </w:r>
      <w:r w:rsidR="000C0CF9" w:rsidRPr="00B5163D">
        <w:rPr>
          <w:rFonts w:ascii="Times New Roman" w:hAnsi="Times New Roman"/>
        </w:rPr>
        <w:t xml:space="preserve">appendix C, </w:t>
      </w:r>
      <w:r w:rsidR="009911B1" w:rsidRPr="00B5163D">
        <w:rPr>
          <w:rFonts w:ascii="Times New Roman" w:hAnsi="Times New Roman"/>
        </w:rPr>
        <w:t xml:space="preserve">attachment </w:t>
      </w:r>
      <w:r w:rsidR="00B2116F">
        <w:rPr>
          <w:rFonts w:ascii="Times New Roman" w:hAnsi="Times New Roman"/>
        </w:rPr>
        <w:t>H</w:t>
      </w:r>
      <w:r w:rsidR="009911B1" w:rsidRPr="00B5163D">
        <w:rPr>
          <w:rFonts w:ascii="Times New Roman" w:hAnsi="Times New Roman"/>
        </w:rPr>
        <w:t>)</w:t>
      </w:r>
      <w:r w:rsidR="00B535BD" w:rsidRPr="00B5163D">
        <w:rPr>
          <w:rFonts w:ascii="Times New Roman" w:hAnsi="Times New Roman"/>
        </w:rPr>
        <w:t xml:space="preserve">. </w:t>
      </w:r>
    </w:p>
    <w:p w14:paraId="4E781B4C" w14:textId="77777777" w:rsidR="00B535BD" w:rsidRPr="00B5163D" w:rsidRDefault="00B535BD" w:rsidP="00B535BD">
      <w:pPr>
        <w:widowControl/>
        <w:tabs>
          <w:tab w:val="left" w:pos="-1080"/>
          <w:tab w:val="left" w:pos="-720"/>
          <w:tab w:val="left" w:pos="720"/>
          <w:tab w:val="left" w:pos="1152"/>
          <w:tab w:val="left" w:pos="1728"/>
          <w:tab w:val="left" w:pos="2304"/>
          <w:tab w:val="left" w:pos="2880"/>
          <w:tab w:val="left" w:pos="5040"/>
          <w:tab w:val="left" w:pos="6048"/>
          <w:tab w:val="left" w:pos="8640"/>
          <w:tab w:val="left" w:pos="9216"/>
        </w:tabs>
        <w:ind w:left="720" w:hanging="720"/>
        <w:rPr>
          <w:rFonts w:ascii="Times New Roman" w:hAnsi="Times New Roman"/>
        </w:rPr>
      </w:pPr>
    </w:p>
    <w:p w14:paraId="70BC0B8C" w14:textId="77777777" w:rsidR="009911B1" w:rsidRPr="00B5163D" w:rsidRDefault="00EB051D" w:rsidP="00954A8C">
      <w:pPr>
        <w:widowControl/>
        <w:tabs>
          <w:tab w:val="left" w:pos="-1080"/>
          <w:tab w:val="left" w:pos="-720"/>
          <w:tab w:val="left" w:pos="720"/>
          <w:tab w:val="left" w:pos="1152"/>
          <w:tab w:val="left" w:pos="1728"/>
          <w:tab w:val="left" w:pos="2304"/>
          <w:tab w:val="left" w:pos="2880"/>
          <w:tab w:val="left" w:pos="5040"/>
          <w:tab w:val="left" w:pos="6048"/>
          <w:tab w:val="left" w:pos="8640"/>
          <w:tab w:val="left" w:pos="9216"/>
        </w:tabs>
        <w:rPr>
          <w:rFonts w:ascii="Times New Roman" w:hAnsi="Times New Roman"/>
        </w:rPr>
      </w:pPr>
      <w:r w:rsidRPr="00B5163D">
        <w:rPr>
          <w:rFonts w:ascii="Times New Roman" w:hAnsi="Times New Roman"/>
        </w:rPr>
        <w:t xml:space="preserve">RTI International monitors the DCRP </w:t>
      </w:r>
      <w:r w:rsidR="009147B8" w:rsidRPr="00B5163D">
        <w:rPr>
          <w:rFonts w:ascii="Times New Roman" w:hAnsi="Times New Roman"/>
        </w:rPr>
        <w:t>data</w:t>
      </w:r>
      <w:r w:rsidRPr="00B5163D">
        <w:rPr>
          <w:rFonts w:ascii="Times New Roman" w:hAnsi="Times New Roman"/>
        </w:rPr>
        <w:t xml:space="preserve"> and its respondents throughout the active data collection period. This includes tracking the time to complete, number of contacts made to each agency, and other information (e.g., which form(s) have and have not been returned to date). This information is then used for tailored follow-up prompts to partial or nonrespondents. A similar approach is employed when there </w:t>
      </w:r>
      <w:r w:rsidR="00156A73">
        <w:rPr>
          <w:rFonts w:ascii="Times New Roman" w:hAnsi="Times New Roman"/>
        </w:rPr>
        <w:t>is</w:t>
      </w:r>
      <w:r w:rsidR="00156A73" w:rsidRPr="00B5163D">
        <w:rPr>
          <w:rFonts w:ascii="Times New Roman" w:hAnsi="Times New Roman"/>
        </w:rPr>
        <w:t xml:space="preserve"> </w:t>
      </w:r>
      <w:r w:rsidRPr="00B5163D">
        <w:rPr>
          <w:rFonts w:ascii="Times New Roman" w:hAnsi="Times New Roman"/>
        </w:rPr>
        <w:t>missing or conflicting data within the returned forms. For such outreach activities, agencies are assigned and managed by project team members, each of whom serves as that agency’s liaison for DCRP.</w:t>
      </w:r>
    </w:p>
    <w:p w14:paraId="7913EAFF" w14:textId="77777777" w:rsidR="00B535BD" w:rsidRPr="00B5163D" w:rsidRDefault="00B535BD" w:rsidP="00954A8C">
      <w:pPr>
        <w:widowControl/>
        <w:tabs>
          <w:tab w:val="left" w:pos="-1080"/>
          <w:tab w:val="left" w:pos="-720"/>
          <w:tab w:val="left" w:pos="720"/>
          <w:tab w:val="left" w:pos="1152"/>
          <w:tab w:val="left" w:pos="1728"/>
          <w:tab w:val="left" w:pos="2304"/>
          <w:tab w:val="left" w:pos="2880"/>
          <w:tab w:val="left" w:pos="5040"/>
          <w:tab w:val="left" w:pos="6048"/>
          <w:tab w:val="left" w:pos="8640"/>
          <w:tab w:val="left" w:pos="9216"/>
        </w:tabs>
        <w:rPr>
          <w:rFonts w:ascii="Times New Roman" w:hAnsi="Times New Roman"/>
        </w:rPr>
      </w:pPr>
    </w:p>
    <w:p w14:paraId="0C2B43A2" w14:textId="77777777" w:rsidR="00B535BD" w:rsidRPr="00B5163D" w:rsidRDefault="00B535BD" w:rsidP="00B535BD">
      <w:pPr>
        <w:widowControl/>
        <w:tabs>
          <w:tab w:val="left" w:pos="-1080"/>
          <w:tab w:val="left" w:pos="-720"/>
          <w:tab w:val="left" w:pos="720"/>
          <w:tab w:val="left" w:pos="1152"/>
          <w:tab w:val="left" w:pos="1728"/>
          <w:tab w:val="left" w:pos="2304"/>
          <w:tab w:val="left" w:pos="2880"/>
          <w:tab w:val="left" w:pos="5040"/>
          <w:tab w:val="left" w:pos="6048"/>
          <w:tab w:val="left" w:pos="8640"/>
          <w:tab w:val="left" w:pos="9216"/>
        </w:tabs>
        <w:rPr>
          <w:rFonts w:ascii="Times New Roman" w:hAnsi="Times New Roman"/>
        </w:rPr>
      </w:pPr>
      <w:r w:rsidRPr="00B5163D">
        <w:rPr>
          <w:rFonts w:ascii="Times New Roman" w:hAnsi="Times New Roman"/>
        </w:rPr>
        <w:t xml:space="preserve">3. </w:t>
      </w:r>
      <w:r w:rsidRPr="00B5163D">
        <w:rPr>
          <w:rFonts w:ascii="Times New Roman" w:hAnsi="Times New Roman"/>
        </w:rPr>
        <w:tab/>
      </w:r>
      <w:r w:rsidRPr="00B5163D">
        <w:rPr>
          <w:rFonts w:ascii="Times New Roman" w:hAnsi="Times New Roman"/>
          <w:u w:val="single"/>
        </w:rPr>
        <w:t>Methods to Maximize Response</w:t>
      </w:r>
    </w:p>
    <w:p w14:paraId="72CE4F3A" w14:textId="77777777" w:rsidR="00B535BD" w:rsidRPr="00B5163D" w:rsidRDefault="00B535BD" w:rsidP="00B535BD">
      <w:pPr>
        <w:widowControl/>
        <w:tabs>
          <w:tab w:val="left" w:pos="-1080"/>
          <w:tab w:val="left" w:pos="-720"/>
          <w:tab w:val="left" w:pos="720"/>
          <w:tab w:val="left" w:pos="1152"/>
          <w:tab w:val="left" w:pos="1728"/>
          <w:tab w:val="left" w:pos="2304"/>
          <w:tab w:val="left" w:pos="2880"/>
          <w:tab w:val="left" w:pos="5040"/>
          <w:tab w:val="left" w:pos="6048"/>
          <w:tab w:val="left" w:pos="8640"/>
          <w:tab w:val="left" w:pos="9216"/>
        </w:tabs>
        <w:rPr>
          <w:rFonts w:ascii="Times New Roman" w:hAnsi="Times New Roman"/>
        </w:rPr>
      </w:pPr>
    </w:p>
    <w:p w14:paraId="6FC258CE" w14:textId="77777777" w:rsidR="0028452E" w:rsidRDefault="001D7EFC" w:rsidP="0028452E">
      <w:pPr>
        <w:widowControl/>
        <w:tabs>
          <w:tab w:val="left" w:pos="-1440"/>
          <w:tab w:val="left" w:pos="-720"/>
          <w:tab w:val="left" w:pos="720"/>
          <w:tab w:val="left" w:pos="1152"/>
          <w:tab w:val="left" w:pos="1728"/>
          <w:tab w:val="left" w:pos="2304"/>
          <w:tab w:val="left" w:pos="2880"/>
          <w:tab w:val="left" w:pos="6048"/>
        </w:tabs>
        <w:rPr>
          <w:rFonts w:ascii="Times New Roman" w:hAnsi="Times New Roman"/>
        </w:rPr>
      </w:pPr>
      <w:r>
        <w:rPr>
          <w:rFonts w:ascii="Times New Roman" w:hAnsi="Times New Roman"/>
        </w:rPr>
        <w:t xml:space="preserve">BJS has consistently achieved a 100% response rate for the prison portion of the DCRP. </w:t>
      </w:r>
      <w:r w:rsidR="000F2552">
        <w:rPr>
          <w:rFonts w:ascii="Times New Roman" w:hAnsi="Times New Roman"/>
        </w:rPr>
        <w:t>Sin</w:t>
      </w:r>
      <w:r w:rsidR="00B535BD" w:rsidRPr="00B5163D">
        <w:rPr>
          <w:rFonts w:ascii="Times New Roman" w:hAnsi="Times New Roman"/>
        </w:rPr>
        <w:t xml:space="preserve">ce </w:t>
      </w:r>
      <w:r w:rsidR="000F2552">
        <w:rPr>
          <w:rFonts w:ascii="Times New Roman" w:hAnsi="Times New Roman"/>
        </w:rPr>
        <w:t xml:space="preserve">the </w:t>
      </w:r>
      <w:r w:rsidR="00B535BD" w:rsidRPr="00B5163D">
        <w:rPr>
          <w:rFonts w:ascii="Times New Roman" w:hAnsi="Times New Roman"/>
        </w:rPr>
        <w:t>collection began</w:t>
      </w:r>
      <w:r w:rsidR="00217FD8">
        <w:rPr>
          <w:rFonts w:ascii="Times New Roman" w:hAnsi="Times New Roman"/>
        </w:rPr>
        <w:t xml:space="preserve"> in 2001</w:t>
      </w:r>
      <w:r w:rsidR="00B535BD" w:rsidRPr="00B5163D">
        <w:rPr>
          <w:rFonts w:ascii="Times New Roman" w:hAnsi="Times New Roman"/>
        </w:rPr>
        <w:t xml:space="preserve">, </w:t>
      </w:r>
      <w:r w:rsidR="0028452E">
        <w:rPr>
          <w:rFonts w:ascii="Times New Roman" w:hAnsi="Times New Roman"/>
        </w:rPr>
        <w:t>a</w:t>
      </w:r>
      <w:r w:rsidR="0028452E" w:rsidRPr="00B5163D">
        <w:rPr>
          <w:rFonts w:ascii="Times New Roman" w:hAnsi="Times New Roman"/>
        </w:rPr>
        <w:t>ll 50 state departments of corrections have participated</w:t>
      </w:r>
      <w:r w:rsidR="002A073E">
        <w:rPr>
          <w:rFonts w:ascii="Times New Roman" w:hAnsi="Times New Roman"/>
        </w:rPr>
        <w:t xml:space="preserve"> annually in the DCRP-Prisons collection</w:t>
      </w:r>
      <w:r>
        <w:rPr>
          <w:rFonts w:ascii="Times New Roman" w:hAnsi="Times New Roman"/>
        </w:rPr>
        <w:t xml:space="preserve">. </w:t>
      </w:r>
    </w:p>
    <w:p w14:paraId="0DD5D70B" w14:textId="77777777" w:rsidR="001D7EFC" w:rsidRDefault="001D7EFC" w:rsidP="0028452E">
      <w:pPr>
        <w:widowControl/>
        <w:tabs>
          <w:tab w:val="left" w:pos="-1440"/>
          <w:tab w:val="left" w:pos="-720"/>
          <w:tab w:val="left" w:pos="720"/>
          <w:tab w:val="left" w:pos="1152"/>
          <w:tab w:val="left" w:pos="1728"/>
          <w:tab w:val="left" w:pos="2304"/>
          <w:tab w:val="left" w:pos="2880"/>
          <w:tab w:val="left" w:pos="6048"/>
        </w:tabs>
        <w:rPr>
          <w:rFonts w:ascii="Times New Roman" w:hAnsi="Times New Roman"/>
        </w:rPr>
      </w:pPr>
    </w:p>
    <w:p w14:paraId="47BA8A9A" w14:textId="688C435A" w:rsidR="0016135E" w:rsidRDefault="001D7EFC" w:rsidP="001D7EFC">
      <w:pPr>
        <w:spacing w:after="200"/>
        <w:rPr>
          <w:rFonts w:ascii="Times New Roman" w:eastAsiaTheme="minorHAnsi" w:hAnsi="Times New Roman"/>
        </w:rPr>
      </w:pPr>
      <w:r w:rsidRPr="008A2659">
        <w:rPr>
          <w:rFonts w:ascii="Times New Roman" w:eastAsiaTheme="minorHAnsi" w:hAnsi="Times New Roman"/>
        </w:rPr>
        <w:t xml:space="preserve">BJS has consistently maintained </w:t>
      </w:r>
      <w:r w:rsidR="00FC5D53">
        <w:rPr>
          <w:rFonts w:ascii="Times New Roman" w:eastAsiaTheme="minorHAnsi" w:hAnsi="Times New Roman"/>
        </w:rPr>
        <w:t>a 100%</w:t>
      </w:r>
      <w:r w:rsidRPr="008A2659">
        <w:rPr>
          <w:rFonts w:ascii="Times New Roman" w:eastAsiaTheme="minorHAnsi" w:hAnsi="Times New Roman"/>
        </w:rPr>
        <w:t xml:space="preserve"> survey</w:t>
      </w:r>
      <w:r w:rsidR="00FC5D53">
        <w:rPr>
          <w:rFonts w:ascii="Times New Roman" w:eastAsiaTheme="minorHAnsi" w:hAnsi="Times New Roman"/>
        </w:rPr>
        <w:t xml:space="preserve"> response rate</w:t>
      </w:r>
      <w:r w:rsidRPr="008A2659">
        <w:rPr>
          <w:rFonts w:ascii="Times New Roman" w:eastAsiaTheme="minorHAnsi" w:hAnsi="Times New Roman"/>
        </w:rPr>
        <w:t xml:space="preserve"> and item response</w:t>
      </w:r>
      <w:r>
        <w:rPr>
          <w:rFonts w:ascii="Times New Roman" w:eastAsiaTheme="minorHAnsi" w:hAnsi="Times New Roman"/>
        </w:rPr>
        <w:t xml:space="preserve"> rate</w:t>
      </w:r>
      <w:r w:rsidR="00FC5D53">
        <w:rPr>
          <w:rFonts w:ascii="Times New Roman" w:eastAsiaTheme="minorHAnsi" w:hAnsi="Times New Roman"/>
        </w:rPr>
        <w:t xml:space="preserve"> between 95 and 100%</w:t>
      </w:r>
      <w:r>
        <w:rPr>
          <w:rFonts w:ascii="Times New Roman" w:eastAsiaTheme="minorHAnsi" w:hAnsi="Times New Roman"/>
        </w:rPr>
        <w:t xml:space="preserve"> prison portion of the</w:t>
      </w:r>
      <w:r w:rsidRPr="008A2659">
        <w:rPr>
          <w:rFonts w:ascii="Times New Roman" w:eastAsiaTheme="minorHAnsi" w:hAnsi="Times New Roman"/>
        </w:rPr>
        <w:t xml:space="preserve"> DCRP. </w:t>
      </w:r>
      <w:r w:rsidR="00FC5D53">
        <w:rPr>
          <w:rFonts w:ascii="Times New Roman" w:eastAsiaTheme="minorHAnsi" w:hAnsi="Times New Roman"/>
        </w:rPr>
        <w:t xml:space="preserve">Given the high response rates, BJS typically reports only valid responses. The only exception to the missingness rule is in reporting death totals, where cases missing cause of death need to be included to generate an accurate total. BJs do not impute </w:t>
      </w:r>
      <w:r w:rsidR="0016135E">
        <w:rPr>
          <w:rFonts w:ascii="Times New Roman" w:eastAsiaTheme="minorHAnsi" w:hAnsi="Times New Roman"/>
        </w:rPr>
        <w:t xml:space="preserve">death data </w:t>
      </w:r>
      <w:r w:rsidR="00FC5D53">
        <w:rPr>
          <w:rFonts w:ascii="Times New Roman" w:eastAsiaTheme="minorHAnsi" w:hAnsi="Times New Roman"/>
        </w:rPr>
        <w:t xml:space="preserve">missing values. </w:t>
      </w:r>
      <w:r w:rsidR="0016135E">
        <w:rPr>
          <w:rFonts w:ascii="Times New Roman" w:eastAsiaTheme="minorHAnsi" w:hAnsi="Times New Roman"/>
        </w:rPr>
        <w:t>While imputation can be utilized, BJS opts instead to analyze only valid responses because missingness is so small as to not introduce bias, which is a significant concern for mortality studies.</w:t>
      </w:r>
    </w:p>
    <w:p w14:paraId="5FA76C61" w14:textId="6871BABA" w:rsidR="001D7EFC" w:rsidRPr="008A2659" w:rsidRDefault="001D7EFC" w:rsidP="001D7EFC">
      <w:pPr>
        <w:spacing w:after="200"/>
        <w:rPr>
          <w:rFonts w:ascii="Times New Roman" w:eastAsiaTheme="minorHAnsi" w:hAnsi="Times New Roman"/>
        </w:rPr>
      </w:pPr>
      <w:r>
        <w:rPr>
          <w:rFonts w:ascii="Times New Roman" w:eastAsiaTheme="minorHAnsi" w:hAnsi="Times New Roman"/>
        </w:rPr>
        <w:t>D</w:t>
      </w:r>
      <w:r w:rsidRPr="008A2659">
        <w:rPr>
          <w:rFonts w:ascii="Times New Roman" w:eastAsiaTheme="minorHAnsi" w:hAnsi="Times New Roman"/>
        </w:rPr>
        <w:t xml:space="preserve">ata collection staff </w:t>
      </w:r>
      <w:r>
        <w:rPr>
          <w:rFonts w:ascii="Times New Roman" w:eastAsiaTheme="minorHAnsi" w:hAnsi="Times New Roman"/>
        </w:rPr>
        <w:t>not only use f</w:t>
      </w:r>
      <w:r w:rsidRPr="008A2659">
        <w:rPr>
          <w:rFonts w:ascii="Times New Roman" w:eastAsiaTheme="minorHAnsi" w:hAnsi="Times New Roman"/>
        </w:rPr>
        <w:t>ollow-up emails</w:t>
      </w:r>
      <w:r>
        <w:rPr>
          <w:rFonts w:ascii="Times New Roman" w:eastAsiaTheme="minorHAnsi" w:hAnsi="Times New Roman"/>
        </w:rPr>
        <w:t xml:space="preserve"> and</w:t>
      </w:r>
      <w:r w:rsidRPr="008A2659">
        <w:rPr>
          <w:rFonts w:ascii="Times New Roman" w:eastAsiaTheme="minorHAnsi" w:hAnsi="Times New Roman"/>
        </w:rPr>
        <w:t xml:space="preserve"> telephone calls to </w:t>
      </w:r>
      <w:r>
        <w:rPr>
          <w:rFonts w:ascii="Times New Roman" w:eastAsiaTheme="minorHAnsi" w:hAnsi="Times New Roman"/>
        </w:rPr>
        <w:t>promote</w:t>
      </w:r>
      <w:r w:rsidRPr="008A2659">
        <w:rPr>
          <w:rFonts w:ascii="Times New Roman" w:eastAsiaTheme="minorHAnsi" w:hAnsi="Times New Roman"/>
        </w:rPr>
        <w:t xml:space="preserve"> high response rates</w:t>
      </w:r>
      <w:r>
        <w:rPr>
          <w:rFonts w:ascii="Times New Roman" w:eastAsiaTheme="minorHAnsi" w:hAnsi="Times New Roman"/>
        </w:rPr>
        <w:t xml:space="preserve">, but also </w:t>
      </w:r>
      <w:r w:rsidRPr="008A2659">
        <w:rPr>
          <w:rFonts w:ascii="Times New Roman" w:eastAsiaTheme="minorHAnsi" w:hAnsi="Times New Roman"/>
        </w:rPr>
        <w:t xml:space="preserve">conduct out-of-range analysis of critical items </w:t>
      </w:r>
      <w:r>
        <w:rPr>
          <w:rFonts w:ascii="Times New Roman" w:eastAsiaTheme="minorHAnsi" w:hAnsi="Times New Roman"/>
        </w:rPr>
        <w:t xml:space="preserve">to check data quality and follow up with respondents. </w:t>
      </w:r>
      <w:r w:rsidRPr="008A2659">
        <w:rPr>
          <w:rFonts w:ascii="Times New Roman" w:eastAsiaTheme="minorHAnsi" w:hAnsi="Times New Roman"/>
        </w:rPr>
        <w:t xml:space="preserve">These methods have proved effective in reaching </w:t>
      </w:r>
      <w:r w:rsidR="005227F2">
        <w:rPr>
          <w:rFonts w:ascii="Times New Roman" w:eastAsiaTheme="minorHAnsi" w:hAnsi="Times New Roman"/>
        </w:rPr>
        <w:t>a</w:t>
      </w:r>
      <w:r w:rsidRPr="008A2659">
        <w:rPr>
          <w:rFonts w:ascii="Times New Roman" w:eastAsiaTheme="minorHAnsi" w:hAnsi="Times New Roman"/>
        </w:rPr>
        <w:t xml:space="preserve"> 100% </w:t>
      </w:r>
      <w:r>
        <w:rPr>
          <w:rFonts w:ascii="Times New Roman" w:eastAsiaTheme="minorHAnsi" w:hAnsi="Times New Roman"/>
        </w:rPr>
        <w:t xml:space="preserve">unit </w:t>
      </w:r>
      <w:r w:rsidRPr="008A2659">
        <w:rPr>
          <w:rFonts w:ascii="Times New Roman" w:eastAsiaTheme="minorHAnsi" w:hAnsi="Times New Roman"/>
        </w:rPr>
        <w:t>response rate</w:t>
      </w:r>
      <w:r>
        <w:rPr>
          <w:rFonts w:ascii="Times New Roman" w:eastAsiaTheme="minorHAnsi" w:hAnsi="Times New Roman"/>
        </w:rPr>
        <w:t>,</w:t>
      </w:r>
      <w:r w:rsidRPr="008A2659">
        <w:rPr>
          <w:rFonts w:ascii="Times New Roman" w:eastAsiaTheme="minorHAnsi" w:hAnsi="Times New Roman"/>
        </w:rPr>
        <w:t xml:space="preserve"> minimizing </w:t>
      </w:r>
      <w:r>
        <w:rPr>
          <w:rFonts w:ascii="Times New Roman" w:eastAsiaTheme="minorHAnsi" w:hAnsi="Times New Roman"/>
        </w:rPr>
        <w:t>item nonresponse, and increasing data validity</w:t>
      </w:r>
      <w:r w:rsidRPr="008A2659">
        <w:rPr>
          <w:rFonts w:ascii="Times New Roman" w:eastAsiaTheme="minorHAnsi" w:hAnsi="Times New Roman"/>
        </w:rPr>
        <w:t xml:space="preserve">. </w:t>
      </w:r>
    </w:p>
    <w:p w14:paraId="34F5A599" w14:textId="77777777" w:rsidR="008F48F3" w:rsidRPr="00B5163D" w:rsidRDefault="008F48F3" w:rsidP="0028452E">
      <w:pPr>
        <w:widowControl/>
        <w:tabs>
          <w:tab w:val="left" w:pos="-1440"/>
          <w:tab w:val="left" w:pos="-720"/>
          <w:tab w:val="left" w:pos="720"/>
          <w:tab w:val="left" w:pos="1152"/>
          <w:tab w:val="left" w:pos="1728"/>
          <w:tab w:val="left" w:pos="2304"/>
          <w:tab w:val="left" w:pos="2880"/>
          <w:tab w:val="left" w:pos="6048"/>
        </w:tabs>
        <w:rPr>
          <w:rFonts w:ascii="Times New Roman" w:hAnsi="Times New Roman"/>
        </w:rPr>
      </w:pPr>
    </w:p>
    <w:p w14:paraId="4EDEA8AF" w14:textId="77777777" w:rsidR="00B535BD" w:rsidRDefault="000B670F" w:rsidP="00105A7E">
      <w:pPr>
        <w:widowControl/>
        <w:tabs>
          <w:tab w:val="left" w:pos="-1440"/>
          <w:tab w:val="left" w:pos="-720"/>
          <w:tab w:val="left" w:pos="720"/>
          <w:tab w:val="left" w:pos="1152"/>
          <w:tab w:val="left" w:pos="1728"/>
          <w:tab w:val="left" w:pos="2304"/>
          <w:tab w:val="left" w:pos="2880"/>
          <w:tab w:val="left" w:pos="6048"/>
        </w:tabs>
        <w:rPr>
          <w:rFonts w:ascii="Times New Roman" w:hAnsi="Times New Roman"/>
        </w:rPr>
      </w:pPr>
      <w:r w:rsidRPr="00B5163D">
        <w:rPr>
          <w:rFonts w:ascii="Times New Roman" w:hAnsi="Times New Roman"/>
        </w:rPr>
        <w:t xml:space="preserve">BJS </w:t>
      </w:r>
      <w:r w:rsidR="000F2552">
        <w:rPr>
          <w:rFonts w:ascii="Times New Roman" w:hAnsi="Times New Roman"/>
        </w:rPr>
        <w:t>provides</w:t>
      </w:r>
      <w:r w:rsidRPr="00B5163D">
        <w:rPr>
          <w:rFonts w:ascii="Times New Roman" w:hAnsi="Times New Roman"/>
        </w:rPr>
        <w:t xml:space="preserve"> multiple modes of data submission, with web as </w:t>
      </w:r>
      <w:r w:rsidR="00FA65C7" w:rsidRPr="00B5163D">
        <w:rPr>
          <w:rFonts w:ascii="Times New Roman" w:hAnsi="Times New Roman"/>
        </w:rPr>
        <w:t>the primary mode</w:t>
      </w:r>
      <w:r w:rsidR="008F48F3">
        <w:rPr>
          <w:rFonts w:ascii="Times New Roman" w:hAnsi="Times New Roman"/>
        </w:rPr>
        <w:t xml:space="preserve"> for state prison respondents. As stated in Part A of this package, nearly all state prison respondents</w:t>
      </w:r>
      <w:r w:rsidR="007F2DFF">
        <w:rPr>
          <w:rFonts w:ascii="Times New Roman" w:hAnsi="Times New Roman"/>
        </w:rPr>
        <w:t xml:space="preserve"> submit their data electronically, either via the website or through a bulk file. </w:t>
      </w:r>
      <w:r w:rsidR="00B535BD" w:rsidRPr="00B5163D">
        <w:rPr>
          <w:rFonts w:ascii="Times New Roman" w:hAnsi="Times New Roman"/>
        </w:rPr>
        <w:t xml:space="preserve">BJS developed a bulk file template in which state prison administrators can submit their prison inmate death records electronically due to the volume of deaths associated with prison submissions. </w:t>
      </w:r>
      <w:r w:rsidR="007F2DFF">
        <w:rPr>
          <w:rFonts w:ascii="Times New Roman" w:hAnsi="Times New Roman"/>
        </w:rPr>
        <w:t>In 2013</w:t>
      </w:r>
      <w:r w:rsidR="00B535BD" w:rsidRPr="00B5163D">
        <w:rPr>
          <w:rFonts w:ascii="Times New Roman" w:hAnsi="Times New Roman"/>
        </w:rPr>
        <w:t>, 9</w:t>
      </w:r>
      <w:r w:rsidR="007F2DFF">
        <w:rPr>
          <w:rFonts w:ascii="Times New Roman" w:hAnsi="Times New Roman"/>
        </w:rPr>
        <w:t>4</w:t>
      </w:r>
      <w:r w:rsidR="00B535BD" w:rsidRPr="00B5163D">
        <w:rPr>
          <w:rFonts w:ascii="Times New Roman" w:hAnsi="Times New Roman"/>
        </w:rPr>
        <w:t>% of prison respondents submitted their records electronically (8</w:t>
      </w:r>
      <w:r w:rsidR="007F2DFF">
        <w:rPr>
          <w:rFonts w:ascii="Times New Roman" w:hAnsi="Times New Roman"/>
        </w:rPr>
        <w:t>6</w:t>
      </w:r>
      <w:r w:rsidR="00B535BD" w:rsidRPr="00B5163D">
        <w:rPr>
          <w:rFonts w:ascii="Times New Roman" w:hAnsi="Times New Roman"/>
        </w:rPr>
        <w:t>% via t</w:t>
      </w:r>
      <w:r w:rsidR="00105A7E" w:rsidRPr="00B5163D">
        <w:rPr>
          <w:rFonts w:ascii="Times New Roman" w:hAnsi="Times New Roman"/>
        </w:rPr>
        <w:t>he web, 10% via the bulk file).</w:t>
      </w:r>
    </w:p>
    <w:p w14:paraId="4EFA3410" w14:textId="77777777" w:rsidR="002C5220" w:rsidRDefault="002C5220" w:rsidP="00105A7E">
      <w:pPr>
        <w:widowControl/>
        <w:tabs>
          <w:tab w:val="left" w:pos="-1440"/>
          <w:tab w:val="left" w:pos="-720"/>
          <w:tab w:val="left" w:pos="720"/>
          <w:tab w:val="left" w:pos="1152"/>
          <w:tab w:val="left" w:pos="1728"/>
          <w:tab w:val="left" w:pos="2304"/>
          <w:tab w:val="left" w:pos="2880"/>
          <w:tab w:val="left" w:pos="6048"/>
        </w:tabs>
        <w:rPr>
          <w:rFonts w:ascii="Times New Roman" w:hAnsi="Times New Roman"/>
        </w:rPr>
      </w:pPr>
    </w:p>
    <w:p w14:paraId="6FAC38A1" w14:textId="77777777" w:rsidR="003F6C69" w:rsidRDefault="003F6C69" w:rsidP="00105A7E">
      <w:pPr>
        <w:widowControl/>
        <w:tabs>
          <w:tab w:val="left" w:pos="-1440"/>
          <w:tab w:val="left" w:pos="-720"/>
          <w:tab w:val="left" w:pos="720"/>
          <w:tab w:val="left" w:pos="1152"/>
          <w:tab w:val="left" w:pos="1728"/>
          <w:tab w:val="left" w:pos="2304"/>
          <w:tab w:val="left" w:pos="2880"/>
          <w:tab w:val="left" w:pos="6048"/>
        </w:tabs>
        <w:rPr>
          <w:rFonts w:ascii="Times New Roman" w:hAnsi="Times New Roman"/>
        </w:rPr>
      </w:pPr>
      <w:r>
        <w:rPr>
          <w:rFonts w:ascii="Times New Roman" w:hAnsi="Times New Roman"/>
        </w:rPr>
        <w:t>Through discussions with various stakeholders and respondents for the prison portion of the DCRP, BJS has found general satisfaction with current surveys, that the questions cover topics relevant to prisoner mortality and the instructions for completing the survey are clear.</w:t>
      </w:r>
    </w:p>
    <w:p w14:paraId="3D056B21" w14:textId="77777777" w:rsidR="003F6C69" w:rsidRDefault="003F6C69" w:rsidP="00105A7E">
      <w:pPr>
        <w:widowControl/>
        <w:tabs>
          <w:tab w:val="left" w:pos="-1440"/>
          <w:tab w:val="left" w:pos="-720"/>
          <w:tab w:val="left" w:pos="720"/>
          <w:tab w:val="left" w:pos="1152"/>
          <w:tab w:val="left" w:pos="1728"/>
          <w:tab w:val="left" w:pos="2304"/>
          <w:tab w:val="left" w:pos="2880"/>
          <w:tab w:val="left" w:pos="6048"/>
        </w:tabs>
        <w:rPr>
          <w:rFonts w:ascii="Times New Roman" w:hAnsi="Times New Roman"/>
        </w:rPr>
      </w:pPr>
    </w:p>
    <w:p w14:paraId="13EBA789" w14:textId="77777777" w:rsidR="00B535BD" w:rsidRPr="00B5163D" w:rsidRDefault="00B535BD" w:rsidP="00B535BD">
      <w:pPr>
        <w:widowControl/>
        <w:tabs>
          <w:tab w:val="left" w:pos="-1080"/>
          <w:tab w:val="left" w:pos="-720"/>
          <w:tab w:val="left" w:pos="720"/>
          <w:tab w:val="left" w:pos="1152"/>
          <w:tab w:val="left" w:pos="1728"/>
          <w:tab w:val="left" w:pos="2304"/>
          <w:tab w:val="left" w:pos="2880"/>
          <w:tab w:val="left" w:pos="5040"/>
          <w:tab w:val="left" w:pos="6048"/>
          <w:tab w:val="left" w:pos="8640"/>
          <w:tab w:val="left" w:pos="9216"/>
        </w:tabs>
        <w:rPr>
          <w:rFonts w:ascii="Times New Roman" w:hAnsi="Times New Roman"/>
          <w:u w:val="single"/>
        </w:rPr>
      </w:pPr>
      <w:r w:rsidRPr="00B5163D">
        <w:rPr>
          <w:rFonts w:ascii="Times New Roman" w:hAnsi="Times New Roman"/>
        </w:rPr>
        <w:t xml:space="preserve">4. </w:t>
      </w:r>
      <w:r w:rsidRPr="00B5163D">
        <w:rPr>
          <w:rFonts w:ascii="Times New Roman" w:hAnsi="Times New Roman"/>
        </w:rPr>
        <w:tab/>
      </w:r>
      <w:r w:rsidRPr="00B5163D">
        <w:rPr>
          <w:rFonts w:ascii="Times New Roman" w:hAnsi="Times New Roman"/>
          <w:u w:val="single"/>
        </w:rPr>
        <w:t>Test of Procedures or Methods</w:t>
      </w:r>
    </w:p>
    <w:p w14:paraId="5286DE61" w14:textId="77777777" w:rsidR="009147B8" w:rsidRDefault="009147B8" w:rsidP="00791875">
      <w:pPr>
        <w:rPr>
          <w:rFonts w:ascii="Times New Roman" w:hAnsi="Times New Roman"/>
        </w:rPr>
      </w:pPr>
    </w:p>
    <w:p w14:paraId="1B0DFE24" w14:textId="77777777" w:rsidR="002C5220" w:rsidRDefault="002C5220" w:rsidP="00791875">
      <w:pPr>
        <w:rPr>
          <w:rFonts w:ascii="Times New Roman" w:hAnsi="Times New Roman"/>
        </w:rPr>
      </w:pPr>
      <w:r>
        <w:rPr>
          <w:rFonts w:ascii="Times New Roman" w:hAnsi="Times New Roman"/>
        </w:rPr>
        <w:t>BJS obtains feedback from DOC respondents when significant changes to the existing surveys are implemented, or when a new survey instrument is introduced to the field.</w:t>
      </w:r>
    </w:p>
    <w:p w14:paraId="02DB68D3" w14:textId="77777777" w:rsidR="002C5220" w:rsidRDefault="002C5220" w:rsidP="00791875">
      <w:pPr>
        <w:rPr>
          <w:rFonts w:ascii="Times New Roman" w:hAnsi="Times New Roman"/>
        </w:rPr>
      </w:pPr>
    </w:p>
    <w:p w14:paraId="36510D8B" w14:textId="7F0DC318" w:rsidR="006E5A0F" w:rsidRPr="00B5163D" w:rsidRDefault="006E5A0F" w:rsidP="00791875">
      <w:pPr>
        <w:rPr>
          <w:rFonts w:ascii="Times New Roman" w:hAnsi="Times New Roman"/>
        </w:rPr>
      </w:pPr>
      <w:r>
        <w:rPr>
          <w:rFonts w:ascii="Times New Roman" w:hAnsi="Times New Roman"/>
        </w:rPr>
        <w:t>As mentioned in Part A</w:t>
      </w:r>
      <w:r w:rsidR="006D6849">
        <w:rPr>
          <w:rFonts w:ascii="Times New Roman" w:hAnsi="Times New Roman"/>
        </w:rPr>
        <w:t>, BJS will conduct work on assessing cause of death reporting. Based on previous work with data from the NDI, the cause of d</w:t>
      </w:r>
      <w:r w:rsidR="00502A99">
        <w:rPr>
          <w:rFonts w:ascii="Times New Roman" w:hAnsi="Times New Roman"/>
        </w:rPr>
        <w:t>eath variable could be improved, particularly in regards to capturing underlying cause of death, which is not currently captured on the DCRP.</w:t>
      </w:r>
    </w:p>
    <w:p w14:paraId="5E814B63" w14:textId="77777777" w:rsidR="00B535BD" w:rsidRPr="00B5163D" w:rsidRDefault="00B535BD" w:rsidP="00F0075E">
      <w:pPr>
        <w:widowControl/>
        <w:tabs>
          <w:tab w:val="left" w:pos="-1080"/>
          <w:tab w:val="left" w:pos="-720"/>
          <w:tab w:val="left" w:pos="720"/>
          <w:tab w:val="left" w:pos="1152"/>
          <w:tab w:val="left" w:pos="1728"/>
          <w:tab w:val="left" w:pos="2304"/>
          <w:tab w:val="left" w:pos="2880"/>
          <w:tab w:val="left" w:pos="5040"/>
          <w:tab w:val="left" w:pos="6048"/>
          <w:tab w:val="left" w:pos="8640"/>
          <w:tab w:val="left" w:pos="9216"/>
        </w:tabs>
        <w:rPr>
          <w:rFonts w:ascii="Times New Roman" w:hAnsi="Times New Roman"/>
        </w:rPr>
      </w:pPr>
    </w:p>
    <w:p w14:paraId="21360728" w14:textId="77777777" w:rsidR="003F6C69" w:rsidRPr="00B5163D" w:rsidRDefault="00B535BD" w:rsidP="00276C72">
      <w:pPr>
        <w:widowControl/>
        <w:autoSpaceDE/>
        <w:autoSpaceDN/>
        <w:adjustRightInd/>
        <w:spacing w:after="200" w:line="276" w:lineRule="auto"/>
        <w:rPr>
          <w:rFonts w:ascii="Times New Roman" w:hAnsi="Times New Roman"/>
          <w:u w:val="single"/>
        </w:rPr>
      </w:pPr>
      <w:r w:rsidRPr="00B5163D">
        <w:rPr>
          <w:rFonts w:ascii="Times New Roman" w:hAnsi="Times New Roman"/>
        </w:rPr>
        <w:t xml:space="preserve">5. </w:t>
      </w:r>
      <w:r w:rsidRPr="00B5163D">
        <w:rPr>
          <w:rFonts w:ascii="Times New Roman" w:hAnsi="Times New Roman"/>
        </w:rPr>
        <w:tab/>
      </w:r>
      <w:r w:rsidR="003F6C69" w:rsidRPr="008A2659">
        <w:rPr>
          <w:rFonts w:ascii="Times New Roman" w:hAnsi="Times New Roman"/>
          <w:u w:val="single"/>
        </w:rPr>
        <w:t>Contacts for Statistical Aspects and Data Collection</w:t>
      </w:r>
    </w:p>
    <w:p w14:paraId="30BD5C7A" w14:textId="77777777" w:rsidR="003F6C69" w:rsidRDefault="00B535BD" w:rsidP="00954A8C">
      <w:pPr>
        <w:widowControl/>
        <w:tabs>
          <w:tab w:val="left" w:pos="-1080"/>
          <w:tab w:val="left" w:pos="-720"/>
          <w:tab w:val="left" w:pos="720"/>
          <w:tab w:val="left" w:pos="1152"/>
          <w:tab w:val="left" w:pos="1728"/>
          <w:tab w:val="left" w:pos="2304"/>
          <w:tab w:val="left" w:pos="2880"/>
          <w:tab w:val="left" w:pos="5040"/>
          <w:tab w:val="left" w:pos="6048"/>
          <w:tab w:val="left" w:pos="8640"/>
          <w:tab w:val="left" w:pos="9216"/>
        </w:tabs>
        <w:rPr>
          <w:rFonts w:ascii="Times New Roman" w:hAnsi="Times New Roman"/>
        </w:rPr>
      </w:pPr>
      <w:r w:rsidRPr="00B5163D">
        <w:rPr>
          <w:rFonts w:ascii="Times New Roman" w:hAnsi="Times New Roman"/>
        </w:rPr>
        <w:t xml:space="preserve">The Corrections Statistics Unit of BJS takes responsibility for the overall design and management of the activities described in this submission, including data collection procedures, development of the questionnaires, and analysis of the data. </w:t>
      </w:r>
    </w:p>
    <w:p w14:paraId="6B919114" w14:textId="77777777" w:rsidR="003F6C69" w:rsidRDefault="003F6C69" w:rsidP="00954A8C">
      <w:pPr>
        <w:widowControl/>
        <w:tabs>
          <w:tab w:val="left" w:pos="-1080"/>
          <w:tab w:val="left" w:pos="-720"/>
          <w:tab w:val="left" w:pos="720"/>
          <w:tab w:val="left" w:pos="1152"/>
          <w:tab w:val="left" w:pos="1728"/>
          <w:tab w:val="left" w:pos="2304"/>
          <w:tab w:val="left" w:pos="2880"/>
          <w:tab w:val="left" w:pos="5040"/>
          <w:tab w:val="left" w:pos="6048"/>
          <w:tab w:val="left" w:pos="8640"/>
          <w:tab w:val="left" w:pos="9216"/>
        </w:tabs>
        <w:rPr>
          <w:rFonts w:ascii="Times New Roman" w:hAnsi="Times New Roman"/>
        </w:rPr>
      </w:pPr>
    </w:p>
    <w:p w14:paraId="4A77A786" w14:textId="77777777" w:rsidR="003F6C69" w:rsidRPr="003F6C69" w:rsidRDefault="003F6C69" w:rsidP="00954A8C">
      <w:pPr>
        <w:widowControl/>
        <w:tabs>
          <w:tab w:val="left" w:pos="-1080"/>
          <w:tab w:val="left" w:pos="-720"/>
          <w:tab w:val="left" w:pos="720"/>
          <w:tab w:val="left" w:pos="1152"/>
          <w:tab w:val="left" w:pos="1728"/>
          <w:tab w:val="left" w:pos="2304"/>
          <w:tab w:val="left" w:pos="2880"/>
          <w:tab w:val="left" w:pos="5040"/>
          <w:tab w:val="left" w:pos="6048"/>
          <w:tab w:val="left" w:pos="8640"/>
          <w:tab w:val="left" w:pos="9216"/>
        </w:tabs>
        <w:rPr>
          <w:rFonts w:ascii="Times New Roman" w:hAnsi="Times New Roman"/>
          <w:u w:val="single"/>
        </w:rPr>
      </w:pPr>
      <w:r>
        <w:rPr>
          <w:rFonts w:ascii="Times New Roman" w:hAnsi="Times New Roman"/>
        </w:rPr>
        <w:t>6.</w:t>
      </w:r>
      <w:r>
        <w:rPr>
          <w:rFonts w:ascii="Times New Roman" w:hAnsi="Times New Roman"/>
        </w:rPr>
        <w:tab/>
      </w:r>
      <w:r>
        <w:rPr>
          <w:rFonts w:ascii="Times New Roman" w:hAnsi="Times New Roman"/>
          <w:u w:val="single"/>
        </w:rPr>
        <w:t>Contact Information</w:t>
      </w:r>
    </w:p>
    <w:p w14:paraId="6B6291E0" w14:textId="77777777" w:rsidR="003F6C69" w:rsidRDefault="003F6C69" w:rsidP="00954A8C">
      <w:pPr>
        <w:widowControl/>
        <w:tabs>
          <w:tab w:val="left" w:pos="-1080"/>
          <w:tab w:val="left" w:pos="-720"/>
          <w:tab w:val="left" w:pos="720"/>
          <w:tab w:val="left" w:pos="1152"/>
          <w:tab w:val="left" w:pos="1728"/>
          <w:tab w:val="left" w:pos="2304"/>
          <w:tab w:val="left" w:pos="2880"/>
          <w:tab w:val="left" w:pos="5040"/>
          <w:tab w:val="left" w:pos="6048"/>
          <w:tab w:val="left" w:pos="8640"/>
          <w:tab w:val="left" w:pos="9216"/>
        </w:tabs>
        <w:rPr>
          <w:rFonts w:ascii="Times New Roman" w:hAnsi="Times New Roman"/>
        </w:rPr>
      </w:pPr>
    </w:p>
    <w:p w14:paraId="3F83222E" w14:textId="77777777" w:rsidR="00B535BD" w:rsidRDefault="00B535BD" w:rsidP="00954A8C">
      <w:pPr>
        <w:widowControl/>
        <w:tabs>
          <w:tab w:val="left" w:pos="-1080"/>
          <w:tab w:val="left" w:pos="-720"/>
          <w:tab w:val="left" w:pos="720"/>
          <w:tab w:val="left" w:pos="1152"/>
          <w:tab w:val="left" w:pos="1728"/>
          <w:tab w:val="left" w:pos="2304"/>
          <w:tab w:val="left" w:pos="2880"/>
          <w:tab w:val="left" w:pos="5040"/>
          <w:tab w:val="left" w:pos="6048"/>
          <w:tab w:val="left" w:pos="8640"/>
          <w:tab w:val="left" w:pos="9216"/>
        </w:tabs>
        <w:rPr>
          <w:rFonts w:ascii="Times New Roman" w:hAnsi="Times New Roman"/>
        </w:rPr>
      </w:pPr>
      <w:r w:rsidRPr="00B5163D">
        <w:rPr>
          <w:rFonts w:ascii="Times New Roman" w:hAnsi="Times New Roman"/>
        </w:rPr>
        <w:t>BJS contacts</w:t>
      </w:r>
      <w:r w:rsidR="00BF1335">
        <w:rPr>
          <w:rFonts w:ascii="Times New Roman" w:hAnsi="Times New Roman"/>
        </w:rPr>
        <w:t xml:space="preserve"> for the DCRP</w:t>
      </w:r>
      <w:r w:rsidRPr="00B5163D">
        <w:rPr>
          <w:rFonts w:ascii="Times New Roman" w:hAnsi="Times New Roman"/>
        </w:rPr>
        <w:t xml:space="preserve"> include the following:</w:t>
      </w:r>
    </w:p>
    <w:p w14:paraId="24C31674" w14:textId="77777777" w:rsidR="00BF1335" w:rsidRDefault="00BF1335" w:rsidP="00954A8C">
      <w:pPr>
        <w:widowControl/>
        <w:tabs>
          <w:tab w:val="left" w:pos="-1080"/>
          <w:tab w:val="left" w:pos="-720"/>
          <w:tab w:val="left" w:pos="720"/>
          <w:tab w:val="left" w:pos="1152"/>
          <w:tab w:val="left" w:pos="1728"/>
          <w:tab w:val="left" w:pos="2304"/>
          <w:tab w:val="left" w:pos="2880"/>
          <w:tab w:val="left" w:pos="5040"/>
          <w:tab w:val="left" w:pos="6048"/>
          <w:tab w:val="left" w:pos="8640"/>
          <w:tab w:val="left" w:pos="9216"/>
        </w:tabs>
        <w:rPr>
          <w:rFonts w:ascii="Times New Roman" w:hAnsi="Times New Roman"/>
        </w:rPr>
      </w:pPr>
    </w:p>
    <w:p w14:paraId="6B412E83" w14:textId="77777777" w:rsidR="00BF1335" w:rsidRPr="008A2659" w:rsidRDefault="00BF1335" w:rsidP="00BF1335">
      <w:pPr>
        <w:widowControl/>
        <w:rPr>
          <w:rFonts w:ascii="Times New Roman" w:hAnsi="Times New Roman"/>
          <w:color w:val="000000"/>
        </w:rPr>
      </w:pPr>
      <w:r w:rsidRPr="008A2659">
        <w:rPr>
          <w:rFonts w:ascii="Times New Roman" w:hAnsi="Times New Roman"/>
          <w:color w:val="000000"/>
        </w:rPr>
        <w:t>Anastasios</w:t>
      </w:r>
      <w:r>
        <w:rPr>
          <w:rFonts w:ascii="Times New Roman" w:hAnsi="Times New Roman"/>
          <w:color w:val="000000"/>
        </w:rPr>
        <w:t xml:space="preserve"> ‘Tom’ </w:t>
      </w:r>
      <w:r w:rsidRPr="008A2659">
        <w:rPr>
          <w:rFonts w:ascii="Times New Roman" w:hAnsi="Times New Roman"/>
          <w:color w:val="000000"/>
        </w:rPr>
        <w:t>Tsoutis</w:t>
      </w:r>
    </w:p>
    <w:p w14:paraId="3EA257A5" w14:textId="77777777" w:rsidR="00BF1335" w:rsidRPr="008A2659" w:rsidRDefault="00BF1335" w:rsidP="00BF1335">
      <w:pPr>
        <w:widowControl/>
        <w:rPr>
          <w:rFonts w:ascii="Times New Roman" w:hAnsi="Times New Roman"/>
          <w:color w:val="000000"/>
        </w:rPr>
      </w:pPr>
      <w:r w:rsidRPr="008A2659">
        <w:rPr>
          <w:rFonts w:ascii="Times New Roman" w:hAnsi="Times New Roman"/>
          <w:color w:val="000000"/>
        </w:rPr>
        <w:t>Acting Chief</w:t>
      </w:r>
    </w:p>
    <w:p w14:paraId="750918C0" w14:textId="77777777" w:rsidR="00BF1335" w:rsidRPr="008A2659" w:rsidRDefault="00BF1335" w:rsidP="00BF1335">
      <w:pPr>
        <w:widowControl/>
        <w:rPr>
          <w:rFonts w:ascii="Times New Roman" w:hAnsi="Times New Roman"/>
          <w:color w:val="000000"/>
        </w:rPr>
      </w:pPr>
      <w:r w:rsidRPr="008A2659">
        <w:rPr>
          <w:rFonts w:ascii="Times New Roman" w:hAnsi="Times New Roman"/>
          <w:color w:val="000000"/>
        </w:rPr>
        <w:t>Corrections Statistics Unit</w:t>
      </w:r>
    </w:p>
    <w:p w14:paraId="79076659" w14:textId="77777777" w:rsidR="00BF1335" w:rsidRPr="008A2659" w:rsidRDefault="00BF1335" w:rsidP="00BF1335">
      <w:pPr>
        <w:widowControl/>
        <w:rPr>
          <w:rFonts w:ascii="Times New Roman" w:hAnsi="Times New Roman"/>
          <w:color w:val="000000"/>
        </w:rPr>
      </w:pPr>
      <w:r w:rsidRPr="008A2659">
        <w:rPr>
          <w:rFonts w:ascii="Times New Roman" w:hAnsi="Times New Roman"/>
          <w:color w:val="000000"/>
        </w:rPr>
        <w:t>Bureau of Justice Statistics</w:t>
      </w:r>
    </w:p>
    <w:p w14:paraId="2BEE540D" w14:textId="77777777" w:rsidR="00BF1335" w:rsidRPr="008A2659" w:rsidRDefault="00BF1335" w:rsidP="00BF1335">
      <w:pPr>
        <w:widowControl/>
        <w:rPr>
          <w:rFonts w:ascii="Times New Roman" w:hAnsi="Times New Roman"/>
          <w:color w:val="000000"/>
        </w:rPr>
      </w:pPr>
      <w:r w:rsidRPr="008A2659">
        <w:rPr>
          <w:rFonts w:ascii="Times New Roman" w:hAnsi="Times New Roman"/>
          <w:color w:val="000000"/>
        </w:rPr>
        <w:t>810 Seventh Street, N.W.</w:t>
      </w:r>
    </w:p>
    <w:p w14:paraId="711B49F7" w14:textId="77777777" w:rsidR="00BF1335" w:rsidRPr="008A2659" w:rsidRDefault="00BF1335" w:rsidP="00BF1335">
      <w:pPr>
        <w:widowControl/>
        <w:rPr>
          <w:rFonts w:ascii="Times New Roman" w:hAnsi="Times New Roman"/>
          <w:color w:val="000000"/>
        </w:rPr>
      </w:pPr>
      <w:r w:rsidRPr="008A2659">
        <w:rPr>
          <w:rFonts w:ascii="Times New Roman" w:hAnsi="Times New Roman"/>
          <w:color w:val="000000"/>
        </w:rPr>
        <w:t>Washington, DC 20531</w:t>
      </w:r>
    </w:p>
    <w:p w14:paraId="3EF1815E" w14:textId="77777777" w:rsidR="00BF1335" w:rsidRPr="008A2659" w:rsidRDefault="00BF1335" w:rsidP="00BF1335">
      <w:pPr>
        <w:widowControl/>
        <w:rPr>
          <w:rFonts w:ascii="Times New Roman" w:hAnsi="Times New Roman"/>
          <w:color w:val="000000"/>
        </w:rPr>
      </w:pPr>
      <w:r w:rsidRPr="008A2659">
        <w:rPr>
          <w:rFonts w:ascii="Times New Roman" w:hAnsi="Times New Roman"/>
          <w:color w:val="000000"/>
        </w:rPr>
        <w:t>(202) 514-1062</w:t>
      </w:r>
    </w:p>
    <w:p w14:paraId="51FCB7B5" w14:textId="77777777" w:rsidR="00BF1335" w:rsidRPr="008A2659" w:rsidRDefault="00B00BEE" w:rsidP="00BF1335">
      <w:pPr>
        <w:widowControl/>
        <w:rPr>
          <w:rFonts w:ascii="Times New Roman" w:hAnsi="Times New Roman"/>
          <w:color w:val="000000"/>
        </w:rPr>
      </w:pPr>
      <w:hyperlink r:id="rId8" w:history="1">
        <w:r w:rsidR="00BF1335" w:rsidRPr="008A2659">
          <w:rPr>
            <w:rStyle w:val="Hyperlink"/>
            <w:rFonts w:ascii="Times New Roman" w:hAnsi="Times New Roman"/>
          </w:rPr>
          <w:t>anastasios.tsoutis@usdoj.gov</w:t>
        </w:r>
      </w:hyperlink>
    </w:p>
    <w:p w14:paraId="67207C4F" w14:textId="77777777" w:rsidR="00BF1335" w:rsidRPr="00B5163D" w:rsidRDefault="00BF1335" w:rsidP="00954A8C">
      <w:pPr>
        <w:widowControl/>
        <w:tabs>
          <w:tab w:val="left" w:pos="-1080"/>
          <w:tab w:val="left" w:pos="-720"/>
          <w:tab w:val="left" w:pos="720"/>
          <w:tab w:val="left" w:pos="1152"/>
          <w:tab w:val="left" w:pos="1728"/>
          <w:tab w:val="left" w:pos="2304"/>
          <w:tab w:val="left" w:pos="2880"/>
          <w:tab w:val="left" w:pos="5040"/>
          <w:tab w:val="left" w:pos="6048"/>
          <w:tab w:val="left" w:pos="8640"/>
          <w:tab w:val="left" w:pos="9216"/>
        </w:tabs>
        <w:rPr>
          <w:rFonts w:ascii="Times New Roman" w:hAnsi="Times New Roman"/>
        </w:rPr>
      </w:pPr>
    </w:p>
    <w:p w14:paraId="644DCF91" w14:textId="77777777" w:rsidR="00B535BD" w:rsidRPr="00B5163D" w:rsidRDefault="00B535BD" w:rsidP="00B535BD">
      <w:pPr>
        <w:widowControl/>
        <w:tabs>
          <w:tab w:val="left" w:pos="-1080"/>
          <w:tab w:val="left" w:pos="-720"/>
          <w:tab w:val="left" w:pos="720"/>
          <w:tab w:val="left" w:pos="1152"/>
          <w:tab w:val="left" w:pos="1728"/>
          <w:tab w:val="left" w:pos="2304"/>
          <w:tab w:val="left" w:pos="2880"/>
          <w:tab w:val="left" w:pos="5040"/>
          <w:tab w:val="left" w:pos="6048"/>
          <w:tab w:val="left" w:pos="8640"/>
          <w:tab w:val="left" w:pos="9216"/>
        </w:tabs>
        <w:ind w:left="720"/>
        <w:rPr>
          <w:rFonts w:ascii="Times New Roman" w:hAnsi="Times New Roman"/>
        </w:rPr>
      </w:pPr>
    </w:p>
    <w:p w14:paraId="1820EAF5" w14:textId="77777777" w:rsidR="00BF1335" w:rsidRPr="00BF1335" w:rsidRDefault="00BF1335" w:rsidP="00BF1335">
      <w:pPr>
        <w:widowControl/>
        <w:rPr>
          <w:rFonts w:ascii="Times New Roman" w:hAnsi="Times New Roman"/>
          <w:color w:val="000000"/>
        </w:rPr>
      </w:pPr>
      <w:r w:rsidRPr="00BF1335">
        <w:rPr>
          <w:rFonts w:ascii="Times New Roman" w:hAnsi="Times New Roman"/>
          <w:color w:val="000000"/>
        </w:rPr>
        <w:t>Margaret Noonan</w:t>
      </w:r>
    </w:p>
    <w:p w14:paraId="41E28774" w14:textId="77777777" w:rsidR="00BF1335" w:rsidRPr="00BF1335" w:rsidRDefault="00BF1335" w:rsidP="00BF1335">
      <w:pPr>
        <w:widowControl/>
        <w:rPr>
          <w:rFonts w:ascii="Times New Roman" w:hAnsi="Times New Roman"/>
          <w:color w:val="000000"/>
        </w:rPr>
      </w:pPr>
      <w:r w:rsidRPr="00BF1335">
        <w:rPr>
          <w:rFonts w:ascii="Times New Roman" w:hAnsi="Times New Roman"/>
          <w:color w:val="000000"/>
        </w:rPr>
        <w:t>Statistician and DCRP Project Manager</w:t>
      </w:r>
    </w:p>
    <w:p w14:paraId="2A734DCD" w14:textId="77777777" w:rsidR="00BF1335" w:rsidRPr="00BF1335" w:rsidRDefault="00BF1335" w:rsidP="00BF1335">
      <w:pPr>
        <w:widowControl/>
        <w:rPr>
          <w:rFonts w:ascii="Times New Roman" w:hAnsi="Times New Roman"/>
          <w:color w:val="000000"/>
        </w:rPr>
      </w:pPr>
      <w:r w:rsidRPr="00BF1335">
        <w:rPr>
          <w:rFonts w:ascii="Times New Roman" w:hAnsi="Times New Roman"/>
          <w:color w:val="000000"/>
        </w:rPr>
        <w:t>Corrections Statistics Unit</w:t>
      </w:r>
    </w:p>
    <w:p w14:paraId="247C7117" w14:textId="77777777" w:rsidR="00BF1335" w:rsidRPr="00BF1335" w:rsidRDefault="00BF1335" w:rsidP="00BF1335">
      <w:pPr>
        <w:widowControl/>
        <w:rPr>
          <w:rFonts w:ascii="Times New Roman" w:hAnsi="Times New Roman"/>
          <w:color w:val="000000"/>
        </w:rPr>
      </w:pPr>
      <w:r w:rsidRPr="00BF1335">
        <w:rPr>
          <w:rFonts w:ascii="Times New Roman" w:hAnsi="Times New Roman"/>
          <w:color w:val="000000"/>
        </w:rPr>
        <w:t>Bureau of Justice Statistics</w:t>
      </w:r>
    </w:p>
    <w:p w14:paraId="550B3AFF" w14:textId="77777777" w:rsidR="00BF1335" w:rsidRPr="00BF1335" w:rsidRDefault="00BF1335" w:rsidP="00BF1335">
      <w:pPr>
        <w:widowControl/>
        <w:rPr>
          <w:rFonts w:ascii="Times New Roman" w:hAnsi="Times New Roman"/>
          <w:color w:val="000000"/>
        </w:rPr>
      </w:pPr>
      <w:r w:rsidRPr="00BF1335">
        <w:rPr>
          <w:rFonts w:ascii="Times New Roman" w:hAnsi="Times New Roman"/>
          <w:color w:val="000000"/>
        </w:rPr>
        <w:t>810 Seventh Street, N.W.</w:t>
      </w:r>
    </w:p>
    <w:p w14:paraId="2AE338F5" w14:textId="77777777" w:rsidR="00BF1335" w:rsidRPr="00BF1335" w:rsidRDefault="00BF1335" w:rsidP="00BF1335">
      <w:pPr>
        <w:widowControl/>
        <w:rPr>
          <w:rFonts w:ascii="Times New Roman" w:hAnsi="Times New Roman"/>
          <w:color w:val="000000"/>
        </w:rPr>
      </w:pPr>
      <w:r w:rsidRPr="00BF1335">
        <w:rPr>
          <w:rFonts w:ascii="Times New Roman" w:hAnsi="Times New Roman"/>
          <w:color w:val="000000"/>
        </w:rPr>
        <w:t>Washington, DC 20531</w:t>
      </w:r>
    </w:p>
    <w:p w14:paraId="6A0CCD31" w14:textId="77777777" w:rsidR="00BF1335" w:rsidRPr="00BF1335" w:rsidRDefault="00BF1335" w:rsidP="00BF1335">
      <w:pPr>
        <w:widowControl/>
        <w:rPr>
          <w:rFonts w:ascii="Times New Roman" w:hAnsi="Times New Roman"/>
          <w:color w:val="000000"/>
        </w:rPr>
      </w:pPr>
      <w:r w:rsidRPr="00BF1335">
        <w:rPr>
          <w:rFonts w:ascii="Times New Roman" w:hAnsi="Times New Roman"/>
          <w:color w:val="000000"/>
        </w:rPr>
        <w:t>(202) 353-2060</w:t>
      </w:r>
    </w:p>
    <w:p w14:paraId="0828C7DE" w14:textId="77777777" w:rsidR="00BF1335" w:rsidRPr="00BF1335" w:rsidRDefault="00B00BEE" w:rsidP="00BF1335">
      <w:pPr>
        <w:rPr>
          <w:rFonts w:ascii="Times New Roman" w:hAnsi="Times New Roman"/>
          <w:color w:val="0000FF"/>
          <w:u w:val="single"/>
        </w:rPr>
      </w:pPr>
      <w:hyperlink r:id="rId9" w:history="1">
        <w:r w:rsidR="00BF1335" w:rsidRPr="00BF1335">
          <w:rPr>
            <w:rFonts w:ascii="Times New Roman" w:hAnsi="Times New Roman"/>
            <w:color w:val="0000FF"/>
            <w:u w:val="single"/>
          </w:rPr>
          <w:t>Margaret.Noonan@usdoj.gov</w:t>
        </w:r>
      </w:hyperlink>
    </w:p>
    <w:p w14:paraId="1F8834D1" w14:textId="77777777" w:rsidR="00B535BD" w:rsidRPr="00B5163D" w:rsidRDefault="00B535BD" w:rsidP="00954A8C">
      <w:pPr>
        <w:widowControl/>
        <w:tabs>
          <w:tab w:val="left" w:pos="-1080"/>
          <w:tab w:val="left" w:pos="-720"/>
          <w:tab w:val="left" w:pos="720"/>
          <w:tab w:val="left" w:pos="1152"/>
          <w:tab w:val="left" w:pos="1728"/>
          <w:tab w:val="left" w:pos="2304"/>
          <w:tab w:val="left" w:pos="2880"/>
          <w:tab w:val="left" w:pos="5040"/>
          <w:tab w:val="left" w:pos="6048"/>
          <w:tab w:val="left" w:pos="8640"/>
          <w:tab w:val="left" w:pos="9216"/>
        </w:tabs>
        <w:rPr>
          <w:rFonts w:ascii="Times New Roman" w:hAnsi="Times New Roman"/>
        </w:rPr>
      </w:pPr>
    </w:p>
    <w:p w14:paraId="475EECFF" w14:textId="77777777" w:rsidR="00B535BD" w:rsidRPr="00B5163D" w:rsidRDefault="00B535BD" w:rsidP="00B535BD">
      <w:pPr>
        <w:widowControl/>
        <w:tabs>
          <w:tab w:val="left" w:pos="-1080"/>
          <w:tab w:val="left" w:pos="-720"/>
          <w:tab w:val="left" w:pos="720"/>
          <w:tab w:val="left" w:pos="1152"/>
          <w:tab w:val="left" w:pos="1728"/>
          <w:tab w:val="left" w:pos="2304"/>
          <w:tab w:val="left" w:pos="2880"/>
          <w:tab w:val="left" w:pos="5040"/>
          <w:tab w:val="left" w:pos="6048"/>
          <w:tab w:val="left" w:pos="8640"/>
          <w:tab w:val="left" w:pos="9216"/>
        </w:tabs>
        <w:ind w:left="720"/>
        <w:rPr>
          <w:rFonts w:ascii="Times New Roman" w:hAnsi="Times New Roman"/>
        </w:rPr>
      </w:pPr>
    </w:p>
    <w:p w14:paraId="1FB6DFE2" w14:textId="77777777" w:rsidR="00662A34" w:rsidRPr="00B5163D" w:rsidRDefault="00662A34" w:rsidP="00954A8C">
      <w:pPr>
        <w:widowControl/>
        <w:tabs>
          <w:tab w:val="left" w:pos="-1080"/>
          <w:tab w:val="left" w:pos="-720"/>
          <w:tab w:val="left" w:pos="720"/>
          <w:tab w:val="left" w:pos="1152"/>
          <w:tab w:val="left" w:pos="1728"/>
          <w:tab w:val="left" w:pos="2304"/>
          <w:tab w:val="left" w:pos="2880"/>
          <w:tab w:val="left" w:pos="5040"/>
          <w:tab w:val="left" w:pos="6048"/>
          <w:tab w:val="left" w:pos="8640"/>
          <w:tab w:val="left" w:pos="9216"/>
        </w:tabs>
        <w:rPr>
          <w:rFonts w:ascii="Times New Roman" w:hAnsi="Times New Roman"/>
        </w:rPr>
      </w:pPr>
    </w:p>
    <w:p w14:paraId="692C1A6F" w14:textId="77777777" w:rsidR="006B289A" w:rsidRPr="006B289A" w:rsidRDefault="006B289A" w:rsidP="006B289A">
      <w:pPr>
        <w:widowControl/>
        <w:autoSpaceDE/>
        <w:autoSpaceDN/>
        <w:adjustRightInd/>
        <w:ind w:firstLine="720"/>
        <w:rPr>
          <w:rFonts w:ascii="Times New Roman" w:eastAsiaTheme="minorHAnsi" w:hAnsi="Times New Roman"/>
        </w:rPr>
      </w:pPr>
    </w:p>
    <w:p w14:paraId="5BFF162C" w14:textId="77777777" w:rsidR="006B289A" w:rsidRPr="006B289A" w:rsidRDefault="006B289A" w:rsidP="006B289A">
      <w:pPr>
        <w:widowControl/>
        <w:autoSpaceDE/>
        <w:autoSpaceDN/>
        <w:adjustRightInd/>
        <w:ind w:firstLine="720"/>
        <w:rPr>
          <w:rFonts w:ascii="Times New Roman" w:eastAsiaTheme="minorHAnsi" w:hAnsi="Times New Roman"/>
        </w:rPr>
      </w:pPr>
    </w:p>
    <w:p w14:paraId="64028DDE" w14:textId="77777777" w:rsidR="006B289A" w:rsidRPr="006B289A" w:rsidRDefault="006B289A" w:rsidP="006B289A">
      <w:pPr>
        <w:widowControl/>
        <w:autoSpaceDE/>
        <w:autoSpaceDN/>
        <w:adjustRightInd/>
        <w:ind w:firstLine="720"/>
        <w:rPr>
          <w:rFonts w:ascii="Times New Roman" w:eastAsiaTheme="minorHAnsi" w:hAnsi="Times New Roman"/>
        </w:rPr>
      </w:pPr>
    </w:p>
    <w:p w14:paraId="51096F77" w14:textId="77777777" w:rsidR="000F4148" w:rsidRPr="00B5163D" w:rsidRDefault="000F4148" w:rsidP="00A91B0C">
      <w:pPr>
        <w:widowControl/>
        <w:autoSpaceDE/>
        <w:autoSpaceDN/>
        <w:adjustRightInd/>
        <w:rPr>
          <w:rFonts w:ascii="Times New Roman" w:hAnsi="Times New Roman"/>
        </w:rPr>
      </w:pPr>
    </w:p>
    <w:sectPr w:rsidR="000F4148" w:rsidRPr="00B5163D" w:rsidSect="00505160">
      <w:headerReference w:type="default" r:id="rId10"/>
      <w:footerReference w:type="default" r:id="rId11"/>
      <w:pgSz w:w="12240" w:h="15840"/>
      <w:pgMar w:top="720" w:right="1440" w:bottom="720" w:left="1440" w:header="720" w:footer="72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579B9F" w14:textId="77777777" w:rsidR="003F1C21" w:rsidRDefault="003F1C21">
      <w:r>
        <w:separator/>
      </w:r>
    </w:p>
  </w:endnote>
  <w:endnote w:type="continuationSeparator" w:id="0">
    <w:p w14:paraId="0B0F9A28" w14:textId="77777777" w:rsidR="003F1C21" w:rsidRDefault="003F1C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Lucida Grande">
    <w:altName w:val="Courier New"/>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306158"/>
      <w:docPartObj>
        <w:docPartGallery w:val="Page Numbers (Bottom of Page)"/>
        <w:docPartUnique/>
      </w:docPartObj>
    </w:sdtPr>
    <w:sdtEndPr/>
    <w:sdtContent>
      <w:p w14:paraId="2A129468" w14:textId="77777777" w:rsidR="003F1C21" w:rsidRDefault="003F1C21">
        <w:pPr>
          <w:pStyle w:val="Footer"/>
          <w:jc w:val="right"/>
        </w:pPr>
        <w:r>
          <w:fldChar w:fldCharType="begin"/>
        </w:r>
        <w:r>
          <w:instrText xml:space="preserve"> PAGE   \* MERGEFORMAT </w:instrText>
        </w:r>
        <w:r>
          <w:fldChar w:fldCharType="separate"/>
        </w:r>
        <w:r w:rsidR="00B00BEE">
          <w:rPr>
            <w:noProof/>
          </w:rPr>
          <w:t>2</w:t>
        </w:r>
        <w:r>
          <w:rPr>
            <w:noProof/>
          </w:rPr>
          <w:fldChar w:fldCharType="end"/>
        </w:r>
      </w:p>
    </w:sdtContent>
  </w:sdt>
  <w:p w14:paraId="25D425E9" w14:textId="77777777" w:rsidR="003F1C21" w:rsidRDefault="003F1C2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581CC6" w14:textId="77777777" w:rsidR="003F1C21" w:rsidRDefault="003F1C21">
      <w:r>
        <w:separator/>
      </w:r>
    </w:p>
  </w:footnote>
  <w:footnote w:type="continuationSeparator" w:id="0">
    <w:p w14:paraId="08460EFA" w14:textId="77777777" w:rsidR="003F1C21" w:rsidRDefault="003F1C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40251"/>
      <w:docPartObj>
        <w:docPartGallery w:val="Page Numbers (Top of Page)"/>
        <w:docPartUnique/>
      </w:docPartObj>
    </w:sdtPr>
    <w:sdtEndPr/>
    <w:sdtContent>
      <w:p w14:paraId="509A7962" w14:textId="77777777" w:rsidR="003F1C21" w:rsidRDefault="003F1C21">
        <w:pPr>
          <w:pStyle w:val="Header"/>
          <w:jc w:val="right"/>
        </w:pPr>
        <w:r>
          <w:fldChar w:fldCharType="begin"/>
        </w:r>
        <w:r>
          <w:instrText xml:space="preserve"> PAGE   \* MERGEFORMAT </w:instrText>
        </w:r>
        <w:r>
          <w:fldChar w:fldCharType="separate"/>
        </w:r>
        <w:r w:rsidR="00B00BEE">
          <w:rPr>
            <w:noProof/>
          </w:rPr>
          <w:t>2</w:t>
        </w:r>
        <w:r>
          <w:rPr>
            <w:noProof/>
          </w:rPr>
          <w:fldChar w:fldCharType="end"/>
        </w:r>
      </w:p>
    </w:sdtContent>
  </w:sdt>
  <w:p w14:paraId="512F7659" w14:textId="77777777" w:rsidR="003F1C21" w:rsidRDefault="003F1C2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F55C8"/>
    <w:multiLevelType w:val="hybridMultilevel"/>
    <w:tmpl w:val="30F448C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5717A8"/>
    <w:multiLevelType w:val="hybridMultilevel"/>
    <w:tmpl w:val="6DFAA2C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E07242"/>
    <w:multiLevelType w:val="hybridMultilevel"/>
    <w:tmpl w:val="B8F088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241F92"/>
    <w:multiLevelType w:val="hybridMultilevel"/>
    <w:tmpl w:val="57DAA5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966BCE"/>
    <w:multiLevelType w:val="hybridMultilevel"/>
    <w:tmpl w:val="19285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CE1C71"/>
    <w:multiLevelType w:val="hybridMultilevel"/>
    <w:tmpl w:val="53960F2A"/>
    <w:lvl w:ilvl="0" w:tplc="E75064EE">
      <w:start w:val="1"/>
      <w:numFmt w:val="upperLetter"/>
      <w:lvlText w:val="%1."/>
      <w:lvlJc w:val="left"/>
      <w:pPr>
        <w:ind w:left="465" w:hanging="360"/>
      </w:pPr>
      <w:rPr>
        <w:rFonts w:hint="default"/>
      </w:rPr>
    </w:lvl>
    <w:lvl w:ilvl="1" w:tplc="04090019">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6" w15:restartNumberingAfterBreak="0">
    <w:nsid w:val="4E6373D7"/>
    <w:multiLevelType w:val="hybridMultilevel"/>
    <w:tmpl w:val="9D08DFFC"/>
    <w:lvl w:ilvl="0" w:tplc="0B389DB4">
      <w:start w:val="1"/>
      <w:numFmt w:val="upperLetter"/>
      <w:lvlText w:val="(%1)"/>
      <w:lvlJc w:val="left"/>
      <w:pPr>
        <w:ind w:left="76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54D31C4"/>
    <w:multiLevelType w:val="hybridMultilevel"/>
    <w:tmpl w:val="1944C1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092BB4"/>
    <w:multiLevelType w:val="hybridMultilevel"/>
    <w:tmpl w:val="7D966C08"/>
    <w:lvl w:ilvl="0" w:tplc="533E07C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8FE641E"/>
    <w:multiLevelType w:val="hybridMultilevel"/>
    <w:tmpl w:val="BDF28D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A0212A2"/>
    <w:multiLevelType w:val="hybridMultilevel"/>
    <w:tmpl w:val="02F4B6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7B831194"/>
    <w:multiLevelType w:val="hybridMultilevel"/>
    <w:tmpl w:val="CFB6F642"/>
    <w:lvl w:ilvl="0" w:tplc="2D5EB6BC">
      <w:start w:val="1"/>
      <w:numFmt w:val="decimal"/>
      <w:lvlText w:val="(%1)"/>
      <w:lvlJc w:val="left"/>
      <w:pPr>
        <w:ind w:left="1080" w:hanging="360"/>
      </w:pPr>
      <w:rPr>
        <w:rFonts w:ascii="Times New Roman" w:hAnsi="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11"/>
  </w:num>
  <w:num w:numId="3">
    <w:abstractNumId w:val="4"/>
  </w:num>
  <w:num w:numId="4">
    <w:abstractNumId w:val="3"/>
  </w:num>
  <w:num w:numId="5">
    <w:abstractNumId w:val="9"/>
  </w:num>
  <w:num w:numId="6">
    <w:abstractNumId w:val="7"/>
  </w:num>
  <w:num w:numId="7">
    <w:abstractNumId w:val="2"/>
  </w:num>
  <w:num w:numId="8">
    <w:abstractNumId w:val="6"/>
  </w:num>
  <w:num w:numId="9">
    <w:abstractNumId w:val="8"/>
  </w:num>
  <w:num w:numId="10">
    <w:abstractNumId w:val="1"/>
  </w:num>
  <w:num w:numId="11">
    <w:abstractNumId w:val="0"/>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35BD"/>
    <w:rsid w:val="000156CD"/>
    <w:rsid w:val="00043746"/>
    <w:rsid w:val="000758BB"/>
    <w:rsid w:val="000A5D22"/>
    <w:rsid w:val="000A6F43"/>
    <w:rsid w:val="000B670F"/>
    <w:rsid w:val="000B7008"/>
    <w:rsid w:val="000B76A3"/>
    <w:rsid w:val="000C0CF9"/>
    <w:rsid w:val="000C1B72"/>
    <w:rsid w:val="000D2D9B"/>
    <w:rsid w:val="000F2552"/>
    <w:rsid w:val="000F4148"/>
    <w:rsid w:val="00105A7E"/>
    <w:rsid w:val="00126BCF"/>
    <w:rsid w:val="0013207F"/>
    <w:rsid w:val="00140849"/>
    <w:rsid w:val="00141BE9"/>
    <w:rsid w:val="0015556E"/>
    <w:rsid w:val="00156A73"/>
    <w:rsid w:val="0016135E"/>
    <w:rsid w:val="00171E5E"/>
    <w:rsid w:val="0019439B"/>
    <w:rsid w:val="00197B32"/>
    <w:rsid w:val="001B2BD7"/>
    <w:rsid w:val="001B678B"/>
    <w:rsid w:val="001C0B20"/>
    <w:rsid w:val="001C2F33"/>
    <w:rsid w:val="001D3252"/>
    <w:rsid w:val="001D6B27"/>
    <w:rsid w:val="001D7EFC"/>
    <w:rsid w:val="001E67D1"/>
    <w:rsid w:val="001E6CFF"/>
    <w:rsid w:val="002124D1"/>
    <w:rsid w:val="00217FD8"/>
    <w:rsid w:val="002219CD"/>
    <w:rsid w:val="00224F27"/>
    <w:rsid w:val="002250C2"/>
    <w:rsid w:val="002532E7"/>
    <w:rsid w:val="00276C72"/>
    <w:rsid w:val="0028452E"/>
    <w:rsid w:val="00287AE5"/>
    <w:rsid w:val="002A073E"/>
    <w:rsid w:val="002B4CFF"/>
    <w:rsid w:val="002B6DD4"/>
    <w:rsid w:val="002C5220"/>
    <w:rsid w:val="002C6B57"/>
    <w:rsid w:val="002E0BEE"/>
    <w:rsid w:val="002E43B2"/>
    <w:rsid w:val="002F5C32"/>
    <w:rsid w:val="002F6C3F"/>
    <w:rsid w:val="002F7C83"/>
    <w:rsid w:val="003007F9"/>
    <w:rsid w:val="00310C4F"/>
    <w:rsid w:val="00314190"/>
    <w:rsid w:val="00330717"/>
    <w:rsid w:val="00330F75"/>
    <w:rsid w:val="00334F7A"/>
    <w:rsid w:val="00342D88"/>
    <w:rsid w:val="003765E8"/>
    <w:rsid w:val="00382F41"/>
    <w:rsid w:val="00387567"/>
    <w:rsid w:val="003A4458"/>
    <w:rsid w:val="003A50D8"/>
    <w:rsid w:val="003D1F4F"/>
    <w:rsid w:val="003D2564"/>
    <w:rsid w:val="003D65DA"/>
    <w:rsid w:val="003F1C21"/>
    <w:rsid w:val="003F1EEE"/>
    <w:rsid w:val="003F6C69"/>
    <w:rsid w:val="00400E62"/>
    <w:rsid w:val="00403DCB"/>
    <w:rsid w:val="00404C84"/>
    <w:rsid w:val="00441720"/>
    <w:rsid w:val="004507F3"/>
    <w:rsid w:val="00471075"/>
    <w:rsid w:val="00483171"/>
    <w:rsid w:val="00490B2F"/>
    <w:rsid w:val="004B08FC"/>
    <w:rsid w:val="004B5167"/>
    <w:rsid w:val="004C72C9"/>
    <w:rsid w:val="004D1185"/>
    <w:rsid w:val="004F0C4D"/>
    <w:rsid w:val="004F6C4F"/>
    <w:rsid w:val="00502A99"/>
    <w:rsid w:val="00503D0D"/>
    <w:rsid w:val="00505160"/>
    <w:rsid w:val="00516B14"/>
    <w:rsid w:val="005200C6"/>
    <w:rsid w:val="005227F2"/>
    <w:rsid w:val="0052734F"/>
    <w:rsid w:val="00534725"/>
    <w:rsid w:val="00535CF5"/>
    <w:rsid w:val="00554BF2"/>
    <w:rsid w:val="00555A9F"/>
    <w:rsid w:val="005955F4"/>
    <w:rsid w:val="00597ED8"/>
    <w:rsid w:val="005B313E"/>
    <w:rsid w:val="005E1CA9"/>
    <w:rsid w:val="006026DC"/>
    <w:rsid w:val="006033D1"/>
    <w:rsid w:val="00612D85"/>
    <w:rsid w:val="00614EF2"/>
    <w:rsid w:val="00662A34"/>
    <w:rsid w:val="006824B5"/>
    <w:rsid w:val="00686796"/>
    <w:rsid w:val="006B0C8D"/>
    <w:rsid w:val="006B289A"/>
    <w:rsid w:val="006C244B"/>
    <w:rsid w:val="006C6DB7"/>
    <w:rsid w:val="006D4CAC"/>
    <w:rsid w:val="006D6849"/>
    <w:rsid w:val="006E02B4"/>
    <w:rsid w:val="006E5A0F"/>
    <w:rsid w:val="006F0E05"/>
    <w:rsid w:val="006F3F47"/>
    <w:rsid w:val="00703D49"/>
    <w:rsid w:val="00705A86"/>
    <w:rsid w:val="00705C70"/>
    <w:rsid w:val="00714A2A"/>
    <w:rsid w:val="00732D1C"/>
    <w:rsid w:val="0073448A"/>
    <w:rsid w:val="00735093"/>
    <w:rsid w:val="00735755"/>
    <w:rsid w:val="00735C83"/>
    <w:rsid w:val="007417BD"/>
    <w:rsid w:val="00747202"/>
    <w:rsid w:val="007540FC"/>
    <w:rsid w:val="00762444"/>
    <w:rsid w:val="00770896"/>
    <w:rsid w:val="007775A5"/>
    <w:rsid w:val="00791875"/>
    <w:rsid w:val="007B11D6"/>
    <w:rsid w:val="007E49F2"/>
    <w:rsid w:val="007F2DFF"/>
    <w:rsid w:val="007F3898"/>
    <w:rsid w:val="008077BF"/>
    <w:rsid w:val="0081600D"/>
    <w:rsid w:val="008216A9"/>
    <w:rsid w:val="00844E0A"/>
    <w:rsid w:val="00853F13"/>
    <w:rsid w:val="008569FE"/>
    <w:rsid w:val="00865F76"/>
    <w:rsid w:val="00887B1A"/>
    <w:rsid w:val="00890AEC"/>
    <w:rsid w:val="008A1448"/>
    <w:rsid w:val="008F1490"/>
    <w:rsid w:val="008F2AAB"/>
    <w:rsid w:val="008F48F3"/>
    <w:rsid w:val="009100E2"/>
    <w:rsid w:val="00914272"/>
    <w:rsid w:val="009147B8"/>
    <w:rsid w:val="00915B12"/>
    <w:rsid w:val="0093768B"/>
    <w:rsid w:val="00937EC5"/>
    <w:rsid w:val="009408E9"/>
    <w:rsid w:val="00940B9D"/>
    <w:rsid w:val="00945E94"/>
    <w:rsid w:val="00950757"/>
    <w:rsid w:val="00954A8C"/>
    <w:rsid w:val="00957CBE"/>
    <w:rsid w:val="0098179B"/>
    <w:rsid w:val="0098546A"/>
    <w:rsid w:val="009911B1"/>
    <w:rsid w:val="009A0F52"/>
    <w:rsid w:val="009A1E8B"/>
    <w:rsid w:val="009A72FF"/>
    <w:rsid w:val="009B2CFC"/>
    <w:rsid w:val="009D2914"/>
    <w:rsid w:val="009E4557"/>
    <w:rsid w:val="009E4EB9"/>
    <w:rsid w:val="009E6667"/>
    <w:rsid w:val="009E7096"/>
    <w:rsid w:val="009F45B5"/>
    <w:rsid w:val="00A12144"/>
    <w:rsid w:val="00A159E8"/>
    <w:rsid w:val="00A27BE2"/>
    <w:rsid w:val="00A52C85"/>
    <w:rsid w:val="00A614AF"/>
    <w:rsid w:val="00A62E0F"/>
    <w:rsid w:val="00A64A10"/>
    <w:rsid w:val="00A725A4"/>
    <w:rsid w:val="00A73BCE"/>
    <w:rsid w:val="00A81958"/>
    <w:rsid w:val="00A91B0C"/>
    <w:rsid w:val="00A95985"/>
    <w:rsid w:val="00AA412A"/>
    <w:rsid w:val="00AB7761"/>
    <w:rsid w:val="00AC0DEB"/>
    <w:rsid w:val="00AC1DFB"/>
    <w:rsid w:val="00AD63CD"/>
    <w:rsid w:val="00AF3962"/>
    <w:rsid w:val="00AF62FC"/>
    <w:rsid w:val="00B00BEE"/>
    <w:rsid w:val="00B11D55"/>
    <w:rsid w:val="00B11F74"/>
    <w:rsid w:val="00B2116F"/>
    <w:rsid w:val="00B3682C"/>
    <w:rsid w:val="00B45DD7"/>
    <w:rsid w:val="00B46FE2"/>
    <w:rsid w:val="00B5163D"/>
    <w:rsid w:val="00B535BD"/>
    <w:rsid w:val="00B664AF"/>
    <w:rsid w:val="00B80B5D"/>
    <w:rsid w:val="00B80EE1"/>
    <w:rsid w:val="00B907FB"/>
    <w:rsid w:val="00B9094E"/>
    <w:rsid w:val="00B94E3F"/>
    <w:rsid w:val="00BA4F38"/>
    <w:rsid w:val="00BD1A23"/>
    <w:rsid w:val="00BE1423"/>
    <w:rsid w:val="00BE1DA3"/>
    <w:rsid w:val="00BF1335"/>
    <w:rsid w:val="00C135B4"/>
    <w:rsid w:val="00C21691"/>
    <w:rsid w:val="00C51C8C"/>
    <w:rsid w:val="00C55457"/>
    <w:rsid w:val="00C7070B"/>
    <w:rsid w:val="00C72025"/>
    <w:rsid w:val="00C823FA"/>
    <w:rsid w:val="00C824C9"/>
    <w:rsid w:val="00C9111C"/>
    <w:rsid w:val="00CA5225"/>
    <w:rsid w:val="00CB107A"/>
    <w:rsid w:val="00CB3EB2"/>
    <w:rsid w:val="00CB65B8"/>
    <w:rsid w:val="00CC373D"/>
    <w:rsid w:val="00CD4166"/>
    <w:rsid w:val="00D1260F"/>
    <w:rsid w:val="00D2491A"/>
    <w:rsid w:val="00D43274"/>
    <w:rsid w:val="00D45C1C"/>
    <w:rsid w:val="00D65410"/>
    <w:rsid w:val="00D71C71"/>
    <w:rsid w:val="00D74A9E"/>
    <w:rsid w:val="00D77EB1"/>
    <w:rsid w:val="00D87235"/>
    <w:rsid w:val="00D97B3B"/>
    <w:rsid w:val="00DA5B81"/>
    <w:rsid w:val="00DC0179"/>
    <w:rsid w:val="00DC6699"/>
    <w:rsid w:val="00DE0A28"/>
    <w:rsid w:val="00DE0CFE"/>
    <w:rsid w:val="00DE1FEA"/>
    <w:rsid w:val="00DE3DDB"/>
    <w:rsid w:val="00E1590C"/>
    <w:rsid w:val="00E3092C"/>
    <w:rsid w:val="00E33FF7"/>
    <w:rsid w:val="00E3748B"/>
    <w:rsid w:val="00E54DE7"/>
    <w:rsid w:val="00E86762"/>
    <w:rsid w:val="00E90428"/>
    <w:rsid w:val="00EA18D3"/>
    <w:rsid w:val="00EA2658"/>
    <w:rsid w:val="00EB051D"/>
    <w:rsid w:val="00ED0A5D"/>
    <w:rsid w:val="00EE5061"/>
    <w:rsid w:val="00F0075E"/>
    <w:rsid w:val="00F07066"/>
    <w:rsid w:val="00F23CF3"/>
    <w:rsid w:val="00F30532"/>
    <w:rsid w:val="00F40C7F"/>
    <w:rsid w:val="00FA2823"/>
    <w:rsid w:val="00FA65C7"/>
    <w:rsid w:val="00FC5D53"/>
    <w:rsid w:val="00FD6244"/>
    <w:rsid w:val="00FD7FE8"/>
    <w:rsid w:val="00FE2D12"/>
    <w:rsid w:val="00FE41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F895EC9"/>
  <w15:docId w15:val="{E3EAFFAD-34E1-4C9E-876C-08054C3F7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35BD"/>
    <w:pPr>
      <w:widowControl w:val="0"/>
      <w:autoSpaceDE w:val="0"/>
      <w:autoSpaceDN w:val="0"/>
      <w:adjustRightInd w:val="0"/>
      <w:spacing w:after="0" w:line="240" w:lineRule="auto"/>
    </w:pPr>
    <w:rPr>
      <w:rFonts w:ascii="Courier" w:eastAsia="Times New Roman" w:hAnsi="Courier"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35BD"/>
    <w:pPr>
      <w:ind w:left="720"/>
      <w:contextualSpacing/>
    </w:pPr>
  </w:style>
  <w:style w:type="paragraph" w:styleId="Header">
    <w:name w:val="header"/>
    <w:basedOn w:val="Normal"/>
    <w:link w:val="HeaderChar"/>
    <w:uiPriority w:val="99"/>
    <w:rsid w:val="00B535BD"/>
    <w:pPr>
      <w:tabs>
        <w:tab w:val="center" w:pos="4680"/>
        <w:tab w:val="right" w:pos="9360"/>
      </w:tabs>
    </w:pPr>
  </w:style>
  <w:style w:type="character" w:customStyle="1" w:styleId="HeaderChar">
    <w:name w:val="Header Char"/>
    <w:basedOn w:val="DefaultParagraphFont"/>
    <w:link w:val="Header"/>
    <w:uiPriority w:val="99"/>
    <w:rsid w:val="00B535BD"/>
    <w:rPr>
      <w:rFonts w:ascii="Courier" w:eastAsia="Times New Roman" w:hAnsi="Courier" w:cs="Times New Roman"/>
      <w:sz w:val="24"/>
      <w:szCs w:val="24"/>
    </w:rPr>
  </w:style>
  <w:style w:type="paragraph" w:styleId="Footer">
    <w:name w:val="footer"/>
    <w:basedOn w:val="Normal"/>
    <w:link w:val="FooterChar"/>
    <w:uiPriority w:val="99"/>
    <w:rsid w:val="00B535BD"/>
    <w:pPr>
      <w:tabs>
        <w:tab w:val="center" w:pos="4680"/>
        <w:tab w:val="right" w:pos="9360"/>
      </w:tabs>
    </w:pPr>
  </w:style>
  <w:style w:type="character" w:customStyle="1" w:styleId="FooterChar">
    <w:name w:val="Footer Char"/>
    <w:basedOn w:val="DefaultParagraphFont"/>
    <w:link w:val="Footer"/>
    <w:uiPriority w:val="99"/>
    <w:rsid w:val="00B535BD"/>
    <w:rPr>
      <w:rFonts w:ascii="Courier" w:eastAsia="Times New Roman" w:hAnsi="Courier" w:cs="Times New Roman"/>
      <w:sz w:val="24"/>
      <w:szCs w:val="24"/>
    </w:rPr>
  </w:style>
  <w:style w:type="paragraph" w:styleId="NoSpacing">
    <w:name w:val="No Spacing"/>
    <w:uiPriority w:val="1"/>
    <w:qFormat/>
    <w:rsid w:val="00B535BD"/>
    <w:pPr>
      <w:spacing w:after="0" w:line="240" w:lineRule="auto"/>
    </w:pPr>
  </w:style>
  <w:style w:type="table" w:styleId="TableGrid">
    <w:name w:val="Table Grid"/>
    <w:basedOn w:val="TableNormal"/>
    <w:uiPriority w:val="59"/>
    <w:rsid w:val="00B535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link w:val="BodyText2"/>
    <w:rsid w:val="00B535BD"/>
    <w:rPr>
      <w:rFonts w:ascii="Verdana" w:eastAsia="MS Mincho" w:hAnsi="Verdana"/>
    </w:rPr>
  </w:style>
  <w:style w:type="paragraph" w:customStyle="1" w:styleId="BodyText2">
    <w:name w:val="Body Text2"/>
    <w:basedOn w:val="Normal"/>
    <w:link w:val="bodytextChar"/>
    <w:rsid w:val="00B535BD"/>
    <w:pPr>
      <w:widowControl/>
      <w:autoSpaceDE/>
      <w:autoSpaceDN/>
      <w:adjustRightInd/>
      <w:spacing w:after="240" w:line="320" w:lineRule="exact"/>
    </w:pPr>
    <w:rPr>
      <w:rFonts w:ascii="Verdana" w:eastAsia="MS Mincho" w:hAnsi="Verdana" w:cstheme="minorBidi"/>
      <w:sz w:val="22"/>
      <w:szCs w:val="22"/>
    </w:rPr>
  </w:style>
  <w:style w:type="character" w:styleId="CommentReference">
    <w:name w:val="annotation reference"/>
    <w:basedOn w:val="DefaultParagraphFont"/>
    <w:uiPriority w:val="99"/>
    <w:semiHidden/>
    <w:unhideWhenUsed/>
    <w:rsid w:val="00954A8C"/>
    <w:rPr>
      <w:sz w:val="18"/>
      <w:szCs w:val="18"/>
    </w:rPr>
  </w:style>
  <w:style w:type="paragraph" w:styleId="CommentText">
    <w:name w:val="annotation text"/>
    <w:basedOn w:val="Normal"/>
    <w:link w:val="CommentTextChar"/>
    <w:uiPriority w:val="99"/>
    <w:semiHidden/>
    <w:unhideWhenUsed/>
    <w:rsid w:val="00954A8C"/>
  </w:style>
  <w:style w:type="character" w:customStyle="1" w:styleId="CommentTextChar">
    <w:name w:val="Comment Text Char"/>
    <w:basedOn w:val="DefaultParagraphFont"/>
    <w:link w:val="CommentText"/>
    <w:uiPriority w:val="99"/>
    <w:semiHidden/>
    <w:rsid w:val="00954A8C"/>
    <w:rPr>
      <w:rFonts w:ascii="Courier" w:eastAsia="Times New Roman" w:hAnsi="Courier" w:cs="Times New Roman"/>
      <w:sz w:val="24"/>
      <w:szCs w:val="24"/>
    </w:rPr>
  </w:style>
  <w:style w:type="paragraph" w:styleId="CommentSubject">
    <w:name w:val="annotation subject"/>
    <w:basedOn w:val="CommentText"/>
    <w:next w:val="CommentText"/>
    <w:link w:val="CommentSubjectChar"/>
    <w:uiPriority w:val="99"/>
    <w:semiHidden/>
    <w:unhideWhenUsed/>
    <w:rsid w:val="00954A8C"/>
    <w:rPr>
      <w:b/>
      <w:bCs/>
      <w:sz w:val="20"/>
      <w:szCs w:val="20"/>
    </w:rPr>
  </w:style>
  <w:style w:type="character" w:customStyle="1" w:styleId="CommentSubjectChar">
    <w:name w:val="Comment Subject Char"/>
    <w:basedOn w:val="CommentTextChar"/>
    <w:link w:val="CommentSubject"/>
    <w:uiPriority w:val="99"/>
    <w:semiHidden/>
    <w:rsid w:val="00954A8C"/>
    <w:rPr>
      <w:rFonts w:ascii="Courier" w:eastAsia="Times New Roman" w:hAnsi="Courier" w:cs="Times New Roman"/>
      <w:b/>
      <w:bCs/>
      <w:sz w:val="20"/>
      <w:szCs w:val="20"/>
    </w:rPr>
  </w:style>
  <w:style w:type="paragraph" w:styleId="BalloonText">
    <w:name w:val="Balloon Text"/>
    <w:basedOn w:val="Normal"/>
    <w:link w:val="BalloonTextChar"/>
    <w:uiPriority w:val="99"/>
    <w:semiHidden/>
    <w:unhideWhenUsed/>
    <w:rsid w:val="00954A8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54A8C"/>
    <w:rPr>
      <w:rFonts w:ascii="Lucida Grande" w:eastAsia="Times New Roman" w:hAnsi="Lucida Grande" w:cs="Lucida Grande"/>
      <w:sz w:val="18"/>
      <w:szCs w:val="18"/>
    </w:rPr>
  </w:style>
  <w:style w:type="character" w:styleId="Hyperlink">
    <w:name w:val="Hyperlink"/>
    <w:basedOn w:val="DefaultParagraphFont"/>
    <w:unhideWhenUsed/>
    <w:rsid w:val="00F0075E"/>
    <w:rPr>
      <w:color w:val="0000FF"/>
      <w:u w:val="single"/>
    </w:rPr>
  </w:style>
  <w:style w:type="paragraph" w:customStyle="1" w:styleId="Default">
    <w:name w:val="Default"/>
    <w:rsid w:val="004507F3"/>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1112721">
      <w:bodyDiv w:val="1"/>
      <w:marLeft w:val="0"/>
      <w:marRight w:val="0"/>
      <w:marTop w:val="0"/>
      <w:marBottom w:val="0"/>
      <w:divBdr>
        <w:top w:val="none" w:sz="0" w:space="0" w:color="auto"/>
        <w:left w:val="none" w:sz="0" w:space="0" w:color="auto"/>
        <w:bottom w:val="none" w:sz="0" w:space="0" w:color="auto"/>
        <w:right w:val="none" w:sz="0" w:space="0" w:color="auto"/>
      </w:divBdr>
    </w:div>
    <w:div w:id="1003707223">
      <w:bodyDiv w:val="1"/>
      <w:marLeft w:val="0"/>
      <w:marRight w:val="0"/>
      <w:marTop w:val="0"/>
      <w:marBottom w:val="0"/>
      <w:divBdr>
        <w:top w:val="none" w:sz="0" w:space="0" w:color="auto"/>
        <w:left w:val="none" w:sz="0" w:space="0" w:color="auto"/>
        <w:bottom w:val="none" w:sz="0" w:space="0" w:color="auto"/>
        <w:right w:val="none" w:sz="0" w:space="0" w:color="auto"/>
      </w:divBdr>
    </w:div>
    <w:div w:id="1977249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nastasios.tsoutis@usdoj.go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lizabeth.Carson@ojp.usdoj.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E75C66-1709-4EF5-AB36-F2E95A43CB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1393</Words>
  <Characters>7946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DOJ</Company>
  <LinksUpToDate>false</LinksUpToDate>
  <CharactersWithSpaces>9321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NoonanM</dc:creator>
  <cp:lastModifiedBy>Noonan, Margaret</cp:lastModifiedBy>
  <cp:revision>2</cp:revision>
  <cp:lastPrinted>2012-09-18T20:33:00Z</cp:lastPrinted>
  <dcterms:created xsi:type="dcterms:W3CDTF">2016-01-11T18:36:00Z</dcterms:created>
  <dcterms:modified xsi:type="dcterms:W3CDTF">2016-01-11T18:36:00Z</dcterms:modified>
</cp:coreProperties>
</file>