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B5179" w14:textId="77777777" w:rsidR="00344C0D" w:rsidRDefault="00344C0D" w:rsidP="00344C0D">
      <w:pPr>
        <w:pStyle w:val="Title"/>
      </w:pPr>
      <w:bookmarkStart w:id="0" w:name="_GoBack"/>
      <w:bookmarkEnd w:id="0"/>
      <w:r>
        <w:t>SUPPORTING STATEMENT</w:t>
      </w:r>
    </w:p>
    <w:p w14:paraId="4F214F05" w14:textId="77777777" w:rsidR="00344C0D" w:rsidRDefault="00344C0D" w:rsidP="00344C0D">
      <w:pPr>
        <w:rPr>
          <w:sz w:val="24"/>
        </w:rPr>
      </w:pPr>
    </w:p>
    <w:p w14:paraId="4BE15845" w14:textId="77777777" w:rsidR="00344C0D" w:rsidRDefault="00344C0D" w:rsidP="00344C0D">
      <w:pPr>
        <w:pStyle w:val="Subtitle"/>
        <w:rPr>
          <w:u w:val="single"/>
        </w:rPr>
      </w:pPr>
      <w:r>
        <w:t>A.</w:t>
      </w:r>
      <w:r>
        <w:tab/>
      </w:r>
      <w:r>
        <w:rPr>
          <w:u w:val="single"/>
        </w:rPr>
        <w:t>Justification</w:t>
      </w:r>
    </w:p>
    <w:p w14:paraId="1F0426A9" w14:textId="77777777" w:rsidR="00344C0D" w:rsidRDefault="00344C0D" w:rsidP="00344C0D">
      <w:pPr>
        <w:rPr>
          <w:sz w:val="24"/>
        </w:rPr>
      </w:pPr>
    </w:p>
    <w:p w14:paraId="7D4BE1D4" w14:textId="77777777" w:rsidR="00344C0D" w:rsidRDefault="00344C0D" w:rsidP="00344C0D">
      <w:pPr>
        <w:ind w:left="345"/>
        <w:rPr>
          <w:sz w:val="24"/>
        </w:rPr>
      </w:pPr>
      <w:r>
        <w:rPr>
          <w:sz w:val="24"/>
        </w:rPr>
        <w:t>1.</w:t>
      </w:r>
      <w:r>
        <w:rPr>
          <w:sz w:val="24"/>
        </w:rPr>
        <w:tab/>
      </w:r>
      <w:r>
        <w:rPr>
          <w:sz w:val="24"/>
          <w:u w:val="single"/>
        </w:rPr>
        <w:t>Necessity of the Information Collected</w:t>
      </w:r>
    </w:p>
    <w:p w14:paraId="63238A4F" w14:textId="77777777" w:rsidR="00344C0D" w:rsidRDefault="00344C0D" w:rsidP="00344C0D">
      <w:pPr>
        <w:rPr>
          <w:sz w:val="24"/>
          <w:u w:val="single"/>
        </w:rPr>
      </w:pPr>
    </w:p>
    <w:p w14:paraId="657DE21F" w14:textId="3BA1E6A8" w:rsidR="00344C0D" w:rsidRDefault="00344C0D" w:rsidP="00344C0D">
      <w:pPr>
        <w:ind w:left="720"/>
        <w:rPr>
          <w:sz w:val="24"/>
        </w:rPr>
      </w:pPr>
      <w:r w:rsidRPr="00F2488E">
        <w:rPr>
          <w:sz w:val="24"/>
        </w:rPr>
        <w:t xml:space="preserve">The purpose of this request for review is to obtain clearance for the </w:t>
      </w:r>
      <w:r w:rsidR="00745EF5">
        <w:rPr>
          <w:sz w:val="24"/>
        </w:rPr>
        <w:t>Unemployment Insurance (UI) Non-Filer</w:t>
      </w:r>
      <w:r w:rsidRPr="00F2488E">
        <w:rPr>
          <w:sz w:val="24"/>
        </w:rPr>
        <w:t xml:space="preserve"> </w:t>
      </w:r>
      <w:r w:rsidR="00521C0A">
        <w:rPr>
          <w:sz w:val="24"/>
        </w:rPr>
        <w:t>S</w:t>
      </w:r>
      <w:r>
        <w:rPr>
          <w:sz w:val="24"/>
        </w:rPr>
        <w:t xml:space="preserve">upplement </w:t>
      </w:r>
      <w:r w:rsidRPr="00F2488E">
        <w:rPr>
          <w:sz w:val="24"/>
        </w:rPr>
        <w:t xml:space="preserve">to </w:t>
      </w:r>
      <w:r>
        <w:rPr>
          <w:sz w:val="24"/>
        </w:rPr>
        <w:t xml:space="preserve">the </w:t>
      </w:r>
      <w:r w:rsidRPr="00F2488E">
        <w:rPr>
          <w:sz w:val="24"/>
        </w:rPr>
        <w:t>Current Population Survey (CPS</w:t>
      </w:r>
      <w:r>
        <w:rPr>
          <w:sz w:val="24"/>
        </w:rPr>
        <w:t xml:space="preserve">), scheduled to </w:t>
      </w:r>
      <w:r w:rsidRPr="00F2488E">
        <w:rPr>
          <w:sz w:val="24"/>
        </w:rPr>
        <w:t xml:space="preserve">be conducted in </w:t>
      </w:r>
      <w:r w:rsidR="00745EF5">
        <w:rPr>
          <w:sz w:val="24"/>
        </w:rPr>
        <w:t>May</w:t>
      </w:r>
      <w:r w:rsidRPr="00F2488E">
        <w:rPr>
          <w:sz w:val="24"/>
        </w:rPr>
        <w:t xml:space="preserve"> 20</w:t>
      </w:r>
      <w:r w:rsidR="00DA7866">
        <w:rPr>
          <w:sz w:val="24"/>
        </w:rPr>
        <w:t>18</w:t>
      </w:r>
      <w:r w:rsidR="00EE6751">
        <w:rPr>
          <w:sz w:val="24"/>
        </w:rPr>
        <w:t xml:space="preserve"> and </w:t>
      </w:r>
      <w:r w:rsidR="00745EF5">
        <w:rPr>
          <w:sz w:val="24"/>
        </w:rPr>
        <w:t>September 2018</w:t>
      </w:r>
      <w:r w:rsidRPr="00F2488E">
        <w:rPr>
          <w:sz w:val="24"/>
        </w:rPr>
        <w:t>.</w:t>
      </w:r>
      <w:r w:rsidR="000C2AAF">
        <w:rPr>
          <w:sz w:val="24"/>
        </w:rPr>
        <w:t xml:space="preserve"> </w:t>
      </w:r>
      <w:r w:rsidR="00745EF5" w:rsidRPr="00E30D03">
        <w:rPr>
          <w:sz w:val="24"/>
        </w:rPr>
        <w:t xml:space="preserve">A </w:t>
      </w:r>
      <w:r w:rsidR="005E061B" w:rsidRPr="00E30D03">
        <w:rPr>
          <w:sz w:val="24"/>
        </w:rPr>
        <w:t xml:space="preserve">modified </w:t>
      </w:r>
      <w:r w:rsidR="00745EF5" w:rsidRPr="00E30D03">
        <w:rPr>
          <w:sz w:val="24"/>
        </w:rPr>
        <w:t xml:space="preserve">version of this supplement was last given in </w:t>
      </w:r>
      <w:r w:rsidR="005E061B" w:rsidRPr="00E30D03">
        <w:rPr>
          <w:sz w:val="24"/>
        </w:rPr>
        <w:t>May 2005</w:t>
      </w:r>
      <w:r w:rsidR="00E30D03">
        <w:rPr>
          <w:sz w:val="24"/>
        </w:rPr>
        <w:t xml:space="preserve">, </w:t>
      </w:r>
      <w:r w:rsidR="00E30D03" w:rsidRPr="00E30D03">
        <w:rPr>
          <w:sz w:val="24"/>
        </w:rPr>
        <w:t>under an interagency agreement between the Department of Labor and the United States Census Bureau</w:t>
      </w:r>
      <w:r w:rsidR="005E061B" w:rsidRPr="00E30D03">
        <w:rPr>
          <w:sz w:val="24"/>
        </w:rPr>
        <w:t>.</w:t>
      </w:r>
      <w:r w:rsidR="005E061B">
        <w:rPr>
          <w:sz w:val="24"/>
        </w:rPr>
        <w:t xml:space="preserve"> </w:t>
      </w:r>
      <w:r w:rsidRPr="00F2488E">
        <w:rPr>
          <w:sz w:val="24"/>
        </w:rPr>
        <w:t xml:space="preserve">The proposed supplement questions are shown in Attachment A. The </w:t>
      </w:r>
      <w:r w:rsidR="005E061B">
        <w:rPr>
          <w:sz w:val="24"/>
        </w:rPr>
        <w:t>UI Non-</w:t>
      </w:r>
      <w:r w:rsidR="003C66B4">
        <w:rPr>
          <w:sz w:val="24"/>
        </w:rPr>
        <w:t>F</w:t>
      </w:r>
      <w:r w:rsidR="005E061B">
        <w:rPr>
          <w:sz w:val="24"/>
        </w:rPr>
        <w:t>iler</w:t>
      </w:r>
      <w:r>
        <w:rPr>
          <w:sz w:val="24"/>
        </w:rPr>
        <w:t xml:space="preserve"> </w:t>
      </w:r>
      <w:r w:rsidR="00521C0A">
        <w:rPr>
          <w:sz w:val="24"/>
        </w:rPr>
        <w:t>S</w:t>
      </w:r>
      <w:r w:rsidRPr="00F2488E">
        <w:rPr>
          <w:sz w:val="24"/>
        </w:rPr>
        <w:t xml:space="preserve">upplement will be asked </w:t>
      </w:r>
      <w:r w:rsidR="006C4856">
        <w:rPr>
          <w:sz w:val="24"/>
        </w:rPr>
        <w:t>about</w:t>
      </w:r>
      <w:r w:rsidRPr="00F2488E">
        <w:rPr>
          <w:sz w:val="24"/>
        </w:rPr>
        <w:t xml:space="preserve"> all </w:t>
      </w:r>
      <w:r w:rsidR="006C4856">
        <w:rPr>
          <w:sz w:val="24"/>
        </w:rPr>
        <w:t>household members</w:t>
      </w:r>
      <w:r w:rsidRPr="00F2488E">
        <w:rPr>
          <w:sz w:val="24"/>
        </w:rPr>
        <w:t xml:space="preserve"> age </w:t>
      </w:r>
      <w:r w:rsidR="00521200">
        <w:rPr>
          <w:sz w:val="24"/>
        </w:rPr>
        <w:t>16</w:t>
      </w:r>
      <w:r w:rsidRPr="00F2488E">
        <w:rPr>
          <w:sz w:val="24"/>
        </w:rPr>
        <w:t xml:space="preserve"> </w:t>
      </w:r>
      <w:r>
        <w:rPr>
          <w:sz w:val="24"/>
        </w:rPr>
        <w:t>or</w:t>
      </w:r>
      <w:r w:rsidRPr="00F2488E">
        <w:rPr>
          <w:sz w:val="24"/>
        </w:rPr>
        <w:t xml:space="preserve"> older</w:t>
      </w:r>
      <w:r>
        <w:rPr>
          <w:sz w:val="24"/>
        </w:rPr>
        <w:t xml:space="preserve"> who </w:t>
      </w:r>
      <w:r w:rsidR="00521200">
        <w:rPr>
          <w:sz w:val="24"/>
        </w:rPr>
        <w:t>are unemployed</w:t>
      </w:r>
      <w:r w:rsidR="00C02B09">
        <w:rPr>
          <w:sz w:val="24"/>
        </w:rPr>
        <w:t xml:space="preserve"> and </w:t>
      </w:r>
      <w:r w:rsidR="006C4856">
        <w:rPr>
          <w:sz w:val="24"/>
        </w:rPr>
        <w:t>about</w:t>
      </w:r>
      <w:r w:rsidR="00C02B09">
        <w:rPr>
          <w:sz w:val="24"/>
        </w:rPr>
        <w:t xml:space="preserve"> a </w:t>
      </w:r>
      <w:r w:rsidR="006C4856">
        <w:rPr>
          <w:sz w:val="24"/>
        </w:rPr>
        <w:t>subset of those</w:t>
      </w:r>
      <w:r w:rsidR="00C02B09">
        <w:rPr>
          <w:sz w:val="24"/>
        </w:rPr>
        <w:t xml:space="preserve"> who are</w:t>
      </w:r>
      <w:r w:rsidR="00521200">
        <w:rPr>
          <w:sz w:val="24"/>
        </w:rPr>
        <w:t xml:space="preserve"> not in the labor force</w:t>
      </w:r>
      <w:r w:rsidRPr="00F2488E">
        <w:rPr>
          <w:sz w:val="24"/>
        </w:rPr>
        <w:t xml:space="preserve">.  </w:t>
      </w:r>
    </w:p>
    <w:p w14:paraId="2958AEE8" w14:textId="77777777" w:rsidR="00344C0D" w:rsidRDefault="00344C0D" w:rsidP="00344C0D">
      <w:pPr>
        <w:ind w:left="720"/>
        <w:rPr>
          <w:sz w:val="24"/>
        </w:rPr>
      </w:pPr>
    </w:p>
    <w:p w14:paraId="4A3AC67C" w14:textId="3EA30E8B" w:rsidR="00344C0D" w:rsidRDefault="00C02B09" w:rsidP="00344C0D">
      <w:pPr>
        <w:ind w:left="720"/>
        <w:rPr>
          <w:sz w:val="24"/>
        </w:rPr>
      </w:pPr>
      <w:r>
        <w:rPr>
          <w:sz w:val="24"/>
        </w:rPr>
        <w:t>UI benefits are intended to provide temporary financial assistance to people who are unemployed through no fault of their own and meet certain eligibility requirements. These UI payments can have other benefits as well, such as helping to stabilize the economy during recessionary periods. Little, however, is known about the reasons and characteristics of people who do not file for UI benefits.  R</w:t>
      </w:r>
      <w:r w:rsidR="00344C0D">
        <w:rPr>
          <w:sz w:val="24"/>
        </w:rPr>
        <w:t xml:space="preserve">esults </w:t>
      </w:r>
      <w:r>
        <w:rPr>
          <w:sz w:val="24"/>
        </w:rPr>
        <w:t>from</w:t>
      </w:r>
      <w:r w:rsidR="00344C0D">
        <w:rPr>
          <w:sz w:val="24"/>
        </w:rPr>
        <w:t xml:space="preserve"> this supplement will be used to determine the </w:t>
      </w:r>
      <w:r w:rsidR="006C4856">
        <w:rPr>
          <w:sz w:val="24"/>
        </w:rPr>
        <w:t>number</w:t>
      </w:r>
      <w:r w:rsidR="00344C0D">
        <w:rPr>
          <w:sz w:val="24"/>
        </w:rPr>
        <w:t xml:space="preserve"> and characteristics of </w:t>
      </w:r>
      <w:r w:rsidR="006D3801">
        <w:rPr>
          <w:sz w:val="24"/>
        </w:rPr>
        <w:t>those who</w:t>
      </w:r>
      <w:r w:rsidR="006C4856">
        <w:rPr>
          <w:sz w:val="24"/>
        </w:rPr>
        <w:t xml:space="preserve"> do and </w:t>
      </w:r>
      <w:r w:rsidR="00431031">
        <w:rPr>
          <w:sz w:val="24"/>
        </w:rPr>
        <w:t>do</w:t>
      </w:r>
      <w:r w:rsidR="006D3801">
        <w:rPr>
          <w:sz w:val="24"/>
        </w:rPr>
        <w:t xml:space="preserve"> </w:t>
      </w:r>
      <w:r w:rsidR="00521200">
        <w:rPr>
          <w:sz w:val="24"/>
        </w:rPr>
        <w:t>not file for UI benefits</w:t>
      </w:r>
      <w:r w:rsidR="006C4856">
        <w:rPr>
          <w:sz w:val="24"/>
        </w:rPr>
        <w:t>, as well as non-filers’</w:t>
      </w:r>
      <w:r w:rsidR="00521200">
        <w:rPr>
          <w:sz w:val="24"/>
        </w:rPr>
        <w:t xml:space="preserve"> reasons for not filing</w:t>
      </w:r>
      <w:r w:rsidR="00344C0D">
        <w:rPr>
          <w:sz w:val="24"/>
        </w:rPr>
        <w:t xml:space="preserve">. The data are necessary for </w:t>
      </w:r>
      <w:r w:rsidR="006D3801">
        <w:rPr>
          <w:sz w:val="24"/>
        </w:rPr>
        <w:t xml:space="preserve">the Department of Labor and other policymakers to </w:t>
      </w:r>
      <w:r w:rsidR="006C4856">
        <w:rPr>
          <w:sz w:val="24"/>
        </w:rPr>
        <w:t>measure the effectiveness of current</w:t>
      </w:r>
      <w:r w:rsidR="00344C0D">
        <w:rPr>
          <w:sz w:val="24"/>
        </w:rPr>
        <w:t xml:space="preserve"> </w:t>
      </w:r>
      <w:r w:rsidR="00521200">
        <w:rPr>
          <w:sz w:val="24"/>
        </w:rPr>
        <w:t>UI</w:t>
      </w:r>
      <w:r w:rsidR="00344C0D">
        <w:rPr>
          <w:sz w:val="24"/>
        </w:rPr>
        <w:t xml:space="preserve"> programs</w:t>
      </w:r>
      <w:r w:rsidR="006C4856">
        <w:rPr>
          <w:sz w:val="24"/>
        </w:rPr>
        <w:t xml:space="preserve"> and to plan for future changes</w:t>
      </w:r>
      <w:r w:rsidR="00344C0D">
        <w:rPr>
          <w:sz w:val="24"/>
        </w:rPr>
        <w:t xml:space="preserve">.  </w:t>
      </w:r>
    </w:p>
    <w:p w14:paraId="4BDD5278" w14:textId="77777777" w:rsidR="00344C0D" w:rsidRDefault="00344C0D" w:rsidP="00344C0D">
      <w:pPr>
        <w:ind w:left="720"/>
        <w:rPr>
          <w:sz w:val="24"/>
        </w:rPr>
      </w:pPr>
    </w:p>
    <w:p w14:paraId="04B1B41E" w14:textId="404F2170" w:rsidR="00344C0D" w:rsidRDefault="00344C0D" w:rsidP="00344C0D">
      <w:pPr>
        <w:pStyle w:val="BodyTextIndent"/>
        <w:ind w:firstLine="0"/>
      </w:pPr>
      <w:r>
        <w:t>The CPS has been the principal source of the official Government statistics on employment and unemployment for over 7</w:t>
      </w:r>
      <w:r w:rsidR="00324BED">
        <w:t>5</w:t>
      </w:r>
      <w:r>
        <w:t xml:space="preserve"> years. Collection of labor force data through the CPS helps BLS meet its mandate as set forth in Title 29, United States Code, Sections 1 through 9 (Attachment B). </w:t>
      </w:r>
    </w:p>
    <w:p w14:paraId="3057934E" w14:textId="77777777" w:rsidR="00344C0D" w:rsidRDefault="00344C0D" w:rsidP="00344C0D">
      <w:pPr>
        <w:rPr>
          <w:sz w:val="24"/>
        </w:rPr>
      </w:pPr>
    </w:p>
    <w:p w14:paraId="2ABAD7DA" w14:textId="77777777" w:rsidR="00344C0D" w:rsidRDefault="00344C0D" w:rsidP="00344C0D">
      <w:pPr>
        <w:rPr>
          <w:sz w:val="24"/>
        </w:rPr>
      </w:pPr>
    </w:p>
    <w:p w14:paraId="5CF788BB" w14:textId="77777777" w:rsidR="00344C0D" w:rsidRDefault="00344C0D" w:rsidP="00344C0D">
      <w:pPr>
        <w:rPr>
          <w:sz w:val="24"/>
        </w:rPr>
      </w:pPr>
      <w:r>
        <w:rPr>
          <w:sz w:val="24"/>
        </w:rPr>
        <w:t xml:space="preserve">   2.</w:t>
      </w:r>
      <w:r>
        <w:rPr>
          <w:sz w:val="24"/>
        </w:rPr>
        <w:tab/>
      </w:r>
      <w:r>
        <w:rPr>
          <w:sz w:val="24"/>
          <w:u w:val="single"/>
        </w:rPr>
        <w:t>Needs and Uses</w:t>
      </w:r>
    </w:p>
    <w:p w14:paraId="1F45532A" w14:textId="77777777" w:rsidR="00344C0D" w:rsidRDefault="00344C0D" w:rsidP="00344C0D">
      <w:pPr>
        <w:rPr>
          <w:sz w:val="24"/>
        </w:rPr>
      </w:pPr>
      <w:r>
        <w:rPr>
          <w:sz w:val="24"/>
        </w:rPr>
        <w:tab/>
      </w:r>
    </w:p>
    <w:p w14:paraId="419434F2" w14:textId="59E1230C" w:rsidR="00344C0D" w:rsidRDefault="00344C0D" w:rsidP="00344C0D">
      <w:pPr>
        <w:ind w:left="717"/>
        <w:rPr>
          <w:sz w:val="24"/>
        </w:rPr>
      </w:pPr>
      <w:r w:rsidRPr="007A5446">
        <w:rPr>
          <w:sz w:val="24"/>
        </w:rPr>
        <w:t>Th</w:t>
      </w:r>
      <w:r w:rsidR="00723C6E">
        <w:rPr>
          <w:sz w:val="24"/>
        </w:rPr>
        <w:t>e UI Non-Filer</w:t>
      </w:r>
      <w:r w:rsidR="003C66B4">
        <w:rPr>
          <w:sz w:val="24"/>
        </w:rPr>
        <w:t xml:space="preserve"> S</w:t>
      </w:r>
      <w:r w:rsidRPr="007A5446">
        <w:rPr>
          <w:sz w:val="24"/>
        </w:rPr>
        <w:t>upplement will gather information</w:t>
      </w:r>
      <w:r w:rsidR="00F92EB8">
        <w:rPr>
          <w:sz w:val="24"/>
        </w:rPr>
        <w:t xml:space="preserve"> </w:t>
      </w:r>
      <w:r w:rsidRPr="007A5446">
        <w:rPr>
          <w:sz w:val="24"/>
        </w:rPr>
        <w:t xml:space="preserve">on </w:t>
      </w:r>
      <w:r w:rsidR="006D3801">
        <w:rPr>
          <w:sz w:val="24"/>
        </w:rPr>
        <w:t xml:space="preserve">people who are unemployed </w:t>
      </w:r>
      <w:r w:rsidR="00F92EB8">
        <w:rPr>
          <w:sz w:val="24"/>
        </w:rPr>
        <w:t xml:space="preserve">but also on a </w:t>
      </w:r>
      <w:r w:rsidR="00B969D7">
        <w:rPr>
          <w:sz w:val="24"/>
        </w:rPr>
        <w:t>subset of those</w:t>
      </w:r>
      <w:r w:rsidR="006D3801">
        <w:rPr>
          <w:sz w:val="24"/>
        </w:rPr>
        <w:t xml:space="preserve"> not in the labor force</w:t>
      </w:r>
      <w:r>
        <w:rPr>
          <w:sz w:val="24"/>
        </w:rPr>
        <w:t>.</w:t>
      </w:r>
      <w:r w:rsidRPr="007A5446">
        <w:rPr>
          <w:sz w:val="24"/>
        </w:rPr>
        <w:t xml:space="preserve"> </w:t>
      </w:r>
      <w:r>
        <w:rPr>
          <w:sz w:val="24"/>
        </w:rPr>
        <w:t xml:space="preserve">Information </w:t>
      </w:r>
      <w:r w:rsidR="006D3801">
        <w:rPr>
          <w:sz w:val="24"/>
        </w:rPr>
        <w:t xml:space="preserve">will be collected about UI participation and reasons for not participating. </w:t>
      </w:r>
      <w:r w:rsidR="00265C12">
        <w:rPr>
          <w:sz w:val="24"/>
        </w:rPr>
        <w:t xml:space="preserve">The supplement also contains questions about people’s job search experience, such as </w:t>
      </w:r>
      <w:r w:rsidR="00854461">
        <w:rPr>
          <w:sz w:val="24"/>
        </w:rPr>
        <w:t>information about jobs for which they have applied</w:t>
      </w:r>
      <w:r w:rsidR="00265C12">
        <w:rPr>
          <w:sz w:val="24"/>
        </w:rPr>
        <w:t xml:space="preserve"> and whether they would accept a job similar to their last job at lower pay. </w:t>
      </w:r>
      <w:r w:rsidR="00F92EB8">
        <w:rPr>
          <w:sz w:val="24"/>
        </w:rPr>
        <w:t xml:space="preserve">UI benefits </w:t>
      </w:r>
      <w:r w:rsidR="00C02B09">
        <w:rPr>
          <w:sz w:val="24"/>
        </w:rPr>
        <w:t>provide temporary financial assistance to the unemployed who meet certain eligibility criteria and can also help protect the economy during economic downturns.</w:t>
      </w:r>
      <w:r w:rsidR="009F43BC">
        <w:rPr>
          <w:sz w:val="24"/>
        </w:rPr>
        <w:t xml:space="preserve"> </w:t>
      </w:r>
      <w:r w:rsidR="00AF6B80" w:rsidRPr="00E36AC9">
        <w:rPr>
          <w:sz w:val="24"/>
        </w:rPr>
        <w:t>Work patterns have changed since the supplement was last collected in 2005, making updated information of paramount importance.</w:t>
      </w:r>
      <w:r w:rsidR="00AF6B80">
        <w:rPr>
          <w:sz w:val="24"/>
        </w:rPr>
        <w:t xml:space="preserve"> </w:t>
      </w:r>
      <w:r w:rsidR="005D54ED">
        <w:rPr>
          <w:sz w:val="24"/>
        </w:rPr>
        <w:t xml:space="preserve">Data gathered in this supplement will help </w:t>
      </w:r>
      <w:r w:rsidR="00B969D7">
        <w:rPr>
          <w:sz w:val="24"/>
        </w:rPr>
        <w:t>measure the effectiveness of</w:t>
      </w:r>
      <w:r w:rsidR="005D54ED">
        <w:rPr>
          <w:sz w:val="24"/>
        </w:rPr>
        <w:t xml:space="preserve"> existing UI programs and assist policy makers in developing </w:t>
      </w:r>
      <w:r w:rsidR="00B969D7">
        <w:rPr>
          <w:sz w:val="24"/>
        </w:rPr>
        <w:t>future</w:t>
      </w:r>
      <w:r w:rsidR="005D54ED">
        <w:rPr>
          <w:sz w:val="24"/>
        </w:rPr>
        <w:t xml:space="preserve"> policies.  </w:t>
      </w:r>
      <w:r w:rsidR="00D61048">
        <w:rPr>
          <w:sz w:val="24"/>
        </w:rPr>
        <w:t xml:space="preserve">Additionally, there is a notable dearth of available data describing the job search process of unemployed individuals and the difficulties these seekers have in </w:t>
      </w:r>
      <w:r w:rsidR="00D61048">
        <w:rPr>
          <w:sz w:val="24"/>
        </w:rPr>
        <w:lastRenderedPageBreak/>
        <w:t>finding new employment. This supplement offers data that can help understand the hurdles the unemployed face while searching for work.</w:t>
      </w:r>
    </w:p>
    <w:p w14:paraId="6B5E0EC5" w14:textId="77777777" w:rsidR="00C02B09" w:rsidRDefault="00C02B09" w:rsidP="00344C0D">
      <w:pPr>
        <w:ind w:left="717"/>
        <w:rPr>
          <w:sz w:val="24"/>
        </w:rPr>
      </w:pPr>
    </w:p>
    <w:p w14:paraId="645A40D9" w14:textId="65A2365D" w:rsidR="00344C0D" w:rsidRPr="007A5446" w:rsidRDefault="00344C0D" w:rsidP="00344C0D">
      <w:pPr>
        <w:ind w:left="717"/>
        <w:rPr>
          <w:sz w:val="24"/>
          <w:szCs w:val="24"/>
        </w:rPr>
      </w:pPr>
      <w:r w:rsidRPr="007A5446">
        <w:rPr>
          <w:sz w:val="24"/>
          <w:szCs w:val="24"/>
        </w:rPr>
        <w:t xml:space="preserve">Because this supplement is part of the CPS, </w:t>
      </w:r>
      <w:r w:rsidR="00381ACA">
        <w:rPr>
          <w:sz w:val="24"/>
          <w:szCs w:val="24"/>
        </w:rPr>
        <w:t>in which detailed demographic data are collected, estimates can be produced for a variety of subpopulations</w:t>
      </w:r>
      <w:r w:rsidRPr="007A5446">
        <w:rPr>
          <w:sz w:val="24"/>
          <w:szCs w:val="24"/>
        </w:rPr>
        <w:t xml:space="preserve">. </w:t>
      </w:r>
      <w:r w:rsidR="00381ACA">
        <w:rPr>
          <w:sz w:val="24"/>
          <w:szCs w:val="24"/>
        </w:rPr>
        <w:t>Given sufficient sample size, c</w:t>
      </w:r>
      <w:r w:rsidRPr="007A5446">
        <w:rPr>
          <w:sz w:val="24"/>
          <w:szCs w:val="24"/>
        </w:rPr>
        <w:t>omparisons</w:t>
      </w:r>
      <w:r w:rsidR="00062074">
        <w:rPr>
          <w:sz w:val="24"/>
          <w:szCs w:val="24"/>
        </w:rPr>
        <w:t xml:space="preserve"> between UI filers and non-filers</w:t>
      </w:r>
      <w:r w:rsidRPr="007A5446">
        <w:rPr>
          <w:sz w:val="24"/>
          <w:szCs w:val="24"/>
        </w:rPr>
        <w:t xml:space="preserve"> will be possible across characteristics</w:t>
      </w:r>
      <w:r>
        <w:rPr>
          <w:sz w:val="24"/>
          <w:szCs w:val="24"/>
        </w:rPr>
        <w:t xml:space="preserve"> </w:t>
      </w:r>
      <w:r w:rsidRPr="007A5446">
        <w:rPr>
          <w:sz w:val="24"/>
          <w:szCs w:val="24"/>
        </w:rPr>
        <w:t>such as sex, race</w:t>
      </w:r>
      <w:r>
        <w:rPr>
          <w:sz w:val="24"/>
          <w:szCs w:val="24"/>
        </w:rPr>
        <w:t xml:space="preserve"> and ethnicity</w:t>
      </w:r>
      <w:r w:rsidRPr="007A5446">
        <w:rPr>
          <w:sz w:val="24"/>
          <w:szCs w:val="24"/>
        </w:rPr>
        <w:t xml:space="preserve">, age, and educational attainment.  </w:t>
      </w:r>
    </w:p>
    <w:p w14:paraId="7576B96B" w14:textId="77777777" w:rsidR="00344C0D" w:rsidRPr="007A5446" w:rsidRDefault="00344C0D" w:rsidP="00344C0D">
      <w:pPr>
        <w:ind w:left="717"/>
        <w:rPr>
          <w:sz w:val="24"/>
        </w:rPr>
      </w:pPr>
    </w:p>
    <w:p w14:paraId="29A1C8F7" w14:textId="2125FC00" w:rsidR="00344C0D" w:rsidRDefault="00344C0D" w:rsidP="00344C0D">
      <w:pPr>
        <w:ind w:left="720"/>
        <w:rPr>
          <w:sz w:val="24"/>
        </w:rPr>
      </w:pPr>
    </w:p>
    <w:p w14:paraId="3EA76D38" w14:textId="77777777" w:rsidR="00344C0D" w:rsidRDefault="00344C0D" w:rsidP="00344C0D">
      <w:pPr>
        <w:rPr>
          <w:sz w:val="24"/>
        </w:rPr>
      </w:pPr>
      <w:r>
        <w:rPr>
          <w:sz w:val="24"/>
        </w:rPr>
        <w:t xml:space="preserve">   3.</w:t>
      </w:r>
      <w:r>
        <w:rPr>
          <w:sz w:val="24"/>
        </w:rPr>
        <w:tab/>
      </w:r>
      <w:r>
        <w:rPr>
          <w:sz w:val="24"/>
          <w:u w:val="single"/>
        </w:rPr>
        <w:t>Use of Information Technology</w:t>
      </w:r>
    </w:p>
    <w:p w14:paraId="3815CDBE" w14:textId="77777777" w:rsidR="00344C0D" w:rsidRDefault="00344C0D" w:rsidP="00344C0D">
      <w:pPr>
        <w:rPr>
          <w:sz w:val="24"/>
        </w:rPr>
      </w:pPr>
    </w:p>
    <w:p w14:paraId="3782C80B" w14:textId="1FBE02A6" w:rsidR="00344C0D" w:rsidRDefault="00344C0D" w:rsidP="00344C0D">
      <w:pPr>
        <w:ind w:left="717"/>
        <w:rPr>
          <w:sz w:val="24"/>
        </w:rPr>
      </w:pPr>
      <w:r>
        <w:rPr>
          <w:sz w:val="24"/>
        </w:rPr>
        <w:t>The Census Bureau, which conducts the actual collection of the CPS data—designing the sample, training and monitoring the interviewers, and conducting a continuing quality control program—uses methods designed to keep respondent burden as low a</w:t>
      </w:r>
      <w:r w:rsidR="000C2AAF">
        <w:rPr>
          <w:sz w:val="24"/>
        </w:rPr>
        <w:t>s possible.</w:t>
      </w:r>
      <w:r>
        <w:rPr>
          <w:sz w:val="24"/>
        </w:rPr>
        <w:t xml:space="preserve"> These interviewing methods, which include the use of computer-assisted interviewing, were improved as part of a complete redesign of the C</w:t>
      </w:r>
      <w:r w:rsidR="000C2AAF">
        <w:rPr>
          <w:sz w:val="24"/>
        </w:rPr>
        <w:t>PS implemented in January 1994.</w:t>
      </w:r>
      <w:r>
        <w:rPr>
          <w:sz w:val="24"/>
        </w:rPr>
        <w:t xml:space="preserve"> The redesign was preceded by years of wide-ranging discussions, research, and large-scale field tests aimed at long-range improvements in the survey. </w:t>
      </w:r>
    </w:p>
    <w:p w14:paraId="2F41158E" w14:textId="77777777" w:rsidR="00344C0D" w:rsidRDefault="00344C0D" w:rsidP="00344C0D">
      <w:pPr>
        <w:rPr>
          <w:sz w:val="24"/>
        </w:rPr>
      </w:pPr>
    </w:p>
    <w:p w14:paraId="6EE4ADF8" w14:textId="0E282CF9" w:rsidR="00344C0D" w:rsidRDefault="00344C0D" w:rsidP="00344C0D">
      <w:pPr>
        <w:ind w:left="720"/>
        <w:rPr>
          <w:sz w:val="24"/>
        </w:rPr>
      </w:pPr>
      <w:r>
        <w:rPr>
          <w:sz w:val="24"/>
        </w:rPr>
        <w:t xml:space="preserve">The CPS and all of its supplements are collected 100 percent electronically by using Computer Assisted Telephone Interviews and Computer Assisted Personal Interviews (CATI/CAPI). </w:t>
      </w:r>
      <w:r w:rsidRPr="00926A78">
        <w:rPr>
          <w:sz w:val="24"/>
          <w:szCs w:val="24"/>
        </w:rPr>
        <w:t>With the collection of</w:t>
      </w:r>
      <w:r>
        <w:rPr>
          <w:sz w:val="24"/>
          <w:szCs w:val="24"/>
        </w:rPr>
        <w:t xml:space="preserve"> Basic CPS</w:t>
      </w:r>
      <w:r w:rsidRPr="00926A78">
        <w:rPr>
          <w:sz w:val="24"/>
          <w:szCs w:val="24"/>
        </w:rPr>
        <w:t xml:space="preserve"> data for January 2007</w:t>
      </w:r>
      <w:r w:rsidRPr="00926A78">
        <w:rPr>
          <w:sz w:val="24"/>
        </w:rPr>
        <w:t>, a</w:t>
      </w:r>
      <w:r>
        <w:rPr>
          <w:sz w:val="24"/>
          <w:szCs w:val="24"/>
        </w:rPr>
        <w:t>n updated</w:t>
      </w:r>
      <w:r w:rsidRPr="00926A78">
        <w:rPr>
          <w:sz w:val="24"/>
          <w:szCs w:val="24"/>
        </w:rPr>
        <w:t xml:space="preserve"> computer-assisted interviewing s</w:t>
      </w:r>
      <w:r>
        <w:rPr>
          <w:sz w:val="24"/>
          <w:szCs w:val="24"/>
        </w:rPr>
        <w:t>oftware</w:t>
      </w:r>
      <w:r w:rsidRPr="00926A78">
        <w:rPr>
          <w:sz w:val="24"/>
          <w:szCs w:val="24"/>
        </w:rPr>
        <w:t>, called Blaise,</w:t>
      </w:r>
      <w:r w:rsidRPr="00926A78">
        <w:rPr>
          <w:sz w:val="24"/>
        </w:rPr>
        <w:t xml:space="preserve"> was introduced for running the data collection instrument. </w:t>
      </w:r>
      <w:r w:rsidRPr="00926A78">
        <w:rPr>
          <w:sz w:val="24"/>
          <w:szCs w:val="24"/>
        </w:rPr>
        <w:t>Blaise is a Windows-based survey processing system developed by Statistics Netherlands and licensed by Westat in the United States.</w:t>
      </w:r>
      <w:r>
        <w:rPr>
          <w:sz w:val="24"/>
        </w:rPr>
        <w:t xml:space="preserve"> The questions in the </w:t>
      </w:r>
      <w:r w:rsidR="003C66B4">
        <w:rPr>
          <w:sz w:val="24"/>
        </w:rPr>
        <w:t>UI Non-F</w:t>
      </w:r>
      <w:r w:rsidR="000C2AAF">
        <w:rPr>
          <w:sz w:val="24"/>
        </w:rPr>
        <w:t>iler</w:t>
      </w:r>
      <w:r w:rsidR="003C66B4">
        <w:rPr>
          <w:sz w:val="24"/>
        </w:rPr>
        <w:t xml:space="preserve"> S</w:t>
      </w:r>
      <w:r>
        <w:rPr>
          <w:sz w:val="24"/>
        </w:rPr>
        <w:t>upplement were designed to obtain the required information with minimal respondent burden.</w:t>
      </w:r>
    </w:p>
    <w:p w14:paraId="55F2E493" w14:textId="77777777" w:rsidR="00344C0D" w:rsidRDefault="00344C0D" w:rsidP="00344C0D">
      <w:pPr>
        <w:rPr>
          <w:sz w:val="24"/>
        </w:rPr>
      </w:pPr>
    </w:p>
    <w:p w14:paraId="6237C161" w14:textId="77777777" w:rsidR="00344C0D" w:rsidRDefault="00344C0D" w:rsidP="00344C0D">
      <w:pPr>
        <w:rPr>
          <w:sz w:val="24"/>
        </w:rPr>
      </w:pPr>
      <w:r>
        <w:rPr>
          <w:sz w:val="24"/>
        </w:rPr>
        <w:t xml:space="preserve">   4.</w:t>
      </w:r>
      <w:r>
        <w:rPr>
          <w:sz w:val="24"/>
        </w:rPr>
        <w:tab/>
      </w:r>
      <w:r>
        <w:rPr>
          <w:sz w:val="24"/>
          <w:u w:val="single"/>
        </w:rPr>
        <w:t>Efforts to Identify Duplication</w:t>
      </w:r>
    </w:p>
    <w:p w14:paraId="1002883F" w14:textId="77777777" w:rsidR="00344C0D" w:rsidRDefault="00344C0D" w:rsidP="00344C0D">
      <w:pPr>
        <w:rPr>
          <w:sz w:val="24"/>
        </w:rPr>
      </w:pPr>
    </w:p>
    <w:p w14:paraId="4C31A2D7" w14:textId="04ABC74B" w:rsidR="00344C0D" w:rsidRDefault="00344C0D" w:rsidP="00344C0D">
      <w:pPr>
        <w:ind w:left="687"/>
        <w:rPr>
          <w:sz w:val="24"/>
        </w:rPr>
      </w:pPr>
      <w:r>
        <w:rPr>
          <w:sz w:val="24"/>
        </w:rPr>
        <w:t>There are</w:t>
      </w:r>
      <w:r w:rsidR="00745EF5">
        <w:rPr>
          <w:sz w:val="24"/>
        </w:rPr>
        <w:t xml:space="preserve"> few</w:t>
      </w:r>
      <w:r>
        <w:rPr>
          <w:sz w:val="24"/>
        </w:rPr>
        <w:t xml:space="preserve"> data sources about </w:t>
      </w:r>
      <w:r w:rsidR="00E61ED4">
        <w:rPr>
          <w:sz w:val="24"/>
        </w:rPr>
        <w:t>the characteristics of unemployed people who do not file</w:t>
      </w:r>
      <w:r w:rsidR="00604B49">
        <w:rPr>
          <w:sz w:val="24"/>
        </w:rPr>
        <w:t xml:space="preserve"> for UI benefits and their reasons for not doing so</w:t>
      </w:r>
      <w:r>
        <w:rPr>
          <w:sz w:val="24"/>
        </w:rPr>
        <w:t xml:space="preserve">. </w:t>
      </w:r>
      <w:r w:rsidR="00E61ED4">
        <w:rPr>
          <w:sz w:val="24"/>
        </w:rPr>
        <w:t xml:space="preserve">Some </w:t>
      </w:r>
      <w:r w:rsidR="00FF541A">
        <w:rPr>
          <w:sz w:val="24"/>
        </w:rPr>
        <w:t xml:space="preserve">other </w:t>
      </w:r>
      <w:r w:rsidR="00E61ED4">
        <w:rPr>
          <w:sz w:val="24"/>
        </w:rPr>
        <w:t xml:space="preserve">CPS supplements contain </w:t>
      </w:r>
      <w:r w:rsidR="00604B49">
        <w:rPr>
          <w:sz w:val="24"/>
        </w:rPr>
        <w:t xml:space="preserve">basic </w:t>
      </w:r>
      <w:r w:rsidR="00E61ED4">
        <w:rPr>
          <w:sz w:val="24"/>
        </w:rPr>
        <w:t xml:space="preserve">information about people who </w:t>
      </w:r>
      <w:r w:rsidR="00604B49">
        <w:rPr>
          <w:sz w:val="24"/>
        </w:rPr>
        <w:t>receive</w:t>
      </w:r>
      <w:r w:rsidR="00E61ED4">
        <w:rPr>
          <w:sz w:val="24"/>
        </w:rPr>
        <w:t xml:space="preserve"> </w:t>
      </w:r>
      <w:r w:rsidR="00604B49">
        <w:rPr>
          <w:sz w:val="24"/>
        </w:rPr>
        <w:t xml:space="preserve">UI benefits. </w:t>
      </w:r>
      <w:r w:rsidR="00FF541A">
        <w:rPr>
          <w:sz w:val="24"/>
        </w:rPr>
        <w:t>T</w:t>
      </w:r>
      <w:r w:rsidR="00604B49">
        <w:rPr>
          <w:sz w:val="24"/>
        </w:rPr>
        <w:t>he An</w:t>
      </w:r>
      <w:r w:rsidR="00FF541A">
        <w:rPr>
          <w:sz w:val="24"/>
        </w:rPr>
        <w:t xml:space="preserve">nual Social and Economic Survey </w:t>
      </w:r>
      <w:r w:rsidR="00604B49">
        <w:rPr>
          <w:sz w:val="24"/>
        </w:rPr>
        <w:t xml:space="preserve">contains information about </w:t>
      </w:r>
      <w:r w:rsidR="00FF541A">
        <w:rPr>
          <w:sz w:val="24"/>
        </w:rPr>
        <w:t xml:space="preserve">income received through </w:t>
      </w:r>
      <w:r w:rsidR="00604B49">
        <w:rPr>
          <w:sz w:val="24"/>
        </w:rPr>
        <w:t xml:space="preserve">UI </w:t>
      </w:r>
      <w:r w:rsidR="00FF541A">
        <w:rPr>
          <w:sz w:val="24"/>
        </w:rPr>
        <w:t>benefits</w:t>
      </w:r>
      <w:r w:rsidR="00604B49">
        <w:rPr>
          <w:sz w:val="24"/>
        </w:rPr>
        <w:t xml:space="preserve">; this information, however, is limited to income received through UI programs in the past year and does not include </w:t>
      </w:r>
      <w:r w:rsidR="00680F4D">
        <w:rPr>
          <w:sz w:val="24"/>
        </w:rPr>
        <w:t>any information on people who did not file or who filed but did not receive benefits</w:t>
      </w:r>
      <w:r w:rsidR="006D5E5D">
        <w:rPr>
          <w:sz w:val="24"/>
        </w:rPr>
        <w:t>.</w:t>
      </w:r>
      <w:r w:rsidR="00604B49">
        <w:rPr>
          <w:sz w:val="24"/>
        </w:rPr>
        <w:t xml:space="preserve"> Another CPS supplement, the</w:t>
      </w:r>
      <w:r w:rsidR="00E61ED4">
        <w:rPr>
          <w:sz w:val="24"/>
        </w:rPr>
        <w:t xml:space="preserve"> b</w:t>
      </w:r>
      <w:r w:rsidR="00604B49">
        <w:rPr>
          <w:sz w:val="24"/>
        </w:rPr>
        <w:t>iennial</w:t>
      </w:r>
      <w:r w:rsidR="003C66B4">
        <w:rPr>
          <w:sz w:val="24"/>
        </w:rPr>
        <w:t xml:space="preserve"> Displaced Worker S</w:t>
      </w:r>
      <w:r w:rsidR="00FF541A">
        <w:rPr>
          <w:sz w:val="24"/>
        </w:rPr>
        <w:t xml:space="preserve">upplement, </w:t>
      </w:r>
      <w:r w:rsidR="00E61ED4">
        <w:rPr>
          <w:sz w:val="24"/>
        </w:rPr>
        <w:t>collects information about UI participation</w:t>
      </w:r>
      <w:r w:rsidR="006D5E5D">
        <w:rPr>
          <w:sz w:val="24"/>
        </w:rPr>
        <w:t xml:space="preserve"> and whether benefits were exhausted; these data are collected only for those</w:t>
      </w:r>
      <w:r w:rsidR="00E61ED4">
        <w:rPr>
          <w:sz w:val="24"/>
        </w:rPr>
        <w:t xml:space="preserve"> </w:t>
      </w:r>
      <w:r w:rsidR="00E61ED4" w:rsidRPr="00F2488E">
        <w:rPr>
          <w:sz w:val="24"/>
        </w:rPr>
        <w:t xml:space="preserve">age 20 </w:t>
      </w:r>
      <w:r w:rsidR="00E61ED4">
        <w:rPr>
          <w:sz w:val="24"/>
        </w:rPr>
        <w:t>or</w:t>
      </w:r>
      <w:r w:rsidR="00E61ED4" w:rsidRPr="00F2488E">
        <w:rPr>
          <w:sz w:val="24"/>
        </w:rPr>
        <w:t xml:space="preserve"> older</w:t>
      </w:r>
      <w:r w:rsidR="00E61ED4">
        <w:rPr>
          <w:sz w:val="24"/>
        </w:rPr>
        <w:t xml:space="preserve"> who have been displaced from a job in the past three</w:t>
      </w:r>
      <w:r w:rsidR="006D5E5D">
        <w:rPr>
          <w:sz w:val="24"/>
        </w:rPr>
        <w:t xml:space="preserve"> years</w:t>
      </w:r>
      <w:r w:rsidR="00E61ED4">
        <w:rPr>
          <w:sz w:val="24"/>
        </w:rPr>
        <w:t xml:space="preserve">.  </w:t>
      </w:r>
    </w:p>
    <w:p w14:paraId="156CE223" w14:textId="77777777" w:rsidR="006D5E5D" w:rsidRDefault="006D5E5D" w:rsidP="00344C0D">
      <w:pPr>
        <w:ind w:left="687"/>
        <w:rPr>
          <w:sz w:val="24"/>
        </w:rPr>
      </w:pPr>
    </w:p>
    <w:p w14:paraId="0D2C24FF" w14:textId="644E4CE9" w:rsidR="006D5E5D" w:rsidRDefault="00C73E9D" w:rsidP="00344C0D">
      <w:pPr>
        <w:ind w:left="687"/>
        <w:rPr>
          <w:sz w:val="24"/>
        </w:rPr>
      </w:pPr>
      <w:r>
        <w:rPr>
          <w:sz w:val="24"/>
        </w:rPr>
        <w:t>Some smaller scale studies of UI participants have been conducted using administ</w:t>
      </w:r>
      <w:r w:rsidR="008930BF">
        <w:rPr>
          <w:sz w:val="24"/>
        </w:rPr>
        <w:t>rative data or samples from UI C</w:t>
      </w:r>
      <w:r>
        <w:rPr>
          <w:sz w:val="24"/>
        </w:rPr>
        <w:t>laims</w:t>
      </w:r>
      <w:r w:rsidR="008930BF">
        <w:rPr>
          <w:sz w:val="24"/>
        </w:rPr>
        <w:t xml:space="preserve"> data</w:t>
      </w:r>
      <w:r>
        <w:rPr>
          <w:sz w:val="24"/>
        </w:rPr>
        <w:t xml:space="preserve">. For example, a </w:t>
      </w:r>
      <w:r w:rsidR="00D55750">
        <w:rPr>
          <w:sz w:val="24"/>
        </w:rPr>
        <w:t>Department of Labor (</w:t>
      </w:r>
      <w:r>
        <w:rPr>
          <w:sz w:val="24"/>
        </w:rPr>
        <w:t>DOL</w:t>
      </w:r>
      <w:r w:rsidR="00D55750">
        <w:rPr>
          <w:sz w:val="24"/>
        </w:rPr>
        <w:t>)</w:t>
      </w:r>
      <w:r>
        <w:rPr>
          <w:sz w:val="24"/>
        </w:rPr>
        <w:t>-sponsored</w:t>
      </w:r>
      <w:r w:rsidR="00680F4D">
        <w:rPr>
          <w:sz w:val="24"/>
        </w:rPr>
        <w:t>,</w:t>
      </w:r>
      <w:r>
        <w:rPr>
          <w:sz w:val="24"/>
        </w:rPr>
        <w:t xml:space="preserve"> two-wave longitudinal study in two areas of California examined the experience of UI recipients, and 2008-2009 claims data were used to </w:t>
      </w:r>
      <w:r w:rsidR="008930BF">
        <w:rPr>
          <w:sz w:val="24"/>
        </w:rPr>
        <w:t xml:space="preserve">examine the </w:t>
      </w:r>
      <w:r w:rsidR="008930BF">
        <w:rPr>
          <w:sz w:val="24"/>
        </w:rPr>
        <w:lastRenderedPageBreak/>
        <w:t xml:space="preserve">experiences of UI participants who did and did not exhaust their benefits. Since these studies relied on administrative data from UI Claims, </w:t>
      </w:r>
      <w:r>
        <w:rPr>
          <w:sz w:val="24"/>
        </w:rPr>
        <w:t xml:space="preserve">UI non-filers were not included.  </w:t>
      </w:r>
    </w:p>
    <w:p w14:paraId="49AC8841" w14:textId="77777777" w:rsidR="00D61048" w:rsidRDefault="00D61048" w:rsidP="00344C0D">
      <w:pPr>
        <w:ind w:left="687"/>
        <w:rPr>
          <w:sz w:val="24"/>
        </w:rPr>
      </w:pPr>
    </w:p>
    <w:p w14:paraId="7AF4146E" w14:textId="065C9703" w:rsidR="00D61048" w:rsidRDefault="00D61048" w:rsidP="00344C0D">
      <w:pPr>
        <w:ind w:left="687"/>
        <w:rPr>
          <w:sz w:val="24"/>
        </w:rPr>
      </w:pPr>
      <w:r>
        <w:rPr>
          <w:sz w:val="24"/>
        </w:rPr>
        <w:t xml:space="preserve">Lastly, there is a lack of available data about the difficulties unemployed individuals have in seeking new employment. The questions about applications and job offers will help </w:t>
      </w:r>
      <w:r w:rsidR="002B691F">
        <w:rPr>
          <w:sz w:val="24"/>
        </w:rPr>
        <w:t>fill that lack</w:t>
      </w:r>
      <w:r>
        <w:rPr>
          <w:sz w:val="24"/>
        </w:rPr>
        <w:t xml:space="preserve"> by supplying data not </w:t>
      </w:r>
      <w:r w:rsidR="00AB267F">
        <w:rPr>
          <w:sz w:val="24"/>
        </w:rPr>
        <w:t>previously</w:t>
      </w:r>
      <w:r>
        <w:rPr>
          <w:sz w:val="24"/>
        </w:rPr>
        <w:t xml:space="preserve"> collected in the CPS. </w:t>
      </w:r>
    </w:p>
    <w:p w14:paraId="2740F6A9" w14:textId="77777777" w:rsidR="00344C0D" w:rsidRDefault="00344C0D" w:rsidP="00344C0D">
      <w:pPr>
        <w:rPr>
          <w:sz w:val="24"/>
        </w:rPr>
      </w:pPr>
    </w:p>
    <w:p w14:paraId="02438219" w14:textId="77777777" w:rsidR="00344C0D" w:rsidRDefault="00344C0D" w:rsidP="00344C0D">
      <w:pPr>
        <w:rPr>
          <w:sz w:val="24"/>
        </w:rPr>
      </w:pPr>
      <w:r>
        <w:rPr>
          <w:sz w:val="24"/>
        </w:rPr>
        <w:t xml:space="preserve">   5.</w:t>
      </w:r>
      <w:r>
        <w:rPr>
          <w:sz w:val="24"/>
        </w:rPr>
        <w:tab/>
      </w:r>
      <w:r>
        <w:rPr>
          <w:sz w:val="24"/>
          <w:u w:val="single"/>
        </w:rPr>
        <w:t>Minimizing Burden</w:t>
      </w:r>
    </w:p>
    <w:p w14:paraId="72E29E3E" w14:textId="77777777" w:rsidR="00344C0D" w:rsidRDefault="00344C0D" w:rsidP="00344C0D">
      <w:pPr>
        <w:rPr>
          <w:sz w:val="24"/>
        </w:rPr>
      </w:pPr>
    </w:p>
    <w:p w14:paraId="7ADDB452" w14:textId="77777777" w:rsidR="00344C0D" w:rsidRDefault="00344C0D" w:rsidP="00344C0D">
      <w:pPr>
        <w:ind w:left="720"/>
        <w:rPr>
          <w:sz w:val="24"/>
        </w:rPr>
      </w:pPr>
      <w:r>
        <w:rPr>
          <w:sz w:val="24"/>
        </w:rPr>
        <w:t>The data are collected from households; their collection does not involve any small businesses or other small entities.</w:t>
      </w:r>
    </w:p>
    <w:p w14:paraId="265BB20A" w14:textId="77777777" w:rsidR="00344C0D" w:rsidRDefault="00344C0D" w:rsidP="00344C0D">
      <w:pPr>
        <w:rPr>
          <w:sz w:val="24"/>
        </w:rPr>
      </w:pPr>
    </w:p>
    <w:p w14:paraId="26C9F40A" w14:textId="77777777" w:rsidR="00344C0D" w:rsidRDefault="00344C0D" w:rsidP="00344C0D">
      <w:pPr>
        <w:rPr>
          <w:sz w:val="24"/>
        </w:rPr>
      </w:pPr>
      <w:r>
        <w:rPr>
          <w:sz w:val="24"/>
        </w:rPr>
        <w:t xml:space="preserve">   6.</w:t>
      </w:r>
      <w:r>
        <w:rPr>
          <w:sz w:val="24"/>
        </w:rPr>
        <w:tab/>
      </w:r>
      <w:r>
        <w:rPr>
          <w:sz w:val="24"/>
          <w:u w:val="single"/>
        </w:rPr>
        <w:t>Consequences of Less Frequent Collection</w:t>
      </w:r>
    </w:p>
    <w:p w14:paraId="2CA3E546" w14:textId="77777777" w:rsidR="00344C0D" w:rsidRDefault="00344C0D" w:rsidP="00344C0D">
      <w:pPr>
        <w:rPr>
          <w:sz w:val="24"/>
        </w:rPr>
      </w:pPr>
    </w:p>
    <w:p w14:paraId="41063880" w14:textId="770B50F4" w:rsidR="00604B49" w:rsidRPr="00604B49" w:rsidRDefault="00604B49" w:rsidP="00604B49">
      <w:pPr>
        <w:ind w:left="720"/>
        <w:rPr>
          <w:sz w:val="24"/>
        </w:rPr>
      </w:pPr>
      <w:r w:rsidRPr="00604B49">
        <w:rPr>
          <w:sz w:val="24"/>
        </w:rPr>
        <w:t xml:space="preserve">Because </w:t>
      </w:r>
      <w:r w:rsidR="003C66B4" w:rsidRPr="00E36AC9">
        <w:rPr>
          <w:sz w:val="24"/>
        </w:rPr>
        <w:t>the UI Non-Filer S</w:t>
      </w:r>
      <w:r w:rsidRPr="00E36AC9">
        <w:rPr>
          <w:sz w:val="24"/>
        </w:rPr>
        <w:t>upplement has not been conducted since 2005</w:t>
      </w:r>
      <w:r w:rsidRPr="00604B49">
        <w:rPr>
          <w:sz w:val="24"/>
        </w:rPr>
        <w:t>, there has been a dearth of high quality data in recent years about people who do not file for UI benefits and their reasons for not doing so. More information is needed to assess the efficacy of UI programs. This information</w:t>
      </w:r>
      <w:r w:rsidR="000C2AAF">
        <w:rPr>
          <w:sz w:val="24"/>
        </w:rPr>
        <w:t>—</w:t>
      </w:r>
      <w:r w:rsidRPr="00604B49">
        <w:rPr>
          <w:sz w:val="24"/>
        </w:rPr>
        <w:t>in combination with information collected in the monthly CPS, such as demographic characteristics and information about last job held</w:t>
      </w:r>
      <w:r w:rsidR="000C2AAF">
        <w:rPr>
          <w:sz w:val="24"/>
        </w:rPr>
        <w:t>—</w:t>
      </w:r>
      <w:r w:rsidRPr="00604B49">
        <w:rPr>
          <w:sz w:val="24"/>
        </w:rPr>
        <w:t xml:space="preserve">will help guide law makers to determine if new policies or regulations are needed to protect these and other types of workers.   </w:t>
      </w:r>
    </w:p>
    <w:p w14:paraId="40D98578" w14:textId="30F7D3B3" w:rsidR="00344C0D" w:rsidRDefault="00344C0D" w:rsidP="00344C0D">
      <w:pPr>
        <w:rPr>
          <w:sz w:val="24"/>
        </w:rPr>
      </w:pPr>
      <w:r>
        <w:rPr>
          <w:sz w:val="24"/>
        </w:rPr>
        <w:t xml:space="preserve"> </w:t>
      </w:r>
    </w:p>
    <w:p w14:paraId="73E2314B" w14:textId="77777777" w:rsidR="00344C0D" w:rsidRDefault="00344C0D" w:rsidP="00344C0D">
      <w:pPr>
        <w:rPr>
          <w:sz w:val="24"/>
        </w:rPr>
      </w:pPr>
      <w:r>
        <w:rPr>
          <w:sz w:val="24"/>
        </w:rPr>
        <w:t xml:space="preserve">   7.</w:t>
      </w:r>
      <w:r>
        <w:rPr>
          <w:sz w:val="24"/>
        </w:rPr>
        <w:tab/>
      </w:r>
      <w:r>
        <w:rPr>
          <w:sz w:val="24"/>
          <w:u w:val="single"/>
        </w:rPr>
        <w:t>Special Circumstances</w:t>
      </w:r>
    </w:p>
    <w:p w14:paraId="478A0F3E" w14:textId="77777777" w:rsidR="00344C0D" w:rsidRDefault="00344C0D" w:rsidP="00344C0D">
      <w:pPr>
        <w:rPr>
          <w:sz w:val="24"/>
        </w:rPr>
      </w:pPr>
    </w:p>
    <w:p w14:paraId="1677A740" w14:textId="5EE9DD27" w:rsidR="00344C0D" w:rsidRDefault="00344C0D" w:rsidP="00344C0D">
      <w:pPr>
        <w:ind w:left="720"/>
        <w:rPr>
          <w:sz w:val="24"/>
        </w:rPr>
      </w:pPr>
      <w:r>
        <w:rPr>
          <w:sz w:val="24"/>
        </w:rPr>
        <w:t>There are no special circumstances. The CPS data are collected in a manner that is consistent with the guidelines in 5 CFR 1320.5.</w:t>
      </w:r>
    </w:p>
    <w:p w14:paraId="0758010B" w14:textId="77777777" w:rsidR="00344C0D" w:rsidRDefault="00344C0D" w:rsidP="00344C0D">
      <w:pPr>
        <w:ind w:left="720" w:firstLine="45"/>
        <w:rPr>
          <w:sz w:val="24"/>
        </w:rPr>
      </w:pPr>
    </w:p>
    <w:p w14:paraId="7226369F" w14:textId="00EC22FC" w:rsidR="00206D50" w:rsidRDefault="00344C0D" w:rsidP="00206D50">
      <w:pPr>
        <w:rPr>
          <w:snapToGrid w:val="0"/>
          <w:sz w:val="24"/>
          <w:u w:val="single"/>
        </w:rPr>
      </w:pPr>
      <w:r>
        <w:rPr>
          <w:sz w:val="24"/>
        </w:rPr>
        <w:t xml:space="preserve">   8.</w:t>
      </w:r>
      <w:r>
        <w:rPr>
          <w:sz w:val="24"/>
        </w:rPr>
        <w:tab/>
      </w:r>
      <w:r>
        <w:rPr>
          <w:sz w:val="24"/>
          <w:u w:val="single"/>
        </w:rPr>
        <w:t xml:space="preserve">Federal </w:t>
      </w:r>
      <w:r w:rsidR="00206D50">
        <w:rPr>
          <w:sz w:val="24"/>
          <w:u w:val="single"/>
        </w:rPr>
        <w:t>Register Notice/Consultation Outside the Agency</w:t>
      </w:r>
    </w:p>
    <w:p w14:paraId="3F0A72DD" w14:textId="77777777" w:rsidR="00206D50" w:rsidRDefault="00206D50" w:rsidP="00206D50">
      <w:pPr>
        <w:rPr>
          <w:snapToGrid w:val="0"/>
          <w:sz w:val="24"/>
          <w:u w:val="single"/>
        </w:rPr>
      </w:pPr>
    </w:p>
    <w:p w14:paraId="0EE560EE" w14:textId="77777777" w:rsidR="00206D50" w:rsidRPr="00D802EE" w:rsidRDefault="00206D50" w:rsidP="00206D50">
      <w:pPr>
        <w:ind w:left="720"/>
        <w:rPr>
          <w:sz w:val="24"/>
          <w:u w:val="single"/>
        </w:rPr>
      </w:pPr>
      <w:r w:rsidRPr="00D802EE">
        <w:rPr>
          <w:sz w:val="24"/>
          <w:u w:val="single"/>
        </w:rPr>
        <w:t>Federal Register Notice</w:t>
      </w:r>
    </w:p>
    <w:p w14:paraId="10C4395F" w14:textId="77777777" w:rsidR="00206D50" w:rsidRDefault="00206D50" w:rsidP="00206D50">
      <w:pPr>
        <w:ind w:left="720"/>
        <w:rPr>
          <w:sz w:val="24"/>
        </w:rPr>
      </w:pPr>
    </w:p>
    <w:p w14:paraId="52D999BF" w14:textId="032D5C0A" w:rsidR="00206D50" w:rsidRPr="00D802EE" w:rsidRDefault="00206D50" w:rsidP="00206D50">
      <w:pPr>
        <w:ind w:left="720"/>
        <w:rPr>
          <w:sz w:val="24"/>
        </w:rPr>
      </w:pPr>
      <w:r w:rsidRPr="00BD39BD">
        <w:rPr>
          <w:sz w:val="24"/>
        </w:rPr>
        <w:t xml:space="preserve">No </w:t>
      </w:r>
      <w:r w:rsidR="00303090">
        <w:rPr>
          <w:sz w:val="24"/>
        </w:rPr>
        <w:t xml:space="preserve">public </w:t>
      </w:r>
      <w:r w:rsidRPr="00BD39BD">
        <w:rPr>
          <w:sz w:val="24"/>
        </w:rPr>
        <w:t>comments</w:t>
      </w:r>
      <w:r w:rsidRPr="00D802EE">
        <w:rPr>
          <w:sz w:val="24"/>
        </w:rPr>
        <w:t xml:space="preserve"> were received as a result of a Federal Register notice published </w:t>
      </w:r>
      <w:r w:rsidRPr="007367A0">
        <w:rPr>
          <w:sz w:val="24"/>
        </w:rPr>
        <w:t xml:space="preserve">on </w:t>
      </w:r>
      <w:r w:rsidR="00843D1E" w:rsidRPr="007367A0">
        <w:rPr>
          <w:sz w:val="24"/>
        </w:rPr>
        <w:t>January 2, 2018</w:t>
      </w:r>
      <w:r w:rsidR="00303090">
        <w:rPr>
          <w:sz w:val="24"/>
        </w:rPr>
        <w:t xml:space="preserve"> (</w:t>
      </w:r>
      <w:r w:rsidR="00303090" w:rsidRPr="00303090">
        <w:rPr>
          <w:sz w:val="24"/>
        </w:rPr>
        <w:t>83 FR 157</w:t>
      </w:r>
      <w:r w:rsidR="00303090">
        <w:rPr>
          <w:sz w:val="24"/>
        </w:rPr>
        <w:t>).</w:t>
      </w:r>
    </w:p>
    <w:p w14:paraId="562CBEB7" w14:textId="73B14162" w:rsidR="00344C0D" w:rsidRDefault="00344C0D" w:rsidP="00344C0D">
      <w:pPr>
        <w:rPr>
          <w:snapToGrid w:val="0"/>
          <w:sz w:val="24"/>
          <w:u w:val="single"/>
        </w:rPr>
      </w:pPr>
    </w:p>
    <w:p w14:paraId="0D9D4368" w14:textId="4947A670" w:rsidR="00344C0D" w:rsidRPr="00206D50" w:rsidRDefault="00206D50" w:rsidP="00206D50">
      <w:pPr>
        <w:ind w:left="720"/>
        <w:rPr>
          <w:sz w:val="24"/>
          <w:u w:val="single"/>
        </w:rPr>
      </w:pPr>
      <w:r w:rsidRPr="00D802EE">
        <w:rPr>
          <w:sz w:val="24"/>
          <w:u w:val="single"/>
        </w:rPr>
        <w:t>Outside Consultation</w:t>
      </w:r>
    </w:p>
    <w:p w14:paraId="652FA6D9" w14:textId="09B8097C" w:rsidR="00344C0D" w:rsidRDefault="00206D50" w:rsidP="00344C0D">
      <w:pPr>
        <w:ind w:left="720"/>
        <w:rPr>
          <w:sz w:val="24"/>
        </w:rPr>
      </w:pPr>
      <w:r>
        <w:rPr>
          <w:sz w:val="24"/>
        </w:rPr>
        <w:t>The following people have</w:t>
      </w:r>
      <w:r w:rsidR="00344C0D">
        <w:rPr>
          <w:sz w:val="24"/>
        </w:rPr>
        <w:t xml:space="preserve"> been in continuous consultation concerning the development of the survey:</w:t>
      </w:r>
    </w:p>
    <w:p w14:paraId="7020CA44" w14:textId="77777777" w:rsidR="00344C0D" w:rsidRDefault="00344C0D" w:rsidP="00344C0D">
      <w:pPr>
        <w:rPr>
          <w:sz w:val="24"/>
        </w:rPr>
      </w:pPr>
    </w:p>
    <w:p w14:paraId="5D09585C" w14:textId="4708E815" w:rsidR="004C1A81" w:rsidRPr="004C2505" w:rsidRDefault="004C1A81" w:rsidP="004C2505">
      <w:pPr>
        <w:ind w:left="720"/>
        <w:rPr>
          <w:sz w:val="24"/>
          <w:u w:val="single"/>
        </w:rPr>
      </w:pPr>
      <w:r w:rsidRPr="004C1A81">
        <w:rPr>
          <w:sz w:val="24"/>
          <w:u w:val="single"/>
        </w:rPr>
        <w:t>U.S. Department of Labor</w:t>
      </w:r>
    </w:p>
    <w:p w14:paraId="7B696078" w14:textId="77777777" w:rsidR="004C1A81" w:rsidRPr="004C1A81" w:rsidRDefault="004C1A81" w:rsidP="004C1A81">
      <w:pPr>
        <w:ind w:left="720"/>
        <w:rPr>
          <w:sz w:val="24"/>
          <w:szCs w:val="24"/>
        </w:rPr>
      </w:pPr>
      <w:r w:rsidRPr="004C1A81">
        <w:rPr>
          <w:sz w:val="24"/>
          <w:szCs w:val="24"/>
        </w:rPr>
        <w:t>Molly Irwin</w:t>
      </w:r>
    </w:p>
    <w:p w14:paraId="14A6C612" w14:textId="0BA8F868" w:rsidR="004C1A81" w:rsidRDefault="004C1A81" w:rsidP="004C1A81">
      <w:pPr>
        <w:ind w:left="720"/>
        <w:rPr>
          <w:sz w:val="24"/>
          <w:szCs w:val="24"/>
        </w:rPr>
      </w:pPr>
      <w:r w:rsidRPr="004C1A81">
        <w:rPr>
          <w:sz w:val="24"/>
          <w:szCs w:val="24"/>
        </w:rPr>
        <w:t>Chief Evaluation Officer</w:t>
      </w:r>
    </w:p>
    <w:p w14:paraId="4BB2C0CE" w14:textId="03039FCC" w:rsidR="00604B49" w:rsidRDefault="00604B49" w:rsidP="004C1A81">
      <w:pPr>
        <w:ind w:left="720"/>
        <w:rPr>
          <w:sz w:val="24"/>
          <w:szCs w:val="24"/>
        </w:rPr>
      </w:pPr>
      <w:r>
        <w:rPr>
          <w:sz w:val="24"/>
          <w:szCs w:val="24"/>
        </w:rPr>
        <w:t>Office of the Assistant Secretary for Policy</w:t>
      </w:r>
    </w:p>
    <w:p w14:paraId="1EB6536B" w14:textId="0FE164DA" w:rsidR="00604B49" w:rsidRDefault="00604B49" w:rsidP="004C1A81">
      <w:pPr>
        <w:ind w:left="720"/>
        <w:rPr>
          <w:sz w:val="24"/>
          <w:szCs w:val="24"/>
        </w:rPr>
      </w:pPr>
      <w:r>
        <w:rPr>
          <w:sz w:val="24"/>
          <w:szCs w:val="24"/>
        </w:rPr>
        <w:t>Department of Labor</w:t>
      </w:r>
    </w:p>
    <w:p w14:paraId="3122285E" w14:textId="75AA5751" w:rsidR="004C1A81" w:rsidRDefault="00604B49" w:rsidP="00E30D03">
      <w:pPr>
        <w:ind w:left="720"/>
        <w:rPr>
          <w:sz w:val="24"/>
        </w:rPr>
      </w:pPr>
      <w:r>
        <w:rPr>
          <w:sz w:val="24"/>
          <w:szCs w:val="24"/>
        </w:rPr>
        <w:t xml:space="preserve">(202) </w:t>
      </w:r>
      <w:r w:rsidRPr="00604B49">
        <w:rPr>
          <w:sz w:val="24"/>
          <w:szCs w:val="24"/>
        </w:rPr>
        <w:t>693-5091</w:t>
      </w:r>
    </w:p>
    <w:p w14:paraId="5374E7A1" w14:textId="3B0208CA" w:rsidR="004C2505" w:rsidRDefault="00344C0D" w:rsidP="00E30D03">
      <w:pPr>
        <w:rPr>
          <w:sz w:val="24"/>
        </w:rPr>
      </w:pPr>
      <w:r>
        <w:rPr>
          <w:sz w:val="24"/>
        </w:rPr>
        <w:t xml:space="preserve">      </w:t>
      </w:r>
      <w:r>
        <w:rPr>
          <w:sz w:val="24"/>
        </w:rPr>
        <w:tab/>
      </w:r>
    </w:p>
    <w:p w14:paraId="58180426" w14:textId="77777777" w:rsidR="00E30D03" w:rsidRDefault="00E30D03" w:rsidP="00E30D03">
      <w:pPr>
        <w:rPr>
          <w:sz w:val="24"/>
        </w:rPr>
      </w:pPr>
    </w:p>
    <w:p w14:paraId="55F07ECE" w14:textId="34E1BF4E" w:rsidR="00344C0D" w:rsidRPr="004C2505" w:rsidRDefault="00344C0D" w:rsidP="004C2505">
      <w:pPr>
        <w:ind w:firstLine="720"/>
        <w:rPr>
          <w:b/>
          <w:sz w:val="24"/>
        </w:rPr>
      </w:pPr>
      <w:r>
        <w:rPr>
          <w:sz w:val="24"/>
          <w:u w:val="single"/>
        </w:rPr>
        <w:t>Census Bureau</w:t>
      </w:r>
    </w:p>
    <w:p w14:paraId="063D9AED" w14:textId="77777777" w:rsidR="00344C0D" w:rsidRPr="00784324" w:rsidRDefault="00344C0D" w:rsidP="00344C0D">
      <w:pPr>
        <w:ind w:firstLine="720"/>
        <w:rPr>
          <w:sz w:val="24"/>
          <w:szCs w:val="24"/>
        </w:rPr>
      </w:pPr>
      <w:r>
        <w:rPr>
          <w:sz w:val="24"/>
          <w:szCs w:val="24"/>
        </w:rPr>
        <w:t>Lisa Clement</w:t>
      </w:r>
    </w:p>
    <w:p w14:paraId="046D33C5" w14:textId="77777777" w:rsidR="00344C0D" w:rsidRPr="00784324" w:rsidRDefault="00344C0D" w:rsidP="00344C0D">
      <w:pPr>
        <w:rPr>
          <w:sz w:val="24"/>
          <w:szCs w:val="24"/>
        </w:rPr>
      </w:pPr>
      <w:r w:rsidRPr="00784324">
        <w:rPr>
          <w:sz w:val="24"/>
          <w:szCs w:val="24"/>
        </w:rPr>
        <w:t xml:space="preserve">      </w:t>
      </w:r>
      <w:r w:rsidRPr="00784324">
        <w:rPr>
          <w:sz w:val="24"/>
          <w:szCs w:val="24"/>
        </w:rPr>
        <w:tab/>
      </w:r>
      <w:r>
        <w:rPr>
          <w:sz w:val="24"/>
          <w:szCs w:val="24"/>
        </w:rPr>
        <w:t>Survey Director, Current Population Survey</w:t>
      </w:r>
    </w:p>
    <w:p w14:paraId="6C67AC7C" w14:textId="77777777" w:rsidR="00344C0D" w:rsidRDefault="00344C0D" w:rsidP="00344C0D">
      <w:pPr>
        <w:rPr>
          <w:sz w:val="24"/>
          <w:szCs w:val="24"/>
        </w:rPr>
      </w:pPr>
      <w:r w:rsidRPr="00784324">
        <w:rPr>
          <w:sz w:val="24"/>
          <w:szCs w:val="24"/>
        </w:rPr>
        <w:t xml:space="preserve">      </w:t>
      </w:r>
      <w:r w:rsidRPr="00784324">
        <w:rPr>
          <w:sz w:val="24"/>
          <w:szCs w:val="24"/>
        </w:rPr>
        <w:tab/>
        <w:t>Bureau of the Census</w:t>
      </w:r>
    </w:p>
    <w:p w14:paraId="6050F96C" w14:textId="77777777" w:rsidR="00344C0D" w:rsidRDefault="00344C0D" w:rsidP="00344C0D">
      <w:pPr>
        <w:rPr>
          <w:sz w:val="24"/>
          <w:szCs w:val="24"/>
        </w:rPr>
      </w:pPr>
      <w:r>
        <w:rPr>
          <w:sz w:val="24"/>
          <w:szCs w:val="24"/>
        </w:rPr>
        <w:tab/>
        <w:t>4600 Silver Hill Rd Rm 7H105</w:t>
      </w:r>
    </w:p>
    <w:p w14:paraId="1D7D7F20" w14:textId="77777777" w:rsidR="00344C0D" w:rsidRPr="00784324" w:rsidRDefault="00344C0D" w:rsidP="00344C0D">
      <w:pPr>
        <w:rPr>
          <w:sz w:val="24"/>
          <w:szCs w:val="24"/>
        </w:rPr>
      </w:pPr>
      <w:r>
        <w:rPr>
          <w:sz w:val="24"/>
          <w:szCs w:val="24"/>
        </w:rPr>
        <w:tab/>
        <w:t>Washington, DC 20233-8400</w:t>
      </w:r>
    </w:p>
    <w:p w14:paraId="7282AEC3" w14:textId="77777777" w:rsidR="00344C0D" w:rsidRPr="00784324" w:rsidRDefault="00344C0D" w:rsidP="00344C0D">
      <w:pPr>
        <w:ind w:left="432"/>
        <w:rPr>
          <w:sz w:val="24"/>
          <w:szCs w:val="24"/>
        </w:rPr>
      </w:pPr>
      <w:r w:rsidRPr="00784324">
        <w:rPr>
          <w:sz w:val="24"/>
          <w:szCs w:val="24"/>
        </w:rPr>
        <w:t xml:space="preserve">     (301) 763-</w:t>
      </w:r>
      <w:r>
        <w:rPr>
          <w:sz w:val="24"/>
          <w:szCs w:val="24"/>
        </w:rPr>
        <w:t>5482</w:t>
      </w:r>
      <w:r w:rsidRPr="00784324">
        <w:rPr>
          <w:sz w:val="24"/>
          <w:szCs w:val="24"/>
        </w:rPr>
        <w:t xml:space="preserve"> </w:t>
      </w:r>
    </w:p>
    <w:p w14:paraId="1A775B44" w14:textId="77777777" w:rsidR="00344C0D" w:rsidRDefault="00344C0D" w:rsidP="00344C0D">
      <w:pPr>
        <w:ind w:left="432"/>
        <w:rPr>
          <w:sz w:val="24"/>
        </w:rPr>
      </w:pPr>
      <w:r>
        <w:rPr>
          <w:sz w:val="24"/>
        </w:rPr>
        <w:t xml:space="preserve">     </w:t>
      </w:r>
    </w:p>
    <w:p w14:paraId="6FF4ECE2" w14:textId="351E504B" w:rsidR="00344C0D" w:rsidRDefault="00344C0D" w:rsidP="00344C0D">
      <w:pPr>
        <w:ind w:left="720"/>
        <w:rPr>
          <w:sz w:val="24"/>
        </w:rPr>
      </w:pPr>
      <w:r>
        <w:rPr>
          <w:sz w:val="24"/>
        </w:rPr>
        <w:t>In addition to the above, a statement soliciting comments for improving CPS data is prominently placed in all Census Bureau publications that cite CPS data. A similar statement is included in the technical documentation that accompanies the microdata files. Finally, the CPS advance letter</w:t>
      </w:r>
      <w:r w:rsidR="00680F4D" w:rsidRPr="00FA25C8">
        <w:rPr>
          <w:sz w:val="24"/>
        </w:rPr>
        <w:t>s</w:t>
      </w:r>
      <w:r w:rsidRPr="00FA25C8">
        <w:rPr>
          <w:sz w:val="24"/>
        </w:rPr>
        <w:t xml:space="preserve"> (Attachment</w:t>
      </w:r>
      <w:r w:rsidR="00680F4D" w:rsidRPr="00FA25C8">
        <w:rPr>
          <w:sz w:val="24"/>
        </w:rPr>
        <w:t>s</w:t>
      </w:r>
      <w:r w:rsidRPr="00FA25C8">
        <w:rPr>
          <w:sz w:val="24"/>
        </w:rPr>
        <w:t xml:space="preserve"> D</w:t>
      </w:r>
      <w:r w:rsidR="00680F4D" w:rsidRPr="00FA25C8">
        <w:rPr>
          <w:sz w:val="24"/>
        </w:rPr>
        <w:t xml:space="preserve"> and E) provide</w:t>
      </w:r>
      <w:r w:rsidRPr="00FA25C8">
        <w:rPr>
          <w:sz w:val="24"/>
        </w:rPr>
        <w:t xml:space="preserve"> </w:t>
      </w:r>
      <w:r>
        <w:rPr>
          <w:sz w:val="24"/>
        </w:rPr>
        <w:t>respondents with an address at the Census Bureau to which they can submit general comments on the survey, specifically those regarding respondent burden.</w:t>
      </w:r>
    </w:p>
    <w:p w14:paraId="22308840" w14:textId="77777777" w:rsidR="00344C0D" w:rsidRDefault="00344C0D" w:rsidP="00344C0D">
      <w:pPr>
        <w:rPr>
          <w:sz w:val="24"/>
        </w:rPr>
      </w:pPr>
    </w:p>
    <w:p w14:paraId="11AC820B" w14:textId="0822265A" w:rsidR="00344C0D" w:rsidRDefault="00344C0D" w:rsidP="00344C0D">
      <w:pPr>
        <w:rPr>
          <w:sz w:val="24"/>
        </w:rPr>
      </w:pPr>
      <w:r>
        <w:rPr>
          <w:sz w:val="24"/>
        </w:rPr>
        <w:t xml:space="preserve">   9.      </w:t>
      </w:r>
      <w:r>
        <w:rPr>
          <w:sz w:val="24"/>
          <w:u w:val="single"/>
        </w:rPr>
        <w:t>Paying Respondents</w:t>
      </w:r>
    </w:p>
    <w:p w14:paraId="22058ADB" w14:textId="77777777" w:rsidR="00344C0D" w:rsidRDefault="00344C0D" w:rsidP="00344C0D">
      <w:pPr>
        <w:rPr>
          <w:sz w:val="24"/>
        </w:rPr>
      </w:pPr>
    </w:p>
    <w:p w14:paraId="49ACC980" w14:textId="77777777" w:rsidR="00344C0D" w:rsidRDefault="00344C0D" w:rsidP="00344C0D">
      <w:pPr>
        <w:ind w:left="720"/>
        <w:rPr>
          <w:sz w:val="24"/>
        </w:rPr>
      </w:pPr>
      <w:r>
        <w:rPr>
          <w:sz w:val="24"/>
        </w:rPr>
        <w:t>The Census Bureau does not make any payments or provide any gifts to individuals participating in the CPS.</w:t>
      </w:r>
    </w:p>
    <w:p w14:paraId="04BB1A75" w14:textId="77777777" w:rsidR="00344C0D" w:rsidRDefault="00344C0D" w:rsidP="00344C0D">
      <w:pPr>
        <w:rPr>
          <w:sz w:val="24"/>
        </w:rPr>
      </w:pPr>
    </w:p>
    <w:p w14:paraId="18F29DA6" w14:textId="77777777" w:rsidR="00344C0D" w:rsidRDefault="00344C0D" w:rsidP="00344C0D">
      <w:pPr>
        <w:rPr>
          <w:sz w:val="24"/>
        </w:rPr>
      </w:pPr>
      <w:r>
        <w:rPr>
          <w:sz w:val="24"/>
        </w:rPr>
        <w:t xml:space="preserve">   10.   </w:t>
      </w:r>
      <w:r>
        <w:rPr>
          <w:sz w:val="24"/>
        </w:rPr>
        <w:tab/>
      </w:r>
      <w:r>
        <w:rPr>
          <w:sz w:val="24"/>
          <w:u w:val="single"/>
        </w:rPr>
        <w:t>Assurance of Confidentiality</w:t>
      </w:r>
    </w:p>
    <w:p w14:paraId="2E96A40D" w14:textId="77777777" w:rsidR="00344C0D" w:rsidRDefault="00344C0D" w:rsidP="00344C0D">
      <w:pPr>
        <w:rPr>
          <w:sz w:val="24"/>
        </w:rPr>
      </w:pPr>
    </w:p>
    <w:p w14:paraId="642049C8" w14:textId="32F812C1" w:rsidR="00344C0D" w:rsidRDefault="00344C0D" w:rsidP="00344C0D">
      <w:pPr>
        <w:ind w:left="720"/>
        <w:rPr>
          <w:sz w:val="24"/>
        </w:rPr>
      </w:pPr>
      <w:r>
        <w:rPr>
          <w:sz w:val="24"/>
        </w:rPr>
        <w:t>The Census Bureau will collect the supplement data in compliance with the Privacy Act of 1974 and OMB Circular A-130. Each sample household will receive an advance letter (Attachment D) approximately one week before the start</w:t>
      </w:r>
      <w:r w:rsidR="000C2AAF">
        <w:rPr>
          <w:sz w:val="24"/>
        </w:rPr>
        <w:t xml:space="preserve"> of the initial CPS interview</w:t>
      </w:r>
      <w:r w:rsidR="00516CB7">
        <w:rPr>
          <w:sz w:val="24"/>
        </w:rPr>
        <w:t xml:space="preserve"> and a </w:t>
      </w:r>
      <w:r w:rsidR="00D3427E">
        <w:rPr>
          <w:sz w:val="24"/>
        </w:rPr>
        <w:t>follow-up</w:t>
      </w:r>
      <w:r w:rsidR="00516CB7">
        <w:rPr>
          <w:sz w:val="24"/>
        </w:rPr>
        <w:t xml:space="preserve"> letter approximately one week before the start of the fifth CPS interview (Attachment </w:t>
      </w:r>
      <w:r w:rsidR="00D3427E">
        <w:rPr>
          <w:sz w:val="24"/>
        </w:rPr>
        <w:t>E</w:t>
      </w:r>
      <w:r w:rsidR="00516CB7">
        <w:rPr>
          <w:sz w:val="24"/>
        </w:rPr>
        <w:t>)</w:t>
      </w:r>
      <w:r w:rsidR="000C2AAF">
        <w:rPr>
          <w:sz w:val="24"/>
        </w:rPr>
        <w:t>. T</w:t>
      </w:r>
      <w:r>
        <w:rPr>
          <w:sz w:val="24"/>
        </w:rPr>
        <w:t>he letter</w:t>
      </w:r>
      <w:r w:rsidR="00E240A5">
        <w:rPr>
          <w:sz w:val="24"/>
        </w:rPr>
        <w:t>s</w:t>
      </w:r>
      <w:r>
        <w:rPr>
          <w:sz w:val="24"/>
        </w:rPr>
        <w:t xml:space="preserve"> include the information required by the Privacy Act of 1974, explains the voluntary nature of the survey, and state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"How the Census Bureau Keeps Your Information Confidential," which further </w:t>
      </w:r>
      <w:r w:rsidR="00680F4D">
        <w:rPr>
          <w:sz w:val="24"/>
        </w:rPr>
        <w:t xml:space="preserve">describes the Census Bureau’s commitment to data </w:t>
      </w:r>
      <w:r>
        <w:rPr>
          <w:sz w:val="24"/>
        </w:rPr>
        <w:t xml:space="preserve">confidentiality </w:t>
      </w:r>
      <w:r w:rsidR="00D3427E">
        <w:rPr>
          <w:sz w:val="24"/>
        </w:rPr>
        <w:t>(Attachment F</w:t>
      </w:r>
      <w:r>
        <w:rPr>
          <w:sz w:val="24"/>
        </w:rPr>
        <w:t xml:space="preserve">). </w:t>
      </w:r>
      <w:r w:rsidR="00E240A5">
        <w:rPr>
          <w:sz w:val="24"/>
        </w:rPr>
        <w:t xml:space="preserve">If they feel it will be helpful, interviewers also provide households with </w:t>
      </w:r>
      <w:r w:rsidR="00AD6FF8">
        <w:rPr>
          <w:sz w:val="24"/>
        </w:rPr>
        <w:t xml:space="preserve">the “Factsheet for the Current Population Survey,” which contains information about and data from the CPS (Attachment </w:t>
      </w:r>
      <w:r w:rsidR="00D3427E">
        <w:rPr>
          <w:sz w:val="24"/>
        </w:rPr>
        <w:t>C</w:t>
      </w:r>
      <w:r w:rsidR="00AD6FF8">
        <w:rPr>
          <w:sz w:val="24"/>
        </w:rPr>
        <w:t>).</w:t>
      </w:r>
      <w:r w:rsidR="00E240A5">
        <w:rPr>
          <w:sz w:val="24"/>
        </w:rPr>
        <w:t xml:space="preserve"> </w:t>
      </w:r>
      <w:r>
        <w:rPr>
          <w:sz w:val="24"/>
        </w:rPr>
        <w:t>All information given by respondents to Census Bureau employees is held in strict confidence under Title 13, United States Code, Section 9 (At</w:t>
      </w:r>
      <w:r w:rsidR="00D3427E">
        <w:rPr>
          <w:sz w:val="24"/>
        </w:rPr>
        <w:t>tachment G</w:t>
      </w:r>
      <w:r>
        <w:rPr>
          <w:sz w:val="24"/>
        </w:rPr>
        <w:t>). Each Census Bureau employee has taken an oath to that effect and is subject to a jail penalty and/or substantial fine if he/she discloses any information given to him/her.</w:t>
      </w:r>
    </w:p>
    <w:p w14:paraId="45BB6D4D" w14:textId="77777777" w:rsidR="00344C0D" w:rsidRDefault="00344C0D" w:rsidP="00344C0D">
      <w:pPr>
        <w:ind w:left="720"/>
        <w:rPr>
          <w:sz w:val="24"/>
        </w:rPr>
      </w:pPr>
    </w:p>
    <w:p w14:paraId="425CEF2D" w14:textId="57786AB4" w:rsidR="00344C0D" w:rsidRPr="00573E10" w:rsidRDefault="00344C0D" w:rsidP="00344C0D">
      <w:pPr>
        <w:ind w:left="720"/>
        <w:rPr>
          <w:sz w:val="24"/>
        </w:rPr>
      </w:pPr>
      <w:r w:rsidRPr="00573E10">
        <w:rPr>
          <w:sz w:val="24"/>
        </w:rPr>
        <w:t>As is the case with data collection, data released to the public by BLS in tabular form or as microdata files are released in compliance with Title 13. Tabular data released to the public are always in aggregated form. No individual survey records are made available to the public. Any microdata files that are released are public use files with all identifying information removed from the records.</w:t>
      </w:r>
    </w:p>
    <w:p w14:paraId="025060C7" w14:textId="77777777" w:rsidR="00344C0D" w:rsidRDefault="00344C0D" w:rsidP="00344C0D">
      <w:pPr>
        <w:rPr>
          <w:sz w:val="24"/>
        </w:rPr>
      </w:pPr>
    </w:p>
    <w:p w14:paraId="609D5415" w14:textId="77777777" w:rsidR="00344C0D" w:rsidRDefault="00344C0D" w:rsidP="00344C0D">
      <w:pPr>
        <w:rPr>
          <w:sz w:val="24"/>
        </w:rPr>
      </w:pPr>
      <w:r>
        <w:rPr>
          <w:sz w:val="24"/>
        </w:rPr>
        <w:t xml:space="preserve">   11.   </w:t>
      </w:r>
      <w:r>
        <w:rPr>
          <w:sz w:val="24"/>
        </w:rPr>
        <w:tab/>
      </w:r>
      <w:r>
        <w:rPr>
          <w:sz w:val="24"/>
          <w:u w:val="single"/>
        </w:rPr>
        <w:t>Justification for Sensitive Questions</w:t>
      </w:r>
    </w:p>
    <w:p w14:paraId="0EAFA6C4" w14:textId="77777777" w:rsidR="00344C0D" w:rsidRDefault="00344C0D" w:rsidP="00344C0D">
      <w:pPr>
        <w:rPr>
          <w:sz w:val="24"/>
        </w:rPr>
      </w:pPr>
    </w:p>
    <w:p w14:paraId="039D5E5C" w14:textId="77777777" w:rsidR="00344C0D" w:rsidRDefault="00344C0D" w:rsidP="00344C0D">
      <w:pPr>
        <w:rPr>
          <w:sz w:val="24"/>
        </w:rPr>
      </w:pPr>
      <w:r>
        <w:rPr>
          <w:sz w:val="24"/>
        </w:rPr>
        <w:t xml:space="preserve">      </w:t>
      </w:r>
      <w:r>
        <w:rPr>
          <w:sz w:val="24"/>
        </w:rPr>
        <w:tab/>
        <w:t>No sensitive questions are asked in this supplement.</w:t>
      </w:r>
    </w:p>
    <w:p w14:paraId="4739A8E4" w14:textId="77777777" w:rsidR="00344C0D" w:rsidRDefault="00344C0D" w:rsidP="00344C0D">
      <w:pPr>
        <w:rPr>
          <w:sz w:val="24"/>
        </w:rPr>
      </w:pPr>
      <w:r>
        <w:rPr>
          <w:sz w:val="24"/>
        </w:rPr>
        <w:t xml:space="preserve">   </w:t>
      </w:r>
    </w:p>
    <w:p w14:paraId="0A1118E2" w14:textId="77777777" w:rsidR="00344C0D" w:rsidRDefault="00344C0D" w:rsidP="00344C0D">
      <w:pPr>
        <w:rPr>
          <w:sz w:val="24"/>
          <w:u w:val="single"/>
        </w:rPr>
      </w:pPr>
      <w:r>
        <w:rPr>
          <w:sz w:val="24"/>
        </w:rPr>
        <w:t xml:space="preserve">   12.   </w:t>
      </w:r>
      <w:r>
        <w:rPr>
          <w:sz w:val="24"/>
        </w:rPr>
        <w:tab/>
      </w:r>
      <w:r>
        <w:rPr>
          <w:sz w:val="24"/>
          <w:u w:val="single"/>
        </w:rPr>
        <w:t>Estimate of Respondent Burden</w:t>
      </w:r>
    </w:p>
    <w:p w14:paraId="4CF458B6" w14:textId="77777777" w:rsidR="00344C0D" w:rsidRDefault="00344C0D" w:rsidP="00344C0D">
      <w:pPr>
        <w:rPr>
          <w:sz w:val="24"/>
        </w:rPr>
      </w:pPr>
    </w:p>
    <w:p w14:paraId="54FC2A50" w14:textId="633A2BE0" w:rsidR="00344C0D" w:rsidRDefault="00344C0D" w:rsidP="00344C0D">
      <w:pPr>
        <w:ind w:left="720"/>
        <w:rPr>
          <w:sz w:val="24"/>
          <w:szCs w:val="24"/>
        </w:rPr>
      </w:pPr>
      <w:r>
        <w:rPr>
          <w:sz w:val="24"/>
        </w:rPr>
        <w:t xml:space="preserve">The estimated respondent burden for the </w:t>
      </w:r>
      <w:r w:rsidR="00E61ED4">
        <w:rPr>
          <w:sz w:val="24"/>
        </w:rPr>
        <w:t xml:space="preserve">May and September 2018 UI Non-Filer </w:t>
      </w:r>
      <w:r w:rsidR="00E61ED4" w:rsidRPr="00680F4D">
        <w:rPr>
          <w:sz w:val="24"/>
        </w:rPr>
        <w:t>Supplements</w:t>
      </w:r>
      <w:r w:rsidRPr="00680F4D">
        <w:rPr>
          <w:sz w:val="24"/>
        </w:rPr>
        <w:t xml:space="preserve"> is </w:t>
      </w:r>
      <w:r w:rsidR="000E7856">
        <w:rPr>
          <w:sz w:val="24"/>
        </w:rPr>
        <w:t>2,0</w:t>
      </w:r>
      <w:r w:rsidR="00401D5C" w:rsidRPr="00680F4D">
        <w:rPr>
          <w:sz w:val="24"/>
        </w:rPr>
        <w:t>00</w:t>
      </w:r>
      <w:r w:rsidRPr="00680F4D">
        <w:rPr>
          <w:sz w:val="24"/>
        </w:rPr>
        <w:t xml:space="preserve"> hours. This is based</w:t>
      </w:r>
      <w:r>
        <w:rPr>
          <w:sz w:val="24"/>
        </w:rPr>
        <w:t xml:space="preserve"> on an average burden of approximately </w:t>
      </w:r>
      <w:r w:rsidR="00401D5C">
        <w:rPr>
          <w:sz w:val="24"/>
        </w:rPr>
        <w:t>2</w:t>
      </w:r>
      <w:r w:rsidRPr="005F517E">
        <w:rPr>
          <w:sz w:val="24"/>
        </w:rPr>
        <w:t xml:space="preserve"> minutes</w:t>
      </w:r>
      <w:r>
        <w:rPr>
          <w:sz w:val="24"/>
        </w:rPr>
        <w:t xml:space="preserve"> for each of the </w:t>
      </w:r>
      <w:r w:rsidR="000E7856">
        <w:rPr>
          <w:sz w:val="24"/>
        </w:rPr>
        <w:t>60</w:t>
      </w:r>
      <w:r w:rsidR="00680F4D">
        <w:rPr>
          <w:sz w:val="24"/>
        </w:rPr>
        <w:t>,</w:t>
      </w:r>
      <w:r w:rsidR="00680F4D" w:rsidRPr="000E7856">
        <w:rPr>
          <w:sz w:val="24"/>
        </w:rPr>
        <w:t>000</w:t>
      </w:r>
      <w:r>
        <w:rPr>
          <w:sz w:val="24"/>
        </w:rPr>
        <w:t xml:space="preserve"> </w:t>
      </w:r>
      <w:r w:rsidR="00B96235">
        <w:rPr>
          <w:sz w:val="24"/>
        </w:rPr>
        <w:t xml:space="preserve">people asked about in </w:t>
      </w:r>
      <w:r>
        <w:rPr>
          <w:sz w:val="24"/>
        </w:rPr>
        <w:t>the supplement</w:t>
      </w:r>
      <w:r w:rsidR="006B0037">
        <w:rPr>
          <w:sz w:val="24"/>
        </w:rPr>
        <w:t xml:space="preserve"> (30,000 each for May and September)</w:t>
      </w:r>
      <w:r>
        <w:rPr>
          <w:sz w:val="24"/>
        </w:rPr>
        <w:t xml:space="preserve">. Generally, one respondent answers for the household. </w:t>
      </w:r>
      <w:r w:rsidR="00722873">
        <w:rPr>
          <w:sz w:val="24"/>
        </w:rPr>
        <w:t xml:space="preserve">The actual respondent burden is dependent upon the size of the household and the characteristics of its occupants. </w:t>
      </w:r>
      <w:r>
        <w:rPr>
          <w:sz w:val="24"/>
        </w:rPr>
        <w:t xml:space="preserve">The overall annualized dollar cost to the respondents for collection of the supplement data is </w:t>
      </w:r>
      <w:r w:rsidR="00722873">
        <w:rPr>
          <w:sz w:val="24"/>
        </w:rPr>
        <w:t>$28,000</w:t>
      </w:r>
      <w:r w:rsidRPr="005F517E">
        <w:rPr>
          <w:sz w:val="24"/>
        </w:rPr>
        <w:t>.</w:t>
      </w:r>
      <w:r>
        <w:rPr>
          <w:sz w:val="24"/>
        </w:rPr>
        <w:t xml:space="preserve"> </w:t>
      </w:r>
      <w:r w:rsidRPr="00813096">
        <w:rPr>
          <w:sz w:val="24"/>
          <w:szCs w:val="24"/>
        </w:rPr>
        <w:t>This estimate assumes a wage rate for all respondents of $</w:t>
      </w:r>
      <w:r w:rsidRPr="00B31D2E">
        <w:rPr>
          <w:sz w:val="24"/>
          <w:szCs w:val="24"/>
        </w:rPr>
        <w:t>1</w:t>
      </w:r>
      <w:r w:rsidR="00DA7866">
        <w:rPr>
          <w:sz w:val="24"/>
          <w:szCs w:val="24"/>
        </w:rPr>
        <w:t>4</w:t>
      </w:r>
      <w:r w:rsidRPr="00B31D2E">
        <w:rPr>
          <w:sz w:val="24"/>
          <w:szCs w:val="24"/>
        </w:rPr>
        <w:t>.</w:t>
      </w:r>
      <w:r w:rsidR="00DA7866">
        <w:rPr>
          <w:sz w:val="24"/>
          <w:szCs w:val="24"/>
        </w:rPr>
        <w:t>0</w:t>
      </w:r>
      <w:r>
        <w:rPr>
          <w:sz w:val="24"/>
          <w:szCs w:val="24"/>
        </w:rPr>
        <w:t>0</w:t>
      </w:r>
      <w:r w:rsidRPr="00813096">
        <w:rPr>
          <w:sz w:val="24"/>
          <w:szCs w:val="24"/>
        </w:rPr>
        <w:t xml:space="preserve"> an hour, the median hourly earnings for workers paid by the hour in 20</w:t>
      </w:r>
      <w:r>
        <w:rPr>
          <w:sz w:val="24"/>
          <w:szCs w:val="24"/>
        </w:rPr>
        <w:t>1</w:t>
      </w:r>
      <w:r w:rsidR="00DA7866">
        <w:rPr>
          <w:sz w:val="24"/>
          <w:szCs w:val="24"/>
        </w:rPr>
        <w:t>6</w:t>
      </w:r>
      <w:r w:rsidRPr="00813096">
        <w:rPr>
          <w:sz w:val="24"/>
          <w:szCs w:val="24"/>
        </w:rPr>
        <w:t>.</w:t>
      </w:r>
    </w:p>
    <w:p w14:paraId="58793026" w14:textId="77777777" w:rsidR="00FA25C8" w:rsidRDefault="00FA25C8" w:rsidP="00344C0D">
      <w:pPr>
        <w:ind w:left="720"/>
        <w:rPr>
          <w:sz w:val="24"/>
          <w:szCs w:val="24"/>
        </w:rPr>
      </w:pPr>
    </w:p>
    <w:p w14:paraId="7384BECE" w14:textId="2BC7962A" w:rsidR="00FA25C8" w:rsidRPr="00571F52" w:rsidRDefault="00FA25C8" w:rsidP="00FA25C8">
      <w:pPr>
        <w:pStyle w:val="BodyText"/>
        <w:ind w:left="450"/>
        <w:rPr>
          <w:sz w:val="24"/>
          <w:szCs w:val="24"/>
        </w:rPr>
      </w:pPr>
      <w:r w:rsidRPr="00571F52">
        <w:rPr>
          <w:sz w:val="24"/>
          <w:szCs w:val="24"/>
        </w:rPr>
        <w:t>Table 1. Estimat</w:t>
      </w:r>
      <w:r>
        <w:rPr>
          <w:sz w:val="24"/>
          <w:szCs w:val="24"/>
        </w:rPr>
        <w:t xml:space="preserve">ed </w:t>
      </w:r>
      <w:r w:rsidR="00CB7B3D">
        <w:rPr>
          <w:sz w:val="24"/>
          <w:szCs w:val="24"/>
        </w:rPr>
        <w:t>Annualized Respondent</w:t>
      </w:r>
      <w:r>
        <w:rPr>
          <w:sz w:val="24"/>
          <w:szCs w:val="24"/>
        </w:rPr>
        <w:t xml:space="preserve"> </w:t>
      </w:r>
      <w:r w:rsidR="00CB7B3D">
        <w:rPr>
          <w:sz w:val="24"/>
          <w:szCs w:val="24"/>
        </w:rPr>
        <w:t xml:space="preserve">Hour and Cost </w:t>
      </w:r>
      <w:r>
        <w:rPr>
          <w:sz w:val="24"/>
          <w:szCs w:val="24"/>
        </w:rPr>
        <w:t>Burden</w:t>
      </w:r>
      <w:r w:rsidRPr="00571F52">
        <w:rPr>
          <w:sz w:val="24"/>
          <w:szCs w:val="24"/>
        </w:rPr>
        <w:t xml:space="preserve"> </w:t>
      </w:r>
    </w:p>
    <w:tbl>
      <w:tblPr>
        <w:tblStyle w:val="TableGrid"/>
        <w:tblW w:w="10260" w:type="dxa"/>
        <w:tblInd w:w="378" w:type="dxa"/>
        <w:tblLayout w:type="fixed"/>
        <w:tblLook w:val="04A0" w:firstRow="1" w:lastRow="0" w:firstColumn="1" w:lastColumn="0" w:noHBand="0" w:noVBand="1"/>
      </w:tblPr>
      <w:tblGrid>
        <w:gridCol w:w="1417"/>
        <w:gridCol w:w="1530"/>
        <w:gridCol w:w="1463"/>
        <w:gridCol w:w="1327"/>
        <w:gridCol w:w="1350"/>
        <w:gridCol w:w="990"/>
        <w:gridCol w:w="1103"/>
        <w:gridCol w:w="1080"/>
      </w:tblGrid>
      <w:tr w:rsidR="00CB7B3D" w14:paraId="562EDE35" w14:textId="77777777" w:rsidTr="00834750">
        <w:tc>
          <w:tcPr>
            <w:tcW w:w="1417" w:type="dxa"/>
          </w:tcPr>
          <w:p w14:paraId="1C0A4EA2" w14:textId="0B8072F0" w:rsidR="00CB7B3D" w:rsidRPr="00571F52" w:rsidRDefault="00CB7B3D" w:rsidP="005F5BD6">
            <w:pPr>
              <w:pStyle w:val="BodyText"/>
              <w:jc w:val="center"/>
              <w:rPr>
                <w:b/>
                <w:sz w:val="24"/>
                <w:szCs w:val="24"/>
              </w:rPr>
            </w:pPr>
            <w:r>
              <w:rPr>
                <w:b/>
                <w:sz w:val="24"/>
                <w:szCs w:val="24"/>
              </w:rPr>
              <w:t xml:space="preserve">Form </w:t>
            </w:r>
          </w:p>
        </w:tc>
        <w:tc>
          <w:tcPr>
            <w:tcW w:w="1530" w:type="dxa"/>
          </w:tcPr>
          <w:p w14:paraId="4698E0EB" w14:textId="4A4033A6" w:rsidR="00CB7B3D" w:rsidRPr="00571F52" w:rsidRDefault="00CB7B3D" w:rsidP="005F5BD6">
            <w:pPr>
              <w:pStyle w:val="BodyText"/>
              <w:jc w:val="center"/>
              <w:rPr>
                <w:b/>
                <w:sz w:val="24"/>
                <w:szCs w:val="24"/>
              </w:rPr>
            </w:pPr>
            <w:r w:rsidRPr="00571F52">
              <w:rPr>
                <w:b/>
                <w:sz w:val="24"/>
                <w:szCs w:val="24"/>
              </w:rPr>
              <w:t>Total Respondents</w:t>
            </w:r>
          </w:p>
        </w:tc>
        <w:tc>
          <w:tcPr>
            <w:tcW w:w="1463" w:type="dxa"/>
          </w:tcPr>
          <w:p w14:paraId="71F9696A" w14:textId="6B2817F7" w:rsidR="00CB7B3D" w:rsidRPr="00571F52" w:rsidRDefault="00CB7B3D" w:rsidP="005F5BD6">
            <w:pPr>
              <w:pStyle w:val="BodyText"/>
              <w:jc w:val="center"/>
              <w:rPr>
                <w:b/>
                <w:sz w:val="24"/>
                <w:szCs w:val="24"/>
              </w:rPr>
            </w:pPr>
            <w:r>
              <w:rPr>
                <w:b/>
                <w:sz w:val="24"/>
                <w:szCs w:val="24"/>
              </w:rPr>
              <w:t>No. of Responses per Respondent</w:t>
            </w:r>
          </w:p>
        </w:tc>
        <w:tc>
          <w:tcPr>
            <w:tcW w:w="1327" w:type="dxa"/>
          </w:tcPr>
          <w:p w14:paraId="084E03BE" w14:textId="7C2C5AA9" w:rsidR="00CB7B3D" w:rsidRPr="00571F52" w:rsidRDefault="00CB7B3D" w:rsidP="00CB7B3D">
            <w:pPr>
              <w:pStyle w:val="BodyText"/>
              <w:jc w:val="center"/>
              <w:rPr>
                <w:b/>
                <w:sz w:val="24"/>
                <w:szCs w:val="24"/>
              </w:rPr>
            </w:pPr>
            <w:r w:rsidRPr="00571F52">
              <w:rPr>
                <w:b/>
                <w:sz w:val="24"/>
                <w:szCs w:val="24"/>
              </w:rPr>
              <w:t xml:space="preserve">Total </w:t>
            </w:r>
            <w:r>
              <w:rPr>
                <w:b/>
                <w:sz w:val="24"/>
                <w:szCs w:val="24"/>
              </w:rPr>
              <w:t xml:space="preserve">Number of </w:t>
            </w:r>
            <w:r w:rsidRPr="00571F52">
              <w:rPr>
                <w:b/>
                <w:sz w:val="24"/>
                <w:szCs w:val="24"/>
              </w:rPr>
              <w:t>Responses</w:t>
            </w:r>
          </w:p>
        </w:tc>
        <w:tc>
          <w:tcPr>
            <w:tcW w:w="1350" w:type="dxa"/>
          </w:tcPr>
          <w:p w14:paraId="3C9390E2" w14:textId="77777777" w:rsidR="00CB7B3D" w:rsidRDefault="00CB7B3D" w:rsidP="005F5BD6">
            <w:pPr>
              <w:pStyle w:val="BodyText"/>
              <w:jc w:val="center"/>
              <w:rPr>
                <w:b/>
                <w:sz w:val="24"/>
                <w:szCs w:val="24"/>
              </w:rPr>
            </w:pPr>
            <w:r w:rsidRPr="00571F52">
              <w:rPr>
                <w:b/>
                <w:sz w:val="24"/>
                <w:szCs w:val="24"/>
              </w:rPr>
              <w:t>Average Time per Response</w:t>
            </w:r>
          </w:p>
          <w:p w14:paraId="33F249CB" w14:textId="43E4DBC8" w:rsidR="00CB7B3D" w:rsidRPr="00571F52" w:rsidRDefault="00CB7B3D" w:rsidP="005F5BD6">
            <w:pPr>
              <w:pStyle w:val="BodyText"/>
              <w:jc w:val="center"/>
              <w:rPr>
                <w:b/>
                <w:sz w:val="24"/>
                <w:szCs w:val="24"/>
              </w:rPr>
            </w:pPr>
            <w:r>
              <w:rPr>
                <w:b/>
                <w:sz w:val="24"/>
                <w:szCs w:val="24"/>
              </w:rPr>
              <w:t xml:space="preserve">(In Hours) </w:t>
            </w:r>
          </w:p>
        </w:tc>
        <w:tc>
          <w:tcPr>
            <w:tcW w:w="990" w:type="dxa"/>
          </w:tcPr>
          <w:p w14:paraId="7105CC4E" w14:textId="566B4992" w:rsidR="00CB7B3D" w:rsidRPr="00571F52" w:rsidRDefault="00CB7B3D" w:rsidP="00CB7B3D">
            <w:pPr>
              <w:pStyle w:val="BodyText"/>
              <w:jc w:val="center"/>
              <w:rPr>
                <w:b/>
                <w:sz w:val="24"/>
                <w:szCs w:val="24"/>
              </w:rPr>
            </w:pPr>
            <w:r w:rsidRPr="00571F52">
              <w:rPr>
                <w:b/>
                <w:sz w:val="24"/>
                <w:szCs w:val="24"/>
              </w:rPr>
              <w:t>Total Burden Hours</w:t>
            </w:r>
          </w:p>
        </w:tc>
        <w:tc>
          <w:tcPr>
            <w:tcW w:w="1103" w:type="dxa"/>
          </w:tcPr>
          <w:p w14:paraId="291E95E9" w14:textId="2B251A32" w:rsidR="00CB7B3D" w:rsidRPr="00571F52" w:rsidRDefault="00CB7B3D" w:rsidP="005F5BD6">
            <w:pPr>
              <w:pStyle w:val="BodyText"/>
              <w:jc w:val="center"/>
              <w:rPr>
                <w:b/>
                <w:sz w:val="24"/>
                <w:szCs w:val="24"/>
              </w:rPr>
            </w:pPr>
            <w:r>
              <w:rPr>
                <w:b/>
                <w:sz w:val="24"/>
                <w:szCs w:val="24"/>
              </w:rPr>
              <w:t>Average Hourly Wage Rate</w:t>
            </w:r>
          </w:p>
        </w:tc>
        <w:tc>
          <w:tcPr>
            <w:tcW w:w="1080" w:type="dxa"/>
          </w:tcPr>
          <w:p w14:paraId="067BCB32" w14:textId="6CF24605" w:rsidR="00CB7B3D" w:rsidRPr="00571F52" w:rsidRDefault="00CB7B3D" w:rsidP="00CB7B3D">
            <w:pPr>
              <w:pStyle w:val="BodyText"/>
              <w:jc w:val="center"/>
              <w:rPr>
                <w:sz w:val="24"/>
                <w:szCs w:val="24"/>
              </w:rPr>
            </w:pPr>
            <w:r w:rsidRPr="00571F52">
              <w:rPr>
                <w:b/>
                <w:sz w:val="24"/>
                <w:szCs w:val="24"/>
              </w:rPr>
              <w:t xml:space="preserve">Total Burden </w:t>
            </w:r>
            <w:r>
              <w:rPr>
                <w:b/>
                <w:sz w:val="24"/>
                <w:szCs w:val="24"/>
              </w:rPr>
              <w:t>Cost</w:t>
            </w:r>
          </w:p>
        </w:tc>
      </w:tr>
      <w:tr w:rsidR="00CB7B3D" w14:paraId="6394FC2E" w14:textId="77777777" w:rsidTr="00834750">
        <w:tc>
          <w:tcPr>
            <w:tcW w:w="1417" w:type="dxa"/>
          </w:tcPr>
          <w:p w14:paraId="4917783E" w14:textId="340E7801" w:rsidR="00CB7B3D" w:rsidRDefault="00CB7B3D" w:rsidP="005F5BD6">
            <w:pPr>
              <w:pStyle w:val="BodyText"/>
              <w:jc w:val="center"/>
              <w:rPr>
                <w:sz w:val="24"/>
                <w:szCs w:val="24"/>
              </w:rPr>
            </w:pPr>
            <w:r w:rsidRPr="00CB7B3D">
              <w:rPr>
                <w:sz w:val="24"/>
                <w:szCs w:val="24"/>
              </w:rPr>
              <w:t>CPS UI Non-Filer Supplement</w:t>
            </w:r>
          </w:p>
        </w:tc>
        <w:tc>
          <w:tcPr>
            <w:tcW w:w="1530" w:type="dxa"/>
          </w:tcPr>
          <w:p w14:paraId="5F0F7510" w14:textId="527762D5" w:rsidR="00CB7B3D" w:rsidRPr="00571F52" w:rsidRDefault="00CB7B3D" w:rsidP="005F5BD6">
            <w:pPr>
              <w:pStyle w:val="BodyText"/>
              <w:jc w:val="center"/>
              <w:rPr>
                <w:sz w:val="24"/>
                <w:szCs w:val="24"/>
              </w:rPr>
            </w:pPr>
            <w:r>
              <w:rPr>
                <w:sz w:val="24"/>
                <w:szCs w:val="24"/>
              </w:rPr>
              <w:t>60</w:t>
            </w:r>
            <w:r w:rsidRPr="00571F52">
              <w:rPr>
                <w:sz w:val="24"/>
                <w:szCs w:val="24"/>
              </w:rPr>
              <w:t>,000</w:t>
            </w:r>
          </w:p>
        </w:tc>
        <w:tc>
          <w:tcPr>
            <w:tcW w:w="1463" w:type="dxa"/>
          </w:tcPr>
          <w:p w14:paraId="6F0AD089" w14:textId="55933367" w:rsidR="00CB7B3D" w:rsidRPr="00571F52" w:rsidRDefault="00CB7B3D" w:rsidP="005F5BD6">
            <w:pPr>
              <w:pStyle w:val="BodyText"/>
              <w:jc w:val="center"/>
              <w:rPr>
                <w:sz w:val="24"/>
                <w:szCs w:val="24"/>
              </w:rPr>
            </w:pPr>
            <w:r>
              <w:rPr>
                <w:sz w:val="24"/>
                <w:szCs w:val="24"/>
              </w:rPr>
              <w:t>Once</w:t>
            </w:r>
          </w:p>
        </w:tc>
        <w:tc>
          <w:tcPr>
            <w:tcW w:w="1327" w:type="dxa"/>
          </w:tcPr>
          <w:p w14:paraId="0CEEFCED" w14:textId="0852553C" w:rsidR="00CB7B3D" w:rsidRPr="00571F52" w:rsidRDefault="00CB7B3D" w:rsidP="005F5BD6">
            <w:pPr>
              <w:pStyle w:val="BodyText"/>
              <w:jc w:val="center"/>
              <w:rPr>
                <w:sz w:val="24"/>
                <w:szCs w:val="24"/>
              </w:rPr>
            </w:pPr>
            <w:r>
              <w:rPr>
                <w:sz w:val="24"/>
                <w:szCs w:val="24"/>
              </w:rPr>
              <w:t>60</w:t>
            </w:r>
            <w:r w:rsidRPr="00B35209">
              <w:rPr>
                <w:sz w:val="24"/>
                <w:szCs w:val="24"/>
              </w:rPr>
              <w:t>,000</w:t>
            </w:r>
          </w:p>
        </w:tc>
        <w:tc>
          <w:tcPr>
            <w:tcW w:w="1350" w:type="dxa"/>
          </w:tcPr>
          <w:p w14:paraId="4769CBF7" w14:textId="4C9EF004" w:rsidR="00CB7B3D" w:rsidRPr="00571F52" w:rsidRDefault="00CB7B3D" w:rsidP="00CB7B3D">
            <w:pPr>
              <w:pStyle w:val="BodyText"/>
              <w:jc w:val="center"/>
              <w:rPr>
                <w:sz w:val="24"/>
                <w:szCs w:val="24"/>
              </w:rPr>
            </w:pPr>
            <w:r>
              <w:rPr>
                <w:sz w:val="24"/>
                <w:szCs w:val="24"/>
              </w:rPr>
              <w:t>2/60</w:t>
            </w:r>
          </w:p>
        </w:tc>
        <w:tc>
          <w:tcPr>
            <w:tcW w:w="990" w:type="dxa"/>
          </w:tcPr>
          <w:p w14:paraId="40C2A197" w14:textId="38903919" w:rsidR="00CB7B3D" w:rsidRPr="00571F52" w:rsidRDefault="00CB7B3D" w:rsidP="005F5BD6">
            <w:pPr>
              <w:pStyle w:val="BodyText"/>
              <w:jc w:val="center"/>
              <w:rPr>
                <w:sz w:val="24"/>
                <w:szCs w:val="24"/>
              </w:rPr>
            </w:pPr>
            <w:r>
              <w:rPr>
                <w:sz w:val="24"/>
              </w:rPr>
              <w:t>2,000</w:t>
            </w:r>
          </w:p>
        </w:tc>
        <w:tc>
          <w:tcPr>
            <w:tcW w:w="1103" w:type="dxa"/>
          </w:tcPr>
          <w:p w14:paraId="17DDF705" w14:textId="27985FEF" w:rsidR="00CB7B3D" w:rsidRPr="00FF0855" w:rsidRDefault="00CB7B3D" w:rsidP="005F5BD6">
            <w:pPr>
              <w:pStyle w:val="BodyText"/>
              <w:jc w:val="center"/>
              <w:rPr>
                <w:sz w:val="24"/>
              </w:rPr>
            </w:pPr>
            <w:r>
              <w:rPr>
                <w:sz w:val="24"/>
              </w:rPr>
              <w:t>$14.00</w:t>
            </w:r>
          </w:p>
        </w:tc>
        <w:tc>
          <w:tcPr>
            <w:tcW w:w="1080" w:type="dxa"/>
          </w:tcPr>
          <w:p w14:paraId="05BDF60D" w14:textId="1569D35B" w:rsidR="00CB7B3D" w:rsidRPr="00571F52" w:rsidRDefault="00CB7B3D" w:rsidP="005F5BD6">
            <w:pPr>
              <w:pStyle w:val="BodyText"/>
              <w:jc w:val="center"/>
              <w:rPr>
                <w:sz w:val="24"/>
                <w:szCs w:val="24"/>
              </w:rPr>
            </w:pPr>
            <w:r w:rsidRPr="00FF0855">
              <w:rPr>
                <w:sz w:val="24"/>
              </w:rPr>
              <w:t>$</w:t>
            </w:r>
            <w:r>
              <w:rPr>
                <w:sz w:val="24"/>
              </w:rPr>
              <w:t>28,000</w:t>
            </w:r>
          </w:p>
        </w:tc>
      </w:tr>
    </w:tbl>
    <w:p w14:paraId="659B5809" w14:textId="1627399D" w:rsidR="00FA25C8" w:rsidRPr="003A161A" w:rsidRDefault="00FA25C8" w:rsidP="00FA25C8">
      <w:pPr>
        <w:pStyle w:val="BodyText"/>
        <w:ind w:left="450"/>
      </w:pPr>
      <w:r w:rsidRPr="003A161A">
        <w:t xml:space="preserve">**Costs are rounded to the nearest dollar and calculated using </w:t>
      </w:r>
      <w:r>
        <w:t>the 2016 median hourly wage rate of $14.00 per hour</w:t>
      </w:r>
      <w:r w:rsidRPr="003A161A">
        <w:t xml:space="preserve"> from the Current Population Survey.</w:t>
      </w:r>
    </w:p>
    <w:p w14:paraId="68F023FD" w14:textId="77777777" w:rsidR="00344C0D" w:rsidRDefault="00344C0D" w:rsidP="00344C0D">
      <w:pPr>
        <w:ind w:left="720"/>
        <w:rPr>
          <w:sz w:val="24"/>
        </w:rPr>
      </w:pPr>
      <w:r>
        <w:t xml:space="preserve">  </w:t>
      </w:r>
    </w:p>
    <w:p w14:paraId="5FA19473" w14:textId="77777777" w:rsidR="00344C0D" w:rsidRDefault="00344C0D" w:rsidP="00344C0D">
      <w:pPr>
        <w:rPr>
          <w:sz w:val="24"/>
        </w:rPr>
      </w:pPr>
      <w:r>
        <w:rPr>
          <w:sz w:val="24"/>
        </w:rPr>
        <w:t xml:space="preserve">   13.   </w:t>
      </w:r>
      <w:r>
        <w:rPr>
          <w:sz w:val="24"/>
        </w:rPr>
        <w:tab/>
      </w:r>
      <w:r>
        <w:rPr>
          <w:sz w:val="24"/>
          <w:u w:val="single"/>
        </w:rPr>
        <w:t>Estimate of Cost Burden</w:t>
      </w:r>
    </w:p>
    <w:p w14:paraId="54C8DD10" w14:textId="77777777" w:rsidR="00344C0D" w:rsidRDefault="00344C0D" w:rsidP="00344C0D">
      <w:pPr>
        <w:rPr>
          <w:sz w:val="24"/>
        </w:rPr>
      </w:pPr>
    </w:p>
    <w:p w14:paraId="38D58E1F" w14:textId="77777777" w:rsidR="00344C0D" w:rsidRDefault="00344C0D" w:rsidP="00344C0D">
      <w:pPr>
        <w:numPr>
          <w:ilvl w:val="0"/>
          <w:numId w:val="1"/>
        </w:numPr>
        <w:spacing w:line="480" w:lineRule="auto"/>
        <w:rPr>
          <w:sz w:val="24"/>
        </w:rPr>
      </w:pPr>
      <w:r>
        <w:rPr>
          <w:sz w:val="24"/>
        </w:rPr>
        <w:t>Capital start-up costs:  $0</w:t>
      </w:r>
    </w:p>
    <w:p w14:paraId="73BA16E5" w14:textId="77777777" w:rsidR="00344C0D" w:rsidRDefault="00344C0D" w:rsidP="00344C0D">
      <w:pPr>
        <w:numPr>
          <w:ilvl w:val="0"/>
          <w:numId w:val="1"/>
        </w:numPr>
        <w:spacing w:line="480" w:lineRule="auto"/>
        <w:rPr>
          <w:sz w:val="24"/>
        </w:rPr>
      </w:pPr>
      <w:r>
        <w:rPr>
          <w:sz w:val="24"/>
        </w:rPr>
        <w:t>Total operation and maintenance and purchase of services:  $0</w:t>
      </w:r>
    </w:p>
    <w:p w14:paraId="450D5503" w14:textId="49EEC958" w:rsidR="00344C0D" w:rsidRDefault="00344C0D" w:rsidP="00344C0D">
      <w:pPr>
        <w:ind w:left="720"/>
        <w:rPr>
          <w:sz w:val="24"/>
        </w:rPr>
      </w:pPr>
      <w:r>
        <w:rPr>
          <w:sz w:val="24"/>
        </w:rPr>
        <w:t>There are no costs to survey respondents other than the time it takes to respond to the questionnaire. Respondents answer questions based on personal experience, which requires no record-keeping or other expenses.</w:t>
      </w:r>
    </w:p>
    <w:p w14:paraId="2B833DD1" w14:textId="77777777" w:rsidR="00344C0D" w:rsidRDefault="00344C0D" w:rsidP="00344C0D">
      <w:pPr>
        <w:rPr>
          <w:sz w:val="24"/>
        </w:rPr>
      </w:pPr>
    </w:p>
    <w:p w14:paraId="64E739B7" w14:textId="77777777" w:rsidR="00344C0D" w:rsidRDefault="00344C0D" w:rsidP="00344C0D">
      <w:pPr>
        <w:rPr>
          <w:sz w:val="24"/>
        </w:rPr>
      </w:pPr>
      <w:r>
        <w:rPr>
          <w:sz w:val="24"/>
        </w:rPr>
        <w:t xml:space="preserve">   14.   </w:t>
      </w:r>
      <w:r>
        <w:rPr>
          <w:sz w:val="24"/>
        </w:rPr>
        <w:tab/>
      </w:r>
      <w:r>
        <w:rPr>
          <w:sz w:val="24"/>
          <w:u w:val="single"/>
        </w:rPr>
        <w:t>Cost to the Federal Government</w:t>
      </w:r>
    </w:p>
    <w:p w14:paraId="159E0391" w14:textId="77777777" w:rsidR="00344C0D" w:rsidRDefault="00344C0D" w:rsidP="00344C0D">
      <w:pPr>
        <w:rPr>
          <w:sz w:val="24"/>
        </w:rPr>
      </w:pPr>
    </w:p>
    <w:p w14:paraId="69FB7C3C" w14:textId="1E4F925C" w:rsidR="00344C0D" w:rsidRPr="001F680A" w:rsidRDefault="00344C0D" w:rsidP="00344C0D">
      <w:pPr>
        <w:ind w:left="720"/>
        <w:rPr>
          <w:sz w:val="24"/>
        </w:rPr>
      </w:pPr>
      <w:r>
        <w:rPr>
          <w:sz w:val="24"/>
        </w:rPr>
        <w:t xml:space="preserve">The total estimated cost of the </w:t>
      </w:r>
      <w:r w:rsidR="00F17C5E">
        <w:rPr>
          <w:sz w:val="24"/>
        </w:rPr>
        <w:t>May and September 2018</w:t>
      </w:r>
      <w:r>
        <w:rPr>
          <w:sz w:val="24"/>
        </w:rPr>
        <w:t xml:space="preserve"> supplement</w:t>
      </w:r>
      <w:r w:rsidR="00F17C5E">
        <w:rPr>
          <w:sz w:val="24"/>
        </w:rPr>
        <w:t>s</w:t>
      </w:r>
      <w:r>
        <w:rPr>
          <w:sz w:val="24"/>
        </w:rPr>
        <w:t xml:space="preserve"> is </w:t>
      </w:r>
      <w:r w:rsidR="00507AE3">
        <w:rPr>
          <w:sz w:val="24"/>
        </w:rPr>
        <w:t xml:space="preserve">approximately </w:t>
      </w:r>
      <w:r>
        <w:rPr>
          <w:sz w:val="24"/>
        </w:rPr>
        <w:t>$</w:t>
      </w:r>
      <w:r w:rsidR="00507AE3">
        <w:rPr>
          <w:sz w:val="24"/>
        </w:rPr>
        <w:t>800,000</w:t>
      </w:r>
      <w:r w:rsidRPr="001F680A">
        <w:rPr>
          <w:sz w:val="24"/>
        </w:rPr>
        <w:t xml:space="preserve">. This cost is borne by the </w:t>
      </w:r>
      <w:r w:rsidR="00F17C5E">
        <w:rPr>
          <w:sz w:val="24"/>
        </w:rPr>
        <w:t xml:space="preserve">DOL’s </w:t>
      </w:r>
      <w:r w:rsidR="00507AE3">
        <w:rPr>
          <w:sz w:val="24"/>
        </w:rPr>
        <w:t xml:space="preserve">Chief Evaluation Office (CEO) </w:t>
      </w:r>
      <w:r>
        <w:rPr>
          <w:sz w:val="24"/>
        </w:rPr>
        <w:t>and largely represents the charge by the Census Bureau for conducting the supplement</w:t>
      </w:r>
      <w:r w:rsidRPr="001F680A">
        <w:rPr>
          <w:sz w:val="24"/>
        </w:rPr>
        <w:t>.</w:t>
      </w:r>
      <w:r>
        <w:rPr>
          <w:sz w:val="24"/>
        </w:rPr>
        <w:t xml:space="preserve"> Census activities for this supplement include programming the collection instrument, developing interviewer training materials, collecting and processing data, and creating a public use microdata file. Also included are costs for BLS staff to </w:t>
      </w:r>
      <w:r w:rsidR="002C6B3C">
        <w:rPr>
          <w:sz w:val="24"/>
        </w:rPr>
        <w:t xml:space="preserve">evaluate data quality, analyze results, </w:t>
      </w:r>
      <w:r>
        <w:rPr>
          <w:sz w:val="24"/>
        </w:rPr>
        <w:t>prepare a news release</w:t>
      </w:r>
      <w:r w:rsidR="002C6B3C">
        <w:rPr>
          <w:sz w:val="24"/>
        </w:rPr>
        <w:t>,</w:t>
      </w:r>
      <w:r>
        <w:rPr>
          <w:sz w:val="24"/>
        </w:rPr>
        <w:t xml:space="preserve"> and publish estimates. </w:t>
      </w:r>
    </w:p>
    <w:p w14:paraId="6FD9EA3A" w14:textId="77777777" w:rsidR="00344C0D" w:rsidRDefault="00344C0D" w:rsidP="00344C0D">
      <w:pPr>
        <w:rPr>
          <w:sz w:val="24"/>
        </w:rPr>
      </w:pPr>
    </w:p>
    <w:p w14:paraId="15FBAA82" w14:textId="58634CFB" w:rsidR="00344C0D" w:rsidRDefault="00344C0D" w:rsidP="00344C0D">
      <w:pPr>
        <w:rPr>
          <w:sz w:val="24"/>
          <w:u w:val="single"/>
        </w:rPr>
      </w:pPr>
      <w:r>
        <w:rPr>
          <w:sz w:val="24"/>
        </w:rPr>
        <w:t xml:space="preserve">   15.   </w:t>
      </w:r>
      <w:r>
        <w:rPr>
          <w:sz w:val="24"/>
        </w:rPr>
        <w:tab/>
      </w:r>
      <w:r w:rsidR="00D55750" w:rsidRPr="00131462">
        <w:rPr>
          <w:sz w:val="24"/>
          <w:u w:val="single"/>
        </w:rPr>
        <w:t xml:space="preserve">Changes in </w:t>
      </w:r>
      <w:r w:rsidRPr="00131462">
        <w:rPr>
          <w:sz w:val="24"/>
          <w:u w:val="single"/>
        </w:rPr>
        <w:t>Respondent</w:t>
      </w:r>
      <w:r>
        <w:rPr>
          <w:sz w:val="24"/>
          <w:u w:val="single"/>
        </w:rPr>
        <w:t xml:space="preserve"> Burden</w:t>
      </w:r>
    </w:p>
    <w:p w14:paraId="72C90561" w14:textId="77777777" w:rsidR="00344C0D" w:rsidRDefault="00344C0D" w:rsidP="00344C0D">
      <w:pPr>
        <w:rPr>
          <w:sz w:val="24"/>
        </w:rPr>
      </w:pPr>
    </w:p>
    <w:p w14:paraId="24E0575F" w14:textId="1CBEA4E7" w:rsidR="00344C0D" w:rsidRDefault="00F250D3" w:rsidP="004C1A81">
      <w:pPr>
        <w:ind w:left="720"/>
        <w:rPr>
          <w:sz w:val="24"/>
        </w:rPr>
      </w:pPr>
      <w:r>
        <w:rPr>
          <w:sz w:val="24"/>
        </w:rPr>
        <w:t>This is a new data collection</w:t>
      </w:r>
      <w:r w:rsidR="004C1A81" w:rsidRPr="00F250D3">
        <w:rPr>
          <w:sz w:val="24"/>
        </w:rPr>
        <w:t>.</w:t>
      </w:r>
    </w:p>
    <w:p w14:paraId="4D84982D" w14:textId="77777777" w:rsidR="00344C0D" w:rsidRDefault="00344C0D" w:rsidP="00344C0D">
      <w:pPr>
        <w:rPr>
          <w:sz w:val="24"/>
        </w:rPr>
      </w:pPr>
    </w:p>
    <w:p w14:paraId="72CEC6D1" w14:textId="77777777" w:rsidR="00344C0D" w:rsidRDefault="00344C0D" w:rsidP="00344C0D">
      <w:pPr>
        <w:rPr>
          <w:sz w:val="24"/>
        </w:rPr>
      </w:pPr>
      <w:r>
        <w:rPr>
          <w:sz w:val="24"/>
        </w:rPr>
        <w:t xml:space="preserve">   16.  </w:t>
      </w:r>
      <w:r>
        <w:rPr>
          <w:sz w:val="24"/>
        </w:rPr>
        <w:tab/>
      </w:r>
      <w:r>
        <w:rPr>
          <w:sz w:val="24"/>
          <w:u w:val="single"/>
        </w:rPr>
        <w:t>Time Schedule for Information Collection and Publication</w:t>
      </w:r>
    </w:p>
    <w:p w14:paraId="01AE4347" w14:textId="77777777" w:rsidR="00344C0D" w:rsidRDefault="00344C0D" w:rsidP="00344C0D">
      <w:pPr>
        <w:rPr>
          <w:sz w:val="24"/>
        </w:rPr>
      </w:pPr>
    </w:p>
    <w:p w14:paraId="1557BE4E" w14:textId="0BE695EC" w:rsidR="00344C0D" w:rsidRPr="00607DB5" w:rsidRDefault="00344C0D" w:rsidP="00344C0D">
      <w:pPr>
        <w:ind w:left="720"/>
        <w:rPr>
          <w:sz w:val="24"/>
        </w:rPr>
      </w:pPr>
      <w:r>
        <w:rPr>
          <w:sz w:val="24"/>
        </w:rPr>
        <w:t xml:space="preserve">The </w:t>
      </w:r>
      <w:r w:rsidR="004C1A81">
        <w:rPr>
          <w:sz w:val="24"/>
        </w:rPr>
        <w:t>May 2018</w:t>
      </w:r>
      <w:r>
        <w:rPr>
          <w:sz w:val="24"/>
        </w:rPr>
        <w:t xml:space="preserve"> CPS, of which this supplement is a part, will be conducted </w:t>
      </w:r>
      <w:r w:rsidR="002C6B3C">
        <w:rPr>
          <w:sz w:val="24"/>
        </w:rPr>
        <w:t xml:space="preserve">largely </w:t>
      </w:r>
      <w:r>
        <w:rPr>
          <w:sz w:val="24"/>
        </w:rPr>
        <w:t xml:space="preserve">during the week of </w:t>
      </w:r>
      <w:r w:rsidR="004C1A81">
        <w:rPr>
          <w:sz w:val="24"/>
        </w:rPr>
        <w:t>May</w:t>
      </w:r>
      <w:r w:rsidR="002C6B3C">
        <w:rPr>
          <w:sz w:val="24"/>
        </w:rPr>
        <w:t xml:space="preserve"> 13-19</w:t>
      </w:r>
      <w:r>
        <w:rPr>
          <w:sz w:val="24"/>
        </w:rPr>
        <w:t>, 201</w:t>
      </w:r>
      <w:r w:rsidR="00DA7866">
        <w:rPr>
          <w:sz w:val="24"/>
        </w:rPr>
        <w:t>8</w:t>
      </w:r>
      <w:r>
        <w:rPr>
          <w:sz w:val="24"/>
        </w:rPr>
        <w:t xml:space="preserve">. </w:t>
      </w:r>
      <w:r w:rsidR="004C1A81">
        <w:rPr>
          <w:sz w:val="24"/>
        </w:rPr>
        <w:t xml:space="preserve">The September 2018 CPS will be conducted </w:t>
      </w:r>
      <w:r w:rsidR="002C6B3C">
        <w:rPr>
          <w:sz w:val="24"/>
        </w:rPr>
        <w:t>largely during the week of</w:t>
      </w:r>
      <w:r w:rsidR="004C1A81">
        <w:rPr>
          <w:sz w:val="24"/>
        </w:rPr>
        <w:t xml:space="preserve"> September </w:t>
      </w:r>
      <w:r w:rsidR="002C6B3C">
        <w:rPr>
          <w:sz w:val="24"/>
        </w:rPr>
        <w:t xml:space="preserve">16-22, 2018. </w:t>
      </w:r>
      <w:r w:rsidRPr="009B5912">
        <w:rPr>
          <w:sz w:val="24"/>
        </w:rPr>
        <w:t>Processing of th</w:t>
      </w:r>
      <w:r w:rsidR="004C1A81">
        <w:rPr>
          <w:sz w:val="24"/>
        </w:rPr>
        <w:t>ese</w:t>
      </w:r>
      <w:r w:rsidRPr="009B5912">
        <w:rPr>
          <w:sz w:val="24"/>
        </w:rPr>
        <w:t xml:space="preserve"> supplement</w:t>
      </w:r>
      <w:r w:rsidR="004C1A81">
        <w:rPr>
          <w:sz w:val="24"/>
        </w:rPr>
        <w:t>s</w:t>
      </w:r>
      <w:r w:rsidRPr="009B5912">
        <w:rPr>
          <w:sz w:val="24"/>
        </w:rPr>
        <w:t xml:space="preserve"> will commence in </w:t>
      </w:r>
      <w:r w:rsidR="004C1A81">
        <w:rPr>
          <w:sz w:val="24"/>
        </w:rPr>
        <w:t xml:space="preserve">June </w:t>
      </w:r>
      <w:r w:rsidRPr="009B5912">
        <w:rPr>
          <w:sz w:val="24"/>
        </w:rPr>
        <w:t>20</w:t>
      </w:r>
      <w:r>
        <w:rPr>
          <w:sz w:val="24"/>
        </w:rPr>
        <w:t>1</w:t>
      </w:r>
      <w:r w:rsidR="00DA7866">
        <w:rPr>
          <w:sz w:val="24"/>
        </w:rPr>
        <w:t>8</w:t>
      </w:r>
      <w:r w:rsidR="004C1A81">
        <w:rPr>
          <w:sz w:val="24"/>
        </w:rPr>
        <w:t xml:space="preserve"> and October 2018, respectively</w:t>
      </w:r>
      <w:r w:rsidRPr="009B5912">
        <w:rPr>
          <w:sz w:val="24"/>
        </w:rPr>
        <w:t xml:space="preserve">. </w:t>
      </w:r>
      <w:r w:rsidRPr="00607DB5">
        <w:rPr>
          <w:sz w:val="24"/>
        </w:rPr>
        <w:t xml:space="preserve">Survey results will appear as </w:t>
      </w:r>
      <w:r w:rsidR="004C1A81">
        <w:rPr>
          <w:sz w:val="24"/>
        </w:rPr>
        <w:t xml:space="preserve">a </w:t>
      </w:r>
      <w:r w:rsidRPr="00607DB5">
        <w:rPr>
          <w:sz w:val="24"/>
        </w:rPr>
        <w:t xml:space="preserve">news release </w:t>
      </w:r>
      <w:r w:rsidR="00DA7866">
        <w:rPr>
          <w:sz w:val="24"/>
        </w:rPr>
        <w:t xml:space="preserve">in </w:t>
      </w:r>
      <w:r w:rsidR="004C1A81">
        <w:rPr>
          <w:sz w:val="24"/>
        </w:rPr>
        <w:t>2019</w:t>
      </w:r>
      <w:r w:rsidRPr="00607DB5">
        <w:rPr>
          <w:sz w:val="24"/>
        </w:rPr>
        <w:t xml:space="preserve">. </w:t>
      </w:r>
    </w:p>
    <w:p w14:paraId="622C8310" w14:textId="77777777" w:rsidR="00344C0D" w:rsidRPr="00607DB5" w:rsidRDefault="00344C0D" w:rsidP="00344C0D">
      <w:pPr>
        <w:ind w:left="720"/>
        <w:rPr>
          <w:sz w:val="24"/>
        </w:rPr>
      </w:pPr>
    </w:p>
    <w:p w14:paraId="60ACEDA7" w14:textId="5F44FA75" w:rsidR="00344C0D" w:rsidRPr="009B5912" w:rsidRDefault="004C1A81" w:rsidP="00344C0D">
      <w:pPr>
        <w:ind w:left="720"/>
        <w:rPr>
          <w:sz w:val="24"/>
        </w:rPr>
      </w:pPr>
      <w:r>
        <w:rPr>
          <w:sz w:val="24"/>
        </w:rPr>
        <w:t>The news release</w:t>
      </w:r>
      <w:r w:rsidR="00344C0D" w:rsidRPr="00607DB5">
        <w:rPr>
          <w:sz w:val="24"/>
        </w:rPr>
        <w:t xml:space="preserve"> will be published in electronic and paper formats. The electronic news release will be posted on the BLS webpage at www.bls.gov/cps. Paper copies will be mailed upon request. Additionally, the Census Bureau will release a public use version of the microdata after the publication of the news release.</w:t>
      </w:r>
      <w:r w:rsidR="00344C0D" w:rsidRPr="009B5912">
        <w:rPr>
          <w:sz w:val="24"/>
        </w:rPr>
        <w:t xml:space="preserve">  </w:t>
      </w:r>
    </w:p>
    <w:p w14:paraId="65260EA3" w14:textId="77777777" w:rsidR="00344C0D" w:rsidRDefault="00344C0D" w:rsidP="00344C0D">
      <w:pPr>
        <w:rPr>
          <w:sz w:val="24"/>
        </w:rPr>
      </w:pPr>
    </w:p>
    <w:p w14:paraId="000C5D6F" w14:textId="77777777" w:rsidR="00344C0D" w:rsidRDefault="00344C0D" w:rsidP="00344C0D">
      <w:pPr>
        <w:rPr>
          <w:sz w:val="24"/>
        </w:rPr>
      </w:pPr>
      <w:r>
        <w:rPr>
          <w:sz w:val="24"/>
        </w:rPr>
        <w:t xml:space="preserve">   17.   </w:t>
      </w:r>
      <w:r>
        <w:rPr>
          <w:sz w:val="24"/>
          <w:u w:val="single"/>
        </w:rPr>
        <w:t>Request to Not Display Expiration Date</w:t>
      </w:r>
    </w:p>
    <w:p w14:paraId="7569131C" w14:textId="77777777" w:rsidR="00344C0D" w:rsidRDefault="00344C0D" w:rsidP="00344C0D">
      <w:pPr>
        <w:rPr>
          <w:sz w:val="24"/>
        </w:rPr>
      </w:pPr>
    </w:p>
    <w:p w14:paraId="5B0F0452" w14:textId="7BBAEE9D" w:rsidR="00344C0D" w:rsidRDefault="00344C0D" w:rsidP="00344C0D">
      <w:pPr>
        <w:ind w:left="720"/>
        <w:rPr>
          <w:sz w:val="24"/>
        </w:rPr>
      </w:pPr>
      <w:r>
        <w:rPr>
          <w:sz w:val="24"/>
        </w:rPr>
        <w:t>The Census Bureau does not wish to display the assigned expiration date of the information collection because the instrument is automated and the respondent, therefore, would never see the date. The advance letter</w:t>
      </w:r>
      <w:r w:rsidR="00722873">
        <w:rPr>
          <w:sz w:val="24"/>
        </w:rPr>
        <w:t>s</w:t>
      </w:r>
      <w:r>
        <w:rPr>
          <w:sz w:val="24"/>
        </w:rPr>
        <w:t xml:space="preserve"> sent to households by the Census Bureau contains Census’s OMB clearance number for the CPS and Census’s version of the failure to comply notice. (See attachment</w:t>
      </w:r>
      <w:r w:rsidR="00D3427E">
        <w:rPr>
          <w:sz w:val="24"/>
        </w:rPr>
        <w:t>s</w:t>
      </w:r>
      <w:r>
        <w:rPr>
          <w:sz w:val="24"/>
        </w:rPr>
        <w:t xml:space="preserve"> D</w:t>
      </w:r>
      <w:r w:rsidR="00D3427E">
        <w:rPr>
          <w:sz w:val="24"/>
        </w:rPr>
        <w:t xml:space="preserve"> and E</w:t>
      </w:r>
      <w:r>
        <w:rPr>
          <w:sz w:val="24"/>
        </w:rPr>
        <w:t>.)  Copies of th</w:t>
      </w:r>
      <w:r w:rsidR="00722873">
        <w:rPr>
          <w:sz w:val="24"/>
        </w:rPr>
        <w:t>ese</w:t>
      </w:r>
      <w:r>
        <w:rPr>
          <w:sz w:val="24"/>
        </w:rPr>
        <w:t xml:space="preserve"> advance letter</w:t>
      </w:r>
      <w:r w:rsidR="00722873">
        <w:rPr>
          <w:sz w:val="24"/>
        </w:rPr>
        <w:t>s</w:t>
      </w:r>
      <w:r>
        <w:rPr>
          <w:sz w:val="24"/>
        </w:rPr>
        <w:t xml:space="preserve"> are stockpiled by the Census Bureau for use as needed; changes to the letter would make the current inventory of letters unusable.</w:t>
      </w:r>
    </w:p>
    <w:p w14:paraId="6A259BAC" w14:textId="77777777" w:rsidR="00344C0D" w:rsidRDefault="00344C0D" w:rsidP="00344C0D">
      <w:pPr>
        <w:rPr>
          <w:sz w:val="24"/>
        </w:rPr>
      </w:pPr>
      <w:r>
        <w:rPr>
          <w:sz w:val="24"/>
        </w:rPr>
        <w:t xml:space="preserve"> </w:t>
      </w:r>
    </w:p>
    <w:p w14:paraId="3FD2062D" w14:textId="77777777" w:rsidR="00344C0D" w:rsidRDefault="00344C0D" w:rsidP="00344C0D">
      <w:pPr>
        <w:rPr>
          <w:sz w:val="24"/>
        </w:rPr>
      </w:pPr>
      <w:r>
        <w:rPr>
          <w:sz w:val="24"/>
        </w:rPr>
        <w:t xml:space="preserve">   18.   </w:t>
      </w:r>
      <w:r>
        <w:rPr>
          <w:sz w:val="24"/>
        </w:rPr>
        <w:tab/>
      </w:r>
      <w:r>
        <w:rPr>
          <w:sz w:val="24"/>
          <w:u w:val="single"/>
        </w:rPr>
        <w:t>Exceptions to the Certification</w:t>
      </w:r>
    </w:p>
    <w:p w14:paraId="7743CD60" w14:textId="77777777" w:rsidR="00344C0D" w:rsidRDefault="00344C0D" w:rsidP="00344C0D">
      <w:pPr>
        <w:rPr>
          <w:sz w:val="24"/>
        </w:rPr>
      </w:pPr>
    </w:p>
    <w:p w14:paraId="7F2AE4B1" w14:textId="77777777" w:rsidR="00344C0D" w:rsidRDefault="00344C0D" w:rsidP="00344C0D">
      <w:pPr>
        <w:rPr>
          <w:sz w:val="24"/>
        </w:rPr>
      </w:pPr>
      <w:r>
        <w:rPr>
          <w:sz w:val="24"/>
        </w:rPr>
        <w:t xml:space="preserve">      </w:t>
      </w:r>
      <w:r>
        <w:rPr>
          <w:sz w:val="24"/>
        </w:rPr>
        <w:tab/>
        <w:t>There are no exceptions to the certification.</w:t>
      </w:r>
    </w:p>
    <w:p w14:paraId="2B944E37" w14:textId="77777777" w:rsidR="00CC2EBF" w:rsidRDefault="00CC2EBF"/>
    <w:sectPr w:rsidR="00CC2EBF" w:rsidSect="00CC2EB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5F487" w14:textId="77777777" w:rsidR="004C2505" w:rsidRDefault="004C2505" w:rsidP="004C2505">
      <w:r>
        <w:separator/>
      </w:r>
    </w:p>
  </w:endnote>
  <w:endnote w:type="continuationSeparator" w:id="0">
    <w:p w14:paraId="4E7F837B" w14:textId="77777777" w:rsidR="004C2505" w:rsidRDefault="004C2505" w:rsidP="004C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32648"/>
      <w:docPartObj>
        <w:docPartGallery w:val="Page Numbers (Bottom of Page)"/>
        <w:docPartUnique/>
      </w:docPartObj>
    </w:sdtPr>
    <w:sdtEndPr>
      <w:rPr>
        <w:noProof/>
      </w:rPr>
    </w:sdtEndPr>
    <w:sdtContent>
      <w:p w14:paraId="11AAC4E8" w14:textId="5F0DE89C" w:rsidR="004C2505" w:rsidRDefault="004C2505">
        <w:pPr>
          <w:pStyle w:val="Footer"/>
          <w:jc w:val="right"/>
        </w:pPr>
        <w:r>
          <w:fldChar w:fldCharType="begin"/>
        </w:r>
        <w:r>
          <w:instrText xml:space="preserve"> PAGE   \* MERGEFORMAT </w:instrText>
        </w:r>
        <w:r>
          <w:fldChar w:fldCharType="separate"/>
        </w:r>
        <w:r w:rsidR="00845EBC">
          <w:rPr>
            <w:noProof/>
          </w:rPr>
          <w:t>1</w:t>
        </w:r>
        <w:r>
          <w:rPr>
            <w:noProof/>
          </w:rPr>
          <w:fldChar w:fldCharType="end"/>
        </w:r>
      </w:p>
    </w:sdtContent>
  </w:sdt>
  <w:p w14:paraId="340F6968" w14:textId="77777777" w:rsidR="004C2505" w:rsidRDefault="004C2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DFDB8" w14:textId="77777777" w:rsidR="004C2505" w:rsidRDefault="004C2505" w:rsidP="004C2505">
      <w:r>
        <w:separator/>
      </w:r>
    </w:p>
  </w:footnote>
  <w:footnote w:type="continuationSeparator" w:id="0">
    <w:p w14:paraId="2BF753D1" w14:textId="77777777" w:rsidR="004C2505" w:rsidRDefault="004C2505" w:rsidP="004C2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BD0C" w14:textId="34BB9BB8" w:rsidR="004C2505" w:rsidRDefault="004C2505" w:rsidP="004C2505">
    <w:pPr>
      <w:pStyle w:val="Header"/>
    </w:pPr>
    <w:r>
      <w:t>CPS UI Non-Filer Supplement</w:t>
    </w:r>
  </w:p>
  <w:p w14:paraId="331455A5" w14:textId="23EE11B4" w:rsidR="004C2505" w:rsidRDefault="004C2505" w:rsidP="004C2505">
    <w:pPr>
      <w:pStyle w:val="Header"/>
    </w:pPr>
    <w:r>
      <w:t>1220-NEW</w:t>
    </w:r>
  </w:p>
  <w:p w14:paraId="54664FDE" w14:textId="2C64CC41" w:rsidR="004C2505" w:rsidRDefault="00303090">
    <w:pPr>
      <w:pStyle w:val="Header"/>
    </w:pPr>
    <w:r>
      <w:t xml:space="preserve">March </w:t>
    </w:r>
    <w:r w:rsidR="000D1CBE">
      <w:t>2018</w:t>
    </w:r>
  </w:p>
  <w:p w14:paraId="62D4C5EF" w14:textId="77777777" w:rsidR="004C2505" w:rsidRDefault="004C25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80991"/>
    <w:multiLevelType w:val="singleLevel"/>
    <w:tmpl w:val="7E98144C"/>
    <w:lvl w:ilvl="0">
      <w:start w:val="1"/>
      <w:numFmt w:val="lowerLetter"/>
      <w:lvlText w:val="%1. "/>
      <w:legacy w:legacy="1" w:legacySpace="0" w:legacyIndent="360"/>
      <w:lvlJc w:val="left"/>
      <w:pPr>
        <w:ind w:left="1080" w:hanging="360"/>
      </w:pPr>
      <w:rPr>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C0D"/>
    <w:rsid w:val="00062074"/>
    <w:rsid w:val="000669A0"/>
    <w:rsid w:val="000A7595"/>
    <w:rsid w:val="000C2AAF"/>
    <w:rsid w:val="000D1CBE"/>
    <w:rsid w:val="000E7856"/>
    <w:rsid w:val="00131462"/>
    <w:rsid w:val="00162380"/>
    <w:rsid w:val="0019510E"/>
    <w:rsid w:val="00206D50"/>
    <w:rsid w:val="00265C12"/>
    <w:rsid w:val="002B691F"/>
    <w:rsid w:val="002C4B22"/>
    <w:rsid w:val="002C6B3C"/>
    <w:rsid w:val="00303090"/>
    <w:rsid w:val="00324BED"/>
    <w:rsid w:val="00335AAB"/>
    <w:rsid w:val="00344C0D"/>
    <w:rsid w:val="00381ACA"/>
    <w:rsid w:val="003C66B4"/>
    <w:rsid w:val="003F3064"/>
    <w:rsid w:val="00401D5C"/>
    <w:rsid w:val="00431031"/>
    <w:rsid w:val="004C1A81"/>
    <w:rsid w:val="004C2505"/>
    <w:rsid w:val="00507AE3"/>
    <w:rsid w:val="00516CB7"/>
    <w:rsid w:val="00521200"/>
    <w:rsid w:val="00521C0A"/>
    <w:rsid w:val="005D54ED"/>
    <w:rsid w:val="005E061B"/>
    <w:rsid w:val="005F1C62"/>
    <w:rsid w:val="00604B49"/>
    <w:rsid w:val="00680F4D"/>
    <w:rsid w:val="006B0037"/>
    <w:rsid w:val="006C4856"/>
    <w:rsid w:val="006D3801"/>
    <w:rsid w:val="006D498E"/>
    <w:rsid w:val="006D5E5D"/>
    <w:rsid w:val="006F4D54"/>
    <w:rsid w:val="00722873"/>
    <w:rsid w:val="00723C6E"/>
    <w:rsid w:val="007367A0"/>
    <w:rsid w:val="00745EF5"/>
    <w:rsid w:val="00754DA4"/>
    <w:rsid w:val="00815262"/>
    <w:rsid w:val="00834750"/>
    <w:rsid w:val="00843D1E"/>
    <w:rsid w:val="00845EBC"/>
    <w:rsid w:val="00854461"/>
    <w:rsid w:val="008930BF"/>
    <w:rsid w:val="00960B5C"/>
    <w:rsid w:val="009F43BC"/>
    <w:rsid w:val="00AB267F"/>
    <w:rsid w:val="00AC317C"/>
    <w:rsid w:val="00AD6FF8"/>
    <w:rsid w:val="00AF6B80"/>
    <w:rsid w:val="00B42DF2"/>
    <w:rsid w:val="00B96235"/>
    <w:rsid w:val="00B969D7"/>
    <w:rsid w:val="00BC3D99"/>
    <w:rsid w:val="00BD39BD"/>
    <w:rsid w:val="00C01B0E"/>
    <w:rsid w:val="00C02B09"/>
    <w:rsid w:val="00C21D92"/>
    <w:rsid w:val="00C63F69"/>
    <w:rsid w:val="00C73E9D"/>
    <w:rsid w:val="00CA1486"/>
    <w:rsid w:val="00CB7B3D"/>
    <w:rsid w:val="00CC2EBF"/>
    <w:rsid w:val="00CE5356"/>
    <w:rsid w:val="00CF086B"/>
    <w:rsid w:val="00D3427E"/>
    <w:rsid w:val="00D55750"/>
    <w:rsid w:val="00D61048"/>
    <w:rsid w:val="00D76959"/>
    <w:rsid w:val="00DA7866"/>
    <w:rsid w:val="00DA7C0F"/>
    <w:rsid w:val="00E240A5"/>
    <w:rsid w:val="00E30D03"/>
    <w:rsid w:val="00E36AC9"/>
    <w:rsid w:val="00E61ED4"/>
    <w:rsid w:val="00EE6751"/>
    <w:rsid w:val="00F17C5E"/>
    <w:rsid w:val="00F250D3"/>
    <w:rsid w:val="00F92EB8"/>
    <w:rsid w:val="00FA25C8"/>
    <w:rsid w:val="00FD26D2"/>
    <w:rsid w:val="00FF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0D"/>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C0D"/>
    <w:pPr>
      <w:jc w:val="center"/>
    </w:pPr>
    <w:rPr>
      <w:b/>
      <w:sz w:val="24"/>
    </w:rPr>
  </w:style>
  <w:style w:type="character" w:customStyle="1" w:styleId="TitleChar">
    <w:name w:val="Title Char"/>
    <w:basedOn w:val="DefaultParagraphFont"/>
    <w:link w:val="Title"/>
    <w:rsid w:val="00344C0D"/>
    <w:rPr>
      <w:rFonts w:ascii="Times New Roman" w:eastAsia="Times New Roman" w:hAnsi="Times New Roman" w:cs="Times New Roman"/>
      <w:b/>
      <w:sz w:val="24"/>
      <w:szCs w:val="20"/>
    </w:rPr>
  </w:style>
  <w:style w:type="paragraph" w:styleId="BodyTextIndent">
    <w:name w:val="Body Text Indent"/>
    <w:basedOn w:val="Normal"/>
    <w:link w:val="BodyTextIndentChar"/>
    <w:rsid w:val="00344C0D"/>
    <w:pPr>
      <w:ind w:left="720" w:firstLine="43"/>
    </w:pPr>
    <w:rPr>
      <w:snapToGrid w:val="0"/>
      <w:sz w:val="24"/>
    </w:rPr>
  </w:style>
  <w:style w:type="character" w:customStyle="1" w:styleId="BodyTextIndentChar">
    <w:name w:val="Body Text Indent Char"/>
    <w:basedOn w:val="DefaultParagraphFont"/>
    <w:link w:val="BodyTextIndent"/>
    <w:rsid w:val="00344C0D"/>
    <w:rPr>
      <w:rFonts w:ascii="Times New Roman" w:eastAsia="Times New Roman" w:hAnsi="Times New Roman" w:cs="Times New Roman"/>
      <w:snapToGrid w:val="0"/>
      <w:sz w:val="24"/>
      <w:szCs w:val="20"/>
    </w:rPr>
  </w:style>
  <w:style w:type="paragraph" w:styleId="Subtitle">
    <w:name w:val="Subtitle"/>
    <w:basedOn w:val="Normal"/>
    <w:link w:val="SubtitleChar"/>
    <w:qFormat/>
    <w:rsid w:val="00344C0D"/>
    <w:pPr>
      <w:ind w:firstLine="345"/>
    </w:pPr>
    <w:rPr>
      <w:sz w:val="24"/>
    </w:rPr>
  </w:style>
  <w:style w:type="character" w:customStyle="1" w:styleId="SubtitleChar">
    <w:name w:val="Subtitle Char"/>
    <w:basedOn w:val="DefaultParagraphFont"/>
    <w:link w:val="Subtitle"/>
    <w:rsid w:val="00344C0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21D92"/>
    <w:rPr>
      <w:sz w:val="16"/>
      <w:szCs w:val="16"/>
    </w:rPr>
  </w:style>
  <w:style w:type="paragraph" w:styleId="CommentText">
    <w:name w:val="annotation text"/>
    <w:basedOn w:val="Normal"/>
    <w:link w:val="CommentTextChar"/>
    <w:uiPriority w:val="99"/>
    <w:semiHidden/>
    <w:unhideWhenUsed/>
    <w:rsid w:val="00C21D92"/>
  </w:style>
  <w:style w:type="character" w:customStyle="1" w:styleId="CommentTextChar">
    <w:name w:val="Comment Text Char"/>
    <w:basedOn w:val="DefaultParagraphFont"/>
    <w:link w:val="CommentText"/>
    <w:uiPriority w:val="99"/>
    <w:semiHidden/>
    <w:rsid w:val="00C21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D92"/>
    <w:rPr>
      <w:b/>
      <w:bCs/>
    </w:rPr>
  </w:style>
  <w:style w:type="character" w:customStyle="1" w:styleId="CommentSubjectChar">
    <w:name w:val="Comment Subject Char"/>
    <w:basedOn w:val="CommentTextChar"/>
    <w:link w:val="CommentSubject"/>
    <w:uiPriority w:val="99"/>
    <w:semiHidden/>
    <w:rsid w:val="00C21D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1D92"/>
    <w:rPr>
      <w:rFonts w:ascii="Tahoma" w:hAnsi="Tahoma" w:cs="Tahoma"/>
      <w:sz w:val="16"/>
      <w:szCs w:val="16"/>
    </w:rPr>
  </w:style>
  <w:style w:type="character" w:customStyle="1" w:styleId="BalloonTextChar">
    <w:name w:val="Balloon Text Char"/>
    <w:basedOn w:val="DefaultParagraphFont"/>
    <w:link w:val="BalloonText"/>
    <w:uiPriority w:val="99"/>
    <w:semiHidden/>
    <w:rsid w:val="00C21D92"/>
    <w:rPr>
      <w:rFonts w:ascii="Tahoma" w:eastAsia="Times New Roman" w:hAnsi="Tahoma" w:cs="Tahoma"/>
      <w:sz w:val="16"/>
      <w:szCs w:val="16"/>
    </w:rPr>
  </w:style>
  <w:style w:type="paragraph" w:styleId="BodyText">
    <w:name w:val="Body Text"/>
    <w:basedOn w:val="Normal"/>
    <w:link w:val="BodyTextChar"/>
    <w:uiPriority w:val="99"/>
    <w:unhideWhenUsed/>
    <w:rsid w:val="00FA25C8"/>
    <w:pPr>
      <w:spacing w:after="120"/>
    </w:pPr>
  </w:style>
  <w:style w:type="character" w:customStyle="1" w:styleId="BodyTextChar">
    <w:name w:val="Body Text Char"/>
    <w:basedOn w:val="DefaultParagraphFont"/>
    <w:link w:val="BodyText"/>
    <w:uiPriority w:val="99"/>
    <w:rsid w:val="00FA25C8"/>
    <w:rPr>
      <w:rFonts w:ascii="Times New Roman" w:eastAsia="Times New Roman" w:hAnsi="Times New Roman" w:cs="Times New Roman"/>
      <w:sz w:val="20"/>
      <w:szCs w:val="20"/>
    </w:rPr>
  </w:style>
  <w:style w:type="table" w:styleId="TableGrid">
    <w:name w:val="Table Grid"/>
    <w:basedOn w:val="TableNormal"/>
    <w:uiPriority w:val="59"/>
    <w:rsid w:val="00FA25C8"/>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505"/>
    <w:pPr>
      <w:tabs>
        <w:tab w:val="center" w:pos="4680"/>
        <w:tab w:val="right" w:pos="9360"/>
      </w:tabs>
    </w:pPr>
  </w:style>
  <w:style w:type="character" w:customStyle="1" w:styleId="HeaderChar">
    <w:name w:val="Header Char"/>
    <w:basedOn w:val="DefaultParagraphFont"/>
    <w:link w:val="Header"/>
    <w:uiPriority w:val="99"/>
    <w:rsid w:val="004C25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2505"/>
    <w:pPr>
      <w:tabs>
        <w:tab w:val="center" w:pos="4680"/>
        <w:tab w:val="right" w:pos="9360"/>
      </w:tabs>
    </w:pPr>
  </w:style>
  <w:style w:type="character" w:customStyle="1" w:styleId="FooterChar">
    <w:name w:val="Footer Char"/>
    <w:basedOn w:val="DefaultParagraphFont"/>
    <w:link w:val="Footer"/>
    <w:uiPriority w:val="99"/>
    <w:rsid w:val="004C250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0D"/>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C0D"/>
    <w:pPr>
      <w:jc w:val="center"/>
    </w:pPr>
    <w:rPr>
      <w:b/>
      <w:sz w:val="24"/>
    </w:rPr>
  </w:style>
  <w:style w:type="character" w:customStyle="1" w:styleId="TitleChar">
    <w:name w:val="Title Char"/>
    <w:basedOn w:val="DefaultParagraphFont"/>
    <w:link w:val="Title"/>
    <w:rsid w:val="00344C0D"/>
    <w:rPr>
      <w:rFonts w:ascii="Times New Roman" w:eastAsia="Times New Roman" w:hAnsi="Times New Roman" w:cs="Times New Roman"/>
      <w:b/>
      <w:sz w:val="24"/>
      <w:szCs w:val="20"/>
    </w:rPr>
  </w:style>
  <w:style w:type="paragraph" w:styleId="BodyTextIndent">
    <w:name w:val="Body Text Indent"/>
    <w:basedOn w:val="Normal"/>
    <w:link w:val="BodyTextIndentChar"/>
    <w:rsid w:val="00344C0D"/>
    <w:pPr>
      <w:ind w:left="720" w:firstLine="43"/>
    </w:pPr>
    <w:rPr>
      <w:snapToGrid w:val="0"/>
      <w:sz w:val="24"/>
    </w:rPr>
  </w:style>
  <w:style w:type="character" w:customStyle="1" w:styleId="BodyTextIndentChar">
    <w:name w:val="Body Text Indent Char"/>
    <w:basedOn w:val="DefaultParagraphFont"/>
    <w:link w:val="BodyTextIndent"/>
    <w:rsid w:val="00344C0D"/>
    <w:rPr>
      <w:rFonts w:ascii="Times New Roman" w:eastAsia="Times New Roman" w:hAnsi="Times New Roman" w:cs="Times New Roman"/>
      <w:snapToGrid w:val="0"/>
      <w:sz w:val="24"/>
      <w:szCs w:val="20"/>
    </w:rPr>
  </w:style>
  <w:style w:type="paragraph" w:styleId="Subtitle">
    <w:name w:val="Subtitle"/>
    <w:basedOn w:val="Normal"/>
    <w:link w:val="SubtitleChar"/>
    <w:qFormat/>
    <w:rsid w:val="00344C0D"/>
    <w:pPr>
      <w:ind w:firstLine="345"/>
    </w:pPr>
    <w:rPr>
      <w:sz w:val="24"/>
    </w:rPr>
  </w:style>
  <w:style w:type="character" w:customStyle="1" w:styleId="SubtitleChar">
    <w:name w:val="Subtitle Char"/>
    <w:basedOn w:val="DefaultParagraphFont"/>
    <w:link w:val="Subtitle"/>
    <w:rsid w:val="00344C0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21D92"/>
    <w:rPr>
      <w:sz w:val="16"/>
      <w:szCs w:val="16"/>
    </w:rPr>
  </w:style>
  <w:style w:type="paragraph" w:styleId="CommentText">
    <w:name w:val="annotation text"/>
    <w:basedOn w:val="Normal"/>
    <w:link w:val="CommentTextChar"/>
    <w:uiPriority w:val="99"/>
    <w:semiHidden/>
    <w:unhideWhenUsed/>
    <w:rsid w:val="00C21D92"/>
  </w:style>
  <w:style w:type="character" w:customStyle="1" w:styleId="CommentTextChar">
    <w:name w:val="Comment Text Char"/>
    <w:basedOn w:val="DefaultParagraphFont"/>
    <w:link w:val="CommentText"/>
    <w:uiPriority w:val="99"/>
    <w:semiHidden/>
    <w:rsid w:val="00C21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D92"/>
    <w:rPr>
      <w:b/>
      <w:bCs/>
    </w:rPr>
  </w:style>
  <w:style w:type="character" w:customStyle="1" w:styleId="CommentSubjectChar">
    <w:name w:val="Comment Subject Char"/>
    <w:basedOn w:val="CommentTextChar"/>
    <w:link w:val="CommentSubject"/>
    <w:uiPriority w:val="99"/>
    <w:semiHidden/>
    <w:rsid w:val="00C21D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1D92"/>
    <w:rPr>
      <w:rFonts w:ascii="Tahoma" w:hAnsi="Tahoma" w:cs="Tahoma"/>
      <w:sz w:val="16"/>
      <w:szCs w:val="16"/>
    </w:rPr>
  </w:style>
  <w:style w:type="character" w:customStyle="1" w:styleId="BalloonTextChar">
    <w:name w:val="Balloon Text Char"/>
    <w:basedOn w:val="DefaultParagraphFont"/>
    <w:link w:val="BalloonText"/>
    <w:uiPriority w:val="99"/>
    <w:semiHidden/>
    <w:rsid w:val="00C21D92"/>
    <w:rPr>
      <w:rFonts w:ascii="Tahoma" w:eastAsia="Times New Roman" w:hAnsi="Tahoma" w:cs="Tahoma"/>
      <w:sz w:val="16"/>
      <w:szCs w:val="16"/>
    </w:rPr>
  </w:style>
  <w:style w:type="paragraph" w:styleId="BodyText">
    <w:name w:val="Body Text"/>
    <w:basedOn w:val="Normal"/>
    <w:link w:val="BodyTextChar"/>
    <w:uiPriority w:val="99"/>
    <w:unhideWhenUsed/>
    <w:rsid w:val="00FA25C8"/>
    <w:pPr>
      <w:spacing w:after="120"/>
    </w:pPr>
  </w:style>
  <w:style w:type="character" w:customStyle="1" w:styleId="BodyTextChar">
    <w:name w:val="Body Text Char"/>
    <w:basedOn w:val="DefaultParagraphFont"/>
    <w:link w:val="BodyText"/>
    <w:uiPriority w:val="99"/>
    <w:rsid w:val="00FA25C8"/>
    <w:rPr>
      <w:rFonts w:ascii="Times New Roman" w:eastAsia="Times New Roman" w:hAnsi="Times New Roman" w:cs="Times New Roman"/>
      <w:sz w:val="20"/>
      <w:szCs w:val="20"/>
    </w:rPr>
  </w:style>
  <w:style w:type="table" w:styleId="TableGrid">
    <w:name w:val="Table Grid"/>
    <w:basedOn w:val="TableNormal"/>
    <w:uiPriority w:val="59"/>
    <w:rsid w:val="00FA25C8"/>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505"/>
    <w:pPr>
      <w:tabs>
        <w:tab w:val="center" w:pos="4680"/>
        <w:tab w:val="right" w:pos="9360"/>
      </w:tabs>
    </w:pPr>
  </w:style>
  <w:style w:type="character" w:customStyle="1" w:styleId="HeaderChar">
    <w:name w:val="Header Char"/>
    <w:basedOn w:val="DefaultParagraphFont"/>
    <w:link w:val="Header"/>
    <w:uiPriority w:val="99"/>
    <w:rsid w:val="004C25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2505"/>
    <w:pPr>
      <w:tabs>
        <w:tab w:val="center" w:pos="4680"/>
        <w:tab w:val="right" w:pos="9360"/>
      </w:tabs>
    </w:pPr>
  </w:style>
  <w:style w:type="character" w:customStyle="1" w:styleId="FooterChar">
    <w:name w:val="Footer Char"/>
    <w:basedOn w:val="DefaultParagraphFont"/>
    <w:link w:val="Footer"/>
    <w:uiPriority w:val="99"/>
    <w:rsid w:val="004C25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3A775-9308-4956-8F50-508AC6BE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vogel_a</dc:creator>
  <cp:lastModifiedBy>SYSTEM</cp:lastModifiedBy>
  <cp:revision>2</cp:revision>
  <dcterms:created xsi:type="dcterms:W3CDTF">2018-03-16T18:17:00Z</dcterms:created>
  <dcterms:modified xsi:type="dcterms:W3CDTF">2018-03-16T18:17:00Z</dcterms:modified>
</cp:coreProperties>
</file>