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7BE4" w14:textId="77777777" w:rsidR="0054472A" w:rsidRDefault="0054472A" w:rsidP="0054472A">
      <w:pPr>
        <w:pStyle w:val="C1-CtrBoldHd"/>
        <w:spacing w:after="0"/>
        <w:rPr>
          <w:sz w:val="36"/>
        </w:rPr>
      </w:pPr>
      <w:bookmarkStart w:id="0" w:name="_Toc119829979"/>
    </w:p>
    <w:p w14:paraId="04BEC1AF" w14:textId="77777777" w:rsidR="0054472A" w:rsidRDefault="0054472A" w:rsidP="0054472A">
      <w:pPr>
        <w:pStyle w:val="C1-CtrBoldHd"/>
        <w:spacing w:after="0"/>
        <w:rPr>
          <w:sz w:val="36"/>
        </w:rPr>
      </w:pPr>
    </w:p>
    <w:p w14:paraId="2519009C" w14:textId="77777777" w:rsidR="0054472A" w:rsidRPr="00F6344F" w:rsidRDefault="0054472A" w:rsidP="0054472A">
      <w:pPr>
        <w:pStyle w:val="C1-CtrBoldHd"/>
        <w:spacing w:after="0"/>
      </w:pPr>
    </w:p>
    <w:p w14:paraId="4B3936B0" w14:textId="77777777" w:rsidR="0054472A" w:rsidRDefault="0054472A" w:rsidP="0054472A">
      <w:pPr>
        <w:pStyle w:val="C1-CtrBoldHd"/>
        <w:spacing w:after="0"/>
        <w:rPr>
          <w:sz w:val="32"/>
        </w:rPr>
      </w:pPr>
      <w:r w:rsidRPr="009850EA">
        <w:rPr>
          <w:sz w:val="32"/>
        </w:rPr>
        <w:t>Trends in International mathematics and science study (TIMSS 201</w:t>
      </w:r>
      <w:r>
        <w:rPr>
          <w:sz w:val="32"/>
        </w:rPr>
        <w:t>9</w:t>
      </w:r>
      <w:r w:rsidRPr="009850EA">
        <w:rPr>
          <w:sz w:val="32"/>
        </w:rPr>
        <w:t>)</w:t>
      </w:r>
    </w:p>
    <w:p w14:paraId="6CF3EBDB" w14:textId="5CFE202A" w:rsidR="0054472A" w:rsidRPr="00F6344F" w:rsidRDefault="00431591" w:rsidP="0054472A">
      <w:pPr>
        <w:pStyle w:val="C1-CtrBoldHd"/>
        <w:spacing w:after="0"/>
      </w:pPr>
      <w:r>
        <w:rPr>
          <w:sz w:val="32"/>
        </w:rPr>
        <w:t>main Study</w:t>
      </w:r>
      <w:r w:rsidR="0054472A">
        <w:rPr>
          <w:sz w:val="32"/>
        </w:rPr>
        <w:t xml:space="preserve"> Recruitment and </w:t>
      </w:r>
      <w:r>
        <w:rPr>
          <w:sz w:val="32"/>
        </w:rPr>
        <w:t xml:space="preserve">Field </w:t>
      </w:r>
      <w:r w:rsidR="0054472A">
        <w:rPr>
          <w:sz w:val="32"/>
        </w:rPr>
        <w:t>test</w:t>
      </w:r>
    </w:p>
    <w:p w14:paraId="64AC1C4E" w14:textId="77777777" w:rsidR="0054472A" w:rsidRPr="00F6344F" w:rsidRDefault="0054472A" w:rsidP="0054472A">
      <w:pPr>
        <w:pStyle w:val="C1-CtrBoldHd"/>
        <w:spacing w:after="0"/>
        <w:rPr>
          <w:sz w:val="24"/>
        </w:rPr>
      </w:pPr>
    </w:p>
    <w:p w14:paraId="39C6BDF8" w14:textId="77777777" w:rsidR="0054472A" w:rsidRPr="003D6A50" w:rsidRDefault="0054472A" w:rsidP="0054472A">
      <w:pPr>
        <w:pStyle w:val="C1-CtrBoldHd"/>
        <w:spacing w:after="0"/>
        <w:rPr>
          <w:sz w:val="28"/>
        </w:rPr>
      </w:pPr>
    </w:p>
    <w:p w14:paraId="1872A093" w14:textId="77777777" w:rsidR="0054472A" w:rsidRDefault="0054472A" w:rsidP="0054472A">
      <w:pPr>
        <w:pStyle w:val="C1-CtrBoldHd"/>
        <w:spacing w:after="0"/>
        <w:rPr>
          <w:sz w:val="28"/>
        </w:rPr>
      </w:pPr>
      <w:r w:rsidRPr="00387E87">
        <w:rPr>
          <w:sz w:val="28"/>
        </w:rPr>
        <w:t>REQUEST FOR OMB Clearance</w:t>
      </w:r>
    </w:p>
    <w:p w14:paraId="0086D3D7" w14:textId="61FEE32D" w:rsidR="0054472A" w:rsidRDefault="0054472A" w:rsidP="0054472A">
      <w:pPr>
        <w:pStyle w:val="C1-CtrBoldHd"/>
        <w:spacing w:after="0"/>
        <w:rPr>
          <w:sz w:val="28"/>
        </w:rPr>
      </w:pPr>
      <w:r w:rsidRPr="00696A27">
        <w:rPr>
          <w:sz w:val="28"/>
        </w:rPr>
        <w:t xml:space="preserve">OMB# 1850-0695 </w:t>
      </w:r>
      <w:r w:rsidRPr="00EA0160">
        <w:rPr>
          <w:caps w:val="0"/>
          <w:sz w:val="28"/>
        </w:rPr>
        <w:t>v</w:t>
      </w:r>
      <w:r w:rsidRPr="00EA0160">
        <w:rPr>
          <w:sz w:val="28"/>
        </w:rPr>
        <w:t>.</w:t>
      </w:r>
      <w:r w:rsidR="00920674">
        <w:rPr>
          <w:sz w:val="28"/>
        </w:rPr>
        <w:t>10</w:t>
      </w:r>
    </w:p>
    <w:p w14:paraId="4F798791" w14:textId="77777777" w:rsidR="0054472A" w:rsidRDefault="0054472A" w:rsidP="0054472A">
      <w:pPr>
        <w:pStyle w:val="C1-CtrBoldHd"/>
        <w:spacing w:after="0"/>
        <w:rPr>
          <w:sz w:val="28"/>
        </w:rPr>
      </w:pPr>
    </w:p>
    <w:p w14:paraId="0452A2D1" w14:textId="77777777" w:rsidR="0054472A" w:rsidRDefault="0054472A" w:rsidP="0054472A">
      <w:pPr>
        <w:pStyle w:val="C1-CtrBoldHd"/>
        <w:spacing w:after="0"/>
        <w:rPr>
          <w:sz w:val="28"/>
        </w:rPr>
      </w:pPr>
    </w:p>
    <w:p w14:paraId="713CE265" w14:textId="77777777" w:rsidR="0054472A" w:rsidRDefault="0054472A" w:rsidP="0054472A">
      <w:pPr>
        <w:pStyle w:val="C1-CtrBoldHd"/>
        <w:spacing w:after="0"/>
        <w:rPr>
          <w:sz w:val="28"/>
        </w:rPr>
      </w:pPr>
    </w:p>
    <w:p w14:paraId="47C63EEB" w14:textId="77777777" w:rsidR="0054472A" w:rsidRPr="00B82C6A" w:rsidRDefault="0054472A" w:rsidP="0054472A">
      <w:pPr>
        <w:pStyle w:val="C1-CtrBoldHd"/>
        <w:spacing w:after="0"/>
        <w:rPr>
          <w:sz w:val="28"/>
        </w:rPr>
      </w:pPr>
      <w:r>
        <w:rPr>
          <w:sz w:val="28"/>
        </w:rPr>
        <w:t>Supporting Statement Part B</w:t>
      </w:r>
    </w:p>
    <w:p w14:paraId="1B688B86" w14:textId="77777777" w:rsidR="0054472A" w:rsidRPr="003D6A50" w:rsidRDefault="0054472A" w:rsidP="0054472A">
      <w:pPr>
        <w:pStyle w:val="C1-CtrBoldHd"/>
        <w:spacing w:after="0"/>
        <w:rPr>
          <w:sz w:val="36"/>
        </w:rPr>
      </w:pPr>
    </w:p>
    <w:p w14:paraId="14BD5878" w14:textId="77777777" w:rsidR="0054472A" w:rsidRPr="003D6A50" w:rsidRDefault="0054472A" w:rsidP="0054472A">
      <w:pPr>
        <w:pStyle w:val="C1-CtrBoldHd"/>
        <w:spacing w:after="0"/>
        <w:rPr>
          <w:sz w:val="28"/>
        </w:rPr>
      </w:pPr>
    </w:p>
    <w:p w14:paraId="3EF79D54" w14:textId="77777777" w:rsidR="0054472A" w:rsidRPr="003D6A50" w:rsidRDefault="0054472A" w:rsidP="0054472A">
      <w:pPr>
        <w:pStyle w:val="C1-CtrBoldHd"/>
        <w:spacing w:after="0"/>
        <w:rPr>
          <w:sz w:val="28"/>
        </w:rPr>
      </w:pPr>
    </w:p>
    <w:p w14:paraId="3C5B8006" w14:textId="77777777" w:rsidR="0054472A" w:rsidRPr="003D6A50" w:rsidRDefault="0054472A" w:rsidP="0054472A">
      <w:pPr>
        <w:pStyle w:val="C1-CtrBoldHd"/>
        <w:spacing w:after="0"/>
        <w:rPr>
          <w:caps w:val="0"/>
          <w:sz w:val="28"/>
        </w:rPr>
      </w:pPr>
      <w:r>
        <w:rPr>
          <w:caps w:val="0"/>
          <w:sz w:val="28"/>
        </w:rPr>
        <w:t>Submitted</w:t>
      </w:r>
      <w:r w:rsidRPr="003D6A50">
        <w:rPr>
          <w:caps w:val="0"/>
          <w:sz w:val="28"/>
        </w:rPr>
        <w:t xml:space="preserve"> by:</w:t>
      </w:r>
    </w:p>
    <w:p w14:paraId="1D4B3E39" w14:textId="77777777" w:rsidR="0054472A" w:rsidRPr="003D6A50" w:rsidRDefault="0054472A" w:rsidP="0054472A">
      <w:pPr>
        <w:pStyle w:val="C1-CtrBoldHd"/>
        <w:spacing w:after="0"/>
        <w:rPr>
          <w:caps w:val="0"/>
          <w:sz w:val="28"/>
        </w:rPr>
      </w:pPr>
    </w:p>
    <w:p w14:paraId="6A9ED497" w14:textId="77777777" w:rsidR="0054472A" w:rsidRPr="003D6A50" w:rsidRDefault="0054472A" w:rsidP="0054472A">
      <w:pPr>
        <w:pStyle w:val="C1-CtrBoldHd"/>
        <w:spacing w:after="0"/>
        <w:rPr>
          <w:sz w:val="28"/>
        </w:rPr>
      </w:pPr>
    </w:p>
    <w:p w14:paraId="6A4E946C" w14:textId="77777777" w:rsidR="0054472A" w:rsidRPr="003D6A50" w:rsidRDefault="0054472A" w:rsidP="0054472A">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63A0DED4" w14:textId="77777777" w:rsidR="0054472A" w:rsidRDefault="0054472A" w:rsidP="0054472A">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2D9164ED" w14:textId="77777777" w:rsidR="0054472A" w:rsidRPr="003D6A50" w:rsidRDefault="0054472A" w:rsidP="0054472A">
      <w:pPr>
        <w:pStyle w:val="C1-CtrBoldHd"/>
        <w:spacing w:after="0"/>
        <w:rPr>
          <w:sz w:val="28"/>
        </w:rPr>
      </w:pPr>
      <w:r>
        <w:rPr>
          <w:caps w:val="0"/>
          <w:sz w:val="28"/>
        </w:rPr>
        <w:t>Institute of Education Sciences</w:t>
      </w:r>
    </w:p>
    <w:p w14:paraId="3DD99FE1" w14:textId="77777777" w:rsidR="0054472A" w:rsidRPr="003D6A50" w:rsidRDefault="0054472A" w:rsidP="0054472A">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60D75506" w14:textId="77777777" w:rsidR="0054472A" w:rsidRPr="003D6A50" w:rsidRDefault="0054472A" w:rsidP="0054472A">
      <w:pPr>
        <w:pStyle w:val="C1-CtrBoldHd"/>
        <w:spacing w:after="0"/>
        <w:rPr>
          <w:sz w:val="28"/>
        </w:rPr>
      </w:pPr>
    </w:p>
    <w:p w14:paraId="3FE5C2A9" w14:textId="77777777" w:rsidR="0054472A" w:rsidRDefault="0054472A" w:rsidP="0054472A">
      <w:pPr>
        <w:pStyle w:val="C1-CtrBoldHd"/>
        <w:spacing w:after="0"/>
        <w:rPr>
          <w:sz w:val="28"/>
        </w:rPr>
      </w:pPr>
    </w:p>
    <w:p w14:paraId="6C69B46B" w14:textId="77777777" w:rsidR="0054472A" w:rsidRDefault="0054472A" w:rsidP="0054472A">
      <w:pPr>
        <w:pStyle w:val="C1-CtrBoldHd"/>
        <w:spacing w:after="0"/>
        <w:rPr>
          <w:sz w:val="28"/>
        </w:rPr>
      </w:pPr>
    </w:p>
    <w:p w14:paraId="2E3B63B5" w14:textId="77777777" w:rsidR="0054472A" w:rsidRDefault="0054472A" w:rsidP="0054472A">
      <w:pPr>
        <w:pStyle w:val="C1-CtrBoldHd"/>
        <w:spacing w:after="0"/>
        <w:rPr>
          <w:sz w:val="28"/>
        </w:rPr>
      </w:pPr>
    </w:p>
    <w:p w14:paraId="376CF3E4" w14:textId="77777777" w:rsidR="0054472A" w:rsidRDefault="0054472A" w:rsidP="0054472A">
      <w:pPr>
        <w:pStyle w:val="C1-CtrBoldHd"/>
        <w:spacing w:after="0"/>
        <w:rPr>
          <w:sz w:val="28"/>
        </w:rPr>
      </w:pPr>
    </w:p>
    <w:p w14:paraId="69D54333" w14:textId="77777777" w:rsidR="0054472A" w:rsidRDefault="0054472A" w:rsidP="0054472A">
      <w:pPr>
        <w:pStyle w:val="C1-CtrBoldHd"/>
        <w:spacing w:after="0"/>
        <w:rPr>
          <w:sz w:val="28"/>
        </w:rPr>
      </w:pPr>
    </w:p>
    <w:p w14:paraId="357FDF68" w14:textId="77777777" w:rsidR="0054472A" w:rsidRDefault="0054472A" w:rsidP="0054472A">
      <w:pPr>
        <w:pStyle w:val="C1-CtrBoldHd"/>
        <w:spacing w:after="0"/>
        <w:rPr>
          <w:sz w:val="28"/>
        </w:rPr>
      </w:pPr>
    </w:p>
    <w:p w14:paraId="05AA777F" w14:textId="77777777" w:rsidR="0054472A" w:rsidRDefault="0054472A" w:rsidP="0054472A">
      <w:pPr>
        <w:pStyle w:val="C1-CtrBoldHd"/>
        <w:spacing w:after="0"/>
        <w:rPr>
          <w:sz w:val="28"/>
        </w:rPr>
      </w:pPr>
    </w:p>
    <w:p w14:paraId="77B6E706" w14:textId="77777777" w:rsidR="0054472A" w:rsidRDefault="0054472A" w:rsidP="0054472A">
      <w:pPr>
        <w:pStyle w:val="C1-CtrBoldHd"/>
        <w:spacing w:after="0"/>
        <w:rPr>
          <w:sz w:val="28"/>
        </w:rPr>
      </w:pPr>
    </w:p>
    <w:p w14:paraId="3EC9D19B" w14:textId="77777777" w:rsidR="0054472A" w:rsidRPr="003D6A50" w:rsidRDefault="0054472A" w:rsidP="0054472A">
      <w:pPr>
        <w:pStyle w:val="C1-CtrBoldHd"/>
        <w:spacing w:after="0"/>
        <w:rPr>
          <w:sz w:val="28"/>
        </w:rPr>
      </w:pPr>
    </w:p>
    <w:p w14:paraId="5F7B0E09" w14:textId="37DF7472" w:rsidR="0054472A" w:rsidRPr="00AD1192" w:rsidRDefault="007A4EBA" w:rsidP="0054472A">
      <w:pPr>
        <w:pStyle w:val="C1-CtrBoldHd"/>
        <w:spacing w:after="0"/>
        <w:rPr>
          <w:caps w:val="0"/>
          <w:sz w:val="28"/>
        </w:rPr>
      </w:pPr>
      <w:r>
        <w:rPr>
          <w:caps w:val="0"/>
          <w:sz w:val="28"/>
        </w:rPr>
        <w:t>June</w:t>
      </w:r>
      <w:r w:rsidR="0054472A">
        <w:rPr>
          <w:caps w:val="0"/>
          <w:sz w:val="28"/>
        </w:rPr>
        <w:t xml:space="preserve"> 201</w:t>
      </w:r>
      <w:r w:rsidR="00920674">
        <w:rPr>
          <w:caps w:val="0"/>
          <w:sz w:val="28"/>
        </w:rPr>
        <w:t>7</w:t>
      </w:r>
    </w:p>
    <w:p w14:paraId="0ED64A3C" w14:textId="77777777" w:rsidR="0054472A" w:rsidRPr="00AD1192" w:rsidRDefault="0054472A" w:rsidP="0054472A">
      <w:pPr>
        <w:pStyle w:val="C1-CtrBoldHd"/>
        <w:spacing w:after="0"/>
        <w:rPr>
          <w:caps w:val="0"/>
          <w:sz w:val="28"/>
        </w:rPr>
      </w:pPr>
      <w:bookmarkStart w:id="1" w:name="_GoBack"/>
      <w:bookmarkEnd w:id="1"/>
    </w:p>
    <w:p w14:paraId="4DEAA6E7" w14:textId="77777777" w:rsidR="001A7635" w:rsidRDefault="001A7635" w:rsidP="00AA5BB5">
      <w:pPr>
        <w:pStyle w:val="C1-CtrBoldHd"/>
        <w:spacing w:after="0"/>
      </w:pPr>
    </w:p>
    <w:p w14:paraId="3E11D438"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D073C30" w14:textId="77777777" w:rsidR="00AA5BB5" w:rsidRPr="00736C3B" w:rsidRDefault="00AA5BB5" w:rsidP="0054472A">
      <w:pPr>
        <w:pStyle w:val="Heading5"/>
        <w:keepNext w:val="0"/>
        <w:widowControl w:val="0"/>
        <w:numPr>
          <w:ilvl w:val="0"/>
          <w:numId w:val="2"/>
        </w:numPr>
        <w:spacing w:after="120" w:line="276" w:lineRule="auto"/>
      </w:pPr>
      <w:bookmarkStart w:id="2" w:name="_Toc240971097"/>
      <w:r w:rsidRPr="00736C3B">
        <w:lastRenderedPageBreak/>
        <w:t>COLLECTION OF INFORMATION EMPLOYING STATISTICAL INFORMATION</w:t>
      </w:r>
      <w:bookmarkEnd w:id="0"/>
      <w:bookmarkEnd w:id="2"/>
    </w:p>
    <w:p w14:paraId="299CE118" w14:textId="77777777" w:rsidR="0054472A" w:rsidRDefault="00AA5BB5" w:rsidP="0054472A">
      <w:pPr>
        <w:pStyle w:val="Heading8"/>
        <w:keepNext w:val="0"/>
        <w:widowControl w:val="0"/>
        <w:spacing w:after="120" w:line="276" w:lineRule="auto"/>
        <w:jc w:val="left"/>
      </w:pPr>
      <w:bookmarkStart w:id="3" w:name="_Toc119829980"/>
      <w:r w:rsidRPr="00736C3B">
        <w:t>B.1</w:t>
      </w:r>
      <w:r w:rsidRPr="00736C3B">
        <w:tab/>
        <w:t>Respondent Universe</w:t>
      </w:r>
      <w:bookmarkEnd w:id="3"/>
    </w:p>
    <w:p w14:paraId="3BEA2E4C" w14:textId="26BB1969" w:rsidR="00B92706" w:rsidRDefault="00B92706" w:rsidP="0054472A">
      <w:pPr>
        <w:pStyle w:val="P1-StandPara"/>
        <w:widowControl w:val="0"/>
        <w:spacing w:after="120" w:line="276" w:lineRule="auto"/>
        <w:ind w:firstLine="0"/>
        <w:jc w:val="left"/>
      </w:pPr>
      <w:r>
        <w:t xml:space="preserve">The respondent universe for the </w:t>
      </w:r>
      <w:r w:rsidR="00F106F9">
        <w:t xml:space="preserve">TIMSS 2019 </w:t>
      </w:r>
      <w:r>
        <w:t>field test is all students enrolled in grade 4 and grade 8 during the 2017-18 school year. The universe for the selection of schools is all types of schools in seven populous states. A sample of 40 schools will be selected for the field test, with the goal of obtaining participation from a minimum of 35 schools at each grade. Within sampled schools, students will be selected for participation by drawing a random sample of two classes. At grade 8, students will be selected by drawing a sample of two intact mathematics classrooms (in which grade 8 students are enrolled) in each sampled school. All selected students will be asked to participate in a combined TIMSS mathematics and science assessment. Only students in intact classrooms will be assessed at each grade.</w:t>
      </w:r>
    </w:p>
    <w:p w14:paraId="51DECD2B" w14:textId="23B1A7E9" w:rsidR="00A81A14" w:rsidRDefault="00A81A14" w:rsidP="00A81A14">
      <w:pPr>
        <w:pStyle w:val="P1-StandPara"/>
        <w:widowControl w:val="0"/>
        <w:spacing w:after="120" w:line="276" w:lineRule="auto"/>
        <w:ind w:firstLine="0"/>
        <w:jc w:val="left"/>
      </w:pPr>
      <w:r>
        <w:t xml:space="preserve">The respondent universe for the TIMSS 2019 main study is all students enrolled in grade 4 and grade 8 during the 2018-19 school year. A sample of </w:t>
      </w:r>
      <w:r w:rsidR="00D40F06">
        <w:t>335</w:t>
      </w:r>
      <w:r>
        <w:t xml:space="preserve"> schools will be selected for the main study. Within sampled schools, students will be selected for participation by drawing a random sample of two classes. At grade 8, students will be selected by drawing a sample of two intact mathematics classrooms (in which grade 8 students are enrolled) in each sampled school. </w:t>
      </w:r>
      <w:r w:rsidR="00D40F06">
        <w:t>Only students in intact classrooms will be assessed at each grade.</w:t>
      </w:r>
      <w:r w:rsidR="00F106F9">
        <w:t xml:space="preserve"> </w:t>
      </w:r>
      <w:r w:rsidR="00D40F06">
        <w:t>Most</w:t>
      </w:r>
      <w:r>
        <w:t xml:space="preserve"> selected students will be asked to participate in a combined electronically administered TIMSS mathematics and science assessment</w:t>
      </w:r>
      <w:r w:rsidR="00D40F06">
        <w:t xml:space="preserve"> using the </w:t>
      </w:r>
      <w:proofErr w:type="spellStart"/>
      <w:r w:rsidR="00D40F06">
        <w:t>eTIMSS</w:t>
      </w:r>
      <w:proofErr w:type="spellEnd"/>
      <w:r w:rsidR="00D40F06">
        <w:t xml:space="preserve"> assessment platform</w:t>
      </w:r>
      <w:r>
        <w:t xml:space="preserve">. </w:t>
      </w:r>
      <w:r w:rsidR="00797905">
        <w:t>A sample of 1,5</w:t>
      </w:r>
      <w:r>
        <w:t xml:space="preserve">00 students at each grade will take TIMSS on paper, in order to </w:t>
      </w:r>
      <w:r w:rsidR="00F106F9">
        <w:t xml:space="preserve">allow for a </w:t>
      </w:r>
      <w:r>
        <w:t xml:space="preserve">bridge </w:t>
      </w:r>
      <w:r w:rsidR="00F106F9">
        <w:t xml:space="preserve">analysis </w:t>
      </w:r>
      <w:r>
        <w:t>with paper-based trend lines.</w:t>
      </w:r>
    </w:p>
    <w:p w14:paraId="21FEF28E" w14:textId="77777777" w:rsidR="00AB0265" w:rsidRPr="00CB4BAF" w:rsidRDefault="00AA5BB5" w:rsidP="0054472A">
      <w:pPr>
        <w:pStyle w:val="Heading3"/>
        <w:keepNext w:val="0"/>
        <w:widowControl w:val="0"/>
        <w:tabs>
          <w:tab w:val="left" w:pos="720"/>
        </w:tabs>
        <w:spacing w:after="120" w:line="276" w:lineRule="auto"/>
        <w:rPr>
          <w:bCs w:val="0"/>
        </w:rPr>
      </w:pPr>
      <w:bookmarkStart w:id="4" w:name="_Toc119829981"/>
      <w:r w:rsidRPr="00CB4BAF">
        <w:t>B.2</w:t>
      </w:r>
      <w:r w:rsidR="00FD521C">
        <w:tab/>
      </w:r>
      <w:bookmarkEnd w:id="4"/>
      <w:r w:rsidR="00AB0265" w:rsidRPr="00CB4BAF">
        <w:rPr>
          <w:bCs w:val="0"/>
        </w:rPr>
        <w:t>Statistical Methodology</w:t>
      </w:r>
    </w:p>
    <w:p w14:paraId="493D3017" w14:textId="77777777" w:rsidR="00B92706" w:rsidRPr="00AB0265" w:rsidRDefault="00B92706" w:rsidP="0054472A">
      <w:pPr>
        <w:pStyle w:val="Heading4"/>
        <w:keepNext w:val="0"/>
        <w:widowControl w:val="0"/>
        <w:tabs>
          <w:tab w:val="clear" w:pos="1152"/>
          <w:tab w:val="left" w:pos="0"/>
        </w:tabs>
        <w:spacing w:after="120" w:line="276" w:lineRule="auto"/>
        <w:ind w:left="0" w:firstLine="0"/>
      </w:pPr>
      <w:r w:rsidRPr="00E15917">
        <w:t>Field Test Sampling Plan and Sample</w:t>
      </w:r>
    </w:p>
    <w:p w14:paraId="4B6ACC14" w14:textId="77777777" w:rsidR="00B92706" w:rsidRDefault="00B92706" w:rsidP="00D40F06">
      <w:pPr>
        <w:pStyle w:val="Heading4"/>
        <w:keepNext w:val="0"/>
        <w:widowControl w:val="0"/>
        <w:tabs>
          <w:tab w:val="clear" w:pos="1152"/>
        </w:tabs>
        <w:spacing w:after="120" w:line="276" w:lineRule="auto"/>
        <w:ind w:left="0" w:firstLine="0"/>
        <w:jc w:val="left"/>
        <w:rPr>
          <w:b w:val="0"/>
        </w:rPr>
      </w:pPr>
      <w:r>
        <w:rPr>
          <w:b w:val="0"/>
        </w:rPr>
        <w:t xml:space="preserve">The purpose of the </w:t>
      </w:r>
      <w:proofErr w:type="spellStart"/>
      <w:r>
        <w:rPr>
          <w:b w:val="0"/>
        </w:rPr>
        <w:t>eTIMSS</w:t>
      </w:r>
      <w:proofErr w:type="spellEnd"/>
      <w:r>
        <w:rPr>
          <w:b w:val="0"/>
        </w:rPr>
        <w:t xml:space="preserve"> </w:t>
      </w:r>
      <w:r w:rsidR="00576D4C">
        <w:rPr>
          <w:b w:val="0"/>
        </w:rPr>
        <w:t>field test</w:t>
      </w:r>
      <w:r w:rsidRPr="00AB0265">
        <w:rPr>
          <w:b w:val="0"/>
        </w:rPr>
        <w:t xml:space="preserve"> is to </w:t>
      </w:r>
      <w:r w:rsidR="00576D4C">
        <w:rPr>
          <w:b w:val="0"/>
        </w:rPr>
        <w:t xml:space="preserve">assess </w:t>
      </w:r>
      <w:r w:rsidR="003C12DA">
        <w:rPr>
          <w:b w:val="0"/>
        </w:rPr>
        <w:t xml:space="preserve">in the new </w:t>
      </w:r>
      <w:proofErr w:type="spellStart"/>
      <w:r w:rsidR="003C12DA">
        <w:rPr>
          <w:b w:val="0"/>
        </w:rPr>
        <w:t>eTIMSS</w:t>
      </w:r>
      <w:proofErr w:type="spellEnd"/>
      <w:r w:rsidR="003C12DA">
        <w:rPr>
          <w:b w:val="0"/>
        </w:rPr>
        <w:t xml:space="preserve"> platform </w:t>
      </w:r>
      <w:r w:rsidR="008061CB">
        <w:rPr>
          <w:b w:val="0"/>
        </w:rPr>
        <w:t xml:space="preserve">legacy </w:t>
      </w:r>
      <w:r w:rsidR="00BA3F73">
        <w:rPr>
          <w:b w:val="0"/>
        </w:rPr>
        <w:t xml:space="preserve">or “trend” </w:t>
      </w:r>
      <w:r w:rsidR="008061CB">
        <w:rPr>
          <w:b w:val="0"/>
        </w:rPr>
        <w:t xml:space="preserve">TIMSS items </w:t>
      </w:r>
      <w:r w:rsidR="00264847">
        <w:rPr>
          <w:b w:val="0"/>
        </w:rPr>
        <w:t>as well as</w:t>
      </w:r>
      <w:r w:rsidR="00576D4C">
        <w:rPr>
          <w:b w:val="0"/>
        </w:rPr>
        <w:t xml:space="preserve"> new item</w:t>
      </w:r>
      <w:r w:rsidR="003C12DA">
        <w:rPr>
          <w:b w:val="0"/>
        </w:rPr>
        <w:t>s</w:t>
      </w:r>
      <w:r w:rsidR="00576D4C">
        <w:rPr>
          <w:b w:val="0"/>
        </w:rPr>
        <w:t xml:space="preserve">, and to ensure that classroom sampling procedures proposed for the main study are successful. </w:t>
      </w:r>
      <w:r w:rsidRPr="009075C5">
        <w:rPr>
          <w:b w:val="0"/>
        </w:rPr>
        <w:t xml:space="preserve">In selecting a school sample for this purpose, it is important to minimize the burden on schools, districts, and states, to minimize impact on these entities while also ensuring that the </w:t>
      </w:r>
      <w:r w:rsidR="00576D4C">
        <w:rPr>
          <w:b w:val="0"/>
        </w:rPr>
        <w:t>field test</w:t>
      </w:r>
      <w:r w:rsidRPr="009075C5">
        <w:rPr>
          <w:b w:val="0"/>
        </w:rPr>
        <w:t xml:space="preserve"> data are collected effectively.</w:t>
      </w:r>
    </w:p>
    <w:p w14:paraId="5B24006B" w14:textId="77777777" w:rsidR="00B92706" w:rsidRDefault="00576D4C" w:rsidP="00D40F06">
      <w:pPr>
        <w:pStyle w:val="Heading4"/>
        <w:keepNext w:val="0"/>
        <w:widowControl w:val="0"/>
        <w:tabs>
          <w:tab w:val="clear" w:pos="1152"/>
        </w:tabs>
        <w:spacing w:after="120" w:line="276" w:lineRule="auto"/>
        <w:ind w:left="0" w:firstLine="0"/>
        <w:jc w:val="left"/>
        <w:rPr>
          <w:b w:val="0"/>
        </w:rPr>
      </w:pPr>
      <w:r>
        <w:rPr>
          <w:b w:val="0"/>
        </w:rPr>
        <w:t xml:space="preserve">As required by the TIMSS international study center and the IEA, the field test sample is to consist </w:t>
      </w:r>
      <w:r w:rsidR="00E15917">
        <w:rPr>
          <w:b w:val="0"/>
        </w:rPr>
        <w:t xml:space="preserve">of </w:t>
      </w:r>
      <w:r w:rsidR="005725BA">
        <w:rPr>
          <w:b w:val="0"/>
        </w:rPr>
        <w:t>40</w:t>
      </w:r>
      <w:r>
        <w:rPr>
          <w:b w:val="0"/>
        </w:rPr>
        <w:t xml:space="preserve"> schools and 1,400 students assessed at each grade level (4 and 8).</w:t>
      </w:r>
      <w:r w:rsidR="0054472A">
        <w:rPr>
          <w:b w:val="0"/>
        </w:rPr>
        <w:t xml:space="preserve"> </w:t>
      </w:r>
      <w:r>
        <w:rPr>
          <w:b w:val="0"/>
        </w:rPr>
        <w:t>The student sample will be obtained by selecting two classes from each school.</w:t>
      </w:r>
      <w:r w:rsidR="0054472A">
        <w:rPr>
          <w:b w:val="0"/>
        </w:rPr>
        <w:t xml:space="preserve"> </w:t>
      </w:r>
      <w:r w:rsidR="005725BA" w:rsidRPr="005725BA">
        <w:rPr>
          <w:b w:val="0"/>
        </w:rPr>
        <w:t>At grades 4 and 8, mathematics and science teachers of students in selected classes will be asked to complete a teacher questionnaire</w:t>
      </w:r>
      <w:r w:rsidR="005725BA">
        <w:t xml:space="preserve">. </w:t>
      </w:r>
      <w:r>
        <w:rPr>
          <w:b w:val="0"/>
        </w:rPr>
        <w:t>As the field test is designed only to test items, questions, and procedures, a probability sample of schools is not required</w:t>
      </w:r>
      <w:r w:rsidR="008061CB">
        <w:rPr>
          <w:b w:val="0"/>
        </w:rPr>
        <w:t>.</w:t>
      </w:r>
      <w:r w:rsidR="0054472A">
        <w:rPr>
          <w:b w:val="0"/>
        </w:rPr>
        <w:t xml:space="preserve"> </w:t>
      </w:r>
      <w:r w:rsidR="008061CB">
        <w:rPr>
          <w:b w:val="0"/>
        </w:rPr>
        <w:t>However, the sample must include a broad range of schools covering such features as public (including charter schools), private, large, small, urban, and rural schools, and schools from a variety of different states.</w:t>
      </w:r>
    </w:p>
    <w:p w14:paraId="0F30EAF5" w14:textId="77777777"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The school frame for the 201</w:t>
      </w:r>
      <w:r w:rsidR="00F501DD">
        <w:rPr>
          <w:b w:val="0"/>
        </w:rPr>
        <w:t>8</w:t>
      </w:r>
      <w:r w:rsidRPr="001E571F">
        <w:rPr>
          <w:b w:val="0"/>
        </w:rPr>
        <w:t xml:space="preserve"> </w:t>
      </w:r>
      <w:proofErr w:type="spellStart"/>
      <w:r w:rsidRPr="001E571F">
        <w:rPr>
          <w:b w:val="0"/>
        </w:rPr>
        <w:t>eTIMSS</w:t>
      </w:r>
      <w:proofErr w:type="spellEnd"/>
      <w:r w:rsidRPr="001E571F">
        <w:rPr>
          <w:b w:val="0"/>
        </w:rPr>
        <w:t xml:space="preserve"> </w:t>
      </w:r>
      <w:r w:rsidR="006E15DF">
        <w:rPr>
          <w:b w:val="0"/>
        </w:rPr>
        <w:t>field test</w:t>
      </w:r>
      <w:r w:rsidRPr="001E571F">
        <w:rPr>
          <w:b w:val="0"/>
        </w:rPr>
        <w:t xml:space="preserve"> sample will be developed from the 201</w:t>
      </w:r>
      <w:r w:rsidR="006E15DF">
        <w:rPr>
          <w:b w:val="0"/>
        </w:rPr>
        <w:t>8</w:t>
      </w:r>
      <w:r w:rsidRPr="001E571F">
        <w:rPr>
          <w:b w:val="0"/>
        </w:rPr>
        <w:t xml:space="preserve"> NAEP school frame. The data for public and private schools will come from the CCD </w:t>
      </w:r>
      <w:r w:rsidR="006E15DF">
        <w:rPr>
          <w:b w:val="0"/>
        </w:rPr>
        <w:t xml:space="preserve">and PSS, respectively, </w:t>
      </w:r>
      <w:r w:rsidR="00E15917">
        <w:rPr>
          <w:b w:val="0"/>
        </w:rPr>
        <w:t>using the</w:t>
      </w:r>
      <w:r w:rsidR="006E15DF">
        <w:rPr>
          <w:b w:val="0"/>
        </w:rPr>
        <w:t xml:space="preserve"> 2015-2016</w:t>
      </w:r>
      <w:r w:rsidRPr="001E571F">
        <w:rPr>
          <w:b w:val="0"/>
        </w:rPr>
        <w:t xml:space="preserve"> school </w:t>
      </w:r>
      <w:r w:rsidR="00E15917">
        <w:rPr>
          <w:b w:val="0"/>
        </w:rPr>
        <w:t xml:space="preserve">year </w:t>
      </w:r>
      <w:r w:rsidRPr="001E571F">
        <w:rPr>
          <w:b w:val="0"/>
        </w:rPr>
        <w:t xml:space="preserve">data. The school sample for the </w:t>
      </w:r>
      <w:r w:rsidR="006E15DF">
        <w:rPr>
          <w:b w:val="0"/>
        </w:rPr>
        <w:t>field test</w:t>
      </w:r>
      <w:r w:rsidRPr="001E571F">
        <w:rPr>
          <w:b w:val="0"/>
        </w:rPr>
        <w:t xml:space="preserve"> will be a purposive sample and does not require complete coverage of schools for the target populations. The eligible schools in TIMSS include all schools with a fourth or eighth grade </w:t>
      </w:r>
      <w:r w:rsidR="00F35A57">
        <w:rPr>
          <w:b w:val="0"/>
        </w:rPr>
        <w:t xml:space="preserve">that are </w:t>
      </w:r>
      <w:r w:rsidRPr="001E571F">
        <w:rPr>
          <w:b w:val="0"/>
        </w:rPr>
        <w:t xml:space="preserve">operating in </w:t>
      </w:r>
      <w:r w:rsidR="00F35A57">
        <w:rPr>
          <w:b w:val="0"/>
        </w:rPr>
        <w:t xml:space="preserve">selected </w:t>
      </w:r>
      <w:r w:rsidR="006E15DF">
        <w:rPr>
          <w:b w:val="0"/>
        </w:rPr>
        <w:t>seven</w:t>
      </w:r>
      <w:r w:rsidRPr="001E571F">
        <w:rPr>
          <w:b w:val="0"/>
        </w:rPr>
        <w:t xml:space="preserve"> states. When selecting the states, we will take into consideration the school sample</w:t>
      </w:r>
      <w:r w:rsidR="006E15DF">
        <w:rPr>
          <w:b w:val="0"/>
        </w:rPr>
        <w:t>s already selected for NAEP 2018 and for the ICILS</w:t>
      </w:r>
      <w:r w:rsidR="00F501DD">
        <w:rPr>
          <w:b w:val="0"/>
        </w:rPr>
        <w:t xml:space="preserve"> 2018</w:t>
      </w:r>
      <w:r w:rsidR="006E15DF">
        <w:rPr>
          <w:b w:val="0"/>
        </w:rPr>
        <w:t xml:space="preserve"> </w:t>
      </w:r>
      <w:r w:rsidR="00F501DD">
        <w:rPr>
          <w:b w:val="0"/>
        </w:rPr>
        <w:t>main study</w:t>
      </w:r>
      <w:r w:rsidRPr="001E571F">
        <w:rPr>
          <w:b w:val="0"/>
        </w:rPr>
        <w:t xml:space="preserve">, the state assessment schedules that have conflicts during this time period, and the </w:t>
      </w:r>
      <w:r w:rsidR="006E15DF">
        <w:rPr>
          <w:b w:val="0"/>
        </w:rPr>
        <w:t>schools</w:t>
      </w:r>
      <w:r w:rsidRPr="001E571F">
        <w:rPr>
          <w:b w:val="0"/>
        </w:rPr>
        <w:t xml:space="preserve"> selected for the PISA </w:t>
      </w:r>
      <w:r w:rsidR="006E15DF">
        <w:rPr>
          <w:b w:val="0"/>
        </w:rPr>
        <w:t>2018</w:t>
      </w:r>
      <w:r w:rsidRPr="001E571F">
        <w:rPr>
          <w:b w:val="0"/>
        </w:rPr>
        <w:t xml:space="preserve">. This model of state selection was successfully used in the field test </w:t>
      </w:r>
      <w:r w:rsidR="006E15DF">
        <w:rPr>
          <w:b w:val="0"/>
        </w:rPr>
        <w:t>in previous</w:t>
      </w:r>
      <w:r w:rsidRPr="001E571F">
        <w:rPr>
          <w:b w:val="0"/>
        </w:rPr>
        <w:t xml:space="preserve"> TIMSS </w:t>
      </w:r>
      <w:r w:rsidR="006E15DF">
        <w:rPr>
          <w:b w:val="0"/>
        </w:rPr>
        <w:t>administrations</w:t>
      </w:r>
      <w:r w:rsidRPr="001E571F">
        <w:rPr>
          <w:b w:val="0"/>
        </w:rPr>
        <w:t xml:space="preserve"> and provided an adequate regional coverage of the United States while avoiding sampling </w:t>
      </w:r>
      <w:r>
        <w:rPr>
          <w:b w:val="0"/>
        </w:rPr>
        <w:t xml:space="preserve">very large </w:t>
      </w:r>
      <w:r w:rsidRPr="001E571F">
        <w:rPr>
          <w:b w:val="0"/>
        </w:rPr>
        <w:t>states that typically are heavily sampled due to their population characteristics. The states will be spread across different regions. This selection will provide an appropriate geographic diversity for the selected schools. For efficiency, we will subset the school frame by eliminating schools that are unlikely to have two fourth- or eighth-grade classes.</w:t>
      </w:r>
    </w:p>
    <w:p w14:paraId="62B26390" w14:textId="77777777" w:rsidR="00B92706" w:rsidRDefault="006E15DF" w:rsidP="0054472A">
      <w:pPr>
        <w:pStyle w:val="Heading4"/>
        <w:keepNext w:val="0"/>
        <w:widowControl w:val="0"/>
        <w:tabs>
          <w:tab w:val="clear" w:pos="1152"/>
        </w:tabs>
        <w:spacing w:after="120" w:line="276" w:lineRule="auto"/>
        <w:ind w:left="0" w:firstLine="0"/>
        <w:jc w:val="left"/>
        <w:rPr>
          <w:b w:val="0"/>
        </w:rPr>
      </w:pPr>
      <w:r>
        <w:rPr>
          <w:b w:val="0"/>
        </w:rPr>
        <w:t>The 2018</w:t>
      </w:r>
      <w:r w:rsidR="00B92706" w:rsidRPr="001E571F">
        <w:rPr>
          <w:b w:val="0"/>
        </w:rPr>
        <w:t xml:space="preserve"> </w:t>
      </w:r>
      <w:proofErr w:type="spellStart"/>
      <w:r w:rsidR="00B92706" w:rsidRPr="001E571F">
        <w:rPr>
          <w:b w:val="0"/>
        </w:rPr>
        <w:t>eTIMSS</w:t>
      </w:r>
      <w:proofErr w:type="spellEnd"/>
      <w:r w:rsidR="00B92706" w:rsidRPr="001E571F">
        <w:rPr>
          <w:b w:val="0"/>
        </w:rPr>
        <w:t xml:space="preserve"> </w:t>
      </w:r>
      <w:r>
        <w:rPr>
          <w:b w:val="0"/>
        </w:rPr>
        <w:t>field test</w:t>
      </w:r>
      <w:r w:rsidR="00B92706" w:rsidRPr="001E571F">
        <w:rPr>
          <w:b w:val="0"/>
        </w:rPr>
        <w:t xml:space="preserve"> sample design is a stratified sample in which schools are selected with probability proportional to a measure of size (MOS), that is, the square root of the grade enrollment. We will use probability sampling not because it is required, but because it is an efficient way to select a sample of schools representing a </w:t>
      </w:r>
      <w:r w:rsidR="00B92706" w:rsidRPr="001E571F">
        <w:rPr>
          <w:b w:val="0"/>
        </w:rPr>
        <w:lastRenderedPageBreak/>
        <w:t>variety of school characteristics.</w:t>
      </w:r>
    </w:p>
    <w:p w14:paraId="70A26BBE" w14:textId="77777777"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 xml:space="preserve">Stratification for the </w:t>
      </w:r>
      <w:r w:rsidR="006E15DF">
        <w:rPr>
          <w:b w:val="0"/>
        </w:rPr>
        <w:t>field test</w:t>
      </w:r>
      <w:r w:rsidRPr="001E571F">
        <w:rPr>
          <w:b w:val="0"/>
        </w:rPr>
        <w:t xml:space="preserve"> will use a similar overall scheme as the main study. The stratification will be both explicit and implicit. Explicit strata will be defined by state and school type (public/private). Within each explicit stratum, schools will be sorted by locale (urban/suburban/town/rural), race/ethnicity status (race/ethnicity enrollment above or below 15 percent Black, Hispanic, Asian, American Indian and Alaska Native, Hawaiian/Pacific Islander, or two or more races), and the grade enrollment. Westat will select the school sample using </w:t>
      </w:r>
      <w:r w:rsidR="008925E5">
        <w:rPr>
          <w:b w:val="0"/>
        </w:rPr>
        <w:t>an</w:t>
      </w:r>
      <w:r w:rsidRPr="001E571F">
        <w:rPr>
          <w:b w:val="0"/>
        </w:rPr>
        <w:t xml:space="preserve"> in-house sampling macro</w:t>
      </w:r>
      <w:r w:rsidR="008925E5">
        <w:rPr>
          <w:b w:val="0"/>
        </w:rPr>
        <w:t xml:space="preserve"> and </w:t>
      </w:r>
      <w:r w:rsidRPr="001E571F">
        <w:rPr>
          <w:b w:val="0"/>
        </w:rPr>
        <w:t>a systematic sampling method to select from the sorted list of schools. The probability of selection for each s</w:t>
      </w:r>
      <w:r w:rsidR="004D3A1E">
        <w:rPr>
          <w:b w:val="0"/>
        </w:rPr>
        <w:t>chool will be proportional to a</w:t>
      </w:r>
      <w:r w:rsidRPr="001E571F">
        <w:rPr>
          <w:b w:val="0"/>
        </w:rPr>
        <w:t xml:space="preserve"> MOS</w:t>
      </w:r>
      <w:r w:rsidR="004D3A1E">
        <w:rPr>
          <w:b w:val="0"/>
        </w:rPr>
        <w:t>,</w:t>
      </w:r>
      <w:r w:rsidRPr="001E571F">
        <w:rPr>
          <w:b w:val="0"/>
        </w:rPr>
        <w:t xml:space="preserve"> defined as the square root of the grade enrollment. Using this MOS will lessen the chance of larger schools also being selected for the main study (2019) by reducing their chance of selection for the pilot.</w:t>
      </w:r>
    </w:p>
    <w:p w14:paraId="220C4F76" w14:textId="77777777" w:rsidR="00B92706"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 xml:space="preserve">A minimum of approximately </w:t>
      </w:r>
      <w:r w:rsidR="006E15DF">
        <w:rPr>
          <w:b w:val="0"/>
        </w:rPr>
        <w:t>1,4</w:t>
      </w:r>
      <w:r w:rsidRPr="001E571F">
        <w:rPr>
          <w:b w:val="0"/>
        </w:rPr>
        <w:t xml:space="preserve">00 students per grade will be assessed </w:t>
      </w:r>
      <w:r w:rsidR="006E15DF">
        <w:rPr>
          <w:b w:val="0"/>
        </w:rPr>
        <w:t xml:space="preserve">across the participating </w:t>
      </w:r>
      <w:r w:rsidR="008925E5">
        <w:rPr>
          <w:b w:val="0"/>
        </w:rPr>
        <w:t>schools. We</w:t>
      </w:r>
      <w:r w:rsidRPr="001E571F">
        <w:rPr>
          <w:b w:val="0"/>
        </w:rPr>
        <w:t xml:space="preserve"> will sample </w:t>
      </w:r>
      <w:r w:rsidR="006E15DF">
        <w:rPr>
          <w:b w:val="0"/>
        </w:rPr>
        <w:t>40</w:t>
      </w:r>
      <w:r w:rsidRPr="001E571F">
        <w:rPr>
          <w:b w:val="0"/>
        </w:rPr>
        <w:t xml:space="preserve"> schools per grade for the </w:t>
      </w:r>
      <w:r w:rsidR="00F501DD">
        <w:rPr>
          <w:b w:val="0"/>
        </w:rPr>
        <w:t>field test</w:t>
      </w:r>
      <w:r w:rsidRPr="001E571F">
        <w:rPr>
          <w:b w:val="0"/>
        </w:rPr>
        <w:t xml:space="preserve"> across the </w:t>
      </w:r>
      <w:r w:rsidR="004D3A1E">
        <w:rPr>
          <w:b w:val="0"/>
        </w:rPr>
        <w:t>seven</w:t>
      </w:r>
      <w:r w:rsidRPr="001E571F">
        <w:rPr>
          <w:b w:val="0"/>
        </w:rPr>
        <w:t xml:space="preserve"> states with one and two replacement schools assigned per sampled public school, respectively. We will conduct the </w:t>
      </w:r>
      <w:r w:rsidR="00F501DD">
        <w:rPr>
          <w:b w:val="0"/>
        </w:rPr>
        <w:t xml:space="preserve">field test </w:t>
      </w:r>
      <w:r w:rsidRPr="001E571F">
        <w:rPr>
          <w:b w:val="0"/>
        </w:rPr>
        <w:t xml:space="preserve">in the set of </w:t>
      </w:r>
      <w:r w:rsidR="006E15DF">
        <w:rPr>
          <w:b w:val="0"/>
        </w:rPr>
        <w:t>seven</w:t>
      </w:r>
      <w:r w:rsidRPr="001E571F">
        <w:rPr>
          <w:b w:val="0"/>
        </w:rPr>
        <w:t xml:space="preserve"> states with the aim of gaining the cooperation of at least five schools in each of the states. Assuming an overall low school response rate, we expe</w:t>
      </w:r>
      <w:r w:rsidR="006E15DF">
        <w:rPr>
          <w:b w:val="0"/>
        </w:rPr>
        <w:t>ct participation from at least 3</w:t>
      </w:r>
      <w:r w:rsidRPr="001E571F">
        <w:rPr>
          <w:b w:val="0"/>
        </w:rPr>
        <w:t xml:space="preserve">5 schools at each grade level in the </w:t>
      </w:r>
      <w:proofErr w:type="spellStart"/>
      <w:r w:rsidRPr="001E571F">
        <w:rPr>
          <w:b w:val="0"/>
        </w:rPr>
        <w:t>eTIMSS</w:t>
      </w:r>
      <w:proofErr w:type="spellEnd"/>
      <w:r w:rsidRPr="001E571F">
        <w:rPr>
          <w:b w:val="0"/>
        </w:rPr>
        <w:t xml:space="preserve"> </w:t>
      </w:r>
      <w:r w:rsidR="00F501DD">
        <w:rPr>
          <w:b w:val="0"/>
        </w:rPr>
        <w:t>field test</w:t>
      </w:r>
      <w:r w:rsidRPr="001E571F">
        <w:rPr>
          <w:b w:val="0"/>
        </w:rPr>
        <w:t>.</w:t>
      </w:r>
    </w:p>
    <w:p w14:paraId="4D512A06" w14:textId="77777777" w:rsidR="00B92706" w:rsidRPr="001E571F" w:rsidRDefault="00B92706" w:rsidP="0054472A">
      <w:pPr>
        <w:pStyle w:val="Heading4"/>
        <w:keepNext w:val="0"/>
        <w:widowControl w:val="0"/>
        <w:tabs>
          <w:tab w:val="clear" w:pos="1152"/>
        </w:tabs>
        <w:spacing w:after="120" w:line="276" w:lineRule="auto"/>
        <w:ind w:left="0" w:firstLine="0"/>
        <w:jc w:val="left"/>
        <w:rPr>
          <w:b w:val="0"/>
        </w:rPr>
      </w:pPr>
      <w:r w:rsidRPr="001E571F">
        <w:rPr>
          <w:b w:val="0"/>
        </w:rPr>
        <w:t xml:space="preserve">The student sampling procedures for the </w:t>
      </w:r>
      <w:proofErr w:type="spellStart"/>
      <w:r w:rsidRPr="001E571F">
        <w:rPr>
          <w:b w:val="0"/>
        </w:rPr>
        <w:t>eTIMSS</w:t>
      </w:r>
      <w:proofErr w:type="spellEnd"/>
      <w:r w:rsidRPr="001E571F">
        <w:rPr>
          <w:b w:val="0"/>
        </w:rPr>
        <w:t xml:space="preserve"> </w:t>
      </w:r>
      <w:r w:rsidR="006E15DF">
        <w:rPr>
          <w:b w:val="0"/>
        </w:rPr>
        <w:t>field test</w:t>
      </w:r>
      <w:r w:rsidRPr="001E571F">
        <w:rPr>
          <w:b w:val="0"/>
        </w:rPr>
        <w:t xml:space="preserve"> will correspond as closely as feasible to what is</w:t>
      </w:r>
      <w:r w:rsidR="006E15DF">
        <w:rPr>
          <w:b w:val="0"/>
        </w:rPr>
        <w:t xml:space="preserve"> planned for the </w:t>
      </w:r>
      <w:r w:rsidRPr="001E571F">
        <w:rPr>
          <w:b w:val="0"/>
        </w:rPr>
        <w:t xml:space="preserve">main study, so as to try out the operational procedures for student sample selection. The sample will be selected by choosing two classes per school. Each participating school will be asked to submit an exhaustive list of </w:t>
      </w:r>
      <w:r w:rsidR="006E15DF">
        <w:rPr>
          <w:b w:val="0"/>
        </w:rPr>
        <w:t xml:space="preserve">students and </w:t>
      </w:r>
      <w:r w:rsidRPr="001E571F">
        <w:rPr>
          <w:b w:val="0"/>
        </w:rPr>
        <w:t>classes (that is, one that accounts for each student in the grade exactly once). In cases for which one or more classes on the list has fewer than 10 students, smaller classes will be combined to form “</w:t>
      </w:r>
      <w:proofErr w:type="spellStart"/>
      <w:r w:rsidRPr="001E571F">
        <w:rPr>
          <w:b w:val="0"/>
        </w:rPr>
        <w:t>pseudoclasses</w:t>
      </w:r>
      <w:proofErr w:type="spellEnd"/>
      <w:r w:rsidRPr="001E571F">
        <w:rPr>
          <w:b w:val="0"/>
        </w:rPr>
        <w:t xml:space="preserve">” for the purposes of sampling. Once the list of classes is submitted, we will use a sampling algorithm to select two classes (or </w:t>
      </w:r>
      <w:proofErr w:type="spellStart"/>
      <w:r w:rsidRPr="001E571F">
        <w:rPr>
          <w:b w:val="0"/>
        </w:rPr>
        <w:t>pseudoclasses</w:t>
      </w:r>
      <w:proofErr w:type="spellEnd"/>
      <w:r w:rsidRPr="001E571F">
        <w:rPr>
          <w:b w:val="0"/>
        </w:rPr>
        <w:t>) with equal probability. The student sample will then consist of all students in the selected classes.</w:t>
      </w:r>
    </w:p>
    <w:p w14:paraId="7D6776BF" w14:textId="77777777" w:rsidR="00F106F9" w:rsidRPr="00F106F9" w:rsidRDefault="00B92706" w:rsidP="00F106F9">
      <w:pPr>
        <w:pStyle w:val="Heading4"/>
        <w:keepNext w:val="0"/>
        <w:widowControl w:val="0"/>
        <w:tabs>
          <w:tab w:val="clear" w:pos="1152"/>
        </w:tabs>
        <w:spacing w:after="120" w:line="276" w:lineRule="auto"/>
        <w:ind w:left="0" w:firstLine="0"/>
        <w:jc w:val="left"/>
        <w:rPr>
          <w:b w:val="0"/>
        </w:rPr>
      </w:pPr>
      <w:r w:rsidRPr="001E571F">
        <w:rPr>
          <w:b w:val="0"/>
        </w:rPr>
        <w:t xml:space="preserve">We plan to gather class and student lists from participating schools electronically using an adaptation of our secure e-filing process. E-filing was successfully used in TIMSS 2015, and provides advantageous features such as efficiency and data quality checks. Schools will access the e-filing system through the </w:t>
      </w:r>
      <w:proofErr w:type="spellStart"/>
      <w:r w:rsidRPr="001E571F">
        <w:rPr>
          <w:b w:val="0"/>
        </w:rPr>
        <w:t>MyTIMSS</w:t>
      </w:r>
      <w:proofErr w:type="spellEnd"/>
      <w:r w:rsidRPr="001E571F">
        <w:rPr>
          <w:b w:val="0"/>
        </w:rPr>
        <w:t xml:space="preserve"> web site.</w:t>
      </w:r>
      <w:bookmarkStart w:id="5" w:name="_Toc119829982"/>
    </w:p>
    <w:p w14:paraId="6FD270CA" w14:textId="020AC5DE" w:rsidR="005A46B4" w:rsidRDefault="00F106F9" w:rsidP="005A46B4">
      <w:pPr>
        <w:pStyle w:val="P1-StandPara"/>
        <w:ind w:firstLine="0"/>
        <w:rPr>
          <w:b/>
        </w:rPr>
      </w:pPr>
      <w:r>
        <w:rPr>
          <w:b/>
        </w:rPr>
        <w:t xml:space="preserve">Main </w:t>
      </w:r>
      <w:r w:rsidR="005A46B4" w:rsidRPr="001A7635">
        <w:rPr>
          <w:b/>
        </w:rPr>
        <w:t>Study Sampling Plan and Sample</w:t>
      </w:r>
    </w:p>
    <w:p w14:paraId="773DDE48" w14:textId="77777777" w:rsidR="005A46B4" w:rsidRDefault="005A46B4" w:rsidP="005A46B4">
      <w:pPr>
        <w:pStyle w:val="P1-StandPara"/>
        <w:spacing w:line="276" w:lineRule="auto"/>
        <w:ind w:firstLine="0"/>
        <w:jc w:val="left"/>
        <w:rPr>
          <w:b/>
        </w:rPr>
      </w:pPr>
    </w:p>
    <w:p w14:paraId="1B855563" w14:textId="17553078" w:rsidR="005A46B4" w:rsidRDefault="005A46B4" w:rsidP="005A46B4">
      <w:pPr>
        <w:pStyle w:val="P1-StandPara"/>
        <w:spacing w:line="276" w:lineRule="auto"/>
        <w:ind w:firstLine="0"/>
        <w:jc w:val="left"/>
      </w:pPr>
      <w:r w:rsidRPr="00AB0265">
        <w:t xml:space="preserve">The school sample design for the main study must be more rigorous than that for </w:t>
      </w:r>
      <w:r>
        <w:t xml:space="preserve">a </w:t>
      </w:r>
      <w:r w:rsidRPr="00AB0265">
        <w:t>field test. It must be a probability sample of schools (one sample for each of grades 4</w:t>
      </w:r>
      <w:r>
        <w:t xml:space="preserve"> and 8</w:t>
      </w:r>
      <w:r w:rsidRPr="00AB0265">
        <w:t>) that fully represents the entire United States. At the same time, to ensure maximum participation it must be designed so as to minimize overlap with other NCES studies involving student assessment that will be conducted around the same time.</w:t>
      </w:r>
    </w:p>
    <w:p w14:paraId="652979B9" w14:textId="77777777" w:rsidR="005A46B4" w:rsidRDefault="005A46B4" w:rsidP="005A46B4">
      <w:pPr>
        <w:pStyle w:val="P1-StandPara"/>
        <w:spacing w:line="276" w:lineRule="auto"/>
        <w:ind w:firstLine="0"/>
        <w:jc w:val="left"/>
      </w:pPr>
    </w:p>
    <w:p w14:paraId="750192C9" w14:textId="77777777" w:rsidR="00F106F9" w:rsidRDefault="005A46B4" w:rsidP="005A46B4">
      <w:pPr>
        <w:pStyle w:val="P1-StandPara"/>
        <w:spacing w:line="276" w:lineRule="auto"/>
        <w:ind w:firstLine="0"/>
        <w:jc w:val="left"/>
      </w:pPr>
      <w:r w:rsidRPr="00AB0265">
        <w:t xml:space="preserve">The main study </w:t>
      </w:r>
      <w:r>
        <w:t xml:space="preserve">for TIMSS </w:t>
      </w:r>
      <w:r w:rsidRPr="00AB0265">
        <w:t xml:space="preserve">will </w:t>
      </w:r>
      <w:r>
        <w:t>take place in the spring of 2019</w:t>
      </w:r>
      <w:r w:rsidRPr="00AB0265">
        <w:t>, about two months after a very large NAEP assessment. NAEP will assess several thousand schools nationally, at grades 4</w:t>
      </w:r>
      <w:r>
        <w:t xml:space="preserve"> and 8</w:t>
      </w:r>
      <w:r w:rsidRPr="00AB0265">
        <w:t>. The NAEP sample will be relatively heavy in smaller states, and in a number of these states all eligible schools will be included in NAEP, especially at grade 8. Thus to be fully representative</w:t>
      </w:r>
      <w:r>
        <w:t>,</w:t>
      </w:r>
      <w:r w:rsidRPr="00AB0265">
        <w:t xml:space="preserve"> the TIMSS sample </w:t>
      </w:r>
      <w:r>
        <w:t>may</w:t>
      </w:r>
      <w:r w:rsidRPr="00AB0265">
        <w:t xml:space="preserve"> include some schools that will have participated in NAEP at the same grade. However, this number can be kept to minimum using the overlap control procedures outlined below.</w:t>
      </w:r>
    </w:p>
    <w:p w14:paraId="5659EE4A" w14:textId="005C6E56" w:rsidR="005A46B4" w:rsidRDefault="005A46B4" w:rsidP="005A46B4">
      <w:pPr>
        <w:pStyle w:val="P1-StandPara"/>
        <w:spacing w:line="276" w:lineRule="auto"/>
        <w:ind w:firstLine="0"/>
        <w:jc w:val="left"/>
      </w:pPr>
    </w:p>
    <w:p w14:paraId="5317812C" w14:textId="77777777" w:rsidR="005A46B4" w:rsidRDefault="005A46B4" w:rsidP="00821EB5">
      <w:pPr>
        <w:pStyle w:val="P1-StandPara"/>
        <w:widowControl w:val="0"/>
        <w:spacing w:line="276" w:lineRule="auto"/>
        <w:ind w:firstLine="0"/>
        <w:jc w:val="left"/>
      </w:pPr>
      <w:r w:rsidRPr="00981B35">
        <w:t>Overlap control procedures in studies such as this</w:t>
      </w:r>
      <w:r>
        <w:t>,</w:t>
      </w:r>
      <w:r w:rsidRPr="00981B35">
        <w:t xml:space="preserve"> where stratified probability proportional to size samples of schools are selected</w:t>
      </w:r>
      <w:r>
        <w:t>,</w:t>
      </w:r>
      <w:r w:rsidRPr="00981B35">
        <w:t xml:space="preserve">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w:t>
      </w:r>
      <w:proofErr w:type="spellStart"/>
      <w:r w:rsidRPr="00981B35">
        <w:t>Keyfitz</w:t>
      </w:r>
      <w:proofErr w:type="spellEnd"/>
      <w:r w:rsidRPr="00981B35">
        <w:t xml:space="preserve"> (1951)</w:t>
      </w:r>
      <w:r>
        <w:rPr>
          <w:rStyle w:val="FootnoteReference"/>
        </w:rPr>
        <w:footnoteReference w:id="1"/>
      </w:r>
      <w:r w:rsidRPr="00981B35">
        <w:t xml:space="preserve">. The </w:t>
      </w:r>
      <w:proofErr w:type="spellStart"/>
      <w:r w:rsidRPr="00981B35">
        <w:t>principles</w:t>
      </w:r>
      <w:proofErr w:type="spellEnd"/>
      <w:r w:rsidRPr="00981B35">
        <w:t xml:space="preserve"> involved can be extended to more than two studies simultaneously, and a procedure for doing </w:t>
      </w:r>
      <w:r w:rsidRPr="00981B35">
        <w:lastRenderedPageBreak/>
        <w:t>this is described by Chowdhury</w:t>
      </w:r>
      <w:r>
        <w:t xml:space="preserve"> et al. (2000)</w:t>
      </w:r>
      <w:r>
        <w:rPr>
          <w:rStyle w:val="FootnoteReference"/>
        </w:rPr>
        <w:footnoteReference w:id="2"/>
      </w:r>
      <w:r>
        <w:t>.</w:t>
      </w:r>
    </w:p>
    <w:p w14:paraId="47C3623B" w14:textId="77777777" w:rsidR="005A46B4" w:rsidRDefault="005A46B4" w:rsidP="005A46B4">
      <w:pPr>
        <w:pStyle w:val="P1-StandPara"/>
        <w:spacing w:line="276" w:lineRule="auto"/>
        <w:ind w:firstLine="0"/>
        <w:jc w:val="left"/>
      </w:pPr>
    </w:p>
    <w:p w14:paraId="2D9C44D5" w14:textId="49E7BD49" w:rsidR="005A46B4" w:rsidRDefault="005A46B4" w:rsidP="005A46B4">
      <w:pPr>
        <w:pStyle w:val="P1-StandPara"/>
        <w:spacing w:line="276" w:lineRule="auto"/>
        <w:ind w:firstLine="0"/>
        <w:jc w:val="left"/>
      </w:pPr>
      <w:r w:rsidRPr="00981B35">
        <w:t xml:space="preserve">The sample size for the </w:t>
      </w:r>
      <w:r>
        <w:t xml:space="preserve">TIMSS </w:t>
      </w:r>
      <w:r w:rsidR="00797905">
        <w:t>main study will be 335</w:t>
      </w:r>
      <w:r w:rsidRPr="00981B35">
        <w:t xml:space="preserve"> schools at each of grades 4 and 8. The sampling frames of grade 4</w:t>
      </w:r>
      <w:r>
        <w:t xml:space="preserve"> and 8 </w:t>
      </w:r>
      <w:r w:rsidRPr="00981B35">
        <w:t>schools will be obtained from the most current versions of NCES’s Common Core of Data (CCD) and Private School Survey (PSS) files, restricted to schools having grade 4</w:t>
      </w:r>
      <w:r>
        <w:t xml:space="preserve"> or 8 </w:t>
      </w:r>
      <w:r w:rsidRPr="00981B35">
        <w:t>respectively, and eliminating schools in Puerto Rico, U.S. territories, and Department of Defense overseas schools.</w:t>
      </w:r>
    </w:p>
    <w:p w14:paraId="5F095939" w14:textId="77777777" w:rsidR="005A46B4" w:rsidRDefault="005A46B4" w:rsidP="005A46B4">
      <w:pPr>
        <w:pStyle w:val="P1-StandPara"/>
        <w:spacing w:line="276" w:lineRule="auto"/>
        <w:ind w:firstLine="0"/>
        <w:jc w:val="left"/>
      </w:pPr>
    </w:p>
    <w:p w14:paraId="04B0C23E" w14:textId="77777777" w:rsidR="005A46B4" w:rsidRDefault="005A46B4" w:rsidP="005A46B4">
      <w:pPr>
        <w:pStyle w:val="P1-StandPara"/>
        <w:spacing w:line="276" w:lineRule="auto"/>
        <w:ind w:firstLine="0"/>
        <w:jc w:val="left"/>
      </w:pP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14:paraId="0C187288" w14:textId="77777777" w:rsidR="005A46B4" w:rsidRDefault="005A46B4" w:rsidP="005A46B4">
      <w:pPr>
        <w:pStyle w:val="P1-StandPara"/>
        <w:spacing w:line="276" w:lineRule="auto"/>
        <w:ind w:firstLine="0"/>
        <w:jc w:val="left"/>
      </w:pPr>
    </w:p>
    <w:p w14:paraId="20EE931D" w14:textId="77777777" w:rsidR="005A46B4" w:rsidRDefault="005A46B4" w:rsidP="005A46B4">
      <w:pPr>
        <w:pStyle w:val="P1-StandPara"/>
        <w:spacing w:line="276" w:lineRule="auto"/>
        <w:ind w:firstLine="0"/>
        <w:jc w:val="left"/>
      </w:pPr>
      <w:r w:rsidRPr="00981B35">
        <w:t>Schools will be selected with probability proportional to the number of estimated classes at the appropriate grade (4 or 8), with schools expected to have either one or two classes being given the same selection probability. The use of a probability proportional to sample design ensures that all students have an approximately equal chance of selection, since two classes will be selected from each school regardless of the size of the school. Note that we will modify this equal probability design in the following way. So as to increase the available sample size of students in high poverty schools, we will double the probability of selection of each school with at least 50 percent of students eligible for free or reduced-price lunch under NSLP, relative to other schools of the same size.</w:t>
      </w:r>
    </w:p>
    <w:p w14:paraId="7B8E92DA" w14:textId="77777777" w:rsidR="005A46B4" w:rsidRDefault="005A46B4" w:rsidP="005A46B4">
      <w:pPr>
        <w:pStyle w:val="P1-StandPara"/>
        <w:spacing w:line="276" w:lineRule="auto"/>
        <w:ind w:firstLine="0"/>
        <w:jc w:val="left"/>
      </w:pPr>
    </w:p>
    <w:p w14:paraId="27A4B4CD" w14:textId="526111E1" w:rsidR="005A46B4" w:rsidRDefault="005A46B4" w:rsidP="005A46B4">
      <w:pPr>
        <w:pStyle w:val="P1-StandPara"/>
        <w:spacing w:line="276" w:lineRule="auto"/>
        <w:ind w:firstLine="0"/>
        <w:jc w:val="left"/>
      </w:pPr>
      <w:r w:rsidRPr="00981B35">
        <w:t xml:space="preserve">Student sampling will be accomplished by selecting two classes per school. Each grade 4 school will be asked to prepare a list of classes that is comprehensive and includes each grade 4 student in the school in one of the listed classes. As described above, schools will submit these class and student lists via secure E-filing. Grade 8 schools will be asked to prepare a </w:t>
      </w:r>
      <w:r w:rsidR="00821EB5">
        <w:t xml:space="preserve">similar </w:t>
      </w:r>
      <w:r w:rsidRPr="00981B35">
        <w:t xml:space="preserve">list but </w:t>
      </w:r>
      <w:r w:rsidR="00821EB5">
        <w:t>with</w:t>
      </w:r>
      <w:r w:rsidRPr="00981B35">
        <w:t xml:space="preserve"> students </w:t>
      </w:r>
      <w:r w:rsidR="00821EB5">
        <w:t xml:space="preserve">listed </w:t>
      </w:r>
      <w:r w:rsidRPr="00981B35">
        <w:t>in</w:t>
      </w:r>
      <w:r w:rsidR="00821EB5">
        <w:t xml:space="preserve"> their </w:t>
      </w:r>
      <w:r w:rsidRPr="00981B35">
        <w:t>mathematics classes. At either grade</w:t>
      </w:r>
      <w:r>
        <w:t>,</w:t>
      </w:r>
      <w:r w:rsidRPr="00981B35">
        <w:t xml:space="preserve"> any class with fewer than ten students will be combined with another class to form a ‘</w:t>
      </w:r>
      <w:proofErr w:type="spellStart"/>
      <w:r w:rsidRPr="00981B35">
        <w:t>pseudoclass</w:t>
      </w:r>
      <w:proofErr w:type="spellEnd"/>
      <w:r w:rsidRPr="00981B35">
        <w:t>’ with at least ten students in it. We will then select two classes (</w:t>
      </w:r>
      <w:r w:rsidR="0061386A">
        <w:t xml:space="preserve">regular classes </w:t>
      </w:r>
      <w:r w:rsidRPr="00981B35">
        <w:t xml:space="preserve">or </w:t>
      </w:r>
      <w:proofErr w:type="spellStart"/>
      <w:r w:rsidRPr="00981B35">
        <w:t>pseudoclasses</w:t>
      </w:r>
      <w:proofErr w:type="spellEnd"/>
      <w:r w:rsidRPr="00981B35">
        <w:t>) from each school, with equal probability, and all students in those classes/</w:t>
      </w:r>
      <w:proofErr w:type="spellStart"/>
      <w:r w:rsidRPr="00981B35">
        <w:t>pseudoclasses</w:t>
      </w:r>
      <w:proofErr w:type="spellEnd"/>
      <w:r w:rsidRPr="00981B35">
        <w:t xml:space="preserve"> will be i</w:t>
      </w:r>
      <w:r>
        <w:t>ncluded in the sample. I</w:t>
      </w:r>
      <w:r w:rsidRPr="00981B35">
        <w:t>f a school has only one or two classes</w:t>
      </w:r>
      <w:r>
        <w:t>,</w:t>
      </w:r>
      <w:r w:rsidRPr="00981B35">
        <w:t xml:space="preserve"> then all students in the grade will be included in the sample. At grade 8</w:t>
      </w:r>
      <w:r>
        <w:t>,</w:t>
      </w:r>
      <w:r w:rsidRPr="00981B35">
        <w:t xml:space="preserve"> mathematics classes are used for three reasons. First, this minimizes the burden on mathematics teachers, as only two mathematics teachers need to fill out a teacher questionnaire (but typically more than two science teachers are required to do so </w:t>
      </w:r>
      <w:r w:rsidR="00821EB5">
        <w:t>because</w:t>
      </w:r>
      <w:r w:rsidRPr="00981B35">
        <w:t xml:space="preserve"> the students in the two selected math classes often attend more than two different science classes). Second, it makes for sound data for conducting analyses of the extent to which classroom factors moderate the relationship of student factors to achievement (</w:t>
      </w:r>
      <w:r>
        <w:t xml:space="preserve">e.g., </w:t>
      </w:r>
      <w:r w:rsidRPr="00981B35">
        <w:t>“Does having a well-qualified math teacher reduce the correlation between math achievement and parental education?”). Third, at grade 8</w:t>
      </w:r>
      <w:r>
        <w:t>,</w:t>
      </w:r>
      <w:r w:rsidRPr="00981B35">
        <w:t xml:space="preserve"> most students take one and only one mathematics class, and thus mathematics classes make for a foolproof partitioning of the eligible students.</w:t>
      </w:r>
      <w:r w:rsidR="00F106F9">
        <w:t xml:space="preserve"> </w:t>
      </w:r>
      <w:r w:rsidR="00A81A14">
        <w:t xml:space="preserve">A subset of approximately </w:t>
      </w:r>
      <w:r w:rsidR="00797905">
        <w:t>7</w:t>
      </w:r>
      <w:r w:rsidR="00A81A14">
        <w:t xml:space="preserve">0 classes sampled </w:t>
      </w:r>
      <w:r w:rsidR="00821EB5">
        <w:t xml:space="preserve">at each grade level </w:t>
      </w:r>
      <w:r w:rsidR="00A81A14">
        <w:t>will take paper-based TIMSS</w:t>
      </w:r>
      <w:r w:rsidR="00D40F06">
        <w:t xml:space="preserve">, while the remainder will be assessed using the digitally based </w:t>
      </w:r>
      <w:proofErr w:type="spellStart"/>
      <w:r w:rsidR="00D40F06">
        <w:t>eTIMSS</w:t>
      </w:r>
      <w:proofErr w:type="spellEnd"/>
      <w:r w:rsidR="00D40F06">
        <w:t xml:space="preserve"> assessment platform</w:t>
      </w:r>
      <w:r w:rsidR="00A81A14">
        <w:t>.</w:t>
      </w:r>
    </w:p>
    <w:p w14:paraId="74B8DCD5" w14:textId="77777777" w:rsidR="005A46B4" w:rsidRDefault="005A46B4" w:rsidP="005A46B4">
      <w:pPr>
        <w:pStyle w:val="P1-StandPara"/>
        <w:spacing w:line="276" w:lineRule="auto"/>
        <w:ind w:firstLine="0"/>
        <w:jc w:val="left"/>
      </w:pPr>
    </w:p>
    <w:p w14:paraId="72FCD8B4" w14:textId="77777777" w:rsidR="005A46B4" w:rsidRPr="00373459" w:rsidRDefault="005A46B4" w:rsidP="005A46B4">
      <w:pPr>
        <w:rPr>
          <w:b/>
          <w:sz w:val="22"/>
          <w:szCs w:val="22"/>
        </w:rPr>
      </w:pPr>
      <w:r w:rsidRPr="00373459">
        <w:rPr>
          <w:b/>
          <w:sz w:val="22"/>
          <w:szCs w:val="22"/>
        </w:rPr>
        <w:t xml:space="preserve">Nonresponse Bias Analysis, Weighting, </w:t>
      </w:r>
      <w:r>
        <w:rPr>
          <w:b/>
          <w:sz w:val="22"/>
          <w:szCs w:val="22"/>
        </w:rPr>
        <w:t xml:space="preserve">and </w:t>
      </w:r>
      <w:r w:rsidRPr="00373459">
        <w:rPr>
          <w:b/>
          <w:sz w:val="22"/>
          <w:szCs w:val="22"/>
        </w:rPr>
        <w:t>Sampling Errors</w:t>
      </w:r>
    </w:p>
    <w:p w14:paraId="69125F02" w14:textId="77777777" w:rsidR="005A46B4" w:rsidRPr="00373459" w:rsidRDefault="005A46B4" w:rsidP="005A46B4">
      <w:pPr>
        <w:rPr>
          <w:sz w:val="22"/>
          <w:szCs w:val="22"/>
        </w:rPr>
      </w:pPr>
    </w:p>
    <w:p w14:paraId="00D3C60B" w14:textId="68D6DFBA" w:rsidR="005A46B4" w:rsidRPr="00373459" w:rsidRDefault="005A46B4" w:rsidP="005A46B4">
      <w:pPr>
        <w:spacing w:line="276" w:lineRule="auto"/>
        <w:rPr>
          <w:sz w:val="22"/>
          <w:szCs w:val="22"/>
        </w:rPr>
      </w:pPr>
      <w:r>
        <w:rPr>
          <w:sz w:val="22"/>
          <w:szCs w:val="22"/>
        </w:rPr>
        <w:t>It is possible</w:t>
      </w:r>
      <w:r w:rsidRPr="00373459">
        <w:rPr>
          <w:sz w:val="22"/>
          <w:szCs w:val="22"/>
        </w:rPr>
        <w:t xml:space="preserve"> that nonresponse will occur at bo</w:t>
      </w:r>
      <w:r>
        <w:rPr>
          <w:sz w:val="22"/>
          <w:szCs w:val="22"/>
        </w:rPr>
        <w:t>th levels: school and student. If so, w</w:t>
      </w:r>
      <w:r w:rsidRPr="00373459">
        <w:rPr>
          <w:sz w:val="22"/>
          <w:szCs w:val="22"/>
        </w:rPr>
        <w:t xml:space="preserve">e will analyze the </w:t>
      </w:r>
      <w:proofErr w:type="spellStart"/>
      <w:r w:rsidRPr="00373459">
        <w:rPr>
          <w:sz w:val="22"/>
          <w:szCs w:val="22"/>
        </w:rPr>
        <w:t>nonrespondents</w:t>
      </w:r>
      <w:proofErr w:type="spellEnd"/>
      <w:r w:rsidRPr="00373459">
        <w:rPr>
          <w:sz w:val="22"/>
          <w:szCs w:val="22"/>
        </w:rPr>
        <w:t xml:space="preserve"> and provide information about whether and how they differ from the respondents along dimensions for which we have data for the nonresponding units, as required by NCES standards. After the calculation of weights, sampling errors will be calculated for a selection of key indicators incorporating the full complexity of the design, that is, clustering and stratification</w:t>
      </w:r>
      <w:r>
        <w:rPr>
          <w:sz w:val="22"/>
          <w:szCs w:val="22"/>
        </w:rPr>
        <w:t xml:space="preserve"> (see Appendix D for more detail</w:t>
      </w:r>
      <w:r w:rsidR="0061386A">
        <w:rPr>
          <w:sz w:val="22"/>
          <w:szCs w:val="22"/>
        </w:rPr>
        <w:t>s</w:t>
      </w:r>
      <w:r>
        <w:rPr>
          <w:sz w:val="22"/>
          <w:szCs w:val="22"/>
        </w:rPr>
        <w:t>)</w:t>
      </w:r>
      <w:r w:rsidRPr="00373459">
        <w:rPr>
          <w:sz w:val="22"/>
          <w:szCs w:val="22"/>
        </w:rPr>
        <w:t>.</w:t>
      </w:r>
    </w:p>
    <w:p w14:paraId="57614034" w14:textId="77777777" w:rsidR="005A46B4" w:rsidRDefault="005A46B4" w:rsidP="0054472A">
      <w:pPr>
        <w:pStyle w:val="Heading8"/>
        <w:keepNext w:val="0"/>
        <w:widowControl w:val="0"/>
        <w:spacing w:after="120" w:line="276" w:lineRule="auto"/>
        <w:jc w:val="left"/>
        <w:rPr>
          <w:szCs w:val="22"/>
        </w:rPr>
      </w:pPr>
    </w:p>
    <w:p w14:paraId="48E8EB2D" w14:textId="77777777" w:rsidR="00AA5BB5" w:rsidRPr="00CB4BAF" w:rsidRDefault="00AA5BB5" w:rsidP="0054472A">
      <w:pPr>
        <w:pStyle w:val="Heading8"/>
        <w:keepNext w:val="0"/>
        <w:widowControl w:val="0"/>
        <w:spacing w:after="120" w:line="276" w:lineRule="auto"/>
        <w:jc w:val="left"/>
        <w:rPr>
          <w:szCs w:val="22"/>
        </w:rPr>
      </w:pPr>
      <w:r w:rsidRPr="00CB4BAF">
        <w:rPr>
          <w:szCs w:val="22"/>
        </w:rPr>
        <w:lastRenderedPageBreak/>
        <w:t>B.3</w:t>
      </w:r>
      <w:r w:rsidRPr="00CB4BAF">
        <w:rPr>
          <w:szCs w:val="22"/>
        </w:rPr>
        <w:tab/>
        <w:t>Maximizing Response Rates</w:t>
      </w:r>
      <w:bookmarkEnd w:id="5"/>
    </w:p>
    <w:p w14:paraId="6ED9612D" w14:textId="0D3E6CC9" w:rsidR="00F106F9" w:rsidRDefault="00682261" w:rsidP="0054472A">
      <w:pPr>
        <w:widowControl w:val="0"/>
        <w:spacing w:after="120" w:line="276" w:lineRule="auto"/>
        <w:rPr>
          <w:sz w:val="22"/>
          <w:szCs w:val="22"/>
        </w:rPr>
      </w:pPr>
      <w:r w:rsidRPr="00E16020">
        <w:rPr>
          <w:sz w:val="22"/>
          <w:szCs w:val="22"/>
        </w:rPr>
        <w:t>With the recent exception of TIMSS 2011, the most significant challenge in recruitment for TIMSS has been engaging the schools and gaining their cooperation. The circumstances that aided our success in 2011</w:t>
      </w:r>
      <w:r w:rsidR="00981B35" w:rsidRPr="00E16020">
        <w:rPr>
          <w:sz w:val="22"/>
          <w:szCs w:val="22"/>
        </w:rPr>
        <w:t xml:space="preserve">—the </w:t>
      </w:r>
      <w:r w:rsidRPr="00E16020">
        <w:rPr>
          <w:sz w:val="22"/>
          <w:szCs w:val="22"/>
        </w:rPr>
        <w:t>NAEP-TIMSS Linking Study and the involvement of NAEP State Coordinators</w:t>
      </w:r>
      <w:r w:rsidR="00981B35" w:rsidRPr="00E16020">
        <w:rPr>
          <w:sz w:val="22"/>
          <w:szCs w:val="22"/>
        </w:rPr>
        <w:t>—</w:t>
      </w:r>
      <w:r w:rsidR="007A74C3">
        <w:rPr>
          <w:sz w:val="22"/>
          <w:szCs w:val="22"/>
        </w:rPr>
        <w:t>did</w:t>
      </w:r>
      <w:r w:rsidRPr="00E16020">
        <w:rPr>
          <w:sz w:val="22"/>
          <w:szCs w:val="22"/>
        </w:rPr>
        <w:t xml:space="preserve"> not recur in 2015. However, there are important lessons to be learned from </w:t>
      </w:r>
      <w:r w:rsidR="00F41662">
        <w:rPr>
          <w:sz w:val="22"/>
          <w:szCs w:val="22"/>
        </w:rPr>
        <w:t>our</w:t>
      </w:r>
      <w:r w:rsidRPr="00E16020">
        <w:rPr>
          <w:sz w:val="22"/>
          <w:szCs w:val="22"/>
        </w:rPr>
        <w:t xml:space="preserve"> </w:t>
      </w:r>
      <w:r w:rsidR="007A74C3">
        <w:rPr>
          <w:sz w:val="22"/>
          <w:szCs w:val="22"/>
        </w:rPr>
        <w:t xml:space="preserve">TIMSS 2011 </w:t>
      </w:r>
      <w:r w:rsidRPr="00E16020">
        <w:rPr>
          <w:sz w:val="22"/>
          <w:szCs w:val="22"/>
        </w:rPr>
        <w:t xml:space="preserve">experience that </w:t>
      </w:r>
      <w:r w:rsidR="007A74C3">
        <w:rPr>
          <w:sz w:val="22"/>
          <w:szCs w:val="22"/>
        </w:rPr>
        <w:t>were</w:t>
      </w:r>
      <w:r w:rsidRPr="00E16020">
        <w:rPr>
          <w:sz w:val="22"/>
          <w:szCs w:val="22"/>
        </w:rPr>
        <w:t xml:space="preserve"> </w:t>
      </w:r>
      <w:r w:rsidR="0069339D">
        <w:rPr>
          <w:sz w:val="22"/>
          <w:szCs w:val="22"/>
        </w:rPr>
        <w:t xml:space="preserve">used in TIMSS 2015 and will be used in the </w:t>
      </w:r>
      <w:r w:rsidR="00E80162">
        <w:rPr>
          <w:sz w:val="22"/>
          <w:szCs w:val="22"/>
        </w:rPr>
        <w:t>TIMSS 2019 main study</w:t>
      </w:r>
      <w:r w:rsidRPr="00E16020">
        <w:rPr>
          <w:sz w:val="22"/>
          <w:szCs w:val="22"/>
        </w:rPr>
        <w:t xml:space="preserve">. Given that classrooms are selected, student participation is not as great </w:t>
      </w:r>
      <w:r w:rsidR="002E026A">
        <w:rPr>
          <w:sz w:val="22"/>
          <w:szCs w:val="22"/>
        </w:rPr>
        <w:t>of a challenge. H</w:t>
      </w:r>
      <w:r w:rsidRPr="00E16020">
        <w:rPr>
          <w:sz w:val="22"/>
          <w:szCs w:val="22"/>
        </w:rPr>
        <w:t>istorically</w:t>
      </w:r>
      <w:r w:rsidR="00FF3C86">
        <w:rPr>
          <w:sz w:val="22"/>
          <w:szCs w:val="22"/>
        </w:rPr>
        <w:t>,</w:t>
      </w:r>
      <w:r w:rsidRPr="00E16020">
        <w:rPr>
          <w:sz w:val="22"/>
          <w:szCs w:val="22"/>
        </w:rPr>
        <w:t xml:space="preserve"> student participation rates have never fallen below 90 percent</w:t>
      </w:r>
      <w:r w:rsidR="002E026A">
        <w:rPr>
          <w:sz w:val="22"/>
          <w:szCs w:val="22"/>
        </w:rPr>
        <w:t xml:space="preserve"> (see table 1)</w:t>
      </w:r>
      <w:r w:rsidRPr="00E16020">
        <w:rPr>
          <w:sz w:val="22"/>
          <w:szCs w:val="22"/>
        </w:rPr>
        <w:t xml:space="preserve">. That said, it is important to U.S. TIMSS that students are engaged and try </w:t>
      </w:r>
      <w:r w:rsidR="00F41662">
        <w:rPr>
          <w:sz w:val="22"/>
          <w:szCs w:val="22"/>
        </w:rPr>
        <w:t>to do their best</w:t>
      </w:r>
      <w:r w:rsidRPr="00E16020">
        <w:rPr>
          <w:sz w:val="22"/>
          <w:szCs w:val="22"/>
        </w:rPr>
        <w:t xml:space="preserve"> on the assessment</w:t>
      </w:r>
      <w:r w:rsidR="0069339D">
        <w:rPr>
          <w:sz w:val="22"/>
          <w:szCs w:val="22"/>
        </w:rPr>
        <w:t>.</w:t>
      </w:r>
    </w:p>
    <w:p w14:paraId="61729182" w14:textId="693D46FE" w:rsidR="00B63A83" w:rsidRPr="00E16020" w:rsidRDefault="00B63A83" w:rsidP="0054472A">
      <w:pPr>
        <w:pStyle w:val="P1-StandPara"/>
        <w:spacing w:after="60"/>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8"/>
        <w:gridCol w:w="2223"/>
        <w:gridCol w:w="2156"/>
        <w:gridCol w:w="3673"/>
      </w:tblGrid>
      <w:tr w:rsidR="00B63A83" w:rsidRPr="002A467E" w14:paraId="4E3DB116" w14:textId="77777777" w:rsidTr="00E80162">
        <w:trPr>
          <w:trHeight w:val="288"/>
        </w:trPr>
        <w:tc>
          <w:tcPr>
            <w:tcW w:w="623" w:type="pct"/>
            <w:vMerge w:val="restart"/>
            <w:vAlign w:val="center"/>
          </w:tcPr>
          <w:p w14:paraId="034505F7" w14:textId="77777777" w:rsidR="00B63A83" w:rsidRPr="002A467E" w:rsidRDefault="00B63A83" w:rsidP="0034645E">
            <w:pPr>
              <w:jc w:val="center"/>
              <w:rPr>
                <w:b/>
                <w:bCs/>
                <w:color w:val="000000"/>
              </w:rPr>
            </w:pPr>
            <w:r>
              <w:rPr>
                <w:b/>
                <w:bCs/>
                <w:color w:val="000000"/>
              </w:rPr>
              <w:t>Year</w:t>
            </w:r>
          </w:p>
        </w:tc>
        <w:tc>
          <w:tcPr>
            <w:tcW w:w="623" w:type="pct"/>
            <w:vMerge w:val="restart"/>
            <w:shd w:val="clear" w:color="auto" w:fill="auto"/>
            <w:noWrap/>
            <w:vAlign w:val="center"/>
            <w:hideMark/>
          </w:tcPr>
          <w:p w14:paraId="0A029120" w14:textId="77777777" w:rsidR="00B63A83" w:rsidRPr="002A467E" w:rsidRDefault="00B63A83" w:rsidP="0034645E">
            <w:pPr>
              <w:jc w:val="center"/>
              <w:rPr>
                <w:b/>
                <w:bCs/>
                <w:color w:val="000000"/>
              </w:rPr>
            </w:pPr>
            <w:r>
              <w:rPr>
                <w:b/>
                <w:bCs/>
                <w:color w:val="000000"/>
              </w:rPr>
              <w:t>Grade</w:t>
            </w:r>
          </w:p>
        </w:tc>
        <w:tc>
          <w:tcPr>
            <w:tcW w:w="2041" w:type="pct"/>
            <w:gridSpan w:val="2"/>
            <w:shd w:val="clear" w:color="auto" w:fill="auto"/>
            <w:noWrap/>
            <w:vAlign w:val="center"/>
            <w:hideMark/>
          </w:tcPr>
          <w:p w14:paraId="1F863B8A" w14:textId="77777777" w:rsidR="00B63A83" w:rsidRPr="0049395C" w:rsidRDefault="00B63A83" w:rsidP="0034645E">
            <w:pPr>
              <w:jc w:val="center"/>
              <w:rPr>
                <w:b/>
                <w:color w:val="000000"/>
              </w:rPr>
            </w:pPr>
            <w:r w:rsidRPr="0049395C">
              <w:rPr>
                <w:b/>
                <w:color w:val="000000"/>
                <w:sz w:val="22"/>
                <w:szCs w:val="22"/>
              </w:rPr>
              <w:t>School Participation Rate</w:t>
            </w:r>
          </w:p>
        </w:tc>
        <w:tc>
          <w:tcPr>
            <w:tcW w:w="1712" w:type="pct"/>
            <w:vMerge w:val="restart"/>
            <w:shd w:val="clear" w:color="auto" w:fill="auto"/>
            <w:noWrap/>
            <w:vAlign w:val="center"/>
            <w:hideMark/>
          </w:tcPr>
          <w:p w14:paraId="7BA6EF77" w14:textId="77777777" w:rsidR="00B63A83" w:rsidRPr="0049395C" w:rsidRDefault="00B63A83" w:rsidP="0034645E">
            <w:pPr>
              <w:jc w:val="center"/>
              <w:rPr>
                <w:b/>
                <w:color w:val="000000"/>
              </w:rPr>
            </w:pPr>
            <w:r w:rsidRPr="0049395C">
              <w:rPr>
                <w:b/>
                <w:color w:val="000000"/>
                <w:sz w:val="22"/>
                <w:szCs w:val="22"/>
              </w:rPr>
              <w:t>Overall Student Participation Rate</w:t>
            </w:r>
          </w:p>
        </w:tc>
      </w:tr>
      <w:tr w:rsidR="00B63A83" w:rsidRPr="002A467E" w14:paraId="52D98107" w14:textId="77777777" w:rsidTr="00E80162">
        <w:trPr>
          <w:trHeight w:val="288"/>
        </w:trPr>
        <w:tc>
          <w:tcPr>
            <w:tcW w:w="623" w:type="pct"/>
            <w:vMerge/>
            <w:vAlign w:val="center"/>
          </w:tcPr>
          <w:p w14:paraId="2FBF7D2C" w14:textId="77777777" w:rsidR="00B63A83" w:rsidRPr="0049395C" w:rsidRDefault="00B63A83" w:rsidP="0034645E">
            <w:pPr>
              <w:jc w:val="center"/>
              <w:rPr>
                <w:b/>
                <w:color w:val="000000"/>
                <w:sz w:val="22"/>
                <w:szCs w:val="22"/>
              </w:rPr>
            </w:pPr>
          </w:p>
        </w:tc>
        <w:tc>
          <w:tcPr>
            <w:tcW w:w="623" w:type="pct"/>
            <w:vMerge/>
            <w:shd w:val="clear" w:color="auto" w:fill="auto"/>
            <w:noWrap/>
            <w:vAlign w:val="center"/>
            <w:hideMark/>
          </w:tcPr>
          <w:p w14:paraId="6031D534" w14:textId="77777777" w:rsidR="00B63A83" w:rsidRPr="0049395C" w:rsidRDefault="00B63A83" w:rsidP="0034645E">
            <w:pPr>
              <w:jc w:val="center"/>
              <w:rPr>
                <w:b/>
                <w:color w:val="000000"/>
              </w:rPr>
            </w:pPr>
          </w:p>
        </w:tc>
        <w:tc>
          <w:tcPr>
            <w:tcW w:w="1036" w:type="pct"/>
            <w:shd w:val="clear" w:color="auto" w:fill="auto"/>
            <w:noWrap/>
            <w:vAlign w:val="center"/>
            <w:hideMark/>
          </w:tcPr>
          <w:p w14:paraId="72CD0C05" w14:textId="77777777" w:rsidR="00B63A83" w:rsidRPr="0049395C" w:rsidRDefault="00B63A83" w:rsidP="0034645E">
            <w:pPr>
              <w:jc w:val="center"/>
              <w:rPr>
                <w:b/>
                <w:color w:val="000000"/>
              </w:rPr>
            </w:pPr>
            <w:r w:rsidRPr="0049395C">
              <w:rPr>
                <w:b/>
                <w:color w:val="000000"/>
                <w:sz w:val="22"/>
              </w:rPr>
              <w:t>Before Replacement</w:t>
            </w:r>
          </w:p>
        </w:tc>
        <w:tc>
          <w:tcPr>
            <w:tcW w:w="1005" w:type="pct"/>
            <w:shd w:val="clear" w:color="auto" w:fill="auto"/>
            <w:noWrap/>
            <w:vAlign w:val="center"/>
            <w:hideMark/>
          </w:tcPr>
          <w:p w14:paraId="3F531DBE" w14:textId="77777777" w:rsidR="00B63A83" w:rsidRPr="0049395C" w:rsidRDefault="00B63A83" w:rsidP="0034645E">
            <w:pPr>
              <w:jc w:val="center"/>
              <w:rPr>
                <w:b/>
                <w:color w:val="000000"/>
              </w:rPr>
            </w:pPr>
            <w:r w:rsidRPr="0049395C">
              <w:rPr>
                <w:b/>
                <w:color w:val="000000"/>
                <w:sz w:val="22"/>
              </w:rPr>
              <w:t>After Replacement</w:t>
            </w:r>
          </w:p>
        </w:tc>
        <w:tc>
          <w:tcPr>
            <w:tcW w:w="1712" w:type="pct"/>
            <w:vMerge/>
            <w:shd w:val="clear" w:color="auto" w:fill="auto"/>
            <w:noWrap/>
            <w:vAlign w:val="center"/>
            <w:hideMark/>
          </w:tcPr>
          <w:p w14:paraId="72A8DAA9" w14:textId="77777777" w:rsidR="00B63A83" w:rsidRPr="002A467E" w:rsidRDefault="00B63A83" w:rsidP="0034645E">
            <w:pPr>
              <w:jc w:val="center"/>
              <w:rPr>
                <w:color w:val="000000"/>
              </w:rPr>
            </w:pPr>
          </w:p>
        </w:tc>
      </w:tr>
      <w:tr w:rsidR="00E80162" w:rsidRPr="002A467E" w14:paraId="2CA2D05B" w14:textId="77777777" w:rsidTr="00E80162">
        <w:trPr>
          <w:trHeight w:val="288"/>
        </w:trPr>
        <w:tc>
          <w:tcPr>
            <w:tcW w:w="623" w:type="pct"/>
            <w:vMerge w:val="restart"/>
            <w:vAlign w:val="center"/>
          </w:tcPr>
          <w:p w14:paraId="571BDF4E" w14:textId="122CC6CE" w:rsidR="00E80162" w:rsidRPr="0049395C" w:rsidRDefault="00E80162" w:rsidP="0034645E">
            <w:pPr>
              <w:jc w:val="center"/>
              <w:rPr>
                <w:b/>
                <w:color w:val="000000"/>
                <w:sz w:val="22"/>
                <w:szCs w:val="22"/>
              </w:rPr>
            </w:pPr>
            <w:r>
              <w:rPr>
                <w:b/>
                <w:color w:val="000000"/>
                <w:sz w:val="22"/>
                <w:szCs w:val="22"/>
              </w:rPr>
              <w:t>2015</w:t>
            </w:r>
          </w:p>
        </w:tc>
        <w:tc>
          <w:tcPr>
            <w:tcW w:w="623" w:type="pct"/>
            <w:shd w:val="clear" w:color="auto" w:fill="auto"/>
            <w:noWrap/>
            <w:vAlign w:val="center"/>
          </w:tcPr>
          <w:p w14:paraId="63528C93" w14:textId="5AD39A89" w:rsidR="00E80162" w:rsidRPr="002A467E" w:rsidRDefault="00E80162" w:rsidP="0034645E">
            <w:pPr>
              <w:jc w:val="center"/>
              <w:rPr>
                <w:color w:val="000000"/>
                <w:sz w:val="22"/>
                <w:szCs w:val="22"/>
              </w:rPr>
            </w:pPr>
            <w:r>
              <w:rPr>
                <w:color w:val="000000"/>
                <w:sz w:val="22"/>
                <w:szCs w:val="22"/>
              </w:rPr>
              <w:t>4</w:t>
            </w:r>
          </w:p>
        </w:tc>
        <w:tc>
          <w:tcPr>
            <w:tcW w:w="1036" w:type="pct"/>
            <w:shd w:val="clear" w:color="auto" w:fill="auto"/>
            <w:noWrap/>
            <w:vAlign w:val="center"/>
          </w:tcPr>
          <w:p w14:paraId="70E7CA0D" w14:textId="2842AA38" w:rsidR="00E80162" w:rsidRPr="002A467E" w:rsidRDefault="006520EE" w:rsidP="0034645E">
            <w:pPr>
              <w:jc w:val="center"/>
              <w:rPr>
                <w:color w:val="000000"/>
                <w:sz w:val="22"/>
                <w:szCs w:val="22"/>
              </w:rPr>
            </w:pPr>
            <w:r>
              <w:rPr>
                <w:color w:val="000000"/>
                <w:sz w:val="22"/>
                <w:szCs w:val="22"/>
              </w:rPr>
              <w:t>79</w:t>
            </w:r>
          </w:p>
        </w:tc>
        <w:tc>
          <w:tcPr>
            <w:tcW w:w="1005" w:type="pct"/>
            <w:shd w:val="clear" w:color="auto" w:fill="auto"/>
            <w:noWrap/>
            <w:vAlign w:val="center"/>
          </w:tcPr>
          <w:p w14:paraId="073F4F16" w14:textId="2088FD1D" w:rsidR="00E80162" w:rsidRPr="002A467E" w:rsidRDefault="006520EE" w:rsidP="0034645E">
            <w:pPr>
              <w:jc w:val="center"/>
              <w:rPr>
                <w:color w:val="000000"/>
                <w:sz w:val="22"/>
                <w:szCs w:val="22"/>
              </w:rPr>
            </w:pPr>
            <w:r>
              <w:rPr>
                <w:color w:val="000000"/>
                <w:sz w:val="22"/>
                <w:szCs w:val="22"/>
              </w:rPr>
              <w:t>85</w:t>
            </w:r>
          </w:p>
        </w:tc>
        <w:tc>
          <w:tcPr>
            <w:tcW w:w="1712" w:type="pct"/>
            <w:shd w:val="clear" w:color="auto" w:fill="auto"/>
            <w:noWrap/>
            <w:vAlign w:val="center"/>
          </w:tcPr>
          <w:p w14:paraId="22C9A3EF" w14:textId="4263020C" w:rsidR="00E80162" w:rsidRPr="002A467E" w:rsidRDefault="006520EE" w:rsidP="0034645E">
            <w:pPr>
              <w:jc w:val="center"/>
              <w:rPr>
                <w:color w:val="000000"/>
                <w:sz w:val="22"/>
                <w:szCs w:val="22"/>
              </w:rPr>
            </w:pPr>
            <w:r>
              <w:rPr>
                <w:color w:val="000000"/>
                <w:sz w:val="22"/>
                <w:szCs w:val="22"/>
              </w:rPr>
              <w:t>96</w:t>
            </w:r>
          </w:p>
        </w:tc>
      </w:tr>
      <w:tr w:rsidR="00E80162" w:rsidRPr="002A467E" w14:paraId="1D40201A" w14:textId="77777777" w:rsidTr="00E80162">
        <w:trPr>
          <w:trHeight w:val="288"/>
        </w:trPr>
        <w:tc>
          <w:tcPr>
            <w:tcW w:w="623" w:type="pct"/>
            <w:vMerge/>
            <w:vAlign w:val="center"/>
          </w:tcPr>
          <w:p w14:paraId="4D000DE7" w14:textId="77777777" w:rsidR="00E80162" w:rsidRPr="0049395C" w:rsidRDefault="00E80162" w:rsidP="0034645E">
            <w:pPr>
              <w:jc w:val="center"/>
              <w:rPr>
                <w:b/>
                <w:color w:val="000000"/>
                <w:sz w:val="22"/>
                <w:szCs w:val="22"/>
              </w:rPr>
            </w:pPr>
          </w:p>
        </w:tc>
        <w:tc>
          <w:tcPr>
            <w:tcW w:w="623" w:type="pct"/>
            <w:shd w:val="clear" w:color="auto" w:fill="auto"/>
            <w:noWrap/>
            <w:vAlign w:val="center"/>
          </w:tcPr>
          <w:p w14:paraId="162247EA" w14:textId="02DC6179" w:rsidR="00E80162" w:rsidRPr="002A467E" w:rsidRDefault="00E80162" w:rsidP="0034645E">
            <w:pPr>
              <w:jc w:val="center"/>
              <w:rPr>
                <w:color w:val="000000"/>
                <w:sz w:val="22"/>
                <w:szCs w:val="22"/>
              </w:rPr>
            </w:pPr>
            <w:r>
              <w:rPr>
                <w:color w:val="000000"/>
                <w:sz w:val="22"/>
                <w:szCs w:val="22"/>
              </w:rPr>
              <w:t>8</w:t>
            </w:r>
          </w:p>
        </w:tc>
        <w:tc>
          <w:tcPr>
            <w:tcW w:w="1036" w:type="pct"/>
            <w:shd w:val="clear" w:color="auto" w:fill="auto"/>
            <w:noWrap/>
            <w:vAlign w:val="center"/>
          </w:tcPr>
          <w:p w14:paraId="3C2D8C30" w14:textId="6B526F42" w:rsidR="00E80162" w:rsidRPr="002A467E" w:rsidRDefault="006520EE" w:rsidP="0034645E">
            <w:pPr>
              <w:jc w:val="center"/>
              <w:rPr>
                <w:color w:val="000000"/>
                <w:sz w:val="22"/>
                <w:szCs w:val="22"/>
              </w:rPr>
            </w:pPr>
            <w:r>
              <w:rPr>
                <w:color w:val="000000"/>
                <w:sz w:val="22"/>
                <w:szCs w:val="22"/>
              </w:rPr>
              <w:t>78</w:t>
            </w:r>
          </w:p>
        </w:tc>
        <w:tc>
          <w:tcPr>
            <w:tcW w:w="1005" w:type="pct"/>
            <w:shd w:val="clear" w:color="auto" w:fill="auto"/>
            <w:noWrap/>
            <w:vAlign w:val="center"/>
          </w:tcPr>
          <w:p w14:paraId="3A67DF69" w14:textId="54831C34" w:rsidR="00E80162" w:rsidRPr="002A467E" w:rsidRDefault="006520EE" w:rsidP="0034645E">
            <w:pPr>
              <w:jc w:val="center"/>
              <w:rPr>
                <w:color w:val="000000"/>
                <w:sz w:val="22"/>
                <w:szCs w:val="22"/>
              </w:rPr>
            </w:pPr>
            <w:r>
              <w:rPr>
                <w:color w:val="000000"/>
                <w:sz w:val="22"/>
                <w:szCs w:val="22"/>
              </w:rPr>
              <w:t>84</w:t>
            </w:r>
          </w:p>
        </w:tc>
        <w:tc>
          <w:tcPr>
            <w:tcW w:w="1712" w:type="pct"/>
            <w:shd w:val="clear" w:color="auto" w:fill="auto"/>
            <w:noWrap/>
            <w:vAlign w:val="center"/>
          </w:tcPr>
          <w:p w14:paraId="3DF28E0B" w14:textId="44DDE004" w:rsidR="00E80162" w:rsidRPr="002A467E" w:rsidRDefault="006520EE" w:rsidP="0034645E">
            <w:pPr>
              <w:jc w:val="center"/>
              <w:rPr>
                <w:color w:val="000000"/>
                <w:sz w:val="22"/>
                <w:szCs w:val="22"/>
              </w:rPr>
            </w:pPr>
            <w:r>
              <w:rPr>
                <w:color w:val="000000"/>
                <w:sz w:val="22"/>
                <w:szCs w:val="22"/>
              </w:rPr>
              <w:t>94</w:t>
            </w:r>
          </w:p>
        </w:tc>
      </w:tr>
      <w:tr w:rsidR="00E80162" w:rsidRPr="002A467E" w14:paraId="178DC0FC" w14:textId="77777777" w:rsidTr="00E80162">
        <w:trPr>
          <w:trHeight w:val="288"/>
        </w:trPr>
        <w:tc>
          <w:tcPr>
            <w:tcW w:w="623" w:type="pct"/>
            <w:vMerge w:val="restart"/>
            <w:vAlign w:val="center"/>
          </w:tcPr>
          <w:p w14:paraId="7D37B84A" w14:textId="77777777" w:rsidR="00E80162" w:rsidRPr="0049395C" w:rsidRDefault="00E80162" w:rsidP="0034645E">
            <w:pPr>
              <w:jc w:val="center"/>
              <w:rPr>
                <w:b/>
                <w:color w:val="000000"/>
              </w:rPr>
            </w:pPr>
            <w:r w:rsidRPr="0049395C">
              <w:rPr>
                <w:b/>
                <w:color w:val="000000"/>
                <w:sz w:val="22"/>
                <w:szCs w:val="22"/>
              </w:rPr>
              <w:t>2011</w:t>
            </w:r>
          </w:p>
        </w:tc>
        <w:tc>
          <w:tcPr>
            <w:tcW w:w="623" w:type="pct"/>
            <w:shd w:val="clear" w:color="auto" w:fill="auto"/>
            <w:noWrap/>
            <w:vAlign w:val="center"/>
            <w:hideMark/>
          </w:tcPr>
          <w:p w14:paraId="5DA5EB6A" w14:textId="77777777" w:rsidR="00E80162" w:rsidRPr="002A467E" w:rsidRDefault="00E80162" w:rsidP="0034645E">
            <w:pPr>
              <w:jc w:val="center"/>
              <w:rPr>
                <w:color w:val="000000"/>
              </w:rPr>
            </w:pPr>
            <w:r w:rsidRPr="002A467E">
              <w:rPr>
                <w:color w:val="000000"/>
                <w:sz w:val="22"/>
                <w:szCs w:val="22"/>
              </w:rPr>
              <w:t>4</w:t>
            </w:r>
          </w:p>
        </w:tc>
        <w:tc>
          <w:tcPr>
            <w:tcW w:w="1036" w:type="pct"/>
            <w:shd w:val="clear" w:color="auto" w:fill="auto"/>
            <w:noWrap/>
            <w:vAlign w:val="center"/>
            <w:hideMark/>
          </w:tcPr>
          <w:p w14:paraId="41451727" w14:textId="77777777" w:rsidR="00E80162" w:rsidRPr="002A467E" w:rsidRDefault="00E80162" w:rsidP="0034645E">
            <w:pPr>
              <w:jc w:val="center"/>
              <w:rPr>
                <w:color w:val="000000"/>
              </w:rPr>
            </w:pPr>
            <w:r w:rsidRPr="002A467E">
              <w:rPr>
                <w:color w:val="000000"/>
                <w:sz w:val="22"/>
                <w:szCs w:val="22"/>
              </w:rPr>
              <w:t>79</w:t>
            </w:r>
          </w:p>
        </w:tc>
        <w:tc>
          <w:tcPr>
            <w:tcW w:w="1005" w:type="pct"/>
            <w:shd w:val="clear" w:color="auto" w:fill="auto"/>
            <w:noWrap/>
            <w:vAlign w:val="center"/>
            <w:hideMark/>
          </w:tcPr>
          <w:p w14:paraId="1295FE40" w14:textId="77777777" w:rsidR="00E80162" w:rsidRPr="002A467E" w:rsidRDefault="00E80162" w:rsidP="0034645E">
            <w:pPr>
              <w:jc w:val="center"/>
              <w:rPr>
                <w:color w:val="000000"/>
              </w:rPr>
            </w:pPr>
            <w:r w:rsidRPr="002A467E">
              <w:rPr>
                <w:color w:val="000000"/>
                <w:sz w:val="22"/>
                <w:szCs w:val="22"/>
              </w:rPr>
              <w:t>84</w:t>
            </w:r>
          </w:p>
        </w:tc>
        <w:tc>
          <w:tcPr>
            <w:tcW w:w="1712" w:type="pct"/>
            <w:shd w:val="clear" w:color="auto" w:fill="auto"/>
            <w:noWrap/>
            <w:vAlign w:val="center"/>
            <w:hideMark/>
          </w:tcPr>
          <w:p w14:paraId="1F4790E1" w14:textId="77777777" w:rsidR="00E80162" w:rsidRPr="002A467E" w:rsidRDefault="00E80162" w:rsidP="0034645E">
            <w:pPr>
              <w:jc w:val="center"/>
              <w:rPr>
                <w:color w:val="000000"/>
              </w:rPr>
            </w:pPr>
            <w:r w:rsidRPr="002A467E">
              <w:rPr>
                <w:color w:val="000000"/>
                <w:sz w:val="22"/>
                <w:szCs w:val="22"/>
              </w:rPr>
              <w:t>95</w:t>
            </w:r>
          </w:p>
        </w:tc>
      </w:tr>
      <w:tr w:rsidR="00E80162" w:rsidRPr="002A467E" w14:paraId="3D97CC83" w14:textId="77777777" w:rsidTr="00E80162">
        <w:trPr>
          <w:trHeight w:val="288"/>
        </w:trPr>
        <w:tc>
          <w:tcPr>
            <w:tcW w:w="623" w:type="pct"/>
            <w:vMerge/>
            <w:vAlign w:val="center"/>
          </w:tcPr>
          <w:p w14:paraId="343154B2" w14:textId="77777777" w:rsidR="00E80162" w:rsidRPr="002A467E" w:rsidRDefault="00E80162" w:rsidP="0034645E">
            <w:pPr>
              <w:jc w:val="center"/>
              <w:rPr>
                <w:color w:val="000000"/>
              </w:rPr>
            </w:pPr>
          </w:p>
        </w:tc>
        <w:tc>
          <w:tcPr>
            <w:tcW w:w="623" w:type="pct"/>
            <w:shd w:val="clear" w:color="auto" w:fill="auto"/>
            <w:noWrap/>
            <w:vAlign w:val="center"/>
            <w:hideMark/>
          </w:tcPr>
          <w:p w14:paraId="638AFFA3" w14:textId="77777777" w:rsidR="00E80162" w:rsidRPr="002A467E" w:rsidRDefault="00E80162" w:rsidP="0034645E">
            <w:pPr>
              <w:jc w:val="center"/>
              <w:rPr>
                <w:color w:val="000000"/>
              </w:rPr>
            </w:pPr>
            <w:r w:rsidRPr="002A467E">
              <w:rPr>
                <w:color w:val="000000"/>
                <w:sz w:val="22"/>
                <w:szCs w:val="22"/>
              </w:rPr>
              <w:t>8</w:t>
            </w:r>
          </w:p>
        </w:tc>
        <w:tc>
          <w:tcPr>
            <w:tcW w:w="1036" w:type="pct"/>
            <w:shd w:val="clear" w:color="auto" w:fill="auto"/>
            <w:noWrap/>
            <w:vAlign w:val="center"/>
            <w:hideMark/>
          </w:tcPr>
          <w:p w14:paraId="667DFB49" w14:textId="77777777" w:rsidR="00E80162" w:rsidRPr="002A467E" w:rsidRDefault="00E80162" w:rsidP="0034645E">
            <w:pPr>
              <w:jc w:val="center"/>
              <w:rPr>
                <w:color w:val="000000"/>
              </w:rPr>
            </w:pPr>
            <w:r w:rsidRPr="002A467E">
              <w:rPr>
                <w:color w:val="000000"/>
                <w:sz w:val="22"/>
                <w:szCs w:val="22"/>
              </w:rPr>
              <w:t>87</w:t>
            </w:r>
          </w:p>
        </w:tc>
        <w:tc>
          <w:tcPr>
            <w:tcW w:w="1005" w:type="pct"/>
            <w:shd w:val="clear" w:color="auto" w:fill="auto"/>
            <w:noWrap/>
            <w:vAlign w:val="center"/>
            <w:hideMark/>
          </w:tcPr>
          <w:p w14:paraId="0A1E0F04" w14:textId="77777777" w:rsidR="00E80162" w:rsidRPr="002A467E" w:rsidRDefault="00E80162" w:rsidP="0034645E">
            <w:pPr>
              <w:jc w:val="center"/>
              <w:rPr>
                <w:color w:val="000000"/>
              </w:rPr>
            </w:pPr>
            <w:r w:rsidRPr="002A467E">
              <w:rPr>
                <w:color w:val="000000"/>
                <w:sz w:val="22"/>
                <w:szCs w:val="22"/>
              </w:rPr>
              <w:t>87</w:t>
            </w:r>
          </w:p>
        </w:tc>
        <w:tc>
          <w:tcPr>
            <w:tcW w:w="1712" w:type="pct"/>
            <w:shd w:val="clear" w:color="auto" w:fill="auto"/>
            <w:noWrap/>
            <w:vAlign w:val="center"/>
            <w:hideMark/>
          </w:tcPr>
          <w:p w14:paraId="3E32CAB8" w14:textId="77777777" w:rsidR="00E80162" w:rsidRPr="002A467E" w:rsidRDefault="00E80162" w:rsidP="0034645E">
            <w:pPr>
              <w:jc w:val="center"/>
              <w:rPr>
                <w:color w:val="000000"/>
              </w:rPr>
            </w:pPr>
            <w:r w:rsidRPr="002A467E">
              <w:rPr>
                <w:color w:val="000000"/>
                <w:sz w:val="22"/>
                <w:szCs w:val="22"/>
              </w:rPr>
              <w:t>94</w:t>
            </w:r>
          </w:p>
        </w:tc>
      </w:tr>
      <w:tr w:rsidR="00B63A83" w:rsidRPr="002A467E" w14:paraId="6B25A2DB" w14:textId="77777777" w:rsidTr="00E80162">
        <w:trPr>
          <w:trHeight w:val="288"/>
        </w:trPr>
        <w:tc>
          <w:tcPr>
            <w:tcW w:w="623" w:type="pct"/>
            <w:vMerge w:val="restart"/>
            <w:vAlign w:val="center"/>
          </w:tcPr>
          <w:p w14:paraId="038D8500" w14:textId="77777777" w:rsidR="00B63A83" w:rsidRPr="0049395C" w:rsidRDefault="00B63A83" w:rsidP="0034645E">
            <w:pPr>
              <w:jc w:val="center"/>
              <w:rPr>
                <w:b/>
                <w:color w:val="000000"/>
              </w:rPr>
            </w:pPr>
            <w:r w:rsidRPr="0049395C">
              <w:rPr>
                <w:b/>
                <w:color w:val="000000"/>
                <w:sz w:val="22"/>
                <w:szCs w:val="22"/>
              </w:rPr>
              <w:t>2007</w:t>
            </w:r>
          </w:p>
        </w:tc>
        <w:tc>
          <w:tcPr>
            <w:tcW w:w="623" w:type="pct"/>
            <w:shd w:val="clear" w:color="auto" w:fill="auto"/>
            <w:noWrap/>
            <w:vAlign w:val="center"/>
            <w:hideMark/>
          </w:tcPr>
          <w:p w14:paraId="67340872" w14:textId="77777777" w:rsidR="00B63A83" w:rsidRPr="002A467E" w:rsidRDefault="00B63A83" w:rsidP="0034645E">
            <w:pPr>
              <w:jc w:val="center"/>
              <w:rPr>
                <w:color w:val="000000"/>
              </w:rPr>
            </w:pPr>
            <w:r w:rsidRPr="002A467E">
              <w:rPr>
                <w:color w:val="000000"/>
                <w:sz w:val="22"/>
                <w:szCs w:val="22"/>
              </w:rPr>
              <w:t>4</w:t>
            </w:r>
          </w:p>
        </w:tc>
        <w:tc>
          <w:tcPr>
            <w:tcW w:w="1036" w:type="pct"/>
            <w:shd w:val="clear" w:color="auto" w:fill="auto"/>
            <w:noWrap/>
            <w:vAlign w:val="center"/>
            <w:hideMark/>
          </w:tcPr>
          <w:p w14:paraId="5234E723" w14:textId="77777777" w:rsidR="00B63A83" w:rsidRPr="002A467E" w:rsidRDefault="00B63A83" w:rsidP="0034645E">
            <w:pPr>
              <w:jc w:val="center"/>
              <w:rPr>
                <w:color w:val="000000"/>
              </w:rPr>
            </w:pPr>
            <w:r w:rsidRPr="002A467E">
              <w:rPr>
                <w:color w:val="000000"/>
                <w:sz w:val="22"/>
                <w:szCs w:val="22"/>
              </w:rPr>
              <w:t>70</w:t>
            </w:r>
          </w:p>
        </w:tc>
        <w:tc>
          <w:tcPr>
            <w:tcW w:w="1005" w:type="pct"/>
            <w:shd w:val="clear" w:color="auto" w:fill="auto"/>
            <w:noWrap/>
            <w:vAlign w:val="center"/>
            <w:hideMark/>
          </w:tcPr>
          <w:p w14:paraId="52940EDE" w14:textId="77777777" w:rsidR="00B63A83" w:rsidRPr="002A467E" w:rsidRDefault="00B63A83" w:rsidP="0034645E">
            <w:pPr>
              <w:jc w:val="center"/>
              <w:rPr>
                <w:color w:val="000000"/>
              </w:rPr>
            </w:pPr>
            <w:r w:rsidRPr="002A467E">
              <w:rPr>
                <w:color w:val="000000"/>
                <w:sz w:val="22"/>
                <w:szCs w:val="22"/>
              </w:rPr>
              <w:t>89</w:t>
            </w:r>
          </w:p>
        </w:tc>
        <w:tc>
          <w:tcPr>
            <w:tcW w:w="1712" w:type="pct"/>
            <w:shd w:val="clear" w:color="auto" w:fill="auto"/>
            <w:noWrap/>
            <w:vAlign w:val="center"/>
            <w:hideMark/>
          </w:tcPr>
          <w:p w14:paraId="150B3CBC" w14:textId="77777777" w:rsidR="00B63A83" w:rsidRPr="002A467E" w:rsidRDefault="00B63A83" w:rsidP="0034645E">
            <w:pPr>
              <w:jc w:val="center"/>
              <w:rPr>
                <w:color w:val="000000"/>
              </w:rPr>
            </w:pPr>
            <w:r w:rsidRPr="002A467E">
              <w:rPr>
                <w:color w:val="000000"/>
                <w:sz w:val="22"/>
                <w:szCs w:val="22"/>
              </w:rPr>
              <w:t>95</w:t>
            </w:r>
          </w:p>
        </w:tc>
      </w:tr>
      <w:tr w:rsidR="00B63A83" w:rsidRPr="002A467E" w14:paraId="13EB3393" w14:textId="77777777" w:rsidTr="00E80162">
        <w:trPr>
          <w:trHeight w:val="288"/>
        </w:trPr>
        <w:tc>
          <w:tcPr>
            <w:tcW w:w="623" w:type="pct"/>
            <w:vMerge/>
            <w:vAlign w:val="center"/>
          </w:tcPr>
          <w:p w14:paraId="1DE58BFE" w14:textId="77777777" w:rsidR="00B63A83" w:rsidRPr="002A467E" w:rsidRDefault="00B63A83" w:rsidP="0034645E">
            <w:pPr>
              <w:jc w:val="center"/>
              <w:rPr>
                <w:color w:val="000000"/>
              </w:rPr>
            </w:pPr>
          </w:p>
        </w:tc>
        <w:tc>
          <w:tcPr>
            <w:tcW w:w="623" w:type="pct"/>
            <w:shd w:val="clear" w:color="auto" w:fill="auto"/>
            <w:noWrap/>
            <w:vAlign w:val="center"/>
            <w:hideMark/>
          </w:tcPr>
          <w:p w14:paraId="0A38606D" w14:textId="77777777" w:rsidR="00B63A83" w:rsidRPr="002A467E" w:rsidRDefault="00B63A83" w:rsidP="0034645E">
            <w:pPr>
              <w:jc w:val="center"/>
              <w:rPr>
                <w:color w:val="000000"/>
              </w:rPr>
            </w:pPr>
            <w:r w:rsidRPr="002A467E">
              <w:rPr>
                <w:color w:val="000000"/>
                <w:sz w:val="22"/>
                <w:szCs w:val="22"/>
              </w:rPr>
              <w:t>8</w:t>
            </w:r>
          </w:p>
        </w:tc>
        <w:tc>
          <w:tcPr>
            <w:tcW w:w="1036" w:type="pct"/>
            <w:shd w:val="clear" w:color="auto" w:fill="auto"/>
            <w:noWrap/>
            <w:vAlign w:val="center"/>
            <w:hideMark/>
          </w:tcPr>
          <w:p w14:paraId="2FD7DE36" w14:textId="77777777" w:rsidR="00B63A83" w:rsidRPr="002A467E" w:rsidRDefault="00B63A83" w:rsidP="0034645E">
            <w:pPr>
              <w:jc w:val="center"/>
              <w:rPr>
                <w:color w:val="000000"/>
              </w:rPr>
            </w:pPr>
            <w:r w:rsidRPr="002A467E">
              <w:rPr>
                <w:color w:val="000000"/>
                <w:sz w:val="22"/>
                <w:szCs w:val="22"/>
              </w:rPr>
              <w:t>68</w:t>
            </w:r>
          </w:p>
        </w:tc>
        <w:tc>
          <w:tcPr>
            <w:tcW w:w="1005" w:type="pct"/>
            <w:shd w:val="clear" w:color="auto" w:fill="auto"/>
            <w:noWrap/>
            <w:vAlign w:val="center"/>
            <w:hideMark/>
          </w:tcPr>
          <w:p w14:paraId="07748255" w14:textId="77777777" w:rsidR="00B63A83" w:rsidRPr="002A467E" w:rsidRDefault="00B63A83" w:rsidP="0034645E">
            <w:pPr>
              <w:jc w:val="center"/>
              <w:rPr>
                <w:color w:val="000000"/>
              </w:rPr>
            </w:pPr>
            <w:r w:rsidRPr="002A467E">
              <w:rPr>
                <w:color w:val="000000"/>
                <w:sz w:val="22"/>
                <w:szCs w:val="22"/>
              </w:rPr>
              <w:t>83</w:t>
            </w:r>
          </w:p>
        </w:tc>
        <w:tc>
          <w:tcPr>
            <w:tcW w:w="1712" w:type="pct"/>
            <w:shd w:val="clear" w:color="auto" w:fill="auto"/>
            <w:noWrap/>
            <w:vAlign w:val="center"/>
            <w:hideMark/>
          </w:tcPr>
          <w:p w14:paraId="1BB899A6" w14:textId="77777777" w:rsidR="00B63A83" w:rsidRPr="002A467E" w:rsidRDefault="00B63A83" w:rsidP="0034645E">
            <w:pPr>
              <w:jc w:val="center"/>
              <w:rPr>
                <w:color w:val="000000"/>
              </w:rPr>
            </w:pPr>
            <w:r w:rsidRPr="002A467E">
              <w:rPr>
                <w:color w:val="000000"/>
                <w:sz w:val="22"/>
                <w:szCs w:val="22"/>
              </w:rPr>
              <w:t>93</w:t>
            </w:r>
          </w:p>
        </w:tc>
      </w:tr>
      <w:tr w:rsidR="00B63A83" w:rsidRPr="002A467E" w14:paraId="7A809A2A" w14:textId="77777777" w:rsidTr="00E80162">
        <w:trPr>
          <w:trHeight w:val="288"/>
        </w:trPr>
        <w:tc>
          <w:tcPr>
            <w:tcW w:w="623" w:type="pct"/>
            <w:vMerge w:val="restart"/>
            <w:vAlign w:val="center"/>
          </w:tcPr>
          <w:p w14:paraId="41263FB5" w14:textId="77777777" w:rsidR="00B63A83" w:rsidRPr="0049395C" w:rsidRDefault="00B63A83" w:rsidP="0034645E">
            <w:pPr>
              <w:jc w:val="center"/>
              <w:rPr>
                <w:b/>
                <w:color w:val="000000"/>
              </w:rPr>
            </w:pPr>
            <w:r w:rsidRPr="0049395C">
              <w:rPr>
                <w:b/>
                <w:color w:val="000000"/>
                <w:sz w:val="22"/>
                <w:szCs w:val="22"/>
              </w:rPr>
              <w:t>2003</w:t>
            </w:r>
          </w:p>
        </w:tc>
        <w:tc>
          <w:tcPr>
            <w:tcW w:w="623" w:type="pct"/>
            <w:shd w:val="clear" w:color="auto" w:fill="auto"/>
            <w:noWrap/>
            <w:vAlign w:val="center"/>
            <w:hideMark/>
          </w:tcPr>
          <w:p w14:paraId="7366CA28" w14:textId="77777777" w:rsidR="00B63A83" w:rsidRPr="002A467E" w:rsidRDefault="00B63A83" w:rsidP="0034645E">
            <w:pPr>
              <w:jc w:val="center"/>
              <w:rPr>
                <w:color w:val="000000"/>
              </w:rPr>
            </w:pPr>
            <w:r w:rsidRPr="002A467E">
              <w:rPr>
                <w:color w:val="000000"/>
                <w:sz w:val="22"/>
                <w:szCs w:val="22"/>
              </w:rPr>
              <w:t>4</w:t>
            </w:r>
          </w:p>
        </w:tc>
        <w:tc>
          <w:tcPr>
            <w:tcW w:w="1036" w:type="pct"/>
            <w:shd w:val="clear" w:color="auto" w:fill="auto"/>
            <w:noWrap/>
            <w:vAlign w:val="center"/>
            <w:hideMark/>
          </w:tcPr>
          <w:p w14:paraId="496664B4" w14:textId="77777777" w:rsidR="00B63A83" w:rsidRPr="002A467E" w:rsidRDefault="00B63A83" w:rsidP="0034645E">
            <w:pPr>
              <w:jc w:val="center"/>
              <w:rPr>
                <w:color w:val="000000"/>
              </w:rPr>
            </w:pPr>
            <w:r w:rsidRPr="002A467E">
              <w:rPr>
                <w:color w:val="000000"/>
                <w:sz w:val="22"/>
                <w:szCs w:val="22"/>
              </w:rPr>
              <w:t>70</w:t>
            </w:r>
          </w:p>
        </w:tc>
        <w:tc>
          <w:tcPr>
            <w:tcW w:w="1005" w:type="pct"/>
            <w:shd w:val="clear" w:color="auto" w:fill="auto"/>
            <w:noWrap/>
            <w:vAlign w:val="center"/>
            <w:hideMark/>
          </w:tcPr>
          <w:p w14:paraId="7832371D" w14:textId="77777777" w:rsidR="00B63A83" w:rsidRPr="002A467E" w:rsidRDefault="00B63A83" w:rsidP="0034645E">
            <w:pPr>
              <w:jc w:val="center"/>
              <w:rPr>
                <w:color w:val="000000"/>
              </w:rPr>
            </w:pPr>
            <w:r w:rsidRPr="002A467E">
              <w:rPr>
                <w:color w:val="000000"/>
                <w:sz w:val="22"/>
                <w:szCs w:val="22"/>
              </w:rPr>
              <w:t>82</w:t>
            </w:r>
          </w:p>
        </w:tc>
        <w:tc>
          <w:tcPr>
            <w:tcW w:w="1712" w:type="pct"/>
            <w:shd w:val="clear" w:color="auto" w:fill="auto"/>
            <w:noWrap/>
            <w:vAlign w:val="center"/>
            <w:hideMark/>
          </w:tcPr>
          <w:p w14:paraId="397938B0" w14:textId="77777777" w:rsidR="00B63A83" w:rsidRPr="002A467E" w:rsidRDefault="00B63A83" w:rsidP="0034645E">
            <w:pPr>
              <w:jc w:val="center"/>
              <w:rPr>
                <w:color w:val="000000"/>
              </w:rPr>
            </w:pPr>
            <w:r w:rsidRPr="002A467E">
              <w:rPr>
                <w:color w:val="000000"/>
                <w:sz w:val="22"/>
                <w:szCs w:val="22"/>
              </w:rPr>
              <w:t>95</w:t>
            </w:r>
          </w:p>
        </w:tc>
      </w:tr>
      <w:tr w:rsidR="00B63A83" w:rsidRPr="002A467E" w14:paraId="4F8BB4B7" w14:textId="77777777" w:rsidTr="00E80162">
        <w:trPr>
          <w:trHeight w:val="288"/>
        </w:trPr>
        <w:tc>
          <w:tcPr>
            <w:tcW w:w="623" w:type="pct"/>
            <w:vMerge/>
            <w:vAlign w:val="center"/>
          </w:tcPr>
          <w:p w14:paraId="32A7427B" w14:textId="77777777" w:rsidR="00B63A83" w:rsidRPr="002A467E" w:rsidRDefault="00B63A83" w:rsidP="0034645E">
            <w:pPr>
              <w:jc w:val="center"/>
              <w:rPr>
                <w:color w:val="000000"/>
              </w:rPr>
            </w:pPr>
          </w:p>
        </w:tc>
        <w:tc>
          <w:tcPr>
            <w:tcW w:w="623" w:type="pct"/>
            <w:shd w:val="clear" w:color="auto" w:fill="auto"/>
            <w:noWrap/>
            <w:vAlign w:val="center"/>
            <w:hideMark/>
          </w:tcPr>
          <w:p w14:paraId="55AE4106" w14:textId="77777777" w:rsidR="00B63A83" w:rsidRPr="002A467E" w:rsidRDefault="00B63A83" w:rsidP="0034645E">
            <w:pPr>
              <w:jc w:val="center"/>
              <w:rPr>
                <w:color w:val="000000"/>
              </w:rPr>
            </w:pPr>
            <w:r w:rsidRPr="002A467E">
              <w:rPr>
                <w:color w:val="000000"/>
                <w:sz w:val="22"/>
                <w:szCs w:val="22"/>
              </w:rPr>
              <w:t>8</w:t>
            </w:r>
          </w:p>
        </w:tc>
        <w:tc>
          <w:tcPr>
            <w:tcW w:w="1036" w:type="pct"/>
            <w:shd w:val="clear" w:color="auto" w:fill="auto"/>
            <w:noWrap/>
            <w:vAlign w:val="center"/>
            <w:hideMark/>
          </w:tcPr>
          <w:p w14:paraId="190162F1" w14:textId="77777777" w:rsidR="00B63A83" w:rsidRPr="002A467E" w:rsidRDefault="00B63A83" w:rsidP="0034645E">
            <w:pPr>
              <w:jc w:val="center"/>
              <w:rPr>
                <w:color w:val="000000"/>
              </w:rPr>
            </w:pPr>
            <w:r w:rsidRPr="002A467E">
              <w:rPr>
                <w:color w:val="000000"/>
                <w:sz w:val="22"/>
                <w:szCs w:val="22"/>
              </w:rPr>
              <w:t>71</w:t>
            </w:r>
          </w:p>
        </w:tc>
        <w:tc>
          <w:tcPr>
            <w:tcW w:w="1005" w:type="pct"/>
            <w:shd w:val="clear" w:color="auto" w:fill="auto"/>
            <w:noWrap/>
            <w:vAlign w:val="center"/>
            <w:hideMark/>
          </w:tcPr>
          <w:p w14:paraId="653D7045" w14:textId="77777777" w:rsidR="00B63A83" w:rsidRPr="002A467E" w:rsidRDefault="00B63A83" w:rsidP="0034645E">
            <w:pPr>
              <w:jc w:val="center"/>
              <w:rPr>
                <w:color w:val="000000"/>
              </w:rPr>
            </w:pPr>
            <w:r w:rsidRPr="002A467E">
              <w:rPr>
                <w:color w:val="000000"/>
                <w:sz w:val="22"/>
                <w:szCs w:val="22"/>
              </w:rPr>
              <w:t>78</w:t>
            </w:r>
          </w:p>
        </w:tc>
        <w:tc>
          <w:tcPr>
            <w:tcW w:w="1712" w:type="pct"/>
            <w:shd w:val="clear" w:color="auto" w:fill="auto"/>
            <w:noWrap/>
            <w:vAlign w:val="center"/>
            <w:hideMark/>
          </w:tcPr>
          <w:p w14:paraId="0108F42B" w14:textId="77777777" w:rsidR="00B63A83" w:rsidRPr="002A467E" w:rsidRDefault="00B63A83" w:rsidP="0034645E">
            <w:pPr>
              <w:jc w:val="center"/>
              <w:rPr>
                <w:color w:val="000000"/>
              </w:rPr>
            </w:pPr>
            <w:r w:rsidRPr="002A467E">
              <w:rPr>
                <w:color w:val="000000"/>
                <w:sz w:val="22"/>
                <w:szCs w:val="22"/>
              </w:rPr>
              <w:t>94</w:t>
            </w:r>
          </w:p>
        </w:tc>
      </w:tr>
      <w:tr w:rsidR="00B63A83" w:rsidRPr="002A467E" w14:paraId="19EF8922" w14:textId="77777777" w:rsidTr="00E80162">
        <w:trPr>
          <w:trHeight w:val="288"/>
        </w:trPr>
        <w:tc>
          <w:tcPr>
            <w:tcW w:w="623" w:type="pct"/>
            <w:vAlign w:val="center"/>
          </w:tcPr>
          <w:p w14:paraId="3DA0B8EF" w14:textId="77777777" w:rsidR="00B63A83" w:rsidRPr="0049395C" w:rsidRDefault="00B63A83" w:rsidP="0034645E">
            <w:pPr>
              <w:jc w:val="center"/>
              <w:rPr>
                <w:b/>
                <w:color w:val="000000"/>
              </w:rPr>
            </w:pPr>
            <w:r w:rsidRPr="0049395C">
              <w:rPr>
                <w:b/>
                <w:color w:val="000000"/>
                <w:sz w:val="22"/>
                <w:szCs w:val="22"/>
              </w:rPr>
              <w:t>1999</w:t>
            </w:r>
          </w:p>
        </w:tc>
        <w:tc>
          <w:tcPr>
            <w:tcW w:w="623" w:type="pct"/>
            <w:shd w:val="clear" w:color="auto" w:fill="auto"/>
            <w:noWrap/>
            <w:vAlign w:val="center"/>
            <w:hideMark/>
          </w:tcPr>
          <w:p w14:paraId="59E36FB5" w14:textId="77777777" w:rsidR="00B63A83" w:rsidRPr="002A467E" w:rsidRDefault="00B63A83" w:rsidP="0034645E">
            <w:pPr>
              <w:jc w:val="center"/>
              <w:rPr>
                <w:color w:val="000000"/>
              </w:rPr>
            </w:pPr>
            <w:r w:rsidRPr="002A467E">
              <w:rPr>
                <w:color w:val="000000"/>
                <w:sz w:val="22"/>
                <w:szCs w:val="22"/>
              </w:rPr>
              <w:t>8</w:t>
            </w:r>
          </w:p>
        </w:tc>
        <w:tc>
          <w:tcPr>
            <w:tcW w:w="1036" w:type="pct"/>
            <w:shd w:val="clear" w:color="auto" w:fill="auto"/>
            <w:noWrap/>
            <w:vAlign w:val="center"/>
            <w:hideMark/>
          </w:tcPr>
          <w:p w14:paraId="05414627" w14:textId="77777777" w:rsidR="00B63A83" w:rsidRPr="002A467E" w:rsidRDefault="00B63A83" w:rsidP="0034645E">
            <w:pPr>
              <w:jc w:val="center"/>
              <w:rPr>
                <w:color w:val="000000"/>
              </w:rPr>
            </w:pPr>
            <w:r w:rsidRPr="002A467E">
              <w:rPr>
                <w:color w:val="000000"/>
                <w:sz w:val="22"/>
                <w:szCs w:val="22"/>
              </w:rPr>
              <w:t>83</w:t>
            </w:r>
          </w:p>
        </w:tc>
        <w:tc>
          <w:tcPr>
            <w:tcW w:w="1005" w:type="pct"/>
            <w:shd w:val="clear" w:color="auto" w:fill="auto"/>
            <w:noWrap/>
            <w:vAlign w:val="center"/>
            <w:hideMark/>
          </w:tcPr>
          <w:p w14:paraId="342D0003" w14:textId="77777777" w:rsidR="00B63A83" w:rsidRPr="002A467E" w:rsidRDefault="00B63A83" w:rsidP="0034645E">
            <w:pPr>
              <w:jc w:val="center"/>
              <w:rPr>
                <w:color w:val="000000"/>
              </w:rPr>
            </w:pPr>
            <w:r w:rsidRPr="002A467E">
              <w:rPr>
                <w:color w:val="000000"/>
                <w:sz w:val="22"/>
                <w:szCs w:val="22"/>
              </w:rPr>
              <w:t>90</w:t>
            </w:r>
          </w:p>
        </w:tc>
        <w:tc>
          <w:tcPr>
            <w:tcW w:w="1712" w:type="pct"/>
            <w:shd w:val="clear" w:color="auto" w:fill="auto"/>
            <w:noWrap/>
            <w:vAlign w:val="center"/>
            <w:hideMark/>
          </w:tcPr>
          <w:p w14:paraId="3D66559F" w14:textId="77777777" w:rsidR="00B63A83" w:rsidRPr="002A467E" w:rsidRDefault="00B63A83" w:rsidP="0034645E">
            <w:pPr>
              <w:jc w:val="center"/>
              <w:rPr>
                <w:color w:val="000000"/>
              </w:rPr>
            </w:pPr>
            <w:r w:rsidRPr="002A467E">
              <w:rPr>
                <w:color w:val="000000"/>
                <w:sz w:val="22"/>
                <w:szCs w:val="22"/>
              </w:rPr>
              <w:t>94</w:t>
            </w:r>
          </w:p>
        </w:tc>
      </w:tr>
      <w:tr w:rsidR="00B63A83" w:rsidRPr="002A467E" w14:paraId="0D2C4A03" w14:textId="77777777" w:rsidTr="00E80162">
        <w:trPr>
          <w:trHeight w:val="288"/>
        </w:trPr>
        <w:tc>
          <w:tcPr>
            <w:tcW w:w="623" w:type="pct"/>
            <w:vAlign w:val="center"/>
          </w:tcPr>
          <w:p w14:paraId="156CA510" w14:textId="77777777" w:rsidR="00B63A83" w:rsidRPr="0049395C" w:rsidRDefault="00B63A83" w:rsidP="0034645E">
            <w:pPr>
              <w:jc w:val="center"/>
              <w:rPr>
                <w:b/>
                <w:color w:val="000000"/>
              </w:rPr>
            </w:pPr>
            <w:r w:rsidRPr="0049395C">
              <w:rPr>
                <w:b/>
                <w:color w:val="000000"/>
                <w:sz w:val="22"/>
                <w:szCs w:val="22"/>
              </w:rPr>
              <w:t>1995</w:t>
            </w:r>
          </w:p>
        </w:tc>
        <w:tc>
          <w:tcPr>
            <w:tcW w:w="623" w:type="pct"/>
            <w:shd w:val="clear" w:color="auto" w:fill="auto"/>
            <w:noWrap/>
            <w:vAlign w:val="center"/>
            <w:hideMark/>
          </w:tcPr>
          <w:p w14:paraId="040503C6" w14:textId="77777777" w:rsidR="00B63A83" w:rsidRPr="002A467E" w:rsidRDefault="00B63A83" w:rsidP="0034645E">
            <w:pPr>
              <w:jc w:val="center"/>
              <w:rPr>
                <w:color w:val="000000"/>
              </w:rPr>
            </w:pPr>
            <w:r w:rsidRPr="002A467E">
              <w:rPr>
                <w:color w:val="000000"/>
                <w:sz w:val="22"/>
                <w:szCs w:val="22"/>
              </w:rPr>
              <w:t>4</w:t>
            </w:r>
          </w:p>
        </w:tc>
        <w:tc>
          <w:tcPr>
            <w:tcW w:w="1036" w:type="pct"/>
            <w:shd w:val="clear" w:color="auto" w:fill="auto"/>
            <w:noWrap/>
            <w:vAlign w:val="center"/>
            <w:hideMark/>
          </w:tcPr>
          <w:p w14:paraId="4F6E75CE" w14:textId="77777777" w:rsidR="00B63A83" w:rsidRPr="002A467E" w:rsidRDefault="00B63A83" w:rsidP="0034645E">
            <w:pPr>
              <w:jc w:val="center"/>
              <w:rPr>
                <w:color w:val="000000"/>
              </w:rPr>
            </w:pPr>
            <w:r w:rsidRPr="002A467E">
              <w:rPr>
                <w:color w:val="000000"/>
                <w:sz w:val="22"/>
                <w:szCs w:val="22"/>
              </w:rPr>
              <w:t>86</w:t>
            </w:r>
          </w:p>
        </w:tc>
        <w:tc>
          <w:tcPr>
            <w:tcW w:w="1005" w:type="pct"/>
            <w:shd w:val="clear" w:color="auto" w:fill="auto"/>
            <w:noWrap/>
            <w:vAlign w:val="center"/>
            <w:hideMark/>
          </w:tcPr>
          <w:p w14:paraId="5BAA467D" w14:textId="77777777" w:rsidR="00B63A83" w:rsidRPr="002A467E" w:rsidRDefault="00B63A83" w:rsidP="0034645E">
            <w:pPr>
              <w:jc w:val="center"/>
              <w:rPr>
                <w:color w:val="000000"/>
              </w:rPr>
            </w:pPr>
            <w:r w:rsidRPr="002A467E">
              <w:rPr>
                <w:color w:val="000000"/>
                <w:sz w:val="22"/>
                <w:szCs w:val="22"/>
              </w:rPr>
              <w:t>NA</w:t>
            </w:r>
          </w:p>
        </w:tc>
        <w:tc>
          <w:tcPr>
            <w:tcW w:w="1712" w:type="pct"/>
            <w:shd w:val="clear" w:color="auto" w:fill="auto"/>
            <w:noWrap/>
            <w:vAlign w:val="center"/>
            <w:hideMark/>
          </w:tcPr>
          <w:p w14:paraId="2E5EFD68" w14:textId="77777777" w:rsidR="00B63A83" w:rsidRPr="002A467E" w:rsidRDefault="00B63A83" w:rsidP="0034645E">
            <w:pPr>
              <w:jc w:val="center"/>
              <w:rPr>
                <w:color w:val="000000"/>
              </w:rPr>
            </w:pPr>
            <w:r w:rsidRPr="002A467E">
              <w:rPr>
                <w:color w:val="000000"/>
                <w:sz w:val="22"/>
                <w:szCs w:val="22"/>
              </w:rPr>
              <w:t>94</w:t>
            </w:r>
          </w:p>
        </w:tc>
      </w:tr>
    </w:tbl>
    <w:p w14:paraId="772016A6" w14:textId="77777777" w:rsidR="00B63A83" w:rsidRPr="00E16020" w:rsidRDefault="00B63A83" w:rsidP="0054472A">
      <w:pPr>
        <w:rPr>
          <w:sz w:val="22"/>
          <w:szCs w:val="22"/>
        </w:rPr>
      </w:pPr>
    </w:p>
    <w:p w14:paraId="2511DC09" w14:textId="77777777" w:rsidR="00A22E18" w:rsidRPr="00373459" w:rsidRDefault="00A22E18" w:rsidP="0054472A">
      <w:pPr>
        <w:pStyle w:val="P1-StandPara"/>
        <w:widowControl w:val="0"/>
        <w:spacing w:after="60" w:line="276" w:lineRule="auto"/>
        <w:ind w:firstLine="0"/>
        <w:jc w:val="left"/>
        <w:rPr>
          <w:szCs w:val="22"/>
        </w:rPr>
      </w:pPr>
      <w:r w:rsidRPr="00373459">
        <w:rPr>
          <w:szCs w:val="22"/>
        </w:rPr>
        <w:t>Our approach to school recruitment is to:</w:t>
      </w:r>
    </w:p>
    <w:p w14:paraId="39331751" w14:textId="77777777"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Obtain endorsements about the value of TIMSS from relevant organizations;</w:t>
      </w:r>
    </w:p>
    <w:p w14:paraId="7812544A" w14:textId="77777777" w:rsidR="0054472A" w:rsidRDefault="002E026A"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Officers </w:t>
      </w:r>
      <w:r w:rsidR="00A22E18" w:rsidRPr="00373459">
        <w:rPr>
          <w:rFonts w:ascii="Times New Roman" w:hAnsi="Times New Roman"/>
          <w:sz w:val="22"/>
          <w:szCs w:val="22"/>
        </w:rPr>
        <w:t>and test directors about the sample of schools in their state.</w:t>
      </w:r>
    </w:p>
    <w:p w14:paraId="7238A13A" w14:textId="77777777" w:rsidR="00A22E18" w:rsidRPr="00373459" w:rsidRDefault="0069339D"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Pr>
          <w:rFonts w:ascii="Times New Roman" w:hAnsi="Times New Roman"/>
          <w:sz w:val="22"/>
          <w:szCs w:val="22"/>
        </w:rPr>
        <w:t>Use the assistance of NAEP State Coordinators to recruit districts and schools, providing key state agency involvement in recruitment;</w:t>
      </w:r>
    </w:p>
    <w:p w14:paraId="018E2223" w14:textId="77777777"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Send letters and informational materials to schools and districts. These letters will be customized by type of school;</w:t>
      </w:r>
    </w:p>
    <w:p w14:paraId="44C05A21" w14:textId="77777777"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w:t>
      </w:r>
      <w:r w:rsidR="0069339D">
        <w:rPr>
          <w:rFonts w:ascii="Times New Roman" w:hAnsi="Times New Roman"/>
          <w:sz w:val="22"/>
          <w:szCs w:val="22"/>
        </w:rPr>
        <w:t>NAEP State Coordinators</w:t>
      </w:r>
      <w:r w:rsidR="002E026A">
        <w:rPr>
          <w:rFonts w:ascii="Times New Roman" w:hAnsi="Times New Roman"/>
          <w:sz w:val="22"/>
          <w:szCs w:val="22"/>
        </w:rPr>
        <w:t xml:space="preserve"> about TIMSS;</w:t>
      </w:r>
    </w:p>
    <w:p w14:paraId="224E6D6C" w14:textId="77777777"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14:paraId="35C8877A" w14:textId="2EE00D13"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Follow</w:t>
      </w:r>
      <w:r w:rsidR="00F41662">
        <w:rPr>
          <w:rFonts w:ascii="Times New Roman" w:hAnsi="Times New Roman"/>
          <w:sz w:val="22"/>
          <w:szCs w:val="22"/>
        </w:rPr>
        <w:t>-</w:t>
      </w:r>
      <w:r w:rsidRPr="00373459">
        <w:rPr>
          <w:rFonts w:ascii="Times New Roman" w:hAnsi="Times New Roman"/>
          <w:sz w:val="22"/>
          <w:szCs w:val="22"/>
        </w:rPr>
        <w:t>up mailings with telephone calls to explain the study and schools involvement, including placing the TIMSS assessment date on school calendars;</w:t>
      </w:r>
    </w:p>
    <w:p w14:paraId="6902127C" w14:textId="77777777" w:rsidR="00A22E18" w:rsidRPr="00373459" w:rsidRDefault="00A22E18" w:rsidP="0054472A">
      <w:pPr>
        <w:pStyle w:val="N1-1stBullet"/>
        <w:widowControl w:val="0"/>
        <w:numPr>
          <w:ilvl w:val="0"/>
          <w:numId w:val="7"/>
        </w:numPr>
        <w:tabs>
          <w:tab w:val="clear" w:pos="1152"/>
        </w:tabs>
        <w:spacing w:after="60" w:line="276" w:lineRule="auto"/>
        <w:ind w:left="907" w:hanging="331"/>
        <w:rPr>
          <w:rFonts w:ascii="Times New Roman" w:hAnsi="Times New Roman"/>
          <w:sz w:val="22"/>
          <w:szCs w:val="22"/>
        </w:rPr>
      </w:pPr>
      <w:r w:rsidRPr="00373459">
        <w:rPr>
          <w:rFonts w:ascii="Times New Roman" w:hAnsi="Times New Roman"/>
          <w:sz w:val="22"/>
          <w:szCs w:val="22"/>
        </w:rPr>
        <w:t>Maintain continued contact until schools have built a relationship with the recruiter and fully understand TIMSS; and</w:t>
      </w:r>
    </w:p>
    <w:p w14:paraId="64625244" w14:textId="77777777" w:rsidR="00F41662" w:rsidRPr="00F41662" w:rsidRDefault="00A22E18" w:rsidP="00F41662">
      <w:pPr>
        <w:pStyle w:val="N1-1stBullet"/>
        <w:widowControl w:val="0"/>
        <w:numPr>
          <w:ilvl w:val="0"/>
          <w:numId w:val="7"/>
        </w:numPr>
        <w:tabs>
          <w:tab w:val="clear" w:pos="1152"/>
        </w:tabs>
        <w:spacing w:after="0" w:line="276" w:lineRule="auto"/>
        <w:ind w:left="907" w:hanging="331"/>
        <w:rPr>
          <w:b/>
        </w:rPr>
      </w:pPr>
      <w:r w:rsidRPr="00F874E9">
        <w:rPr>
          <w:rFonts w:ascii="Times New Roman" w:hAnsi="Times New Roman"/>
          <w:sz w:val="22"/>
          <w:szCs w:val="22"/>
        </w:rPr>
        <w:t>Make in-person visits</w:t>
      </w:r>
      <w:r w:rsidR="002E026A" w:rsidRPr="00F874E9">
        <w:rPr>
          <w:rFonts w:ascii="Times New Roman" w:hAnsi="Times New Roman"/>
          <w:sz w:val="22"/>
          <w:szCs w:val="22"/>
        </w:rPr>
        <w:t xml:space="preserve"> to some schools</w:t>
      </w:r>
      <w:r w:rsidR="00981B35" w:rsidRPr="00F874E9">
        <w:rPr>
          <w:rFonts w:ascii="Times New Roman" w:hAnsi="Times New Roman"/>
          <w:sz w:val="22"/>
          <w:szCs w:val="22"/>
        </w:rPr>
        <w:t>,</w:t>
      </w:r>
      <w:r w:rsidRPr="00F874E9">
        <w:rPr>
          <w:rFonts w:ascii="Times New Roman" w:hAnsi="Times New Roman"/>
          <w:sz w:val="22"/>
          <w:szCs w:val="22"/>
        </w:rPr>
        <w:t xml:space="preserve"> as </w:t>
      </w:r>
      <w:r w:rsidR="00981B35" w:rsidRPr="00F874E9">
        <w:rPr>
          <w:rFonts w:ascii="Times New Roman" w:hAnsi="Times New Roman"/>
          <w:sz w:val="22"/>
          <w:szCs w:val="22"/>
        </w:rPr>
        <w:t>necessary</w:t>
      </w:r>
      <w:r w:rsidRPr="00F874E9">
        <w:rPr>
          <w:rFonts w:ascii="Times New Roman" w:hAnsi="Times New Roman"/>
          <w:sz w:val="22"/>
          <w:szCs w:val="22"/>
        </w:rPr>
        <w:t>.</w:t>
      </w:r>
      <w:bookmarkStart w:id="6" w:name="_Toc119829983"/>
    </w:p>
    <w:p w14:paraId="04854160" w14:textId="77777777" w:rsidR="00F41662" w:rsidRDefault="00F41662" w:rsidP="00F41662">
      <w:pPr>
        <w:pStyle w:val="Heading8"/>
        <w:keepNext w:val="0"/>
        <w:widowControl w:val="0"/>
        <w:spacing w:line="276" w:lineRule="auto"/>
        <w:jc w:val="left"/>
      </w:pPr>
    </w:p>
    <w:p w14:paraId="088D05FE" w14:textId="52E4B866" w:rsidR="00ED77A1" w:rsidRDefault="00AA5BB5" w:rsidP="0054472A">
      <w:pPr>
        <w:pStyle w:val="Heading8"/>
        <w:keepNext w:val="0"/>
        <w:widowControl w:val="0"/>
        <w:spacing w:after="120" w:line="276" w:lineRule="auto"/>
        <w:jc w:val="left"/>
      </w:pPr>
      <w:r w:rsidRPr="00736C3B">
        <w:t>B.4</w:t>
      </w:r>
      <w:r w:rsidRPr="00736C3B">
        <w:tab/>
      </w:r>
      <w:bookmarkEnd w:id="6"/>
      <w:r w:rsidR="00ED77A1">
        <w:t xml:space="preserve">Purpose of </w:t>
      </w:r>
      <w:r w:rsidR="001425A6">
        <w:t>Pilot</w:t>
      </w:r>
      <w:r w:rsidR="00ED77A1">
        <w:t xml:space="preserve"> </w:t>
      </w:r>
      <w:r w:rsidR="00C563F1">
        <w:t xml:space="preserve">and Field Test </w:t>
      </w:r>
      <w:r w:rsidR="00ED77A1">
        <w:t>and Data Uses</w:t>
      </w:r>
    </w:p>
    <w:p w14:paraId="252B9D38" w14:textId="4ABB9814" w:rsidR="00AA5BB5" w:rsidRDefault="00AA5BB5" w:rsidP="0054472A">
      <w:pPr>
        <w:pStyle w:val="P1-StandPara"/>
        <w:widowControl w:val="0"/>
        <w:spacing w:after="120" w:line="276" w:lineRule="auto"/>
        <w:ind w:firstLine="0"/>
        <w:jc w:val="left"/>
      </w:pPr>
      <w:r w:rsidRPr="00736C3B">
        <w:t>The central goal</w:t>
      </w:r>
      <w:r w:rsidR="00BF43F9">
        <w:t>s</w:t>
      </w:r>
      <w:r w:rsidR="00C563F1">
        <w:t xml:space="preserve"> of the pilot</w:t>
      </w:r>
      <w:r w:rsidR="00AA101D">
        <w:t xml:space="preserve"> </w:t>
      </w:r>
      <w:r w:rsidR="00F41662">
        <w:t>was</w:t>
      </w:r>
      <w:r w:rsidRPr="00736C3B">
        <w:t xml:space="preserve"> to </w:t>
      </w:r>
      <w:r w:rsidR="00AA101D" w:rsidRPr="00AA101D">
        <w:t xml:space="preserve">test out </w:t>
      </w:r>
      <w:r w:rsidR="001425A6">
        <w:t>items that have been transferred from paper to digital format, assess the performance of new items developed to take advantage of technology, and evaluate the mode effect of transitioning from paper to digital format.</w:t>
      </w:r>
      <w:r w:rsidR="0054472A">
        <w:t xml:space="preserve"> </w:t>
      </w:r>
      <w:r w:rsidR="00C563F1">
        <w:t xml:space="preserve">The purpose of the field test is to evaluate sampling and data collection procedures, new and legacy TIMSS items in the </w:t>
      </w:r>
      <w:proofErr w:type="spellStart"/>
      <w:r w:rsidR="00C563F1">
        <w:t>eTIMSS</w:t>
      </w:r>
      <w:proofErr w:type="spellEnd"/>
      <w:r w:rsidR="00C563F1">
        <w:t xml:space="preserve"> electronic platform, and student, teacher, and school questionnaires</w:t>
      </w:r>
      <w:r w:rsidR="00486787">
        <w:t xml:space="preserve"> in preparation for the main study in 2019</w:t>
      </w:r>
      <w:r w:rsidR="00F41662">
        <w:t>.</w:t>
      </w:r>
    </w:p>
    <w:p w14:paraId="153B2CD0" w14:textId="77777777" w:rsidR="00AA5BB5" w:rsidRPr="00736C3B" w:rsidRDefault="00AA5BB5" w:rsidP="0054472A">
      <w:pPr>
        <w:pStyle w:val="Heading8"/>
        <w:keepNext w:val="0"/>
        <w:widowControl w:val="0"/>
        <w:spacing w:after="120" w:line="276" w:lineRule="auto"/>
        <w:jc w:val="left"/>
      </w:pPr>
      <w:bookmarkStart w:id="7" w:name="_Toc119829984"/>
      <w:r w:rsidRPr="00736C3B">
        <w:lastRenderedPageBreak/>
        <w:t>B.5</w:t>
      </w:r>
      <w:r w:rsidRPr="00736C3B">
        <w:tab/>
        <w:t xml:space="preserve">Individuals Consulted on </w:t>
      </w:r>
      <w:r w:rsidR="00ED77A1">
        <w:t>Study</w:t>
      </w:r>
      <w:r w:rsidRPr="00736C3B">
        <w:t xml:space="preserve"> Design</w:t>
      </w:r>
      <w:bookmarkEnd w:id="7"/>
    </w:p>
    <w:p w14:paraId="1A32D545" w14:textId="77777777" w:rsidR="001A7635" w:rsidRPr="00736C3B" w:rsidRDefault="001A7635" w:rsidP="0054472A">
      <w:pPr>
        <w:pStyle w:val="N2-2ndBullet"/>
        <w:widowControl w:val="0"/>
        <w:tabs>
          <w:tab w:val="clear" w:pos="720"/>
        </w:tabs>
        <w:spacing w:after="120" w:line="276" w:lineRule="auto"/>
        <w:ind w:left="0" w:firstLine="0"/>
        <w:jc w:val="left"/>
      </w:pPr>
      <w:r>
        <w:t xml:space="preserve">Overall direction for TIMSS is provided by Dr. Stephen Provasnik, National Research Coordinator, </w:t>
      </w:r>
      <w:r w:rsidRPr="00736C3B">
        <w:t>National Center for Education Statistics</w:t>
      </w:r>
      <w:r w:rsidR="008925E5">
        <w:t xml:space="preserve"> (NCES)</w:t>
      </w:r>
      <w:r w:rsidRPr="00736C3B">
        <w:t>, U.S. Department of Education</w:t>
      </w:r>
      <w:r w:rsidR="008925E5">
        <w:t>, in consultation with a number of NCES statistical staff.</w:t>
      </w:r>
    </w:p>
    <w:p w14:paraId="2B2C8A44" w14:textId="77777777" w:rsidR="00AA5BB5" w:rsidRPr="00736C3B" w:rsidRDefault="00AA5BB5" w:rsidP="0054472A">
      <w:pPr>
        <w:pStyle w:val="P1-StandPara"/>
        <w:widowControl w:val="0"/>
        <w:spacing w:after="60" w:line="276" w:lineRule="auto"/>
        <w:ind w:firstLine="0"/>
        <w:jc w:val="left"/>
      </w:pPr>
      <w:r w:rsidRPr="00736C3B">
        <w:t>The following persons are responsible for the statistical design of TIMSS:</w:t>
      </w:r>
    </w:p>
    <w:p w14:paraId="66C11024" w14:textId="77777777" w:rsidR="00AA5BB5" w:rsidRDefault="009566D5" w:rsidP="0054472A">
      <w:pPr>
        <w:pStyle w:val="N2-2ndBullet"/>
        <w:widowControl w:val="0"/>
        <w:numPr>
          <w:ilvl w:val="0"/>
          <w:numId w:val="1"/>
        </w:numPr>
        <w:tabs>
          <w:tab w:val="num" w:pos="-72"/>
        </w:tabs>
        <w:spacing w:after="60" w:line="276" w:lineRule="auto"/>
        <w:ind w:left="1008" w:hanging="288"/>
        <w:jc w:val="left"/>
      </w:pPr>
      <w:r>
        <w:t>Pierre Foy</w:t>
      </w:r>
      <w:r w:rsidR="00ED77A1">
        <w:t xml:space="preserve">. </w:t>
      </w:r>
      <w:r w:rsidR="00AA5BB5" w:rsidRPr="00736C3B">
        <w:t>TIMSS International Study Center, Boston College (617-552-6253)</w:t>
      </w:r>
      <w:r w:rsidR="00BF43F9">
        <w:t>; and</w:t>
      </w:r>
    </w:p>
    <w:p w14:paraId="1795332F" w14:textId="77777777" w:rsidR="00AA5BB5" w:rsidRPr="00736C3B" w:rsidRDefault="007427FD" w:rsidP="0054472A">
      <w:pPr>
        <w:pStyle w:val="N2-2ndBullet"/>
        <w:widowControl w:val="0"/>
        <w:numPr>
          <w:ilvl w:val="0"/>
          <w:numId w:val="1"/>
        </w:numPr>
        <w:tabs>
          <w:tab w:val="num" w:pos="-72"/>
        </w:tabs>
        <w:spacing w:after="60" w:line="276" w:lineRule="auto"/>
        <w:ind w:left="1008" w:hanging="288"/>
        <w:jc w:val="left"/>
      </w:pPr>
      <w:r>
        <w:t xml:space="preserve">Sylvie </w:t>
      </w:r>
      <w:proofErr w:type="spellStart"/>
      <w:r>
        <w:t>LaRoche</w:t>
      </w:r>
      <w:proofErr w:type="spellEnd"/>
      <w:r w:rsidR="009566D5">
        <w:t xml:space="preserve">, </w:t>
      </w:r>
      <w:r w:rsidR="00ED77A1">
        <w:t>Statistics Canada (613-</w:t>
      </w:r>
      <w:r>
        <w:t>863</w:t>
      </w:r>
      <w:r w:rsidR="00ED77A1">
        <w:t>-</w:t>
      </w:r>
      <w:r>
        <w:t>9480</w:t>
      </w:r>
      <w:r w:rsidR="00ED77A1">
        <w:t>)</w:t>
      </w:r>
      <w:r w:rsidR="00BF43F9">
        <w:t>.</w:t>
      </w:r>
    </w:p>
    <w:p w14:paraId="51D96073" w14:textId="77777777" w:rsidR="00AA5BB5" w:rsidRPr="00736C3B" w:rsidRDefault="00AA5BB5" w:rsidP="0054472A">
      <w:pPr>
        <w:pStyle w:val="P1-StandPara"/>
        <w:widowControl w:val="0"/>
        <w:spacing w:after="60" w:line="276" w:lineRule="auto"/>
        <w:ind w:firstLine="0"/>
        <w:jc w:val="left"/>
      </w:pPr>
      <w:r w:rsidRPr="00736C3B">
        <w:t>Westat is the contractor responsible for sampling and data analysis:</w:t>
      </w:r>
    </w:p>
    <w:p w14:paraId="1B55F578" w14:textId="77777777" w:rsidR="00AA5BB5" w:rsidRPr="00736C3B" w:rsidRDefault="00783519" w:rsidP="0054472A">
      <w:pPr>
        <w:pStyle w:val="N2-2ndBullet"/>
        <w:widowControl w:val="0"/>
        <w:numPr>
          <w:ilvl w:val="0"/>
          <w:numId w:val="1"/>
        </w:numPr>
        <w:tabs>
          <w:tab w:val="num" w:pos="-72"/>
        </w:tabs>
        <w:spacing w:after="60" w:line="276" w:lineRule="auto"/>
        <w:ind w:left="1008" w:hanging="288"/>
        <w:jc w:val="left"/>
      </w:pPr>
      <w:r>
        <w:t xml:space="preserve">Chris </w:t>
      </w:r>
      <w:proofErr w:type="spellStart"/>
      <w:r>
        <w:t>Averett</w:t>
      </w:r>
      <w:proofErr w:type="spellEnd"/>
      <w:r w:rsidR="00AA5BB5" w:rsidRPr="00736C3B">
        <w:t>, Pr</w:t>
      </w:r>
      <w:r>
        <w:t>oject Director, Westat (301-314-2492</w:t>
      </w:r>
      <w:r w:rsidR="00AA5BB5" w:rsidRPr="00736C3B">
        <w:t>)</w:t>
      </w:r>
      <w:r w:rsidR="00BF43F9">
        <w:t>; and</w:t>
      </w:r>
    </w:p>
    <w:p w14:paraId="4BB6C054" w14:textId="77777777" w:rsidR="00AA5BB5" w:rsidRPr="00736C3B" w:rsidRDefault="00AA5BB5" w:rsidP="0054472A">
      <w:pPr>
        <w:pStyle w:val="N2-2ndBullet"/>
        <w:widowControl w:val="0"/>
        <w:numPr>
          <w:ilvl w:val="0"/>
          <w:numId w:val="1"/>
        </w:numPr>
        <w:tabs>
          <w:tab w:val="num" w:pos="-72"/>
        </w:tabs>
        <w:spacing w:after="60" w:line="276" w:lineRule="auto"/>
        <w:ind w:left="1008" w:hanging="288"/>
        <w:jc w:val="left"/>
      </w:pPr>
      <w:r w:rsidRPr="00736C3B">
        <w:t>David Ferraro, Senior Statistician, Westat (301-251-4261)</w:t>
      </w:r>
      <w:r w:rsidR="00BF43F9">
        <w:t>.</w:t>
      </w:r>
    </w:p>
    <w:p w14:paraId="3CFD3826" w14:textId="77777777" w:rsidR="00AA5BB5" w:rsidRPr="00736C3B" w:rsidRDefault="00AA5BB5" w:rsidP="0054472A">
      <w:pPr>
        <w:pStyle w:val="P1-StandPara"/>
        <w:widowControl w:val="0"/>
        <w:spacing w:after="60" w:line="276" w:lineRule="auto"/>
        <w:ind w:firstLine="0"/>
        <w:jc w:val="left"/>
      </w:pPr>
      <w:r w:rsidRPr="00736C3B">
        <w:t>Analysis and reporting will be performed by:</w:t>
      </w:r>
    </w:p>
    <w:p w14:paraId="595FD748" w14:textId="77777777" w:rsidR="00DF2B36" w:rsidRPr="009566D5" w:rsidRDefault="00DF2B36" w:rsidP="0054472A">
      <w:pPr>
        <w:pStyle w:val="N2-2ndBullet"/>
        <w:widowControl w:val="0"/>
        <w:numPr>
          <w:ilvl w:val="0"/>
          <w:numId w:val="1"/>
        </w:numPr>
        <w:tabs>
          <w:tab w:val="num" w:pos="-72"/>
        </w:tabs>
        <w:spacing w:after="60" w:line="276" w:lineRule="auto"/>
        <w:ind w:left="1008" w:hanging="288"/>
        <w:jc w:val="left"/>
      </w:pPr>
      <w:r>
        <w:t>National Center for Education Statistics, U.S. Department of Education;</w:t>
      </w:r>
    </w:p>
    <w:p w14:paraId="4CD2B7F4" w14:textId="77777777" w:rsidR="00AA5BB5" w:rsidRPr="009566D5" w:rsidRDefault="00AA5BB5" w:rsidP="0054472A">
      <w:pPr>
        <w:pStyle w:val="N2-2ndBullet"/>
        <w:widowControl w:val="0"/>
        <w:numPr>
          <w:ilvl w:val="0"/>
          <w:numId w:val="1"/>
        </w:numPr>
        <w:tabs>
          <w:tab w:val="num" w:pos="-72"/>
        </w:tabs>
        <w:spacing w:after="60" w:line="276" w:lineRule="auto"/>
        <w:ind w:left="1008" w:hanging="288"/>
        <w:jc w:val="left"/>
      </w:pPr>
      <w:r w:rsidRPr="009566D5">
        <w:t>TIMSS International Study Center, Boston College</w:t>
      </w:r>
      <w:r w:rsidR="00BF43F9">
        <w:t>;</w:t>
      </w:r>
      <w:r w:rsidR="00DF2B36">
        <w:t xml:space="preserve"> and</w:t>
      </w:r>
    </w:p>
    <w:p w14:paraId="4AE7DA77" w14:textId="77777777" w:rsidR="00DF2B36" w:rsidRPr="009566D5" w:rsidRDefault="009566D5" w:rsidP="0054472A">
      <w:pPr>
        <w:pStyle w:val="N2-2ndBullet"/>
        <w:widowControl w:val="0"/>
        <w:numPr>
          <w:ilvl w:val="0"/>
          <w:numId w:val="1"/>
        </w:numPr>
        <w:tabs>
          <w:tab w:val="num" w:pos="-72"/>
        </w:tabs>
        <w:spacing w:after="60" w:line="276" w:lineRule="auto"/>
        <w:ind w:left="1008" w:hanging="288"/>
        <w:jc w:val="left"/>
      </w:pPr>
      <w:r>
        <w:t>American Institutes for Research, under contract to Westat</w:t>
      </w:r>
      <w:r w:rsidR="00DF2B36">
        <w:t>.</w:t>
      </w:r>
    </w:p>
    <w:sectPr w:rsidR="00DF2B36" w:rsidRPr="009566D5" w:rsidSect="00821EB5">
      <w:footerReference w:type="default" r:id="rId11"/>
      <w:footerReference w:type="first" r:id="rId12"/>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6E167" w14:textId="77777777" w:rsidR="00B22FA8" w:rsidRDefault="00B22FA8" w:rsidP="00465DE7">
      <w:r>
        <w:separator/>
      </w:r>
    </w:p>
  </w:endnote>
  <w:endnote w:type="continuationSeparator" w:id="0">
    <w:p w14:paraId="73B78575" w14:textId="77777777" w:rsidR="00B22FA8" w:rsidRDefault="00B22FA8"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3035"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32D54C1A" w14:textId="77777777"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88FE7" w14:textId="77777777" w:rsidR="00773BF8" w:rsidRPr="00472A6F" w:rsidRDefault="00773BF8" w:rsidP="00465DE7">
    <w:pPr>
      <w:autoSpaceDE w:val="0"/>
      <w:autoSpaceDN w:val="0"/>
      <w:adjustRightInd w:val="0"/>
      <w:rPr>
        <w:rFonts w:eastAsiaTheme="minorHAnsi"/>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p>
  <w:p w14:paraId="2BF54119" w14:textId="77777777" w:rsidR="00773BF8" w:rsidRPr="00472A6F" w:rsidRDefault="00773BF8" w:rsidP="00465DE7">
    <w:pPr>
      <w:autoSpaceDE w:val="0"/>
      <w:autoSpaceDN w:val="0"/>
      <w:adjustRightInd w:val="0"/>
      <w:rPr>
        <w:rFonts w:eastAsiaTheme="minorHAnsi"/>
        <w:sz w:val="16"/>
        <w:szCs w:val="16"/>
      </w:rPr>
    </w:pPr>
    <w:proofErr w:type="gramStart"/>
    <w:r w:rsidRPr="00472A6F">
      <w:rPr>
        <w:rFonts w:eastAsiaTheme="minorHAnsi"/>
        <w:sz w:val="16"/>
        <w:szCs w:val="16"/>
      </w:rPr>
      <w:t>depending</w:t>
    </w:r>
    <w:proofErr w:type="gramEnd"/>
    <w:r w:rsidRPr="00472A6F">
      <w:rPr>
        <w:rFonts w:eastAsiaTheme="minorHAnsi"/>
        <w:sz w:val="16"/>
        <w:szCs w:val="16"/>
      </w:rPr>
      <w:t xml:space="preserve"> upon its selection probability for a second study, and whether or not it was selected for</w:t>
    </w:r>
  </w:p>
  <w:p w14:paraId="7ACF2E0D" w14:textId="77777777" w:rsidR="00773BF8" w:rsidRPr="00472A6F" w:rsidRDefault="00773BF8" w:rsidP="00465DE7">
    <w:pPr>
      <w:pStyle w:val="P1-StandPara"/>
      <w:spacing w:after="240" w:line="276" w:lineRule="auto"/>
      <w:ind w:firstLine="0"/>
      <w:jc w:val="left"/>
      <w:rPr>
        <w:sz w:val="16"/>
        <w:szCs w:val="16"/>
      </w:rPr>
    </w:pPr>
    <w:proofErr w:type="gramStart"/>
    <w:r w:rsidRPr="00472A6F">
      <w:rPr>
        <w:rFonts w:eastAsiaTheme="minorHAnsi"/>
        <w:sz w:val="16"/>
        <w:szCs w:val="16"/>
      </w:rPr>
      <w:t>that</w:t>
    </w:r>
    <w:proofErr w:type="gramEnd"/>
    <w:r w:rsidRPr="00472A6F">
      <w:rPr>
        <w:rFonts w:eastAsiaTheme="minorHAnsi"/>
        <w:sz w:val="16"/>
        <w:szCs w:val="16"/>
      </w:rPr>
      <w:t xml:space="preserve"> study.</w:t>
    </w:r>
  </w:p>
  <w:p w14:paraId="7926B4FC" w14:textId="77777777" w:rsidR="00773BF8" w:rsidRDefault="00773BF8">
    <w:pPr>
      <w:pStyle w:val="Footer"/>
    </w:pPr>
  </w:p>
  <w:p w14:paraId="5CFA28F2" w14:textId="77777777" w:rsidR="00773BF8" w:rsidRDefault="00773B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524000BF" w14:textId="77777777" w:rsidR="00773BF8" w:rsidRDefault="00B01586" w:rsidP="0054472A">
        <w:pPr>
          <w:pStyle w:val="Footer"/>
          <w:spacing w:line="240" w:lineRule="auto"/>
          <w:jc w:val="center"/>
        </w:pPr>
        <w:r>
          <w:fldChar w:fldCharType="begin"/>
        </w:r>
        <w:r>
          <w:instrText xml:space="preserve"> PAGE   \* MERGEFORMAT </w:instrText>
        </w:r>
        <w:r>
          <w:fldChar w:fldCharType="separate"/>
        </w:r>
        <w:r w:rsidR="00EC6D44">
          <w:rPr>
            <w:noProof/>
          </w:rPr>
          <w:t>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73E6C88D" w14:textId="77777777" w:rsidR="00B01586" w:rsidRDefault="00B01586" w:rsidP="00F874E9">
        <w:pPr>
          <w:pStyle w:val="Footer"/>
          <w:jc w:val="center"/>
        </w:pPr>
        <w:r>
          <w:fldChar w:fldCharType="begin"/>
        </w:r>
        <w:r>
          <w:instrText xml:space="preserve"> PAGE   \* MERGEFORMAT </w:instrText>
        </w:r>
        <w:r>
          <w:fldChar w:fldCharType="separate"/>
        </w:r>
        <w:r w:rsidR="00EC6D4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8BDBC" w14:textId="77777777" w:rsidR="00B22FA8" w:rsidRDefault="00B22FA8" w:rsidP="00465DE7">
      <w:r>
        <w:separator/>
      </w:r>
    </w:p>
  </w:footnote>
  <w:footnote w:type="continuationSeparator" w:id="0">
    <w:p w14:paraId="48AECF02" w14:textId="77777777" w:rsidR="00B22FA8" w:rsidRDefault="00B22FA8" w:rsidP="00465DE7">
      <w:r>
        <w:continuationSeparator/>
      </w:r>
    </w:p>
  </w:footnote>
  <w:footnote w:id="1">
    <w:p w14:paraId="78CC1F06" w14:textId="77777777" w:rsidR="005A46B4" w:rsidRPr="00821EB5" w:rsidRDefault="005A46B4" w:rsidP="005A46B4">
      <w:pPr>
        <w:autoSpaceDE w:val="0"/>
        <w:autoSpaceDN w:val="0"/>
        <w:adjustRightInd w:val="0"/>
        <w:rPr>
          <w:sz w:val="18"/>
          <w:szCs w:val="18"/>
        </w:rPr>
      </w:pPr>
      <w:r w:rsidRPr="00821EB5">
        <w:rPr>
          <w:rStyle w:val="FootnoteReference"/>
          <w:sz w:val="18"/>
          <w:szCs w:val="18"/>
        </w:rPr>
        <w:footnoteRef/>
      </w:r>
      <w:r w:rsidRPr="00821EB5">
        <w:rPr>
          <w:sz w:val="18"/>
          <w:szCs w:val="18"/>
        </w:rPr>
        <w:t xml:space="preserve"> </w:t>
      </w:r>
      <w:proofErr w:type="spellStart"/>
      <w:r w:rsidRPr="00821EB5">
        <w:rPr>
          <w:rFonts w:eastAsiaTheme="minorHAnsi"/>
          <w:sz w:val="18"/>
          <w:szCs w:val="18"/>
        </w:rPr>
        <w:t>Keyfitz</w:t>
      </w:r>
      <w:proofErr w:type="spellEnd"/>
      <w:r w:rsidRPr="00821EB5">
        <w:rPr>
          <w:rFonts w:eastAsiaTheme="minorHAnsi"/>
          <w:sz w:val="18"/>
          <w:szCs w:val="18"/>
        </w:rPr>
        <w:t xml:space="preserve">, N. (1951). Sampling with Probabilities Proportional to Size: Adjustment for Changes in Probabilities. </w:t>
      </w:r>
      <w:r w:rsidRPr="00821EB5">
        <w:rPr>
          <w:rFonts w:eastAsiaTheme="minorHAnsi"/>
          <w:i/>
          <w:iCs/>
          <w:sz w:val="18"/>
          <w:szCs w:val="18"/>
        </w:rPr>
        <w:t>Journal of the American Statistical Association</w:t>
      </w:r>
      <w:r w:rsidRPr="00821EB5">
        <w:rPr>
          <w:rFonts w:eastAsiaTheme="minorHAnsi"/>
          <w:sz w:val="18"/>
          <w:szCs w:val="18"/>
        </w:rPr>
        <w:t>, 46, 105-109.</w:t>
      </w:r>
    </w:p>
  </w:footnote>
  <w:footnote w:id="2">
    <w:p w14:paraId="49CF17A0" w14:textId="77777777" w:rsidR="005A46B4" w:rsidRPr="00821EB5" w:rsidRDefault="005A46B4" w:rsidP="005A46B4">
      <w:pPr>
        <w:pStyle w:val="FootnoteText"/>
        <w:rPr>
          <w:sz w:val="18"/>
          <w:szCs w:val="18"/>
        </w:rPr>
      </w:pPr>
      <w:r w:rsidRPr="00821EB5">
        <w:rPr>
          <w:rStyle w:val="FootnoteReference"/>
          <w:sz w:val="18"/>
          <w:szCs w:val="18"/>
        </w:rPr>
        <w:footnoteRef/>
      </w:r>
      <w:r w:rsidRPr="00821EB5">
        <w:rPr>
          <w:sz w:val="18"/>
          <w:szCs w:val="18"/>
        </w:rPr>
        <w:t xml:space="preserve"> Chowdhury, S., Chu, A., &amp; Kaufman, S. (2000). Minimizing overlap in NCES surveys. Proceedings of the Survey Methods Research Section, American Statistical Association, 174-179. Retrieved from </w:t>
      </w:r>
      <w:r w:rsidRPr="00821EB5">
        <w:rPr>
          <w:bCs/>
          <w:color w:val="0066FF"/>
          <w:sz w:val="18"/>
          <w:szCs w:val="18"/>
        </w:rPr>
        <w:t>http://www.amstat.org/sections/srms/ proceedings/papers/2000_025.pdf</w:t>
      </w:r>
      <w:r w:rsidRPr="00821EB5">
        <w:rPr>
          <w:b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1"/>
  </w:num>
  <w:num w:numId="7">
    <w:abstractNumId w:val="6"/>
  </w:num>
  <w:num w:numId="8">
    <w:abstractNumId w:val="3"/>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363F"/>
    <w:rsid w:val="0001678B"/>
    <w:rsid w:val="000603AF"/>
    <w:rsid w:val="00070D23"/>
    <w:rsid w:val="00084A9D"/>
    <w:rsid w:val="000918E6"/>
    <w:rsid w:val="0009736B"/>
    <w:rsid w:val="000C2ED3"/>
    <w:rsid w:val="000D2917"/>
    <w:rsid w:val="000E231C"/>
    <w:rsid w:val="000E2BE6"/>
    <w:rsid w:val="000E4B9E"/>
    <w:rsid w:val="000F3C1F"/>
    <w:rsid w:val="000F4FAB"/>
    <w:rsid w:val="00107E00"/>
    <w:rsid w:val="00111908"/>
    <w:rsid w:val="00112158"/>
    <w:rsid w:val="00116E46"/>
    <w:rsid w:val="0012695F"/>
    <w:rsid w:val="00127CF3"/>
    <w:rsid w:val="00140004"/>
    <w:rsid w:val="001425A6"/>
    <w:rsid w:val="001428BA"/>
    <w:rsid w:val="00166FB1"/>
    <w:rsid w:val="00183A74"/>
    <w:rsid w:val="00190F9E"/>
    <w:rsid w:val="001A259F"/>
    <w:rsid w:val="001A5204"/>
    <w:rsid w:val="001A55D4"/>
    <w:rsid w:val="001A7635"/>
    <w:rsid w:val="001B0D41"/>
    <w:rsid w:val="001C1559"/>
    <w:rsid w:val="001C1FAD"/>
    <w:rsid w:val="001D36E8"/>
    <w:rsid w:val="001E0D90"/>
    <w:rsid w:val="001E571F"/>
    <w:rsid w:val="001F0D8A"/>
    <w:rsid w:val="00234077"/>
    <w:rsid w:val="00235A66"/>
    <w:rsid w:val="00236780"/>
    <w:rsid w:val="00251236"/>
    <w:rsid w:val="0026122A"/>
    <w:rsid w:val="00264847"/>
    <w:rsid w:val="002904D8"/>
    <w:rsid w:val="002A467E"/>
    <w:rsid w:val="002B2A24"/>
    <w:rsid w:val="002C72D1"/>
    <w:rsid w:val="002E026A"/>
    <w:rsid w:val="002E6195"/>
    <w:rsid w:val="00323F75"/>
    <w:rsid w:val="00324149"/>
    <w:rsid w:val="00337E3A"/>
    <w:rsid w:val="00345EF8"/>
    <w:rsid w:val="00347AB2"/>
    <w:rsid w:val="0035664E"/>
    <w:rsid w:val="00362F7D"/>
    <w:rsid w:val="00373459"/>
    <w:rsid w:val="00383A25"/>
    <w:rsid w:val="0039658C"/>
    <w:rsid w:val="003C12DA"/>
    <w:rsid w:val="003F0FEC"/>
    <w:rsid w:val="003F1A50"/>
    <w:rsid w:val="003F6566"/>
    <w:rsid w:val="0040138C"/>
    <w:rsid w:val="00406209"/>
    <w:rsid w:val="00424D2C"/>
    <w:rsid w:val="00431591"/>
    <w:rsid w:val="00444655"/>
    <w:rsid w:val="00463584"/>
    <w:rsid w:val="00465357"/>
    <w:rsid w:val="00465DE7"/>
    <w:rsid w:val="00472A6F"/>
    <w:rsid w:val="00474C61"/>
    <w:rsid w:val="004776B1"/>
    <w:rsid w:val="00486787"/>
    <w:rsid w:val="0049395C"/>
    <w:rsid w:val="004C6907"/>
    <w:rsid w:val="004D3A1E"/>
    <w:rsid w:val="004F2C98"/>
    <w:rsid w:val="004F6C8B"/>
    <w:rsid w:val="0050013D"/>
    <w:rsid w:val="005020E3"/>
    <w:rsid w:val="005155F5"/>
    <w:rsid w:val="00523787"/>
    <w:rsid w:val="00537E17"/>
    <w:rsid w:val="005430EA"/>
    <w:rsid w:val="0054472A"/>
    <w:rsid w:val="00552C8E"/>
    <w:rsid w:val="00565452"/>
    <w:rsid w:val="005725BA"/>
    <w:rsid w:val="00576D4C"/>
    <w:rsid w:val="00584910"/>
    <w:rsid w:val="00594B61"/>
    <w:rsid w:val="005A46B4"/>
    <w:rsid w:val="005C7518"/>
    <w:rsid w:val="005F12F1"/>
    <w:rsid w:val="006013AE"/>
    <w:rsid w:val="0060518C"/>
    <w:rsid w:val="0061386A"/>
    <w:rsid w:val="00616D46"/>
    <w:rsid w:val="00620BBD"/>
    <w:rsid w:val="00644686"/>
    <w:rsid w:val="006520EE"/>
    <w:rsid w:val="00653CD5"/>
    <w:rsid w:val="006656EA"/>
    <w:rsid w:val="006716BC"/>
    <w:rsid w:val="006740C0"/>
    <w:rsid w:val="00676436"/>
    <w:rsid w:val="00677683"/>
    <w:rsid w:val="00682261"/>
    <w:rsid w:val="00683AD9"/>
    <w:rsid w:val="00683DB5"/>
    <w:rsid w:val="006848AD"/>
    <w:rsid w:val="0068565C"/>
    <w:rsid w:val="0069339D"/>
    <w:rsid w:val="006A3FC0"/>
    <w:rsid w:val="006B12BB"/>
    <w:rsid w:val="006B2613"/>
    <w:rsid w:val="006B74C1"/>
    <w:rsid w:val="006D261F"/>
    <w:rsid w:val="006E15DF"/>
    <w:rsid w:val="006F0AC9"/>
    <w:rsid w:val="007021E7"/>
    <w:rsid w:val="00707F55"/>
    <w:rsid w:val="00732D73"/>
    <w:rsid w:val="00736C3B"/>
    <w:rsid w:val="007427FD"/>
    <w:rsid w:val="007540E3"/>
    <w:rsid w:val="00756748"/>
    <w:rsid w:val="0076178B"/>
    <w:rsid w:val="00765070"/>
    <w:rsid w:val="007655E3"/>
    <w:rsid w:val="00767393"/>
    <w:rsid w:val="0077031E"/>
    <w:rsid w:val="007716C4"/>
    <w:rsid w:val="00773BF8"/>
    <w:rsid w:val="007751D8"/>
    <w:rsid w:val="007816B1"/>
    <w:rsid w:val="00783519"/>
    <w:rsid w:val="00797905"/>
    <w:rsid w:val="007A4EBA"/>
    <w:rsid w:val="007A74C3"/>
    <w:rsid w:val="007C5DD9"/>
    <w:rsid w:val="008044D4"/>
    <w:rsid w:val="008061CB"/>
    <w:rsid w:val="00811805"/>
    <w:rsid w:val="00815099"/>
    <w:rsid w:val="00821EB5"/>
    <w:rsid w:val="008254F6"/>
    <w:rsid w:val="00863A57"/>
    <w:rsid w:val="00871C07"/>
    <w:rsid w:val="0088266D"/>
    <w:rsid w:val="008925E5"/>
    <w:rsid w:val="008A0033"/>
    <w:rsid w:val="008A07B8"/>
    <w:rsid w:val="008A1ADF"/>
    <w:rsid w:val="008A1FA9"/>
    <w:rsid w:val="008C100C"/>
    <w:rsid w:val="008E53DB"/>
    <w:rsid w:val="008F58C0"/>
    <w:rsid w:val="009048CE"/>
    <w:rsid w:val="009075C5"/>
    <w:rsid w:val="00920674"/>
    <w:rsid w:val="009321C6"/>
    <w:rsid w:val="0093743A"/>
    <w:rsid w:val="00940A2E"/>
    <w:rsid w:val="009529CC"/>
    <w:rsid w:val="009566D5"/>
    <w:rsid w:val="00973659"/>
    <w:rsid w:val="00981B35"/>
    <w:rsid w:val="009A2E8D"/>
    <w:rsid w:val="009A48E1"/>
    <w:rsid w:val="009B2BCA"/>
    <w:rsid w:val="009C77D6"/>
    <w:rsid w:val="009D06C4"/>
    <w:rsid w:val="009F25C8"/>
    <w:rsid w:val="009F364C"/>
    <w:rsid w:val="009F5D42"/>
    <w:rsid w:val="00A03925"/>
    <w:rsid w:val="00A068ED"/>
    <w:rsid w:val="00A14BBE"/>
    <w:rsid w:val="00A22E18"/>
    <w:rsid w:val="00A42BD9"/>
    <w:rsid w:val="00A6171B"/>
    <w:rsid w:val="00A66F33"/>
    <w:rsid w:val="00A71FCB"/>
    <w:rsid w:val="00A81A14"/>
    <w:rsid w:val="00A83225"/>
    <w:rsid w:val="00A83E6D"/>
    <w:rsid w:val="00AA101D"/>
    <w:rsid w:val="00AA5BB5"/>
    <w:rsid w:val="00AB0265"/>
    <w:rsid w:val="00AB0A34"/>
    <w:rsid w:val="00AC49E4"/>
    <w:rsid w:val="00AC784F"/>
    <w:rsid w:val="00AE2FC2"/>
    <w:rsid w:val="00B01586"/>
    <w:rsid w:val="00B0187F"/>
    <w:rsid w:val="00B12878"/>
    <w:rsid w:val="00B12A6C"/>
    <w:rsid w:val="00B22FA8"/>
    <w:rsid w:val="00B51DE4"/>
    <w:rsid w:val="00B56FAF"/>
    <w:rsid w:val="00B63A83"/>
    <w:rsid w:val="00B74171"/>
    <w:rsid w:val="00B92706"/>
    <w:rsid w:val="00BA1E71"/>
    <w:rsid w:val="00BA3F73"/>
    <w:rsid w:val="00BB54AA"/>
    <w:rsid w:val="00BE25C2"/>
    <w:rsid w:val="00BF43F9"/>
    <w:rsid w:val="00C03897"/>
    <w:rsid w:val="00C13CC9"/>
    <w:rsid w:val="00C2085A"/>
    <w:rsid w:val="00C2686F"/>
    <w:rsid w:val="00C563F1"/>
    <w:rsid w:val="00C63893"/>
    <w:rsid w:val="00C64DC7"/>
    <w:rsid w:val="00C71E2F"/>
    <w:rsid w:val="00C91735"/>
    <w:rsid w:val="00CB4BAF"/>
    <w:rsid w:val="00CB7630"/>
    <w:rsid w:val="00CD5D03"/>
    <w:rsid w:val="00CE0024"/>
    <w:rsid w:val="00CE415B"/>
    <w:rsid w:val="00CE4650"/>
    <w:rsid w:val="00D11F42"/>
    <w:rsid w:val="00D12190"/>
    <w:rsid w:val="00D40F06"/>
    <w:rsid w:val="00D86F29"/>
    <w:rsid w:val="00DA0C3B"/>
    <w:rsid w:val="00DA4951"/>
    <w:rsid w:val="00DA4EE1"/>
    <w:rsid w:val="00DB2630"/>
    <w:rsid w:val="00DF2B36"/>
    <w:rsid w:val="00DF74C8"/>
    <w:rsid w:val="00E021BB"/>
    <w:rsid w:val="00E15837"/>
    <w:rsid w:val="00E15917"/>
    <w:rsid w:val="00E16020"/>
    <w:rsid w:val="00E200FD"/>
    <w:rsid w:val="00E31138"/>
    <w:rsid w:val="00E57C37"/>
    <w:rsid w:val="00E61FA5"/>
    <w:rsid w:val="00E6381C"/>
    <w:rsid w:val="00E80162"/>
    <w:rsid w:val="00E80F63"/>
    <w:rsid w:val="00E83135"/>
    <w:rsid w:val="00E85F83"/>
    <w:rsid w:val="00EA0949"/>
    <w:rsid w:val="00EA7D23"/>
    <w:rsid w:val="00EB39FD"/>
    <w:rsid w:val="00EB44FE"/>
    <w:rsid w:val="00EC6D44"/>
    <w:rsid w:val="00ED488F"/>
    <w:rsid w:val="00ED77A1"/>
    <w:rsid w:val="00F106F9"/>
    <w:rsid w:val="00F27B69"/>
    <w:rsid w:val="00F32383"/>
    <w:rsid w:val="00F35A57"/>
    <w:rsid w:val="00F36B51"/>
    <w:rsid w:val="00F41662"/>
    <w:rsid w:val="00F43786"/>
    <w:rsid w:val="00F501DD"/>
    <w:rsid w:val="00F63CD5"/>
    <w:rsid w:val="00F65C60"/>
    <w:rsid w:val="00F874E9"/>
    <w:rsid w:val="00F91B66"/>
    <w:rsid w:val="00FA0FBE"/>
    <w:rsid w:val="00FB09D9"/>
    <w:rsid w:val="00FB5681"/>
    <w:rsid w:val="00FC0C2E"/>
    <w:rsid w:val="00FC323B"/>
    <w:rsid w:val="00FC39FE"/>
    <w:rsid w:val="00FD521C"/>
    <w:rsid w:val="00FE5B95"/>
    <w:rsid w:val="00FE776D"/>
    <w:rsid w:val="00FF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7B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2A59-AEF2-4579-BE24-AA5B4484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12</cp:revision>
  <cp:lastPrinted>2017-05-24T18:03:00Z</cp:lastPrinted>
  <dcterms:created xsi:type="dcterms:W3CDTF">2017-05-26T12:30:00Z</dcterms:created>
  <dcterms:modified xsi:type="dcterms:W3CDTF">2017-06-02T21:27:00Z</dcterms:modified>
</cp:coreProperties>
</file>