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bookmarkStart w:id="1" w:name="_Toc485037259" w:displacedByCustomXml="next"/>
    <w:bookmarkStart w:id="2" w:name="_Toc485022263" w:displacedByCustomXml="next"/>
    <w:bookmarkStart w:id="3" w:name="_Toc509825651" w:displacedByCustomXml="next"/>
    <w:sdt>
      <w:sdtPr>
        <w:rPr>
          <w:rFonts w:eastAsiaTheme="minorHAnsi" w:cstheme="minorBidi"/>
          <w:b w:val="0"/>
          <w:bCs w:val="0"/>
          <w:noProof/>
          <w:color w:val="auto"/>
          <w:sz w:val="22"/>
          <w:szCs w:val="22"/>
        </w:rPr>
        <w:id w:val="37707067"/>
        <w:docPartObj>
          <w:docPartGallery w:val="Cover Pages"/>
        </w:docPartObj>
      </w:sdtPr>
      <w:sdtEndPr>
        <w:rPr>
          <w:noProof w:val="0"/>
        </w:rPr>
      </w:sdtEndPr>
      <w:sdtContent>
        <w:p w14:paraId="3176B142" w14:textId="31E9F961" w:rsidR="00D001E4" w:rsidRDefault="00ED5EC3" w:rsidP="009E304F">
          <w:pPr>
            <w:pStyle w:val="Heading1"/>
            <w:rPr>
              <w:noProof/>
            </w:rPr>
          </w:pPr>
          <w:r>
            <w:rPr>
              <w:noProof/>
            </w:rPr>
            <w:drawing>
              <wp:anchor distT="0" distB="0" distL="114300" distR="114300" simplePos="0" relativeHeight="251675647" behindDoc="0" locked="0" layoutInCell="1" allowOverlap="1" wp14:anchorId="0C07B05B" wp14:editId="75798C9B">
                <wp:simplePos x="0" y="0"/>
                <wp:positionH relativeFrom="column">
                  <wp:posOffset>6350</wp:posOffset>
                </wp:positionH>
                <wp:positionV relativeFrom="paragraph">
                  <wp:posOffset>69850</wp:posOffset>
                </wp:positionV>
                <wp:extent cx="3175000" cy="609600"/>
                <wp:effectExtent l="0" t="0" r="6350" b="0"/>
                <wp:wrapThrough wrapText="bothSides">
                  <wp:wrapPolygon edited="0">
                    <wp:start x="0" y="0"/>
                    <wp:lineTo x="0" y="20925"/>
                    <wp:lineTo x="21514" y="20925"/>
                    <wp:lineTo x="21514" y="0"/>
                    <wp:lineTo x="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0" cstate="print"/>
                        <a:stretch>
                          <a:fillRect/>
                        </a:stretch>
                      </pic:blipFill>
                      <pic:spPr>
                        <a:xfrm>
                          <a:off x="0" y="0"/>
                          <a:ext cx="3175000" cy="609600"/>
                        </a:xfrm>
                        <a:prstGeom prst="rect">
                          <a:avLst/>
                        </a:prstGeom>
                      </pic:spPr>
                    </pic:pic>
                  </a:graphicData>
                </a:graphic>
              </wp:anchor>
            </w:drawing>
          </w:r>
          <w:r w:rsidR="00711414">
            <w:rPr>
              <w:noProof/>
            </w:rPr>
            <mc:AlternateContent>
              <mc:Choice Requires="wps">
                <w:drawing>
                  <wp:anchor distT="0" distB="0" distL="114300" distR="114300" simplePos="0" relativeHeight="251676672" behindDoc="1" locked="0" layoutInCell="1" allowOverlap="1" wp14:anchorId="2E35A02B" wp14:editId="7810C185">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44A4748" id="Rectangle 27" o:spid="_x0000_s1026"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fillcolor="#0c95d3" stroked="f" strokecolor="#f2f2f2 [3041]" strokeweight="3pt">
                    <v:shadow color="#50191f [1608]" opacity=".5" offset="1pt"/>
                    <w10:wrap type="through"/>
                  </v:rect>
                </w:pict>
              </mc:Fallback>
            </mc:AlternateContent>
          </w:r>
          <w:r w:rsidR="00711414">
            <w:rPr>
              <w:noProof/>
            </w:rPr>
            <mc:AlternateContent>
              <mc:Choice Requires="wps">
                <w:drawing>
                  <wp:anchor distT="0" distB="0" distL="114300" distR="114300" simplePos="0" relativeHeight="251678720" behindDoc="0" locked="0" layoutInCell="1" allowOverlap="1" wp14:anchorId="4B2ACA8B" wp14:editId="43A92610">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2E32D18" id="_x0000_t32" coordsize="21600,21600" o:spt="32" o:oned="t" path="m,l21600,21600e" filled="f">
                    <v:path arrowok="t" fillok="f" o:connecttype="none"/>
                    <o:lock v:ext="edit" shapetype="t"/>
                  </v:shapetype>
                  <v:shape id="AutoShape 28" o:spid="_x0000_s1026" type="#_x0000_t32" style="position:absolute;margin-left:-35.5pt;margin-top:66pt;width:540pt;height:0;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strokecolor="#7e8e9a">
                    <w10:wrap type="square" anchorx="margin" anchory="margin"/>
                  </v:shape>
                </w:pict>
              </mc:Fallback>
            </mc:AlternateContent>
          </w:r>
          <w:bookmarkEnd w:id="3"/>
          <w:bookmarkEnd w:id="2"/>
          <w:bookmarkEnd w:id="1"/>
        </w:p>
        <w:p w14:paraId="317AEE58" w14:textId="77777777" w:rsidR="00041909" w:rsidRDefault="001F3A8F" w:rsidP="00D928FD">
          <w:pPr>
            <w:ind w:left="1080"/>
          </w:pPr>
          <w:r>
            <w:rPr>
              <w:noProof/>
            </w:rPr>
            <w:softHyphen/>
          </w:r>
          <w:r>
            <w:rPr>
              <w:noProof/>
            </w:rPr>
            <w:softHyphen/>
          </w:r>
          <w:r>
            <w:rPr>
              <w:noProof/>
            </w:rPr>
            <w:softHyphen/>
          </w:r>
        </w:p>
      </w:sdtContent>
    </w:sdt>
    <w:p w14:paraId="541676BE" w14:textId="77777777" w:rsidR="00D928FD" w:rsidRDefault="00D928FD" w:rsidP="00D928FD"/>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14:paraId="7CD62984" w14:textId="2E57BB0A" w:rsidR="00711414" w:rsidRDefault="00EB5E27" w:rsidP="00711414">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A for Nuclear Fuel Data Survey (Form GC-859)</w:t>
          </w:r>
        </w:p>
      </w:sdtContent>
    </w:sdt>
    <w:p w14:paraId="25957138" w14:textId="77777777" w:rsidR="00ED5EC3" w:rsidRDefault="00ED5EC3" w:rsidP="00D928FD"/>
    <w:p w14:paraId="0B028A1D" w14:textId="40BACC83" w:rsidR="00711414" w:rsidRPr="00711414" w:rsidRDefault="0059212D" w:rsidP="00D928FD">
      <w:pPr>
        <w:rPr>
          <w:b/>
          <w:sz w:val="36"/>
          <w:szCs w:val="36"/>
        </w:rPr>
      </w:pPr>
      <w:r>
        <w:rPr>
          <w:noProof/>
        </w:rPr>
        <mc:AlternateContent>
          <mc:Choice Requires="wps">
            <w:drawing>
              <wp:anchor distT="0" distB="0" distL="114300" distR="114300" simplePos="0" relativeHeight="251693056" behindDoc="0" locked="0" layoutInCell="1" allowOverlap="1" wp14:anchorId="4B261F69" wp14:editId="108FD2B1">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A3F98" w14:textId="3ACED9D0" w:rsidR="00634F09" w:rsidRPr="0059212D" w:rsidRDefault="00634F09" w:rsidP="00FB6BF3">
                            <w:pPr>
                              <w:rPr>
                                <w:i/>
                                <w:sz w:val="28"/>
                                <w:szCs w:val="28"/>
                              </w:rPr>
                            </w:pPr>
                            <w:r w:rsidRPr="0059212D">
                              <w:rPr>
                                <w:i/>
                                <w:sz w:val="28"/>
                                <w:szCs w:val="28"/>
                              </w:rPr>
                              <w:t xml:space="preserve">Form </w:t>
                            </w:r>
                            <w:r w:rsidRPr="003033FB">
                              <w:rPr>
                                <w:i/>
                                <w:sz w:val="28"/>
                                <w:szCs w:val="28"/>
                              </w:rPr>
                              <w:t>GC-859</w:t>
                            </w:r>
                            <w:r w:rsidRPr="0059212D">
                              <w:rPr>
                                <w:i/>
                                <w:sz w:val="28"/>
                                <w:szCs w:val="28"/>
                              </w:rPr>
                              <w:t xml:space="preserve">, </w:t>
                            </w:r>
                            <w:r w:rsidRPr="003033FB">
                              <w:rPr>
                                <w:i/>
                                <w:sz w:val="28"/>
                                <w:szCs w:val="28"/>
                              </w:rPr>
                              <w:t>Nuclear Fuel Data Survey</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0;margin-top:231.75pt;width:474pt;height:267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" filled="f" stroked="f">
                <v:textbox inset="0">
                  <w:txbxContent>
                    <w:p w14:paraId="15BA3F98" w14:textId="3ACED9D0" w:rsidR="00634F09" w:rsidRPr="0059212D" w:rsidRDefault="00634F09" w:rsidP="00FB6BF3">
                      <w:pPr>
                        <w:rPr>
                          <w:i/>
                          <w:sz w:val="28"/>
                          <w:szCs w:val="28"/>
                        </w:rPr>
                      </w:pPr>
                      <w:r w:rsidRPr="0059212D">
                        <w:rPr>
                          <w:i/>
                          <w:sz w:val="28"/>
                          <w:szCs w:val="28"/>
                        </w:rPr>
                        <w:t xml:space="preserve">Form </w:t>
                      </w:r>
                      <w:r w:rsidRPr="003033FB">
                        <w:rPr>
                          <w:i/>
                          <w:sz w:val="28"/>
                          <w:szCs w:val="28"/>
                        </w:rPr>
                        <w:t>GC-859</w:t>
                      </w:r>
                      <w:r w:rsidRPr="0059212D">
                        <w:rPr>
                          <w:i/>
                          <w:sz w:val="28"/>
                          <w:szCs w:val="28"/>
                        </w:rPr>
                        <w:t xml:space="preserve">, </w:t>
                      </w:r>
                      <w:r w:rsidRPr="003033FB">
                        <w:rPr>
                          <w:i/>
                          <w:sz w:val="28"/>
                          <w:szCs w:val="28"/>
                        </w:rPr>
                        <w:t>Nuclear Fuel Data Survey</w:t>
                      </w:r>
                    </w:p>
                  </w:txbxContent>
                </v:textbox>
                <w10:wrap type="square" anchorx="margin" anchory="margin"/>
              </v:shape>
            </w:pict>
          </mc:Fallback>
        </mc:AlternateContent>
      </w:r>
      <w:r w:rsidR="00711414" w:rsidRPr="00711414">
        <w:rPr>
          <w:rFonts w:ascii="Times New Roman" w:hAnsi="Times New Roman" w:cs="Times New Roman"/>
          <w:b/>
          <w:sz w:val="36"/>
          <w:szCs w:val="36"/>
        </w:rPr>
        <w:t>OMB No. 1905-0</w:t>
      </w:r>
      <w:r w:rsidR="004740B6">
        <w:rPr>
          <w:rFonts w:ascii="Times New Roman" w:hAnsi="Times New Roman" w:cs="Times New Roman"/>
          <w:b/>
          <w:sz w:val="36"/>
          <w:szCs w:val="36"/>
        </w:rPr>
        <w:t>287</w:t>
      </w:r>
    </w:p>
    <w:p w14:paraId="7B79240B" w14:textId="77777777" w:rsidR="001F3A8F" w:rsidRPr="00711414" w:rsidRDefault="00EE2CAF" w:rsidP="00711414">
      <w:pPr>
        <w:rPr>
          <w:i/>
          <w:sz w:val="28"/>
          <w:szCs w:val="28"/>
        </w:rPr>
      </w:pPr>
      <w:r>
        <w:rPr>
          <w:noProof/>
        </w:rPr>
        <w:lastRenderedPageBreak/>
        <mc:AlternateContent>
          <mc:Choice Requires="wps">
            <w:drawing>
              <wp:anchor distT="0" distB="0" distL="114300" distR="114300" simplePos="0" relativeHeight="251681792" behindDoc="0" locked="0" layoutInCell="1" allowOverlap="1" wp14:anchorId="78929814" wp14:editId="2AE137EB">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0805A" w14:textId="202FD28E" w:rsidR="00634F09" w:rsidRPr="009818F9" w:rsidRDefault="003A6B69">
                            <w:pPr>
                              <w:rPr>
                                <w:color w:val="A6A6A6" w:themeColor="background1" w:themeShade="A6"/>
                                <w:sz w:val="36"/>
                              </w:rPr>
                            </w:pPr>
                            <w:r>
                              <w:rPr>
                                <w:color w:val="A6A6A6" w:themeColor="background1" w:themeShade="A6"/>
                                <w:sz w:val="36"/>
                              </w:rPr>
                              <w:t>March 2018</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filled="f" stroked="f">
                <v:textbox style="mso-fit-shape-to-text:t" inset="0">
                  <w:txbxContent>
                    <w:p w14:paraId="4C80805A" w14:textId="202FD28E" w:rsidR="00634F09" w:rsidRPr="009818F9" w:rsidRDefault="003A6B69">
                      <w:pPr>
                        <w:rPr>
                          <w:color w:val="A6A6A6" w:themeColor="background1" w:themeShade="A6"/>
                          <w:sz w:val="36"/>
                        </w:rPr>
                      </w:pPr>
                      <w:r>
                        <w:rPr>
                          <w:color w:val="A6A6A6" w:themeColor="background1" w:themeShade="A6"/>
                          <w:sz w:val="36"/>
                        </w:rPr>
                        <w:t>March 2018</w:t>
                      </w:r>
                    </w:p>
                  </w:txbxContent>
                </v:textbox>
                <w10:wrap type="square" anchorx="margin" anchory="margin"/>
              </v:shape>
            </w:pict>
          </mc:Fallback>
        </mc:AlternateContent>
      </w:r>
      <w:r>
        <w:rPr>
          <w:noProof/>
        </w:rPr>
        <mc:AlternateContent>
          <mc:Choice Requires="wps">
            <w:drawing>
              <wp:anchor distT="0" distB="0" distL="114300" distR="114300" simplePos="0" relativeHeight="251689984" behindDoc="1" locked="0" layoutInCell="1" allowOverlap="1" wp14:anchorId="1D2B0791" wp14:editId="16CE0D4F">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B1844C9" id="Rectangle 34" o:spid="_x0000_s1026"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fillcolor="#0c95d3" stroked="f" strokecolor="#f2f2f2 [3041]" strokeweight="3pt">
                <v:shadow color="#50191f [1608]" opacity=".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80768" behindDoc="0" locked="0" layoutInCell="1" allowOverlap="1" wp14:anchorId="79E15C0C" wp14:editId="55953C15">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F0B07" w14:textId="77777777" w:rsidR="00634F09" w:rsidRPr="00AA3D91" w:rsidRDefault="00634F09" w:rsidP="00D001E4">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28" type="#_x0000_t202"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filled="f" stroked="f">
                <v:textbox inset="0">
                  <w:txbxContent>
                    <w:p w14:paraId="4CEF0B07" w14:textId="77777777" w:rsidR="00634F09" w:rsidRPr="00AA3D91" w:rsidRDefault="00634F09" w:rsidP="00D001E4">
                      <w:pPr>
                        <w:spacing w:line="240" w:lineRule="auto"/>
                        <w:ind w:left="90"/>
                        <w:rPr>
                          <w:sz w:val="52"/>
                          <w:szCs w:val="52"/>
                        </w:rPr>
                      </w:pPr>
                    </w:p>
                  </w:txbxContent>
                </v:textbox>
                <w10:wrap anchorx="margin"/>
              </v:shape>
            </w:pict>
          </mc:Fallback>
        </mc:AlternateContent>
      </w:r>
      <w:r w:rsidR="002556F3">
        <w:rPr>
          <w:noProof/>
        </w:rPr>
        <w:drawing>
          <wp:anchor distT="0" distB="0" distL="114300" distR="114300" simplePos="0" relativeHeight="251658752" behindDoc="0" locked="0" layoutInCell="1" allowOverlap="1" wp14:anchorId="592ED80E" wp14:editId="75237689">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1" cstate="print"/>
                    <a:srcRect/>
                    <a:stretch>
                      <a:fillRect/>
                    </a:stretch>
                  </pic:blipFill>
                  <pic:spPr>
                    <a:xfrm>
                      <a:off x="0" y="0"/>
                      <a:ext cx="6343650" cy="647700"/>
                    </a:xfrm>
                    <a:prstGeom prst="rect">
                      <a:avLst/>
                    </a:prstGeom>
                  </pic:spPr>
                </pic:pic>
              </a:graphicData>
            </a:graphic>
          </wp:anchor>
        </w:drawing>
      </w:r>
      <w:r w:rsidR="00711414">
        <w:rPr>
          <w:noProof/>
          <w:color w:val="A6A6A6" w:themeColor="background1" w:themeShade="A6"/>
        </w:rPr>
        <mc:AlternateContent>
          <mc:Choice Requires="wps">
            <w:drawing>
              <wp:anchor distT="0" distB="0" distL="114300" distR="114300" simplePos="0" relativeHeight="251691008" behindDoc="0" locked="0" layoutInCell="1" allowOverlap="1" wp14:anchorId="6C8763B9" wp14:editId="21099716">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3477C" w14:textId="77777777" w:rsidR="00634F09" w:rsidRPr="008F4CBD" w:rsidRDefault="00634F09"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511A2AC0" w14:textId="77777777" w:rsidR="00634F09" w:rsidRPr="008F4CBD" w:rsidRDefault="00634F09"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9" type="#_x0000_t202"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filled="f" stroked="f">
                <v:textbox inset="0,,0">
                  <w:txbxContent>
                    <w:p w14:paraId="1543477C" w14:textId="77777777" w:rsidR="00634F09" w:rsidRPr="008F4CBD" w:rsidRDefault="00634F09"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511A2AC0" w14:textId="77777777" w:rsidR="00634F09" w:rsidRPr="008F4CBD" w:rsidRDefault="00634F09"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92032" behindDoc="0" locked="0" layoutInCell="1" allowOverlap="1" wp14:anchorId="07F5E99B" wp14:editId="000FA525">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60930" w14:textId="77777777" w:rsidR="00634F09" w:rsidRPr="008F4CBD" w:rsidRDefault="00634F09"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28CB6C27" w14:textId="77777777" w:rsidR="00634F09" w:rsidRPr="008F4CBD" w:rsidRDefault="00634F09"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0" type="#_x0000_t202"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filled="f" stroked="f">
                <v:textbox inset="0">
                  <w:txbxContent>
                    <w:p w14:paraId="7BF60930" w14:textId="77777777" w:rsidR="00634F09" w:rsidRPr="008F4CBD" w:rsidRDefault="00634F09"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28CB6C27" w14:textId="77777777" w:rsidR="00634F09" w:rsidRPr="008F4CBD" w:rsidRDefault="00634F09"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br w:type="page"/>
      </w:r>
    </w:p>
    <w:p w14:paraId="7168ABF6" w14:textId="77777777" w:rsidR="00755C3D" w:rsidRDefault="00755C3D" w:rsidP="00D928FD">
      <w:pPr>
        <w:sectPr w:rsidR="00755C3D" w:rsidSect="001F3A8F">
          <w:headerReference w:type="default" r:id="rId12"/>
          <w:footerReference w:type="default" r:id="rId13"/>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eastAsiaTheme="minorHAnsi" w:cstheme="minorBidi"/>
          <w:b w:val="0"/>
          <w:bCs w:val="0"/>
          <w:color w:val="auto"/>
          <w:sz w:val="22"/>
          <w:szCs w:val="22"/>
        </w:rPr>
        <w:id w:val="819469860"/>
        <w:docPartObj>
          <w:docPartGallery w:val="Table of Contents"/>
          <w:docPartUnique/>
        </w:docPartObj>
      </w:sdtPr>
      <w:sdtEndPr>
        <w:rPr>
          <w:noProof/>
        </w:rPr>
      </w:sdtEndPr>
      <w:sdtContent>
        <w:p w14:paraId="5799E0D8" w14:textId="77777777" w:rsidR="0059212D" w:rsidRDefault="0059212D">
          <w:pPr>
            <w:pStyle w:val="TOCHeading"/>
          </w:pPr>
          <w:r>
            <w:t>Table of Contents</w:t>
          </w:r>
        </w:p>
        <w:p w14:paraId="3BC0F922" w14:textId="6274CF19" w:rsidR="00D43DC3" w:rsidRDefault="0059212D">
          <w:pPr>
            <w:pStyle w:val="TOC1"/>
            <w:rPr>
              <w:rFonts w:eastAsiaTheme="minorEastAsia"/>
              <w:noProof/>
              <w:color w:val="auto"/>
            </w:rPr>
          </w:pPr>
          <w:r>
            <w:fldChar w:fldCharType="begin"/>
          </w:r>
          <w:r>
            <w:instrText xml:space="preserve"> TOC \o "1-3" \h \z \u </w:instrText>
          </w:r>
          <w:r>
            <w:fldChar w:fldCharType="separate"/>
          </w:r>
          <w:hyperlink w:anchor="_Toc509825652" w:history="1">
            <w:r w:rsidR="00D43DC3" w:rsidRPr="005E5BA5">
              <w:rPr>
                <w:rStyle w:val="Hyperlink"/>
                <w:noProof/>
              </w:rPr>
              <w:t>Part A: Justification</w:t>
            </w:r>
            <w:r w:rsidR="00D43DC3">
              <w:rPr>
                <w:noProof/>
                <w:webHidden/>
              </w:rPr>
              <w:tab/>
            </w:r>
            <w:r w:rsidR="00D43DC3">
              <w:rPr>
                <w:noProof/>
                <w:webHidden/>
              </w:rPr>
              <w:fldChar w:fldCharType="begin"/>
            </w:r>
            <w:r w:rsidR="00D43DC3">
              <w:rPr>
                <w:noProof/>
                <w:webHidden/>
              </w:rPr>
              <w:instrText xml:space="preserve"> PAGEREF _Toc509825652 \h </w:instrText>
            </w:r>
            <w:r w:rsidR="00D43DC3">
              <w:rPr>
                <w:noProof/>
                <w:webHidden/>
              </w:rPr>
            </w:r>
            <w:r w:rsidR="00D43DC3">
              <w:rPr>
                <w:noProof/>
                <w:webHidden/>
              </w:rPr>
              <w:fldChar w:fldCharType="separate"/>
            </w:r>
            <w:r w:rsidR="00CC5FCB">
              <w:rPr>
                <w:noProof/>
                <w:webHidden/>
              </w:rPr>
              <w:t>1</w:t>
            </w:r>
            <w:r w:rsidR="00D43DC3">
              <w:rPr>
                <w:noProof/>
                <w:webHidden/>
              </w:rPr>
              <w:fldChar w:fldCharType="end"/>
            </w:r>
          </w:hyperlink>
        </w:p>
        <w:p w14:paraId="752253C9" w14:textId="77777777" w:rsidR="00D43DC3" w:rsidRDefault="00BC4AAC">
          <w:pPr>
            <w:pStyle w:val="TOC2"/>
            <w:rPr>
              <w:rFonts w:eastAsiaTheme="minorEastAsia"/>
              <w:noProof/>
              <w:color w:val="auto"/>
            </w:rPr>
          </w:pPr>
          <w:hyperlink w:anchor="_Toc509825653" w:history="1">
            <w:r w:rsidR="00D43DC3" w:rsidRPr="005E5BA5">
              <w:rPr>
                <w:rStyle w:val="Hyperlink"/>
                <w:noProof/>
              </w:rPr>
              <w:t>Introduction</w:t>
            </w:r>
            <w:r w:rsidR="00D43DC3">
              <w:rPr>
                <w:noProof/>
                <w:webHidden/>
              </w:rPr>
              <w:tab/>
            </w:r>
            <w:r w:rsidR="00D43DC3">
              <w:rPr>
                <w:noProof/>
                <w:webHidden/>
              </w:rPr>
              <w:fldChar w:fldCharType="begin"/>
            </w:r>
            <w:r w:rsidR="00D43DC3">
              <w:rPr>
                <w:noProof/>
                <w:webHidden/>
              </w:rPr>
              <w:instrText xml:space="preserve"> PAGEREF _Toc509825653 \h </w:instrText>
            </w:r>
            <w:r w:rsidR="00D43DC3">
              <w:rPr>
                <w:noProof/>
                <w:webHidden/>
              </w:rPr>
            </w:r>
            <w:r w:rsidR="00D43DC3">
              <w:rPr>
                <w:noProof/>
                <w:webHidden/>
              </w:rPr>
              <w:fldChar w:fldCharType="separate"/>
            </w:r>
            <w:r w:rsidR="00CC5FCB">
              <w:rPr>
                <w:noProof/>
                <w:webHidden/>
              </w:rPr>
              <w:t>1</w:t>
            </w:r>
            <w:r w:rsidR="00D43DC3">
              <w:rPr>
                <w:noProof/>
                <w:webHidden/>
              </w:rPr>
              <w:fldChar w:fldCharType="end"/>
            </w:r>
          </w:hyperlink>
        </w:p>
        <w:p w14:paraId="40F52CF9" w14:textId="77777777" w:rsidR="00D43DC3" w:rsidRDefault="00BC4AAC">
          <w:pPr>
            <w:pStyle w:val="TOC2"/>
            <w:rPr>
              <w:rFonts w:eastAsiaTheme="minorEastAsia"/>
              <w:noProof/>
              <w:color w:val="auto"/>
            </w:rPr>
          </w:pPr>
          <w:hyperlink w:anchor="_Toc509825654" w:history="1">
            <w:r w:rsidR="00D43DC3" w:rsidRPr="005E5BA5">
              <w:rPr>
                <w:rStyle w:val="Hyperlink"/>
                <w:noProof/>
              </w:rPr>
              <w:t>A.1. Legal Justification</w:t>
            </w:r>
            <w:r w:rsidR="00D43DC3">
              <w:rPr>
                <w:noProof/>
                <w:webHidden/>
              </w:rPr>
              <w:tab/>
            </w:r>
            <w:r w:rsidR="00D43DC3">
              <w:rPr>
                <w:noProof/>
                <w:webHidden/>
              </w:rPr>
              <w:fldChar w:fldCharType="begin"/>
            </w:r>
            <w:r w:rsidR="00D43DC3">
              <w:rPr>
                <w:noProof/>
                <w:webHidden/>
              </w:rPr>
              <w:instrText xml:space="preserve"> PAGEREF _Toc509825654 \h </w:instrText>
            </w:r>
            <w:r w:rsidR="00D43DC3">
              <w:rPr>
                <w:noProof/>
                <w:webHidden/>
              </w:rPr>
            </w:r>
            <w:r w:rsidR="00D43DC3">
              <w:rPr>
                <w:noProof/>
                <w:webHidden/>
              </w:rPr>
              <w:fldChar w:fldCharType="separate"/>
            </w:r>
            <w:r w:rsidR="00CC5FCB">
              <w:rPr>
                <w:noProof/>
                <w:webHidden/>
              </w:rPr>
              <w:t>3</w:t>
            </w:r>
            <w:r w:rsidR="00D43DC3">
              <w:rPr>
                <w:noProof/>
                <w:webHidden/>
              </w:rPr>
              <w:fldChar w:fldCharType="end"/>
            </w:r>
          </w:hyperlink>
        </w:p>
        <w:p w14:paraId="18CB161D" w14:textId="77777777" w:rsidR="00D43DC3" w:rsidRDefault="00BC4AAC">
          <w:pPr>
            <w:pStyle w:val="TOC2"/>
            <w:rPr>
              <w:rFonts w:eastAsiaTheme="minorEastAsia"/>
              <w:noProof/>
              <w:color w:val="auto"/>
            </w:rPr>
          </w:pPr>
          <w:hyperlink w:anchor="_Toc509825655" w:history="1">
            <w:r w:rsidR="00D43DC3" w:rsidRPr="005E5BA5">
              <w:rPr>
                <w:rStyle w:val="Hyperlink"/>
                <w:noProof/>
              </w:rPr>
              <w:t>A.2. Needs and Uses of Data</w:t>
            </w:r>
            <w:r w:rsidR="00D43DC3">
              <w:rPr>
                <w:noProof/>
                <w:webHidden/>
              </w:rPr>
              <w:tab/>
            </w:r>
            <w:r w:rsidR="00D43DC3">
              <w:rPr>
                <w:noProof/>
                <w:webHidden/>
              </w:rPr>
              <w:fldChar w:fldCharType="begin"/>
            </w:r>
            <w:r w:rsidR="00D43DC3">
              <w:rPr>
                <w:noProof/>
                <w:webHidden/>
              </w:rPr>
              <w:instrText xml:space="preserve"> PAGEREF _Toc509825655 \h </w:instrText>
            </w:r>
            <w:r w:rsidR="00D43DC3">
              <w:rPr>
                <w:noProof/>
                <w:webHidden/>
              </w:rPr>
            </w:r>
            <w:r w:rsidR="00D43DC3">
              <w:rPr>
                <w:noProof/>
                <w:webHidden/>
              </w:rPr>
              <w:fldChar w:fldCharType="separate"/>
            </w:r>
            <w:r w:rsidR="00CC5FCB">
              <w:rPr>
                <w:noProof/>
                <w:webHidden/>
              </w:rPr>
              <w:t>5</w:t>
            </w:r>
            <w:r w:rsidR="00D43DC3">
              <w:rPr>
                <w:noProof/>
                <w:webHidden/>
              </w:rPr>
              <w:fldChar w:fldCharType="end"/>
            </w:r>
          </w:hyperlink>
        </w:p>
        <w:p w14:paraId="421C1F37" w14:textId="77777777" w:rsidR="00D43DC3" w:rsidRDefault="00BC4AAC">
          <w:pPr>
            <w:pStyle w:val="TOC2"/>
            <w:rPr>
              <w:rFonts w:eastAsiaTheme="minorEastAsia"/>
              <w:noProof/>
              <w:color w:val="auto"/>
            </w:rPr>
          </w:pPr>
          <w:hyperlink w:anchor="_Toc509825656" w:history="1">
            <w:r w:rsidR="00D43DC3" w:rsidRPr="005E5BA5">
              <w:rPr>
                <w:rStyle w:val="Hyperlink"/>
                <w:noProof/>
              </w:rPr>
              <w:t>A.3. Use of Technology</w:t>
            </w:r>
            <w:r w:rsidR="00D43DC3">
              <w:rPr>
                <w:noProof/>
                <w:webHidden/>
              </w:rPr>
              <w:tab/>
            </w:r>
            <w:r w:rsidR="00D43DC3">
              <w:rPr>
                <w:noProof/>
                <w:webHidden/>
              </w:rPr>
              <w:fldChar w:fldCharType="begin"/>
            </w:r>
            <w:r w:rsidR="00D43DC3">
              <w:rPr>
                <w:noProof/>
                <w:webHidden/>
              </w:rPr>
              <w:instrText xml:space="preserve"> PAGEREF _Toc509825656 \h </w:instrText>
            </w:r>
            <w:r w:rsidR="00D43DC3">
              <w:rPr>
                <w:noProof/>
                <w:webHidden/>
              </w:rPr>
            </w:r>
            <w:r w:rsidR="00D43DC3">
              <w:rPr>
                <w:noProof/>
                <w:webHidden/>
              </w:rPr>
              <w:fldChar w:fldCharType="separate"/>
            </w:r>
            <w:r w:rsidR="00CC5FCB">
              <w:rPr>
                <w:noProof/>
                <w:webHidden/>
              </w:rPr>
              <w:t>6</w:t>
            </w:r>
            <w:r w:rsidR="00D43DC3">
              <w:rPr>
                <w:noProof/>
                <w:webHidden/>
              </w:rPr>
              <w:fldChar w:fldCharType="end"/>
            </w:r>
          </w:hyperlink>
        </w:p>
        <w:p w14:paraId="4BE66229" w14:textId="77777777" w:rsidR="00D43DC3" w:rsidRDefault="00BC4AAC">
          <w:pPr>
            <w:pStyle w:val="TOC2"/>
            <w:rPr>
              <w:rFonts w:eastAsiaTheme="minorEastAsia"/>
              <w:noProof/>
              <w:color w:val="auto"/>
            </w:rPr>
          </w:pPr>
          <w:hyperlink w:anchor="_Toc509825657" w:history="1">
            <w:r w:rsidR="00D43DC3" w:rsidRPr="005E5BA5">
              <w:rPr>
                <w:rStyle w:val="Hyperlink"/>
                <w:noProof/>
              </w:rPr>
              <w:t>A.4. Efforts to Identify Duplication</w:t>
            </w:r>
            <w:r w:rsidR="00D43DC3">
              <w:rPr>
                <w:noProof/>
                <w:webHidden/>
              </w:rPr>
              <w:tab/>
            </w:r>
            <w:r w:rsidR="00D43DC3">
              <w:rPr>
                <w:noProof/>
                <w:webHidden/>
              </w:rPr>
              <w:fldChar w:fldCharType="begin"/>
            </w:r>
            <w:r w:rsidR="00D43DC3">
              <w:rPr>
                <w:noProof/>
                <w:webHidden/>
              </w:rPr>
              <w:instrText xml:space="preserve"> PAGEREF _Toc509825657 \h </w:instrText>
            </w:r>
            <w:r w:rsidR="00D43DC3">
              <w:rPr>
                <w:noProof/>
                <w:webHidden/>
              </w:rPr>
            </w:r>
            <w:r w:rsidR="00D43DC3">
              <w:rPr>
                <w:noProof/>
                <w:webHidden/>
              </w:rPr>
              <w:fldChar w:fldCharType="separate"/>
            </w:r>
            <w:r w:rsidR="00CC5FCB">
              <w:rPr>
                <w:noProof/>
                <w:webHidden/>
              </w:rPr>
              <w:t>6</w:t>
            </w:r>
            <w:r w:rsidR="00D43DC3">
              <w:rPr>
                <w:noProof/>
                <w:webHidden/>
              </w:rPr>
              <w:fldChar w:fldCharType="end"/>
            </w:r>
          </w:hyperlink>
        </w:p>
        <w:p w14:paraId="6050AF49" w14:textId="77777777" w:rsidR="00D43DC3" w:rsidRDefault="00BC4AAC">
          <w:pPr>
            <w:pStyle w:val="TOC2"/>
            <w:rPr>
              <w:rFonts w:eastAsiaTheme="minorEastAsia"/>
              <w:noProof/>
              <w:color w:val="auto"/>
            </w:rPr>
          </w:pPr>
          <w:hyperlink w:anchor="_Toc509825658" w:history="1">
            <w:r w:rsidR="00D43DC3" w:rsidRPr="005E5BA5">
              <w:rPr>
                <w:rStyle w:val="Hyperlink"/>
                <w:noProof/>
              </w:rPr>
              <w:t>A.5. Provisions for Reducing Burden on Small Businesses</w:t>
            </w:r>
            <w:r w:rsidR="00D43DC3">
              <w:rPr>
                <w:noProof/>
                <w:webHidden/>
              </w:rPr>
              <w:tab/>
            </w:r>
            <w:r w:rsidR="00D43DC3">
              <w:rPr>
                <w:noProof/>
                <w:webHidden/>
              </w:rPr>
              <w:fldChar w:fldCharType="begin"/>
            </w:r>
            <w:r w:rsidR="00D43DC3">
              <w:rPr>
                <w:noProof/>
                <w:webHidden/>
              </w:rPr>
              <w:instrText xml:space="preserve"> PAGEREF _Toc509825658 \h </w:instrText>
            </w:r>
            <w:r w:rsidR="00D43DC3">
              <w:rPr>
                <w:noProof/>
                <w:webHidden/>
              </w:rPr>
            </w:r>
            <w:r w:rsidR="00D43DC3">
              <w:rPr>
                <w:noProof/>
                <w:webHidden/>
              </w:rPr>
              <w:fldChar w:fldCharType="separate"/>
            </w:r>
            <w:r w:rsidR="00CC5FCB">
              <w:rPr>
                <w:noProof/>
                <w:webHidden/>
              </w:rPr>
              <w:t>7</w:t>
            </w:r>
            <w:r w:rsidR="00D43DC3">
              <w:rPr>
                <w:noProof/>
                <w:webHidden/>
              </w:rPr>
              <w:fldChar w:fldCharType="end"/>
            </w:r>
          </w:hyperlink>
        </w:p>
        <w:p w14:paraId="12616F0B" w14:textId="77777777" w:rsidR="00D43DC3" w:rsidRDefault="00BC4AAC">
          <w:pPr>
            <w:pStyle w:val="TOC2"/>
            <w:rPr>
              <w:rFonts w:eastAsiaTheme="minorEastAsia"/>
              <w:noProof/>
              <w:color w:val="auto"/>
            </w:rPr>
          </w:pPr>
          <w:hyperlink w:anchor="_Toc509825659" w:history="1">
            <w:r w:rsidR="00D43DC3" w:rsidRPr="005E5BA5">
              <w:rPr>
                <w:rStyle w:val="Hyperlink"/>
                <w:noProof/>
              </w:rPr>
              <w:t>A.6. Consequences of Less-Frequent Reporting</w:t>
            </w:r>
            <w:r w:rsidR="00D43DC3">
              <w:rPr>
                <w:noProof/>
                <w:webHidden/>
              </w:rPr>
              <w:tab/>
            </w:r>
            <w:r w:rsidR="00D43DC3">
              <w:rPr>
                <w:noProof/>
                <w:webHidden/>
              </w:rPr>
              <w:fldChar w:fldCharType="begin"/>
            </w:r>
            <w:r w:rsidR="00D43DC3">
              <w:rPr>
                <w:noProof/>
                <w:webHidden/>
              </w:rPr>
              <w:instrText xml:space="preserve"> PAGEREF _Toc509825659 \h </w:instrText>
            </w:r>
            <w:r w:rsidR="00D43DC3">
              <w:rPr>
                <w:noProof/>
                <w:webHidden/>
              </w:rPr>
            </w:r>
            <w:r w:rsidR="00D43DC3">
              <w:rPr>
                <w:noProof/>
                <w:webHidden/>
              </w:rPr>
              <w:fldChar w:fldCharType="separate"/>
            </w:r>
            <w:r w:rsidR="00CC5FCB">
              <w:rPr>
                <w:noProof/>
                <w:webHidden/>
              </w:rPr>
              <w:t>7</w:t>
            </w:r>
            <w:r w:rsidR="00D43DC3">
              <w:rPr>
                <w:noProof/>
                <w:webHidden/>
              </w:rPr>
              <w:fldChar w:fldCharType="end"/>
            </w:r>
          </w:hyperlink>
        </w:p>
        <w:p w14:paraId="3EEDC593" w14:textId="77777777" w:rsidR="00D43DC3" w:rsidRDefault="00BC4AAC">
          <w:pPr>
            <w:pStyle w:val="TOC2"/>
            <w:rPr>
              <w:rFonts w:eastAsiaTheme="minorEastAsia"/>
              <w:noProof/>
              <w:color w:val="auto"/>
            </w:rPr>
          </w:pPr>
          <w:hyperlink w:anchor="_Toc509825660" w:history="1">
            <w:r w:rsidR="00D43DC3" w:rsidRPr="005E5BA5">
              <w:rPr>
                <w:rStyle w:val="Hyperlink"/>
                <w:noProof/>
              </w:rPr>
              <w:t>A.7. Compliance with 5 CFR 1320.5</w:t>
            </w:r>
            <w:r w:rsidR="00D43DC3">
              <w:rPr>
                <w:noProof/>
                <w:webHidden/>
              </w:rPr>
              <w:tab/>
            </w:r>
            <w:r w:rsidR="00D43DC3">
              <w:rPr>
                <w:noProof/>
                <w:webHidden/>
              </w:rPr>
              <w:fldChar w:fldCharType="begin"/>
            </w:r>
            <w:r w:rsidR="00D43DC3">
              <w:rPr>
                <w:noProof/>
                <w:webHidden/>
              </w:rPr>
              <w:instrText xml:space="preserve"> PAGEREF _Toc509825660 \h </w:instrText>
            </w:r>
            <w:r w:rsidR="00D43DC3">
              <w:rPr>
                <w:noProof/>
                <w:webHidden/>
              </w:rPr>
            </w:r>
            <w:r w:rsidR="00D43DC3">
              <w:rPr>
                <w:noProof/>
                <w:webHidden/>
              </w:rPr>
              <w:fldChar w:fldCharType="separate"/>
            </w:r>
            <w:r w:rsidR="00CC5FCB">
              <w:rPr>
                <w:noProof/>
                <w:webHidden/>
              </w:rPr>
              <w:t>7</w:t>
            </w:r>
            <w:r w:rsidR="00D43DC3">
              <w:rPr>
                <w:noProof/>
                <w:webHidden/>
              </w:rPr>
              <w:fldChar w:fldCharType="end"/>
            </w:r>
          </w:hyperlink>
        </w:p>
        <w:p w14:paraId="42C1644E" w14:textId="77777777" w:rsidR="00D43DC3" w:rsidRDefault="00BC4AAC">
          <w:pPr>
            <w:pStyle w:val="TOC2"/>
            <w:rPr>
              <w:rFonts w:eastAsiaTheme="minorEastAsia"/>
              <w:noProof/>
              <w:color w:val="auto"/>
            </w:rPr>
          </w:pPr>
          <w:hyperlink w:anchor="_Toc509825661" w:history="1">
            <w:r w:rsidR="00D43DC3" w:rsidRPr="005E5BA5">
              <w:rPr>
                <w:rStyle w:val="Hyperlink"/>
                <w:noProof/>
              </w:rPr>
              <w:t>A.8. Summary of Consultations Outside of the Agency</w:t>
            </w:r>
            <w:r w:rsidR="00D43DC3">
              <w:rPr>
                <w:noProof/>
                <w:webHidden/>
              </w:rPr>
              <w:tab/>
            </w:r>
            <w:r w:rsidR="00D43DC3">
              <w:rPr>
                <w:noProof/>
                <w:webHidden/>
              </w:rPr>
              <w:fldChar w:fldCharType="begin"/>
            </w:r>
            <w:r w:rsidR="00D43DC3">
              <w:rPr>
                <w:noProof/>
                <w:webHidden/>
              </w:rPr>
              <w:instrText xml:space="preserve"> PAGEREF _Toc509825661 \h </w:instrText>
            </w:r>
            <w:r w:rsidR="00D43DC3">
              <w:rPr>
                <w:noProof/>
                <w:webHidden/>
              </w:rPr>
            </w:r>
            <w:r w:rsidR="00D43DC3">
              <w:rPr>
                <w:noProof/>
                <w:webHidden/>
              </w:rPr>
              <w:fldChar w:fldCharType="separate"/>
            </w:r>
            <w:r w:rsidR="00CC5FCB">
              <w:rPr>
                <w:noProof/>
                <w:webHidden/>
              </w:rPr>
              <w:t>7</w:t>
            </w:r>
            <w:r w:rsidR="00D43DC3">
              <w:rPr>
                <w:noProof/>
                <w:webHidden/>
              </w:rPr>
              <w:fldChar w:fldCharType="end"/>
            </w:r>
          </w:hyperlink>
        </w:p>
        <w:p w14:paraId="1031DE41" w14:textId="77777777" w:rsidR="00D43DC3" w:rsidRDefault="00BC4AAC">
          <w:pPr>
            <w:pStyle w:val="TOC2"/>
            <w:rPr>
              <w:rFonts w:eastAsiaTheme="minorEastAsia"/>
              <w:noProof/>
              <w:color w:val="auto"/>
            </w:rPr>
          </w:pPr>
          <w:hyperlink w:anchor="_Toc509825662" w:history="1">
            <w:r w:rsidR="00D43DC3" w:rsidRPr="005E5BA5">
              <w:rPr>
                <w:rStyle w:val="Hyperlink"/>
                <w:noProof/>
              </w:rPr>
              <w:t>A.9. Payments or Gifts to Respondents</w:t>
            </w:r>
            <w:r w:rsidR="00D43DC3">
              <w:rPr>
                <w:noProof/>
                <w:webHidden/>
              </w:rPr>
              <w:tab/>
            </w:r>
            <w:r w:rsidR="00D43DC3">
              <w:rPr>
                <w:noProof/>
                <w:webHidden/>
              </w:rPr>
              <w:fldChar w:fldCharType="begin"/>
            </w:r>
            <w:r w:rsidR="00D43DC3">
              <w:rPr>
                <w:noProof/>
                <w:webHidden/>
              </w:rPr>
              <w:instrText xml:space="preserve"> PAGEREF _Toc509825662 \h </w:instrText>
            </w:r>
            <w:r w:rsidR="00D43DC3">
              <w:rPr>
                <w:noProof/>
                <w:webHidden/>
              </w:rPr>
            </w:r>
            <w:r w:rsidR="00D43DC3">
              <w:rPr>
                <w:noProof/>
                <w:webHidden/>
              </w:rPr>
              <w:fldChar w:fldCharType="separate"/>
            </w:r>
            <w:r w:rsidR="00CC5FCB">
              <w:rPr>
                <w:noProof/>
                <w:webHidden/>
              </w:rPr>
              <w:t>8</w:t>
            </w:r>
            <w:r w:rsidR="00D43DC3">
              <w:rPr>
                <w:noProof/>
                <w:webHidden/>
              </w:rPr>
              <w:fldChar w:fldCharType="end"/>
            </w:r>
          </w:hyperlink>
        </w:p>
        <w:p w14:paraId="642815E3" w14:textId="77777777" w:rsidR="00D43DC3" w:rsidRDefault="00BC4AAC">
          <w:pPr>
            <w:pStyle w:val="TOC2"/>
            <w:rPr>
              <w:rFonts w:eastAsiaTheme="minorEastAsia"/>
              <w:noProof/>
              <w:color w:val="auto"/>
            </w:rPr>
          </w:pPr>
          <w:hyperlink w:anchor="_Toc509825663" w:history="1">
            <w:r w:rsidR="00D43DC3" w:rsidRPr="005E5BA5">
              <w:rPr>
                <w:rStyle w:val="Hyperlink"/>
                <w:noProof/>
              </w:rPr>
              <w:t>A.10. Provisions for Protection of Information</w:t>
            </w:r>
            <w:r w:rsidR="00D43DC3">
              <w:rPr>
                <w:noProof/>
                <w:webHidden/>
              </w:rPr>
              <w:tab/>
            </w:r>
            <w:r w:rsidR="00D43DC3">
              <w:rPr>
                <w:noProof/>
                <w:webHidden/>
              </w:rPr>
              <w:fldChar w:fldCharType="begin"/>
            </w:r>
            <w:r w:rsidR="00D43DC3">
              <w:rPr>
                <w:noProof/>
                <w:webHidden/>
              </w:rPr>
              <w:instrText xml:space="preserve"> PAGEREF _Toc509825663 \h </w:instrText>
            </w:r>
            <w:r w:rsidR="00D43DC3">
              <w:rPr>
                <w:noProof/>
                <w:webHidden/>
              </w:rPr>
            </w:r>
            <w:r w:rsidR="00D43DC3">
              <w:rPr>
                <w:noProof/>
                <w:webHidden/>
              </w:rPr>
              <w:fldChar w:fldCharType="separate"/>
            </w:r>
            <w:r w:rsidR="00CC5FCB">
              <w:rPr>
                <w:noProof/>
                <w:webHidden/>
              </w:rPr>
              <w:t>8</w:t>
            </w:r>
            <w:r w:rsidR="00D43DC3">
              <w:rPr>
                <w:noProof/>
                <w:webHidden/>
              </w:rPr>
              <w:fldChar w:fldCharType="end"/>
            </w:r>
          </w:hyperlink>
        </w:p>
        <w:p w14:paraId="70DCA118" w14:textId="77777777" w:rsidR="00D43DC3" w:rsidRDefault="00BC4AAC">
          <w:pPr>
            <w:pStyle w:val="TOC2"/>
            <w:rPr>
              <w:rFonts w:eastAsiaTheme="minorEastAsia"/>
              <w:noProof/>
              <w:color w:val="auto"/>
            </w:rPr>
          </w:pPr>
          <w:hyperlink w:anchor="_Toc509825664" w:history="1">
            <w:r w:rsidR="00D43DC3" w:rsidRPr="005E5BA5">
              <w:rPr>
                <w:rStyle w:val="Hyperlink"/>
                <w:noProof/>
              </w:rPr>
              <w:t>A.11. Justification for Sensitive Questions</w:t>
            </w:r>
            <w:r w:rsidR="00D43DC3">
              <w:rPr>
                <w:noProof/>
                <w:webHidden/>
              </w:rPr>
              <w:tab/>
            </w:r>
            <w:r w:rsidR="00D43DC3">
              <w:rPr>
                <w:noProof/>
                <w:webHidden/>
              </w:rPr>
              <w:fldChar w:fldCharType="begin"/>
            </w:r>
            <w:r w:rsidR="00D43DC3">
              <w:rPr>
                <w:noProof/>
                <w:webHidden/>
              </w:rPr>
              <w:instrText xml:space="preserve"> PAGEREF _Toc509825664 \h </w:instrText>
            </w:r>
            <w:r w:rsidR="00D43DC3">
              <w:rPr>
                <w:noProof/>
                <w:webHidden/>
              </w:rPr>
            </w:r>
            <w:r w:rsidR="00D43DC3">
              <w:rPr>
                <w:noProof/>
                <w:webHidden/>
              </w:rPr>
              <w:fldChar w:fldCharType="separate"/>
            </w:r>
            <w:r w:rsidR="00CC5FCB">
              <w:rPr>
                <w:noProof/>
                <w:webHidden/>
              </w:rPr>
              <w:t>8</w:t>
            </w:r>
            <w:r w:rsidR="00D43DC3">
              <w:rPr>
                <w:noProof/>
                <w:webHidden/>
              </w:rPr>
              <w:fldChar w:fldCharType="end"/>
            </w:r>
          </w:hyperlink>
        </w:p>
        <w:p w14:paraId="5B1D0AAE" w14:textId="77777777" w:rsidR="00D43DC3" w:rsidRDefault="00BC4AAC">
          <w:pPr>
            <w:pStyle w:val="TOC2"/>
            <w:rPr>
              <w:rFonts w:eastAsiaTheme="minorEastAsia"/>
              <w:noProof/>
              <w:color w:val="auto"/>
            </w:rPr>
          </w:pPr>
          <w:hyperlink w:anchor="_Toc509825665" w:history="1">
            <w:r w:rsidR="00D43DC3" w:rsidRPr="005E5BA5">
              <w:rPr>
                <w:rStyle w:val="Hyperlink"/>
                <w:noProof/>
              </w:rPr>
              <w:t>A.12. Estimate of Respondent Burden Hours and Cost</w:t>
            </w:r>
            <w:r w:rsidR="00D43DC3">
              <w:rPr>
                <w:noProof/>
                <w:webHidden/>
              </w:rPr>
              <w:tab/>
            </w:r>
            <w:r w:rsidR="00D43DC3">
              <w:rPr>
                <w:noProof/>
                <w:webHidden/>
              </w:rPr>
              <w:fldChar w:fldCharType="begin"/>
            </w:r>
            <w:r w:rsidR="00D43DC3">
              <w:rPr>
                <w:noProof/>
                <w:webHidden/>
              </w:rPr>
              <w:instrText xml:space="preserve"> PAGEREF _Toc509825665 \h </w:instrText>
            </w:r>
            <w:r w:rsidR="00D43DC3">
              <w:rPr>
                <w:noProof/>
                <w:webHidden/>
              </w:rPr>
            </w:r>
            <w:r w:rsidR="00D43DC3">
              <w:rPr>
                <w:noProof/>
                <w:webHidden/>
              </w:rPr>
              <w:fldChar w:fldCharType="separate"/>
            </w:r>
            <w:r w:rsidR="00CC5FCB">
              <w:rPr>
                <w:noProof/>
                <w:webHidden/>
              </w:rPr>
              <w:t>9</w:t>
            </w:r>
            <w:r w:rsidR="00D43DC3">
              <w:rPr>
                <w:noProof/>
                <w:webHidden/>
              </w:rPr>
              <w:fldChar w:fldCharType="end"/>
            </w:r>
          </w:hyperlink>
        </w:p>
        <w:p w14:paraId="042FA3E2" w14:textId="77777777" w:rsidR="00D43DC3" w:rsidRDefault="00BC4AAC">
          <w:pPr>
            <w:pStyle w:val="TOC2"/>
            <w:rPr>
              <w:rFonts w:eastAsiaTheme="minorEastAsia"/>
              <w:noProof/>
              <w:color w:val="auto"/>
            </w:rPr>
          </w:pPr>
          <w:hyperlink w:anchor="_Toc509825666" w:history="1">
            <w:r w:rsidR="00D43DC3" w:rsidRPr="005E5BA5">
              <w:rPr>
                <w:rStyle w:val="Hyperlink"/>
                <w:noProof/>
              </w:rPr>
              <w:t>A.13. Annual Cost to the Federal Government</w:t>
            </w:r>
            <w:r w:rsidR="00D43DC3">
              <w:rPr>
                <w:noProof/>
                <w:webHidden/>
              </w:rPr>
              <w:tab/>
            </w:r>
            <w:r w:rsidR="00D43DC3">
              <w:rPr>
                <w:noProof/>
                <w:webHidden/>
              </w:rPr>
              <w:fldChar w:fldCharType="begin"/>
            </w:r>
            <w:r w:rsidR="00D43DC3">
              <w:rPr>
                <w:noProof/>
                <w:webHidden/>
              </w:rPr>
              <w:instrText xml:space="preserve"> PAGEREF _Toc509825666 \h </w:instrText>
            </w:r>
            <w:r w:rsidR="00D43DC3">
              <w:rPr>
                <w:noProof/>
                <w:webHidden/>
              </w:rPr>
            </w:r>
            <w:r w:rsidR="00D43DC3">
              <w:rPr>
                <w:noProof/>
                <w:webHidden/>
              </w:rPr>
              <w:fldChar w:fldCharType="separate"/>
            </w:r>
            <w:r w:rsidR="00CC5FCB">
              <w:rPr>
                <w:noProof/>
                <w:webHidden/>
              </w:rPr>
              <w:t>9</w:t>
            </w:r>
            <w:r w:rsidR="00D43DC3">
              <w:rPr>
                <w:noProof/>
                <w:webHidden/>
              </w:rPr>
              <w:fldChar w:fldCharType="end"/>
            </w:r>
          </w:hyperlink>
        </w:p>
        <w:p w14:paraId="32AED371" w14:textId="77777777" w:rsidR="00D43DC3" w:rsidRDefault="00BC4AAC">
          <w:pPr>
            <w:pStyle w:val="TOC2"/>
            <w:rPr>
              <w:rFonts w:eastAsiaTheme="minorEastAsia"/>
              <w:noProof/>
              <w:color w:val="auto"/>
            </w:rPr>
          </w:pPr>
          <w:hyperlink w:anchor="_Toc509825667" w:history="1">
            <w:r w:rsidR="00D43DC3" w:rsidRPr="005E5BA5">
              <w:rPr>
                <w:rStyle w:val="Hyperlink"/>
                <w:noProof/>
              </w:rPr>
              <w:t>A.14. Changes in Burden</w:t>
            </w:r>
            <w:r w:rsidR="00D43DC3">
              <w:rPr>
                <w:noProof/>
                <w:webHidden/>
              </w:rPr>
              <w:tab/>
            </w:r>
            <w:r w:rsidR="00D43DC3">
              <w:rPr>
                <w:noProof/>
                <w:webHidden/>
              </w:rPr>
              <w:fldChar w:fldCharType="begin"/>
            </w:r>
            <w:r w:rsidR="00D43DC3">
              <w:rPr>
                <w:noProof/>
                <w:webHidden/>
              </w:rPr>
              <w:instrText xml:space="preserve"> PAGEREF _Toc509825667 \h </w:instrText>
            </w:r>
            <w:r w:rsidR="00D43DC3">
              <w:rPr>
                <w:noProof/>
                <w:webHidden/>
              </w:rPr>
            </w:r>
            <w:r w:rsidR="00D43DC3">
              <w:rPr>
                <w:noProof/>
                <w:webHidden/>
              </w:rPr>
              <w:fldChar w:fldCharType="separate"/>
            </w:r>
            <w:r w:rsidR="00CC5FCB">
              <w:rPr>
                <w:noProof/>
                <w:webHidden/>
              </w:rPr>
              <w:t>11</w:t>
            </w:r>
            <w:r w:rsidR="00D43DC3">
              <w:rPr>
                <w:noProof/>
                <w:webHidden/>
              </w:rPr>
              <w:fldChar w:fldCharType="end"/>
            </w:r>
          </w:hyperlink>
        </w:p>
        <w:p w14:paraId="77F274AF" w14:textId="77777777" w:rsidR="00D43DC3" w:rsidRDefault="00BC4AAC">
          <w:pPr>
            <w:pStyle w:val="TOC2"/>
            <w:rPr>
              <w:rFonts w:eastAsiaTheme="minorEastAsia"/>
              <w:noProof/>
              <w:color w:val="auto"/>
            </w:rPr>
          </w:pPr>
          <w:hyperlink w:anchor="_Toc509825668" w:history="1">
            <w:r w:rsidR="00D43DC3" w:rsidRPr="005E5BA5">
              <w:rPr>
                <w:rStyle w:val="Hyperlink"/>
                <w:noProof/>
              </w:rPr>
              <w:t>A.15. Reasons for Changes in Burden</w:t>
            </w:r>
            <w:r w:rsidR="00D43DC3">
              <w:rPr>
                <w:noProof/>
                <w:webHidden/>
              </w:rPr>
              <w:tab/>
            </w:r>
            <w:r w:rsidR="00D43DC3">
              <w:rPr>
                <w:noProof/>
                <w:webHidden/>
              </w:rPr>
              <w:fldChar w:fldCharType="begin"/>
            </w:r>
            <w:r w:rsidR="00D43DC3">
              <w:rPr>
                <w:noProof/>
                <w:webHidden/>
              </w:rPr>
              <w:instrText xml:space="preserve"> PAGEREF _Toc509825668 \h </w:instrText>
            </w:r>
            <w:r w:rsidR="00D43DC3">
              <w:rPr>
                <w:noProof/>
                <w:webHidden/>
              </w:rPr>
            </w:r>
            <w:r w:rsidR="00D43DC3">
              <w:rPr>
                <w:noProof/>
                <w:webHidden/>
              </w:rPr>
              <w:fldChar w:fldCharType="separate"/>
            </w:r>
            <w:r w:rsidR="00CC5FCB">
              <w:rPr>
                <w:noProof/>
                <w:webHidden/>
              </w:rPr>
              <w:t>11</w:t>
            </w:r>
            <w:r w:rsidR="00D43DC3">
              <w:rPr>
                <w:noProof/>
                <w:webHidden/>
              </w:rPr>
              <w:fldChar w:fldCharType="end"/>
            </w:r>
          </w:hyperlink>
        </w:p>
        <w:p w14:paraId="2B73473A" w14:textId="77777777" w:rsidR="00D43DC3" w:rsidRDefault="00BC4AAC">
          <w:pPr>
            <w:pStyle w:val="TOC2"/>
            <w:rPr>
              <w:rFonts w:eastAsiaTheme="minorEastAsia"/>
              <w:noProof/>
              <w:color w:val="auto"/>
            </w:rPr>
          </w:pPr>
          <w:hyperlink w:anchor="_Toc509825669" w:history="1">
            <w:r w:rsidR="00D43DC3" w:rsidRPr="005E5BA5">
              <w:rPr>
                <w:rStyle w:val="Hyperlink"/>
                <w:noProof/>
              </w:rPr>
              <w:t>A.16. Collection, Tabulation, and Publication Plans</w:t>
            </w:r>
            <w:r w:rsidR="00D43DC3">
              <w:rPr>
                <w:noProof/>
                <w:webHidden/>
              </w:rPr>
              <w:tab/>
            </w:r>
            <w:r w:rsidR="00D43DC3">
              <w:rPr>
                <w:noProof/>
                <w:webHidden/>
              </w:rPr>
              <w:fldChar w:fldCharType="begin"/>
            </w:r>
            <w:r w:rsidR="00D43DC3">
              <w:rPr>
                <w:noProof/>
                <w:webHidden/>
              </w:rPr>
              <w:instrText xml:space="preserve"> PAGEREF _Toc509825669 \h </w:instrText>
            </w:r>
            <w:r w:rsidR="00D43DC3">
              <w:rPr>
                <w:noProof/>
                <w:webHidden/>
              </w:rPr>
            </w:r>
            <w:r w:rsidR="00D43DC3">
              <w:rPr>
                <w:noProof/>
                <w:webHidden/>
              </w:rPr>
              <w:fldChar w:fldCharType="separate"/>
            </w:r>
            <w:r w:rsidR="00CC5FCB">
              <w:rPr>
                <w:noProof/>
                <w:webHidden/>
              </w:rPr>
              <w:t>12</w:t>
            </w:r>
            <w:r w:rsidR="00D43DC3">
              <w:rPr>
                <w:noProof/>
                <w:webHidden/>
              </w:rPr>
              <w:fldChar w:fldCharType="end"/>
            </w:r>
          </w:hyperlink>
        </w:p>
        <w:p w14:paraId="0080340C" w14:textId="77777777" w:rsidR="00D43DC3" w:rsidRDefault="00BC4AAC">
          <w:pPr>
            <w:pStyle w:val="TOC2"/>
            <w:rPr>
              <w:rFonts w:eastAsiaTheme="minorEastAsia"/>
              <w:noProof/>
              <w:color w:val="auto"/>
            </w:rPr>
          </w:pPr>
          <w:hyperlink w:anchor="_Toc509825670" w:history="1">
            <w:r w:rsidR="00D43DC3" w:rsidRPr="005E5BA5">
              <w:rPr>
                <w:rStyle w:val="Hyperlink"/>
                <w:noProof/>
              </w:rPr>
              <w:t>A.17. OMB Number and Expiration Date</w:t>
            </w:r>
            <w:r w:rsidR="00D43DC3">
              <w:rPr>
                <w:noProof/>
                <w:webHidden/>
              </w:rPr>
              <w:tab/>
            </w:r>
            <w:r w:rsidR="00D43DC3">
              <w:rPr>
                <w:noProof/>
                <w:webHidden/>
              </w:rPr>
              <w:fldChar w:fldCharType="begin"/>
            </w:r>
            <w:r w:rsidR="00D43DC3">
              <w:rPr>
                <w:noProof/>
                <w:webHidden/>
              </w:rPr>
              <w:instrText xml:space="preserve"> PAGEREF _Toc509825670 \h </w:instrText>
            </w:r>
            <w:r w:rsidR="00D43DC3">
              <w:rPr>
                <w:noProof/>
                <w:webHidden/>
              </w:rPr>
            </w:r>
            <w:r w:rsidR="00D43DC3">
              <w:rPr>
                <w:noProof/>
                <w:webHidden/>
              </w:rPr>
              <w:fldChar w:fldCharType="separate"/>
            </w:r>
            <w:r w:rsidR="00CC5FCB">
              <w:rPr>
                <w:noProof/>
                <w:webHidden/>
              </w:rPr>
              <w:t>12</w:t>
            </w:r>
            <w:r w:rsidR="00D43DC3">
              <w:rPr>
                <w:noProof/>
                <w:webHidden/>
              </w:rPr>
              <w:fldChar w:fldCharType="end"/>
            </w:r>
          </w:hyperlink>
        </w:p>
        <w:p w14:paraId="515957C5" w14:textId="77777777" w:rsidR="00D43DC3" w:rsidRDefault="00BC4AAC">
          <w:pPr>
            <w:pStyle w:val="TOC2"/>
            <w:rPr>
              <w:rFonts w:eastAsiaTheme="minorEastAsia"/>
              <w:noProof/>
              <w:color w:val="auto"/>
            </w:rPr>
          </w:pPr>
          <w:hyperlink w:anchor="_Toc509825671" w:history="1">
            <w:r w:rsidR="00D43DC3" w:rsidRPr="005E5BA5">
              <w:rPr>
                <w:rStyle w:val="Hyperlink"/>
                <w:noProof/>
              </w:rPr>
              <w:t>A.18. Certification Statement</w:t>
            </w:r>
            <w:r w:rsidR="00D43DC3">
              <w:rPr>
                <w:noProof/>
                <w:webHidden/>
              </w:rPr>
              <w:tab/>
            </w:r>
            <w:r w:rsidR="00D43DC3">
              <w:rPr>
                <w:noProof/>
                <w:webHidden/>
              </w:rPr>
              <w:fldChar w:fldCharType="begin"/>
            </w:r>
            <w:r w:rsidR="00D43DC3">
              <w:rPr>
                <w:noProof/>
                <w:webHidden/>
              </w:rPr>
              <w:instrText xml:space="preserve"> PAGEREF _Toc509825671 \h </w:instrText>
            </w:r>
            <w:r w:rsidR="00D43DC3">
              <w:rPr>
                <w:noProof/>
                <w:webHidden/>
              </w:rPr>
            </w:r>
            <w:r w:rsidR="00D43DC3">
              <w:rPr>
                <w:noProof/>
                <w:webHidden/>
              </w:rPr>
              <w:fldChar w:fldCharType="separate"/>
            </w:r>
            <w:r w:rsidR="00CC5FCB">
              <w:rPr>
                <w:noProof/>
                <w:webHidden/>
              </w:rPr>
              <w:t>12</w:t>
            </w:r>
            <w:r w:rsidR="00D43DC3">
              <w:rPr>
                <w:noProof/>
                <w:webHidden/>
              </w:rPr>
              <w:fldChar w:fldCharType="end"/>
            </w:r>
          </w:hyperlink>
        </w:p>
        <w:p w14:paraId="565E1FCA" w14:textId="77777777" w:rsidR="0059212D" w:rsidRDefault="0059212D">
          <w:r>
            <w:rPr>
              <w:b/>
              <w:bCs/>
              <w:noProof/>
            </w:rPr>
            <w:fldChar w:fldCharType="end"/>
          </w:r>
        </w:p>
      </w:sdtContent>
    </w:sdt>
    <w:p w14:paraId="73F66C56" w14:textId="77777777" w:rsidR="001F3A8F" w:rsidRDefault="001F3A8F" w:rsidP="00D928FD"/>
    <w:p w14:paraId="4FA704EB" w14:textId="77777777" w:rsidR="00D928FD" w:rsidRDefault="00D928FD" w:rsidP="00D928FD">
      <w:pPr>
        <w:sectPr w:rsidR="00D928FD" w:rsidSect="00725453">
          <w:footerReference w:type="first" r:id="rId14"/>
          <w:footnotePr>
            <w:pos w:val="beneathText"/>
          </w:footnotePr>
          <w:type w:val="continuous"/>
          <w:pgSz w:w="12240" w:h="15840"/>
          <w:pgMar w:top="1440" w:right="1440" w:bottom="1440" w:left="1440" w:header="720" w:footer="720" w:gutter="0"/>
          <w:pgNumType w:fmt="lowerRoman" w:start="1"/>
          <w:cols w:space="720"/>
          <w:docGrid w:linePitch="360"/>
        </w:sectPr>
      </w:pPr>
    </w:p>
    <w:p w14:paraId="557497F1" w14:textId="77777777" w:rsidR="00041909" w:rsidRDefault="00041909" w:rsidP="00836D62">
      <w:pPr>
        <w:spacing w:line="240" w:lineRule="auto"/>
        <w:sectPr w:rsidR="00041909" w:rsidSect="00725453">
          <w:footerReference w:type="first" r:id="rId15"/>
          <w:footnotePr>
            <w:pos w:val="beneathText"/>
          </w:footnotePr>
          <w:type w:val="continuous"/>
          <w:pgSz w:w="12240" w:h="15840"/>
          <w:pgMar w:top="1440" w:right="1440" w:bottom="1440" w:left="1440" w:header="720" w:footer="720" w:gutter="0"/>
          <w:pgNumType w:fmt="lowerRoman"/>
          <w:cols w:space="720"/>
          <w:docGrid w:linePitch="360"/>
        </w:sectPr>
      </w:pPr>
    </w:p>
    <w:p w14:paraId="28E7174E" w14:textId="35BAD107" w:rsidR="00B62BCC" w:rsidRPr="00EB1056" w:rsidRDefault="00B62BCC" w:rsidP="009E304F">
      <w:pPr>
        <w:pStyle w:val="Heading1"/>
      </w:pPr>
      <w:bookmarkStart w:id="4" w:name="_Toc509825652"/>
      <w:r w:rsidRPr="00EB1056">
        <w:t>Part A: Justification</w:t>
      </w:r>
      <w:bookmarkEnd w:id="4"/>
    </w:p>
    <w:p w14:paraId="230DE157" w14:textId="77777777" w:rsidR="008C734C" w:rsidRPr="00BA6C32" w:rsidRDefault="008C734C" w:rsidP="00480682">
      <w:pPr>
        <w:pStyle w:val="Heading2"/>
      </w:pPr>
      <w:bookmarkStart w:id="5" w:name="_Toc509825653"/>
      <w:r w:rsidRPr="00BA6C32">
        <w:t>Introdu</w:t>
      </w:r>
      <w:r w:rsidR="00844524" w:rsidRPr="00BA6C32">
        <w:t>ction</w:t>
      </w:r>
      <w:bookmarkEnd w:id="5"/>
    </w:p>
    <w:p w14:paraId="3EA7DF0D" w14:textId="7FFCEBC5" w:rsidR="00A41763" w:rsidRPr="00BA6C32" w:rsidRDefault="00844524" w:rsidP="009E304F">
      <w:pPr>
        <w:spacing w:before="120" w:after="120"/>
        <w:rPr>
          <w:i/>
          <w:u w:val="single"/>
        </w:rPr>
      </w:pPr>
      <w:r w:rsidRPr="009E304F">
        <w:t>The U.S. Energy Information Administration (EIA) is the statistical and analytical agency within the U.S. Department of Energy (DOE).</w:t>
      </w:r>
      <w:r w:rsidR="00401421">
        <w:t xml:space="preserve"> </w:t>
      </w:r>
      <w:r w:rsidRPr="009E304F">
        <w:t>It collects, analyzes, and disseminates independent and impartial energy information to promote sound policymaking, efficient markets, and public understanding regarding energy and its interaction with the economy and the environment.</w:t>
      </w:r>
      <w:r w:rsidR="00EF634C">
        <w:t xml:space="preserve"> </w:t>
      </w:r>
    </w:p>
    <w:p w14:paraId="2A5DAC9F" w14:textId="116C16D4" w:rsidR="00976809" w:rsidRDefault="00F56D27" w:rsidP="009E304F">
      <w:pPr>
        <w:spacing w:before="120" w:after="120"/>
      </w:pPr>
      <w:r w:rsidRPr="00BA6C32">
        <w:t>This request is for the Office of Management and Budget (OMB) approval of a</w:t>
      </w:r>
      <w:r w:rsidR="00401421">
        <w:t xml:space="preserve"> three-year extension to </w:t>
      </w:r>
      <w:r w:rsidRPr="00BA6C32">
        <w:t>Form GC-859</w:t>
      </w:r>
      <w:r w:rsidR="00401421">
        <w:t xml:space="preserve"> </w:t>
      </w:r>
      <w:r w:rsidRPr="009E304F">
        <w:rPr>
          <w:i/>
        </w:rPr>
        <w:t>Nuclear Fuel Data Survey</w:t>
      </w:r>
      <w:r w:rsidRPr="00BA6C32">
        <w:t xml:space="preserve">. EIA is </w:t>
      </w:r>
      <w:r w:rsidR="00B77781">
        <w:t>s</w:t>
      </w:r>
      <w:r w:rsidRPr="00BA6C32">
        <w:t>ubmi</w:t>
      </w:r>
      <w:r w:rsidR="00B77781">
        <w:t>tting this form</w:t>
      </w:r>
      <w:r w:rsidRPr="00BA6C32">
        <w:t xml:space="preserve"> to OMB pursuant to the Paperwork Reduction Act of 1995.</w:t>
      </w:r>
      <w:r w:rsidR="00401421">
        <w:t xml:space="preserve"> </w:t>
      </w:r>
      <w:r w:rsidRPr="00BA6C32">
        <w:t xml:space="preserve">The Nuclear Waste Policy Act of 1982 (42 U.S.C. </w:t>
      </w:r>
      <w:r w:rsidR="00965278">
        <w:t>§</w:t>
      </w:r>
      <w:r w:rsidRPr="00BA6C32">
        <w:t>10101 et seq.) require</w:t>
      </w:r>
      <w:r w:rsidR="00EF634C">
        <w:t>s that</w:t>
      </w:r>
      <w:r w:rsidRPr="00BA6C32">
        <w:t xml:space="preserve"> the</w:t>
      </w:r>
      <w:r w:rsidR="00B77781">
        <w:t xml:space="preserve"> </w:t>
      </w:r>
      <w:r w:rsidRPr="00BA6C32">
        <w:t>DOE enter into Standard Contracts with all generators or owners of spent nuclear fuel and high-level radioactive waste of domestic origin.</w:t>
      </w:r>
      <w:r w:rsidR="008751B3">
        <w:t xml:space="preserve"> To meet this policy,</w:t>
      </w:r>
      <w:r w:rsidR="00976809">
        <w:t xml:space="preserve"> </w:t>
      </w:r>
      <w:r w:rsidR="00976809" w:rsidRPr="00BA6C32">
        <w:t>Form GC-859 collect</w:t>
      </w:r>
      <w:r w:rsidR="008751B3">
        <w:t>s</w:t>
      </w:r>
      <w:r w:rsidR="00976809" w:rsidRPr="00BA6C32">
        <w:t xml:space="preserve"> information on nuclear fuel use and spent fuel discharges from all utilities that operate commercial nuclear reactors and from all others that possess irradiated fuel from commercial nuclear reactors.</w:t>
      </w:r>
      <w:r w:rsidR="007047F1" w:rsidRPr="007047F1">
        <w:t xml:space="preserve"> </w:t>
      </w:r>
      <w:r w:rsidR="005A186A">
        <w:t xml:space="preserve">The data collected includes </w:t>
      </w:r>
      <w:r w:rsidR="005A186A" w:rsidRPr="00DF25D0">
        <w:t>reactor license information, reactor cycle data, data on permanently discharged fuel, historical assembly cycle data, special fuel forms, data on canisters and their contents, pool and dry storage capacities and inventories, nonfuel components data, and data on Greater Than Class C (GT</w:t>
      </w:r>
      <w:r w:rsidR="00111B0B">
        <w:t xml:space="preserve">CC) Low-Level Radioactive Waste </w:t>
      </w:r>
      <w:r w:rsidR="005A186A" w:rsidRPr="00DF25D0">
        <w:t>(LLRW).</w:t>
      </w:r>
      <w:r w:rsidR="005A186A">
        <w:t xml:space="preserve">  </w:t>
      </w:r>
    </w:p>
    <w:p w14:paraId="163D7E50" w14:textId="6296572B" w:rsidR="007047F1" w:rsidRDefault="00976809" w:rsidP="009E304F">
      <w:pPr>
        <w:spacing w:before="120" w:after="120"/>
      </w:pPr>
      <w:r w:rsidRPr="00BA6C32">
        <w:t xml:space="preserve">EIA </w:t>
      </w:r>
      <w:r>
        <w:t xml:space="preserve">previously </w:t>
      </w:r>
      <w:r w:rsidRPr="00BA6C32">
        <w:t>collected th</w:t>
      </w:r>
      <w:r w:rsidR="00B5656A">
        <w:t>is</w:t>
      </w:r>
      <w:r>
        <w:t xml:space="preserve"> information on</w:t>
      </w:r>
      <w:r w:rsidRPr="00BA6C32">
        <w:t xml:space="preserve"> Form RW-859 for the DOE Office of Civilian Radioactive Waste Management (OCRWM).</w:t>
      </w:r>
      <w:r w:rsidRPr="00976809">
        <w:t xml:space="preserve"> </w:t>
      </w:r>
      <w:r w:rsidR="008751B3">
        <w:t>Eventually, i</w:t>
      </w:r>
      <w:r>
        <w:t>nformation collection a</w:t>
      </w:r>
      <w:r w:rsidRPr="00BA6C32">
        <w:t>ctivities were</w:t>
      </w:r>
      <w:r>
        <w:t xml:space="preserve"> </w:t>
      </w:r>
      <w:r w:rsidRPr="00BA6C32">
        <w:t>transferred to the Office of Standard Contract Management, which was created within the Office of the General Counsel (GC).</w:t>
      </w:r>
      <w:r>
        <w:t xml:space="preserve"> As a result</w:t>
      </w:r>
      <w:r w:rsidRPr="00BA6C32">
        <w:t xml:space="preserve">, the </w:t>
      </w:r>
      <w:r>
        <w:t>survey</w:t>
      </w:r>
      <w:r w:rsidRPr="00BA6C32">
        <w:t xml:space="preserve"> number was changed from Form RW-859 to Form GC-859</w:t>
      </w:r>
      <w:r>
        <w:t xml:space="preserve"> for the 2013 collection</w:t>
      </w:r>
      <w:r w:rsidRPr="00BA6C32">
        <w:t>.</w:t>
      </w:r>
    </w:p>
    <w:p w14:paraId="4924C871" w14:textId="1A76DE3B" w:rsidR="00F56D27" w:rsidRPr="00BA6C32" w:rsidRDefault="00F56D27" w:rsidP="009E304F">
      <w:pPr>
        <w:spacing w:before="120" w:after="120"/>
      </w:pPr>
      <w:r w:rsidRPr="00BA6C32">
        <w:t xml:space="preserve">Form </w:t>
      </w:r>
      <w:r w:rsidR="00FD2503" w:rsidRPr="00BA6C32">
        <w:t>GC</w:t>
      </w:r>
      <w:r w:rsidRPr="00BA6C32">
        <w:t>-859 was last collected in 20</w:t>
      </w:r>
      <w:r w:rsidR="00FD2503" w:rsidRPr="00BA6C32">
        <w:t>1</w:t>
      </w:r>
      <w:r w:rsidRPr="00BA6C32">
        <w:t xml:space="preserve">3 and was discontinued </w:t>
      </w:r>
      <w:r w:rsidR="00471159">
        <w:t xml:space="preserve">January </w:t>
      </w:r>
      <w:r w:rsidRPr="00FF679E">
        <w:t>20</w:t>
      </w:r>
      <w:r w:rsidR="001128F2" w:rsidRPr="00FF679E">
        <w:t>1</w:t>
      </w:r>
      <w:r w:rsidR="00471159">
        <w:t>6.</w:t>
      </w:r>
      <w:r w:rsidR="00401421">
        <w:t xml:space="preserve"> </w:t>
      </w:r>
      <w:r w:rsidRPr="00BA6C32">
        <w:t xml:space="preserve">The survey containing data </w:t>
      </w:r>
      <w:r w:rsidR="007047F1">
        <w:t>from</w:t>
      </w:r>
      <w:r w:rsidRPr="00BA6C32">
        <w:t xml:space="preserve"> </w:t>
      </w:r>
      <w:r w:rsidR="001128F2" w:rsidRPr="00BA6C32">
        <w:t>June 30, 2013</w:t>
      </w:r>
      <w:r w:rsidR="00E20C6F">
        <w:t xml:space="preserve"> is the last</w:t>
      </w:r>
      <w:r w:rsidRPr="00BA6C32">
        <w:t xml:space="preserve"> collected and most recent data on spent nuclear fuel discharges and storage available within DOE.</w:t>
      </w:r>
      <w:r w:rsidR="00EF634C">
        <w:t xml:space="preserve"> </w:t>
      </w:r>
      <w:r w:rsidR="0097308C">
        <w:t xml:space="preserve"> </w:t>
      </w:r>
    </w:p>
    <w:p w14:paraId="203E57A2" w14:textId="71193EB5" w:rsidR="006B57C1" w:rsidRDefault="00F56D27" w:rsidP="009E304F">
      <w:pPr>
        <w:spacing w:before="120" w:after="120"/>
      </w:pPr>
      <w:r w:rsidRPr="00BA6C32">
        <w:t xml:space="preserve">The </w:t>
      </w:r>
      <w:r w:rsidR="004740B6">
        <w:t>201</w:t>
      </w:r>
      <w:r w:rsidR="00124EB3">
        <w:t>8</w:t>
      </w:r>
      <w:r w:rsidR="004740B6">
        <w:t xml:space="preserve"> </w:t>
      </w:r>
      <w:r w:rsidR="00E43E51">
        <w:t xml:space="preserve">version of </w:t>
      </w:r>
      <w:r w:rsidRPr="00BA6C32">
        <w:t xml:space="preserve">Form GC-859 </w:t>
      </w:r>
      <w:r w:rsidR="007047F1">
        <w:t>has additional data requi</w:t>
      </w:r>
      <w:r w:rsidR="000B73A6">
        <w:t>rements compared to</w:t>
      </w:r>
      <w:r w:rsidR="007047F1">
        <w:t xml:space="preserve"> the previously approved ICR. The additional data </w:t>
      </w:r>
      <w:r w:rsidR="00B5656A">
        <w:t>are</w:t>
      </w:r>
      <w:r w:rsidR="007047F1">
        <w:t xml:space="preserve"> essential for </w:t>
      </w:r>
      <w:r w:rsidRPr="00BA6C32">
        <w:t xml:space="preserve">personnel </w:t>
      </w:r>
      <w:r w:rsidR="000B73A6" w:rsidRPr="009E304F">
        <w:t>from DOE Office of Nuclear Energy (NE), DOE Office of Environmental Management (EM), and the national laboratories to meet their research objectives of developing a range of options and supporting analyses that facilitate informed choices about how best to manage spent nuclear fuel</w:t>
      </w:r>
      <w:r w:rsidR="005A43D0">
        <w:t>.</w:t>
      </w:r>
      <w:r w:rsidR="00EF634C" w:rsidRPr="00EF634C">
        <w:rPr>
          <w:i/>
        </w:rPr>
        <w:t xml:space="preserve"> </w:t>
      </w:r>
      <w:r w:rsidR="00883732" w:rsidRPr="006F491C">
        <w:t>C</w:t>
      </w:r>
      <w:r w:rsidRPr="006F491C">
        <w:t>hanges to Form GC-859 from the last data collection in 20</w:t>
      </w:r>
      <w:r w:rsidR="008A17E6" w:rsidRPr="006F491C">
        <w:t>1</w:t>
      </w:r>
      <w:r w:rsidRPr="006F491C">
        <w:t>3 include the following:</w:t>
      </w:r>
    </w:p>
    <w:p w14:paraId="238505DA" w14:textId="52819D64" w:rsidR="006C4C06" w:rsidRDefault="00A05F2F" w:rsidP="004C2B9B">
      <w:pPr>
        <w:pStyle w:val="ListParagraph"/>
      </w:pPr>
      <w:r>
        <w:t xml:space="preserve">For </w:t>
      </w:r>
      <w:r w:rsidRPr="008A3E42">
        <w:t>fuel discharged from Ju</w:t>
      </w:r>
      <w:r>
        <w:t>ly 1, 2013 – December 31, 2017, c</w:t>
      </w:r>
      <w:r w:rsidR="000441CF">
        <w:t>ollection of fuel assembly type codes in Section C.1.</w:t>
      </w:r>
      <w:r>
        <w:t>1</w:t>
      </w:r>
      <w:r w:rsidR="000441CF">
        <w:t xml:space="preserve"> will replace fuel manufacturer and lattice size used in the 2013 GC-859. Instructions on determining the fuel assembly type code are added </w:t>
      </w:r>
      <w:r>
        <w:t>to Sections C.1 and C.1.1</w:t>
      </w:r>
      <w:r w:rsidR="00220C55">
        <w:t xml:space="preserve">, and </w:t>
      </w:r>
      <w:r w:rsidR="000441CF">
        <w:t>Appendix</w:t>
      </w:r>
      <w:r w:rsidR="00BD29C6">
        <w:t xml:space="preserve"> E</w:t>
      </w:r>
      <w:r w:rsidRPr="00A05F2F">
        <w:t xml:space="preserve"> </w:t>
      </w:r>
      <w:r>
        <w:t>contains a listing of applicable codes by plant and fuel design</w:t>
      </w:r>
      <w:r w:rsidR="000441CF">
        <w:t xml:space="preserve">. </w:t>
      </w:r>
    </w:p>
    <w:p w14:paraId="4983708D" w14:textId="224F157D" w:rsidR="000441CF" w:rsidRDefault="006C4C06" w:rsidP="0002174B">
      <w:pPr>
        <w:pStyle w:val="ListParagraph"/>
      </w:pPr>
      <w:r>
        <w:t>Since f</w:t>
      </w:r>
      <w:r w:rsidR="000441CF">
        <w:t>uel assembly type codes were last collected in the 2003 RW-859,</w:t>
      </w:r>
      <w:r w:rsidR="000441CF" w:rsidRPr="0097308C">
        <w:t xml:space="preserve"> </w:t>
      </w:r>
      <w:r w:rsidR="000441CF">
        <w:t xml:space="preserve">data from January 1, 2003 to </w:t>
      </w:r>
      <w:r w:rsidR="000E639D">
        <w:t>June 30</w:t>
      </w:r>
      <w:r w:rsidR="000441CF">
        <w:t>, 201</w:t>
      </w:r>
      <w:r w:rsidR="000E639D">
        <w:t>3</w:t>
      </w:r>
      <w:r w:rsidR="000441CF">
        <w:t xml:space="preserve"> will be collected</w:t>
      </w:r>
      <w:r>
        <w:t xml:space="preserve"> in new Section C.1.3</w:t>
      </w:r>
      <w:r w:rsidR="000441CF">
        <w:t xml:space="preserve">. </w:t>
      </w:r>
      <w:r w:rsidR="000E639D">
        <w:t xml:space="preserve"> </w:t>
      </w:r>
      <w:r w:rsidR="000441CF">
        <w:t xml:space="preserve">The input required by respondents is simplified </w:t>
      </w:r>
      <w:r w:rsidR="000E639D">
        <w:t xml:space="preserve">(as compared to entering data for each assembly) </w:t>
      </w:r>
      <w:r w:rsidR="000441CF">
        <w:t>by providing a choice of fuel type codes based on the reactor design, previously used fuel types, and reload cycle. Identification of fuel assembly type provides significantly more information about the fuel than just manufacturer and lattice size. The information derived from identifying a fuel assembly type includes cladding material, fuel features, materials of construction, fuel rod diameter, and assembly weight ranges.</w:t>
      </w:r>
    </w:p>
    <w:p w14:paraId="12020CB6" w14:textId="3199AFAD" w:rsidR="006B57C1" w:rsidRDefault="002004EB" w:rsidP="0002174B">
      <w:pPr>
        <w:pStyle w:val="ListParagraph"/>
      </w:pPr>
      <w:r>
        <w:t>“</w:t>
      </w:r>
      <w:r w:rsidR="000441CF">
        <w:t>Cumulative burnup</w:t>
      </w:r>
      <w:r>
        <w:t xml:space="preserve"> for each cycle,”</w:t>
      </w:r>
      <w:r w:rsidR="000441CF">
        <w:t xml:space="preserve"> for each assembly is added to Section C.1.2 of the survey. However, </w:t>
      </w:r>
      <w:r w:rsidR="00B5656A">
        <w:t xml:space="preserve">it is voluntary for respondents to report </w:t>
      </w:r>
      <w:r w:rsidR="000441CF">
        <w:t xml:space="preserve">all data in </w:t>
      </w:r>
      <w:r w:rsidR="003023B0">
        <w:t>S</w:t>
      </w:r>
      <w:r w:rsidR="00B5656A">
        <w:t xml:space="preserve">ection </w:t>
      </w:r>
      <w:r w:rsidR="000441CF">
        <w:t xml:space="preserve">C.1.2. </w:t>
      </w:r>
      <w:r w:rsidR="000441CF" w:rsidRPr="000976BD">
        <w:t>Under the Standard Contract, this type of cycle information is only required 60 days prior to the scheduled transportation date</w:t>
      </w:r>
      <w:r w:rsidR="000441CF">
        <w:t xml:space="preserve"> (which is currently unknown)</w:t>
      </w:r>
      <w:r w:rsidR="000441CF" w:rsidRPr="000976BD">
        <w:t>.</w:t>
      </w:r>
      <w:r w:rsidR="000441CF">
        <w:t xml:space="preserve"> This data provides the actual fuel assembly specific burnup per cycle, which is essential for accurate computational representations of the power history of the fuel assembly while in the reactor. Assembly burnup data by cycle is used to calculate discharged fuel characteristics and obtain fundamental parameters needed for spent fuel safety analyses.</w:t>
      </w:r>
    </w:p>
    <w:p w14:paraId="6394F7A2" w14:textId="4B30E264" w:rsidR="0097308C" w:rsidRDefault="00000A6A" w:rsidP="00D807D9">
      <w:pPr>
        <w:pStyle w:val="ListParagraph"/>
      </w:pPr>
      <w:r w:rsidRPr="009E304F">
        <w:rPr>
          <w:rFonts w:eastAsiaTheme="minorHAnsi"/>
        </w:rPr>
        <w:t>Collection of all discharged fuel that is shipped or transferred to other storage sites (since January 1, 2003) is added to the survey as Section C.1.4. This information was last collected in the 2003 RW-859 and allows the tracking of all spent nuclear fuel discharged by commercial reactors, regardless of current ownership or transit status</w:t>
      </w:r>
      <w:r w:rsidR="000441CF" w:rsidRPr="002514A6">
        <w:t>.</w:t>
      </w:r>
    </w:p>
    <w:p w14:paraId="336E794C" w14:textId="02A61540" w:rsidR="009D4047" w:rsidRDefault="007F3F24" w:rsidP="00D807D9">
      <w:pPr>
        <w:pStyle w:val="ListParagraph"/>
      </w:pPr>
      <w:r>
        <w:t>Section C.2 ‘Projected Assembly Discharges’ is deleted as this information is no longer needed by DOE Office of Nuclear Energy for analysis.</w:t>
      </w:r>
    </w:p>
    <w:p w14:paraId="62DE9EDA" w14:textId="3889E86E" w:rsidR="002514A6" w:rsidRDefault="009D4047" w:rsidP="00D807D9">
      <w:pPr>
        <w:pStyle w:val="ListParagraph"/>
      </w:pPr>
      <w:r>
        <w:t>Section C.3.3.1 requests information for consolidated, reconstituted, reconstructed fuel a</w:t>
      </w:r>
      <w:r w:rsidRPr="009D4047">
        <w:t>ssemblies</w:t>
      </w:r>
      <w:r>
        <w:t xml:space="preserve">. A drop-down menu </w:t>
      </w:r>
      <w:r w:rsidR="00B5656A">
        <w:t>is provided to select from</w:t>
      </w:r>
      <w:r>
        <w:t xml:space="preserve"> the three choices of fuel assemblies. </w:t>
      </w:r>
    </w:p>
    <w:p w14:paraId="2AA9364D" w14:textId="5FBE7606" w:rsidR="00C649A4" w:rsidRDefault="000441CF" w:rsidP="00D807D9">
      <w:pPr>
        <w:pStyle w:val="ListParagraph"/>
      </w:pPr>
      <w:r>
        <w:t>A note is added in Section D.3.2 ‘Multi-Assembly Canisters/Casks Inventory’ to capture deviations from standard operating procedures related to drying, backfilling, leak testing, or pad transfer processes.</w:t>
      </w:r>
    </w:p>
    <w:p w14:paraId="63EFAAA6" w14:textId="6FF54AC6" w:rsidR="00C649A4" w:rsidRDefault="006505FD" w:rsidP="00D807D9">
      <w:pPr>
        <w:pStyle w:val="ListParagraph"/>
      </w:pPr>
      <w:r>
        <w:t>Dry cask loading pattern maps with orientati</w:t>
      </w:r>
      <w:r w:rsidR="000976BD">
        <w:t>on details are added to Section</w:t>
      </w:r>
      <w:r>
        <w:t xml:space="preserve"> D.3.</w:t>
      </w:r>
      <w:r w:rsidR="000E639D">
        <w:t xml:space="preserve">2 </w:t>
      </w:r>
      <w:r>
        <w:t>of the survey. For each canister/cask model, respondents provide or reference a loading map that clearly indicates identifiers for basket cell locations relative to fixed drain and vent port locations. For systems stored horizontally, the map indicates which direction is up when placed in a horizontal storage module. The dry cask loading pattern data facilitates detailed as-loaded analyses and enables the quantification of realistic safety margins and conditions.</w:t>
      </w:r>
      <w:r w:rsidR="00C649A4" w:rsidRPr="00C649A4">
        <w:t xml:space="preserve"> </w:t>
      </w:r>
    </w:p>
    <w:p w14:paraId="79332F30" w14:textId="6BED54DB" w:rsidR="008531F7" w:rsidRDefault="008531F7" w:rsidP="00D807D9">
      <w:pPr>
        <w:pStyle w:val="ListParagraph"/>
      </w:pPr>
      <w:r>
        <w:t>Section E.2 ‘Non-fuel Components Integral to an Assembly’ is deleted and the data on non-fuel components integral to an assembly is now part of Section C.1.1.</w:t>
      </w:r>
    </w:p>
    <w:p w14:paraId="239BBD61" w14:textId="6C4C88B8" w:rsidR="002F268D" w:rsidRDefault="002F268D" w:rsidP="00D807D9">
      <w:pPr>
        <w:pStyle w:val="ListParagraph"/>
      </w:pPr>
      <w:r w:rsidRPr="001E0658">
        <w:t>Schedule G: ‘Comments’ is deleted. Comments are collected after each section.</w:t>
      </w:r>
    </w:p>
    <w:p w14:paraId="0599EA66" w14:textId="7976B0C1" w:rsidR="008531F7" w:rsidRDefault="00C649A4" w:rsidP="00D807D9">
      <w:pPr>
        <w:pStyle w:val="ListParagraph"/>
      </w:pPr>
      <w:r>
        <w:t>A copy of Standard Contract (10 CFR 961.11) Appendix E ‘General Specifications’ is added to the survey as Appendix B for the convenience of the respondents.</w:t>
      </w:r>
    </w:p>
    <w:p w14:paraId="6BC771ED" w14:textId="0762E789" w:rsidR="00143B71" w:rsidRPr="00BA6C32" w:rsidRDefault="006505FD" w:rsidP="00D807D9">
      <w:pPr>
        <w:pStyle w:val="ListParagraph"/>
      </w:pPr>
      <w:r>
        <w:t>T</w:t>
      </w:r>
      <w:r w:rsidR="00143B71">
        <w:t xml:space="preserve">he following terms have </w:t>
      </w:r>
      <w:r w:rsidR="004B67A0">
        <w:t xml:space="preserve">either </w:t>
      </w:r>
      <w:r w:rsidR="00143B71">
        <w:t xml:space="preserve">been added or </w:t>
      </w:r>
      <w:r w:rsidR="004B67A0">
        <w:t>updated to match the definition prescribed by</w:t>
      </w:r>
      <w:r w:rsidR="00143B71">
        <w:t xml:space="preserve"> the Standard Contract; </w:t>
      </w:r>
      <w:r w:rsidR="004B67A0">
        <w:t xml:space="preserve">Canister, </w:t>
      </w:r>
      <w:r w:rsidR="00143B71">
        <w:t>DOE Facility,</w:t>
      </w:r>
      <w:r w:rsidR="004B67A0">
        <w:t xml:space="preserve"> Failed Fuel,</w:t>
      </w:r>
      <w:r w:rsidR="00143B71">
        <w:t xml:space="preserve"> Multi-Assembly Canister/Cask, Non-fuel Component Identifier,</w:t>
      </w:r>
      <w:r w:rsidR="004B67A0">
        <w:t xml:space="preserve"> Non-standard Fuel and</w:t>
      </w:r>
      <w:r w:rsidR="00143B71">
        <w:t xml:space="preserve"> </w:t>
      </w:r>
      <w:r w:rsidR="004B67A0">
        <w:t xml:space="preserve">Reconstructed Assembly. </w:t>
      </w:r>
    </w:p>
    <w:p w14:paraId="1B8ACD4E" w14:textId="0F44A285" w:rsidR="00143B71" w:rsidRDefault="00143B71" w:rsidP="00D807D9">
      <w:pPr>
        <w:pStyle w:val="ListParagraph"/>
      </w:pPr>
      <w:r w:rsidRPr="006505FD">
        <w:t>Minor m</w:t>
      </w:r>
      <w:r>
        <w:t>odifications to the form</w:t>
      </w:r>
      <w:r w:rsidRPr="006505FD">
        <w:t xml:space="preserve"> and clarif</w:t>
      </w:r>
      <w:r w:rsidR="0026514B">
        <w:t>ications to the instructions were</w:t>
      </w:r>
      <w:r w:rsidRPr="006505FD">
        <w:t xml:space="preserve"> made based on </w:t>
      </w:r>
      <w:r>
        <w:t>suggested improvements</w:t>
      </w:r>
      <w:r w:rsidR="0026514B">
        <w:t xml:space="preserve"> to the</w:t>
      </w:r>
      <w:r w:rsidRPr="006505FD">
        <w:t xml:space="preserve"> previous GC-859 data collection.</w:t>
      </w:r>
      <w:r>
        <w:t xml:space="preserve"> </w:t>
      </w:r>
    </w:p>
    <w:p w14:paraId="635F76A5" w14:textId="30428059" w:rsidR="003F3CAA" w:rsidRDefault="003F3CAA" w:rsidP="00D807D9">
      <w:pPr>
        <w:pStyle w:val="ListParagraph"/>
      </w:pPr>
      <w:r>
        <w:t xml:space="preserve">The header on </w:t>
      </w:r>
      <w:r w:rsidR="008D3460">
        <w:t>the cover</w:t>
      </w:r>
      <w:r>
        <w:t xml:space="preserve"> page is updated to include the DOE and EIA logos.</w:t>
      </w:r>
    </w:p>
    <w:p w14:paraId="50541B70" w14:textId="625138E3" w:rsidR="00480682" w:rsidRPr="00143B71" w:rsidRDefault="00480682" w:rsidP="00D807D9">
      <w:pPr>
        <w:pStyle w:val="ListParagraph"/>
        <w:rPr>
          <w:rFonts w:eastAsiaTheme="majorEastAsia" w:cstheme="majorBidi"/>
          <w:color w:val="1396D8"/>
          <w:sz w:val="28"/>
          <w:szCs w:val="26"/>
          <w:highlight w:val="yellow"/>
        </w:rPr>
      </w:pPr>
      <w:r w:rsidRPr="00143B71">
        <w:rPr>
          <w:highlight w:val="yellow"/>
        </w:rPr>
        <w:br w:type="page"/>
      </w:r>
    </w:p>
    <w:p w14:paraId="0E25ACEC" w14:textId="4EAF68DE" w:rsidR="008C734C" w:rsidRPr="00BA6C32" w:rsidRDefault="008C734C" w:rsidP="00480682">
      <w:pPr>
        <w:pStyle w:val="Heading2"/>
      </w:pPr>
      <w:bookmarkStart w:id="6" w:name="_Toc509825654"/>
      <w:r w:rsidRPr="00BA6C32">
        <w:t>A.1. Legal Justification</w:t>
      </w:r>
      <w:bookmarkEnd w:id="6"/>
    </w:p>
    <w:p w14:paraId="1E07A921" w14:textId="77777777" w:rsidR="002514A6" w:rsidRDefault="002514A6" w:rsidP="006F491C"/>
    <w:p w14:paraId="363F8A47" w14:textId="77777777" w:rsidR="006F491C" w:rsidRPr="00BA6C32" w:rsidRDefault="006F491C" w:rsidP="006F491C">
      <w:r w:rsidRPr="00C55074">
        <w:t>The authority for this mandatory data collection is provided by the following provisions:</w:t>
      </w:r>
      <w:r w:rsidRPr="00BA6C32">
        <w:rPr>
          <w:b/>
          <w:bCs/>
        </w:rPr>
        <w:t xml:space="preserve"> </w:t>
      </w:r>
    </w:p>
    <w:p w14:paraId="3F84F6C5" w14:textId="41364BCC" w:rsidR="00A41B01" w:rsidRPr="00416BE3" w:rsidRDefault="00A41B01" w:rsidP="004C2B9B">
      <w:pPr>
        <w:pStyle w:val="ListParagraph"/>
        <w:numPr>
          <w:ilvl w:val="0"/>
          <w:numId w:val="50"/>
        </w:numPr>
      </w:pPr>
      <w:r w:rsidRPr="00CF4049">
        <w:t xml:space="preserve">15 U.S.C. </w:t>
      </w:r>
      <w:r w:rsidR="00666831">
        <w:t>§</w:t>
      </w:r>
      <w:r w:rsidRPr="00CF4049">
        <w:t>772(b)</w:t>
      </w:r>
      <w:r w:rsidRPr="001E4762">
        <w:t xml:space="preserve"> </w:t>
      </w:r>
      <w:r w:rsidRPr="00416BE3">
        <w:t>states:</w:t>
      </w:r>
    </w:p>
    <w:p w14:paraId="6AFBB5FC" w14:textId="77777777" w:rsidR="00A41B01" w:rsidRPr="004D4B61" w:rsidRDefault="00A41B01" w:rsidP="00A40CC6">
      <w:pPr>
        <w:ind w:left="1080"/>
      </w:pPr>
      <w:r w:rsidRPr="004D4B61">
        <w:t xml:space="preserve">"All persons owning or operating facilities or business premises who are engaged in any phase of energy supply or major energy consumption shall make available to the </w:t>
      </w:r>
      <w:r>
        <w:t>Administrator</w:t>
      </w:r>
      <w:r w:rsidRPr="004D4B61">
        <w:t xml:space="preserve"> such information and periodic reports, records, documents, and other data, relating to the purposes of this Act, including full identification of all data and projections as to source, time and methodology of development; as the </w:t>
      </w:r>
      <w:r>
        <w:t>Administrator</w:t>
      </w:r>
      <w:r w:rsidRPr="004D4B61">
        <w:t xml:space="preserve"> may prescribe by regulation or order as necessary or appropriate for the proper exercise of functions under this </w:t>
      </w:r>
      <w:r>
        <w:t>chapter</w:t>
      </w:r>
      <w:r w:rsidRPr="004D4B61">
        <w:t>."</w:t>
      </w:r>
    </w:p>
    <w:p w14:paraId="55817D41" w14:textId="47FC9D96" w:rsidR="00A41B01" w:rsidRDefault="00A41B01" w:rsidP="004C2B9B">
      <w:pPr>
        <w:pStyle w:val="ListParagraph"/>
        <w:numPr>
          <w:ilvl w:val="0"/>
          <w:numId w:val="50"/>
        </w:numPr>
      </w:pPr>
      <w:r w:rsidRPr="009E304F">
        <w:rPr>
          <w:b/>
        </w:rPr>
        <w:t xml:space="preserve">15 U.S.C. </w:t>
      </w:r>
      <w:r w:rsidR="00666831">
        <w:rPr>
          <w:b/>
        </w:rPr>
        <w:t>§</w:t>
      </w:r>
      <w:r w:rsidRPr="009E304F">
        <w:rPr>
          <w:b/>
        </w:rPr>
        <w:t>764(b)</w:t>
      </w:r>
      <w:r w:rsidRPr="004D4B61">
        <w:t xml:space="preserve"> states that to the extent authorized by </w:t>
      </w:r>
      <w:r>
        <w:t>subs</w:t>
      </w:r>
      <w:r w:rsidRPr="004D4B61">
        <w:t>ection</w:t>
      </w:r>
      <w:r>
        <w:t xml:space="preserve"> </w:t>
      </w:r>
      <w:r w:rsidRPr="004D4B61">
        <w:t xml:space="preserve">(a), the </w:t>
      </w:r>
      <w:r>
        <w:t>Administrator</w:t>
      </w:r>
      <w:r w:rsidRPr="004D4B61">
        <w:t xml:space="preserve"> shall:</w:t>
      </w:r>
    </w:p>
    <w:p w14:paraId="63AF186D" w14:textId="77777777" w:rsidR="00A41B01" w:rsidRDefault="00A41B01" w:rsidP="00A40CC6">
      <w:pPr>
        <w:ind w:left="1080"/>
      </w:pPr>
      <w:r>
        <w:t xml:space="preserve">(1) </w:t>
      </w:r>
      <w:r w:rsidRPr="004207A5">
        <w:t>advise the President and the Congress with respect to the establishment of a comprehensive national energy policy in relation to the energy matters for which the Administration has responsibility, and, in coordination with the Secretary of State, the integration of domestic and foreign policies relatin</w:t>
      </w:r>
      <w:r>
        <w:t>g to energy resource management;</w:t>
      </w:r>
    </w:p>
    <w:p w14:paraId="4F490A6D" w14:textId="77777777" w:rsidR="00A41B01" w:rsidRDefault="00A41B01" w:rsidP="00A40CC6">
      <w:pPr>
        <w:ind w:left="1080"/>
      </w:pPr>
      <w:r w:rsidRPr="004D4B61">
        <w:t xml:space="preserve">(2) </w:t>
      </w:r>
      <w:r>
        <w:t>a</w:t>
      </w:r>
      <w:r w:rsidRPr="004D4B61">
        <w:t>ssess the adequacy of energy resources to meet demands in the immediate and longer range future for all sectors of the economy</w:t>
      </w:r>
      <w:r>
        <w:t xml:space="preserve"> and for the general public;</w:t>
      </w:r>
    </w:p>
    <w:p w14:paraId="4021E8F7" w14:textId="77777777" w:rsidR="00A41B01" w:rsidRPr="004D4B61" w:rsidRDefault="00A41B01" w:rsidP="00A40CC6">
      <w:pPr>
        <w:ind w:left="1080"/>
      </w:pPr>
      <w:r>
        <w:t xml:space="preserve">(3) </w:t>
      </w:r>
      <w:r w:rsidRPr="004207A5">
        <w:t>develop effective arrangements for the participation of State and local governments in the resolution of energy problems;</w:t>
      </w:r>
    </w:p>
    <w:p w14:paraId="6FF31EC0" w14:textId="77777777" w:rsidR="00A41B01" w:rsidRPr="004D4B61" w:rsidRDefault="00A41B01" w:rsidP="00A40CC6">
      <w:pPr>
        <w:ind w:left="1080"/>
      </w:pPr>
      <w:r w:rsidRPr="004D4B61">
        <w:t>(4) develop plans and programs for dealing with energy production shortages; …</w:t>
      </w:r>
    </w:p>
    <w:p w14:paraId="5CEF8F7A" w14:textId="77777777" w:rsidR="00A41B01" w:rsidRPr="004D4B61" w:rsidRDefault="00A41B01" w:rsidP="00A40CC6">
      <w:pPr>
        <w:ind w:left="1080"/>
      </w:pPr>
      <w:r w:rsidRPr="004D4B61">
        <w:t>(5) promote stability in energy prices to the consumer, promote free and open competition in all aspects of the energy field, prevent unreasonable profits within the various segments of the energy industry, and promote free enterprise;</w:t>
      </w:r>
    </w:p>
    <w:p w14:paraId="6D603287" w14:textId="77777777" w:rsidR="00A41B01" w:rsidRPr="004D4B61" w:rsidRDefault="00A41B01" w:rsidP="00A40CC6">
      <w:pPr>
        <w:ind w:left="1080"/>
      </w:pPr>
      <w:r w:rsidRPr="004D4B61">
        <w:t>(6) assure that energy programs are designed and implemented in a fair and efficient manner so as to minimize hardship and inequity while assuring that the priority needs of the Nation are met;</w:t>
      </w:r>
    </w:p>
    <w:p w14:paraId="1E7F64DF" w14:textId="77777777" w:rsidR="00A41B01" w:rsidRPr="004D4B61" w:rsidRDefault="00A41B01" w:rsidP="00A40CC6">
      <w:pPr>
        <w:ind w:left="1080"/>
      </w:pPr>
      <w:r w:rsidRPr="004D4B61">
        <w:t>(9) collect, evaluate, assemble, and analyze energy information on reserves, production, demand, and related economic data;</w:t>
      </w:r>
      <w:r>
        <w:t xml:space="preserve"> </w:t>
      </w:r>
    </w:p>
    <w:p w14:paraId="184D945C" w14:textId="77777777" w:rsidR="00A41B01" w:rsidRDefault="00A41B01" w:rsidP="00A40CC6">
      <w:pPr>
        <w:ind w:left="1080"/>
      </w:pPr>
      <w:r w:rsidRPr="004D4B61">
        <w:t>(12) perform such other functions as may be prescribed by law."</w:t>
      </w:r>
    </w:p>
    <w:p w14:paraId="73413CA0" w14:textId="49D6941B" w:rsidR="00A41B01" w:rsidRPr="004D4B61" w:rsidRDefault="00A41B01" w:rsidP="004C2B9B">
      <w:pPr>
        <w:pStyle w:val="ListParagraph"/>
        <w:numPr>
          <w:ilvl w:val="0"/>
          <w:numId w:val="50"/>
        </w:numPr>
      </w:pPr>
      <w:r w:rsidRPr="004D4B61">
        <w:t xml:space="preserve">As the authority for invoking </w:t>
      </w:r>
      <w:r>
        <w:t xml:space="preserve">subsection </w:t>
      </w:r>
      <w:r w:rsidRPr="004D4B61">
        <w:t xml:space="preserve">(b), above, </w:t>
      </w:r>
      <w:r w:rsidRPr="009E304F">
        <w:rPr>
          <w:b/>
        </w:rPr>
        <w:t xml:space="preserve">15 U.S.C. </w:t>
      </w:r>
      <w:r w:rsidR="00666831">
        <w:rPr>
          <w:b/>
        </w:rPr>
        <w:t>§</w:t>
      </w:r>
      <w:r w:rsidRPr="009E304F">
        <w:rPr>
          <w:b/>
        </w:rPr>
        <w:t>764(a)</w:t>
      </w:r>
      <w:r>
        <w:t xml:space="preserve"> </w:t>
      </w:r>
      <w:r w:rsidRPr="004D4B61">
        <w:t>states:</w:t>
      </w:r>
    </w:p>
    <w:p w14:paraId="28BFB09A" w14:textId="77777777" w:rsidR="00A41B01" w:rsidRPr="004D4B61" w:rsidRDefault="00A41B01" w:rsidP="0002174B">
      <w:pPr>
        <w:pStyle w:val="ListParagraph"/>
        <w:numPr>
          <w:ilvl w:val="1"/>
          <w:numId w:val="50"/>
        </w:numPr>
      </w:pPr>
      <w:r w:rsidRPr="004D4B61">
        <w:t>”Subject to the provisions and procedures set forth in this Act, the [Secretary] shall be responsible for such actions as are taken to assure that adequate provision is made to meet the energy needs of the Nation. To that end, he shall make such plans and direct and conduct such programs related to the production, conservation, use, control, distribution, rationing, and allocation of all forms of energy as are appropriate in connection with only those authorities or functions</w:t>
      </w:r>
      <w:r>
        <w:t>-</w:t>
      </w:r>
    </w:p>
    <w:p w14:paraId="5CE6BBC4" w14:textId="77777777" w:rsidR="00A41B01" w:rsidRPr="004D4B61" w:rsidRDefault="00A41B01" w:rsidP="00A40CC6">
      <w:pPr>
        <w:ind w:left="1980"/>
      </w:pPr>
      <w:r>
        <w:t xml:space="preserve">(1) </w:t>
      </w:r>
      <w:r w:rsidRPr="004D4B61">
        <w:t xml:space="preserve">specifically transferred to or vested in him by or pursuant to this </w:t>
      </w:r>
      <w:r>
        <w:t>chapter;</w:t>
      </w:r>
    </w:p>
    <w:p w14:paraId="1ABE3468" w14:textId="77777777" w:rsidR="00A41B01" w:rsidRPr="004D4B61" w:rsidRDefault="00A41B01" w:rsidP="00A40CC6">
      <w:pPr>
        <w:ind w:left="1980"/>
      </w:pPr>
      <w:r>
        <w:t xml:space="preserve">(3) </w:t>
      </w:r>
      <w:r w:rsidRPr="004D4B61">
        <w:t xml:space="preserve">otherwise specifically vested in the </w:t>
      </w:r>
      <w:r>
        <w:t>Administrator</w:t>
      </w:r>
      <w:r w:rsidRPr="004D4B61">
        <w:t xml:space="preserve"> by the Congress."</w:t>
      </w:r>
    </w:p>
    <w:p w14:paraId="0DED4A55" w14:textId="32760041" w:rsidR="00A41B01" w:rsidRPr="004D4B61" w:rsidRDefault="00A41B01" w:rsidP="004C2B9B">
      <w:pPr>
        <w:pStyle w:val="ListParagraph"/>
        <w:numPr>
          <w:ilvl w:val="0"/>
          <w:numId w:val="50"/>
        </w:numPr>
      </w:pPr>
      <w:r w:rsidRPr="00003535">
        <w:t xml:space="preserve">Additional authority for this information collection is provided by </w:t>
      </w:r>
      <w:r w:rsidRPr="009E304F">
        <w:rPr>
          <w:b/>
        </w:rPr>
        <w:t xml:space="preserve">15 U.S.C. </w:t>
      </w:r>
      <w:r w:rsidR="00666831">
        <w:rPr>
          <w:b/>
        </w:rPr>
        <w:t>§</w:t>
      </w:r>
      <w:r w:rsidRPr="009E304F">
        <w:rPr>
          <w:b/>
        </w:rPr>
        <w:t>790(a)</w:t>
      </w:r>
      <w:r w:rsidRPr="00003535">
        <w:t xml:space="preserve"> which states</w:t>
      </w:r>
      <w:r>
        <w:t>;</w:t>
      </w:r>
    </w:p>
    <w:p w14:paraId="63495C78" w14:textId="77777777" w:rsidR="00A41B01" w:rsidRDefault="00A41B01" w:rsidP="0002174B">
      <w:pPr>
        <w:pStyle w:val="ListParagraph"/>
        <w:numPr>
          <w:ilvl w:val="1"/>
          <w:numId w:val="50"/>
        </w:numPr>
      </w:pPr>
      <w:r w:rsidRPr="004D4B61">
        <w:t>“</w:t>
      </w:r>
      <w:r>
        <w:t xml:space="preserve">It shall be the duty of the Director to </w:t>
      </w:r>
      <w:r w:rsidRPr="004D4B61">
        <w:t>establish a National Energy Inf</w:t>
      </w:r>
      <w:r>
        <w:t xml:space="preserve">ormation System… [which] shall </w:t>
      </w:r>
      <w:r w:rsidRPr="004D4B61">
        <w:t>contain such information as is required to provide a description of and facilitate analysis of energy supply and consumption</w:t>
      </w:r>
      <w:r>
        <w:t xml:space="preserve"> within and affecting the United States on the basis of such geographic areas and economic sectors as may be appropriate… to meet adequately the needs of…”</w:t>
      </w:r>
    </w:p>
    <w:p w14:paraId="106D4D46" w14:textId="77777777" w:rsidR="00A41B01" w:rsidRDefault="00A41B01" w:rsidP="00A40CC6">
      <w:pPr>
        <w:ind w:left="1980"/>
      </w:pPr>
      <w:r>
        <w:t>(1) the Department of Energy in carrying out its lawful functions;</w:t>
      </w:r>
    </w:p>
    <w:p w14:paraId="4C3A3C90" w14:textId="77777777" w:rsidR="00A41B01" w:rsidRDefault="00A41B01" w:rsidP="00A40CC6">
      <w:pPr>
        <w:ind w:left="1980"/>
      </w:pPr>
      <w:r>
        <w:t>(2) the Congress;</w:t>
      </w:r>
    </w:p>
    <w:p w14:paraId="71323AC0" w14:textId="77777777" w:rsidR="00A41B01" w:rsidRDefault="00A41B01" w:rsidP="00A40CC6">
      <w:pPr>
        <w:ind w:left="1980"/>
      </w:pPr>
      <w:r>
        <w:t>(3) other officers and employees of the United States in whom have been vested, or to whom have been delegated energy-related policy decision-making responsibilities;</w:t>
      </w:r>
    </w:p>
    <w:p w14:paraId="2F04BACE" w14:textId="0A1B068A" w:rsidR="00A41B01" w:rsidRPr="004D4B61" w:rsidRDefault="00A41B01" w:rsidP="00A40CC6">
      <w:pPr>
        <w:ind w:left="1980"/>
      </w:pPr>
      <w:r>
        <w:t xml:space="preserve">(4) the States to the extent required by the Natural Gas Act [15 U.S.C. </w:t>
      </w:r>
      <w:r w:rsidR="00666831">
        <w:t>§</w:t>
      </w:r>
      <w:r>
        <w:t xml:space="preserve">717 et seq.] and the Federal Power Act [16 U.S.C. </w:t>
      </w:r>
      <w:r w:rsidR="00666831">
        <w:t>§</w:t>
      </w:r>
      <w:r>
        <w:t>791a et seq.].</w:t>
      </w:r>
    </w:p>
    <w:p w14:paraId="637F4FC5" w14:textId="77777777" w:rsidR="00A41B01" w:rsidRPr="004D4B61" w:rsidRDefault="00A41B01" w:rsidP="004C2B9B">
      <w:pPr>
        <w:pStyle w:val="ListParagraph"/>
        <w:numPr>
          <w:ilvl w:val="1"/>
          <w:numId w:val="50"/>
        </w:numPr>
      </w:pPr>
      <w:r w:rsidRPr="004D4B61">
        <w:t>"</w:t>
      </w:r>
      <w:r>
        <w:t xml:space="preserve">At a minimum, </w:t>
      </w:r>
      <w:r w:rsidRPr="004D4B61">
        <w:t>the System shall contain such energy information as is necessary to carry out the Administration's statistical a</w:t>
      </w:r>
      <w:r>
        <w:t xml:space="preserve">nd forecasting activities, and shall include… </w:t>
      </w:r>
      <w:r w:rsidRPr="004D4B61">
        <w:t>such energy information as is required to</w:t>
      </w:r>
      <w:r>
        <w:t xml:space="preserve"> define and permit analysis of;</w:t>
      </w:r>
    </w:p>
    <w:p w14:paraId="262417BA" w14:textId="77777777" w:rsidR="00A41B01" w:rsidRPr="004D4B61" w:rsidRDefault="00A41B01" w:rsidP="00A40CC6">
      <w:pPr>
        <w:ind w:left="1980"/>
      </w:pPr>
      <w:r>
        <w:t xml:space="preserve">(1) </w:t>
      </w:r>
      <w:r w:rsidRPr="004D4B61">
        <w:t>the institutional structure of the energy supply system including patterns of ownership and control of mineral fuel and non-mineral energy resources and the production, distribution, and marketing of mineral fuels and electricity;</w:t>
      </w:r>
    </w:p>
    <w:p w14:paraId="51AF0845" w14:textId="77777777" w:rsidR="00A41B01" w:rsidRPr="004D4B61" w:rsidRDefault="00A41B01" w:rsidP="00A40CC6">
      <w:pPr>
        <w:ind w:left="1980"/>
      </w:pPr>
      <w:r>
        <w:t xml:space="preserve">(2) the </w:t>
      </w:r>
      <w:r w:rsidRPr="004D4B61">
        <w:t xml:space="preserve">consumption of mineral fuels, non-mineral energy resources, and electricity by such classes, sectors, and regions as may be appropriate for the purposes of this </w:t>
      </w:r>
      <w:r>
        <w:t>chapter</w:t>
      </w:r>
      <w:r w:rsidRPr="004D4B61">
        <w:t>;</w:t>
      </w:r>
    </w:p>
    <w:p w14:paraId="42DD26C4" w14:textId="77777777" w:rsidR="00A41B01" w:rsidRDefault="00A41B01" w:rsidP="00A40CC6">
      <w:pPr>
        <w:ind w:left="1980"/>
      </w:pPr>
      <w:r>
        <w:t>(5) i</w:t>
      </w:r>
      <w:r w:rsidRPr="004D4B61">
        <w:t>ndustrial, labor, and regional impacts of changes in patterns of</w:t>
      </w:r>
      <w:r>
        <w:t xml:space="preserve"> energy supply and consumption;</w:t>
      </w:r>
    </w:p>
    <w:p w14:paraId="39251607" w14:textId="77777777" w:rsidR="00A41B01" w:rsidRDefault="00A41B01" w:rsidP="00A40CC6">
      <w:pPr>
        <w:ind w:left="1980"/>
      </w:pPr>
      <w:r>
        <w:t>(6) international aspects, economic and otherwise, of the evolving energy situation; and</w:t>
      </w:r>
    </w:p>
    <w:p w14:paraId="5ECAE8CD" w14:textId="77777777" w:rsidR="00A41B01" w:rsidRDefault="00A41B01" w:rsidP="00A40CC6">
      <w:pPr>
        <w:ind w:left="1980"/>
      </w:pPr>
      <w:r>
        <w:t>(7) long-term relationships between energy supply and consumption in the United States and world communities.”</w:t>
      </w:r>
    </w:p>
    <w:p w14:paraId="642D9D57" w14:textId="338DD8CD" w:rsidR="0043145E" w:rsidRPr="00BA6C32" w:rsidRDefault="0043145E" w:rsidP="004C2B9B">
      <w:pPr>
        <w:pStyle w:val="ListParagraph"/>
        <w:numPr>
          <w:ilvl w:val="0"/>
          <w:numId w:val="50"/>
        </w:numPr>
      </w:pPr>
      <w:r w:rsidRPr="00C55074">
        <w:t>Authority for the specific collection of nuclear fuel data comes from the Nuclear Waste Policy Act (NWPA) of 1982</w:t>
      </w:r>
      <w:r>
        <w:t xml:space="preserve">, </w:t>
      </w:r>
      <w:r w:rsidRPr="00C55074">
        <w:t>Public Law 97-425</w:t>
      </w:r>
      <w:r>
        <w:t xml:space="preserve">, as codified in </w:t>
      </w:r>
      <w:r w:rsidRPr="0043145E">
        <w:rPr>
          <w:b/>
        </w:rPr>
        <w:t xml:space="preserve">42 U.S.C. </w:t>
      </w:r>
      <w:r w:rsidR="006C005A">
        <w:rPr>
          <w:b/>
        </w:rPr>
        <w:t>§</w:t>
      </w:r>
      <w:r w:rsidRPr="0043145E">
        <w:rPr>
          <w:b/>
        </w:rPr>
        <w:t>10222 (a)(1)</w:t>
      </w:r>
      <w:r w:rsidRPr="00C55074">
        <w:t xml:space="preserve"> states:</w:t>
      </w:r>
      <w:r w:rsidRPr="00BA6C32" w:rsidDel="006D4E73">
        <w:t xml:space="preserve"> </w:t>
      </w:r>
    </w:p>
    <w:p w14:paraId="553AEAE7" w14:textId="77777777" w:rsidR="006F491C" w:rsidRPr="00C55074" w:rsidRDefault="006F491C" w:rsidP="00A40CC6">
      <w:pPr>
        <w:ind w:left="1440"/>
      </w:pPr>
      <w:r w:rsidRPr="00C55074">
        <w:t>CONTRACTS (1)...“The Secretary is authorized to enter into contracts with any person who generates or holds title to high-level radioactive waste, or spent nuclear fuel, of domestic origin for the acceptance of title, subsequent transportation, and disposal of such waste or spent fuel.”</w:t>
      </w:r>
    </w:p>
    <w:p w14:paraId="50528CF0" w14:textId="77777777" w:rsidR="006F491C" w:rsidRPr="00C55074" w:rsidRDefault="006F491C" w:rsidP="004C2B9B">
      <w:pPr>
        <w:pStyle w:val="ListParagraph"/>
        <w:numPr>
          <w:ilvl w:val="0"/>
          <w:numId w:val="50"/>
        </w:numPr>
      </w:pPr>
      <w:r w:rsidRPr="00C55074">
        <w:t>The full Standard Contract for Disposal of Spent Nuclear Fuel and/or High-Level Radioactive Waste, 10 CFR Part 961, can be viewed at:</w:t>
      </w:r>
    </w:p>
    <w:p w14:paraId="09F5B80B" w14:textId="77777777" w:rsidR="006F491C" w:rsidRPr="00C55074" w:rsidRDefault="00BC4AAC" w:rsidP="0002174B">
      <w:pPr>
        <w:pStyle w:val="ListParagraph"/>
        <w:numPr>
          <w:ilvl w:val="1"/>
          <w:numId w:val="50"/>
        </w:numPr>
      </w:pPr>
      <w:hyperlink r:id="rId16" w:history="1">
        <w:r w:rsidR="006F491C" w:rsidRPr="00D807D9">
          <w:rPr>
            <w:rStyle w:val="Hyperlink"/>
            <w:color w:val="auto"/>
          </w:rPr>
          <w:t>http://energy.gov/sites/prod/files/gcprod/documents/New_Standard_Contract.pdf</w:t>
        </w:r>
      </w:hyperlink>
    </w:p>
    <w:p w14:paraId="32A24434" w14:textId="77777777" w:rsidR="006F491C" w:rsidRPr="00BA6C32" w:rsidRDefault="006F491C" w:rsidP="00D807D9">
      <w:pPr>
        <w:pStyle w:val="ListParagraph"/>
        <w:numPr>
          <w:ilvl w:val="0"/>
          <w:numId w:val="50"/>
        </w:numPr>
      </w:pPr>
      <w:r w:rsidRPr="00BA6C32">
        <w:t>Subpart B, Standard Contract for Disposal of Spent Nuclear Fuel and/or High-Level Radioactive Waste, Part 961.11, Article IV, Responsibility of the Parties, states:</w:t>
      </w:r>
    </w:p>
    <w:p w14:paraId="161F604D" w14:textId="49558987" w:rsidR="006F491C" w:rsidRPr="00BA6C32" w:rsidRDefault="006F491C" w:rsidP="00D807D9">
      <w:pPr>
        <w:pStyle w:val="ListParagraph"/>
        <w:numPr>
          <w:ilvl w:val="1"/>
          <w:numId w:val="50"/>
        </w:numPr>
      </w:pPr>
      <w:r w:rsidRPr="00BA6C32">
        <w:t>PURCHASER’S RESPONSIBILITIES (1)</w:t>
      </w:r>
      <w:r w:rsidR="00EF634C">
        <w:t xml:space="preserve"> </w:t>
      </w:r>
      <w:r w:rsidRPr="00BA6C32">
        <w:t>Discharge Information</w:t>
      </w:r>
    </w:p>
    <w:p w14:paraId="4CBE228B" w14:textId="77777777" w:rsidR="006F491C" w:rsidRPr="00C55074" w:rsidRDefault="006F491C" w:rsidP="00D807D9">
      <w:pPr>
        <w:pStyle w:val="ListParagraph"/>
        <w:numPr>
          <w:ilvl w:val="2"/>
          <w:numId w:val="50"/>
        </w:numPr>
      </w:pPr>
      <w:r w:rsidRPr="00C55074">
        <w:t>“On an annual basis, commencing October 1, 1983, the Purchaser shall provide DOE with information on actual discharges to date and projected discharges for the next discharges to date and projected discharges for the next ten (10) years in the form and content set forth in Appendix B, annexed hereto and made a part hereof. The information to be provided will include estimates and projections and will not be Purchaser's firm commitment with respect to discharges or deliveries.</w:t>
      </w:r>
    </w:p>
    <w:p w14:paraId="35400DA8" w14:textId="77777777" w:rsidR="006F491C" w:rsidRPr="00BA6C32" w:rsidRDefault="006F491C" w:rsidP="00D807D9">
      <w:pPr>
        <w:pStyle w:val="ListParagraph"/>
        <w:numPr>
          <w:ilvl w:val="2"/>
          <w:numId w:val="50"/>
        </w:numPr>
      </w:pPr>
      <w:r w:rsidRPr="00BA6C32">
        <w:t>No later than October 1, 1983, the Purchaser shall provide DOE with specific information on:</w:t>
      </w:r>
    </w:p>
    <w:p w14:paraId="7558B3BB" w14:textId="77777777" w:rsidR="006F491C" w:rsidRPr="00BA6C32" w:rsidRDefault="006F491C" w:rsidP="00D807D9">
      <w:pPr>
        <w:pStyle w:val="ListParagraph"/>
        <w:numPr>
          <w:ilvl w:val="3"/>
          <w:numId w:val="50"/>
        </w:numPr>
      </w:pPr>
      <w:r w:rsidRPr="00BA6C32">
        <w:t>Total spent nuclear fuel inventory as of April 7, 1983;</w:t>
      </w:r>
    </w:p>
    <w:p w14:paraId="66F3F4A2" w14:textId="77777777" w:rsidR="006F491C" w:rsidRPr="00BA6C32" w:rsidRDefault="006F491C" w:rsidP="00D807D9">
      <w:pPr>
        <w:pStyle w:val="ListParagraph"/>
        <w:numPr>
          <w:ilvl w:val="3"/>
          <w:numId w:val="50"/>
        </w:numPr>
      </w:pPr>
      <w:r w:rsidRPr="00C55074">
        <w:t>Total number of fuel assemblies removed from the particular reactor core prior to April 7, 1983 for which there are plans for reinsertion in the core, indicating the current planned dates for reinsertion in the core. Estimates of the burned and unburned portion of each individual assembly are to be provided.”</w:t>
      </w:r>
    </w:p>
    <w:p w14:paraId="2195311B" w14:textId="77777777" w:rsidR="006F491C" w:rsidRDefault="006F491C" w:rsidP="00A41763"/>
    <w:p w14:paraId="6C6C9508" w14:textId="4DFD415B" w:rsidR="008C734C" w:rsidRPr="00BA6C32" w:rsidRDefault="006F491C" w:rsidP="00480682">
      <w:pPr>
        <w:pStyle w:val="Heading2"/>
      </w:pPr>
      <w:r w:rsidRPr="0023757A" w:rsidDel="006F491C">
        <w:t xml:space="preserve"> </w:t>
      </w:r>
      <w:bookmarkStart w:id="7" w:name="_Toc509825655"/>
      <w:r w:rsidR="008C734C" w:rsidRPr="00BA6C32">
        <w:t>A.2. Needs and Uses of Data</w:t>
      </w:r>
      <w:bookmarkEnd w:id="7"/>
    </w:p>
    <w:p w14:paraId="1C9E572F" w14:textId="31AA94D4" w:rsidR="008C7E2B" w:rsidRPr="009E304F" w:rsidRDefault="008C7E2B" w:rsidP="009E304F">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spacing w:before="120" w:after="0"/>
        <w:ind w:right="72"/>
      </w:pPr>
      <w:r w:rsidRPr="009E304F">
        <w:t>The information obtained by Form GC</w:t>
      </w:r>
      <w:r w:rsidRPr="009E304F">
        <w:noBreakHyphen/>
        <w:t>859 is the original data upon which the Office of Standard Contract Management activities are based.</w:t>
      </w:r>
      <w:r w:rsidR="00EF634C">
        <w:t xml:space="preserve"> </w:t>
      </w:r>
      <w:r w:rsidRPr="009E304F">
        <w:t xml:space="preserve">A key requirement for the success of this program is an information system with detailed data on the quantity of radioactive waste material currently in storage at commercial nuclear facilities and the amount of additional waste likely to be produced over the operating lives of existing and planned nuclear reactors. This information is necessary to understand and explore the specific requirements of developing and conducting these programs, and thereby, to effectuate the purposes of the NWPA. </w:t>
      </w:r>
    </w:p>
    <w:p w14:paraId="0183628C" w14:textId="65C10F14" w:rsidR="008C7E2B" w:rsidRDefault="008C7E2B" w:rsidP="009E304F">
      <w:pPr>
        <w:pStyle w:val="BodyTextIndent2"/>
        <w:spacing w:before="120" w:after="0" w:line="240" w:lineRule="auto"/>
        <w:ind w:left="0"/>
        <w:rPr>
          <w:rFonts w:asciiTheme="minorHAnsi" w:hAnsiTheme="minorHAnsi"/>
          <w:sz w:val="22"/>
          <w:szCs w:val="22"/>
        </w:rPr>
      </w:pPr>
      <w:r w:rsidRPr="009E304F">
        <w:rPr>
          <w:rFonts w:asciiTheme="minorHAnsi" w:hAnsiTheme="minorHAnsi"/>
          <w:sz w:val="22"/>
          <w:szCs w:val="22"/>
        </w:rPr>
        <w:t>The detailed data collected on Form GC</w:t>
      </w:r>
      <w:r w:rsidRPr="009E304F">
        <w:rPr>
          <w:rFonts w:asciiTheme="minorHAnsi" w:hAnsiTheme="minorHAnsi"/>
          <w:sz w:val="22"/>
          <w:szCs w:val="22"/>
        </w:rPr>
        <w:noBreakHyphen/>
        <w:t xml:space="preserve">859 are </w:t>
      </w:r>
      <w:r w:rsidR="00E30E46">
        <w:rPr>
          <w:rFonts w:asciiTheme="minorHAnsi" w:hAnsiTheme="minorHAnsi"/>
          <w:sz w:val="22"/>
          <w:szCs w:val="22"/>
        </w:rPr>
        <w:t>critical</w:t>
      </w:r>
      <w:r w:rsidRPr="009E304F">
        <w:rPr>
          <w:rFonts w:asciiTheme="minorHAnsi" w:hAnsiTheme="minorHAnsi"/>
          <w:sz w:val="22"/>
          <w:szCs w:val="22"/>
        </w:rPr>
        <w:t xml:space="preserve"> for assessing spent fuel storage requirements.</w:t>
      </w:r>
      <w:r w:rsidR="00EF634C">
        <w:rPr>
          <w:rFonts w:asciiTheme="minorHAnsi" w:hAnsiTheme="minorHAnsi"/>
          <w:sz w:val="22"/>
          <w:szCs w:val="22"/>
        </w:rPr>
        <w:t xml:space="preserve"> </w:t>
      </w:r>
      <w:r w:rsidRPr="009E304F">
        <w:rPr>
          <w:rFonts w:asciiTheme="minorHAnsi" w:hAnsiTheme="minorHAnsi"/>
          <w:sz w:val="22"/>
          <w:szCs w:val="22"/>
        </w:rPr>
        <w:t>The data also constitute inputs to a number of nuclear fuel data bases maintained by the DOE National Laboratories.</w:t>
      </w:r>
      <w:r w:rsidR="00EF634C">
        <w:rPr>
          <w:rFonts w:asciiTheme="minorHAnsi" w:hAnsiTheme="minorHAnsi"/>
          <w:sz w:val="22"/>
          <w:szCs w:val="22"/>
        </w:rPr>
        <w:t xml:space="preserve"> </w:t>
      </w:r>
      <w:r w:rsidRPr="009E304F">
        <w:rPr>
          <w:rFonts w:asciiTheme="minorHAnsi" w:hAnsiTheme="minorHAnsi"/>
          <w:sz w:val="22"/>
          <w:szCs w:val="22"/>
        </w:rPr>
        <w:t>For example, discharge dates, assembly types, burnups, and initial enrichments are used by analysts to calculate the gamma, neutron, other radiation, and heat intensities for shielding design and thermal design of facilities and equipment, as well as the isotopic inventories of the fuel to be emplaced in a future repository.</w:t>
      </w:r>
      <w:r w:rsidR="00EF634C">
        <w:rPr>
          <w:rFonts w:asciiTheme="minorHAnsi" w:hAnsiTheme="minorHAnsi"/>
          <w:sz w:val="22"/>
          <w:szCs w:val="22"/>
        </w:rPr>
        <w:t xml:space="preserve"> </w:t>
      </w:r>
      <w:r w:rsidRPr="009E304F">
        <w:rPr>
          <w:rFonts w:asciiTheme="minorHAnsi" w:hAnsiTheme="minorHAnsi"/>
          <w:sz w:val="22"/>
          <w:szCs w:val="22"/>
        </w:rPr>
        <w:t xml:space="preserve">The quantities and dimensions of nuclear fuel are used to </w:t>
      </w:r>
      <w:r w:rsidR="0046056D">
        <w:rPr>
          <w:rFonts w:asciiTheme="minorHAnsi" w:hAnsiTheme="minorHAnsi"/>
          <w:sz w:val="22"/>
          <w:szCs w:val="22"/>
        </w:rPr>
        <w:t>estimate the</w:t>
      </w:r>
      <w:r w:rsidRPr="009E304F">
        <w:rPr>
          <w:rFonts w:asciiTheme="minorHAnsi" w:hAnsiTheme="minorHAnsi"/>
          <w:sz w:val="22"/>
          <w:szCs w:val="22"/>
        </w:rPr>
        <w:t xml:space="preserve"> size </w:t>
      </w:r>
      <w:r w:rsidR="0046056D">
        <w:rPr>
          <w:rFonts w:asciiTheme="minorHAnsi" w:hAnsiTheme="minorHAnsi"/>
          <w:sz w:val="22"/>
          <w:szCs w:val="22"/>
        </w:rPr>
        <w:t xml:space="preserve">of </w:t>
      </w:r>
      <w:r w:rsidRPr="009E304F">
        <w:rPr>
          <w:rFonts w:asciiTheme="minorHAnsi" w:hAnsiTheme="minorHAnsi"/>
          <w:sz w:val="22"/>
          <w:szCs w:val="22"/>
        </w:rPr>
        <w:t xml:space="preserve">the facilities and </w:t>
      </w:r>
      <w:r w:rsidR="0046056D">
        <w:rPr>
          <w:rFonts w:asciiTheme="minorHAnsi" w:hAnsiTheme="minorHAnsi"/>
          <w:sz w:val="22"/>
          <w:szCs w:val="22"/>
        </w:rPr>
        <w:t xml:space="preserve">capacity of the </w:t>
      </w:r>
      <w:r w:rsidRPr="009E304F">
        <w:rPr>
          <w:rFonts w:asciiTheme="minorHAnsi" w:hAnsiTheme="minorHAnsi"/>
          <w:sz w:val="22"/>
          <w:szCs w:val="22"/>
        </w:rPr>
        <w:t>equipment.</w:t>
      </w:r>
      <w:r w:rsidR="00EF634C">
        <w:rPr>
          <w:rFonts w:asciiTheme="minorHAnsi" w:hAnsiTheme="minorHAnsi"/>
          <w:sz w:val="22"/>
          <w:szCs w:val="22"/>
        </w:rPr>
        <w:t xml:space="preserve"> </w:t>
      </w:r>
      <w:r w:rsidRPr="009E304F">
        <w:rPr>
          <w:rFonts w:asciiTheme="minorHAnsi" w:hAnsiTheme="minorHAnsi"/>
          <w:sz w:val="22"/>
          <w:szCs w:val="22"/>
        </w:rPr>
        <w:t>Trends based on historical spent nuclear fuel data provided by the respondents are used by the DOE to estimate future discharges from U.S. commercial nuclear reactors and their characteristics.</w:t>
      </w:r>
      <w:r w:rsidR="00EF634C">
        <w:rPr>
          <w:rFonts w:asciiTheme="minorHAnsi" w:hAnsiTheme="minorHAnsi"/>
          <w:sz w:val="22"/>
          <w:szCs w:val="22"/>
        </w:rPr>
        <w:t xml:space="preserve"> </w:t>
      </w:r>
      <w:r w:rsidRPr="009E304F">
        <w:rPr>
          <w:rFonts w:asciiTheme="minorHAnsi" w:hAnsiTheme="minorHAnsi"/>
          <w:sz w:val="22"/>
          <w:szCs w:val="22"/>
        </w:rPr>
        <w:t>The projected need for additional spent fuel storage capacity is based on these estimated cumulative discharges, and on the estimated maximum storage capacity of both at-reactor and away-from-reactor storage facilities.</w:t>
      </w:r>
    </w:p>
    <w:p w14:paraId="1044F782" w14:textId="794CA6D6" w:rsidR="002C4890" w:rsidRPr="009E304F" w:rsidRDefault="00441D2A" w:rsidP="009E304F">
      <w:pPr>
        <w:pStyle w:val="BodyTextIndent2"/>
        <w:spacing w:before="120" w:after="0" w:line="240" w:lineRule="auto"/>
        <w:ind w:left="0"/>
        <w:rPr>
          <w:rStyle w:val="Hyperlink"/>
          <w:b/>
        </w:rPr>
      </w:pPr>
      <w:r>
        <w:rPr>
          <w:rFonts w:asciiTheme="minorHAnsi" w:hAnsiTheme="minorHAnsi"/>
          <w:sz w:val="22"/>
          <w:szCs w:val="22"/>
        </w:rPr>
        <w:t xml:space="preserve">The information is also used </w:t>
      </w:r>
      <w:r w:rsidR="0046056D">
        <w:rPr>
          <w:rFonts w:asciiTheme="minorHAnsi" w:hAnsiTheme="minorHAnsi"/>
          <w:sz w:val="22"/>
          <w:szCs w:val="22"/>
        </w:rPr>
        <w:t>in</w:t>
      </w:r>
      <w:r>
        <w:rPr>
          <w:rFonts w:asciiTheme="minorHAnsi" w:hAnsiTheme="minorHAnsi"/>
          <w:sz w:val="22"/>
          <w:szCs w:val="22"/>
        </w:rPr>
        <w:t xml:space="preserve"> publications </w:t>
      </w:r>
      <w:r w:rsidR="0046056D">
        <w:rPr>
          <w:rFonts w:asciiTheme="minorHAnsi" w:hAnsiTheme="minorHAnsi"/>
          <w:sz w:val="22"/>
          <w:szCs w:val="22"/>
        </w:rPr>
        <w:t>by</w:t>
      </w:r>
      <w:r>
        <w:rPr>
          <w:rFonts w:asciiTheme="minorHAnsi" w:hAnsiTheme="minorHAnsi"/>
          <w:sz w:val="22"/>
          <w:szCs w:val="22"/>
        </w:rPr>
        <w:t xml:space="preserve"> various stakeholders </w:t>
      </w:r>
      <w:r w:rsidR="0046056D">
        <w:rPr>
          <w:rFonts w:asciiTheme="minorHAnsi" w:hAnsiTheme="minorHAnsi"/>
          <w:sz w:val="22"/>
          <w:szCs w:val="22"/>
        </w:rPr>
        <w:t>for a range of uses and purposes</w:t>
      </w:r>
      <w:r w:rsidR="003023B0">
        <w:rPr>
          <w:rFonts w:asciiTheme="minorHAnsi" w:hAnsiTheme="minorHAnsi"/>
          <w:sz w:val="22"/>
          <w:szCs w:val="22"/>
        </w:rPr>
        <w:t>.</w:t>
      </w:r>
    </w:p>
    <w:p w14:paraId="1A3AECF2" w14:textId="4AB6FC27" w:rsidR="0025314A" w:rsidRDefault="00BC4AAC" w:rsidP="004C2B9B">
      <w:pPr>
        <w:pStyle w:val="ListParagraph"/>
        <w:rPr>
          <w:rStyle w:val="Hyperlink"/>
          <w:color w:val="auto"/>
          <w:sz w:val="24"/>
          <w:szCs w:val="24"/>
        </w:rPr>
      </w:pPr>
      <w:hyperlink r:id="rId17" w:history="1">
        <w:r w:rsidR="00B84576" w:rsidRPr="00D807D9">
          <w:rPr>
            <w:rStyle w:val="Hyperlink"/>
            <w:color w:val="auto"/>
          </w:rPr>
          <w:t>DOE/RW-0567: Acceptance Priority Ranking (APR) and Annual Capacity Report, July 2004</w:t>
        </w:r>
      </w:hyperlink>
      <w:r w:rsidR="00B84576" w:rsidRPr="00D807D9">
        <w:rPr>
          <w:rStyle w:val="Hyperlink"/>
          <w:color w:val="auto"/>
        </w:rPr>
        <w:t xml:space="preserve"> </w:t>
      </w:r>
    </w:p>
    <w:p w14:paraId="752DF028" w14:textId="73B99351" w:rsidR="0025314A" w:rsidRPr="009E304F" w:rsidRDefault="00BC4AAC" w:rsidP="0002174B">
      <w:pPr>
        <w:pStyle w:val="ListParagraph"/>
        <w:rPr>
          <w:rStyle w:val="Hyperlink"/>
          <w:color w:val="auto"/>
        </w:rPr>
      </w:pPr>
      <w:hyperlink r:id="rId18" w:history="1">
        <w:r w:rsidR="0025314A" w:rsidRPr="009E304F">
          <w:rPr>
            <w:rStyle w:val="Hyperlink"/>
            <w:color w:val="auto"/>
          </w:rPr>
          <w:t>Department of Nuclear, Plasma, and Radiological Engineering, University of Illinois at Urbana-Champaign: Benefits of Siting a Borehole Repository on Non-Operating Nuclear Facility</w:t>
        </w:r>
      </w:hyperlink>
    </w:p>
    <w:p w14:paraId="02B89562" w14:textId="6285FBEA" w:rsidR="00634F09" w:rsidRPr="009E304F" w:rsidRDefault="00BC4AAC" w:rsidP="009E304F">
      <w:pPr>
        <w:pStyle w:val="BodyTextIndent2"/>
        <w:numPr>
          <w:ilvl w:val="0"/>
          <w:numId w:val="59"/>
        </w:numPr>
        <w:spacing w:before="120" w:after="0" w:line="240" w:lineRule="auto"/>
        <w:rPr>
          <w:rStyle w:val="Hyperlink"/>
          <w:color w:val="auto"/>
          <w:sz w:val="22"/>
          <w:szCs w:val="22"/>
        </w:rPr>
      </w:pPr>
      <w:hyperlink r:id="rId19" w:history="1">
        <w:r w:rsidR="00634F09" w:rsidRPr="009E304F">
          <w:rPr>
            <w:rStyle w:val="Hyperlink"/>
            <w:color w:val="auto"/>
            <w:sz w:val="22"/>
            <w:szCs w:val="22"/>
          </w:rPr>
          <w:t>DOE Report FCRD- NFST-20</w:t>
        </w:r>
        <w:r w:rsidR="00B84576" w:rsidRPr="009E304F">
          <w:rPr>
            <w:rStyle w:val="Hyperlink"/>
            <w:color w:val="auto"/>
            <w:sz w:val="22"/>
            <w:szCs w:val="22"/>
          </w:rPr>
          <w:t xml:space="preserve">16-000478: </w:t>
        </w:r>
        <w:r w:rsidR="00634F09" w:rsidRPr="009E304F">
          <w:rPr>
            <w:rStyle w:val="Hyperlink"/>
            <w:color w:val="auto"/>
            <w:sz w:val="22"/>
            <w:szCs w:val="22"/>
          </w:rPr>
          <w:t>Preliminary Evaluation of Removing Used Nuclear Fuel from Shutdown Sites, September 30, 2016</w:t>
        </w:r>
      </w:hyperlink>
    </w:p>
    <w:p w14:paraId="02D65635" w14:textId="77777777" w:rsidR="008C734C" w:rsidRPr="00BA6C32" w:rsidRDefault="008C734C" w:rsidP="00480682">
      <w:pPr>
        <w:pStyle w:val="Heading2"/>
      </w:pPr>
      <w:bookmarkStart w:id="8" w:name="_Toc509825656"/>
      <w:r w:rsidRPr="00BA6C32">
        <w:t>A.</w:t>
      </w:r>
      <w:r w:rsidR="00A41763" w:rsidRPr="00BA6C32">
        <w:t xml:space="preserve">3. </w:t>
      </w:r>
      <w:r w:rsidRPr="00BA6C32">
        <w:t>Use of Technology</w:t>
      </w:r>
      <w:bookmarkEnd w:id="8"/>
    </w:p>
    <w:p w14:paraId="73B5D3BE" w14:textId="4FCA038F" w:rsidR="000942F6" w:rsidRPr="009E304F" w:rsidRDefault="000942F6" w:rsidP="009E304F">
      <w:pPr>
        <w:spacing w:before="120" w:after="120" w:line="276" w:lineRule="auto"/>
      </w:pPr>
      <w:r w:rsidRPr="009E304F">
        <w:rPr>
          <w:lang w:val="en-CA"/>
        </w:rPr>
        <w:t>EIA continues</w:t>
      </w:r>
      <w:r w:rsidR="0046056D">
        <w:rPr>
          <w:lang w:val="en-CA"/>
        </w:rPr>
        <w:t xml:space="preserve"> to</w:t>
      </w:r>
      <w:r w:rsidRPr="009E304F">
        <w:rPr>
          <w:lang w:val="en-CA"/>
        </w:rPr>
        <w:t xml:space="preserve"> improve </w:t>
      </w:r>
      <w:r w:rsidR="00537DC9">
        <w:rPr>
          <w:lang w:val="en-CA"/>
        </w:rPr>
        <w:t xml:space="preserve">survey </w:t>
      </w:r>
      <w:r w:rsidRPr="009E304F">
        <w:rPr>
          <w:lang w:val="en-CA"/>
        </w:rPr>
        <w:t>reporting options</w:t>
      </w:r>
      <w:r w:rsidR="007C5ECF">
        <w:rPr>
          <w:lang w:val="en-CA"/>
        </w:rPr>
        <w:t xml:space="preserve"> through the use of information technology</w:t>
      </w:r>
      <w:r w:rsidRPr="009E304F">
        <w:rPr>
          <w:lang w:val="en-CA"/>
        </w:rPr>
        <w:t>.</w:t>
      </w:r>
      <w:r w:rsidR="003030D8">
        <w:rPr>
          <w:lang w:val="en-CA"/>
        </w:rPr>
        <w:t xml:space="preserve"> </w:t>
      </w:r>
      <w:r w:rsidRPr="009E304F">
        <w:rPr>
          <w:lang w:val="en-CA"/>
        </w:rPr>
        <w:t>Form GC-859</w:t>
      </w:r>
      <w:r w:rsidR="003030D8">
        <w:rPr>
          <w:lang w:val="en-CA"/>
        </w:rPr>
        <w:t xml:space="preserve"> </w:t>
      </w:r>
      <w:r w:rsidRPr="009E304F">
        <w:rPr>
          <w:lang w:val="en-CA"/>
        </w:rPr>
        <w:t>use</w:t>
      </w:r>
      <w:r w:rsidR="00BA6C32">
        <w:rPr>
          <w:lang w:val="en-CA"/>
        </w:rPr>
        <w:t>s</w:t>
      </w:r>
      <w:r w:rsidRPr="009E304F">
        <w:rPr>
          <w:lang w:val="en-CA"/>
        </w:rPr>
        <w:t xml:space="preserve"> </w:t>
      </w:r>
      <w:r w:rsidRPr="009E304F">
        <w:t>an automated software package for filing survey data</w:t>
      </w:r>
      <w:r w:rsidR="007807F8">
        <w:t xml:space="preserve"> and is sent to </w:t>
      </w:r>
      <w:r w:rsidRPr="009E304F">
        <w:t xml:space="preserve">respondents on a </w:t>
      </w:r>
      <w:r w:rsidR="007807F8">
        <w:t xml:space="preserve">CD or </w:t>
      </w:r>
      <w:r w:rsidRPr="009E304F">
        <w:t>DVD.</w:t>
      </w:r>
      <w:r w:rsidR="00EF634C">
        <w:t xml:space="preserve"> </w:t>
      </w:r>
      <w:r w:rsidR="007C5ECF">
        <w:t>T</w:t>
      </w:r>
      <w:r w:rsidRPr="009E304F">
        <w:t xml:space="preserve">he system </w:t>
      </w:r>
      <w:r w:rsidR="007C5ECF">
        <w:t>was</w:t>
      </w:r>
      <w:r w:rsidRPr="009E304F">
        <w:t xml:space="preserve"> developed i</w:t>
      </w:r>
      <w:r w:rsidR="00BA6C32" w:rsidRPr="00BA6C32">
        <w:t>n Microsoft Access</w:t>
      </w:r>
      <w:r w:rsidRPr="009E304F">
        <w:t xml:space="preserve"> </w:t>
      </w:r>
      <w:r w:rsidR="009533D3">
        <w:t>and</w:t>
      </w:r>
      <w:r w:rsidRPr="009E304F">
        <w:t xml:space="preserve"> aid</w:t>
      </w:r>
      <w:r w:rsidR="00FB70D3">
        <w:t>s</w:t>
      </w:r>
      <w:r w:rsidRPr="009E304F">
        <w:t xml:space="preserve"> in the loading of data from respondent files into the survey system.</w:t>
      </w:r>
      <w:r w:rsidR="00EF634C">
        <w:t xml:space="preserve">  </w:t>
      </w:r>
    </w:p>
    <w:p w14:paraId="2189FDA5" w14:textId="207D3DAB" w:rsidR="00A41763" w:rsidRPr="00BA6C32" w:rsidRDefault="000942F6" w:rsidP="009E304F">
      <w:pPr>
        <w:spacing w:before="120" w:after="120" w:line="276" w:lineRule="auto"/>
        <w:rPr>
          <w:i/>
          <w:iCs/>
        </w:rPr>
      </w:pPr>
      <w:r w:rsidRPr="009E304F">
        <w:t xml:space="preserve">Respondents may </w:t>
      </w:r>
      <w:r w:rsidR="0046056D">
        <w:t>use the software package to</w:t>
      </w:r>
      <w:r w:rsidRPr="009E304F">
        <w:t xml:space="preserve"> submit data in</w:t>
      </w:r>
      <w:r w:rsidR="004C0C0A" w:rsidRPr="004C0C0A">
        <w:t xml:space="preserve"> </w:t>
      </w:r>
      <w:r w:rsidR="004C0C0A">
        <w:t xml:space="preserve">the provided </w:t>
      </w:r>
      <w:r w:rsidR="004C0C0A" w:rsidRPr="004C0C0A">
        <w:t xml:space="preserve">Microsoft Access </w:t>
      </w:r>
      <w:r w:rsidR="004C0C0A">
        <w:t xml:space="preserve">survey database </w:t>
      </w:r>
      <w:r w:rsidR="004C0C0A" w:rsidRPr="004C0C0A">
        <w:t xml:space="preserve">or </w:t>
      </w:r>
      <w:r w:rsidR="007807F8" w:rsidRPr="003B7ABA">
        <w:t>any commonly readable</w:t>
      </w:r>
      <w:r w:rsidR="007807F8" w:rsidRPr="00786B78">
        <w:t>, present-day</w:t>
      </w:r>
      <w:r w:rsidR="007807F8" w:rsidRPr="003B7ABA">
        <w:t xml:space="preserve"> </w:t>
      </w:r>
      <w:r w:rsidR="007807F8" w:rsidRPr="00786B78">
        <w:t xml:space="preserve">electronic spreadsheet </w:t>
      </w:r>
      <w:r w:rsidR="007807F8" w:rsidRPr="003B7ABA">
        <w:t xml:space="preserve">file </w:t>
      </w:r>
      <w:r w:rsidR="0046056D">
        <w:t>format</w:t>
      </w:r>
      <w:r w:rsidR="006420BD">
        <w:t>.</w:t>
      </w:r>
      <w:r w:rsidR="003030D8">
        <w:t xml:space="preserve"> </w:t>
      </w:r>
      <w:r w:rsidR="006420BD">
        <w:t>Providing two reporting</w:t>
      </w:r>
      <w:r w:rsidRPr="009E304F">
        <w:t xml:space="preserve"> option</w:t>
      </w:r>
      <w:r w:rsidR="004C0C0A">
        <w:t>s</w:t>
      </w:r>
      <w:r w:rsidRPr="009E304F">
        <w:t xml:space="preserve"> reduces respondent burden in filling out the large amounts of data required on the discharged assemblies, historical cycles, and canisters data section of the form.</w:t>
      </w:r>
      <w:r w:rsidR="00EF634C">
        <w:t xml:space="preserve"> </w:t>
      </w:r>
      <w:r w:rsidRPr="009E304F">
        <w:t>A</w:t>
      </w:r>
      <w:r w:rsidR="006420BD">
        <w:t>n</w:t>
      </w:r>
      <w:r w:rsidRPr="009E304F">
        <w:t xml:space="preserve"> option in the</w:t>
      </w:r>
      <w:r w:rsidR="003030D8">
        <w:t xml:space="preserve"> </w:t>
      </w:r>
      <w:r w:rsidRPr="009E304F">
        <w:t>software permit</w:t>
      </w:r>
      <w:r w:rsidR="004C0C0A">
        <w:t>s</w:t>
      </w:r>
      <w:r w:rsidRPr="009E304F">
        <w:t xml:space="preserve"> respondents to print a hardcopy of the form or individual sections of the form.</w:t>
      </w:r>
      <w:r w:rsidR="00A41763" w:rsidRPr="00BA6C32">
        <w:rPr>
          <w:i/>
          <w:iCs/>
        </w:rPr>
        <w:t xml:space="preserve"> </w:t>
      </w:r>
    </w:p>
    <w:p w14:paraId="01FACAE5" w14:textId="77777777" w:rsidR="008C734C" w:rsidRPr="00BA6C32" w:rsidRDefault="008C734C" w:rsidP="00480682">
      <w:pPr>
        <w:pStyle w:val="Heading2"/>
      </w:pPr>
      <w:bookmarkStart w:id="9" w:name="_Toc509825657"/>
      <w:r w:rsidRPr="00BA6C32">
        <w:t>A.</w:t>
      </w:r>
      <w:r w:rsidR="00A41763" w:rsidRPr="00BA6C32">
        <w:t xml:space="preserve">4. </w:t>
      </w:r>
      <w:r w:rsidRPr="00BA6C32">
        <w:t>Efforts to Identify Duplication</w:t>
      </w:r>
      <w:bookmarkEnd w:id="9"/>
    </w:p>
    <w:p w14:paraId="0D46694B" w14:textId="3559DBB6" w:rsidR="000942F6" w:rsidRPr="009E304F" w:rsidRDefault="000942F6" w:rsidP="009E304F">
      <w:pPr>
        <w:pStyle w:val="BodyTextIndent2"/>
        <w:spacing w:before="120" w:line="276" w:lineRule="auto"/>
        <w:ind w:left="0"/>
        <w:rPr>
          <w:rFonts w:asciiTheme="minorHAnsi" w:hAnsiTheme="minorHAnsi"/>
          <w:sz w:val="22"/>
          <w:szCs w:val="22"/>
        </w:rPr>
      </w:pPr>
      <w:r w:rsidRPr="009E304F">
        <w:rPr>
          <w:rFonts w:asciiTheme="minorHAnsi" w:hAnsiTheme="minorHAnsi"/>
          <w:sz w:val="22"/>
          <w:szCs w:val="22"/>
        </w:rPr>
        <w:t xml:space="preserve">As part of a continuing effort to avoid duplication, EIA routinely reviews and evaluates information from a variety of sources, including other </w:t>
      </w:r>
      <w:r w:rsidR="003E3D7E">
        <w:rPr>
          <w:rFonts w:asciiTheme="minorHAnsi" w:hAnsiTheme="minorHAnsi"/>
          <w:sz w:val="22"/>
          <w:szCs w:val="22"/>
        </w:rPr>
        <w:t>f</w:t>
      </w:r>
      <w:r w:rsidRPr="009E304F">
        <w:rPr>
          <w:rFonts w:asciiTheme="minorHAnsi" w:hAnsiTheme="minorHAnsi"/>
          <w:sz w:val="22"/>
          <w:szCs w:val="22"/>
        </w:rPr>
        <w:t xml:space="preserve">ederal agencies, industry trade associations, </w:t>
      </w:r>
      <w:r w:rsidR="003E3D7E">
        <w:rPr>
          <w:rFonts w:asciiTheme="minorHAnsi" w:hAnsiTheme="minorHAnsi"/>
          <w:sz w:val="22"/>
          <w:szCs w:val="22"/>
        </w:rPr>
        <w:t>s</w:t>
      </w:r>
      <w:r w:rsidRPr="009E304F">
        <w:rPr>
          <w:rFonts w:asciiTheme="minorHAnsi" w:hAnsiTheme="minorHAnsi"/>
          <w:sz w:val="22"/>
          <w:szCs w:val="22"/>
        </w:rPr>
        <w:t>tate governments, and commercial information services to identify instances of duplication.</w:t>
      </w:r>
      <w:r w:rsidR="00EF634C">
        <w:rPr>
          <w:rFonts w:asciiTheme="minorHAnsi" w:hAnsiTheme="minorHAnsi"/>
          <w:sz w:val="22"/>
          <w:szCs w:val="22"/>
        </w:rPr>
        <w:t xml:space="preserve"> </w:t>
      </w:r>
      <w:r w:rsidRPr="009E304F">
        <w:rPr>
          <w:rFonts w:asciiTheme="minorHAnsi" w:hAnsiTheme="minorHAnsi"/>
          <w:sz w:val="22"/>
          <w:szCs w:val="22"/>
        </w:rPr>
        <w:t xml:space="preserve">The form </w:t>
      </w:r>
      <w:r w:rsidR="00616BDE">
        <w:rPr>
          <w:rFonts w:asciiTheme="minorHAnsi" w:hAnsiTheme="minorHAnsi"/>
          <w:sz w:val="22"/>
          <w:szCs w:val="22"/>
        </w:rPr>
        <w:t>is</w:t>
      </w:r>
      <w:r w:rsidRPr="009E304F">
        <w:rPr>
          <w:rFonts w:asciiTheme="minorHAnsi" w:hAnsiTheme="minorHAnsi"/>
          <w:sz w:val="22"/>
          <w:szCs w:val="22"/>
        </w:rPr>
        <w:t xml:space="preserve"> designed to eliminate duplicate reporting of information and eliminate data elements </w:t>
      </w:r>
      <w:r w:rsidR="007236CA">
        <w:rPr>
          <w:rFonts w:asciiTheme="minorHAnsi" w:hAnsiTheme="minorHAnsi"/>
          <w:sz w:val="22"/>
          <w:szCs w:val="22"/>
        </w:rPr>
        <w:t xml:space="preserve">not </w:t>
      </w:r>
      <w:r w:rsidRPr="009E304F">
        <w:rPr>
          <w:rFonts w:asciiTheme="minorHAnsi" w:hAnsiTheme="minorHAnsi"/>
          <w:sz w:val="22"/>
          <w:szCs w:val="22"/>
        </w:rPr>
        <w:t>required by the government.</w:t>
      </w:r>
    </w:p>
    <w:p w14:paraId="68A43B9C" w14:textId="08ACF7B7" w:rsidR="00DF7BA5" w:rsidRDefault="000942F6" w:rsidP="009E304F">
      <w:pPr>
        <w:spacing w:before="120" w:after="120" w:line="276" w:lineRule="auto"/>
      </w:pPr>
      <w:r w:rsidRPr="009E304F">
        <w:t xml:space="preserve">EIA evaluated all known sources of data relating to nuclear waste and found </w:t>
      </w:r>
      <w:r w:rsidR="00616BDE">
        <w:t>that t</w:t>
      </w:r>
      <w:r w:rsidR="00616BDE" w:rsidRPr="009700A0">
        <w:rPr>
          <w:rFonts w:cs="Arial"/>
        </w:rPr>
        <w:t>he U.S. Nuclear Regulatory Commission (NRC)</w:t>
      </w:r>
      <w:r w:rsidR="00616BDE">
        <w:rPr>
          <w:rFonts w:cs="Arial"/>
        </w:rPr>
        <w:t xml:space="preserve"> collects information on shipments of fuel assemblages that is similar to information reported i</w:t>
      </w:r>
      <w:r w:rsidR="003F1424">
        <w:rPr>
          <w:rFonts w:cs="Arial"/>
        </w:rPr>
        <w:t>n section C.1.4 of Form GC-859.</w:t>
      </w:r>
      <w:r w:rsidR="00616BDE">
        <w:rPr>
          <w:rFonts w:cs="Arial"/>
        </w:rPr>
        <w:t xml:space="preserve"> After examining the</w:t>
      </w:r>
      <w:r w:rsidR="00CC5FCB">
        <w:rPr>
          <w:rFonts w:cs="Arial"/>
        </w:rPr>
        <w:t xml:space="preserve"> </w:t>
      </w:r>
      <w:r w:rsidR="00616BDE">
        <w:rPr>
          <w:rFonts w:cs="Arial"/>
        </w:rPr>
        <w:t xml:space="preserve">contents of NRC’s data files, </w:t>
      </w:r>
      <w:r w:rsidR="006420BD">
        <w:t>DOE</w:t>
      </w:r>
      <w:r w:rsidRPr="009E304F">
        <w:t xml:space="preserve"> determined that </w:t>
      </w:r>
      <w:r w:rsidR="00616BDE">
        <w:t xml:space="preserve">this </w:t>
      </w:r>
      <w:r w:rsidRPr="009E304F">
        <w:t xml:space="preserve">other source cannot replace or approximate the information provided </w:t>
      </w:r>
      <w:r w:rsidR="00616BDE">
        <w:t xml:space="preserve">in section C.1.4 </w:t>
      </w:r>
      <w:r w:rsidRPr="009E304F">
        <w:t>because of differences in classification, inconsistency, incompleteness, infrequency, availability, or lack of coverage.</w:t>
      </w:r>
      <w:r w:rsidR="00EF634C">
        <w:t xml:space="preserve"> </w:t>
      </w:r>
    </w:p>
    <w:p w14:paraId="17B36DFF" w14:textId="3A340768" w:rsidR="00323021" w:rsidRPr="009700A0" w:rsidRDefault="0067209E" w:rsidP="004B5B22">
      <w:pPr>
        <w:autoSpaceDE w:val="0"/>
        <w:autoSpaceDN w:val="0"/>
        <w:adjustRightInd w:val="0"/>
        <w:spacing w:after="0" w:line="276" w:lineRule="auto"/>
      </w:pPr>
      <w:r w:rsidRPr="009700A0">
        <w:rPr>
          <w:rFonts w:cs="Arial"/>
        </w:rPr>
        <w:t>NRC regulations require licensees who ship, receive, or adjust their physical inventory of source or special nuclear material (SNM) to document and report such activities using DOE/NRC Form 741 under OMB Control No. 3150-0003.</w:t>
      </w:r>
      <w:r w:rsidR="003F1424">
        <w:rPr>
          <w:rFonts w:cs="Arial"/>
        </w:rPr>
        <w:t xml:space="preserve"> </w:t>
      </w:r>
      <w:r w:rsidR="009700A0" w:rsidRPr="00DC1C48">
        <w:t>EIA assessed the</w:t>
      </w:r>
      <w:r w:rsidR="009700A0" w:rsidRPr="009700A0">
        <w:t xml:space="preserve"> utility of the</w:t>
      </w:r>
      <w:r w:rsidR="00DF7BA5" w:rsidRPr="009700A0">
        <w:t xml:space="preserve"> data file generated </w:t>
      </w:r>
      <w:r w:rsidR="009700A0" w:rsidRPr="009700A0">
        <w:t>from information collected on</w:t>
      </w:r>
      <w:r w:rsidR="00DF7BA5" w:rsidRPr="009700A0">
        <w:t xml:space="preserve"> DOE/NRC Form 741 </w:t>
      </w:r>
      <w:r w:rsidR="00DF7BA5" w:rsidRPr="009700A0">
        <w:rPr>
          <w:i/>
        </w:rPr>
        <w:t>Nuclear Material Transaction Report</w:t>
      </w:r>
      <w:r w:rsidR="009700A0" w:rsidRPr="009700A0">
        <w:rPr>
          <w:i/>
        </w:rPr>
        <w:t xml:space="preserve"> </w:t>
      </w:r>
      <w:r w:rsidR="009700A0" w:rsidRPr="009700A0">
        <w:t>by submitting</w:t>
      </w:r>
      <w:r w:rsidR="00D06984" w:rsidRPr="009700A0">
        <w:t xml:space="preserve"> three separate data queries. The results </w:t>
      </w:r>
      <w:r w:rsidR="009700A0" w:rsidRPr="00DC1C48">
        <w:t>showed</w:t>
      </w:r>
      <w:r w:rsidR="00D06984" w:rsidRPr="009700A0">
        <w:t xml:space="preserve"> that</w:t>
      </w:r>
      <w:r w:rsidR="009700A0" w:rsidRPr="009700A0">
        <w:t xml:space="preserve"> the</w:t>
      </w:r>
      <w:r w:rsidR="00323021" w:rsidRPr="009700A0">
        <w:t xml:space="preserve"> </w:t>
      </w:r>
      <w:r w:rsidR="00187BD9" w:rsidRPr="009700A0">
        <w:t>DOE/</w:t>
      </w:r>
      <w:r w:rsidR="000942F6" w:rsidRPr="009700A0">
        <w:t>NRC Form 741 data</w:t>
      </w:r>
      <w:r w:rsidR="009700A0" w:rsidRPr="009700A0">
        <w:t xml:space="preserve"> file does not contain the level of detail that is needed and is not an appropriate substitute for the information collected by Form GC-859</w:t>
      </w:r>
      <w:r w:rsidR="00323021" w:rsidRPr="009700A0">
        <w:t xml:space="preserve">. </w:t>
      </w:r>
    </w:p>
    <w:p w14:paraId="77D0BBF7" w14:textId="01E07879" w:rsidR="001E0FA8" w:rsidRDefault="00323021" w:rsidP="009E304F">
      <w:pPr>
        <w:spacing w:before="120" w:after="120" w:line="276" w:lineRule="auto"/>
        <w:rPr>
          <w:iCs/>
        </w:rPr>
      </w:pPr>
      <w:r>
        <w:t>There are several reasons for this. DOE/NRC 741 data</w:t>
      </w:r>
      <w:r w:rsidR="000942F6" w:rsidRPr="009E304F">
        <w:t xml:space="preserve"> do not maintain a connection </w:t>
      </w:r>
      <w:r w:rsidR="00DE2964">
        <w:t>between radioactive material</w:t>
      </w:r>
      <w:r w:rsidR="00D807D9">
        <w:t xml:space="preserve"> with</w:t>
      </w:r>
      <w:r w:rsidR="00DE2964">
        <w:t xml:space="preserve"> </w:t>
      </w:r>
      <w:r w:rsidR="000942F6" w:rsidRPr="009E304F">
        <w:t xml:space="preserve">individual </w:t>
      </w:r>
      <w:r w:rsidR="00DE2964">
        <w:t xml:space="preserve">fuel </w:t>
      </w:r>
      <w:r w:rsidR="000942F6" w:rsidRPr="009E304F">
        <w:t xml:space="preserve">assembly </w:t>
      </w:r>
      <w:r w:rsidR="00CC5FCB">
        <w:t>identification number</w:t>
      </w:r>
      <w:r w:rsidR="009700A0">
        <w:t xml:space="preserve"> </w:t>
      </w:r>
      <w:r w:rsidR="000942F6" w:rsidRPr="009E304F">
        <w:t>and fuel burnup data</w:t>
      </w:r>
      <w:r>
        <w:t xml:space="preserve">. This </w:t>
      </w:r>
      <w:r w:rsidR="009700A0">
        <w:t>data linkage</w:t>
      </w:r>
      <w:r w:rsidR="00D807D9">
        <w:t xml:space="preserve"> with assembly identifier</w:t>
      </w:r>
      <w:r w:rsidR="009700A0">
        <w:t xml:space="preserve"> is </w:t>
      </w:r>
      <w:r>
        <w:t>important because it indicates</w:t>
      </w:r>
      <w:r w:rsidR="00DE2964">
        <w:t xml:space="preserve"> the</w:t>
      </w:r>
      <w:r>
        <w:t xml:space="preserve"> level of radioactivity from a spent fuel assembly</w:t>
      </w:r>
      <w:r w:rsidR="001D63F2">
        <w:t xml:space="preserve"> which determines </w:t>
      </w:r>
      <w:r w:rsidR="00DE2964">
        <w:t>requirements for safe storage design</w:t>
      </w:r>
      <w:r w:rsidR="000942F6" w:rsidRPr="009E304F">
        <w:t>.</w:t>
      </w:r>
      <w:r w:rsidR="001E0FA8">
        <w:t xml:space="preserve"> </w:t>
      </w:r>
      <w:r w:rsidR="00CD3742">
        <w:t xml:space="preserve">NRC </w:t>
      </w:r>
      <w:r w:rsidR="009700A0">
        <w:t>Form 741</w:t>
      </w:r>
      <w:r w:rsidR="001E0FA8" w:rsidRPr="00FD449A">
        <w:rPr>
          <w:iCs/>
        </w:rPr>
        <w:t xml:space="preserve"> </w:t>
      </w:r>
      <w:r w:rsidR="001E0FA8" w:rsidRPr="00EB2A1B">
        <w:rPr>
          <w:iCs/>
        </w:rPr>
        <w:t>does not</w:t>
      </w:r>
      <w:r w:rsidR="001E0FA8" w:rsidRPr="00FD449A">
        <w:rPr>
          <w:iCs/>
        </w:rPr>
        <w:t xml:space="preserve"> collect </w:t>
      </w:r>
      <w:r w:rsidR="001E0FA8">
        <w:rPr>
          <w:iCs/>
        </w:rPr>
        <w:t xml:space="preserve">assembly </w:t>
      </w:r>
      <w:r w:rsidR="001E0FA8" w:rsidRPr="009E304F">
        <w:t>identification number</w:t>
      </w:r>
      <w:r w:rsidR="009700A0">
        <w:t>.</w:t>
      </w:r>
      <w:r w:rsidR="003F1424">
        <w:t xml:space="preserve"> </w:t>
      </w:r>
      <w:r w:rsidR="009700A0">
        <w:t>It is not a</w:t>
      </w:r>
      <w:r w:rsidR="001E0FA8" w:rsidRPr="00FD449A">
        <w:rPr>
          <w:iCs/>
        </w:rPr>
        <w:t xml:space="preserve"> mandatory data </w:t>
      </w:r>
      <w:r w:rsidR="009700A0">
        <w:rPr>
          <w:iCs/>
        </w:rPr>
        <w:t xml:space="preserve">element that needs to </w:t>
      </w:r>
      <w:r w:rsidR="00CD3742">
        <w:rPr>
          <w:iCs/>
        </w:rPr>
        <w:t xml:space="preserve">be </w:t>
      </w:r>
      <w:r w:rsidR="009700A0">
        <w:rPr>
          <w:iCs/>
        </w:rPr>
        <w:t xml:space="preserve">reported </w:t>
      </w:r>
      <w:r w:rsidR="001E0FA8" w:rsidRPr="00FD449A">
        <w:rPr>
          <w:iCs/>
        </w:rPr>
        <w:t>for discharged fuel assemblies</w:t>
      </w:r>
      <w:r w:rsidR="00DE2964">
        <w:rPr>
          <w:iCs/>
        </w:rPr>
        <w:t xml:space="preserve"> </w:t>
      </w:r>
      <w:r w:rsidR="001E0FA8" w:rsidRPr="00FD449A">
        <w:rPr>
          <w:iCs/>
        </w:rPr>
        <w:t xml:space="preserve">that are shipped or transferred within the United States. </w:t>
      </w:r>
      <w:r w:rsidR="009700A0">
        <w:rPr>
          <w:iCs/>
        </w:rPr>
        <w:t>Without the assem</w:t>
      </w:r>
      <w:r w:rsidR="009C6FB2">
        <w:rPr>
          <w:iCs/>
        </w:rPr>
        <w:t>b</w:t>
      </w:r>
      <w:r w:rsidR="009700A0">
        <w:rPr>
          <w:iCs/>
        </w:rPr>
        <w:t>ly identification number</w:t>
      </w:r>
      <w:r w:rsidR="001E0FA8" w:rsidRPr="00FD449A">
        <w:rPr>
          <w:iCs/>
        </w:rPr>
        <w:t>,</w:t>
      </w:r>
      <w:r w:rsidR="001E0FA8">
        <w:rPr>
          <w:iCs/>
        </w:rPr>
        <w:t xml:space="preserve"> DOE/NRC Form 741 data</w:t>
      </w:r>
      <w:r w:rsidR="001E0FA8" w:rsidRPr="00FD449A">
        <w:rPr>
          <w:iCs/>
        </w:rPr>
        <w:t xml:space="preserve"> </w:t>
      </w:r>
      <w:r w:rsidR="001E0FA8" w:rsidRPr="00EB2A1B">
        <w:rPr>
          <w:iCs/>
        </w:rPr>
        <w:t>cannot</w:t>
      </w:r>
      <w:r w:rsidR="001E0FA8" w:rsidRPr="00FD449A">
        <w:rPr>
          <w:iCs/>
        </w:rPr>
        <w:t xml:space="preserve"> be used as a reliable data source to replace GC-859 Section C.1.4 ‘Shipments/Transfers of Discharged Fuel’. </w:t>
      </w:r>
      <w:r w:rsidR="001E0FA8">
        <w:rPr>
          <w:iCs/>
        </w:rPr>
        <w:t xml:space="preserve">    </w:t>
      </w:r>
    </w:p>
    <w:p w14:paraId="3217ABAD" w14:textId="5ABD509C" w:rsidR="001D63F2" w:rsidRDefault="007C4812" w:rsidP="009E304F">
      <w:pPr>
        <w:spacing w:before="120" w:after="120" w:line="276" w:lineRule="auto"/>
      </w:pPr>
      <w:r>
        <w:t>A</w:t>
      </w:r>
      <w:r w:rsidRPr="009E304F">
        <w:t>ssembly identification number</w:t>
      </w:r>
      <w:r>
        <w:t xml:space="preserve"> is one of the most important parameter</w:t>
      </w:r>
      <w:r w:rsidR="001D63F2">
        <w:t>s</w:t>
      </w:r>
      <w:r>
        <w:t xml:space="preserve"> collected in GC</w:t>
      </w:r>
      <w:r w:rsidR="001E0FA8">
        <w:t xml:space="preserve">-859 since it provides a unique set of alphanumeric characters that identifies a fuel assembly for a specific reactor site. </w:t>
      </w:r>
      <w:r w:rsidR="001D63F2">
        <w:t>Assembly identification numbers are</w:t>
      </w:r>
      <w:r w:rsidR="001E0FA8">
        <w:t xml:space="preserve"> used extensively in GC-859 Schedule C ‘Fuel Data’ and Schedule D ‘Storage Facility Data’.</w:t>
      </w:r>
      <w:r w:rsidR="001D63F2">
        <w:t xml:space="preserve"> </w:t>
      </w:r>
    </w:p>
    <w:p w14:paraId="714BBF38" w14:textId="2192D3BF" w:rsidR="007C4812" w:rsidRDefault="001D63F2" w:rsidP="009E304F">
      <w:pPr>
        <w:spacing w:before="120" w:after="120" w:line="276" w:lineRule="auto"/>
      </w:pPr>
      <w:r>
        <w:t xml:space="preserve">EIA also examined DOE/NRC Form 742 </w:t>
      </w:r>
      <w:r>
        <w:rPr>
          <w:i/>
        </w:rPr>
        <w:t>Material Balance Report</w:t>
      </w:r>
      <w:r>
        <w:t>. This material accountability re</w:t>
      </w:r>
      <w:r w:rsidR="009A0C12">
        <w:t xml:space="preserve">port tracks items by weight. It does not track fuel assemblies and is also not a valid data source to </w:t>
      </w:r>
      <w:r w:rsidR="009A0C12" w:rsidRPr="00FD449A">
        <w:rPr>
          <w:iCs/>
        </w:rPr>
        <w:t>replace GC-859 Section C.1.4 ‘Shipments/Transfers of Discharged Fuel’.</w:t>
      </w:r>
    </w:p>
    <w:p w14:paraId="15A17A77" w14:textId="77777777" w:rsidR="008C734C" w:rsidRPr="00BA6C32" w:rsidRDefault="008C734C" w:rsidP="00480682">
      <w:pPr>
        <w:pStyle w:val="Heading2"/>
      </w:pPr>
      <w:bookmarkStart w:id="10" w:name="_Toc509825658"/>
      <w:r w:rsidRPr="00BA6C32">
        <w:t>A.</w:t>
      </w:r>
      <w:r w:rsidR="00A41763" w:rsidRPr="00BA6C32">
        <w:t xml:space="preserve">5. </w:t>
      </w:r>
      <w:r w:rsidRPr="00BA6C32">
        <w:t>Provisions for Reducing Burden on Small Businesses</w:t>
      </w:r>
      <w:bookmarkEnd w:id="10"/>
      <w:r w:rsidRPr="00BA6C32">
        <w:t xml:space="preserve"> </w:t>
      </w:r>
    </w:p>
    <w:p w14:paraId="2D2325F8" w14:textId="2D79E08A" w:rsidR="008C734C" w:rsidRPr="00BA6C32" w:rsidRDefault="0076531C" w:rsidP="009E304F">
      <w:pPr>
        <w:spacing w:before="120" w:after="120" w:line="276" w:lineRule="auto"/>
      </w:pPr>
      <w:r w:rsidRPr="009E304F">
        <w:t>This collection of information does not involve small businesses or other small entities.</w:t>
      </w:r>
      <w:r w:rsidR="00EF634C">
        <w:t xml:space="preserve"> </w:t>
      </w:r>
      <w:r w:rsidRPr="009E304F">
        <w:t>All respondents are either major commercial utilities or operating companies.</w:t>
      </w:r>
    </w:p>
    <w:p w14:paraId="38746712" w14:textId="77777777" w:rsidR="008C734C" w:rsidRPr="00BA6C32" w:rsidRDefault="008C734C" w:rsidP="00480682">
      <w:pPr>
        <w:pStyle w:val="Heading2"/>
      </w:pPr>
      <w:bookmarkStart w:id="11" w:name="_Toc509825659"/>
      <w:r w:rsidRPr="00BA6C32">
        <w:t>A.</w:t>
      </w:r>
      <w:r w:rsidR="00A41763" w:rsidRPr="00BA6C32">
        <w:t xml:space="preserve">6. </w:t>
      </w:r>
      <w:r w:rsidRPr="00BA6C32">
        <w:t>Consequences of Less-Frequent Reporting</w:t>
      </w:r>
      <w:bookmarkEnd w:id="11"/>
    </w:p>
    <w:p w14:paraId="64A2FE6B" w14:textId="4C71AD29" w:rsidR="0076531C" w:rsidRPr="009E304F" w:rsidRDefault="0076531C" w:rsidP="009E304F">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spacing w:before="120" w:after="120" w:line="276" w:lineRule="auto"/>
      </w:pPr>
      <w:r w:rsidRPr="009E304F">
        <w:t>The Standard Contract for Disposal of Spent Nuclear Fuel and/or High-Level Radioactive Waste required that owners and operators of commercial nuclear power plants report certain data annually to DOE.</w:t>
      </w:r>
      <w:r w:rsidR="00EF634C">
        <w:t xml:space="preserve"> </w:t>
      </w:r>
      <w:r w:rsidRPr="009E304F">
        <w:t>The predecessor to Form GC-859 was collected annually for the years 1983 through 1995. DOE subsequently determined that new data was needed only every three years and went to this less frequent reporting schedule.</w:t>
      </w:r>
      <w:r w:rsidR="00187BD9">
        <w:t xml:space="preserve"> T</w:t>
      </w:r>
      <w:r w:rsidRPr="009E304F">
        <w:t xml:space="preserve">he </w:t>
      </w:r>
      <w:r w:rsidR="00187BD9">
        <w:t xml:space="preserve">last GC-859 </w:t>
      </w:r>
      <w:r w:rsidRPr="009E304F">
        <w:t xml:space="preserve">data was </w:t>
      </w:r>
      <w:r w:rsidR="00FB2FF7" w:rsidRPr="00673212">
        <w:t xml:space="preserve">collected </w:t>
      </w:r>
      <w:r w:rsidR="00187BD9">
        <w:t>for a 10</w:t>
      </w:r>
      <w:r w:rsidR="003E3D7E">
        <w:t>-</w:t>
      </w:r>
      <w:r w:rsidR="00187BD9">
        <w:t xml:space="preserve">year period </w:t>
      </w:r>
      <w:r w:rsidR="00FB2FF7">
        <w:t xml:space="preserve">between </w:t>
      </w:r>
      <w:r w:rsidRPr="009E304F">
        <w:t>December 31, 2002</w:t>
      </w:r>
      <w:r w:rsidR="00FB2FF7">
        <w:t xml:space="preserve"> and June 30, 2013</w:t>
      </w:r>
      <w:r w:rsidRPr="009E304F">
        <w:t>.</w:t>
      </w:r>
      <w:r w:rsidR="00187BD9">
        <w:t xml:space="preserve"> The proposed GC-859 will collect data between July 1, 2013 and December 31, 2017.</w:t>
      </w:r>
    </w:p>
    <w:p w14:paraId="1EA546C2" w14:textId="32F3F5F7" w:rsidR="00A41763" w:rsidRPr="00BA6C32" w:rsidRDefault="0076531C" w:rsidP="009E304F">
      <w:pPr>
        <w:spacing w:before="120" w:after="120" w:line="276" w:lineRule="auto"/>
        <w:rPr>
          <w:i/>
          <w:iCs/>
        </w:rPr>
      </w:pPr>
      <w:r w:rsidRPr="009E304F">
        <w:t>The implementation of less frequent reporting</w:t>
      </w:r>
      <w:r w:rsidR="00155CBB">
        <w:t xml:space="preserve"> </w:t>
      </w:r>
      <w:r w:rsidRPr="009E304F">
        <w:t>reduce</w:t>
      </w:r>
      <w:r w:rsidR="006465CF">
        <w:t>s</w:t>
      </w:r>
      <w:r w:rsidRPr="009E304F">
        <w:t xml:space="preserve"> respondent burden somewhat by permitting all new data for the multiyear period to be reported at one time.</w:t>
      </w:r>
      <w:r w:rsidR="00EF634C">
        <w:t xml:space="preserve"> </w:t>
      </w:r>
      <w:r w:rsidR="006420BD">
        <w:t>DOE plans to collect this information using Form GC-859 on a triennial basis</w:t>
      </w:r>
      <w:r w:rsidR="003030D8">
        <w:t>.</w:t>
      </w:r>
      <w:r w:rsidR="006420BD">
        <w:t xml:space="preserve"> </w:t>
      </w:r>
    </w:p>
    <w:p w14:paraId="7E976092" w14:textId="77777777" w:rsidR="008C734C" w:rsidRPr="00BA6C32" w:rsidRDefault="008C734C" w:rsidP="00480682">
      <w:pPr>
        <w:pStyle w:val="Heading2"/>
      </w:pPr>
      <w:bookmarkStart w:id="12" w:name="_Toc509825660"/>
      <w:r w:rsidRPr="00BA6C32">
        <w:t>A.</w:t>
      </w:r>
      <w:r w:rsidR="00A41763" w:rsidRPr="00BA6C32">
        <w:t xml:space="preserve">7. </w:t>
      </w:r>
      <w:r w:rsidRPr="00BA6C32">
        <w:t>Compliance with 5 CFR 1320.5</w:t>
      </w:r>
      <w:bookmarkEnd w:id="12"/>
    </w:p>
    <w:p w14:paraId="2EE6E623" w14:textId="027AC251" w:rsidR="008C734C" w:rsidRPr="00BA6C32" w:rsidRDefault="0076531C" w:rsidP="009E304F">
      <w:pPr>
        <w:spacing w:before="120" w:after="120"/>
        <w:rPr>
          <w:b/>
          <w:bCs/>
        </w:rPr>
      </w:pPr>
      <w:r w:rsidRPr="009E304F">
        <w:t>The data are being collected in accordance with all guidelines set forth in 5 C.F.R. 1320.5.</w:t>
      </w:r>
    </w:p>
    <w:p w14:paraId="6B179192" w14:textId="77777777" w:rsidR="008C734C" w:rsidRPr="00BA6C32" w:rsidRDefault="008C734C" w:rsidP="00480682">
      <w:pPr>
        <w:pStyle w:val="Heading2"/>
      </w:pPr>
      <w:bookmarkStart w:id="13" w:name="_Toc509825661"/>
      <w:r w:rsidRPr="00BA6C32">
        <w:t>A.</w:t>
      </w:r>
      <w:r w:rsidR="00A41763" w:rsidRPr="00BA6C32">
        <w:t xml:space="preserve">8. </w:t>
      </w:r>
      <w:r w:rsidRPr="00BA6C32">
        <w:t>Summary of Consultations Outside of the Agency</w:t>
      </w:r>
      <w:bookmarkEnd w:id="13"/>
    </w:p>
    <w:p w14:paraId="1C93FD6D" w14:textId="5282C41E" w:rsidR="00342E5A" w:rsidRDefault="00637443" w:rsidP="009E304F">
      <w:pPr>
        <w:spacing w:before="120" w:after="120" w:line="276" w:lineRule="auto"/>
      </w:pPr>
      <w:r>
        <w:t>During 2016 and 2017, a</w:t>
      </w:r>
      <w:r w:rsidR="001A3399" w:rsidRPr="009E304F">
        <w:t xml:space="preserve"> series </w:t>
      </w:r>
      <w:r w:rsidR="007014E2" w:rsidRPr="007014E2">
        <w:t xml:space="preserve">of </w:t>
      </w:r>
      <w:r w:rsidR="003E3D7E">
        <w:t>w</w:t>
      </w:r>
      <w:r w:rsidR="007014E2" w:rsidRPr="007014E2">
        <w:t>orking</w:t>
      </w:r>
      <w:r w:rsidR="001A3399" w:rsidRPr="009E304F">
        <w:t xml:space="preserve"> </w:t>
      </w:r>
      <w:r w:rsidR="003E3D7E">
        <w:t>g</w:t>
      </w:r>
      <w:r w:rsidR="001A3399" w:rsidRPr="009E304F">
        <w:t xml:space="preserve">roup </w:t>
      </w:r>
      <w:r w:rsidR="003E3D7E">
        <w:t>m</w:t>
      </w:r>
      <w:r w:rsidR="001A3399" w:rsidRPr="009E304F">
        <w:t>eetings were held throughout the form design process among the current contractors</w:t>
      </w:r>
      <w:r w:rsidR="00CA4A37">
        <w:t xml:space="preserve">, </w:t>
      </w:r>
      <w:r w:rsidR="007014E2" w:rsidRPr="007014E2">
        <w:t>staff</w:t>
      </w:r>
      <w:r w:rsidR="001A3399" w:rsidRPr="009E304F">
        <w:t xml:space="preserve"> from DOE Offices including the Energy Information Administration (EIA), the Offices of the General Counsel (GC), Nuclear Energy (NE), Environmental Management (EM), </w:t>
      </w:r>
      <w:r w:rsidR="0008024E">
        <w:t xml:space="preserve">and </w:t>
      </w:r>
      <w:r w:rsidR="001A3399" w:rsidRPr="009E304F">
        <w:t xml:space="preserve">the DOE national laboratories. </w:t>
      </w:r>
      <w:r w:rsidR="0008024E">
        <w:t>A s</w:t>
      </w:r>
      <w:r w:rsidR="001A3399" w:rsidRPr="009E304F">
        <w:t>eries o</w:t>
      </w:r>
      <w:r w:rsidR="00CF3CF8" w:rsidRPr="00CF3CF8">
        <w:t>f draft and revised mockups of the</w:t>
      </w:r>
      <w:r w:rsidR="001A3399" w:rsidRPr="009E304F">
        <w:t xml:space="preserve"> proposed </w:t>
      </w:r>
      <w:r w:rsidR="00CF3CF8">
        <w:t xml:space="preserve">Form </w:t>
      </w:r>
      <w:r w:rsidR="00CF3CF8" w:rsidRPr="00CF3CF8">
        <w:t>GC-859</w:t>
      </w:r>
      <w:r w:rsidR="007A5E21">
        <w:t xml:space="preserve"> </w:t>
      </w:r>
      <w:r w:rsidR="001A3399" w:rsidRPr="009E304F">
        <w:t>were developed for use in these meetings.</w:t>
      </w:r>
      <w:r w:rsidR="0008024E">
        <w:t xml:space="preserve"> </w:t>
      </w:r>
      <w:r w:rsidR="001A3399" w:rsidRPr="009E304F">
        <w:t>All issues regarding the content of the form were resolved during these meetings and subsequent dialog.</w:t>
      </w:r>
    </w:p>
    <w:p w14:paraId="353C2C0A" w14:textId="3608E742" w:rsidR="008C734C" w:rsidRPr="00BA6C32" w:rsidRDefault="00342E5A" w:rsidP="009E304F">
      <w:pPr>
        <w:spacing w:before="120" w:after="120" w:line="276" w:lineRule="auto"/>
        <w:rPr>
          <w:b/>
          <w:bCs/>
        </w:rPr>
      </w:pPr>
      <w:r>
        <w:t xml:space="preserve">On March 29, 2017 a meeting with nuclear industry respondents and </w:t>
      </w:r>
      <w:r w:rsidR="00FB70D3">
        <w:t xml:space="preserve">the </w:t>
      </w:r>
      <w:r w:rsidR="00FB70D3" w:rsidRPr="00B5303E">
        <w:t>N</w:t>
      </w:r>
      <w:r w:rsidR="00FB70D3">
        <w:t xml:space="preserve">uclear </w:t>
      </w:r>
      <w:r w:rsidR="00FB70D3" w:rsidRPr="00B5303E">
        <w:t>E</w:t>
      </w:r>
      <w:r w:rsidR="00FB70D3">
        <w:t>nergy Institute (</w:t>
      </w:r>
      <w:r>
        <w:t>NEI</w:t>
      </w:r>
      <w:r w:rsidR="00FB70D3">
        <w:t>)</w:t>
      </w:r>
      <w:r>
        <w:t xml:space="preserve"> was held to review and discuss the draft version of the survey form.</w:t>
      </w:r>
      <w:r w:rsidR="00EF634C">
        <w:t xml:space="preserve"> </w:t>
      </w:r>
      <w:r>
        <w:t>Feedback and comments from this meeting ar</w:t>
      </w:r>
      <w:r w:rsidR="004153B4">
        <w:t>e incorporated into the design of the survey form and for the estimated burden hours.</w:t>
      </w:r>
    </w:p>
    <w:p w14:paraId="60723ACC" w14:textId="77777777" w:rsidR="008C734C" w:rsidRPr="00BA6C32" w:rsidRDefault="008C734C" w:rsidP="00480682">
      <w:pPr>
        <w:pStyle w:val="Heading2"/>
      </w:pPr>
      <w:bookmarkStart w:id="14" w:name="_Toc509825662"/>
      <w:r w:rsidRPr="00BA6C32">
        <w:t>A.</w:t>
      </w:r>
      <w:r w:rsidR="00A41763" w:rsidRPr="00BA6C32">
        <w:t xml:space="preserve">9. </w:t>
      </w:r>
      <w:r w:rsidRPr="00BA6C32">
        <w:t>Payments or Gifts to Respondents</w:t>
      </w:r>
      <w:bookmarkEnd w:id="14"/>
      <w:r w:rsidRPr="00BA6C32">
        <w:t xml:space="preserve"> </w:t>
      </w:r>
    </w:p>
    <w:p w14:paraId="13CAE6C8" w14:textId="24F5EDC2" w:rsidR="008C734C" w:rsidRPr="00BA6C32" w:rsidRDefault="001A3399" w:rsidP="009E304F">
      <w:pPr>
        <w:spacing w:before="120" w:after="120"/>
        <w:rPr>
          <w:b/>
          <w:bCs/>
        </w:rPr>
      </w:pPr>
      <w:r w:rsidRPr="009E304F">
        <w:t>There are no provisions for payments to respondents.</w:t>
      </w:r>
    </w:p>
    <w:p w14:paraId="6A04461E" w14:textId="77777777" w:rsidR="008C734C" w:rsidRPr="00BA6C32" w:rsidRDefault="008C734C" w:rsidP="00480682">
      <w:pPr>
        <w:pStyle w:val="Heading2"/>
      </w:pPr>
      <w:bookmarkStart w:id="15" w:name="_Toc509825663"/>
      <w:r w:rsidRPr="00BA6C32">
        <w:t>A.</w:t>
      </w:r>
      <w:r w:rsidR="00A41763" w:rsidRPr="00BA6C32">
        <w:t xml:space="preserve">10. </w:t>
      </w:r>
      <w:r w:rsidRPr="00BA6C32">
        <w:t>Provisions for Protection of Information</w:t>
      </w:r>
      <w:bookmarkEnd w:id="15"/>
      <w:r w:rsidRPr="00BA6C32">
        <w:t xml:space="preserve"> </w:t>
      </w:r>
    </w:p>
    <w:p w14:paraId="641BFF09" w14:textId="77777777" w:rsidR="00A76F89" w:rsidRPr="000B6F77" w:rsidRDefault="00A76F89" w:rsidP="00A76F89">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spacing w:before="120" w:after="120" w:line="276" w:lineRule="auto"/>
      </w:pPr>
      <w:r w:rsidRPr="000B6F77">
        <w:t>The information reported on Form GC-859 will be protected and not disclosed to the public to the extent that it satisfies the criteria for exemption under the Freedom of Information Act (FOIA), 5 U.S.C. §552, the Department of Energy (DOE) regulations, 10 C.F.R. §1004.11, implementing the FOIA, and the Trade Secrets Act, 18 U.S.C. §1905.</w:t>
      </w:r>
    </w:p>
    <w:p w14:paraId="3B803968" w14:textId="41EA96D4" w:rsidR="00A76F89" w:rsidRDefault="00A76F89" w:rsidP="00A76F89">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spacing w:before="120" w:after="120" w:line="276" w:lineRule="auto"/>
      </w:pPr>
      <w:r>
        <w:t xml:space="preserve">An additional level of protection is provided by </w:t>
      </w:r>
      <w:r w:rsidRPr="00153F51">
        <w:t>Standard Contract for Disposal of Spent Nuclear Fuel and/or High-Level Radioactive Waste.</w:t>
      </w:r>
      <w:r>
        <w:t xml:space="preserve"> </w:t>
      </w:r>
      <w:r w:rsidRPr="00153F51">
        <w:t>In a</w:t>
      </w:r>
      <w:r>
        <w:t>ccordance with the terms of the</w:t>
      </w:r>
      <w:r w:rsidRPr="00153F51">
        <w:t xml:space="preserve"> contract, companies are allowed to mark any data supplied under the contract as "proprietary data</w:t>
      </w:r>
      <w:r>
        <w:t>.” This is covered in</w:t>
      </w:r>
      <w:r w:rsidRPr="00153F51">
        <w:t xml:space="preserve"> 10 C.F.R. 961.11, Article XXI - Rights in Technical Data.</w:t>
      </w:r>
      <w:r>
        <w:t xml:space="preserve"> Typically, only projected fuel cycle data are considered proprietary.</w:t>
      </w:r>
      <w:r w:rsidR="003F1424">
        <w:t xml:space="preserve"> </w:t>
      </w:r>
      <w:r>
        <w:t>For the 201</w:t>
      </w:r>
      <w:r w:rsidR="0061183B">
        <w:t>8</w:t>
      </w:r>
      <w:r>
        <w:t xml:space="preserve"> survey, Section C.2 ‘Projected Assembly Discharges’ has been deleted.</w:t>
      </w:r>
    </w:p>
    <w:p w14:paraId="47650EB5" w14:textId="23A5C1D7" w:rsidR="001A3399" w:rsidRPr="00BA6C32" w:rsidRDefault="00A76F89" w:rsidP="009E304F">
      <w:pPr>
        <w:pStyle w:val="BodyTextIndent"/>
        <w:spacing w:before="120" w:line="276" w:lineRule="auto"/>
        <w:ind w:left="0"/>
      </w:pPr>
      <w:r>
        <w:t xml:space="preserve">Despite the above protections, the </w:t>
      </w:r>
      <w:r w:rsidR="001A3399" w:rsidRPr="00BA6C32">
        <w:t>Federal Energy Administration Act requires EIA to provide company-specific data to other Federal agencies when requested for official use. The information reported on this form may also be made available, upon request, to another DOE component; to any Committee of Congress, the Government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14:paraId="2E1A6E48" w14:textId="2D284B26" w:rsidR="00F056C3" w:rsidRPr="00BA6C32" w:rsidRDefault="001A3399" w:rsidP="009E304F">
      <w:pPr>
        <w:spacing w:before="120" w:after="120" w:line="276" w:lineRule="auto"/>
        <w:rPr>
          <w:b/>
          <w:bCs/>
        </w:rPr>
      </w:pPr>
      <w:r w:rsidRPr="00BA6C32">
        <w:t xml:space="preserve">EIA </w:t>
      </w:r>
      <w:r w:rsidR="00A76F89">
        <w:t xml:space="preserve">also </w:t>
      </w:r>
      <w:r w:rsidRPr="00BA6C32">
        <w:t>has an agreement to provide company-specific information to the DOE Office of Standard Contract Management, within the Office of the General Counsel. The data a</w:t>
      </w:r>
      <w:r w:rsidR="00B61276">
        <w:t>re</w:t>
      </w:r>
      <w:r w:rsidRPr="00BA6C32">
        <w:t xml:space="preserve"> used for administrative, regulatory, and adjudicatory purposes only. </w:t>
      </w:r>
      <w:r w:rsidR="00B61276" w:rsidRPr="00BA6C32">
        <w:t>The agreement requires that the information is protected and not disclosed to the public as set forth above.</w:t>
      </w:r>
      <w:r w:rsidR="00B61276">
        <w:t xml:space="preserve"> However, d</w:t>
      </w:r>
      <w:r w:rsidRPr="00BA6C32">
        <w:t xml:space="preserve">isclosure limitation procedures are not applied to the </w:t>
      </w:r>
      <w:r w:rsidR="006465CF">
        <w:t xml:space="preserve">published aggregate </w:t>
      </w:r>
      <w:r w:rsidRPr="00BA6C32">
        <w:t>statistical data derived from this survey’s information.</w:t>
      </w:r>
      <w:r w:rsidR="00C13B6F" w:rsidRPr="009E304F">
        <w:rPr>
          <w:rFonts w:asciiTheme="majorHAnsi" w:hAnsiTheme="majorHAnsi" w:cstheme="majorHAnsi"/>
          <w:sz w:val="24"/>
          <w:szCs w:val="24"/>
        </w:rPr>
        <w:t xml:space="preserve"> </w:t>
      </w:r>
      <w:r w:rsidR="00C13B6F" w:rsidRPr="009E304F">
        <w:t>There may be some statistics that are based on data from fewer than three respondents, or that are dominated by data from one or two large respondents. In these cases, it may be possible for a knowledgeable person to closely estimate the information reported by a specific respondent.</w:t>
      </w:r>
      <w:r w:rsidR="00C13B6F" w:rsidRPr="009E304F">
        <w:rPr>
          <w:rFonts w:asciiTheme="majorHAnsi" w:hAnsiTheme="majorHAnsi" w:cstheme="majorHAnsi"/>
          <w:sz w:val="24"/>
          <w:szCs w:val="24"/>
        </w:rPr>
        <w:t xml:space="preserve"> </w:t>
      </w:r>
    </w:p>
    <w:p w14:paraId="470583E5" w14:textId="77777777" w:rsidR="00F056C3" w:rsidRPr="00BA6C32" w:rsidRDefault="00F056C3" w:rsidP="00480682">
      <w:pPr>
        <w:pStyle w:val="Heading2"/>
      </w:pPr>
      <w:bookmarkStart w:id="16" w:name="_Toc509825664"/>
      <w:r w:rsidRPr="00BA6C32">
        <w:t>A.</w:t>
      </w:r>
      <w:r w:rsidR="00A41763" w:rsidRPr="00BA6C32">
        <w:t xml:space="preserve">11. </w:t>
      </w:r>
      <w:r w:rsidRPr="00BA6C32">
        <w:t>Justification for Sensitive Questions</w:t>
      </w:r>
      <w:bookmarkEnd w:id="16"/>
      <w:r w:rsidRPr="00BA6C32">
        <w:t xml:space="preserve"> </w:t>
      </w:r>
    </w:p>
    <w:p w14:paraId="39A1BA77" w14:textId="77777777" w:rsidR="001A3399" w:rsidRPr="009E304F" w:rsidRDefault="001A3399" w:rsidP="009E304F">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spacing w:before="120" w:after="0"/>
      </w:pPr>
      <w:r w:rsidRPr="009E304F">
        <w:t>There are no questions of a sensitive nature in these data collections.</w:t>
      </w:r>
    </w:p>
    <w:p w14:paraId="5568A147" w14:textId="77777777" w:rsidR="00F056C3" w:rsidRPr="00BA6C32" w:rsidRDefault="00F056C3" w:rsidP="00A41763">
      <w:pPr>
        <w:rPr>
          <w:b/>
          <w:bCs/>
        </w:rPr>
      </w:pPr>
    </w:p>
    <w:p w14:paraId="29FFF709" w14:textId="77777777" w:rsidR="00F056C3" w:rsidRPr="00BA6C32" w:rsidRDefault="00F056C3" w:rsidP="00480682">
      <w:pPr>
        <w:pStyle w:val="Heading2"/>
      </w:pPr>
      <w:bookmarkStart w:id="17" w:name="_Toc509825665"/>
      <w:r w:rsidRPr="002F6063">
        <w:t>A.</w:t>
      </w:r>
      <w:r w:rsidR="00A41763" w:rsidRPr="002F6063">
        <w:t xml:space="preserve">12. </w:t>
      </w:r>
      <w:r w:rsidRPr="002F6063">
        <w:t>Estimate of Respondent Burden Hours and Cost</w:t>
      </w:r>
      <w:bookmarkEnd w:id="17"/>
      <w:r w:rsidRPr="00BA6C32">
        <w:t xml:space="preserve"> </w:t>
      </w:r>
    </w:p>
    <w:p w14:paraId="25690BD6" w14:textId="2EFC15E1" w:rsidR="003E3D7E" w:rsidRDefault="001A3399" w:rsidP="009E304F">
      <w:pPr>
        <w:spacing w:before="240" w:after="240" w:line="276" w:lineRule="auto"/>
      </w:pPr>
      <w:r w:rsidRPr="009E304F">
        <w:t xml:space="preserve">Current plans call for the survey to be collected once every </w:t>
      </w:r>
      <w:r w:rsidR="006C6B4D">
        <w:t xml:space="preserve">three to </w:t>
      </w:r>
      <w:r w:rsidRPr="009E304F">
        <w:t>five years, so respondents will only file the Form GC-859 once over the three-year approval period, for an average</w:t>
      </w:r>
      <w:r w:rsidR="000A7E0E">
        <w:t xml:space="preserve"> reporting frequency</w:t>
      </w:r>
      <w:r w:rsidRPr="009E304F">
        <w:t xml:space="preserve"> of 1/3 of a response per year from each respondent.</w:t>
      </w:r>
      <w:r w:rsidR="00EF634C">
        <w:t xml:space="preserve"> </w:t>
      </w:r>
      <w:r w:rsidRPr="009E304F">
        <w:t xml:space="preserve">For the three-year approval period, the annual estimate is </w:t>
      </w:r>
      <w:r w:rsidR="000A7E0E">
        <w:t xml:space="preserve">125/3 = </w:t>
      </w:r>
      <w:r w:rsidRPr="009E304F">
        <w:t>4</w:t>
      </w:r>
      <w:r w:rsidR="00270354">
        <w:t>2</w:t>
      </w:r>
      <w:r w:rsidRPr="009E304F">
        <w:t xml:space="preserve"> responses.</w:t>
      </w:r>
      <w:r w:rsidR="00EF634C">
        <w:t xml:space="preserve"> </w:t>
      </w:r>
      <w:r w:rsidRPr="009E304F">
        <w:t xml:space="preserve">The estimated number of annual burden hours of </w:t>
      </w:r>
      <w:r w:rsidR="00F25120">
        <w:t>374</w:t>
      </w:r>
      <w:r w:rsidR="00270354">
        <w:t>7</w:t>
      </w:r>
      <w:r w:rsidRPr="009E304F">
        <w:t xml:space="preserve"> per year is obtained by multiplying the burden per response for each category by the corresponding number of annual responses and adding the burden estimates for each category.</w:t>
      </w:r>
      <w:r w:rsidR="003E3D7E">
        <w:t xml:space="preserve"> Based on the estimated rate of $73.66 per hour for employees who would complete these forms, the total annual respondent cost for all forms is estimated to be:</w:t>
      </w:r>
    </w:p>
    <w:p w14:paraId="214ACA12" w14:textId="50C276D9" w:rsidR="003E3D7E" w:rsidRPr="00A82985" w:rsidRDefault="003E3D7E" w:rsidP="003E3D7E">
      <w:pPr>
        <w:ind w:left="720"/>
        <w:rPr>
          <w:bCs/>
        </w:rPr>
      </w:pPr>
      <w:r>
        <w:rPr>
          <w:bCs/>
        </w:rPr>
        <w:t>$73.66/h</w:t>
      </w:r>
      <w:r w:rsidR="004E7821">
        <w:rPr>
          <w:bCs/>
        </w:rPr>
        <w:t>our x 374</w:t>
      </w:r>
      <w:r w:rsidR="00270354">
        <w:rPr>
          <w:bCs/>
        </w:rPr>
        <w:t>7</w:t>
      </w:r>
      <w:r w:rsidR="001871A5">
        <w:rPr>
          <w:bCs/>
        </w:rPr>
        <w:t xml:space="preserve"> hours/year = $27</w:t>
      </w:r>
      <w:r w:rsidR="00270354">
        <w:rPr>
          <w:bCs/>
        </w:rPr>
        <w:t>6,004</w:t>
      </w:r>
    </w:p>
    <w:p w14:paraId="62711110" w14:textId="538E978F" w:rsidR="0023757A" w:rsidRPr="00B377E0" w:rsidRDefault="003E3D7E" w:rsidP="009E304F">
      <w:pPr>
        <w:rPr>
          <w:bCs/>
        </w:rPr>
      </w:pPr>
      <w:r w:rsidRPr="00A82985">
        <w:rPr>
          <w:bCs/>
        </w:rPr>
        <w:t xml:space="preserve">An average cost per hour of </w:t>
      </w:r>
      <w:r w:rsidRPr="00415E63">
        <w:rPr>
          <w:bCs/>
        </w:rPr>
        <w:t>$</w:t>
      </w:r>
      <w:r>
        <w:rPr>
          <w:bCs/>
        </w:rPr>
        <w:t>73.66</w:t>
      </w:r>
      <w:r w:rsidRPr="00A82985">
        <w:rPr>
          <w:bCs/>
        </w:rPr>
        <w:t xml:space="preserve"> is used because that is the average loaded (salary plus benefits) cost for an EIA employee assigned to data survey work.</w:t>
      </w:r>
      <w:r>
        <w:rPr>
          <w:bCs/>
        </w:rPr>
        <w:t xml:space="preserve"> </w:t>
      </w:r>
      <w:r w:rsidRPr="00A82985">
        <w:rPr>
          <w:bCs/>
        </w:rPr>
        <w:t>EIA assumes that the survey respondent workforce completing surveys for EIA is comparable with EIA workforce.</w:t>
      </w:r>
      <w:r w:rsidR="00EF634C">
        <w:t xml:space="preserve"> </w:t>
      </w:r>
    </w:p>
    <w:p w14:paraId="0AB9D02E" w14:textId="3C3115C9" w:rsidR="00D86BC2" w:rsidRDefault="00E22F81" w:rsidP="009E304F">
      <w:pPr>
        <w:spacing w:before="240" w:after="240" w:line="276" w:lineRule="auto"/>
      </w:pPr>
      <w:r w:rsidRPr="00E22F81">
        <w:t xml:space="preserve">There are no additional capital, start-up, or operating and maintenance costs to respondents beyond the cost of the hours described in Item </w:t>
      </w:r>
      <w:r w:rsidR="0023757A">
        <w:t>A.</w:t>
      </w:r>
      <w:r w:rsidRPr="00E22F81">
        <w:t>12.</w:t>
      </w:r>
      <w:r w:rsidR="00EF634C">
        <w:t xml:space="preserve"> </w:t>
      </w:r>
      <w:r w:rsidRPr="00E22F81">
        <w:t>The only costs are for the burden hours required to report on the Form GC-859.</w:t>
      </w:r>
      <w:bookmarkStart w:id="18" w:name="_MON_1539789608"/>
      <w:bookmarkEnd w:id="18"/>
      <w:r w:rsidR="006E6A88" w:rsidRPr="00BA6C32">
        <w:rPr>
          <w:b/>
          <w:bCs/>
        </w:rPr>
        <w:object w:dxaOrig="10287" w:dyaOrig="3308" w14:anchorId="733F3B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6pt;height:181.45pt" o:ole="">
            <v:imagedata r:id="rId20" o:title=""/>
          </v:shape>
          <o:OLEObject Type="Embed" ProgID="Excel.Sheet.12" ShapeID="_x0000_i1025" DrawAspect="Content" ObjectID="_1583574934" r:id="rId21"/>
        </w:object>
      </w:r>
    </w:p>
    <w:p w14:paraId="3132A708" w14:textId="77777777" w:rsidR="00F056C3" w:rsidRPr="00BA6C32" w:rsidRDefault="00F056C3" w:rsidP="00480682">
      <w:pPr>
        <w:pStyle w:val="Heading2"/>
      </w:pPr>
      <w:bookmarkStart w:id="19" w:name="_Toc509825666"/>
      <w:r w:rsidRPr="008A6127">
        <w:t>A.</w:t>
      </w:r>
      <w:r w:rsidR="00A41763" w:rsidRPr="008A6127">
        <w:t xml:space="preserve">13. </w:t>
      </w:r>
      <w:r w:rsidRPr="008A6127">
        <w:t>Annual Cost to the Federal Government</w:t>
      </w:r>
      <w:bookmarkEnd w:id="19"/>
    </w:p>
    <w:p w14:paraId="123F8C09" w14:textId="228243A5" w:rsidR="00E22F81" w:rsidRPr="009E304F" w:rsidRDefault="00E22F81" w:rsidP="009E304F">
      <w:pPr>
        <w:pStyle w:val="BodyTextIndent2"/>
        <w:spacing w:before="120" w:line="276" w:lineRule="auto"/>
        <w:ind w:left="720"/>
        <w:rPr>
          <w:rFonts w:asciiTheme="minorHAnsi" w:hAnsiTheme="minorHAnsi"/>
          <w:sz w:val="22"/>
          <w:szCs w:val="22"/>
        </w:rPr>
      </w:pPr>
      <w:r w:rsidRPr="009E304F">
        <w:rPr>
          <w:rFonts w:asciiTheme="minorHAnsi" w:hAnsiTheme="minorHAnsi"/>
          <w:sz w:val="22"/>
          <w:szCs w:val="22"/>
        </w:rPr>
        <w:t>The estimated annual cost to the Federal Government for the Form GC</w:t>
      </w:r>
      <w:r w:rsidRPr="009E304F">
        <w:rPr>
          <w:rFonts w:asciiTheme="minorHAnsi" w:hAnsiTheme="minorHAnsi"/>
          <w:sz w:val="22"/>
          <w:szCs w:val="22"/>
        </w:rPr>
        <w:noBreakHyphen/>
        <w:t>859 data collection is shown below.</w:t>
      </w:r>
      <w:r w:rsidR="00EF634C">
        <w:rPr>
          <w:rFonts w:asciiTheme="minorHAnsi" w:hAnsiTheme="minorHAnsi"/>
          <w:sz w:val="22"/>
          <w:szCs w:val="22"/>
        </w:rPr>
        <w:t xml:space="preserve"> </w:t>
      </w:r>
      <w:r w:rsidRPr="009E304F">
        <w:rPr>
          <w:rFonts w:asciiTheme="minorHAnsi" w:hAnsiTheme="minorHAnsi"/>
          <w:sz w:val="22"/>
          <w:szCs w:val="22"/>
        </w:rPr>
        <w:t xml:space="preserve">The figures below are developed on the assumption that the Form GC-859 data will be collected only once during the OMB approval period. </w:t>
      </w:r>
    </w:p>
    <w:p w14:paraId="2AEBE872" w14:textId="7457BFA7" w:rsidR="00E22F81" w:rsidRPr="009E304F" w:rsidRDefault="00E22F81" w:rsidP="009E304F">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spacing w:before="120" w:after="120" w:line="276" w:lineRule="auto"/>
        <w:ind w:left="720"/>
      </w:pPr>
      <w:r w:rsidRPr="009E304F">
        <w:t xml:space="preserve">The estimated </w:t>
      </w:r>
      <w:r w:rsidR="000C1BE4">
        <w:t xml:space="preserve">total </w:t>
      </w:r>
      <w:r w:rsidRPr="009E304F">
        <w:t>cost to the Federal Government for Form GC-859, is $</w:t>
      </w:r>
      <w:r w:rsidR="00CC6981">
        <w:t>1,535,169</w:t>
      </w:r>
      <w:r w:rsidRPr="009E304F">
        <w:t>.</w:t>
      </w:r>
      <w:r w:rsidR="00EF634C">
        <w:t xml:space="preserve"> </w:t>
      </w:r>
      <w:r w:rsidRPr="009E304F">
        <w:t xml:space="preserve">This includes the cost of </w:t>
      </w:r>
      <w:r w:rsidR="00CC6981">
        <w:t>6</w:t>
      </w:r>
      <w:r w:rsidRPr="009E304F">
        <w:t>0% time of one EIA employee for three years and contractor costs.</w:t>
      </w:r>
      <w:r w:rsidR="003F1424">
        <w:t xml:space="preserve"> </w:t>
      </w:r>
      <w:r w:rsidRPr="009E304F">
        <w:t>This represents an annual cost for the three-year clearance period of $</w:t>
      </w:r>
      <w:r w:rsidR="00CC6981">
        <w:t>511</w:t>
      </w:r>
      <w:r w:rsidRPr="009E304F">
        <w:t>,</w:t>
      </w:r>
      <w:r w:rsidR="00CC6981">
        <w:t>723</w:t>
      </w:r>
      <w:r w:rsidRPr="009E304F">
        <w:t xml:space="preserve"> per year.</w:t>
      </w:r>
      <w:r w:rsidR="00EF634C">
        <w:t xml:space="preserve"> </w:t>
      </w:r>
    </w:p>
    <w:p w14:paraId="606A9815" w14:textId="4620639B" w:rsidR="0086666F" w:rsidRDefault="0086666F" w:rsidP="009E304F">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1737"/>
        <w:gridCol w:w="4196"/>
      </w:tblGrid>
      <w:tr w:rsidR="000A7E0E" w14:paraId="1315E988" w14:textId="2BCEDDAC" w:rsidTr="00A40CC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5154" w:type="dxa"/>
            <w:gridSpan w:val="2"/>
            <w:tcBorders>
              <w:bottom w:val="single" w:sz="4" w:space="0" w:color="auto"/>
            </w:tcBorders>
            <w:shd w:val="clear" w:color="auto" w:fill="0096D7" w:themeFill="accent1"/>
          </w:tcPr>
          <w:p w14:paraId="46931192" w14:textId="03626D15" w:rsidR="000A7E0E" w:rsidRDefault="000A7E0E" w:rsidP="000A7E0E">
            <w:pPr>
              <w:spacing w:before="120" w:after="120"/>
              <w:rPr>
                <w:iCs/>
              </w:rPr>
            </w:pPr>
            <w:r>
              <w:rPr>
                <w:iCs/>
                <w:sz w:val="20"/>
              </w:rPr>
              <w:t xml:space="preserve">TOTAL </w:t>
            </w:r>
            <w:r w:rsidRPr="00A31FBA">
              <w:rPr>
                <w:iCs/>
                <w:sz w:val="20"/>
              </w:rPr>
              <w:t xml:space="preserve">COST </w:t>
            </w:r>
            <w:r>
              <w:rPr>
                <w:iCs/>
                <w:sz w:val="20"/>
              </w:rPr>
              <w:t xml:space="preserve">TO THE FEDERAL GOVERNMENT, GC-859 </w:t>
            </w:r>
            <w:r w:rsidRPr="00A31FBA">
              <w:rPr>
                <w:iCs/>
                <w:sz w:val="20"/>
              </w:rPr>
              <w:t>(ESTIMATED)</w:t>
            </w:r>
          </w:p>
        </w:tc>
        <w:tc>
          <w:tcPr>
            <w:tcW w:w="4196" w:type="dxa"/>
            <w:tcBorders>
              <w:bottom w:val="single" w:sz="4" w:space="0" w:color="auto"/>
            </w:tcBorders>
            <w:shd w:val="clear" w:color="auto" w:fill="0096D7" w:themeFill="accent1"/>
          </w:tcPr>
          <w:p w14:paraId="3A1AD0BF" w14:textId="1E8F2E06" w:rsidR="000A7E0E" w:rsidRDefault="000A7E0E" w:rsidP="0086666F">
            <w:pPr>
              <w:spacing w:before="120" w:after="120"/>
              <w:cnfStyle w:val="100000000000" w:firstRow="1" w:lastRow="0" w:firstColumn="0" w:lastColumn="0" w:oddVBand="0" w:evenVBand="0" w:oddHBand="0" w:evenHBand="0" w:firstRowFirstColumn="0" w:firstRowLastColumn="0" w:lastRowFirstColumn="0" w:lastRowLastColumn="0"/>
              <w:rPr>
                <w:iCs/>
                <w:sz w:val="20"/>
              </w:rPr>
            </w:pPr>
            <w:r w:rsidRPr="00A31FBA">
              <w:rPr>
                <w:iCs/>
                <w:sz w:val="20"/>
              </w:rPr>
              <w:t xml:space="preserve">ANNUAL COST </w:t>
            </w:r>
            <w:r>
              <w:rPr>
                <w:iCs/>
                <w:sz w:val="20"/>
              </w:rPr>
              <w:t xml:space="preserve">TO THE FEDERAL GOVERNMENT, GC-859 </w:t>
            </w:r>
            <w:r w:rsidRPr="00A31FBA">
              <w:rPr>
                <w:iCs/>
                <w:sz w:val="20"/>
              </w:rPr>
              <w:t>(ESTIMATED)</w:t>
            </w:r>
          </w:p>
        </w:tc>
      </w:tr>
      <w:tr w:rsidR="000A7E0E" w14:paraId="45C46F75" w14:textId="31C7113F" w:rsidTr="00A40C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17" w:type="dxa"/>
            <w:tcBorders>
              <w:top w:val="single" w:sz="4" w:space="0" w:color="auto"/>
              <w:bottom w:val="single" w:sz="4" w:space="0" w:color="auto"/>
            </w:tcBorders>
          </w:tcPr>
          <w:p w14:paraId="4AACB191" w14:textId="77777777" w:rsidR="000A7E0E" w:rsidRPr="00A31FBA" w:rsidRDefault="000A7E0E" w:rsidP="0086666F">
            <w:pPr>
              <w:spacing w:before="120" w:after="120"/>
              <w:rPr>
                <w:iCs/>
                <w:sz w:val="22"/>
              </w:rPr>
            </w:pPr>
            <w:r w:rsidRPr="00A31FBA">
              <w:rPr>
                <w:iCs/>
                <w:sz w:val="22"/>
              </w:rPr>
              <w:t>Data Collection and Processing</w:t>
            </w:r>
          </w:p>
        </w:tc>
        <w:tc>
          <w:tcPr>
            <w:tcW w:w="1737" w:type="dxa"/>
            <w:tcBorders>
              <w:top w:val="single" w:sz="4" w:space="0" w:color="auto"/>
              <w:bottom w:val="single" w:sz="4" w:space="0" w:color="auto"/>
            </w:tcBorders>
          </w:tcPr>
          <w:p w14:paraId="5E24D321" w14:textId="15699104" w:rsidR="000A7E0E" w:rsidRPr="00A31FBA" w:rsidRDefault="000A7E0E" w:rsidP="0086666F">
            <w:pPr>
              <w:spacing w:before="120"/>
              <w:cnfStyle w:val="000000100000" w:firstRow="0" w:lastRow="0" w:firstColumn="0" w:lastColumn="0" w:oddVBand="0" w:evenVBand="0" w:oddHBand="1" w:evenHBand="0" w:firstRowFirstColumn="0" w:firstRowLastColumn="0" w:lastRowFirstColumn="0" w:lastRowLastColumn="0"/>
              <w:rPr>
                <w:iCs/>
                <w:sz w:val="22"/>
              </w:rPr>
            </w:pPr>
            <w:r>
              <w:rPr>
                <w:iCs/>
                <w:sz w:val="22"/>
              </w:rPr>
              <w:t>$831,323</w:t>
            </w:r>
          </w:p>
        </w:tc>
        <w:tc>
          <w:tcPr>
            <w:tcW w:w="4196" w:type="dxa"/>
            <w:tcBorders>
              <w:top w:val="single" w:sz="4" w:space="0" w:color="auto"/>
              <w:bottom w:val="single" w:sz="4" w:space="0" w:color="auto"/>
            </w:tcBorders>
          </w:tcPr>
          <w:p w14:paraId="3CED59E8" w14:textId="54AC4F5F" w:rsidR="000A7E0E" w:rsidRDefault="008C36DE" w:rsidP="008C36DE">
            <w:pPr>
              <w:spacing w:before="120"/>
              <w:cnfStyle w:val="000000100000" w:firstRow="0" w:lastRow="0" w:firstColumn="0" w:lastColumn="0" w:oddVBand="0" w:evenVBand="0" w:oddHBand="1" w:evenHBand="0" w:firstRowFirstColumn="0" w:firstRowLastColumn="0" w:lastRowFirstColumn="0" w:lastRowLastColumn="0"/>
              <w:rPr>
                <w:iCs/>
              </w:rPr>
            </w:pPr>
            <w:r>
              <w:rPr>
                <w:iCs/>
              </w:rPr>
              <w:t>$277,108.00</w:t>
            </w:r>
          </w:p>
        </w:tc>
      </w:tr>
      <w:tr w:rsidR="000A7E0E" w14:paraId="2D0B009E" w14:textId="789EDFB6" w:rsidTr="00A40CC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17" w:type="dxa"/>
            <w:tcBorders>
              <w:bottom w:val="double" w:sz="4" w:space="0" w:color="auto"/>
            </w:tcBorders>
          </w:tcPr>
          <w:p w14:paraId="1BF4A682" w14:textId="04E9288B" w:rsidR="000A7E0E" w:rsidRPr="00A31FBA" w:rsidRDefault="000A7E0E" w:rsidP="0086666F">
            <w:pPr>
              <w:spacing w:before="120" w:after="120"/>
              <w:rPr>
                <w:iCs/>
                <w:sz w:val="22"/>
              </w:rPr>
            </w:pPr>
            <w:r w:rsidRPr="00A31FBA">
              <w:rPr>
                <w:iCs/>
                <w:sz w:val="22"/>
              </w:rPr>
              <w:t>System Maintenance and Enhancement</w:t>
            </w:r>
          </w:p>
        </w:tc>
        <w:tc>
          <w:tcPr>
            <w:tcW w:w="1737" w:type="dxa"/>
            <w:tcBorders>
              <w:bottom w:val="double" w:sz="4" w:space="0" w:color="auto"/>
            </w:tcBorders>
          </w:tcPr>
          <w:p w14:paraId="13A49C40" w14:textId="394E1A3A" w:rsidR="000A7E0E" w:rsidRPr="00A31FBA" w:rsidRDefault="000A7E0E" w:rsidP="0086666F">
            <w:pPr>
              <w:spacing w:before="120"/>
              <w:cnfStyle w:val="000000010000" w:firstRow="0" w:lastRow="0" w:firstColumn="0" w:lastColumn="0" w:oddVBand="0" w:evenVBand="0" w:oddHBand="0" w:evenHBand="1" w:firstRowFirstColumn="0" w:firstRowLastColumn="0" w:lastRowFirstColumn="0" w:lastRowLastColumn="0"/>
              <w:rPr>
                <w:iCs/>
                <w:sz w:val="22"/>
              </w:rPr>
            </w:pPr>
            <w:r>
              <w:rPr>
                <w:iCs/>
                <w:sz w:val="22"/>
              </w:rPr>
              <w:t>$703,846</w:t>
            </w:r>
          </w:p>
        </w:tc>
        <w:tc>
          <w:tcPr>
            <w:tcW w:w="4196" w:type="dxa"/>
            <w:tcBorders>
              <w:bottom w:val="double" w:sz="4" w:space="0" w:color="auto"/>
            </w:tcBorders>
          </w:tcPr>
          <w:p w14:paraId="4402EC26" w14:textId="77777777" w:rsidR="000A7E0E" w:rsidRDefault="008C36DE" w:rsidP="0086666F">
            <w:pPr>
              <w:spacing w:before="120"/>
              <w:cnfStyle w:val="000000010000" w:firstRow="0" w:lastRow="0" w:firstColumn="0" w:lastColumn="0" w:oddVBand="0" w:evenVBand="0" w:oddHBand="0" w:evenHBand="1" w:firstRowFirstColumn="0" w:firstRowLastColumn="0" w:lastRowFirstColumn="0" w:lastRowLastColumn="0"/>
              <w:rPr>
                <w:iCs/>
              </w:rPr>
            </w:pPr>
            <w:r>
              <w:rPr>
                <w:iCs/>
              </w:rPr>
              <w:t>$234,615.00</w:t>
            </w:r>
          </w:p>
          <w:p w14:paraId="01F93F6F" w14:textId="77777777" w:rsidR="008C36DE" w:rsidRDefault="008C36DE" w:rsidP="0086666F">
            <w:pPr>
              <w:spacing w:before="120"/>
              <w:cnfStyle w:val="000000010000" w:firstRow="0" w:lastRow="0" w:firstColumn="0" w:lastColumn="0" w:oddVBand="0" w:evenVBand="0" w:oddHBand="0" w:evenHBand="1" w:firstRowFirstColumn="0" w:firstRowLastColumn="0" w:lastRowFirstColumn="0" w:lastRowLastColumn="0"/>
              <w:rPr>
                <w:iCs/>
              </w:rPr>
            </w:pPr>
          </w:p>
        </w:tc>
      </w:tr>
      <w:tr w:rsidR="000A7E0E" w14:paraId="0ECCB800" w14:textId="5203319B" w:rsidTr="00A40C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17" w:type="dxa"/>
            <w:tcBorders>
              <w:top w:val="double" w:sz="4" w:space="0" w:color="auto"/>
              <w:bottom w:val="single" w:sz="4" w:space="0" w:color="auto"/>
            </w:tcBorders>
          </w:tcPr>
          <w:p w14:paraId="1A237E2C" w14:textId="3F2A4BD7" w:rsidR="000A7E0E" w:rsidRPr="00A31FBA" w:rsidRDefault="000A7E0E" w:rsidP="0086666F">
            <w:pPr>
              <w:spacing w:before="120" w:after="120"/>
              <w:rPr>
                <w:iCs/>
                <w:sz w:val="22"/>
              </w:rPr>
            </w:pPr>
            <w:r w:rsidRPr="00A31FBA">
              <w:rPr>
                <w:iCs/>
                <w:sz w:val="22"/>
              </w:rPr>
              <w:t>Total</w:t>
            </w:r>
          </w:p>
        </w:tc>
        <w:tc>
          <w:tcPr>
            <w:tcW w:w="1737" w:type="dxa"/>
            <w:tcBorders>
              <w:top w:val="double" w:sz="4" w:space="0" w:color="auto"/>
              <w:bottom w:val="single" w:sz="4" w:space="0" w:color="auto"/>
            </w:tcBorders>
          </w:tcPr>
          <w:p w14:paraId="5EAC307B" w14:textId="786C5B01" w:rsidR="000A7E0E" w:rsidRPr="00A31FBA" w:rsidRDefault="000A7E0E" w:rsidP="0086666F">
            <w:pPr>
              <w:spacing w:before="120"/>
              <w:cnfStyle w:val="000000100000" w:firstRow="0" w:lastRow="0" w:firstColumn="0" w:lastColumn="0" w:oddVBand="0" w:evenVBand="0" w:oddHBand="1" w:evenHBand="0" w:firstRowFirstColumn="0" w:firstRowLastColumn="0" w:lastRowFirstColumn="0" w:lastRowLastColumn="0"/>
              <w:rPr>
                <w:iCs/>
                <w:sz w:val="22"/>
              </w:rPr>
            </w:pPr>
            <w:r>
              <w:rPr>
                <w:iCs/>
                <w:sz w:val="22"/>
              </w:rPr>
              <w:t>$1,535,169</w:t>
            </w:r>
          </w:p>
        </w:tc>
        <w:tc>
          <w:tcPr>
            <w:tcW w:w="4196" w:type="dxa"/>
            <w:tcBorders>
              <w:top w:val="double" w:sz="4" w:space="0" w:color="auto"/>
              <w:bottom w:val="single" w:sz="4" w:space="0" w:color="auto"/>
            </w:tcBorders>
          </w:tcPr>
          <w:p w14:paraId="5F92EE8F" w14:textId="2FEF64FD" w:rsidR="000A7E0E" w:rsidRDefault="000A7E0E" w:rsidP="0086666F">
            <w:pPr>
              <w:spacing w:before="120"/>
              <w:cnfStyle w:val="000000100000" w:firstRow="0" w:lastRow="0" w:firstColumn="0" w:lastColumn="0" w:oddVBand="0" w:evenVBand="0" w:oddHBand="1" w:evenHBand="0" w:firstRowFirstColumn="0" w:firstRowLastColumn="0" w:lastRowFirstColumn="0" w:lastRowLastColumn="0"/>
              <w:rPr>
                <w:iCs/>
              </w:rPr>
            </w:pPr>
            <w:r>
              <w:rPr>
                <w:iCs/>
              </w:rPr>
              <w:t>$511,723.00</w:t>
            </w:r>
          </w:p>
        </w:tc>
      </w:tr>
    </w:tbl>
    <w:p w14:paraId="74594F71" w14:textId="77777777" w:rsidR="0086666F" w:rsidRDefault="0086666F" w:rsidP="00E22F81">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720"/>
        <w:rPr>
          <w:rFonts w:ascii="Times New Roman" w:hAnsi="Times New Roman"/>
        </w:rPr>
      </w:pPr>
    </w:p>
    <w:p w14:paraId="4AC9EF2E" w14:textId="77777777" w:rsidR="0091409C" w:rsidRPr="00BA6C32" w:rsidRDefault="0091409C" w:rsidP="00480682">
      <w:pPr>
        <w:pStyle w:val="Heading2"/>
        <w:sectPr w:rsidR="0091409C" w:rsidRPr="00BA6C32" w:rsidSect="008F4CBD">
          <w:headerReference w:type="even" r:id="rId22"/>
          <w:headerReference w:type="default" r:id="rId23"/>
          <w:footerReference w:type="even" r:id="rId24"/>
          <w:headerReference w:type="first" r:id="rId25"/>
          <w:footerReference w:type="first" r:id="rId26"/>
          <w:pgSz w:w="12240" w:h="15840"/>
          <w:pgMar w:top="1440" w:right="1440" w:bottom="1440" w:left="1440" w:header="720" w:footer="720" w:gutter="0"/>
          <w:pgNumType w:start="1"/>
          <w:cols w:space="720"/>
          <w:docGrid w:linePitch="360"/>
        </w:sectPr>
      </w:pPr>
    </w:p>
    <w:p w14:paraId="3FE98F61" w14:textId="77777777" w:rsidR="00F056C3" w:rsidRPr="00BA6C32" w:rsidRDefault="00F056C3" w:rsidP="00FA12A7">
      <w:pPr>
        <w:pStyle w:val="Heading2"/>
      </w:pPr>
      <w:bookmarkStart w:id="20" w:name="_Toc509825667"/>
      <w:r w:rsidRPr="002F6063">
        <w:t>A.</w:t>
      </w:r>
      <w:r w:rsidR="00A41763" w:rsidRPr="002F6063">
        <w:t xml:space="preserve">14. </w:t>
      </w:r>
      <w:r w:rsidRPr="002F6063">
        <w:t>Changes in Burden</w:t>
      </w:r>
      <w:bookmarkEnd w:id="20"/>
      <w:r w:rsidRPr="002F6063">
        <w:t xml:space="preserve"> </w:t>
      </w:r>
    </w:p>
    <w:p w14:paraId="7E2E43A4" w14:textId="71FF72DA" w:rsidR="009300ED" w:rsidRPr="009E304F" w:rsidRDefault="00C01D5B" w:rsidP="009E304F">
      <w:pPr>
        <w:pStyle w:val="BodyTextIndent2"/>
        <w:spacing w:before="120" w:line="240" w:lineRule="auto"/>
        <w:ind w:left="0"/>
        <w:rPr>
          <w:rFonts w:asciiTheme="minorHAnsi" w:hAnsiTheme="minorHAnsi"/>
        </w:rPr>
      </w:pPr>
      <w:r w:rsidRPr="00C01D5B">
        <w:rPr>
          <w:rFonts w:asciiTheme="minorHAnsi" w:hAnsiTheme="minorHAnsi"/>
        </w:rPr>
        <w:t>The estimated chang</w:t>
      </w:r>
      <w:r>
        <w:rPr>
          <w:rFonts w:asciiTheme="minorHAnsi" w:hAnsiTheme="minorHAnsi"/>
        </w:rPr>
        <w:t>e in annual burden is 64</w:t>
      </w:r>
      <w:r w:rsidR="00546E4B">
        <w:rPr>
          <w:rFonts w:asciiTheme="minorHAnsi" w:hAnsiTheme="minorHAnsi"/>
        </w:rPr>
        <w:t>2</w:t>
      </w:r>
      <w:r w:rsidRPr="00C01D5B">
        <w:rPr>
          <w:rFonts w:asciiTheme="minorHAnsi" w:hAnsiTheme="minorHAnsi"/>
        </w:rPr>
        <w:t xml:space="preserve"> burden hou</w:t>
      </w:r>
      <w:r>
        <w:rPr>
          <w:rFonts w:asciiTheme="minorHAnsi" w:hAnsiTheme="minorHAnsi"/>
        </w:rPr>
        <w:t>rs (increase of approximately 21</w:t>
      </w:r>
      <w:r w:rsidR="00A84A57">
        <w:rPr>
          <w:rFonts w:asciiTheme="minorHAnsi" w:hAnsiTheme="minorHAnsi"/>
        </w:rPr>
        <w:t>%)</w:t>
      </w:r>
      <w:r w:rsidRPr="00C01D5B">
        <w:rPr>
          <w:rFonts w:asciiTheme="minorHAnsi" w:hAnsiTheme="minorHAnsi"/>
        </w:rPr>
        <w:t>.</w:t>
      </w:r>
    </w:p>
    <w:p w14:paraId="43052579" w14:textId="46FCEAD4" w:rsidR="00A41763" w:rsidRPr="00BA6C32" w:rsidRDefault="00A41763" w:rsidP="00A41763">
      <w:pPr>
        <w:rPr>
          <w:i/>
          <w:iCs/>
        </w:rPr>
      </w:pPr>
      <w:r w:rsidRPr="00BA6C32">
        <w:rPr>
          <w:i/>
          <w:iCs/>
        </w:rPr>
        <w:t xml:space="preserve"> </w:t>
      </w:r>
    </w:p>
    <w:bookmarkStart w:id="21" w:name="_MON_1573975753"/>
    <w:bookmarkEnd w:id="21"/>
    <w:p w14:paraId="06BD0A35" w14:textId="6F4B5455" w:rsidR="0091409C" w:rsidRPr="00BA6C32" w:rsidRDefault="0002174B" w:rsidP="00A40CC6">
      <w:pPr>
        <w:ind w:left="-720" w:right="-720"/>
        <w:rPr>
          <w:b/>
        </w:rPr>
        <w:sectPr w:rsidR="0091409C" w:rsidRPr="00BA6C32" w:rsidSect="00FA6EFC">
          <w:pgSz w:w="15840" w:h="12240" w:orient="landscape"/>
          <w:pgMar w:top="1440" w:right="1440" w:bottom="1440" w:left="1440" w:header="720" w:footer="720" w:gutter="0"/>
          <w:cols w:space="720"/>
          <w:docGrid w:linePitch="360"/>
        </w:sectPr>
      </w:pPr>
      <w:r>
        <w:object w:dxaOrig="19141" w:dyaOrig="3357" w14:anchorId="2AD8000F">
          <v:shape id="_x0000_i1026" type="#_x0000_t75" style="width:613.45pt;height:107.95pt" o:ole="">
            <v:imagedata r:id="rId27" o:title=""/>
          </v:shape>
          <o:OLEObject Type="Embed" ProgID="Excel.Sheet.12" ShapeID="_x0000_i1026" DrawAspect="Content" ObjectID="_1583574935" r:id="rId28"/>
        </w:object>
      </w:r>
    </w:p>
    <w:p w14:paraId="1D3D3DF7" w14:textId="77777777" w:rsidR="006D42EC" w:rsidRPr="00BA6C32" w:rsidRDefault="00F056C3" w:rsidP="00FA12A7">
      <w:pPr>
        <w:pStyle w:val="Heading2"/>
      </w:pPr>
      <w:bookmarkStart w:id="22" w:name="_Toc509825668"/>
      <w:r w:rsidRPr="00B87B06">
        <w:t>A.</w:t>
      </w:r>
      <w:r w:rsidR="00A41763" w:rsidRPr="00B87B06">
        <w:t xml:space="preserve">15. </w:t>
      </w:r>
      <w:r w:rsidR="006D42EC" w:rsidRPr="00B87B06">
        <w:t>Reasons for Changes in Burden</w:t>
      </w:r>
      <w:bookmarkEnd w:id="22"/>
    </w:p>
    <w:p w14:paraId="235DDE8A" w14:textId="00B99192" w:rsidR="0047687B" w:rsidRDefault="00033B08" w:rsidP="009E304F">
      <w:pPr>
        <w:pStyle w:val="BodyTextIndent2"/>
        <w:spacing w:before="120" w:line="276" w:lineRule="auto"/>
        <w:ind w:left="0"/>
        <w:rPr>
          <w:rFonts w:asciiTheme="minorHAnsi" w:hAnsiTheme="minorHAnsi"/>
          <w:sz w:val="22"/>
          <w:szCs w:val="22"/>
        </w:rPr>
      </w:pPr>
      <w:r w:rsidRPr="009E304F">
        <w:rPr>
          <w:rFonts w:asciiTheme="minorHAnsi" w:hAnsiTheme="minorHAnsi"/>
          <w:sz w:val="22"/>
          <w:szCs w:val="22"/>
        </w:rPr>
        <w:t>Historically, the total burden for completing the survey has varied from 1,000 to 5,000 hours per year</w:t>
      </w:r>
      <w:r w:rsidR="000A7E0E">
        <w:rPr>
          <w:rFonts w:asciiTheme="minorHAnsi" w:hAnsiTheme="minorHAnsi"/>
          <w:sz w:val="22"/>
          <w:szCs w:val="22"/>
        </w:rPr>
        <w:t xml:space="preserve"> depending upon the respondent category and</w:t>
      </w:r>
      <w:r w:rsidRPr="009E304F">
        <w:rPr>
          <w:rFonts w:asciiTheme="minorHAnsi" w:hAnsiTheme="minorHAnsi"/>
          <w:sz w:val="22"/>
          <w:szCs w:val="22"/>
        </w:rPr>
        <w:t xml:space="preserve"> based on the time </w:t>
      </w:r>
      <w:r w:rsidR="000A7E0E">
        <w:rPr>
          <w:rFonts w:asciiTheme="minorHAnsi" w:hAnsiTheme="minorHAnsi"/>
          <w:sz w:val="22"/>
          <w:szCs w:val="22"/>
        </w:rPr>
        <w:t xml:space="preserve">period </w:t>
      </w:r>
      <w:r w:rsidRPr="009E304F">
        <w:rPr>
          <w:rFonts w:asciiTheme="minorHAnsi" w:hAnsiTheme="minorHAnsi"/>
          <w:sz w:val="22"/>
          <w:szCs w:val="22"/>
        </w:rPr>
        <w:t>between data collection</w:t>
      </w:r>
      <w:r w:rsidR="000A7E0E">
        <w:rPr>
          <w:rFonts w:asciiTheme="minorHAnsi" w:hAnsiTheme="minorHAnsi"/>
          <w:sz w:val="22"/>
          <w:szCs w:val="22"/>
        </w:rPr>
        <w:t xml:space="preserve"> cycle</w:t>
      </w:r>
      <w:r w:rsidRPr="009E304F">
        <w:rPr>
          <w:rFonts w:asciiTheme="minorHAnsi" w:hAnsiTheme="minorHAnsi"/>
          <w:sz w:val="22"/>
          <w:szCs w:val="22"/>
        </w:rPr>
        <w:t>s and the specific data being collected.</w:t>
      </w:r>
      <w:r w:rsidR="0047687B">
        <w:rPr>
          <w:rFonts w:asciiTheme="minorHAnsi" w:hAnsiTheme="minorHAnsi"/>
          <w:sz w:val="22"/>
          <w:szCs w:val="22"/>
        </w:rPr>
        <w:t xml:space="preserve"> </w:t>
      </w:r>
      <w:r w:rsidR="00F755AE" w:rsidRPr="00F755AE">
        <w:rPr>
          <w:rFonts w:asciiTheme="minorHAnsi" w:hAnsiTheme="minorHAnsi"/>
          <w:sz w:val="22"/>
          <w:szCs w:val="22"/>
        </w:rPr>
        <w:t>Feedback from respondents to the 2013 Form GC-859 was that the estimated burden was significantly underestimated</w:t>
      </w:r>
      <w:r w:rsidR="00FE130E">
        <w:rPr>
          <w:rFonts w:asciiTheme="minorHAnsi" w:hAnsiTheme="minorHAnsi"/>
          <w:sz w:val="22"/>
          <w:szCs w:val="22"/>
        </w:rPr>
        <w:t xml:space="preserve"> for operating and shutdown reactors</w:t>
      </w:r>
      <w:r w:rsidR="00F755AE">
        <w:rPr>
          <w:rFonts w:asciiTheme="minorHAnsi" w:hAnsiTheme="minorHAnsi"/>
          <w:sz w:val="22"/>
          <w:szCs w:val="22"/>
        </w:rPr>
        <w:t>.</w:t>
      </w:r>
      <w:r w:rsidR="00EF634C">
        <w:rPr>
          <w:rFonts w:asciiTheme="minorHAnsi" w:hAnsiTheme="minorHAnsi"/>
          <w:sz w:val="22"/>
          <w:szCs w:val="22"/>
        </w:rPr>
        <w:t xml:space="preserve"> </w:t>
      </w:r>
      <w:r w:rsidR="0047687B">
        <w:rPr>
          <w:rFonts w:asciiTheme="minorHAnsi" w:hAnsiTheme="minorHAnsi"/>
          <w:sz w:val="22"/>
          <w:szCs w:val="22"/>
        </w:rPr>
        <w:t>This was d</w:t>
      </w:r>
      <w:r w:rsidR="00A4351C">
        <w:rPr>
          <w:rFonts w:asciiTheme="minorHAnsi" w:hAnsiTheme="minorHAnsi"/>
          <w:sz w:val="22"/>
          <w:szCs w:val="22"/>
        </w:rPr>
        <w:t xml:space="preserve">ue to the collection covering an unusually large </w:t>
      </w:r>
      <w:r w:rsidR="0047687B">
        <w:rPr>
          <w:rFonts w:asciiTheme="minorHAnsi" w:hAnsiTheme="minorHAnsi"/>
          <w:sz w:val="22"/>
          <w:szCs w:val="22"/>
        </w:rPr>
        <w:t xml:space="preserve">time </w:t>
      </w:r>
      <w:r w:rsidR="000A7E0E">
        <w:rPr>
          <w:rFonts w:asciiTheme="minorHAnsi" w:hAnsiTheme="minorHAnsi"/>
          <w:sz w:val="22"/>
          <w:szCs w:val="22"/>
        </w:rPr>
        <w:t xml:space="preserve">period </w:t>
      </w:r>
      <w:r w:rsidR="00A4351C">
        <w:rPr>
          <w:rFonts w:asciiTheme="minorHAnsi" w:hAnsiTheme="minorHAnsi"/>
          <w:sz w:val="22"/>
          <w:szCs w:val="22"/>
        </w:rPr>
        <w:t>of 10 years</w:t>
      </w:r>
      <w:r w:rsidR="0047687B">
        <w:rPr>
          <w:rFonts w:asciiTheme="minorHAnsi" w:hAnsiTheme="minorHAnsi"/>
          <w:sz w:val="22"/>
          <w:szCs w:val="22"/>
        </w:rPr>
        <w:t>, us</w:t>
      </w:r>
      <w:r w:rsidR="00A4351C">
        <w:rPr>
          <w:rFonts w:asciiTheme="minorHAnsi" w:hAnsiTheme="minorHAnsi"/>
          <w:sz w:val="22"/>
          <w:szCs w:val="22"/>
        </w:rPr>
        <w:t xml:space="preserve">e of a new software system, and </w:t>
      </w:r>
      <w:r w:rsidR="0047687B">
        <w:rPr>
          <w:rFonts w:asciiTheme="minorHAnsi" w:hAnsiTheme="minorHAnsi"/>
          <w:sz w:val="22"/>
          <w:szCs w:val="22"/>
        </w:rPr>
        <w:t>increases in the amount of data collected.</w:t>
      </w:r>
    </w:p>
    <w:p w14:paraId="0A7FE7AC" w14:textId="45757AB1" w:rsidR="0047687B" w:rsidRDefault="0047687B" w:rsidP="009E304F">
      <w:pPr>
        <w:pStyle w:val="BodyTextIndent2"/>
        <w:spacing w:before="120" w:line="276" w:lineRule="auto"/>
        <w:ind w:left="0"/>
        <w:rPr>
          <w:rFonts w:asciiTheme="minorHAnsi" w:hAnsiTheme="minorHAnsi"/>
          <w:sz w:val="22"/>
          <w:szCs w:val="22"/>
        </w:rPr>
      </w:pPr>
      <w:r>
        <w:rPr>
          <w:rFonts w:asciiTheme="minorHAnsi" w:hAnsiTheme="minorHAnsi"/>
          <w:sz w:val="22"/>
          <w:szCs w:val="22"/>
        </w:rPr>
        <w:t xml:space="preserve">For the </w:t>
      </w:r>
      <w:r w:rsidR="00F755AE" w:rsidRPr="00F755AE">
        <w:rPr>
          <w:rFonts w:asciiTheme="minorHAnsi" w:hAnsiTheme="minorHAnsi"/>
          <w:sz w:val="22"/>
          <w:szCs w:val="22"/>
        </w:rPr>
        <w:t>2017 prop</w:t>
      </w:r>
      <w:r>
        <w:rPr>
          <w:rFonts w:asciiTheme="minorHAnsi" w:hAnsiTheme="minorHAnsi"/>
          <w:sz w:val="22"/>
          <w:szCs w:val="22"/>
        </w:rPr>
        <w:t>osed survey, the burden</w:t>
      </w:r>
      <w:r w:rsidR="00EF634C">
        <w:rPr>
          <w:rFonts w:asciiTheme="minorHAnsi" w:hAnsiTheme="minorHAnsi"/>
          <w:sz w:val="22"/>
          <w:szCs w:val="22"/>
        </w:rPr>
        <w:t xml:space="preserve"> </w:t>
      </w:r>
      <w:r w:rsidR="00F755AE">
        <w:rPr>
          <w:rFonts w:asciiTheme="minorHAnsi" w:hAnsiTheme="minorHAnsi"/>
          <w:sz w:val="22"/>
          <w:szCs w:val="22"/>
        </w:rPr>
        <w:t xml:space="preserve">is </w:t>
      </w:r>
      <w:r w:rsidR="00F755AE" w:rsidRPr="00F755AE">
        <w:rPr>
          <w:rFonts w:asciiTheme="minorHAnsi" w:hAnsiTheme="minorHAnsi"/>
          <w:sz w:val="22"/>
          <w:szCs w:val="22"/>
        </w:rPr>
        <w:t xml:space="preserve">adjusted to account for feedback from the respondents who completed the 2013 survey, </w:t>
      </w:r>
      <w:r w:rsidR="00F755AE">
        <w:rPr>
          <w:rFonts w:asciiTheme="minorHAnsi" w:hAnsiTheme="minorHAnsi"/>
          <w:sz w:val="22"/>
          <w:szCs w:val="22"/>
        </w:rPr>
        <w:t xml:space="preserve">the </w:t>
      </w:r>
      <w:r w:rsidR="00F755AE" w:rsidRPr="00F755AE">
        <w:rPr>
          <w:rFonts w:asciiTheme="minorHAnsi" w:hAnsiTheme="minorHAnsi"/>
          <w:sz w:val="22"/>
          <w:szCs w:val="22"/>
        </w:rPr>
        <w:t>amount of data to be collected during this cycle</w:t>
      </w:r>
      <w:r>
        <w:rPr>
          <w:rFonts w:asciiTheme="minorHAnsi" w:hAnsiTheme="minorHAnsi"/>
          <w:sz w:val="22"/>
          <w:szCs w:val="22"/>
        </w:rPr>
        <w:t xml:space="preserve"> (4.5 years), and the </w:t>
      </w:r>
      <w:r w:rsidR="00F755AE" w:rsidRPr="00F755AE">
        <w:rPr>
          <w:rFonts w:asciiTheme="minorHAnsi" w:hAnsiTheme="minorHAnsi"/>
          <w:sz w:val="22"/>
          <w:szCs w:val="22"/>
        </w:rPr>
        <w:t>changes to the 2017 survey form</w:t>
      </w:r>
      <w:r w:rsidR="00F755AE">
        <w:rPr>
          <w:rFonts w:asciiTheme="minorHAnsi" w:hAnsiTheme="minorHAnsi"/>
          <w:sz w:val="22"/>
          <w:szCs w:val="22"/>
        </w:rPr>
        <w:t xml:space="preserve"> (both additions and deletions</w:t>
      </w:r>
      <w:r w:rsidR="000A7E0E">
        <w:rPr>
          <w:rFonts w:asciiTheme="minorHAnsi" w:hAnsiTheme="minorHAnsi"/>
          <w:sz w:val="22"/>
          <w:szCs w:val="22"/>
        </w:rPr>
        <w:t xml:space="preserve"> of data elements</w:t>
      </w:r>
      <w:r w:rsidR="00F755AE">
        <w:rPr>
          <w:rFonts w:asciiTheme="minorHAnsi" w:hAnsiTheme="minorHAnsi"/>
          <w:sz w:val="22"/>
          <w:szCs w:val="22"/>
        </w:rPr>
        <w:t>)</w:t>
      </w:r>
      <w:r w:rsidR="00F755AE" w:rsidRPr="00F755AE">
        <w:rPr>
          <w:rFonts w:asciiTheme="minorHAnsi" w:hAnsiTheme="minorHAnsi"/>
          <w:sz w:val="22"/>
          <w:szCs w:val="22"/>
        </w:rPr>
        <w:t>.</w:t>
      </w:r>
      <w:r w:rsidR="00EF634C">
        <w:rPr>
          <w:rFonts w:asciiTheme="minorHAnsi" w:hAnsiTheme="minorHAnsi"/>
          <w:sz w:val="22"/>
          <w:szCs w:val="22"/>
        </w:rPr>
        <w:t xml:space="preserve"> </w:t>
      </w:r>
      <w:r w:rsidR="000A7E0E">
        <w:rPr>
          <w:rFonts w:asciiTheme="minorHAnsi" w:hAnsiTheme="minorHAnsi"/>
          <w:sz w:val="22"/>
          <w:szCs w:val="22"/>
        </w:rPr>
        <w:t>The m</w:t>
      </w:r>
      <w:r>
        <w:rPr>
          <w:rFonts w:asciiTheme="minorHAnsi" w:hAnsiTheme="minorHAnsi"/>
          <w:sz w:val="22"/>
          <w:szCs w:val="22"/>
        </w:rPr>
        <w:t xml:space="preserve">ost important </w:t>
      </w:r>
      <w:r w:rsidR="000A7E0E">
        <w:rPr>
          <w:rFonts w:asciiTheme="minorHAnsi" w:hAnsiTheme="minorHAnsi"/>
          <w:sz w:val="22"/>
          <w:szCs w:val="22"/>
        </w:rPr>
        <w:t>reason for the change in burden</w:t>
      </w:r>
      <w:r>
        <w:rPr>
          <w:rFonts w:asciiTheme="minorHAnsi" w:hAnsiTheme="minorHAnsi"/>
          <w:sz w:val="22"/>
          <w:szCs w:val="22"/>
        </w:rPr>
        <w:t xml:space="preserve"> is the industry feedback receive</w:t>
      </w:r>
      <w:r w:rsidR="00C04692">
        <w:rPr>
          <w:rFonts w:asciiTheme="minorHAnsi" w:hAnsiTheme="minorHAnsi"/>
          <w:sz w:val="22"/>
          <w:szCs w:val="22"/>
        </w:rPr>
        <w:t xml:space="preserve">d during the GC-859 </w:t>
      </w:r>
      <w:r>
        <w:rPr>
          <w:rFonts w:asciiTheme="minorHAnsi" w:hAnsiTheme="minorHAnsi"/>
          <w:sz w:val="22"/>
          <w:szCs w:val="22"/>
        </w:rPr>
        <w:t>meeting on March 29, 2017.</w:t>
      </w:r>
      <w:r w:rsidR="00B5303E">
        <w:rPr>
          <w:rFonts w:asciiTheme="minorHAnsi" w:hAnsiTheme="minorHAnsi"/>
          <w:sz w:val="22"/>
          <w:szCs w:val="22"/>
        </w:rPr>
        <w:t xml:space="preserve"> </w:t>
      </w:r>
      <w:r w:rsidR="00B87B06">
        <w:rPr>
          <w:rFonts w:asciiTheme="minorHAnsi" w:hAnsiTheme="minorHAnsi"/>
          <w:sz w:val="22"/>
          <w:szCs w:val="22"/>
        </w:rPr>
        <w:t xml:space="preserve">After reviewing the </w:t>
      </w:r>
      <w:r w:rsidR="000A7E0E">
        <w:rPr>
          <w:rFonts w:asciiTheme="minorHAnsi" w:hAnsiTheme="minorHAnsi"/>
          <w:sz w:val="22"/>
          <w:szCs w:val="22"/>
        </w:rPr>
        <w:t>2017</w:t>
      </w:r>
      <w:r w:rsidR="00B87B06">
        <w:rPr>
          <w:rFonts w:asciiTheme="minorHAnsi" w:hAnsiTheme="minorHAnsi"/>
          <w:sz w:val="22"/>
          <w:szCs w:val="22"/>
        </w:rPr>
        <w:t xml:space="preserve"> </w:t>
      </w:r>
      <w:r w:rsidR="00C13B6F">
        <w:rPr>
          <w:rFonts w:asciiTheme="minorHAnsi" w:hAnsiTheme="minorHAnsi"/>
          <w:sz w:val="22"/>
          <w:szCs w:val="22"/>
        </w:rPr>
        <w:t>F</w:t>
      </w:r>
      <w:r w:rsidR="00B87B06">
        <w:rPr>
          <w:rFonts w:asciiTheme="minorHAnsi" w:hAnsiTheme="minorHAnsi"/>
          <w:sz w:val="22"/>
          <w:szCs w:val="22"/>
        </w:rPr>
        <w:t>orm GC-859, f</w:t>
      </w:r>
      <w:r w:rsidR="00B5303E" w:rsidRPr="00B5303E">
        <w:rPr>
          <w:rFonts w:asciiTheme="minorHAnsi" w:hAnsiTheme="minorHAnsi"/>
          <w:sz w:val="22"/>
          <w:szCs w:val="22"/>
        </w:rPr>
        <w:t>eedback from the meeting with industry and</w:t>
      </w:r>
      <w:r w:rsidR="00B5303E">
        <w:rPr>
          <w:rFonts w:asciiTheme="minorHAnsi" w:hAnsiTheme="minorHAnsi"/>
          <w:sz w:val="22"/>
          <w:szCs w:val="22"/>
        </w:rPr>
        <w:t xml:space="preserve"> the </w:t>
      </w:r>
      <w:r w:rsidR="00B5303E" w:rsidRPr="00B5303E">
        <w:rPr>
          <w:rFonts w:asciiTheme="minorHAnsi" w:hAnsiTheme="minorHAnsi"/>
          <w:sz w:val="22"/>
          <w:szCs w:val="22"/>
        </w:rPr>
        <w:t>N</w:t>
      </w:r>
      <w:r w:rsidR="00B5303E">
        <w:rPr>
          <w:rFonts w:asciiTheme="minorHAnsi" w:hAnsiTheme="minorHAnsi"/>
          <w:sz w:val="22"/>
          <w:szCs w:val="22"/>
        </w:rPr>
        <w:t xml:space="preserve">uclear </w:t>
      </w:r>
      <w:r w:rsidR="00B5303E" w:rsidRPr="00B5303E">
        <w:rPr>
          <w:rFonts w:asciiTheme="minorHAnsi" w:hAnsiTheme="minorHAnsi"/>
          <w:sz w:val="22"/>
          <w:szCs w:val="22"/>
        </w:rPr>
        <w:t>E</w:t>
      </w:r>
      <w:r w:rsidR="00B5303E">
        <w:rPr>
          <w:rFonts w:asciiTheme="minorHAnsi" w:hAnsiTheme="minorHAnsi"/>
          <w:sz w:val="22"/>
          <w:szCs w:val="22"/>
        </w:rPr>
        <w:t>nergy Institute (NEI) included the following</w:t>
      </w:r>
      <w:r w:rsidR="00BD1E08">
        <w:rPr>
          <w:rFonts w:asciiTheme="minorHAnsi" w:hAnsiTheme="minorHAnsi"/>
          <w:sz w:val="22"/>
          <w:szCs w:val="22"/>
        </w:rPr>
        <w:t xml:space="preserve"> key points</w:t>
      </w:r>
      <w:r w:rsidR="00B5303E" w:rsidRPr="00B5303E">
        <w:rPr>
          <w:rFonts w:asciiTheme="minorHAnsi" w:hAnsiTheme="minorHAnsi"/>
          <w:sz w:val="22"/>
          <w:szCs w:val="22"/>
        </w:rPr>
        <w:t>:</w:t>
      </w:r>
    </w:p>
    <w:p w14:paraId="3CBD763A" w14:textId="724EC4D2" w:rsidR="00B5303E" w:rsidRPr="0047687B" w:rsidRDefault="000A7E0E" w:rsidP="009E304F">
      <w:pPr>
        <w:pStyle w:val="BodyTextIndent2"/>
        <w:numPr>
          <w:ilvl w:val="0"/>
          <w:numId w:val="54"/>
        </w:numPr>
        <w:spacing w:before="120" w:line="276" w:lineRule="auto"/>
        <w:rPr>
          <w:rFonts w:asciiTheme="minorHAnsi" w:hAnsiTheme="minorHAnsi"/>
          <w:sz w:val="22"/>
          <w:szCs w:val="22"/>
        </w:rPr>
      </w:pPr>
      <w:r>
        <w:rPr>
          <w:rFonts w:asciiTheme="minorHAnsi" w:hAnsiTheme="minorHAnsi"/>
          <w:sz w:val="22"/>
          <w:szCs w:val="22"/>
        </w:rPr>
        <w:t>An</w:t>
      </w:r>
      <w:r w:rsidRPr="0047687B">
        <w:rPr>
          <w:rFonts w:asciiTheme="minorHAnsi" w:hAnsiTheme="minorHAnsi"/>
          <w:sz w:val="22"/>
          <w:szCs w:val="22"/>
        </w:rPr>
        <w:t xml:space="preserve"> increase of 20 </w:t>
      </w:r>
      <w:r>
        <w:rPr>
          <w:rFonts w:asciiTheme="minorHAnsi" w:hAnsiTheme="minorHAnsi"/>
          <w:sz w:val="22"/>
          <w:szCs w:val="22"/>
        </w:rPr>
        <w:t>hours</w:t>
      </w:r>
      <w:r w:rsidRPr="0047687B">
        <w:rPr>
          <w:rFonts w:asciiTheme="minorHAnsi" w:hAnsiTheme="minorHAnsi"/>
          <w:sz w:val="22"/>
          <w:szCs w:val="22"/>
        </w:rPr>
        <w:t xml:space="preserve"> from the 2013 survey</w:t>
      </w:r>
      <w:r>
        <w:rPr>
          <w:rFonts w:asciiTheme="minorHAnsi" w:hAnsiTheme="minorHAnsi"/>
          <w:sz w:val="22"/>
          <w:szCs w:val="22"/>
        </w:rPr>
        <w:t xml:space="preserve"> for each category of respondent was deemed accurate by all the present parties</w:t>
      </w:r>
      <w:r w:rsidRPr="0047687B">
        <w:rPr>
          <w:rFonts w:asciiTheme="minorHAnsi" w:hAnsiTheme="minorHAnsi"/>
          <w:sz w:val="22"/>
          <w:szCs w:val="22"/>
        </w:rPr>
        <w:t>.</w:t>
      </w:r>
      <w:r>
        <w:rPr>
          <w:rFonts w:asciiTheme="minorHAnsi" w:hAnsiTheme="minorHAnsi"/>
          <w:sz w:val="22"/>
          <w:szCs w:val="22"/>
        </w:rPr>
        <w:t xml:space="preserve"> T</w:t>
      </w:r>
      <w:r w:rsidR="000C48A6">
        <w:rPr>
          <w:rFonts w:asciiTheme="minorHAnsi" w:hAnsiTheme="minorHAnsi"/>
          <w:sz w:val="22"/>
          <w:szCs w:val="22"/>
        </w:rPr>
        <w:t>he b</w:t>
      </w:r>
      <w:r w:rsidR="00B5303E" w:rsidRPr="0047687B">
        <w:rPr>
          <w:rFonts w:asciiTheme="minorHAnsi" w:hAnsiTheme="minorHAnsi"/>
          <w:sz w:val="22"/>
          <w:szCs w:val="22"/>
        </w:rPr>
        <w:t>urden</w:t>
      </w:r>
      <w:r>
        <w:rPr>
          <w:rFonts w:asciiTheme="minorHAnsi" w:hAnsiTheme="minorHAnsi"/>
          <w:sz w:val="22"/>
          <w:szCs w:val="22"/>
        </w:rPr>
        <w:t xml:space="preserve"> for </w:t>
      </w:r>
      <w:r w:rsidR="004525D1">
        <w:rPr>
          <w:rFonts w:asciiTheme="minorHAnsi" w:hAnsiTheme="minorHAnsi"/>
          <w:sz w:val="22"/>
          <w:szCs w:val="22"/>
        </w:rPr>
        <w:t>operating</w:t>
      </w:r>
      <w:r>
        <w:rPr>
          <w:rFonts w:asciiTheme="minorHAnsi" w:hAnsiTheme="minorHAnsi"/>
          <w:sz w:val="22"/>
          <w:szCs w:val="22"/>
        </w:rPr>
        <w:t xml:space="preserve"> reactors increased</w:t>
      </w:r>
      <w:r w:rsidR="00B5303E" w:rsidRPr="0047687B">
        <w:rPr>
          <w:rFonts w:asciiTheme="minorHAnsi" w:hAnsiTheme="minorHAnsi"/>
          <w:sz w:val="22"/>
          <w:szCs w:val="22"/>
        </w:rPr>
        <w:t xml:space="preserve"> </w:t>
      </w:r>
      <w:r w:rsidR="00C13B6F">
        <w:rPr>
          <w:rFonts w:asciiTheme="minorHAnsi" w:hAnsiTheme="minorHAnsi"/>
          <w:sz w:val="22"/>
          <w:szCs w:val="22"/>
        </w:rPr>
        <w:t>from 80 hours</w:t>
      </w:r>
      <w:r w:rsidR="00B5303E" w:rsidRPr="0047687B">
        <w:rPr>
          <w:rFonts w:asciiTheme="minorHAnsi" w:hAnsiTheme="minorHAnsi"/>
          <w:sz w:val="22"/>
          <w:szCs w:val="22"/>
        </w:rPr>
        <w:t xml:space="preserve"> </w:t>
      </w:r>
      <w:r w:rsidR="00BD1E08">
        <w:rPr>
          <w:rFonts w:asciiTheme="minorHAnsi" w:hAnsiTheme="minorHAnsi"/>
          <w:sz w:val="22"/>
          <w:szCs w:val="22"/>
        </w:rPr>
        <w:t>to</w:t>
      </w:r>
      <w:r w:rsidR="00B5303E" w:rsidRPr="0047687B">
        <w:rPr>
          <w:rFonts w:asciiTheme="minorHAnsi" w:hAnsiTheme="minorHAnsi"/>
          <w:sz w:val="22"/>
          <w:szCs w:val="22"/>
        </w:rPr>
        <w:t xml:space="preserve"> 100 </w:t>
      </w:r>
      <w:r w:rsidR="005044FA">
        <w:rPr>
          <w:rFonts w:asciiTheme="minorHAnsi" w:hAnsiTheme="minorHAnsi"/>
          <w:sz w:val="22"/>
          <w:szCs w:val="22"/>
        </w:rPr>
        <w:t>hours</w:t>
      </w:r>
      <w:r w:rsidR="008C36DE">
        <w:rPr>
          <w:rFonts w:asciiTheme="minorHAnsi" w:hAnsiTheme="minorHAnsi"/>
          <w:sz w:val="22"/>
          <w:szCs w:val="22"/>
        </w:rPr>
        <w:t>, from 40 hours</w:t>
      </w:r>
      <w:r w:rsidR="008C36DE" w:rsidRPr="0047687B">
        <w:rPr>
          <w:rFonts w:asciiTheme="minorHAnsi" w:hAnsiTheme="minorHAnsi"/>
          <w:sz w:val="22"/>
          <w:szCs w:val="22"/>
        </w:rPr>
        <w:t xml:space="preserve"> </w:t>
      </w:r>
      <w:r w:rsidR="008C36DE">
        <w:rPr>
          <w:rFonts w:asciiTheme="minorHAnsi" w:hAnsiTheme="minorHAnsi"/>
          <w:sz w:val="22"/>
          <w:szCs w:val="22"/>
        </w:rPr>
        <w:t>to</w:t>
      </w:r>
      <w:r w:rsidR="008C36DE" w:rsidRPr="0047687B">
        <w:rPr>
          <w:rFonts w:asciiTheme="minorHAnsi" w:hAnsiTheme="minorHAnsi"/>
          <w:sz w:val="22"/>
          <w:szCs w:val="22"/>
        </w:rPr>
        <w:t xml:space="preserve"> </w:t>
      </w:r>
      <w:r w:rsidR="008C36DE">
        <w:rPr>
          <w:rFonts w:asciiTheme="minorHAnsi" w:hAnsiTheme="minorHAnsi"/>
          <w:sz w:val="22"/>
          <w:szCs w:val="22"/>
        </w:rPr>
        <w:t>6</w:t>
      </w:r>
      <w:r w:rsidR="008C36DE" w:rsidRPr="0047687B">
        <w:rPr>
          <w:rFonts w:asciiTheme="minorHAnsi" w:hAnsiTheme="minorHAnsi"/>
          <w:sz w:val="22"/>
          <w:szCs w:val="22"/>
        </w:rPr>
        <w:t xml:space="preserve">0 </w:t>
      </w:r>
      <w:r w:rsidR="008C36DE">
        <w:rPr>
          <w:rFonts w:asciiTheme="minorHAnsi" w:hAnsiTheme="minorHAnsi"/>
          <w:sz w:val="22"/>
          <w:szCs w:val="22"/>
        </w:rPr>
        <w:t>hours for permanently shut down reactors, and from 20 to 40 hours for storage facilities and research reactors as</w:t>
      </w:r>
      <w:r w:rsidR="00B5303E">
        <w:rPr>
          <w:rFonts w:asciiTheme="minorHAnsi" w:hAnsiTheme="minorHAnsi"/>
          <w:sz w:val="22"/>
          <w:szCs w:val="22"/>
        </w:rPr>
        <w:t xml:space="preserve"> </w:t>
      </w:r>
      <w:r w:rsidR="00BD1E08">
        <w:rPr>
          <w:rFonts w:asciiTheme="minorHAnsi" w:hAnsiTheme="minorHAnsi"/>
          <w:sz w:val="22"/>
          <w:szCs w:val="22"/>
        </w:rPr>
        <w:t>discussed between</w:t>
      </w:r>
      <w:r w:rsidR="00B5303E">
        <w:rPr>
          <w:rFonts w:asciiTheme="minorHAnsi" w:hAnsiTheme="minorHAnsi"/>
          <w:sz w:val="22"/>
          <w:szCs w:val="22"/>
        </w:rPr>
        <w:t xml:space="preserve"> G</w:t>
      </w:r>
      <w:r w:rsidR="000C48A6">
        <w:rPr>
          <w:rFonts w:asciiTheme="minorHAnsi" w:hAnsiTheme="minorHAnsi"/>
          <w:sz w:val="22"/>
          <w:szCs w:val="22"/>
        </w:rPr>
        <w:t>eneral Council (GC)</w:t>
      </w:r>
      <w:r w:rsidR="00BD1E08">
        <w:rPr>
          <w:rFonts w:asciiTheme="minorHAnsi" w:hAnsiTheme="minorHAnsi"/>
          <w:sz w:val="22"/>
          <w:szCs w:val="22"/>
        </w:rPr>
        <w:t>,</w:t>
      </w:r>
      <w:r w:rsidR="000C48A6">
        <w:rPr>
          <w:rFonts w:asciiTheme="minorHAnsi" w:hAnsiTheme="minorHAnsi"/>
          <w:sz w:val="22"/>
          <w:szCs w:val="22"/>
        </w:rPr>
        <w:t xml:space="preserve"> NEI</w:t>
      </w:r>
      <w:r w:rsidR="00BD1E08">
        <w:rPr>
          <w:rFonts w:asciiTheme="minorHAnsi" w:hAnsiTheme="minorHAnsi"/>
          <w:sz w:val="22"/>
          <w:szCs w:val="22"/>
        </w:rPr>
        <w:t xml:space="preserve"> and industry representatives</w:t>
      </w:r>
      <w:r w:rsidR="00B5303E">
        <w:rPr>
          <w:rFonts w:asciiTheme="minorHAnsi" w:hAnsiTheme="minorHAnsi"/>
          <w:sz w:val="22"/>
          <w:szCs w:val="22"/>
        </w:rPr>
        <w:t>.</w:t>
      </w:r>
      <w:r w:rsidR="00BD1E08">
        <w:rPr>
          <w:rFonts w:asciiTheme="minorHAnsi" w:hAnsiTheme="minorHAnsi"/>
          <w:sz w:val="22"/>
          <w:szCs w:val="22"/>
        </w:rPr>
        <w:t xml:space="preserve"> </w:t>
      </w:r>
    </w:p>
    <w:p w14:paraId="469D3461" w14:textId="6BB233C7" w:rsidR="00B5303E" w:rsidRPr="0047687B" w:rsidRDefault="00C13B6F" w:rsidP="009E304F">
      <w:pPr>
        <w:pStyle w:val="BodyTextIndent2"/>
        <w:numPr>
          <w:ilvl w:val="0"/>
          <w:numId w:val="54"/>
        </w:numPr>
        <w:spacing w:before="120" w:line="276" w:lineRule="auto"/>
        <w:rPr>
          <w:rFonts w:asciiTheme="minorHAnsi" w:hAnsiTheme="minorHAnsi"/>
          <w:sz w:val="22"/>
          <w:szCs w:val="22"/>
        </w:rPr>
      </w:pPr>
      <w:r>
        <w:rPr>
          <w:rFonts w:asciiTheme="minorHAnsi" w:hAnsiTheme="minorHAnsi"/>
          <w:sz w:val="22"/>
          <w:szCs w:val="22"/>
        </w:rPr>
        <w:t>Industry representatives at the March 28, 2017 meeting</w:t>
      </w:r>
      <w:r w:rsidR="00BD1E08">
        <w:rPr>
          <w:rFonts w:asciiTheme="minorHAnsi" w:hAnsiTheme="minorHAnsi"/>
          <w:sz w:val="22"/>
          <w:szCs w:val="22"/>
        </w:rPr>
        <w:t xml:space="preserve"> agreed </w:t>
      </w:r>
      <w:r>
        <w:rPr>
          <w:rFonts w:asciiTheme="minorHAnsi" w:hAnsiTheme="minorHAnsi"/>
          <w:sz w:val="22"/>
          <w:szCs w:val="22"/>
        </w:rPr>
        <w:t>that 40 hours was a reasonable and accurate burden estimate</w:t>
      </w:r>
      <w:r w:rsidR="008C36DE">
        <w:rPr>
          <w:rFonts w:asciiTheme="minorHAnsi" w:hAnsiTheme="minorHAnsi"/>
          <w:sz w:val="22"/>
          <w:szCs w:val="22"/>
        </w:rPr>
        <w:t xml:space="preserve"> for storage and research reactors</w:t>
      </w:r>
      <w:r w:rsidR="00C979A2">
        <w:rPr>
          <w:rFonts w:asciiTheme="minorHAnsi" w:hAnsiTheme="minorHAnsi"/>
          <w:sz w:val="22"/>
          <w:szCs w:val="22"/>
        </w:rPr>
        <w:t>.</w:t>
      </w:r>
      <w:r w:rsidR="00BD1E08">
        <w:rPr>
          <w:rFonts w:asciiTheme="minorHAnsi" w:hAnsiTheme="minorHAnsi"/>
          <w:sz w:val="22"/>
          <w:szCs w:val="22"/>
        </w:rPr>
        <w:t xml:space="preserve"> When a nuclear reactor shuts down, all operations stop and personnel not directly involved in the physical storage of the spent reactor fuel are reassigned</w:t>
      </w:r>
      <w:r w:rsidR="008C36DE">
        <w:rPr>
          <w:rFonts w:asciiTheme="minorHAnsi" w:hAnsiTheme="minorHAnsi"/>
          <w:sz w:val="22"/>
          <w:szCs w:val="22"/>
        </w:rPr>
        <w:t xml:space="preserve"> (i.e., nuclear engineers, fuel engineers, or similar subject matter experts)</w:t>
      </w:r>
      <w:r w:rsidR="00BD1E08">
        <w:rPr>
          <w:rFonts w:asciiTheme="minorHAnsi" w:hAnsiTheme="minorHAnsi"/>
          <w:sz w:val="22"/>
          <w:szCs w:val="22"/>
        </w:rPr>
        <w:t>. Personnel assigned to the storage facility</w:t>
      </w:r>
      <w:r w:rsidR="005F4EAC">
        <w:rPr>
          <w:rFonts w:asciiTheme="minorHAnsi" w:hAnsiTheme="minorHAnsi"/>
          <w:sz w:val="22"/>
          <w:szCs w:val="22"/>
        </w:rPr>
        <w:t xml:space="preserve"> typically include security officers, inventory and storage specialists, and possibly a project manager. The increase in burden hours compensates</w:t>
      </w:r>
      <w:r w:rsidR="003C00A6">
        <w:rPr>
          <w:rFonts w:asciiTheme="minorHAnsi" w:hAnsiTheme="minorHAnsi"/>
          <w:sz w:val="22"/>
          <w:szCs w:val="22"/>
        </w:rPr>
        <w:t xml:space="preserve"> for the fact that the onsite personnel who</w:t>
      </w:r>
      <w:r w:rsidR="005F4EAC">
        <w:rPr>
          <w:rFonts w:asciiTheme="minorHAnsi" w:hAnsiTheme="minorHAnsi"/>
          <w:sz w:val="22"/>
          <w:szCs w:val="22"/>
        </w:rPr>
        <w:t xml:space="preserve"> fill out Form GC-859 need time to </w:t>
      </w:r>
      <w:r>
        <w:rPr>
          <w:rFonts w:asciiTheme="minorHAnsi" w:hAnsiTheme="minorHAnsi"/>
          <w:sz w:val="22"/>
          <w:szCs w:val="22"/>
        </w:rPr>
        <w:t>gather information from others who no longer work on-site</w:t>
      </w:r>
      <w:r w:rsidR="00C979A2">
        <w:rPr>
          <w:rFonts w:asciiTheme="minorHAnsi" w:hAnsiTheme="minorHAnsi"/>
          <w:sz w:val="22"/>
          <w:szCs w:val="22"/>
        </w:rPr>
        <w:t>.</w:t>
      </w:r>
    </w:p>
    <w:p w14:paraId="06EB3BE4" w14:textId="78930154" w:rsidR="0037341D" w:rsidRDefault="00C13B6F" w:rsidP="00B5303E">
      <w:pPr>
        <w:pStyle w:val="BodyTextIndent2"/>
        <w:spacing w:before="120" w:line="276" w:lineRule="auto"/>
        <w:ind w:left="0"/>
        <w:rPr>
          <w:rFonts w:asciiTheme="minorHAnsi" w:hAnsiTheme="minorHAnsi"/>
          <w:sz w:val="22"/>
          <w:szCs w:val="22"/>
        </w:rPr>
      </w:pPr>
      <w:r>
        <w:rPr>
          <w:rFonts w:asciiTheme="minorHAnsi" w:hAnsiTheme="minorHAnsi"/>
          <w:sz w:val="22"/>
          <w:szCs w:val="22"/>
        </w:rPr>
        <w:t xml:space="preserve">After considering </w:t>
      </w:r>
      <w:r w:rsidR="00F755AE" w:rsidRPr="00F755AE">
        <w:rPr>
          <w:rFonts w:asciiTheme="minorHAnsi" w:hAnsiTheme="minorHAnsi"/>
          <w:sz w:val="22"/>
          <w:szCs w:val="22"/>
        </w:rPr>
        <w:t>these factors, the burden hours per re</w:t>
      </w:r>
      <w:r w:rsidR="00F755AE">
        <w:rPr>
          <w:rFonts w:asciiTheme="minorHAnsi" w:hAnsiTheme="minorHAnsi"/>
          <w:sz w:val="22"/>
          <w:szCs w:val="22"/>
        </w:rPr>
        <w:t>sponse</w:t>
      </w:r>
      <w:r w:rsidR="00B5303E">
        <w:rPr>
          <w:rFonts w:asciiTheme="minorHAnsi" w:hAnsiTheme="minorHAnsi"/>
          <w:sz w:val="22"/>
          <w:szCs w:val="22"/>
        </w:rPr>
        <w:t xml:space="preserve"> for each type of respondent</w:t>
      </w:r>
      <w:r w:rsidR="00F755AE">
        <w:rPr>
          <w:rFonts w:asciiTheme="minorHAnsi" w:hAnsiTheme="minorHAnsi"/>
          <w:sz w:val="22"/>
          <w:szCs w:val="22"/>
        </w:rPr>
        <w:t xml:space="preserve"> is increased by 20 hours</w:t>
      </w:r>
      <w:r w:rsidR="00B5303E">
        <w:rPr>
          <w:rFonts w:asciiTheme="minorHAnsi" w:hAnsiTheme="minorHAnsi"/>
          <w:sz w:val="22"/>
          <w:szCs w:val="22"/>
        </w:rPr>
        <w:t xml:space="preserve"> </w:t>
      </w:r>
      <w:r w:rsidR="00B5303E" w:rsidRPr="00B5303E">
        <w:rPr>
          <w:rFonts w:asciiTheme="minorHAnsi" w:hAnsiTheme="minorHAnsi"/>
          <w:sz w:val="22"/>
          <w:szCs w:val="22"/>
        </w:rPr>
        <w:t>(operating</w:t>
      </w:r>
      <w:r w:rsidR="00B5303E">
        <w:rPr>
          <w:rFonts w:asciiTheme="minorHAnsi" w:hAnsiTheme="minorHAnsi"/>
          <w:sz w:val="22"/>
          <w:szCs w:val="22"/>
        </w:rPr>
        <w:t xml:space="preserve"> reactors</w:t>
      </w:r>
      <w:r w:rsidR="00B5303E" w:rsidRPr="00B5303E">
        <w:rPr>
          <w:rFonts w:asciiTheme="minorHAnsi" w:hAnsiTheme="minorHAnsi"/>
          <w:sz w:val="22"/>
          <w:szCs w:val="22"/>
        </w:rPr>
        <w:t>: 100</w:t>
      </w:r>
      <w:r w:rsidR="00B5303E">
        <w:rPr>
          <w:rFonts w:asciiTheme="minorHAnsi" w:hAnsiTheme="minorHAnsi"/>
          <w:sz w:val="22"/>
          <w:szCs w:val="22"/>
        </w:rPr>
        <w:t xml:space="preserve"> </w:t>
      </w:r>
      <w:r w:rsidR="005044FA">
        <w:rPr>
          <w:rFonts w:asciiTheme="minorHAnsi" w:hAnsiTheme="minorHAnsi"/>
          <w:sz w:val="22"/>
          <w:szCs w:val="22"/>
        </w:rPr>
        <w:t>hours</w:t>
      </w:r>
      <w:r w:rsidR="00B5303E" w:rsidRPr="00B5303E">
        <w:rPr>
          <w:rFonts w:asciiTheme="minorHAnsi" w:hAnsiTheme="minorHAnsi"/>
          <w:sz w:val="22"/>
          <w:szCs w:val="22"/>
        </w:rPr>
        <w:t>, shutdown</w:t>
      </w:r>
      <w:r w:rsidR="00B5303E">
        <w:rPr>
          <w:rFonts w:asciiTheme="minorHAnsi" w:hAnsiTheme="minorHAnsi"/>
          <w:sz w:val="22"/>
          <w:szCs w:val="22"/>
        </w:rPr>
        <w:t xml:space="preserve"> reactors</w:t>
      </w:r>
      <w:r w:rsidR="00B5303E" w:rsidRPr="00B5303E">
        <w:rPr>
          <w:rFonts w:asciiTheme="minorHAnsi" w:hAnsiTheme="minorHAnsi"/>
          <w:sz w:val="22"/>
          <w:szCs w:val="22"/>
        </w:rPr>
        <w:t xml:space="preserve">: 60 </w:t>
      </w:r>
      <w:r w:rsidR="005044FA">
        <w:rPr>
          <w:rFonts w:asciiTheme="minorHAnsi" w:hAnsiTheme="minorHAnsi"/>
          <w:sz w:val="22"/>
          <w:szCs w:val="22"/>
        </w:rPr>
        <w:t>hours</w:t>
      </w:r>
      <w:r w:rsidR="00B5303E" w:rsidRPr="00B5303E">
        <w:rPr>
          <w:rFonts w:asciiTheme="minorHAnsi" w:hAnsiTheme="minorHAnsi"/>
          <w:sz w:val="22"/>
          <w:szCs w:val="22"/>
        </w:rPr>
        <w:t xml:space="preserve">, storage sites: 40 </w:t>
      </w:r>
      <w:r w:rsidR="005044FA">
        <w:rPr>
          <w:rFonts w:asciiTheme="minorHAnsi" w:hAnsiTheme="minorHAnsi"/>
          <w:sz w:val="22"/>
          <w:szCs w:val="22"/>
        </w:rPr>
        <w:t>hours</w:t>
      </w:r>
      <w:r w:rsidR="00B5303E" w:rsidRPr="00B5303E">
        <w:rPr>
          <w:rFonts w:asciiTheme="minorHAnsi" w:hAnsiTheme="minorHAnsi"/>
          <w:sz w:val="22"/>
          <w:szCs w:val="22"/>
        </w:rPr>
        <w:t>, and test</w:t>
      </w:r>
      <w:r w:rsidR="00B5303E">
        <w:rPr>
          <w:rFonts w:asciiTheme="minorHAnsi" w:hAnsiTheme="minorHAnsi"/>
          <w:sz w:val="22"/>
          <w:szCs w:val="22"/>
        </w:rPr>
        <w:t xml:space="preserve">/research reactors: 40 </w:t>
      </w:r>
      <w:r w:rsidR="005044FA">
        <w:rPr>
          <w:rFonts w:asciiTheme="minorHAnsi" w:hAnsiTheme="minorHAnsi"/>
          <w:sz w:val="22"/>
          <w:szCs w:val="22"/>
        </w:rPr>
        <w:t>hours</w:t>
      </w:r>
      <w:r w:rsidR="00B5303E">
        <w:rPr>
          <w:rFonts w:asciiTheme="minorHAnsi" w:hAnsiTheme="minorHAnsi"/>
          <w:sz w:val="22"/>
          <w:szCs w:val="22"/>
        </w:rPr>
        <w:t>)</w:t>
      </w:r>
      <w:r w:rsidR="00B5303E" w:rsidRPr="00B5303E">
        <w:rPr>
          <w:rFonts w:asciiTheme="minorHAnsi" w:hAnsiTheme="minorHAnsi"/>
          <w:sz w:val="22"/>
          <w:szCs w:val="22"/>
        </w:rPr>
        <w:t>.</w:t>
      </w:r>
      <w:r w:rsidR="00EF634C">
        <w:rPr>
          <w:rFonts w:asciiTheme="minorHAnsi" w:hAnsiTheme="minorHAnsi"/>
          <w:sz w:val="22"/>
          <w:szCs w:val="22"/>
        </w:rPr>
        <w:t xml:space="preserve"> </w:t>
      </w:r>
      <w:r w:rsidR="00B5303E" w:rsidRPr="0047687B">
        <w:rPr>
          <w:rFonts w:asciiTheme="minorHAnsi" w:hAnsiTheme="minorHAnsi"/>
          <w:sz w:val="22"/>
          <w:szCs w:val="22"/>
        </w:rPr>
        <w:t xml:space="preserve">This makes the </w:t>
      </w:r>
      <w:r w:rsidR="008C36DE">
        <w:rPr>
          <w:rFonts w:asciiTheme="minorHAnsi" w:hAnsiTheme="minorHAnsi"/>
          <w:sz w:val="22"/>
          <w:szCs w:val="22"/>
        </w:rPr>
        <w:t xml:space="preserve">weighted </w:t>
      </w:r>
      <w:r w:rsidR="00B5303E" w:rsidRPr="0047687B">
        <w:rPr>
          <w:rFonts w:asciiTheme="minorHAnsi" w:hAnsiTheme="minorHAnsi"/>
          <w:sz w:val="22"/>
          <w:szCs w:val="22"/>
        </w:rPr>
        <w:t xml:space="preserve">average burden approximately 90 </w:t>
      </w:r>
      <w:r w:rsidR="005044FA">
        <w:rPr>
          <w:rFonts w:asciiTheme="minorHAnsi" w:hAnsiTheme="minorHAnsi"/>
          <w:sz w:val="22"/>
          <w:szCs w:val="22"/>
        </w:rPr>
        <w:t>hours</w:t>
      </w:r>
      <w:r w:rsidR="00B5303E" w:rsidRPr="0047687B">
        <w:rPr>
          <w:rFonts w:asciiTheme="minorHAnsi" w:hAnsiTheme="minorHAnsi"/>
          <w:sz w:val="22"/>
          <w:szCs w:val="22"/>
        </w:rPr>
        <w:t xml:space="preserve"> based on an estimated 125 </w:t>
      </w:r>
      <w:r w:rsidR="00B5303E">
        <w:rPr>
          <w:rFonts w:asciiTheme="minorHAnsi" w:hAnsiTheme="minorHAnsi"/>
          <w:sz w:val="22"/>
          <w:szCs w:val="22"/>
        </w:rPr>
        <w:t xml:space="preserve">respondents, </w:t>
      </w:r>
      <w:r w:rsidR="00B5303E" w:rsidRPr="0047687B">
        <w:rPr>
          <w:rFonts w:asciiTheme="minorHAnsi" w:hAnsiTheme="minorHAnsi"/>
          <w:sz w:val="22"/>
          <w:szCs w:val="22"/>
        </w:rPr>
        <w:t xml:space="preserve">an increase from </w:t>
      </w:r>
      <w:r w:rsidR="008C36DE">
        <w:rPr>
          <w:rFonts w:asciiTheme="minorHAnsi" w:hAnsiTheme="minorHAnsi"/>
          <w:sz w:val="22"/>
          <w:szCs w:val="22"/>
        </w:rPr>
        <w:t xml:space="preserve">the weighted average of </w:t>
      </w:r>
      <w:r w:rsidR="00B5303E" w:rsidRPr="0047687B">
        <w:rPr>
          <w:rFonts w:asciiTheme="minorHAnsi" w:hAnsiTheme="minorHAnsi"/>
          <w:sz w:val="22"/>
          <w:szCs w:val="22"/>
        </w:rPr>
        <w:t xml:space="preserve">67.5 </w:t>
      </w:r>
      <w:r w:rsidR="005044FA">
        <w:rPr>
          <w:rFonts w:asciiTheme="minorHAnsi" w:hAnsiTheme="minorHAnsi"/>
          <w:sz w:val="22"/>
          <w:szCs w:val="22"/>
        </w:rPr>
        <w:t>hours</w:t>
      </w:r>
      <w:r w:rsidR="00B5303E" w:rsidRPr="0047687B">
        <w:rPr>
          <w:rFonts w:asciiTheme="minorHAnsi" w:hAnsiTheme="minorHAnsi"/>
          <w:sz w:val="22"/>
          <w:szCs w:val="22"/>
        </w:rPr>
        <w:t xml:space="preserve"> in 2013 for 138 respondents.</w:t>
      </w:r>
    </w:p>
    <w:p w14:paraId="4FAC934E" w14:textId="302BC1F9" w:rsidR="00244406" w:rsidRDefault="00244406" w:rsidP="00B5303E">
      <w:pPr>
        <w:pStyle w:val="BodyTextIndent2"/>
        <w:spacing w:before="120" w:line="276" w:lineRule="auto"/>
        <w:ind w:left="0"/>
        <w:rPr>
          <w:rFonts w:asciiTheme="minorHAnsi" w:hAnsiTheme="minorHAnsi"/>
          <w:sz w:val="22"/>
          <w:szCs w:val="22"/>
        </w:rPr>
      </w:pPr>
      <w:r>
        <w:rPr>
          <w:rFonts w:asciiTheme="minorHAnsi" w:hAnsiTheme="minorHAnsi"/>
          <w:sz w:val="22"/>
          <w:szCs w:val="22"/>
        </w:rPr>
        <w:t>Change in overall burden was also influenced by changes in respondents participating in Form GC-859. The changes reflect current market conditions affecting the nuclear industry. 5 operating reactors closed</w:t>
      </w:r>
      <w:r w:rsidR="008C36DE">
        <w:rPr>
          <w:rFonts w:asciiTheme="minorHAnsi" w:hAnsiTheme="minorHAnsi"/>
          <w:sz w:val="22"/>
          <w:szCs w:val="22"/>
        </w:rPr>
        <w:t xml:space="preserve"> and</w:t>
      </w:r>
      <w:r>
        <w:rPr>
          <w:rFonts w:asciiTheme="minorHAnsi" w:hAnsiTheme="minorHAnsi"/>
          <w:sz w:val="22"/>
          <w:szCs w:val="22"/>
        </w:rPr>
        <w:t xml:space="preserve"> ceas</w:t>
      </w:r>
      <w:r w:rsidR="008C36DE">
        <w:rPr>
          <w:rFonts w:asciiTheme="minorHAnsi" w:hAnsiTheme="minorHAnsi"/>
          <w:sz w:val="22"/>
          <w:szCs w:val="22"/>
        </w:rPr>
        <w:t>ed</w:t>
      </w:r>
      <w:r>
        <w:rPr>
          <w:rFonts w:asciiTheme="minorHAnsi" w:hAnsiTheme="minorHAnsi"/>
          <w:sz w:val="22"/>
          <w:szCs w:val="22"/>
        </w:rPr>
        <w:t xml:space="preserve"> operations. Shutdown reactors</w:t>
      </w:r>
      <w:r w:rsidR="008C36DE">
        <w:rPr>
          <w:rFonts w:asciiTheme="minorHAnsi" w:hAnsiTheme="minorHAnsi"/>
          <w:sz w:val="22"/>
          <w:szCs w:val="22"/>
        </w:rPr>
        <w:t xml:space="preserve"> decreased by 1</w:t>
      </w:r>
      <w:r>
        <w:rPr>
          <w:rFonts w:asciiTheme="minorHAnsi" w:hAnsiTheme="minorHAnsi"/>
          <w:sz w:val="22"/>
          <w:szCs w:val="22"/>
        </w:rPr>
        <w:t xml:space="preserve"> and storage facilities </w:t>
      </w:r>
      <w:r w:rsidR="008C36DE">
        <w:rPr>
          <w:rFonts w:asciiTheme="minorHAnsi" w:hAnsiTheme="minorHAnsi"/>
          <w:sz w:val="22"/>
          <w:szCs w:val="22"/>
        </w:rPr>
        <w:t>decreased by</w:t>
      </w:r>
      <w:r>
        <w:rPr>
          <w:rFonts w:asciiTheme="minorHAnsi" w:hAnsiTheme="minorHAnsi"/>
          <w:sz w:val="22"/>
          <w:szCs w:val="22"/>
        </w:rPr>
        <w:t xml:space="preserve"> 1. 6 research/test reactors are considered out of scope for this survey and are no longer required to complete Form GC-859. </w:t>
      </w:r>
      <w:r w:rsidR="00BB2E75">
        <w:rPr>
          <w:rFonts w:asciiTheme="minorHAnsi" w:hAnsiTheme="minorHAnsi"/>
          <w:sz w:val="22"/>
          <w:szCs w:val="22"/>
        </w:rPr>
        <w:t>The loss of these facilities</w:t>
      </w:r>
      <w:r w:rsidR="005301F2">
        <w:rPr>
          <w:rFonts w:asciiTheme="minorHAnsi" w:hAnsiTheme="minorHAnsi"/>
          <w:sz w:val="22"/>
          <w:szCs w:val="22"/>
        </w:rPr>
        <w:t xml:space="preserve"> reduced the </w:t>
      </w:r>
      <w:r w:rsidR="000F474C">
        <w:rPr>
          <w:rFonts w:asciiTheme="minorHAnsi" w:hAnsiTheme="minorHAnsi"/>
          <w:sz w:val="22"/>
          <w:szCs w:val="22"/>
        </w:rPr>
        <w:t>total</w:t>
      </w:r>
      <w:r w:rsidR="00BB2E75">
        <w:rPr>
          <w:rFonts w:asciiTheme="minorHAnsi" w:hAnsiTheme="minorHAnsi"/>
          <w:sz w:val="22"/>
          <w:szCs w:val="22"/>
        </w:rPr>
        <w:t xml:space="preserve"> of </w:t>
      </w:r>
      <w:r w:rsidR="005301F2">
        <w:rPr>
          <w:rFonts w:asciiTheme="minorHAnsi" w:hAnsiTheme="minorHAnsi"/>
          <w:sz w:val="22"/>
          <w:szCs w:val="22"/>
        </w:rPr>
        <w:t>survey respondents</w:t>
      </w:r>
      <w:r w:rsidR="008C36DE">
        <w:rPr>
          <w:rFonts w:asciiTheme="minorHAnsi" w:hAnsiTheme="minorHAnsi"/>
          <w:sz w:val="22"/>
          <w:szCs w:val="22"/>
        </w:rPr>
        <w:t xml:space="preserve"> by 13 </w:t>
      </w:r>
      <w:r w:rsidR="005301F2">
        <w:rPr>
          <w:rFonts w:asciiTheme="minorHAnsi" w:hAnsiTheme="minorHAnsi"/>
          <w:sz w:val="22"/>
          <w:szCs w:val="22"/>
        </w:rPr>
        <w:t xml:space="preserve">from 138 to 125. </w:t>
      </w:r>
    </w:p>
    <w:p w14:paraId="096556E6" w14:textId="77777777" w:rsidR="0037341D" w:rsidRDefault="0037341D" w:rsidP="00B5303E">
      <w:pPr>
        <w:pStyle w:val="BodyTextIndent2"/>
        <w:spacing w:before="120" w:line="276" w:lineRule="auto"/>
        <w:ind w:left="0"/>
        <w:rPr>
          <w:rFonts w:asciiTheme="minorHAnsi" w:hAnsiTheme="minorHAnsi"/>
          <w:sz w:val="22"/>
          <w:szCs w:val="22"/>
        </w:rPr>
      </w:pPr>
    </w:p>
    <w:p w14:paraId="0FC36A75" w14:textId="77777777" w:rsidR="0037341D" w:rsidRDefault="0037341D" w:rsidP="00B5303E">
      <w:pPr>
        <w:pStyle w:val="BodyTextIndent2"/>
        <w:spacing w:before="120" w:line="276" w:lineRule="auto"/>
        <w:ind w:left="0"/>
        <w:rPr>
          <w:rFonts w:asciiTheme="minorHAnsi" w:hAnsiTheme="minorHAnsi"/>
          <w:sz w:val="22"/>
          <w:szCs w:val="22"/>
        </w:rPr>
      </w:pPr>
    </w:p>
    <w:p w14:paraId="56D7C71F" w14:textId="77777777" w:rsidR="0037341D" w:rsidRDefault="0037341D" w:rsidP="00B5303E">
      <w:pPr>
        <w:pStyle w:val="BodyTextIndent2"/>
        <w:spacing w:before="120" w:line="276" w:lineRule="auto"/>
        <w:ind w:left="0"/>
        <w:rPr>
          <w:rFonts w:asciiTheme="minorHAnsi" w:hAnsiTheme="minorHAnsi"/>
          <w:sz w:val="22"/>
          <w:szCs w:val="22"/>
        </w:rPr>
      </w:pPr>
    </w:p>
    <w:p w14:paraId="2EFEC814" w14:textId="77777777" w:rsidR="0037341D" w:rsidRDefault="0037341D" w:rsidP="00B5303E">
      <w:pPr>
        <w:pStyle w:val="BodyTextIndent2"/>
        <w:spacing w:before="120" w:line="276" w:lineRule="auto"/>
        <w:ind w:left="0"/>
        <w:rPr>
          <w:rFonts w:asciiTheme="minorHAnsi" w:hAnsiTheme="minorHAnsi"/>
          <w:sz w:val="22"/>
          <w:szCs w:val="22"/>
        </w:rPr>
      </w:pPr>
    </w:p>
    <w:p w14:paraId="5C2DDC31" w14:textId="77777777" w:rsidR="00F056C3" w:rsidRPr="00BA6C32" w:rsidRDefault="00F056C3" w:rsidP="00FA12A7">
      <w:pPr>
        <w:pStyle w:val="Heading2"/>
      </w:pPr>
      <w:bookmarkStart w:id="23" w:name="_Toc509825669"/>
      <w:r w:rsidRPr="0013357B">
        <w:t>A.</w:t>
      </w:r>
      <w:r w:rsidR="00A41763" w:rsidRPr="0013357B">
        <w:t xml:space="preserve">16. </w:t>
      </w:r>
      <w:r w:rsidRPr="0013357B">
        <w:t>Collection, Tabulation, and Publication Plans</w:t>
      </w:r>
      <w:bookmarkEnd w:id="23"/>
      <w:r w:rsidRPr="00BA6C32">
        <w:t xml:space="preserve"> </w:t>
      </w:r>
    </w:p>
    <w:p w14:paraId="66653012" w14:textId="77777777" w:rsidR="009300ED" w:rsidRPr="009E304F" w:rsidRDefault="009300ED" w:rsidP="009E304F">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spacing w:before="120" w:after="120"/>
      </w:pPr>
      <w:r w:rsidRPr="009E304F">
        <w:t>The current schedule for the collection and processing of the Form GC-859 survey is as follows:</w:t>
      </w:r>
    </w:p>
    <w:p w14:paraId="52F20E6F" w14:textId="62B99823" w:rsidR="009300ED" w:rsidRPr="009E304F" w:rsidRDefault="009300ED" w:rsidP="009E304F">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spacing w:before="120" w:after="120"/>
        <w:jc w:val="both"/>
      </w:pPr>
      <w:r w:rsidRPr="009E304F">
        <w:t xml:space="preserve">Survey files </w:t>
      </w:r>
      <w:r w:rsidR="0013357B">
        <w:t>sent to respondents</w:t>
      </w:r>
      <w:r w:rsidRPr="009E304F">
        <w:tab/>
      </w:r>
      <w:r w:rsidRPr="009E304F">
        <w:tab/>
      </w:r>
      <w:r w:rsidRPr="009E304F">
        <w:tab/>
      </w:r>
      <w:r w:rsidRPr="009E304F">
        <w:tab/>
      </w:r>
      <w:r w:rsidR="00EF634C">
        <w:t xml:space="preserve">   </w:t>
      </w:r>
      <w:r w:rsidRPr="009E304F">
        <w:t xml:space="preserve"> </w:t>
      </w:r>
      <w:r w:rsidRPr="009E304F">
        <w:tab/>
      </w:r>
      <w:r w:rsidRPr="009E304F">
        <w:tab/>
      </w:r>
      <w:r w:rsidRPr="009E304F">
        <w:tab/>
      </w:r>
      <w:r w:rsidRPr="009E304F">
        <w:tab/>
      </w:r>
      <w:r w:rsidRPr="009E304F">
        <w:tab/>
      </w:r>
      <w:r w:rsidR="00FE1579" w:rsidRPr="009E304F">
        <w:t>4</w:t>
      </w:r>
      <w:r w:rsidRPr="009E304F">
        <w:t>/</w:t>
      </w:r>
      <w:r w:rsidR="00F179CE">
        <w:t>30</w:t>
      </w:r>
      <w:r w:rsidRPr="009E304F">
        <w:t>/2018</w:t>
      </w:r>
    </w:p>
    <w:p w14:paraId="2B20A7BF" w14:textId="18B91450" w:rsidR="009300ED" w:rsidRPr="009E304F" w:rsidRDefault="009300ED" w:rsidP="009E304F">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spacing w:before="120" w:after="120"/>
        <w:jc w:val="both"/>
      </w:pPr>
      <w:r w:rsidRPr="009E304F">
        <w:t>Surveys due back at DOE</w:t>
      </w:r>
      <w:r w:rsidRPr="009E304F">
        <w:tab/>
      </w:r>
      <w:r w:rsidRPr="009E304F">
        <w:tab/>
      </w:r>
      <w:r w:rsidRPr="009E304F">
        <w:tab/>
      </w:r>
      <w:r w:rsidRPr="009E304F">
        <w:tab/>
      </w:r>
      <w:r w:rsidR="00EF634C">
        <w:t xml:space="preserve">  </w:t>
      </w:r>
      <w:r w:rsidRPr="009E304F">
        <w:t xml:space="preserve"> </w:t>
      </w:r>
      <w:r w:rsidRPr="009E304F">
        <w:tab/>
      </w:r>
      <w:r w:rsidRPr="009E304F">
        <w:tab/>
      </w:r>
      <w:r w:rsidRPr="009E304F">
        <w:tab/>
      </w:r>
      <w:r w:rsidRPr="009E304F">
        <w:tab/>
      </w:r>
      <w:r w:rsidRPr="009E304F">
        <w:tab/>
      </w:r>
      <w:r w:rsidRPr="009E304F">
        <w:tab/>
      </w:r>
      <w:r w:rsidRPr="009E304F">
        <w:tab/>
      </w:r>
      <w:r w:rsidR="00F179CE">
        <w:t>8</w:t>
      </w:r>
      <w:r w:rsidRPr="009E304F">
        <w:t>/31/2018</w:t>
      </w:r>
    </w:p>
    <w:p w14:paraId="1ED001B0" w14:textId="33E803F4" w:rsidR="009300ED" w:rsidRPr="009E304F" w:rsidRDefault="009300ED" w:rsidP="009E304F">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spacing w:before="120" w:after="120"/>
        <w:jc w:val="both"/>
      </w:pPr>
      <w:r w:rsidRPr="009E304F">
        <w:t>Draft Form GC-859 Database</w:t>
      </w:r>
      <w:r w:rsidRPr="009E304F">
        <w:tab/>
      </w:r>
      <w:r w:rsidRPr="009E304F">
        <w:tab/>
      </w:r>
      <w:r w:rsidRPr="009E304F">
        <w:tab/>
      </w:r>
      <w:r w:rsidRPr="009E304F">
        <w:tab/>
      </w:r>
      <w:r w:rsidR="00EF634C">
        <w:t xml:space="preserve">  </w:t>
      </w:r>
      <w:r w:rsidRPr="009E304F">
        <w:t xml:space="preserve"> </w:t>
      </w:r>
      <w:r w:rsidRPr="009E304F">
        <w:tab/>
      </w:r>
      <w:r w:rsidRPr="009E304F">
        <w:tab/>
      </w:r>
      <w:r w:rsidRPr="009E304F">
        <w:tab/>
      </w:r>
      <w:r w:rsidRPr="009E304F">
        <w:tab/>
      </w:r>
      <w:r w:rsidRPr="009E304F">
        <w:tab/>
      </w:r>
      <w:r w:rsidRPr="009E304F">
        <w:tab/>
      </w:r>
      <w:r w:rsidR="00FE1579" w:rsidRPr="009E304F">
        <w:t>1</w:t>
      </w:r>
      <w:r w:rsidR="00F179CE">
        <w:t>2</w:t>
      </w:r>
      <w:r w:rsidRPr="009E304F">
        <w:t>/</w:t>
      </w:r>
      <w:r w:rsidR="00F179CE">
        <w:t>13</w:t>
      </w:r>
      <w:r w:rsidRPr="009E304F">
        <w:t>/201</w:t>
      </w:r>
      <w:r w:rsidR="00FE1579" w:rsidRPr="009E304F">
        <w:t>8</w:t>
      </w:r>
    </w:p>
    <w:p w14:paraId="467920D1" w14:textId="0147340A" w:rsidR="009300ED" w:rsidRDefault="009300ED" w:rsidP="009E304F">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spacing w:before="120" w:after="120"/>
        <w:jc w:val="both"/>
      </w:pPr>
      <w:r w:rsidRPr="009E304F">
        <w:t>Final Form GC-859 Database</w:t>
      </w:r>
      <w:r w:rsidRPr="009E304F">
        <w:tab/>
      </w:r>
      <w:r w:rsidRPr="009E304F">
        <w:tab/>
      </w:r>
      <w:r w:rsidRPr="009E304F">
        <w:tab/>
      </w:r>
      <w:r w:rsidRPr="009E304F">
        <w:tab/>
      </w:r>
      <w:r w:rsidR="00EF634C">
        <w:t xml:space="preserve">   </w:t>
      </w:r>
      <w:r w:rsidRPr="009E304F">
        <w:tab/>
      </w:r>
      <w:r w:rsidRPr="009E304F">
        <w:tab/>
      </w:r>
      <w:r w:rsidRPr="009E304F">
        <w:tab/>
      </w:r>
      <w:r w:rsidRPr="009E304F">
        <w:tab/>
      </w:r>
      <w:r w:rsidRPr="009E304F">
        <w:tab/>
      </w:r>
      <w:r w:rsidRPr="009E304F">
        <w:tab/>
      </w:r>
      <w:r w:rsidR="00F179CE">
        <w:t>3</w:t>
      </w:r>
      <w:r w:rsidRPr="009E304F">
        <w:t>/</w:t>
      </w:r>
      <w:r w:rsidR="00F179CE">
        <w:t>15</w:t>
      </w:r>
      <w:r w:rsidRPr="009E304F">
        <w:t>/2019</w:t>
      </w:r>
    </w:p>
    <w:p w14:paraId="27FD9D3D" w14:textId="77777777" w:rsidR="00537DC9" w:rsidRDefault="00537DC9" w:rsidP="009E304F">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spacing w:before="120" w:after="120"/>
        <w:jc w:val="both"/>
      </w:pPr>
    </w:p>
    <w:p w14:paraId="4975BBC8" w14:textId="1D889477" w:rsidR="00052DDA" w:rsidRPr="009E304F" w:rsidRDefault="00052DDA" w:rsidP="009E304F">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spacing w:before="120" w:after="120"/>
        <w:jc w:val="both"/>
      </w:pPr>
      <w:r>
        <w:t>Data collected from the GC-859 wi</w:t>
      </w:r>
      <w:r w:rsidR="005044FA">
        <w:t>ll</w:t>
      </w:r>
      <w:r>
        <w:t xml:space="preserve"> be used to update </w:t>
      </w:r>
      <w:hyperlink r:id="rId29" w:history="1">
        <w:r w:rsidR="005044FA">
          <w:rPr>
            <w:rStyle w:val="Hyperlink"/>
          </w:rPr>
          <w:t>Spent Nuclear F</w:t>
        </w:r>
        <w:r w:rsidRPr="005044FA">
          <w:rPr>
            <w:rStyle w:val="Hyperlink"/>
          </w:rPr>
          <w:t>uel</w:t>
        </w:r>
      </w:hyperlink>
      <w:r>
        <w:t xml:space="preserve"> related information presented on the EIA website.</w:t>
      </w:r>
      <w:r w:rsidR="00EF634C">
        <w:t xml:space="preserve"> </w:t>
      </w:r>
    </w:p>
    <w:p w14:paraId="3159AAB5" w14:textId="38522736" w:rsidR="00F056C3" w:rsidRPr="00BA6C32" w:rsidRDefault="00A41763" w:rsidP="00FA12A7">
      <w:pPr>
        <w:pStyle w:val="Heading2"/>
      </w:pPr>
      <w:r w:rsidRPr="00BA6C32">
        <w:t xml:space="preserve"> </w:t>
      </w:r>
      <w:bookmarkStart w:id="24" w:name="_Toc509825670"/>
      <w:r w:rsidR="00F056C3" w:rsidRPr="00BA6C32">
        <w:t>A.</w:t>
      </w:r>
      <w:r w:rsidRPr="00BA6C32">
        <w:t xml:space="preserve">17. </w:t>
      </w:r>
      <w:r w:rsidR="00F056C3" w:rsidRPr="00BA6C32">
        <w:t>OMB Number and Expiration Date</w:t>
      </w:r>
      <w:bookmarkEnd w:id="24"/>
      <w:r w:rsidR="00F056C3" w:rsidRPr="00BA6C32">
        <w:t xml:space="preserve"> </w:t>
      </w:r>
    </w:p>
    <w:p w14:paraId="2C62AC1A" w14:textId="72023378" w:rsidR="00A41763" w:rsidRPr="00BA6C32" w:rsidRDefault="009300ED" w:rsidP="009E304F">
      <w:pPr>
        <w:spacing w:before="120" w:after="120"/>
      </w:pPr>
      <w:r w:rsidRPr="009E304F">
        <w:t>The expiration date and OMB control number</w:t>
      </w:r>
      <w:r w:rsidR="00445E2F">
        <w:t xml:space="preserve"> (1901-0287) </w:t>
      </w:r>
      <w:r w:rsidRPr="009E304F">
        <w:t xml:space="preserve">will be displayed on the </w:t>
      </w:r>
      <w:r w:rsidR="00C13B6F">
        <w:t>survey</w:t>
      </w:r>
      <w:r w:rsidR="00445E2F">
        <w:t xml:space="preserve"> </w:t>
      </w:r>
      <w:r w:rsidRPr="009E304F">
        <w:t>form</w:t>
      </w:r>
      <w:r w:rsidR="00A41763" w:rsidRPr="00BA6C32">
        <w:rPr>
          <w:i/>
          <w:iCs/>
        </w:rPr>
        <w:t xml:space="preserve">. </w:t>
      </w:r>
    </w:p>
    <w:p w14:paraId="735DECCB" w14:textId="77777777" w:rsidR="00F056C3" w:rsidRPr="00BA6C32" w:rsidRDefault="00F056C3" w:rsidP="00FA12A7">
      <w:pPr>
        <w:pStyle w:val="Heading2"/>
      </w:pPr>
      <w:bookmarkStart w:id="25" w:name="_Toc509825671"/>
      <w:r w:rsidRPr="00BA6C32">
        <w:t>A.</w:t>
      </w:r>
      <w:r w:rsidR="00A41763" w:rsidRPr="00BA6C32">
        <w:t xml:space="preserve">18. </w:t>
      </w:r>
      <w:r w:rsidRPr="00BA6C32">
        <w:t>Certification Statement</w:t>
      </w:r>
      <w:bookmarkEnd w:id="25"/>
      <w:r w:rsidRPr="00BA6C32">
        <w:t xml:space="preserve"> </w:t>
      </w:r>
    </w:p>
    <w:p w14:paraId="416D08C9" w14:textId="0BDA4E1C" w:rsidR="0037341D" w:rsidRDefault="00445E2F" w:rsidP="00445E2F">
      <w:r w:rsidRPr="00D371B3">
        <w:t>There are no exceptions to the certification statement identified in Item 19, "Certification for Paperwork Reduction Act Submissions," of OMB Form 83-I.</w:t>
      </w:r>
      <w:r w:rsidR="00EF634C">
        <w:t xml:space="preserve"> </w:t>
      </w:r>
      <w:r>
        <w:t>This information collection request complies with 5 C</w:t>
      </w:r>
      <w:r w:rsidRPr="00DA2DAA">
        <w:t xml:space="preserve">FR 1320.9. </w:t>
      </w:r>
    </w:p>
    <w:p w14:paraId="3EA5C488" w14:textId="77777777" w:rsidR="00445E2F" w:rsidRPr="009E304F" w:rsidRDefault="00445E2F" w:rsidP="009E304F"/>
    <w:p w14:paraId="569D3ABF" w14:textId="7EEF7E54" w:rsidR="004612BF" w:rsidRDefault="00B62BCC" w:rsidP="00A41763">
      <w:r w:rsidRPr="009E304F">
        <w:t>The Department has determined no Part B is ne</w:t>
      </w:r>
      <w:r w:rsidR="00ED5EC3" w:rsidRPr="00ED5EC3">
        <w:t>eded for this ICR</w:t>
      </w:r>
      <w:r w:rsidR="008C36DE">
        <w:t xml:space="preserve"> because this</w:t>
      </w:r>
      <w:r w:rsidR="00ED5EC3" w:rsidRPr="00ED5EC3">
        <w:t xml:space="preserve"> information collection</w:t>
      </w:r>
      <w:r w:rsidRPr="009E304F">
        <w:t xml:space="preserve"> is</w:t>
      </w:r>
      <w:r w:rsidR="008C36DE">
        <w:t xml:space="preserve"> not</w:t>
      </w:r>
      <w:r w:rsidRPr="009E304F">
        <w:t xml:space="preserve"> a </w:t>
      </w:r>
      <w:r w:rsidR="008C36DE">
        <w:t xml:space="preserve">statistical collection </w:t>
      </w:r>
      <w:r w:rsidRPr="009E304F">
        <w:t xml:space="preserve">and does not </w:t>
      </w:r>
      <w:r w:rsidR="00C13B6F">
        <w:t>require</w:t>
      </w:r>
      <w:r w:rsidRPr="009E304F">
        <w:t xml:space="preserve"> statistical </w:t>
      </w:r>
      <w:r w:rsidR="00C13B6F">
        <w:t>sampling, estimation, or imputation</w:t>
      </w:r>
      <w:r w:rsidRPr="009E304F">
        <w:t xml:space="preserve"> method</w:t>
      </w:r>
      <w:r w:rsidR="00C13B6F">
        <w:t>ologies</w:t>
      </w:r>
      <w:r w:rsidRPr="009E304F">
        <w:t xml:space="preserve">. </w:t>
      </w:r>
    </w:p>
    <w:p w14:paraId="329F8ECA" w14:textId="61B1B4B9" w:rsidR="00A41763" w:rsidRPr="00BA6C32" w:rsidRDefault="00A41763" w:rsidP="009E304F">
      <w:pPr>
        <w:spacing w:line="240" w:lineRule="auto"/>
      </w:pPr>
    </w:p>
    <w:sectPr w:rsidR="00A41763" w:rsidRPr="00BA6C32" w:rsidSect="00892AF2">
      <w:pgSz w:w="12240" w:h="15840"/>
      <w:pgMar w:top="1440" w:right="1440" w:bottom="1440" w:left="1440" w:header="720" w:footer="720" w:gutter="0"/>
      <w:pgNumType w:start="1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785586" w14:textId="77777777" w:rsidR="00E839D0" w:rsidRDefault="00E839D0" w:rsidP="00536CE1">
      <w:pPr>
        <w:spacing w:after="0" w:line="240" w:lineRule="auto"/>
      </w:pPr>
      <w:r>
        <w:separator/>
      </w:r>
    </w:p>
  </w:endnote>
  <w:endnote w:type="continuationSeparator" w:id="0">
    <w:p w14:paraId="39C63A8C" w14:textId="77777777" w:rsidR="00E839D0" w:rsidRDefault="00E839D0"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AFF2C" w14:textId="3CD58207" w:rsidR="00634F09" w:rsidRPr="001F3A8F" w:rsidRDefault="00634F09" w:rsidP="00616E46">
    <w:pPr>
      <w:pStyle w:val="Footer"/>
      <w:tabs>
        <w:tab w:val="clear" w:pos="9720"/>
        <w:tab w:val="left" w:pos="8655"/>
      </w:tabs>
    </w:pPr>
    <w:r w:rsidRPr="00CB180D">
      <w:t>U.S. Energy Information Administration |</w:t>
    </w:r>
    <w:r>
      <w:t xml:space="preserve">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w:t>
        </w:r>
        <w:r w:rsidR="00EB5E27">
          <w:t xml:space="preserve"> A</w:t>
        </w:r>
        <w:r>
          <w:t xml:space="preserve"> for Nuclear Fuel Data Survey (Form GC-859)</w:t>
        </w:r>
      </w:sdtContent>
    </w:sdt>
    <w:r>
      <w:t xml:space="preserve"> </w:t>
    </w:r>
    <w:r>
      <w:tab/>
      <w:t xml:space="preserve"> </w:t>
    </w:r>
    <w:r>
      <w:fldChar w:fldCharType="begin"/>
    </w:r>
    <w:r>
      <w:instrText xml:space="preserve"> PAGE   \* MERGEFORMAT </w:instrText>
    </w:r>
    <w:r>
      <w:fldChar w:fldCharType="separate"/>
    </w:r>
    <w:r w:rsidR="00EB5E27">
      <w:rPr>
        <w:noProof/>
      </w:rPr>
      <w:t>12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DE2FB" w14:textId="756B3147" w:rsidR="00634F09" w:rsidRDefault="00BC4AAC" w:rsidP="00760677">
    <w:pPr>
      <w:pStyle w:val="Footer"/>
    </w:pPr>
    <w:sdt>
      <w:sdtPr>
        <w:id w:val="272451101"/>
        <w:docPartObj>
          <w:docPartGallery w:val="Page Numbers (Bottom of Page)"/>
          <w:docPartUnique/>
        </w:docPartObj>
      </w:sdtPr>
      <w:sdtEndPr/>
      <w:sdtContent>
        <w:r w:rsidR="00634F09" w:rsidRPr="00CB180D">
          <w:t>U.S. Energy Information Administration</w:t>
        </w:r>
        <w:r w:rsidR="00634F09">
          <w:t xml:space="preserve"> </w:t>
        </w:r>
        <w:r w:rsidR="00634F09" w:rsidRPr="00CB180D">
          <w:t xml:space="preserve"> |</w:t>
        </w:r>
        <w:r w:rsidR="00634F09">
          <w:t xml:space="preserve"> </w:t>
        </w:r>
        <w:r w:rsidR="00634F09" w:rsidRPr="00CB180D">
          <w:t xml:space="preserve">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634F09">
              <w:t>Improving the Quality and Scope of EIA Data</w:t>
            </w:r>
          </w:sdtContent>
        </w:sdt>
        <w:r w:rsidR="00634F09" w:rsidRPr="00CB180D">
          <w:tab/>
        </w:r>
      </w:sdtContent>
    </w:sdt>
    <w:r w:rsidR="00634F09" w:rsidRPr="00760677">
      <w:t xml:space="preserve"> </w:t>
    </w:r>
    <w:r w:rsidR="00634F09">
      <w:fldChar w:fldCharType="begin"/>
    </w:r>
    <w:r w:rsidR="00634F09">
      <w:instrText xml:space="preserve"> PAGE   \* MERGEFORMAT </w:instrText>
    </w:r>
    <w:r w:rsidR="00634F09">
      <w:fldChar w:fldCharType="separate"/>
    </w:r>
    <w:r w:rsidR="00634F09">
      <w:rPr>
        <w:noProof/>
      </w:rPr>
      <w:t>i</w:t>
    </w:r>
    <w:r w:rsidR="00634F09">
      <w:rPr>
        <w:noProof/>
      </w:rPr>
      <w:fldChar w:fldCharType="end"/>
    </w:r>
  </w:p>
  <w:p w14:paraId="08D97C1F" w14:textId="77777777" w:rsidR="00634F09" w:rsidRDefault="00634F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57118" w14:textId="4FFEDB6B" w:rsidR="00634F09" w:rsidRDefault="00BC4AAC" w:rsidP="00760677">
    <w:pPr>
      <w:pStyle w:val="Footer"/>
    </w:pPr>
    <w:sdt>
      <w:sdtPr>
        <w:id w:val="-22715443"/>
        <w:docPartObj>
          <w:docPartGallery w:val="Page Numbers (Bottom of Page)"/>
          <w:docPartUnique/>
        </w:docPartObj>
      </w:sdtPr>
      <w:sdtEndPr/>
      <w:sdtContent>
        <w:r w:rsidR="00634F09" w:rsidRPr="00CB180D">
          <w:t>U.S. Energy Information Administration</w:t>
        </w:r>
        <w:r w:rsidR="00634F09">
          <w:t xml:space="preserve"> </w:t>
        </w:r>
        <w:r w:rsidR="00634F09" w:rsidRPr="00CB180D">
          <w:t xml:space="preserve"> |</w:t>
        </w:r>
        <w:r w:rsidR="00634F09">
          <w:t xml:space="preserve"> </w:t>
        </w:r>
        <w:r w:rsidR="00634F09" w:rsidRPr="00CB180D">
          <w:t xml:space="preserve">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634F09">
              <w:t>Improving the Quality and Scope of EIA Data</w:t>
            </w:r>
          </w:sdtContent>
        </w:sdt>
        <w:r w:rsidR="00634F09" w:rsidRPr="00CB180D">
          <w:tab/>
        </w:r>
      </w:sdtContent>
    </w:sdt>
    <w:r w:rsidR="00634F09" w:rsidRPr="00760677">
      <w:t xml:space="preserve"> </w:t>
    </w:r>
    <w:r w:rsidR="00634F09">
      <w:fldChar w:fldCharType="begin"/>
    </w:r>
    <w:r w:rsidR="00634F09">
      <w:instrText xml:space="preserve"> PAGE   \* MERGEFORMAT </w:instrText>
    </w:r>
    <w:r w:rsidR="00634F09">
      <w:fldChar w:fldCharType="separate"/>
    </w:r>
    <w:r w:rsidR="00634F09">
      <w:rPr>
        <w:noProof/>
      </w:rPr>
      <w:t>ii</w:t>
    </w:r>
    <w:r w:rsidR="00634F09">
      <w:rPr>
        <w:noProof/>
      </w:rPr>
      <w:fldChar w:fldCharType="end"/>
    </w:r>
  </w:p>
  <w:p w14:paraId="33805826" w14:textId="77777777" w:rsidR="00634F09" w:rsidRDefault="00634F09" w:rsidP="007606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672489"/>
      <w:docPartObj>
        <w:docPartGallery w:val="Page Numbers (Bottom of Page)"/>
        <w:docPartUnique/>
      </w:docPartObj>
    </w:sdtPr>
    <w:sdtEndPr/>
    <w:sdtContent>
      <w:p w14:paraId="6FABDBF7" w14:textId="7F21A635" w:rsidR="00634F09" w:rsidRDefault="00634F09" w:rsidP="007606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w:t>
        </w:r>
        <w:r>
          <w:t xml:space="preserve"> </w:t>
        </w:r>
        <w:r w:rsidRPr="00CB180D">
          <w:t xml:space="preserve"> |</w:t>
        </w:r>
        <w:r>
          <w:t xml:space="preserve"> </w:t>
        </w:r>
        <w:r w:rsidRPr="00CB180D">
          <w:t xml:space="preserve"> Improving the Quality and Scope of EIA Data</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04C0A" w14:textId="2FC88624" w:rsidR="00634F09" w:rsidRDefault="00BC4AAC" w:rsidP="00760677">
    <w:pPr>
      <w:pStyle w:val="Footer"/>
    </w:pPr>
    <w:sdt>
      <w:sdtPr>
        <w:id w:val="-2118122873"/>
        <w:docPartObj>
          <w:docPartGallery w:val="Page Numbers (Bottom of Page)"/>
          <w:docPartUnique/>
        </w:docPartObj>
      </w:sdtPr>
      <w:sdtEndPr/>
      <w:sdtContent>
        <w:r w:rsidR="00634F09" w:rsidRPr="00CB180D">
          <w:t>U.S. Energy Information Administration</w:t>
        </w:r>
        <w:r w:rsidR="00634F09">
          <w:t xml:space="preserve"> </w:t>
        </w:r>
        <w:r w:rsidR="00634F09" w:rsidRPr="00CB180D">
          <w:t xml:space="preserve"> |</w:t>
        </w:r>
        <w:r w:rsidR="00634F09">
          <w:t xml:space="preserve"> </w:t>
        </w:r>
        <w:r w:rsidR="00634F09" w:rsidRPr="00CB180D">
          <w:t xml:space="preserve"> </w:t>
        </w:r>
        <w:sdt>
          <w:sdtPr>
            <w:alias w:val="Subject"/>
            <w:id w:val="1215929675"/>
            <w:dataBinding w:prefixMappings="xmlns:ns0='http://purl.org/dc/elements/1.1/' xmlns:ns1='http://schemas.openxmlformats.org/package/2006/metadata/core-properties' " w:xpath="/ns1:coreProperties[1]/ns0:subject[1]" w:storeItemID="{6C3C8BC8-F283-45AE-878A-BAB7291924A1}"/>
            <w:text/>
          </w:sdtPr>
          <w:sdtEndPr/>
          <w:sdtContent>
            <w:r w:rsidR="00634F09">
              <w:t>Improving the Quality and Scope of EIA Data</w:t>
            </w:r>
          </w:sdtContent>
        </w:sdt>
        <w:r w:rsidR="00634F09" w:rsidRPr="00CB180D">
          <w:tab/>
        </w:r>
      </w:sdtContent>
    </w:sdt>
    <w:r w:rsidR="00634F09" w:rsidRPr="00760677">
      <w:t xml:space="preserve"> </w:t>
    </w:r>
    <w:r w:rsidR="00634F09">
      <w:fldChar w:fldCharType="begin"/>
    </w:r>
    <w:r w:rsidR="00634F09">
      <w:instrText xml:space="preserve"> PAGE   \* MERGEFORMAT </w:instrText>
    </w:r>
    <w:r w:rsidR="00634F09">
      <w:fldChar w:fldCharType="separate"/>
    </w:r>
    <w:r w:rsidR="00634F09">
      <w:rPr>
        <w:noProof/>
      </w:rPr>
      <w:t>1</w:t>
    </w:r>
    <w:r w:rsidR="00634F09">
      <w:rPr>
        <w:noProof/>
      </w:rPr>
      <w:fldChar w:fldCharType="end"/>
    </w:r>
  </w:p>
  <w:p w14:paraId="5551FB9D" w14:textId="77777777" w:rsidR="00634F09" w:rsidRDefault="00634F09" w:rsidP="007606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447DB2" w14:textId="77777777" w:rsidR="00E839D0" w:rsidRDefault="00E839D0" w:rsidP="00536CE1">
      <w:pPr>
        <w:spacing w:after="0" w:line="240" w:lineRule="auto"/>
      </w:pPr>
      <w:r>
        <w:separator/>
      </w:r>
    </w:p>
  </w:footnote>
  <w:footnote w:type="continuationSeparator" w:id="0">
    <w:p w14:paraId="3304F557" w14:textId="77777777" w:rsidR="00E839D0" w:rsidRDefault="00E839D0" w:rsidP="00536C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F2E39" w14:textId="77777777" w:rsidR="00634F09" w:rsidRDefault="00634F09" w:rsidP="00725453">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B4AB" w14:textId="77777777" w:rsidR="00634F09" w:rsidRPr="00373208" w:rsidRDefault="00634F09" w:rsidP="00041909">
    <w:pPr>
      <w:pStyle w:val="Header"/>
    </w:pPr>
    <w:r>
      <w:t>September 2011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4775A" w14:textId="74349093" w:rsidR="00634F09" w:rsidRPr="00F8298C" w:rsidRDefault="004C2B9B" w:rsidP="003030D8">
    <w:pPr>
      <w:pStyle w:val="Header"/>
    </w:pPr>
    <w:r>
      <w:t xml:space="preserve">MARCH </w:t>
    </w:r>
    <w:r w:rsidR="00634F09">
      <w:t>201</w:t>
    </w:r>
    <w:r w:rsidR="004F067D">
      <w:t>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27BD9" w14:textId="77777777" w:rsidR="00634F09" w:rsidRDefault="00634F09" w:rsidP="00041909">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4009E0"/>
    <w:lvl w:ilvl="0">
      <w:start w:val="1"/>
      <w:numFmt w:val="decimal"/>
      <w:lvlText w:val="%1."/>
      <w:lvlJc w:val="left"/>
      <w:pPr>
        <w:tabs>
          <w:tab w:val="num" w:pos="1800"/>
        </w:tabs>
        <w:ind w:left="1800" w:hanging="360"/>
      </w:pPr>
    </w:lvl>
  </w:abstractNum>
  <w:abstractNum w:abstractNumId="1">
    <w:nsid w:val="FFFFFF7D"/>
    <w:multiLevelType w:val="singleLevel"/>
    <w:tmpl w:val="7B24A21C"/>
    <w:lvl w:ilvl="0">
      <w:start w:val="1"/>
      <w:numFmt w:val="decimal"/>
      <w:lvlText w:val="%1."/>
      <w:lvlJc w:val="left"/>
      <w:pPr>
        <w:tabs>
          <w:tab w:val="num" w:pos="1440"/>
        </w:tabs>
        <w:ind w:left="1440" w:hanging="360"/>
      </w:pPr>
    </w:lvl>
  </w:abstractNum>
  <w:abstractNum w:abstractNumId="2">
    <w:nsid w:val="FFFFFF7E"/>
    <w:multiLevelType w:val="singleLevel"/>
    <w:tmpl w:val="6DFCCB4A"/>
    <w:lvl w:ilvl="0">
      <w:start w:val="1"/>
      <w:numFmt w:val="decimal"/>
      <w:lvlText w:val="%1."/>
      <w:lvlJc w:val="left"/>
      <w:pPr>
        <w:tabs>
          <w:tab w:val="num" w:pos="1080"/>
        </w:tabs>
        <w:ind w:left="1080" w:hanging="360"/>
      </w:pPr>
    </w:lvl>
  </w:abstractNum>
  <w:abstractNum w:abstractNumId="3">
    <w:nsid w:val="FFFFFF7F"/>
    <w:multiLevelType w:val="singleLevel"/>
    <w:tmpl w:val="2D9626D0"/>
    <w:lvl w:ilvl="0">
      <w:start w:val="1"/>
      <w:numFmt w:val="decimal"/>
      <w:lvlText w:val="%1."/>
      <w:lvlJc w:val="left"/>
      <w:pPr>
        <w:tabs>
          <w:tab w:val="num" w:pos="720"/>
        </w:tabs>
        <w:ind w:left="720" w:hanging="360"/>
      </w:pPr>
    </w:lvl>
  </w:abstractNum>
  <w:abstractNum w:abstractNumId="4">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5C785D"/>
    <w:multiLevelType w:val="hybridMultilevel"/>
    <w:tmpl w:val="D772CB6C"/>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2">
    <w:nsid w:val="034E7334"/>
    <w:multiLevelType w:val="hybridMultilevel"/>
    <w:tmpl w:val="67EAF962"/>
    <w:lvl w:ilvl="0" w:tplc="B8E0D82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4">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5">
    <w:nsid w:val="0B223D81"/>
    <w:multiLevelType w:val="hybridMultilevel"/>
    <w:tmpl w:val="AA587FA2"/>
    <w:lvl w:ilvl="0" w:tplc="EAD0D4A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724014D"/>
    <w:multiLevelType w:val="hybridMultilevel"/>
    <w:tmpl w:val="DADA80B6"/>
    <w:lvl w:ilvl="0" w:tplc="4476F9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7F1DC7"/>
    <w:multiLevelType w:val="hybridMultilevel"/>
    <w:tmpl w:val="E8687E92"/>
    <w:lvl w:ilvl="0" w:tplc="362A3F76">
      <w:start w:val="1"/>
      <w:numFmt w:val="bullet"/>
      <w:pStyle w:val="ListParagraph"/>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552EF9"/>
    <w:multiLevelType w:val="hybridMultilevel"/>
    <w:tmpl w:val="0CDCD286"/>
    <w:lvl w:ilvl="0" w:tplc="FED270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AA5C3B"/>
    <w:multiLevelType w:val="hybridMultilevel"/>
    <w:tmpl w:val="0926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C838B0"/>
    <w:multiLevelType w:val="hybridMultilevel"/>
    <w:tmpl w:val="9F2CE984"/>
    <w:lvl w:ilvl="0" w:tplc="F34A085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025067"/>
    <w:multiLevelType w:val="hybridMultilevel"/>
    <w:tmpl w:val="A1DE5C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1666C8F"/>
    <w:multiLevelType w:val="hybridMultilevel"/>
    <w:tmpl w:val="2EDAB452"/>
    <w:lvl w:ilvl="0" w:tplc="BDB69D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F863061"/>
    <w:multiLevelType w:val="multilevel"/>
    <w:tmpl w:val="8CBC975C"/>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26">
    <w:nsid w:val="74552032"/>
    <w:multiLevelType w:val="hybridMultilevel"/>
    <w:tmpl w:val="D05032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49418AF"/>
    <w:multiLevelType w:val="hybridMultilevel"/>
    <w:tmpl w:val="486CB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4"/>
  </w:num>
  <w:num w:numId="13">
    <w:abstractNumId w:val="14"/>
  </w:num>
  <w:num w:numId="14">
    <w:abstractNumId w:val="19"/>
  </w:num>
  <w:num w:numId="15">
    <w:abstractNumId w:val="23"/>
  </w:num>
  <w:num w:numId="16">
    <w:abstractNumId w:val="11"/>
  </w:num>
  <w:num w:numId="17">
    <w:abstractNumId w:val="11"/>
  </w:num>
  <w:num w:numId="18">
    <w:abstractNumId w:val="22"/>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abstractNumId w:val="11"/>
  </w:num>
  <w:num w:numId="22">
    <w:abstractNumId w:val="11"/>
  </w:num>
  <w:num w:numId="23">
    <w:abstractNumId w:val="11"/>
  </w:num>
  <w:num w:numId="24">
    <w:abstractNumId w:val="11"/>
  </w:num>
  <w:num w:numId="25">
    <w:abstractNumId w:val="11"/>
  </w:num>
  <w:num w:numId="26">
    <w:abstractNumId w:val="25"/>
  </w:num>
  <w:num w:numId="27">
    <w:abstractNumId w:val="11"/>
  </w:num>
  <w:num w:numId="28">
    <w:abstractNumId w:val="25"/>
  </w:num>
  <w:num w:numId="29">
    <w:abstractNumId w:val="25"/>
  </w:num>
  <w:num w:numId="30">
    <w:abstractNumId w:val="25"/>
  </w:num>
  <w:num w:numId="31">
    <w:abstractNumId w:val="11"/>
  </w:num>
  <w:num w:numId="32">
    <w:abstractNumId w:val="11"/>
  </w:num>
  <w:num w:numId="33">
    <w:abstractNumId w:val="11"/>
  </w:num>
  <w:num w:numId="34">
    <w:abstractNumId w:val="9"/>
  </w:num>
  <w:num w:numId="35">
    <w:abstractNumId w:val="7"/>
  </w:num>
  <w:num w:numId="36">
    <w:abstractNumId w:val="6"/>
  </w:num>
  <w:num w:numId="37">
    <w:abstractNumId w:val="5"/>
  </w:num>
  <w:num w:numId="38">
    <w:abstractNumId w:val="14"/>
  </w:num>
  <w:num w:numId="39">
    <w:abstractNumId w:val="25"/>
  </w:num>
  <w:num w:numId="40">
    <w:abstractNumId w:val="25"/>
  </w:num>
  <w:num w:numId="41">
    <w:abstractNumId w:val="25"/>
  </w:num>
  <w:num w:numId="42">
    <w:abstractNumId w:val="14"/>
  </w:num>
  <w:num w:numId="43">
    <w:abstractNumId w:val="14"/>
  </w:num>
  <w:num w:numId="44">
    <w:abstractNumId w:val="14"/>
  </w:num>
  <w:num w:numId="45">
    <w:abstractNumId w:val="14"/>
  </w:num>
  <w:num w:numId="46">
    <w:abstractNumId w:val="13"/>
  </w:num>
  <w:num w:numId="47">
    <w:abstractNumId w:val="28"/>
  </w:num>
  <w:num w:numId="48">
    <w:abstractNumId w:val="28"/>
  </w:num>
  <w:num w:numId="49">
    <w:abstractNumId w:val="18"/>
  </w:num>
  <w:num w:numId="50">
    <w:abstractNumId w:val="15"/>
  </w:num>
  <w:num w:numId="51">
    <w:abstractNumId w:val="27"/>
  </w:num>
  <w:num w:numId="52">
    <w:abstractNumId w:val="16"/>
  </w:num>
  <w:num w:numId="53">
    <w:abstractNumId w:val="12"/>
  </w:num>
  <w:num w:numId="54">
    <w:abstractNumId w:val="26"/>
  </w:num>
  <w:num w:numId="55">
    <w:abstractNumId w:val="12"/>
  </w:num>
  <w:num w:numId="56">
    <w:abstractNumId w:val="12"/>
  </w:num>
  <w:num w:numId="57">
    <w:abstractNumId w:val="12"/>
  </w:num>
  <w:num w:numId="58">
    <w:abstractNumId w:val="20"/>
  </w:num>
  <w:num w:numId="59">
    <w:abstractNumId w:val="17"/>
  </w:num>
  <w:num w:numId="60">
    <w:abstractNumId w:val="21"/>
  </w:num>
  <w:num w:numId="61">
    <w:abstractNumId w:val="1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18433"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763"/>
    <w:rsid w:val="0000019D"/>
    <w:rsid w:val="00000A6A"/>
    <w:rsid w:val="0000364C"/>
    <w:rsid w:val="00004135"/>
    <w:rsid w:val="000041A1"/>
    <w:rsid w:val="000053BB"/>
    <w:rsid w:val="00011B3F"/>
    <w:rsid w:val="00013373"/>
    <w:rsid w:val="000142E5"/>
    <w:rsid w:val="00015DA7"/>
    <w:rsid w:val="0002174B"/>
    <w:rsid w:val="00022C97"/>
    <w:rsid w:val="00022F63"/>
    <w:rsid w:val="00023B33"/>
    <w:rsid w:val="000248CE"/>
    <w:rsid w:val="00024E1E"/>
    <w:rsid w:val="00032702"/>
    <w:rsid w:val="00033B08"/>
    <w:rsid w:val="00034A4B"/>
    <w:rsid w:val="00041909"/>
    <w:rsid w:val="000441CF"/>
    <w:rsid w:val="0004653B"/>
    <w:rsid w:val="00046593"/>
    <w:rsid w:val="00047C08"/>
    <w:rsid w:val="00051E8F"/>
    <w:rsid w:val="00052DDA"/>
    <w:rsid w:val="0005401F"/>
    <w:rsid w:val="00055769"/>
    <w:rsid w:val="00056EC3"/>
    <w:rsid w:val="00062CFE"/>
    <w:rsid w:val="00065C27"/>
    <w:rsid w:val="0007129A"/>
    <w:rsid w:val="000721E9"/>
    <w:rsid w:val="000723BB"/>
    <w:rsid w:val="0008024E"/>
    <w:rsid w:val="000831C4"/>
    <w:rsid w:val="000844CA"/>
    <w:rsid w:val="000942F6"/>
    <w:rsid w:val="000976BD"/>
    <w:rsid w:val="000A7831"/>
    <w:rsid w:val="000A7E0E"/>
    <w:rsid w:val="000B3FBE"/>
    <w:rsid w:val="000B73A6"/>
    <w:rsid w:val="000C1BE4"/>
    <w:rsid w:val="000C28E1"/>
    <w:rsid w:val="000C48A6"/>
    <w:rsid w:val="000C4C5C"/>
    <w:rsid w:val="000C5311"/>
    <w:rsid w:val="000E639D"/>
    <w:rsid w:val="000F040A"/>
    <w:rsid w:val="000F431A"/>
    <w:rsid w:val="000F474C"/>
    <w:rsid w:val="001034E8"/>
    <w:rsid w:val="00111B0B"/>
    <w:rsid w:val="001128F2"/>
    <w:rsid w:val="00112A69"/>
    <w:rsid w:val="0011541D"/>
    <w:rsid w:val="00117FE0"/>
    <w:rsid w:val="001201E7"/>
    <w:rsid w:val="00124EB3"/>
    <w:rsid w:val="00132F4A"/>
    <w:rsid w:val="0013357B"/>
    <w:rsid w:val="00143B71"/>
    <w:rsid w:val="001503D4"/>
    <w:rsid w:val="0015287B"/>
    <w:rsid w:val="00154192"/>
    <w:rsid w:val="00155CBB"/>
    <w:rsid w:val="00157E05"/>
    <w:rsid w:val="00160BC8"/>
    <w:rsid w:val="00164AC9"/>
    <w:rsid w:val="00165940"/>
    <w:rsid w:val="00167425"/>
    <w:rsid w:val="00171634"/>
    <w:rsid w:val="001807A3"/>
    <w:rsid w:val="00186268"/>
    <w:rsid w:val="001871A5"/>
    <w:rsid w:val="00187BD9"/>
    <w:rsid w:val="00190235"/>
    <w:rsid w:val="00190F1A"/>
    <w:rsid w:val="001947D5"/>
    <w:rsid w:val="001A28EA"/>
    <w:rsid w:val="001A3399"/>
    <w:rsid w:val="001A6E1E"/>
    <w:rsid w:val="001B0E69"/>
    <w:rsid w:val="001B6585"/>
    <w:rsid w:val="001B7D42"/>
    <w:rsid w:val="001D03A8"/>
    <w:rsid w:val="001D63F2"/>
    <w:rsid w:val="001E0FA8"/>
    <w:rsid w:val="001E4762"/>
    <w:rsid w:val="001E47D3"/>
    <w:rsid w:val="001F3A8F"/>
    <w:rsid w:val="001F69B4"/>
    <w:rsid w:val="002004EB"/>
    <w:rsid w:val="002008B4"/>
    <w:rsid w:val="00201F24"/>
    <w:rsid w:val="002127CE"/>
    <w:rsid w:val="00215842"/>
    <w:rsid w:val="002166F9"/>
    <w:rsid w:val="00217C52"/>
    <w:rsid w:val="002207DF"/>
    <w:rsid w:val="00220C55"/>
    <w:rsid w:val="00221AC2"/>
    <w:rsid w:val="00227E4B"/>
    <w:rsid w:val="0023015A"/>
    <w:rsid w:val="0023708A"/>
    <w:rsid w:val="0023757A"/>
    <w:rsid w:val="00244406"/>
    <w:rsid w:val="002449EF"/>
    <w:rsid w:val="0025022D"/>
    <w:rsid w:val="002514A6"/>
    <w:rsid w:val="00252254"/>
    <w:rsid w:val="002530BB"/>
    <w:rsid w:val="0025314A"/>
    <w:rsid w:val="002556F3"/>
    <w:rsid w:val="00260EDF"/>
    <w:rsid w:val="00264148"/>
    <w:rsid w:val="0026514B"/>
    <w:rsid w:val="00270354"/>
    <w:rsid w:val="00274179"/>
    <w:rsid w:val="00277CE7"/>
    <w:rsid w:val="002974C4"/>
    <w:rsid w:val="002A0946"/>
    <w:rsid w:val="002B0FD2"/>
    <w:rsid w:val="002B510C"/>
    <w:rsid w:val="002C378C"/>
    <w:rsid w:val="002C4890"/>
    <w:rsid w:val="002D0FAF"/>
    <w:rsid w:val="002D426A"/>
    <w:rsid w:val="002E1F48"/>
    <w:rsid w:val="002E20EE"/>
    <w:rsid w:val="002E3FD5"/>
    <w:rsid w:val="002E7A38"/>
    <w:rsid w:val="002F268D"/>
    <w:rsid w:val="002F6063"/>
    <w:rsid w:val="003023B0"/>
    <w:rsid w:val="00302801"/>
    <w:rsid w:val="003030D8"/>
    <w:rsid w:val="00306516"/>
    <w:rsid w:val="003163CB"/>
    <w:rsid w:val="00323021"/>
    <w:rsid w:val="00323EA3"/>
    <w:rsid w:val="00324701"/>
    <w:rsid w:val="00333523"/>
    <w:rsid w:val="003365DB"/>
    <w:rsid w:val="00337BCB"/>
    <w:rsid w:val="00342E5A"/>
    <w:rsid w:val="003431C7"/>
    <w:rsid w:val="003469CB"/>
    <w:rsid w:val="00350C8B"/>
    <w:rsid w:val="00361AC2"/>
    <w:rsid w:val="00363331"/>
    <w:rsid w:val="00364208"/>
    <w:rsid w:val="00371E14"/>
    <w:rsid w:val="00373208"/>
    <w:rsid w:val="0037341D"/>
    <w:rsid w:val="00383DB3"/>
    <w:rsid w:val="003854B2"/>
    <w:rsid w:val="00385AE6"/>
    <w:rsid w:val="003865F1"/>
    <w:rsid w:val="00386D01"/>
    <w:rsid w:val="00387C8D"/>
    <w:rsid w:val="00392DD0"/>
    <w:rsid w:val="00395D3A"/>
    <w:rsid w:val="00396BCB"/>
    <w:rsid w:val="00397825"/>
    <w:rsid w:val="003A1073"/>
    <w:rsid w:val="003A10F3"/>
    <w:rsid w:val="003A3906"/>
    <w:rsid w:val="003A6B69"/>
    <w:rsid w:val="003B03A4"/>
    <w:rsid w:val="003B2AEE"/>
    <w:rsid w:val="003C00A6"/>
    <w:rsid w:val="003C03EA"/>
    <w:rsid w:val="003C690C"/>
    <w:rsid w:val="003D3A11"/>
    <w:rsid w:val="003D7B26"/>
    <w:rsid w:val="003E3D7E"/>
    <w:rsid w:val="003E40FA"/>
    <w:rsid w:val="003E7F0D"/>
    <w:rsid w:val="003F1424"/>
    <w:rsid w:val="003F24ED"/>
    <w:rsid w:val="003F3CAA"/>
    <w:rsid w:val="003F529E"/>
    <w:rsid w:val="00401421"/>
    <w:rsid w:val="004153B4"/>
    <w:rsid w:val="00426481"/>
    <w:rsid w:val="0043145E"/>
    <w:rsid w:val="00432966"/>
    <w:rsid w:val="00441D2A"/>
    <w:rsid w:val="00442A00"/>
    <w:rsid w:val="00445E2F"/>
    <w:rsid w:val="0044736C"/>
    <w:rsid w:val="004525D1"/>
    <w:rsid w:val="0045608E"/>
    <w:rsid w:val="0045662F"/>
    <w:rsid w:val="0046056D"/>
    <w:rsid w:val="004612BF"/>
    <w:rsid w:val="00466959"/>
    <w:rsid w:val="00471159"/>
    <w:rsid w:val="004740B6"/>
    <w:rsid w:val="0047687B"/>
    <w:rsid w:val="0047784B"/>
    <w:rsid w:val="00480682"/>
    <w:rsid w:val="004811F1"/>
    <w:rsid w:val="0048419C"/>
    <w:rsid w:val="00486D73"/>
    <w:rsid w:val="004917E6"/>
    <w:rsid w:val="00493880"/>
    <w:rsid w:val="004946F0"/>
    <w:rsid w:val="00497C2A"/>
    <w:rsid w:val="004A12A4"/>
    <w:rsid w:val="004B1075"/>
    <w:rsid w:val="004B2DE1"/>
    <w:rsid w:val="004B5B22"/>
    <w:rsid w:val="004B67A0"/>
    <w:rsid w:val="004C0C0A"/>
    <w:rsid w:val="004C1EFB"/>
    <w:rsid w:val="004C277B"/>
    <w:rsid w:val="004C2B9B"/>
    <w:rsid w:val="004D05FB"/>
    <w:rsid w:val="004D29C7"/>
    <w:rsid w:val="004D42A9"/>
    <w:rsid w:val="004E7821"/>
    <w:rsid w:val="004F067D"/>
    <w:rsid w:val="00504119"/>
    <w:rsid w:val="005044FA"/>
    <w:rsid w:val="005065CF"/>
    <w:rsid w:val="00506BB4"/>
    <w:rsid w:val="0050705F"/>
    <w:rsid w:val="00513F69"/>
    <w:rsid w:val="005170D3"/>
    <w:rsid w:val="0052493A"/>
    <w:rsid w:val="0052783E"/>
    <w:rsid w:val="005301F2"/>
    <w:rsid w:val="0053068B"/>
    <w:rsid w:val="005328D1"/>
    <w:rsid w:val="00535CAF"/>
    <w:rsid w:val="00536054"/>
    <w:rsid w:val="0053654B"/>
    <w:rsid w:val="00536CE1"/>
    <w:rsid w:val="00537DC9"/>
    <w:rsid w:val="0054180D"/>
    <w:rsid w:val="00546E4B"/>
    <w:rsid w:val="00547B53"/>
    <w:rsid w:val="005515CD"/>
    <w:rsid w:val="0055636E"/>
    <w:rsid w:val="00562DAE"/>
    <w:rsid w:val="00562EA8"/>
    <w:rsid w:val="00566C92"/>
    <w:rsid w:val="00571D8F"/>
    <w:rsid w:val="0057367D"/>
    <w:rsid w:val="0058349C"/>
    <w:rsid w:val="00585BE3"/>
    <w:rsid w:val="0059212D"/>
    <w:rsid w:val="0059280A"/>
    <w:rsid w:val="00597151"/>
    <w:rsid w:val="005A186A"/>
    <w:rsid w:val="005A43D0"/>
    <w:rsid w:val="005B2B58"/>
    <w:rsid w:val="005C00FA"/>
    <w:rsid w:val="005C2D89"/>
    <w:rsid w:val="005C485B"/>
    <w:rsid w:val="005C5504"/>
    <w:rsid w:val="005C6DBA"/>
    <w:rsid w:val="005D0E9E"/>
    <w:rsid w:val="005D39D7"/>
    <w:rsid w:val="005D5956"/>
    <w:rsid w:val="005D6489"/>
    <w:rsid w:val="005D6F63"/>
    <w:rsid w:val="005E2331"/>
    <w:rsid w:val="005F4848"/>
    <w:rsid w:val="005F4EAC"/>
    <w:rsid w:val="0061183B"/>
    <w:rsid w:val="00616BDE"/>
    <w:rsid w:val="00616E46"/>
    <w:rsid w:val="0062008C"/>
    <w:rsid w:val="00620797"/>
    <w:rsid w:val="00626494"/>
    <w:rsid w:val="00634F09"/>
    <w:rsid w:val="00637443"/>
    <w:rsid w:val="00641DE2"/>
    <w:rsid w:val="006420BD"/>
    <w:rsid w:val="00643384"/>
    <w:rsid w:val="00643BE6"/>
    <w:rsid w:val="006465CF"/>
    <w:rsid w:val="00647F5C"/>
    <w:rsid w:val="006505FD"/>
    <w:rsid w:val="0065406F"/>
    <w:rsid w:val="00663EC4"/>
    <w:rsid w:val="00666831"/>
    <w:rsid w:val="0067209E"/>
    <w:rsid w:val="0067714B"/>
    <w:rsid w:val="00677C5F"/>
    <w:rsid w:val="00680F38"/>
    <w:rsid w:val="006A0BC7"/>
    <w:rsid w:val="006A6A7E"/>
    <w:rsid w:val="006A7F98"/>
    <w:rsid w:val="006B57C1"/>
    <w:rsid w:val="006C005A"/>
    <w:rsid w:val="006C0062"/>
    <w:rsid w:val="006C097E"/>
    <w:rsid w:val="006C2DC3"/>
    <w:rsid w:val="006C4C06"/>
    <w:rsid w:val="006C6B4D"/>
    <w:rsid w:val="006D0439"/>
    <w:rsid w:val="006D42EC"/>
    <w:rsid w:val="006D4E73"/>
    <w:rsid w:val="006E6A88"/>
    <w:rsid w:val="006F277F"/>
    <w:rsid w:val="006F491C"/>
    <w:rsid w:val="007014E2"/>
    <w:rsid w:val="007047F1"/>
    <w:rsid w:val="00704B7D"/>
    <w:rsid w:val="00707D40"/>
    <w:rsid w:val="00711414"/>
    <w:rsid w:val="00717DB4"/>
    <w:rsid w:val="007236CA"/>
    <w:rsid w:val="00725453"/>
    <w:rsid w:val="00726856"/>
    <w:rsid w:val="00730DA0"/>
    <w:rsid w:val="00737591"/>
    <w:rsid w:val="007436D4"/>
    <w:rsid w:val="007438F2"/>
    <w:rsid w:val="00755C3D"/>
    <w:rsid w:val="007576EF"/>
    <w:rsid w:val="00760677"/>
    <w:rsid w:val="00761C12"/>
    <w:rsid w:val="007627FE"/>
    <w:rsid w:val="0076531C"/>
    <w:rsid w:val="007658BA"/>
    <w:rsid w:val="00776CF4"/>
    <w:rsid w:val="007807F8"/>
    <w:rsid w:val="00782BF5"/>
    <w:rsid w:val="00783358"/>
    <w:rsid w:val="00784F89"/>
    <w:rsid w:val="00786336"/>
    <w:rsid w:val="007960B9"/>
    <w:rsid w:val="007A0E7F"/>
    <w:rsid w:val="007A4378"/>
    <w:rsid w:val="007A5E21"/>
    <w:rsid w:val="007B13D2"/>
    <w:rsid w:val="007B1C32"/>
    <w:rsid w:val="007C4812"/>
    <w:rsid w:val="007C5CE9"/>
    <w:rsid w:val="007C5ECF"/>
    <w:rsid w:val="007D2EF5"/>
    <w:rsid w:val="007D35DB"/>
    <w:rsid w:val="007D39CC"/>
    <w:rsid w:val="007D6AAF"/>
    <w:rsid w:val="007E5A11"/>
    <w:rsid w:val="007E73E6"/>
    <w:rsid w:val="007F1954"/>
    <w:rsid w:val="007F21D7"/>
    <w:rsid w:val="007F3F24"/>
    <w:rsid w:val="008057F8"/>
    <w:rsid w:val="008059D5"/>
    <w:rsid w:val="00806CD4"/>
    <w:rsid w:val="00813AB7"/>
    <w:rsid w:val="008213F9"/>
    <w:rsid w:val="008218F7"/>
    <w:rsid w:val="008235EC"/>
    <w:rsid w:val="00823AF8"/>
    <w:rsid w:val="008307E1"/>
    <w:rsid w:val="00836D62"/>
    <w:rsid w:val="00844524"/>
    <w:rsid w:val="00851ADE"/>
    <w:rsid w:val="008531F7"/>
    <w:rsid w:val="0086666F"/>
    <w:rsid w:val="00867160"/>
    <w:rsid w:val="0087205B"/>
    <w:rsid w:val="008722E3"/>
    <w:rsid w:val="00874FB8"/>
    <w:rsid w:val="008751B3"/>
    <w:rsid w:val="00876742"/>
    <w:rsid w:val="00883732"/>
    <w:rsid w:val="00883C1D"/>
    <w:rsid w:val="008863BF"/>
    <w:rsid w:val="00886CE9"/>
    <w:rsid w:val="00887426"/>
    <w:rsid w:val="00892AF2"/>
    <w:rsid w:val="00895669"/>
    <w:rsid w:val="00897946"/>
    <w:rsid w:val="008A17E6"/>
    <w:rsid w:val="008A3276"/>
    <w:rsid w:val="008A3447"/>
    <w:rsid w:val="008A6127"/>
    <w:rsid w:val="008B5FE5"/>
    <w:rsid w:val="008C0034"/>
    <w:rsid w:val="008C1800"/>
    <w:rsid w:val="008C36DE"/>
    <w:rsid w:val="008C4487"/>
    <w:rsid w:val="008C71C9"/>
    <w:rsid w:val="008C734C"/>
    <w:rsid w:val="008C7E2B"/>
    <w:rsid w:val="008D0DC9"/>
    <w:rsid w:val="008D3460"/>
    <w:rsid w:val="008E4BF2"/>
    <w:rsid w:val="008F4CBD"/>
    <w:rsid w:val="00900B40"/>
    <w:rsid w:val="009017AD"/>
    <w:rsid w:val="00901BED"/>
    <w:rsid w:val="00905735"/>
    <w:rsid w:val="009131B9"/>
    <w:rsid w:val="0091409C"/>
    <w:rsid w:val="009300ED"/>
    <w:rsid w:val="00935805"/>
    <w:rsid w:val="0093602C"/>
    <w:rsid w:val="009368F3"/>
    <w:rsid w:val="00936F44"/>
    <w:rsid w:val="00947C42"/>
    <w:rsid w:val="00950489"/>
    <w:rsid w:val="009533D3"/>
    <w:rsid w:val="00957DE9"/>
    <w:rsid w:val="009616F7"/>
    <w:rsid w:val="00965278"/>
    <w:rsid w:val="00965A44"/>
    <w:rsid w:val="00967D7C"/>
    <w:rsid w:val="009700A0"/>
    <w:rsid w:val="0097308C"/>
    <w:rsid w:val="009757AD"/>
    <w:rsid w:val="00976809"/>
    <w:rsid w:val="00980B6A"/>
    <w:rsid w:val="009818F9"/>
    <w:rsid w:val="00983537"/>
    <w:rsid w:val="0098618F"/>
    <w:rsid w:val="00987C32"/>
    <w:rsid w:val="00991646"/>
    <w:rsid w:val="0099448B"/>
    <w:rsid w:val="00997347"/>
    <w:rsid w:val="009A0C12"/>
    <w:rsid w:val="009B19CE"/>
    <w:rsid w:val="009C202F"/>
    <w:rsid w:val="009C3DD6"/>
    <w:rsid w:val="009C6FB2"/>
    <w:rsid w:val="009C76BE"/>
    <w:rsid w:val="009C77F7"/>
    <w:rsid w:val="009D4047"/>
    <w:rsid w:val="009E304F"/>
    <w:rsid w:val="009E5ABC"/>
    <w:rsid w:val="009E5B9C"/>
    <w:rsid w:val="009F4D3E"/>
    <w:rsid w:val="009F4ED1"/>
    <w:rsid w:val="00A009A2"/>
    <w:rsid w:val="00A00D71"/>
    <w:rsid w:val="00A00EDF"/>
    <w:rsid w:val="00A05F2F"/>
    <w:rsid w:val="00A23365"/>
    <w:rsid w:val="00A26A17"/>
    <w:rsid w:val="00A30169"/>
    <w:rsid w:val="00A312A3"/>
    <w:rsid w:val="00A31ECC"/>
    <w:rsid w:val="00A33D9F"/>
    <w:rsid w:val="00A37229"/>
    <w:rsid w:val="00A40CC6"/>
    <w:rsid w:val="00A41763"/>
    <w:rsid w:val="00A418C9"/>
    <w:rsid w:val="00A41B01"/>
    <w:rsid w:val="00A42274"/>
    <w:rsid w:val="00A4351C"/>
    <w:rsid w:val="00A53CA3"/>
    <w:rsid w:val="00A72AA8"/>
    <w:rsid w:val="00A74C9B"/>
    <w:rsid w:val="00A76F89"/>
    <w:rsid w:val="00A84A57"/>
    <w:rsid w:val="00A93478"/>
    <w:rsid w:val="00A97FE7"/>
    <w:rsid w:val="00AA3FD0"/>
    <w:rsid w:val="00AA4493"/>
    <w:rsid w:val="00AA46CA"/>
    <w:rsid w:val="00AA625A"/>
    <w:rsid w:val="00AA7EFA"/>
    <w:rsid w:val="00AB262F"/>
    <w:rsid w:val="00AB61B3"/>
    <w:rsid w:val="00AB6B48"/>
    <w:rsid w:val="00AC323A"/>
    <w:rsid w:val="00AD6357"/>
    <w:rsid w:val="00AD70E1"/>
    <w:rsid w:val="00AD7F81"/>
    <w:rsid w:val="00AE4CA9"/>
    <w:rsid w:val="00AF352B"/>
    <w:rsid w:val="00AF367D"/>
    <w:rsid w:val="00AF45FD"/>
    <w:rsid w:val="00AF65C7"/>
    <w:rsid w:val="00B23187"/>
    <w:rsid w:val="00B2386E"/>
    <w:rsid w:val="00B35E2A"/>
    <w:rsid w:val="00B377E0"/>
    <w:rsid w:val="00B4263D"/>
    <w:rsid w:val="00B5303E"/>
    <w:rsid w:val="00B556C1"/>
    <w:rsid w:val="00B5656A"/>
    <w:rsid w:val="00B56F49"/>
    <w:rsid w:val="00B61276"/>
    <w:rsid w:val="00B62BCC"/>
    <w:rsid w:val="00B6315D"/>
    <w:rsid w:val="00B7442A"/>
    <w:rsid w:val="00B77781"/>
    <w:rsid w:val="00B81304"/>
    <w:rsid w:val="00B81BBE"/>
    <w:rsid w:val="00B84576"/>
    <w:rsid w:val="00B8573B"/>
    <w:rsid w:val="00B85A5A"/>
    <w:rsid w:val="00B86FAA"/>
    <w:rsid w:val="00B878A6"/>
    <w:rsid w:val="00B87B06"/>
    <w:rsid w:val="00B97002"/>
    <w:rsid w:val="00BA6C32"/>
    <w:rsid w:val="00BA7E56"/>
    <w:rsid w:val="00BB0725"/>
    <w:rsid w:val="00BB2E75"/>
    <w:rsid w:val="00BB2F70"/>
    <w:rsid w:val="00BB6CF4"/>
    <w:rsid w:val="00BC14C3"/>
    <w:rsid w:val="00BC1ABE"/>
    <w:rsid w:val="00BC4AAC"/>
    <w:rsid w:val="00BD1E08"/>
    <w:rsid w:val="00BD29C6"/>
    <w:rsid w:val="00BD2F20"/>
    <w:rsid w:val="00BD48AA"/>
    <w:rsid w:val="00BD4F62"/>
    <w:rsid w:val="00BD6F09"/>
    <w:rsid w:val="00BE4AFD"/>
    <w:rsid w:val="00BF1F6A"/>
    <w:rsid w:val="00C00590"/>
    <w:rsid w:val="00C01D5B"/>
    <w:rsid w:val="00C04647"/>
    <w:rsid w:val="00C04692"/>
    <w:rsid w:val="00C051A5"/>
    <w:rsid w:val="00C058CF"/>
    <w:rsid w:val="00C12551"/>
    <w:rsid w:val="00C13B6F"/>
    <w:rsid w:val="00C211CD"/>
    <w:rsid w:val="00C25328"/>
    <w:rsid w:val="00C278C6"/>
    <w:rsid w:val="00C34A08"/>
    <w:rsid w:val="00C36423"/>
    <w:rsid w:val="00C3744D"/>
    <w:rsid w:val="00C43A84"/>
    <w:rsid w:val="00C45F65"/>
    <w:rsid w:val="00C64137"/>
    <w:rsid w:val="00C649A4"/>
    <w:rsid w:val="00C658E4"/>
    <w:rsid w:val="00C7266E"/>
    <w:rsid w:val="00C74A70"/>
    <w:rsid w:val="00C76C66"/>
    <w:rsid w:val="00C82DF9"/>
    <w:rsid w:val="00C846C1"/>
    <w:rsid w:val="00C85445"/>
    <w:rsid w:val="00C87190"/>
    <w:rsid w:val="00C979A2"/>
    <w:rsid w:val="00CA1564"/>
    <w:rsid w:val="00CA4A37"/>
    <w:rsid w:val="00CA7C8A"/>
    <w:rsid w:val="00CB44E8"/>
    <w:rsid w:val="00CB7978"/>
    <w:rsid w:val="00CB7F01"/>
    <w:rsid w:val="00CC1D12"/>
    <w:rsid w:val="00CC5FCB"/>
    <w:rsid w:val="00CC6981"/>
    <w:rsid w:val="00CD3742"/>
    <w:rsid w:val="00CD4EE2"/>
    <w:rsid w:val="00CE42E9"/>
    <w:rsid w:val="00CF0573"/>
    <w:rsid w:val="00CF3CF8"/>
    <w:rsid w:val="00CF4049"/>
    <w:rsid w:val="00D001E4"/>
    <w:rsid w:val="00D00AA8"/>
    <w:rsid w:val="00D01582"/>
    <w:rsid w:val="00D02778"/>
    <w:rsid w:val="00D06984"/>
    <w:rsid w:val="00D13E84"/>
    <w:rsid w:val="00D23FE1"/>
    <w:rsid w:val="00D300F4"/>
    <w:rsid w:val="00D3344B"/>
    <w:rsid w:val="00D40175"/>
    <w:rsid w:val="00D43DC3"/>
    <w:rsid w:val="00D44F9D"/>
    <w:rsid w:val="00D55243"/>
    <w:rsid w:val="00D57D03"/>
    <w:rsid w:val="00D6255F"/>
    <w:rsid w:val="00D62F90"/>
    <w:rsid w:val="00D63E74"/>
    <w:rsid w:val="00D6540E"/>
    <w:rsid w:val="00D715C4"/>
    <w:rsid w:val="00D807D9"/>
    <w:rsid w:val="00D84F83"/>
    <w:rsid w:val="00D86BC2"/>
    <w:rsid w:val="00D928FD"/>
    <w:rsid w:val="00DA2750"/>
    <w:rsid w:val="00DA3010"/>
    <w:rsid w:val="00DB1065"/>
    <w:rsid w:val="00DB6D45"/>
    <w:rsid w:val="00DC1C48"/>
    <w:rsid w:val="00DC79E3"/>
    <w:rsid w:val="00DD51E1"/>
    <w:rsid w:val="00DE2964"/>
    <w:rsid w:val="00DE2D54"/>
    <w:rsid w:val="00DF7BA5"/>
    <w:rsid w:val="00E02BB0"/>
    <w:rsid w:val="00E03CE6"/>
    <w:rsid w:val="00E04328"/>
    <w:rsid w:val="00E13716"/>
    <w:rsid w:val="00E15085"/>
    <w:rsid w:val="00E20C6F"/>
    <w:rsid w:val="00E22013"/>
    <w:rsid w:val="00E22F81"/>
    <w:rsid w:val="00E266FF"/>
    <w:rsid w:val="00E27661"/>
    <w:rsid w:val="00E30E46"/>
    <w:rsid w:val="00E32740"/>
    <w:rsid w:val="00E43E51"/>
    <w:rsid w:val="00E47DB3"/>
    <w:rsid w:val="00E509A9"/>
    <w:rsid w:val="00E51140"/>
    <w:rsid w:val="00E51F8B"/>
    <w:rsid w:val="00E5242A"/>
    <w:rsid w:val="00E53398"/>
    <w:rsid w:val="00E605EE"/>
    <w:rsid w:val="00E60798"/>
    <w:rsid w:val="00E61325"/>
    <w:rsid w:val="00E657D6"/>
    <w:rsid w:val="00E66AE2"/>
    <w:rsid w:val="00E70ED9"/>
    <w:rsid w:val="00E74DA4"/>
    <w:rsid w:val="00E758C0"/>
    <w:rsid w:val="00E81B89"/>
    <w:rsid w:val="00E839D0"/>
    <w:rsid w:val="00E85899"/>
    <w:rsid w:val="00E91432"/>
    <w:rsid w:val="00E91B5A"/>
    <w:rsid w:val="00E946E2"/>
    <w:rsid w:val="00EB1056"/>
    <w:rsid w:val="00EB2A1B"/>
    <w:rsid w:val="00EB5E27"/>
    <w:rsid w:val="00EC13E4"/>
    <w:rsid w:val="00ED5EC3"/>
    <w:rsid w:val="00ED6E45"/>
    <w:rsid w:val="00ED7210"/>
    <w:rsid w:val="00EE2CAF"/>
    <w:rsid w:val="00EE43E4"/>
    <w:rsid w:val="00EF634C"/>
    <w:rsid w:val="00F001EA"/>
    <w:rsid w:val="00F056C3"/>
    <w:rsid w:val="00F05D31"/>
    <w:rsid w:val="00F1577A"/>
    <w:rsid w:val="00F16B90"/>
    <w:rsid w:val="00F179CE"/>
    <w:rsid w:val="00F25120"/>
    <w:rsid w:val="00F34F19"/>
    <w:rsid w:val="00F34FF7"/>
    <w:rsid w:val="00F44A21"/>
    <w:rsid w:val="00F52648"/>
    <w:rsid w:val="00F565DA"/>
    <w:rsid w:val="00F56AF7"/>
    <w:rsid w:val="00F56D27"/>
    <w:rsid w:val="00F575F0"/>
    <w:rsid w:val="00F6664C"/>
    <w:rsid w:val="00F72B84"/>
    <w:rsid w:val="00F750E7"/>
    <w:rsid w:val="00F755AE"/>
    <w:rsid w:val="00F76D35"/>
    <w:rsid w:val="00F80AF1"/>
    <w:rsid w:val="00F8298C"/>
    <w:rsid w:val="00F86202"/>
    <w:rsid w:val="00F90245"/>
    <w:rsid w:val="00F920D9"/>
    <w:rsid w:val="00F94781"/>
    <w:rsid w:val="00F95825"/>
    <w:rsid w:val="00FA12A7"/>
    <w:rsid w:val="00FA5388"/>
    <w:rsid w:val="00FA6EFC"/>
    <w:rsid w:val="00FB08E3"/>
    <w:rsid w:val="00FB27A8"/>
    <w:rsid w:val="00FB2FF7"/>
    <w:rsid w:val="00FB693E"/>
    <w:rsid w:val="00FB6BF3"/>
    <w:rsid w:val="00FB70D3"/>
    <w:rsid w:val="00FC7772"/>
    <w:rsid w:val="00FD2503"/>
    <w:rsid w:val="00FD397B"/>
    <w:rsid w:val="00FD4B01"/>
    <w:rsid w:val="00FD52F2"/>
    <w:rsid w:val="00FD5A77"/>
    <w:rsid w:val="00FD7CDC"/>
    <w:rsid w:val="00FE130E"/>
    <w:rsid w:val="00FE1579"/>
    <w:rsid w:val="00FE58E0"/>
    <w:rsid w:val="00FE74D0"/>
    <w:rsid w:val="00FF1DCF"/>
    <w:rsid w:val="00FF679E"/>
    <w:rsid w:val="00FF7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fill="f" fillcolor="white" stroke="f">
      <v:fill color="white" on="f"/>
      <v:stroke on="f"/>
    </o:shapedefaults>
    <o:shapelayout v:ext="edit">
      <o:idmap v:ext="edit" data="1"/>
    </o:shapelayout>
  </w:shapeDefaults>
  <w:decimalSymbol w:val="."/>
  <w:listSeparator w:val=","/>
  <w14:docId w14:val="3502A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7" w:qFormat="1"/>
    <w:lsdException w:name="annotation text" w:uiPriority="0"/>
    <w:lsdException w:name="header" w:locked="0" w:qFormat="1"/>
    <w:lsdException w:name="footer" w:locked="0" w:qFormat="1"/>
    <w:lsdException w:name="caption" w:locked="0" w:uiPriority="3" w:qFormat="1"/>
    <w:lsdException w:name="table of figures" w:locked="0"/>
    <w:lsdException w:name="footnote reference" w:locked="0" w:uiPriority="8"/>
    <w:lsdException w:name="annotation reference" w:uiPriority="0"/>
    <w:lsdException w:name="Title" w:semiHidden="0" w:uiPriority="10" w:unhideWhenUsed="0" w:qFormat="1"/>
    <w:lsdException w:name="Default Paragraph Font" w:locked="0" w:uiPriority="1"/>
    <w:lsdException w:name="Subtitle" w:uiPriority="11" w:unhideWhenUsed="0"/>
    <w:lsdException w:name="Date"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HTML Preformatted" w:uiPriority="0"/>
    <w:lsdException w:name="Normal Table" w:locked="0"/>
    <w:lsdException w:name="No List" w:locked="0"/>
    <w:lsdException w:name="Table Grid"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386D01"/>
    <w:pPr>
      <w:keepNext/>
      <w:keepLines/>
      <w:numPr>
        <w:numId w:val="41"/>
      </w:numPr>
      <w:spacing w:after="120" w:line="380" w:lineRule="atLeast"/>
      <w:outlineLvl w:val="0"/>
    </w:pPr>
    <w:rPr>
      <w:rFonts w:eastAsiaTheme="majorEastAsia" w:cstheme="majorBidi"/>
      <w:b/>
      <w:bCs/>
      <w:color w:val="0096D7" w:themeColor="accent1"/>
      <w:sz w:val="36"/>
      <w:szCs w:val="44"/>
    </w:rPr>
  </w:style>
  <w:style w:type="paragraph" w:styleId="Heading2">
    <w:name w:val="heading 2"/>
    <w:next w:val="Normal"/>
    <w:link w:val="Heading2Char"/>
    <w:autoRedefine/>
    <w:uiPriority w:val="1"/>
    <w:qFormat/>
    <w:rsid w:val="00480682"/>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86D01"/>
    <w:rPr>
      <w:rFonts w:eastAsiaTheme="majorEastAsia" w:cstheme="majorBidi"/>
      <w:b/>
      <w:bCs/>
      <w:color w:val="0096D7" w:themeColor="accent1"/>
      <w:sz w:val="36"/>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480682"/>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4C2B9B"/>
    <w:pPr>
      <w:numPr>
        <w:numId w:val="59"/>
      </w:numPr>
      <w:spacing w:before="120" w:after="120" w:line="240" w:lineRule="auto"/>
    </w:pPr>
    <w:rPr>
      <w:rFonts w:eastAsia="Times New Roman" w:cs="Times New Roman"/>
    </w:r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styleId="BodyTextIndent2">
    <w:name w:val="Body Text Indent 2"/>
    <w:basedOn w:val="Normal"/>
    <w:link w:val="BodyTextIndent2Char"/>
    <w:uiPriority w:val="99"/>
    <w:unhideWhenUsed/>
    <w:locked/>
    <w:rsid w:val="008C7E2B"/>
    <w:pPr>
      <w:widowControl w:val="0"/>
      <w:autoSpaceDE w:val="0"/>
      <w:autoSpaceDN w:val="0"/>
      <w:adjustRightInd w:val="0"/>
      <w:spacing w:after="120" w:line="480" w:lineRule="auto"/>
      <w:ind w:left="360"/>
    </w:pPr>
    <w:rPr>
      <w:rFonts w:ascii="Courier" w:eastAsia="Times New Roman" w:hAnsi="Courier" w:cs="Times New Roman"/>
      <w:sz w:val="24"/>
      <w:szCs w:val="24"/>
    </w:rPr>
  </w:style>
  <w:style w:type="character" w:customStyle="1" w:styleId="BodyTextIndent2Char">
    <w:name w:val="Body Text Indent 2 Char"/>
    <w:basedOn w:val="DefaultParagraphFont"/>
    <w:link w:val="BodyTextIndent2"/>
    <w:uiPriority w:val="99"/>
    <w:rsid w:val="008C7E2B"/>
    <w:rPr>
      <w:rFonts w:ascii="Courier" w:eastAsia="Times New Roman" w:hAnsi="Courier" w:cs="Times New Roman"/>
      <w:sz w:val="24"/>
      <w:szCs w:val="24"/>
    </w:rPr>
  </w:style>
  <w:style w:type="paragraph" w:styleId="BodyTextIndent">
    <w:name w:val="Body Text Indent"/>
    <w:basedOn w:val="Normal"/>
    <w:link w:val="BodyTextIndentChar"/>
    <w:uiPriority w:val="99"/>
    <w:semiHidden/>
    <w:unhideWhenUsed/>
    <w:locked/>
    <w:rsid w:val="001A3399"/>
    <w:pPr>
      <w:spacing w:after="120"/>
      <w:ind w:left="360"/>
    </w:pPr>
  </w:style>
  <w:style w:type="character" w:customStyle="1" w:styleId="BodyTextIndentChar">
    <w:name w:val="Body Text Indent Char"/>
    <w:basedOn w:val="DefaultParagraphFont"/>
    <w:link w:val="BodyTextIndent"/>
    <w:uiPriority w:val="99"/>
    <w:semiHidden/>
    <w:rsid w:val="001A3399"/>
  </w:style>
  <w:style w:type="character" w:styleId="CommentReference">
    <w:name w:val="annotation reference"/>
    <w:basedOn w:val="DefaultParagraphFont"/>
    <w:semiHidden/>
    <w:unhideWhenUsed/>
    <w:locked/>
    <w:rsid w:val="001128F2"/>
    <w:rPr>
      <w:sz w:val="16"/>
      <w:szCs w:val="16"/>
    </w:rPr>
  </w:style>
  <w:style w:type="paragraph" w:styleId="CommentText">
    <w:name w:val="annotation text"/>
    <w:basedOn w:val="Normal"/>
    <w:link w:val="CommentTextChar"/>
    <w:semiHidden/>
    <w:unhideWhenUsed/>
    <w:locked/>
    <w:rsid w:val="001128F2"/>
    <w:pPr>
      <w:spacing w:line="240" w:lineRule="auto"/>
    </w:pPr>
    <w:rPr>
      <w:sz w:val="20"/>
      <w:szCs w:val="20"/>
    </w:rPr>
  </w:style>
  <w:style w:type="character" w:customStyle="1" w:styleId="CommentTextChar">
    <w:name w:val="Comment Text Char"/>
    <w:basedOn w:val="DefaultParagraphFont"/>
    <w:link w:val="CommentText"/>
    <w:uiPriority w:val="99"/>
    <w:semiHidden/>
    <w:rsid w:val="001128F2"/>
    <w:rPr>
      <w:sz w:val="20"/>
      <w:szCs w:val="20"/>
    </w:rPr>
  </w:style>
  <w:style w:type="paragraph" w:styleId="CommentSubject">
    <w:name w:val="annotation subject"/>
    <w:basedOn w:val="CommentText"/>
    <w:next w:val="CommentText"/>
    <w:link w:val="CommentSubjectChar"/>
    <w:uiPriority w:val="99"/>
    <w:semiHidden/>
    <w:unhideWhenUsed/>
    <w:locked/>
    <w:rsid w:val="001128F2"/>
    <w:rPr>
      <w:b/>
      <w:bCs/>
    </w:rPr>
  </w:style>
  <w:style w:type="character" w:customStyle="1" w:styleId="CommentSubjectChar">
    <w:name w:val="Comment Subject Char"/>
    <w:basedOn w:val="CommentTextChar"/>
    <w:link w:val="CommentSubject"/>
    <w:uiPriority w:val="99"/>
    <w:semiHidden/>
    <w:rsid w:val="001128F2"/>
    <w:rPr>
      <w:b/>
      <w:bCs/>
      <w:sz w:val="20"/>
      <w:szCs w:val="20"/>
    </w:rPr>
  </w:style>
  <w:style w:type="paragraph" w:styleId="Revision">
    <w:name w:val="Revision"/>
    <w:hidden/>
    <w:uiPriority w:val="99"/>
    <w:semiHidden/>
    <w:rsid w:val="001128F2"/>
    <w:pPr>
      <w:spacing w:after="0"/>
    </w:pPr>
  </w:style>
  <w:style w:type="paragraph" w:styleId="HTMLPreformatted">
    <w:name w:val="HTML Preformatted"/>
    <w:basedOn w:val="Normal"/>
    <w:link w:val="HTMLPreformattedChar"/>
    <w:locked/>
    <w:rsid w:val="00650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6505FD"/>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locked/>
    <w:rsid w:val="00FF679E"/>
    <w:rPr>
      <w:color w:val="5D9732" w:themeColor="followedHyperlink"/>
      <w:u w:val="single"/>
    </w:rPr>
  </w:style>
  <w:style w:type="table" w:customStyle="1" w:styleId="TableGrid1">
    <w:name w:val="Table Grid1"/>
    <w:basedOn w:val="TableNormal"/>
    <w:next w:val="TableGrid"/>
    <w:uiPriority w:val="59"/>
    <w:rsid w:val="002B510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7" w:qFormat="1"/>
    <w:lsdException w:name="annotation text" w:uiPriority="0"/>
    <w:lsdException w:name="header" w:locked="0" w:qFormat="1"/>
    <w:lsdException w:name="footer" w:locked="0" w:qFormat="1"/>
    <w:lsdException w:name="caption" w:locked="0" w:uiPriority="3" w:qFormat="1"/>
    <w:lsdException w:name="table of figures" w:locked="0"/>
    <w:lsdException w:name="footnote reference" w:locked="0" w:uiPriority="8"/>
    <w:lsdException w:name="annotation reference" w:uiPriority="0"/>
    <w:lsdException w:name="Title" w:semiHidden="0" w:uiPriority="10" w:unhideWhenUsed="0" w:qFormat="1"/>
    <w:lsdException w:name="Default Paragraph Font" w:locked="0" w:uiPriority="1"/>
    <w:lsdException w:name="Subtitle" w:uiPriority="11" w:unhideWhenUsed="0"/>
    <w:lsdException w:name="Date"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HTML Preformatted" w:uiPriority="0"/>
    <w:lsdException w:name="Normal Table" w:locked="0"/>
    <w:lsdException w:name="No List" w:locked="0"/>
    <w:lsdException w:name="Table Grid"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386D01"/>
    <w:pPr>
      <w:keepNext/>
      <w:keepLines/>
      <w:numPr>
        <w:numId w:val="41"/>
      </w:numPr>
      <w:spacing w:after="120" w:line="380" w:lineRule="atLeast"/>
      <w:outlineLvl w:val="0"/>
    </w:pPr>
    <w:rPr>
      <w:rFonts w:eastAsiaTheme="majorEastAsia" w:cstheme="majorBidi"/>
      <w:b/>
      <w:bCs/>
      <w:color w:val="0096D7" w:themeColor="accent1"/>
      <w:sz w:val="36"/>
      <w:szCs w:val="44"/>
    </w:rPr>
  </w:style>
  <w:style w:type="paragraph" w:styleId="Heading2">
    <w:name w:val="heading 2"/>
    <w:next w:val="Normal"/>
    <w:link w:val="Heading2Char"/>
    <w:autoRedefine/>
    <w:uiPriority w:val="1"/>
    <w:qFormat/>
    <w:rsid w:val="00480682"/>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86D01"/>
    <w:rPr>
      <w:rFonts w:eastAsiaTheme="majorEastAsia" w:cstheme="majorBidi"/>
      <w:b/>
      <w:bCs/>
      <w:color w:val="0096D7" w:themeColor="accent1"/>
      <w:sz w:val="36"/>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480682"/>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4C2B9B"/>
    <w:pPr>
      <w:numPr>
        <w:numId w:val="59"/>
      </w:numPr>
      <w:spacing w:before="120" w:after="120" w:line="240" w:lineRule="auto"/>
    </w:pPr>
    <w:rPr>
      <w:rFonts w:eastAsia="Times New Roman" w:cs="Times New Roman"/>
    </w:r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styleId="BodyTextIndent2">
    <w:name w:val="Body Text Indent 2"/>
    <w:basedOn w:val="Normal"/>
    <w:link w:val="BodyTextIndent2Char"/>
    <w:uiPriority w:val="99"/>
    <w:unhideWhenUsed/>
    <w:locked/>
    <w:rsid w:val="008C7E2B"/>
    <w:pPr>
      <w:widowControl w:val="0"/>
      <w:autoSpaceDE w:val="0"/>
      <w:autoSpaceDN w:val="0"/>
      <w:adjustRightInd w:val="0"/>
      <w:spacing w:after="120" w:line="480" w:lineRule="auto"/>
      <w:ind w:left="360"/>
    </w:pPr>
    <w:rPr>
      <w:rFonts w:ascii="Courier" w:eastAsia="Times New Roman" w:hAnsi="Courier" w:cs="Times New Roman"/>
      <w:sz w:val="24"/>
      <w:szCs w:val="24"/>
    </w:rPr>
  </w:style>
  <w:style w:type="character" w:customStyle="1" w:styleId="BodyTextIndent2Char">
    <w:name w:val="Body Text Indent 2 Char"/>
    <w:basedOn w:val="DefaultParagraphFont"/>
    <w:link w:val="BodyTextIndent2"/>
    <w:uiPriority w:val="99"/>
    <w:rsid w:val="008C7E2B"/>
    <w:rPr>
      <w:rFonts w:ascii="Courier" w:eastAsia="Times New Roman" w:hAnsi="Courier" w:cs="Times New Roman"/>
      <w:sz w:val="24"/>
      <w:szCs w:val="24"/>
    </w:rPr>
  </w:style>
  <w:style w:type="paragraph" w:styleId="BodyTextIndent">
    <w:name w:val="Body Text Indent"/>
    <w:basedOn w:val="Normal"/>
    <w:link w:val="BodyTextIndentChar"/>
    <w:uiPriority w:val="99"/>
    <w:semiHidden/>
    <w:unhideWhenUsed/>
    <w:locked/>
    <w:rsid w:val="001A3399"/>
    <w:pPr>
      <w:spacing w:after="120"/>
      <w:ind w:left="360"/>
    </w:pPr>
  </w:style>
  <w:style w:type="character" w:customStyle="1" w:styleId="BodyTextIndentChar">
    <w:name w:val="Body Text Indent Char"/>
    <w:basedOn w:val="DefaultParagraphFont"/>
    <w:link w:val="BodyTextIndent"/>
    <w:uiPriority w:val="99"/>
    <w:semiHidden/>
    <w:rsid w:val="001A3399"/>
  </w:style>
  <w:style w:type="character" w:styleId="CommentReference">
    <w:name w:val="annotation reference"/>
    <w:basedOn w:val="DefaultParagraphFont"/>
    <w:semiHidden/>
    <w:unhideWhenUsed/>
    <w:locked/>
    <w:rsid w:val="001128F2"/>
    <w:rPr>
      <w:sz w:val="16"/>
      <w:szCs w:val="16"/>
    </w:rPr>
  </w:style>
  <w:style w:type="paragraph" w:styleId="CommentText">
    <w:name w:val="annotation text"/>
    <w:basedOn w:val="Normal"/>
    <w:link w:val="CommentTextChar"/>
    <w:semiHidden/>
    <w:unhideWhenUsed/>
    <w:locked/>
    <w:rsid w:val="001128F2"/>
    <w:pPr>
      <w:spacing w:line="240" w:lineRule="auto"/>
    </w:pPr>
    <w:rPr>
      <w:sz w:val="20"/>
      <w:szCs w:val="20"/>
    </w:rPr>
  </w:style>
  <w:style w:type="character" w:customStyle="1" w:styleId="CommentTextChar">
    <w:name w:val="Comment Text Char"/>
    <w:basedOn w:val="DefaultParagraphFont"/>
    <w:link w:val="CommentText"/>
    <w:uiPriority w:val="99"/>
    <w:semiHidden/>
    <w:rsid w:val="001128F2"/>
    <w:rPr>
      <w:sz w:val="20"/>
      <w:szCs w:val="20"/>
    </w:rPr>
  </w:style>
  <w:style w:type="paragraph" w:styleId="CommentSubject">
    <w:name w:val="annotation subject"/>
    <w:basedOn w:val="CommentText"/>
    <w:next w:val="CommentText"/>
    <w:link w:val="CommentSubjectChar"/>
    <w:uiPriority w:val="99"/>
    <w:semiHidden/>
    <w:unhideWhenUsed/>
    <w:locked/>
    <w:rsid w:val="001128F2"/>
    <w:rPr>
      <w:b/>
      <w:bCs/>
    </w:rPr>
  </w:style>
  <w:style w:type="character" w:customStyle="1" w:styleId="CommentSubjectChar">
    <w:name w:val="Comment Subject Char"/>
    <w:basedOn w:val="CommentTextChar"/>
    <w:link w:val="CommentSubject"/>
    <w:uiPriority w:val="99"/>
    <w:semiHidden/>
    <w:rsid w:val="001128F2"/>
    <w:rPr>
      <w:b/>
      <w:bCs/>
      <w:sz w:val="20"/>
      <w:szCs w:val="20"/>
    </w:rPr>
  </w:style>
  <w:style w:type="paragraph" w:styleId="Revision">
    <w:name w:val="Revision"/>
    <w:hidden/>
    <w:uiPriority w:val="99"/>
    <w:semiHidden/>
    <w:rsid w:val="001128F2"/>
    <w:pPr>
      <w:spacing w:after="0"/>
    </w:pPr>
  </w:style>
  <w:style w:type="paragraph" w:styleId="HTMLPreformatted">
    <w:name w:val="HTML Preformatted"/>
    <w:basedOn w:val="Normal"/>
    <w:link w:val="HTMLPreformattedChar"/>
    <w:locked/>
    <w:rsid w:val="00650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6505FD"/>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locked/>
    <w:rsid w:val="00FF679E"/>
    <w:rPr>
      <w:color w:val="5D9732" w:themeColor="followedHyperlink"/>
      <w:u w:val="single"/>
    </w:rPr>
  </w:style>
  <w:style w:type="table" w:customStyle="1" w:styleId="TableGrid1">
    <w:name w:val="Table Grid1"/>
    <w:basedOn w:val="TableNormal"/>
    <w:next w:val="TableGrid"/>
    <w:uiPriority w:val="59"/>
    <w:rsid w:val="002B510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31165728">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65243745">
      <w:bodyDiv w:val="1"/>
      <w:marLeft w:val="0"/>
      <w:marRight w:val="0"/>
      <w:marTop w:val="0"/>
      <w:marBottom w:val="0"/>
      <w:divBdr>
        <w:top w:val="none" w:sz="0" w:space="0" w:color="auto"/>
        <w:left w:val="none" w:sz="0" w:space="0" w:color="auto"/>
        <w:bottom w:val="none" w:sz="0" w:space="0" w:color="auto"/>
        <w:right w:val="none" w:sz="0" w:space="0" w:color="auto"/>
      </w:divBdr>
    </w:div>
    <w:div w:id="1184902424">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254389027">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arfc.github.io/papers/bae_benefits_2017.pdf" TargetMode="External"/><Relationship Id="rId26"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package" Target="embeddings/Microsoft_Excel_Worksheet1.xlsx"/><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curie.ornl.gov/system/files/documents/not%20yet%20assigned/2004-acceptance-priority-ranking.pdf"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energy.gov/sites/prod/files/gcprod/documents/New_Standard_Contract.pdf" TargetMode="External"/><Relationship Id="rId20" Type="http://schemas.openxmlformats.org/officeDocument/2006/relationships/image" Target="media/image3.emf"/><Relationship Id="rId29" Type="http://schemas.openxmlformats.org/officeDocument/2006/relationships/hyperlink" Target="https://www.eia.gov/nuclear/spent_fue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4.xml"/><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eader" Target="header3.xml"/><Relationship Id="rId28" Type="http://schemas.openxmlformats.org/officeDocument/2006/relationships/package" Target="embeddings/Microsoft_Excel_Worksheet2.xlsx"/><Relationship Id="rId10" Type="http://schemas.openxmlformats.org/officeDocument/2006/relationships/image" Target="media/image1.png"/><Relationship Id="rId19" Type="http://schemas.openxmlformats.org/officeDocument/2006/relationships/hyperlink" Target="https://www.energy.gov/sites/prod/files/2016/10/f33/Shutdown_Sites_Report_Sept2016_web.pdf" TargetMode="Externa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2.xml"/><Relationship Id="rId27" Type="http://schemas.openxmlformats.org/officeDocument/2006/relationships/image" Target="media/image4.emf"/><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48D"/>
    <w:rsid w:val="000C422B"/>
    <w:rsid w:val="000E5D32"/>
    <w:rsid w:val="001E54B7"/>
    <w:rsid w:val="00267B03"/>
    <w:rsid w:val="003240FE"/>
    <w:rsid w:val="00347FDC"/>
    <w:rsid w:val="003D71C4"/>
    <w:rsid w:val="005327DD"/>
    <w:rsid w:val="00541193"/>
    <w:rsid w:val="005A1579"/>
    <w:rsid w:val="00683C94"/>
    <w:rsid w:val="00827F79"/>
    <w:rsid w:val="008F5DF3"/>
    <w:rsid w:val="00922E26"/>
    <w:rsid w:val="0093336D"/>
    <w:rsid w:val="0097548D"/>
    <w:rsid w:val="0099295B"/>
    <w:rsid w:val="0099512E"/>
    <w:rsid w:val="009E75B6"/>
    <w:rsid w:val="00AA7097"/>
    <w:rsid w:val="00BD1F43"/>
    <w:rsid w:val="00C62C4C"/>
    <w:rsid w:val="00C9602E"/>
    <w:rsid w:val="00CA693E"/>
    <w:rsid w:val="00DF782D"/>
    <w:rsid w:val="00E6181D"/>
    <w:rsid w:val="00F46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48D"/>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48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8F13A3-A099-41C3-900F-495886E47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4937</Words>
  <Characters>28147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Supporting Statement for Nuclear Fuel Data Survey (Form GC-859)</vt:lpstr>
    </vt:vector>
  </TitlesOfParts>
  <Company/>
  <LinksUpToDate>false</LinksUpToDate>
  <CharactersWithSpaces>33018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for Nuclear Fuel Data Survey (Form GC-859)</dc:title>
  <dc:subject>Improving the Quality and Scope of EIA Data</dc:subject>
  <dc:creator>Stroud, Lawrence</dc:creator>
  <cp:keywords/>
  <dc:description/>
  <cp:lastModifiedBy>SYSTEM</cp:lastModifiedBy>
  <cp:revision>2</cp:revision>
  <cp:lastPrinted>2018-03-26T16:34:00Z</cp:lastPrinted>
  <dcterms:created xsi:type="dcterms:W3CDTF">2018-03-26T17:09:00Z</dcterms:created>
  <dcterms:modified xsi:type="dcterms:W3CDTF">2018-03-26T17:09:00Z</dcterms:modified>
</cp:coreProperties>
</file>