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FE" w:rsidRDefault="00AB77A8">
      <w:pPr>
        <w:spacing w:before="8" w:after="674"/>
        <w:ind w:left="2448" w:right="2544"/>
        <w:textAlignment w:val="baseline"/>
      </w:pPr>
      <w:bookmarkStart w:id="0" w:name="_GoBack"/>
      <w:bookmarkEnd w:id="0"/>
      <w:r>
        <w:rPr>
          <w:noProof/>
        </w:rPr>
        <w:drawing>
          <wp:inline distT="0" distB="0" distL="0" distR="0" wp14:anchorId="1AA57683" wp14:editId="58C03876">
            <wp:extent cx="2316480" cy="22891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2316480" cy="2289175"/>
                    </a:xfrm>
                    <a:prstGeom prst="rect">
                      <a:avLst/>
                    </a:prstGeom>
                  </pic:spPr>
                </pic:pic>
              </a:graphicData>
            </a:graphic>
          </wp:inline>
        </w:drawing>
      </w:r>
    </w:p>
    <w:p w:rsidR="007C25FE" w:rsidRDefault="00AB77A8">
      <w:pPr>
        <w:spacing w:before="3" w:line="274" w:lineRule="exact"/>
        <w:jc w:val="center"/>
        <w:textAlignment w:val="baseline"/>
        <w:rPr>
          <w:rFonts w:eastAsia="Times New Roman"/>
          <w:b/>
          <w:color w:val="1034A5"/>
          <w:sz w:val="24"/>
        </w:rPr>
      </w:pPr>
      <w:r>
        <w:rPr>
          <w:rFonts w:eastAsia="Times New Roman"/>
          <w:b/>
          <w:color w:val="1034A5"/>
          <w:sz w:val="24"/>
        </w:rPr>
        <w:t>U.S. Department of Housing and Urban Development</w:t>
      </w:r>
    </w:p>
    <w:p w:rsidR="007C25FE" w:rsidRDefault="00AB77A8">
      <w:pPr>
        <w:spacing w:before="340" w:line="274" w:lineRule="exact"/>
        <w:jc w:val="center"/>
        <w:textAlignment w:val="baseline"/>
        <w:rPr>
          <w:rFonts w:eastAsia="Times New Roman"/>
          <w:color w:val="000000"/>
          <w:sz w:val="24"/>
        </w:rPr>
      </w:pPr>
      <w:r>
        <w:rPr>
          <w:rFonts w:eastAsia="Times New Roman"/>
          <w:color w:val="000000"/>
          <w:sz w:val="24"/>
        </w:rPr>
        <w:t>Housing</w:t>
      </w:r>
    </w:p>
    <w:p w:rsidR="007C25FE" w:rsidRDefault="00AB77A8">
      <w:pPr>
        <w:spacing w:before="336" w:line="274" w:lineRule="exact"/>
        <w:jc w:val="center"/>
        <w:textAlignment w:val="baseline"/>
        <w:rPr>
          <w:rFonts w:eastAsia="Times New Roman"/>
          <w:color w:val="000000"/>
          <w:spacing w:val="-1"/>
          <w:sz w:val="24"/>
        </w:rPr>
      </w:pPr>
      <w:r>
        <w:rPr>
          <w:rFonts w:eastAsia="Times New Roman"/>
          <w:color w:val="000000"/>
          <w:spacing w:val="-1"/>
          <w:sz w:val="24"/>
        </w:rPr>
        <w:t>Notice of Funding Availability (NOFA) for the Department's Fiscal Years 2018 and 2019</w:t>
      </w:r>
    </w:p>
    <w:p w:rsidR="007C25FE" w:rsidRDefault="00AB77A8">
      <w:pPr>
        <w:spacing w:before="4" w:line="274" w:lineRule="exact"/>
        <w:jc w:val="center"/>
        <w:textAlignment w:val="baseline"/>
        <w:rPr>
          <w:rFonts w:eastAsia="Times New Roman"/>
          <w:color w:val="000000"/>
          <w:sz w:val="24"/>
        </w:rPr>
      </w:pPr>
      <w:r>
        <w:rPr>
          <w:rFonts w:eastAsia="Times New Roman"/>
          <w:color w:val="000000"/>
          <w:sz w:val="24"/>
        </w:rPr>
        <w:t>Comprehensive Housing Counseling Grant Program</w:t>
      </w:r>
    </w:p>
    <w:p w:rsidR="007C25FE" w:rsidRDefault="00AB77A8">
      <w:pPr>
        <w:spacing w:before="29" w:after="1237" w:line="274" w:lineRule="exact"/>
        <w:jc w:val="center"/>
        <w:textAlignment w:val="baseline"/>
        <w:rPr>
          <w:rFonts w:eastAsia="Times New Roman"/>
          <w:color w:val="000000"/>
          <w:spacing w:val="-1"/>
          <w:sz w:val="24"/>
        </w:rPr>
      </w:pPr>
      <w:r>
        <w:rPr>
          <w:rFonts w:eastAsia="Times New Roman"/>
          <w:color w:val="000000"/>
          <w:spacing w:val="-1"/>
          <w:sz w:val="24"/>
        </w:rPr>
        <w:t>FR-6200-N-33</w:t>
      </w:r>
    </w:p>
    <w:p w:rsidR="007C25FE" w:rsidRDefault="00AB77A8">
      <w:pPr>
        <w:tabs>
          <w:tab w:val="left" w:pos="5976"/>
        </w:tabs>
        <w:spacing w:before="32" w:line="274" w:lineRule="exact"/>
        <w:ind w:left="144"/>
        <w:textAlignment w:val="baseline"/>
        <w:rPr>
          <w:rFonts w:eastAsia="Times New Roman"/>
          <w:color w:val="000000"/>
          <w:spacing w:val="-3"/>
          <w:sz w:val="24"/>
        </w:rPr>
      </w:pPr>
      <w:r>
        <w:rPr>
          <w:noProof/>
        </w:rPr>
        <mc:AlternateContent>
          <mc:Choice Requires="wps">
            <w:drawing>
              <wp:anchor distT="0" distB="0" distL="114300" distR="114300" simplePos="0" relativeHeight="251637760" behindDoc="0" locked="0" layoutInCell="1" allowOverlap="1" wp14:anchorId="6142DB89" wp14:editId="5CECFA59">
                <wp:simplePos x="0" y="0"/>
                <wp:positionH relativeFrom="page">
                  <wp:posOffset>1225550</wp:posOffset>
                </wp:positionH>
                <wp:positionV relativeFrom="page">
                  <wp:posOffset>8296910</wp:posOffset>
                </wp:positionV>
                <wp:extent cx="3423285" cy="0"/>
                <wp:effectExtent l="0" t="0" r="0" b="0"/>
                <wp:wrapNone/>
                <wp:docPr id="8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DFDE0" id="Line 8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5pt,653.3pt" to="366.05pt,6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AHA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38784" behindDoc="0" locked="0" layoutInCell="1" allowOverlap="1" wp14:anchorId="0A4D1189" wp14:editId="49A66925">
                <wp:simplePos x="0" y="0"/>
                <wp:positionH relativeFrom="page">
                  <wp:posOffset>4907280</wp:posOffset>
                </wp:positionH>
                <wp:positionV relativeFrom="page">
                  <wp:posOffset>8296910</wp:posOffset>
                </wp:positionV>
                <wp:extent cx="1582420" cy="0"/>
                <wp:effectExtent l="0" t="0" r="0" b="0"/>
                <wp:wrapNone/>
                <wp:docPr id="8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02A18" id="Line 8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4pt,653.3pt" to="511pt,6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tBHQIAAEMEAAAOAAAAZHJzL2Uyb0RvYy54bWysU8GO2jAQvVfqP1i+QxKa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" strokeweight=".7pt">
                <w10:wrap anchorx="page" anchory="page"/>
              </v:line>
            </w:pict>
          </mc:Fallback>
        </mc:AlternateContent>
      </w:r>
      <w:r>
        <w:rPr>
          <w:rFonts w:eastAsia="Times New Roman"/>
          <w:color w:val="000000"/>
          <w:spacing w:val="-3"/>
          <w:sz w:val="24"/>
        </w:rPr>
        <w:t>Signature</w:t>
      </w:r>
      <w:r>
        <w:rPr>
          <w:rFonts w:eastAsia="Times New Roman"/>
          <w:color w:val="000000"/>
          <w:spacing w:val="-3"/>
          <w:sz w:val="24"/>
        </w:rPr>
        <w:tab/>
        <w:t>Date</w:t>
      </w:r>
    </w:p>
    <w:p w:rsidR="007C25FE" w:rsidRDefault="007C25FE">
      <w:pPr>
        <w:sectPr w:rsidR="007C25FE">
          <w:pgSz w:w="12240" w:h="15840"/>
          <w:pgMar w:top="5440" w:right="1829" w:bottom="2064" w:left="1771" w:header="720" w:footer="720" w:gutter="0"/>
          <w:cols w:space="720"/>
        </w:sectPr>
      </w:pPr>
    </w:p>
    <w:p w:rsidR="007C25FE" w:rsidRDefault="00AB77A8">
      <w:pPr>
        <w:spacing w:line="294" w:lineRule="exact"/>
        <w:jc w:val="center"/>
        <w:textAlignment w:val="baseline"/>
        <w:rPr>
          <w:rFonts w:eastAsia="Times New Roman"/>
          <w:color w:val="000000"/>
          <w:spacing w:val="-1"/>
          <w:sz w:val="24"/>
        </w:rPr>
      </w:pPr>
      <w:r>
        <w:rPr>
          <w:rFonts w:eastAsia="Times New Roman"/>
          <w:color w:val="000000"/>
          <w:spacing w:val="-1"/>
          <w:sz w:val="24"/>
        </w:rPr>
        <w:lastRenderedPageBreak/>
        <w:t xml:space="preserve">Notice of Funding Availability (NOFA) for the Department's Fiscal Years 2018 and 2019 </w:t>
      </w:r>
      <w:r>
        <w:rPr>
          <w:rFonts w:eastAsia="Times New Roman"/>
          <w:color w:val="000000"/>
          <w:spacing w:val="-1"/>
          <w:sz w:val="24"/>
        </w:rPr>
        <w:br/>
        <w:t xml:space="preserve">Comprehensive Housing Counseling Grant Program </w:t>
      </w:r>
      <w:r>
        <w:rPr>
          <w:rFonts w:eastAsia="Times New Roman"/>
          <w:color w:val="000000"/>
          <w:spacing w:val="-1"/>
          <w:sz w:val="24"/>
        </w:rPr>
        <w:br/>
        <w:t xml:space="preserve">FR-6200-N-33 </w:t>
      </w:r>
      <w:r>
        <w:rPr>
          <w:rFonts w:eastAsia="Times New Roman"/>
          <w:color w:val="000000"/>
          <w:spacing w:val="-1"/>
          <w:sz w:val="24"/>
        </w:rPr>
        <w:br/>
        <w:t>TABLE OF CONTENTS</w:t>
      </w:r>
    </w:p>
    <w:p w:rsidR="007C25FE" w:rsidRDefault="00AB77A8">
      <w:pPr>
        <w:spacing w:before="268" w:line="275" w:lineRule="exact"/>
        <w:ind w:left="2016"/>
        <w:textAlignment w:val="baseline"/>
        <w:rPr>
          <w:rFonts w:eastAsia="Times New Roman"/>
          <w:color w:val="000000"/>
          <w:spacing w:val="1"/>
          <w:sz w:val="24"/>
        </w:rPr>
      </w:pPr>
      <w:r>
        <w:rPr>
          <w:rFonts w:eastAsia="Times New Roman"/>
          <w:color w:val="000000"/>
          <w:spacing w:val="1"/>
          <w:sz w:val="24"/>
        </w:rPr>
        <w:t>I.</w:t>
      </w:r>
      <w:r>
        <w:rPr>
          <w:rFonts w:eastAsia="Times New Roman"/>
          <w:color w:val="0000EE"/>
          <w:spacing w:val="1"/>
          <w:sz w:val="24"/>
          <w:u w:val="single"/>
        </w:rPr>
        <w:t xml:space="preserve"> Funding Opportunity Description.</w:t>
      </w:r>
      <w:r>
        <w:rPr>
          <w:rFonts w:eastAsia="Times New Roman"/>
          <w:color w:val="000000"/>
          <w:spacing w:val="1"/>
          <w:sz w:val="24"/>
          <w:u w:val="single"/>
        </w:rPr>
        <w:t xml:space="preserve"> </w:t>
      </w:r>
    </w:p>
    <w:p w:rsidR="007C25FE" w:rsidRDefault="00AB77A8">
      <w:pPr>
        <w:spacing w:before="3" w:line="275" w:lineRule="exact"/>
        <w:ind w:left="1800"/>
        <w:textAlignment w:val="baseline"/>
        <w:rPr>
          <w:rFonts w:eastAsia="Times New Roman"/>
          <w:color w:val="000000"/>
          <w:spacing w:val="1"/>
          <w:sz w:val="24"/>
        </w:rPr>
      </w:pPr>
      <w:r>
        <w:rPr>
          <w:rFonts w:eastAsia="Times New Roman"/>
          <w:color w:val="000000"/>
          <w:spacing w:val="1"/>
          <w:sz w:val="24"/>
        </w:rPr>
        <w:t>II.</w:t>
      </w:r>
      <w:r>
        <w:rPr>
          <w:rFonts w:eastAsia="Times New Roman"/>
          <w:color w:val="0000EE"/>
          <w:spacing w:val="1"/>
          <w:sz w:val="24"/>
          <w:u w:val="single"/>
        </w:rPr>
        <w:t xml:space="preserve"> Award Information.</w:t>
      </w:r>
      <w:r>
        <w:rPr>
          <w:rFonts w:eastAsia="Times New Roman"/>
          <w:color w:val="000000"/>
          <w:spacing w:val="1"/>
          <w:sz w:val="24"/>
          <w:u w:val="single"/>
        </w:rPr>
        <w:t xml:space="preserve"> </w:t>
      </w:r>
    </w:p>
    <w:p w:rsidR="007C25FE" w:rsidRDefault="00AB77A8">
      <w:pPr>
        <w:spacing w:line="274" w:lineRule="exact"/>
        <w:ind w:left="1800"/>
        <w:textAlignment w:val="baseline"/>
        <w:rPr>
          <w:rFonts w:eastAsia="Times New Roman"/>
          <w:color w:val="000000"/>
          <w:spacing w:val="1"/>
          <w:sz w:val="24"/>
        </w:rPr>
      </w:pPr>
      <w:r>
        <w:rPr>
          <w:rFonts w:eastAsia="Times New Roman"/>
          <w:color w:val="000000"/>
          <w:spacing w:val="1"/>
          <w:sz w:val="24"/>
        </w:rPr>
        <w:t>III.</w:t>
      </w:r>
      <w:r>
        <w:rPr>
          <w:rFonts w:eastAsia="Times New Roman"/>
          <w:color w:val="0000EE"/>
          <w:spacing w:val="1"/>
          <w:sz w:val="24"/>
          <w:u w:val="single"/>
        </w:rPr>
        <w:t xml:space="preserve"> Eligibility Information.</w:t>
      </w:r>
      <w:r>
        <w:rPr>
          <w:rFonts w:eastAsia="Times New Roman"/>
          <w:color w:val="000000"/>
          <w:spacing w:val="1"/>
          <w:sz w:val="24"/>
          <w:u w:val="single"/>
        </w:rPr>
        <w:t xml:space="preserve"> </w:t>
      </w:r>
    </w:p>
    <w:p w:rsidR="007C25FE" w:rsidRDefault="00AB77A8">
      <w:pPr>
        <w:numPr>
          <w:ilvl w:val="0"/>
          <w:numId w:val="1"/>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Eligible Applicants.</w:t>
      </w:r>
    </w:p>
    <w:p w:rsidR="007C25FE" w:rsidRDefault="00AB77A8">
      <w:pPr>
        <w:numPr>
          <w:ilvl w:val="0"/>
          <w:numId w:val="1"/>
        </w:numPr>
        <w:tabs>
          <w:tab w:val="clear" w:pos="288"/>
          <w:tab w:val="left" w:pos="2952"/>
        </w:tabs>
        <w:spacing w:line="274" w:lineRule="exact"/>
        <w:ind w:left="2952" w:hanging="288"/>
        <w:textAlignment w:val="baseline"/>
        <w:rPr>
          <w:rFonts w:eastAsia="Times New Roman"/>
          <w:color w:val="000000"/>
          <w:sz w:val="24"/>
        </w:rPr>
      </w:pPr>
      <w:r>
        <w:rPr>
          <w:rFonts w:eastAsia="Times New Roman"/>
          <w:color w:val="000000"/>
          <w:sz w:val="24"/>
        </w:rPr>
        <w:t>Cost Sharing or Matching.</w:t>
      </w:r>
    </w:p>
    <w:p w:rsidR="007C25FE" w:rsidRDefault="00AB77A8">
      <w:pPr>
        <w:numPr>
          <w:ilvl w:val="0"/>
          <w:numId w:val="1"/>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Threshold Requirements.</w:t>
      </w:r>
    </w:p>
    <w:p w:rsidR="007C25FE" w:rsidRDefault="00AB77A8">
      <w:pPr>
        <w:numPr>
          <w:ilvl w:val="0"/>
          <w:numId w:val="1"/>
        </w:numPr>
        <w:tabs>
          <w:tab w:val="clear" w:pos="288"/>
          <w:tab w:val="left" w:pos="2952"/>
        </w:tabs>
        <w:spacing w:before="2" w:line="275" w:lineRule="exact"/>
        <w:ind w:left="2952" w:right="576" w:hanging="288"/>
        <w:textAlignment w:val="baseline"/>
        <w:rPr>
          <w:rFonts w:eastAsia="Times New Roman"/>
          <w:color w:val="000000"/>
          <w:sz w:val="24"/>
        </w:rPr>
      </w:pPr>
      <w:r>
        <w:rPr>
          <w:rFonts w:eastAsia="Times New Roman"/>
          <w:color w:val="000000"/>
          <w:sz w:val="24"/>
        </w:rPr>
        <w:t>Statutory and Regulatory Requirements Affecting El igibility.</w:t>
      </w:r>
    </w:p>
    <w:p w:rsidR="007C25FE" w:rsidRDefault="00AB77A8">
      <w:pPr>
        <w:numPr>
          <w:ilvl w:val="0"/>
          <w:numId w:val="1"/>
        </w:numPr>
        <w:tabs>
          <w:tab w:val="clear" w:pos="288"/>
          <w:tab w:val="left" w:pos="2952"/>
        </w:tabs>
        <w:spacing w:line="274" w:lineRule="exact"/>
        <w:ind w:left="2952" w:hanging="288"/>
        <w:textAlignment w:val="baseline"/>
        <w:rPr>
          <w:rFonts w:eastAsia="Times New Roman"/>
          <w:color w:val="000000"/>
          <w:sz w:val="24"/>
        </w:rPr>
      </w:pPr>
      <w:r>
        <w:rPr>
          <w:rFonts w:eastAsia="Times New Roman"/>
          <w:color w:val="000000"/>
          <w:sz w:val="24"/>
        </w:rPr>
        <w:t>Program Specific Requirements.</w:t>
      </w:r>
    </w:p>
    <w:p w:rsidR="007C25FE" w:rsidRDefault="00AB77A8">
      <w:pPr>
        <w:numPr>
          <w:ilvl w:val="0"/>
          <w:numId w:val="1"/>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Criteria for Beneficiaries.</w:t>
      </w:r>
    </w:p>
    <w:p w:rsidR="007C25FE" w:rsidRDefault="00AB77A8">
      <w:pPr>
        <w:spacing w:line="274" w:lineRule="exact"/>
        <w:ind w:left="1800"/>
        <w:textAlignment w:val="baseline"/>
        <w:rPr>
          <w:rFonts w:eastAsia="Times New Roman"/>
          <w:color w:val="000000"/>
          <w:spacing w:val="1"/>
          <w:sz w:val="24"/>
        </w:rPr>
      </w:pPr>
      <w:r>
        <w:rPr>
          <w:rFonts w:eastAsia="Times New Roman"/>
          <w:color w:val="000000"/>
          <w:spacing w:val="1"/>
          <w:sz w:val="24"/>
        </w:rPr>
        <w:t>IV.</w:t>
      </w:r>
      <w:r>
        <w:rPr>
          <w:rFonts w:eastAsia="Times New Roman"/>
          <w:color w:val="0000EE"/>
          <w:spacing w:val="1"/>
          <w:sz w:val="24"/>
          <w:u w:val="single"/>
        </w:rPr>
        <w:t xml:space="preserve"> Application and Submission Information.</w:t>
      </w:r>
      <w:r>
        <w:rPr>
          <w:rFonts w:eastAsia="Times New Roman"/>
          <w:color w:val="000000"/>
          <w:spacing w:val="1"/>
          <w:sz w:val="24"/>
          <w:u w:val="single"/>
        </w:rPr>
        <w:t xml:space="preserve"> </w:t>
      </w:r>
    </w:p>
    <w:p w:rsidR="007C25FE" w:rsidRDefault="00AB77A8">
      <w:pPr>
        <w:numPr>
          <w:ilvl w:val="0"/>
          <w:numId w:val="2"/>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Obtaining an Application Package.</w:t>
      </w:r>
    </w:p>
    <w:p w:rsidR="007C25FE" w:rsidRDefault="00AB77A8">
      <w:pPr>
        <w:numPr>
          <w:ilvl w:val="0"/>
          <w:numId w:val="2"/>
        </w:numPr>
        <w:tabs>
          <w:tab w:val="clear" w:pos="288"/>
          <w:tab w:val="left" w:pos="2952"/>
        </w:tabs>
        <w:spacing w:line="274" w:lineRule="exact"/>
        <w:ind w:left="2952" w:hanging="288"/>
        <w:textAlignment w:val="baseline"/>
        <w:rPr>
          <w:rFonts w:eastAsia="Times New Roman"/>
          <w:color w:val="000000"/>
          <w:sz w:val="24"/>
        </w:rPr>
      </w:pPr>
      <w:r>
        <w:rPr>
          <w:rFonts w:eastAsia="Times New Roman"/>
          <w:color w:val="000000"/>
          <w:sz w:val="24"/>
        </w:rPr>
        <w:t>Content and Form of Application Submission.</w:t>
      </w:r>
    </w:p>
    <w:p w:rsidR="007C25FE" w:rsidRDefault="00AB77A8">
      <w:pPr>
        <w:numPr>
          <w:ilvl w:val="0"/>
          <w:numId w:val="2"/>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System for Award Management (SAM) and Dun and</w:t>
      </w:r>
    </w:p>
    <w:p w:rsidR="007C25FE" w:rsidRDefault="00AB77A8">
      <w:pPr>
        <w:spacing w:line="274" w:lineRule="exact"/>
        <w:ind w:left="2952"/>
        <w:textAlignment w:val="baseline"/>
        <w:rPr>
          <w:rFonts w:eastAsia="Times New Roman"/>
          <w:color w:val="000000"/>
          <w:sz w:val="24"/>
        </w:rPr>
      </w:pPr>
      <w:r>
        <w:rPr>
          <w:rFonts w:eastAsia="Times New Roman"/>
          <w:color w:val="000000"/>
          <w:sz w:val="24"/>
        </w:rPr>
        <w:t>Bradstreet</w:t>
      </w:r>
    </w:p>
    <w:p w:rsidR="007C25FE" w:rsidRDefault="00AB77A8">
      <w:pPr>
        <w:spacing w:before="3" w:line="275" w:lineRule="exact"/>
        <w:ind w:left="2952"/>
        <w:textAlignment w:val="baseline"/>
        <w:rPr>
          <w:rFonts w:eastAsia="Times New Roman"/>
          <w:color w:val="000000"/>
          <w:sz w:val="24"/>
        </w:rPr>
      </w:pPr>
      <w:r>
        <w:rPr>
          <w:rFonts w:eastAsia="Times New Roman"/>
          <w:color w:val="000000"/>
          <w:sz w:val="24"/>
        </w:rPr>
        <w:t>Universal Numbering System (DUNS) Number.</w:t>
      </w:r>
    </w:p>
    <w:p w:rsidR="007C25FE" w:rsidRDefault="00AB77A8">
      <w:pPr>
        <w:numPr>
          <w:ilvl w:val="0"/>
          <w:numId w:val="2"/>
        </w:numPr>
        <w:tabs>
          <w:tab w:val="clear" w:pos="288"/>
          <w:tab w:val="left" w:pos="2952"/>
        </w:tabs>
        <w:spacing w:line="274" w:lineRule="exact"/>
        <w:ind w:left="2952" w:hanging="288"/>
        <w:textAlignment w:val="baseline"/>
        <w:rPr>
          <w:rFonts w:eastAsia="Times New Roman"/>
          <w:color w:val="000000"/>
          <w:sz w:val="24"/>
        </w:rPr>
      </w:pPr>
      <w:r>
        <w:rPr>
          <w:rFonts w:eastAsia="Times New Roman"/>
          <w:color w:val="000000"/>
          <w:sz w:val="24"/>
        </w:rPr>
        <w:t>Application Submission Dates and Times.</w:t>
      </w:r>
    </w:p>
    <w:p w:rsidR="007C25FE" w:rsidRDefault="00AB77A8">
      <w:pPr>
        <w:numPr>
          <w:ilvl w:val="0"/>
          <w:numId w:val="2"/>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Intergovernmental Review.</w:t>
      </w:r>
    </w:p>
    <w:p w:rsidR="007C25FE" w:rsidRDefault="00AB77A8">
      <w:pPr>
        <w:numPr>
          <w:ilvl w:val="0"/>
          <w:numId w:val="2"/>
        </w:numPr>
        <w:tabs>
          <w:tab w:val="clear" w:pos="288"/>
          <w:tab w:val="left" w:pos="2952"/>
        </w:tabs>
        <w:spacing w:line="274" w:lineRule="exact"/>
        <w:ind w:left="2952" w:hanging="288"/>
        <w:textAlignment w:val="baseline"/>
        <w:rPr>
          <w:rFonts w:eastAsia="Times New Roman"/>
          <w:color w:val="000000"/>
          <w:sz w:val="24"/>
        </w:rPr>
      </w:pPr>
      <w:r>
        <w:rPr>
          <w:rFonts w:eastAsia="Times New Roman"/>
          <w:color w:val="000000"/>
          <w:sz w:val="24"/>
        </w:rPr>
        <w:t>Funding Restrictions.</w:t>
      </w:r>
    </w:p>
    <w:p w:rsidR="007C25FE" w:rsidRDefault="00AB77A8">
      <w:pPr>
        <w:numPr>
          <w:ilvl w:val="0"/>
          <w:numId w:val="2"/>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Other Submission Requirements.</w:t>
      </w:r>
    </w:p>
    <w:p w:rsidR="007C25FE" w:rsidRDefault="00AB77A8">
      <w:pPr>
        <w:spacing w:line="274" w:lineRule="exact"/>
        <w:ind w:left="1800"/>
        <w:textAlignment w:val="baseline"/>
        <w:rPr>
          <w:rFonts w:eastAsia="Times New Roman"/>
          <w:color w:val="000000"/>
          <w:spacing w:val="1"/>
          <w:sz w:val="24"/>
        </w:rPr>
      </w:pPr>
      <w:r>
        <w:rPr>
          <w:rFonts w:eastAsia="Times New Roman"/>
          <w:color w:val="000000"/>
          <w:spacing w:val="1"/>
          <w:sz w:val="24"/>
        </w:rPr>
        <w:t>V.</w:t>
      </w:r>
      <w:r>
        <w:rPr>
          <w:rFonts w:eastAsia="Times New Roman"/>
          <w:color w:val="0000EE"/>
          <w:spacing w:val="1"/>
          <w:sz w:val="24"/>
          <w:u w:val="single"/>
        </w:rPr>
        <w:t xml:space="preserve"> Application Review Information.</w:t>
      </w:r>
      <w:r>
        <w:rPr>
          <w:rFonts w:eastAsia="Times New Roman"/>
          <w:color w:val="000000"/>
          <w:spacing w:val="1"/>
          <w:sz w:val="24"/>
          <w:u w:val="single"/>
        </w:rPr>
        <w:t xml:space="preserve"> </w:t>
      </w:r>
    </w:p>
    <w:p w:rsidR="007C25FE" w:rsidRDefault="00AB77A8">
      <w:pPr>
        <w:numPr>
          <w:ilvl w:val="0"/>
          <w:numId w:val="3"/>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Review Criteria.</w:t>
      </w:r>
    </w:p>
    <w:p w:rsidR="007C25FE" w:rsidRDefault="00AB77A8">
      <w:pPr>
        <w:numPr>
          <w:ilvl w:val="0"/>
          <w:numId w:val="3"/>
        </w:numPr>
        <w:tabs>
          <w:tab w:val="clear" w:pos="288"/>
          <w:tab w:val="left" w:pos="2952"/>
        </w:tabs>
        <w:spacing w:line="274" w:lineRule="exact"/>
        <w:ind w:left="2952" w:hanging="288"/>
        <w:textAlignment w:val="baseline"/>
        <w:rPr>
          <w:rFonts w:eastAsia="Times New Roman"/>
          <w:color w:val="000000"/>
          <w:sz w:val="24"/>
        </w:rPr>
      </w:pPr>
      <w:r>
        <w:rPr>
          <w:rFonts w:eastAsia="Times New Roman"/>
          <w:color w:val="000000"/>
          <w:sz w:val="24"/>
        </w:rPr>
        <w:t>Review and Selection Process.</w:t>
      </w:r>
    </w:p>
    <w:p w:rsidR="007C25FE" w:rsidRDefault="00AB77A8">
      <w:pPr>
        <w:numPr>
          <w:ilvl w:val="0"/>
          <w:numId w:val="3"/>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Anticipated Announcement and Award Dates.</w:t>
      </w:r>
    </w:p>
    <w:p w:rsidR="007C25FE" w:rsidRDefault="00AB77A8">
      <w:pPr>
        <w:spacing w:line="274" w:lineRule="exact"/>
        <w:ind w:left="1800"/>
        <w:textAlignment w:val="baseline"/>
        <w:rPr>
          <w:rFonts w:eastAsia="Times New Roman"/>
          <w:color w:val="000000"/>
          <w:spacing w:val="1"/>
          <w:sz w:val="24"/>
        </w:rPr>
      </w:pPr>
      <w:r>
        <w:rPr>
          <w:rFonts w:eastAsia="Times New Roman"/>
          <w:color w:val="000000"/>
          <w:spacing w:val="1"/>
          <w:sz w:val="24"/>
        </w:rPr>
        <w:t>VI.</w:t>
      </w:r>
      <w:r>
        <w:rPr>
          <w:rFonts w:eastAsia="Times New Roman"/>
          <w:color w:val="0000EE"/>
          <w:spacing w:val="1"/>
          <w:sz w:val="24"/>
          <w:u w:val="single"/>
        </w:rPr>
        <w:t xml:space="preserve"> Award Administration Information.</w:t>
      </w:r>
      <w:r>
        <w:rPr>
          <w:rFonts w:eastAsia="Times New Roman"/>
          <w:color w:val="000000"/>
          <w:spacing w:val="1"/>
          <w:sz w:val="24"/>
          <w:u w:val="single"/>
        </w:rPr>
        <w:t xml:space="preserve"> </w:t>
      </w:r>
    </w:p>
    <w:p w:rsidR="007C25FE" w:rsidRDefault="00AB77A8">
      <w:pPr>
        <w:numPr>
          <w:ilvl w:val="0"/>
          <w:numId w:val="4"/>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Award Notices.</w:t>
      </w:r>
    </w:p>
    <w:p w:rsidR="007C25FE" w:rsidRDefault="00AB77A8">
      <w:pPr>
        <w:numPr>
          <w:ilvl w:val="0"/>
          <w:numId w:val="4"/>
        </w:numPr>
        <w:tabs>
          <w:tab w:val="clear" w:pos="288"/>
          <w:tab w:val="left" w:pos="2952"/>
        </w:tabs>
        <w:spacing w:line="274" w:lineRule="exact"/>
        <w:ind w:left="2952" w:hanging="288"/>
        <w:textAlignment w:val="baseline"/>
        <w:rPr>
          <w:rFonts w:eastAsia="Times New Roman"/>
          <w:color w:val="000000"/>
          <w:sz w:val="24"/>
        </w:rPr>
      </w:pPr>
      <w:r>
        <w:rPr>
          <w:rFonts w:eastAsia="Times New Roman"/>
          <w:color w:val="000000"/>
          <w:sz w:val="24"/>
        </w:rPr>
        <w:t>Administrative, National and Department Policy</w:t>
      </w:r>
    </w:p>
    <w:p w:rsidR="007C25FE" w:rsidRDefault="00AB77A8">
      <w:pPr>
        <w:spacing w:before="3" w:line="275" w:lineRule="exact"/>
        <w:ind w:left="2952"/>
        <w:textAlignment w:val="baseline"/>
        <w:rPr>
          <w:rFonts w:eastAsia="Times New Roman"/>
          <w:color w:val="000000"/>
          <w:sz w:val="24"/>
        </w:rPr>
      </w:pPr>
      <w:r>
        <w:rPr>
          <w:rFonts w:eastAsia="Times New Roman"/>
          <w:color w:val="000000"/>
          <w:sz w:val="24"/>
        </w:rPr>
        <w:t>Requirements</w:t>
      </w:r>
    </w:p>
    <w:p w:rsidR="007C25FE" w:rsidRDefault="00AB77A8">
      <w:pPr>
        <w:spacing w:line="274" w:lineRule="exact"/>
        <w:ind w:left="2952"/>
        <w:textAlignment w:val="baseline"/>
        <w:rPr>
          <w:rFonts w:eastAsia="Times New Roman"/>
          <w:color w:val="000000"/>
          <w:spacing w:val="-1"/>
          <w:sz w:val="24"/>
        </w:rPr>
      </w:pPr>
      <w:r>
        <w:rPr>
          <w:rFonts w:eastAsia="Times New Roman"/>
          <w:color w:val="000000"/>
          <w:spacing w:val="-1"/>
          <w:sz w:val="24"/>
        </w:rPr>
        <w:t>for HUD recipients.</w:t>
      </w:r>
    </w:p>
    <w:p w:rsidR="007C25FE" w:rsidRDefault="00AB77A8">
      <w:pPr>
        <w:numPr>
          <w:ilvl w:val="0"/>
          <w:numId w:val="4"/>
        </w:numPr>
        <w:tabs>
          <w:tab w:val="clear" w:pos="288"/>
          <w:tab w:val="left" w:pos="2952"/>
        </w:tabs>
        <w:spacing w:before="3" w:line="275" w:lineRule="exact"/>
        <w:ind w:left="2952" w:hanging="288"/>
        <w:textAlignment w:val="baseline"/>
        <w:rPr>
          <w:rFonts w:eastAsia="Times New Roman"/>
          <w:color w:val="000000"/>
          <w:sz w:val="24"/>
        </w:rPr>
      </w:pPr>
      <w:r>
        <w:rPr>
          <w:rFonts w:eastAsia="Times New Roman"/>
          <w:color w:val="000000"/>
          <w:sz w:val="24"/>
        </w:rPr>
        <w:t>Reporting.</w:t>
      </w:r>
    </w:p>
    <w:p w:rsidR="007C25FE" w:rsidRDefault="00AB77A8">
      <w:pPr>
        <w:numPr>
          <w:ilvl w:val="0"/>
          <w:numId w:val="4"/>
        </w:numPr>
        <w:tabs>
          <w:tab w:val="clear" w:pos="288"/>
          <w:tab w:val="left" w:pos="2952"/>
        </w:tabs>
        <w:spacing w:line="274" w:lineRule="exact"/>
        <w:ind w:left="2952" w:hanging="288"/>
        <w:textAlignment w:val="baseline"/>
        <w:rPr>
          <w:rFonts w:eastAsia="Times New Roman"/>
          <w:color w:val="000000"/>
          <w:sz w:val="24"/>
        </w:rPr>
      </w:pPr>
      <w:r>
        <w:rPr>
          <w:rFonts w:eastAsia="Times New Roman"/>
          <w:color w:val="000000"/>
          <w:sz w:val="24"/>
        </w:rPr>
        <w:t>Debriefing.</w:t>
      </w:r>
    </w:p>
    <w:p w:rsidR="007C25FE" w:rsidRDefault="00AB77A8">
      <w:pPr>
        <w:spacing w:before="3" w:line="275" w:lineRule="exact"/>
        <w:ind w:left="1800"/>
        <w:textAlignment w:val="baseline"/>
        <w:rPr>
          <w:rFonts w:eastAsia="Times New Roman"/>
          <w:color w:val="000000"/>
          <w:sz w:val="24"/>
        </w:rPr>
      </w:pPr>
      <w:r>
        <w:rPr>
          <w:rFonts w:eastAsia="Times New Roman"/>
          <w:color w:val="000000"/>
          <w:sz w:val="24"/>
        </w:rPr>
        <w:t>VII.</w:t>
      </w:r>
      <w:r>
        <w:rPr>
          <w:rFonts w:eastAsia="Times New Roman"/>
          <w:color w:val="0000EE"/>
          <w:sz w:val="24"/>
          <w:u w:val="single"/>
        </w:rPr>
        <w:t xml:space="preserve"> Agency Contacts.</w:t>
      </w:r>
      <w:r>
        <w:rPr>
          <w:rFonts w:eastAsia="Times New Roman"/>
          <w:color w:val="000000"/>
          <w:sz w:val="24"/>
          <w:u w:val="single"/>
        </w:rPr>
        <w:t xml:space="preserve"> </w:t>
      </w:r>
    </w:p>
    <w:p w:rsidR="007C25FE" w:rsidRDefault="00AB77A8">
      <w:pPr>
        <w:spacing w:line="274" w:lineRule="exact"/>
        <w:ind w:left="1656"/>
        <w:textAlignment w:val="baseline"/>
        <w:rPr>
          <w:rFonts w:eastAsia="Times New Roman"/>
          <w:color w:val="000000"/>
          <w:spacing w:val="1"/>
          <w:sz w:val="24"/>
        </w:rPr>
      </w:pPr>
      <w:r>
        <w:rPr>
          <w:rFonts w:eastAsia="Times New Roman"/>
          <w:color w:val="000000"/>
          <w:spacing w:val="1"/>
          <w:sz w:val="24"/>
        </w:rPr>
        <w:t>VIII.</w:t>
      </w:r>
      <w:r>
        <w:rPr>
          <w:rFonts w:eastAsia="Times New Roman"/>
          <w:color w:val="0000EE"/>
          <w:spacing w:val="1"/>
          <w:sz w:val="24"/>
          <w:u w:val="single"/>
        </w:rPr>
        <w:t xml:space="preserve"> Other Information.</w:t>
      </w:r>
      <w:r>
        <w:rPr>
          <w:rFonts w:eastAsia="Times New Roman"/>
          <w:color w:val="000000"/>
          <w:spacing w:val="1"/>
          <w:sz w:val="24"/>
          <w:u w:val="single"/>
        </w:rPr>
        <w:t xml:space="preserve"> </w:t>
      </w:r>
    </w:p>
    <w:p w:rsidR="007C25FE" w:rsidRDefault="00AB77A8">
      <w:pPr>
        <w:spacing w:before="3" w:line="275" w:lineRule="exact"/>
        <w:ind w:left="1800"/>
        <w:textAlignment w:val="baseline"/>
        <w:rPr>
          <w:rFonts w:eastAsia="Times New Roman"/>
          <w:color w:val="000000"/>
          <w:spacing w:val="2"/>
          <w:sz w:val="24"/>
        </w:rPr>
      </w:pPr>
      <w:r>
        <w:rPr>
          <w:rFonts w:eastAsia="Times New Roman"/>
          <w:color w:val="000000"/>
          <w:spacing w:val="2"/>
          <w:sz w:val="24"/>
        </w:rPr>
        <w:t>IX.</w:t>
      </w:r>
      <w:r>
        <w:rPr>
          <w:rFonts w:eastAsia="Times New Roman"/>
          <w:color w:val="0000EE"/>
          <w:spacing w:val="2"/>
          <w:sz w:val="24"/>
          <w:u w:val="single"/>
        </w:rPr>
        <w:t xml:space="preserve"> Appendix. </w:t>
      </w:r>
      <w:r>
        <w:rPr>
          <w:rFonts w:eastAsia="Times New Roman"/>
          <w:color w:val="0000EE"/>
          <w:spacing w:val="2"/>
          <w:sz w:val="24"/>
        </w:rPr>
        <w:t xml:space="preserve"> </w:t>
      </w:r>
    </w:p>
    <w:p w:rsidR="007C25FE" w:rsidRDefault="007C25FE">
      <w:pPr>
        <w:sectPr w:rsidR="007C25FE">
          <w:pgSz w:w="12240" w:h="15840"/>
          <w:pgMar w:top="1760" w:right="1843" w:bottom="2804" w:left="1757" w:header="720" w:footer="720" w:gutter="0"/>
          <w:cols w:space="720"/>
        </w:sectPr>
      </w:pPr>
    </w:p>
    <w:p w:rsidR="007C25FE" w:rsidRDefault="00AB77A8">
      <w:pPr>
        <w:spacing w:before="16" w:line="274" w:lineRule="exact"/>
        <w:jc w:val="center"/>
        <w:textAlignment w:val="baseline"/>
        <w:rPr>
          <w:rFonts w:eastAsia="Times New Roman"/>
          <w:b/>
          <w:color w:val="000000"/>
          <w:sz w:val="24"/>
        </w:rPr>
      </w:pPr>
      <w:r>
        <w:rPr>
          <w:rFonts w:eastAsia="Times New Roman"/>
          <w:b/>
          <w:color w:val="000000"/>
          <w:sz w:val="24"/>
        </w:rPr>
        <w:lastRenderedPageBreak/>
        <w:t>U.S. Department of Housing and Urban Development</w:t>
      </w:r>
    </w:p>
    <w:p w:rsidR="007C25FE" w:rsidRDefault="00AB77A8">
      <w:pPr>
        <w:tabs>
          <w:tab w:val="left" w:pos="5256"/>
        </w:tabs>
        <w:spacing w:before="334" w:line="276" w:lineRule="exact"/>
        <w:textAlignment w:val="baseline"/>
        <w:rPr>
          <w:rFonts w:eastAsia="Times New Roman"/>
          <w:b/>
          <w:color w:val="000000"/>
          <w:sz w:val="24"/>
        </w:rPr>
      </w:pPr>
      <w:r>
        <w:rPr>
          <w:rFonts w:eastAsia="Times New Roman"/>
          <w:b/>
          <w:color w:val="000000"/>
          <w:sz w:val="24"/>
        </w:rPr>
        <w:t>Program Office:</w:t>
      </w:r>
      <w:r>
        <w:rPr>
          <w:rFonts w:eastAsia="Times New Roman"/>
          <w:b/>
          <w:color w:val="000000"/>
          <w:sz w:val="24"/>
        </w:rPr>
        <w:tab/>
      </w:r>
      <w:r>
        <w:rPr>
          <w:rFonts w:eastAsia="Times New Roman"/>
          <w:color w:val="000000"/>
          <w:sz w:val="24"/>
        </w:rPr>
        <w:t>Housing</w:t>
      </w:r>
    </w:p>
    <w:p w:rsidR="007C25FE" w:rsidRDefault="00AB77A8">
      <w:pPr>
        <w:tabs>
          <w:tab w:val="left" w:pos="5256"/>
        </w:tabs>
        <w:spacing w:before="28" w:line="276" w:lineRule="exact"/>
        <w:ind w:left="5256" w:right="288" w:hanging="5256"/>
        <w:textAlignment w:val="baseline"/>
        <w:rPr>
          <w:rFonts w:eastAsia="Times New Roman"/>
          <w:b/>
          <w:color w:val="000000"/>
          <w:sz w:val="24"/>
        </w:rPr>
      </w:pPr>
      <w:r>
        <w:rPr>
          <w:rFonts w:eastAsia="Times New Roman"/>
          <w:b/>
          <w:color w:val="000000"/>
          <w:sz w:val="24"/>
        </w:rPr>
        <w:t>Funding Opportunity Title:</w:t>
      </w:r>
      <w:r>
        <w:rPr>
          <w:rFonts w:eastAsia="Times New Roman"/>
          <w:b/>
          <w:color w:val="000000"/>
          <w:sz w:val="24"/>
        </w:rPr>
        <w:tab/>
      </w:r>
      <w:r>
        <w:rPr>
          <w:rFonts w:eastAsia="Times New Roman"/>
          <w:color w:val="000000"/>
          <w:sz w:val="24"/>
        </w:rPr>
        <w:t>Notice of Funding Availability (NOFA) for the Department's Fiscal Years 2018 and 2019 Comprehensive Housing Counseling Grant Program</w:t>
      </w:r>
    </w:p>
    <w:p w:rsidR="007C25FE" w:rsidRDefault="00AB77A8">
      <w:pPr>
        <w:tabs>
          <w:tab w:val="left" w:pos="5256"/>
        </w:tabs>
        <w:spacing w:before="32" w:line="276" w:lineRule="exact"/>
        <w:textAlignment w:val="baseline"/>
        <w:rPr>
          <w:rFonts w:eastAsia="Times New Roman"/>
          <w:b/>
          <w:color w:val="000000"/>
          <w:sz w:val="24"/>
        </w:rPr>
      </w:pPr>
      <w:r>
        <w:rPr>
          <w:rFonts w:eastAsia="Times New Roman"/>
          <w:b/>
          <w:color w:val="000000"/>
          <w:sz w:val="24"/>
        </w:rPr>
        <w:t>Announcement Type:</w:t>
      </w:r>
      <w:r>
        <w:rPr>
          <w:rFonts w:eastAsia="Times New Roman"/>
          <w:b/>
          <w:color w:val="000000"/>
          <w:sz w:val="24"/>
        </w:rPr>
        <w:tab/>
      </w:r>
      <w:r>
        <w:rPr>
          <w:rFonts w:eastAsia="Times New Roman"/>
          <w:color w:val="000000"/>
          <w:sz w:val="24"/>
        </w:rPr>
        <w:t>Initial</w:t>
      </w:r>
    </w:p>
    <w:p w:rsidR="007C25FE" w:rsidRDefault="00AB77A8">
      <w:pPr>
        <w:tabs>
          <w:tab w:val="left" w:pos="5256"/>
        </w:tabs>
        <w:spacing w:before="31" w:line="276" w:lineRule="exact"/>
        <w:textAlignment w:val="baseline"/>
        <w:rPr>
          <w:rFonts w:eastAsia="Times New Roman"/>
          <w:b/>
          <w:color w:val="000000"/>
          <w:sz w:val="24"/>
        </w:rPr>
      </w:pPr>
      <w:r>
        <w:rPr>
          <w:rFonts w:eastAsia="Times New Roman"/>
          <w:b/>
          <w:color w:val="000000"/>
          <w:sz w:val="24"/>
        </w:rPr>
        <w:t>Funding Opportunity Number:</w:t>
      </w:r>
      <w:r>
        <w:rPr>
          <w:rFonts w:eastAsia="Times New Roman"/>
          <w:b/>
          <w:color w:val="000000"/>
          <w:sz w:val="24"/>
        </w:rPr>
        <w:tab/>
      </w:r>
      <w:r>
        <w:rPr>
          <w:rFonts w:eastAsia="Times New Roman"/>
          <w:color w:val="000000"/>
          <w:sz w:val="24"/>
        </w:rPr>
        <w:t>FR-6200-N-33</w:t>
      </w:r>
    </w:p>
    <w:p w:rsidR="007C25FE" w:rsidRDefault="00AB77A8">
      <w:pPr>
        <w:tabs>
          <w:tab w:val="left" w:pos="5256"/>
        </w:tabs>
        <w:spacing w:before="31" w:line="276" w:lineRule="exact"/>
        <w:textAlignment w:val="baseline"/>
        <w:rPr>
          <w:rFonts w:eastAsia="Times New Roman"/>
          <w:b/>
          <w:color w:val="000000"/>
          <w:sz w:val="24"/>
        </w:rPr>
      </w:pPr>
      <w:r>
        <w:rPr>
          <w:rFonts w:eastAsia="Times New Roman"/>
          <w:b/>
          <w:color w:val="000000"/>
          <w:sz w:val="24"/>
        </w:rPr>
        <w:t>Primary CFDA Number:</w:t>
      </w:r>
      <w:r>
        <w:rPr>
          <w:rFonts w:eastAsia="Times New Roman"/>
          <w:b/>
          <w:color w:val="000000"/>
          <w:sz w:val="24"/>
        </w:rPr>
        <w:tab/>
      </w:r>
      <w:r>
        <w:rPr>
          <w:rFonts w:eastAsia="Times New Roman"/>
          <w:color w:val="000000"/>
          <w:sz w:val="24"/>
        </w:rPr>
        <w:t>14.169</w:t>
      </w:r>
    </w:p>
    <w:p w:rsidR="007C25FE" w:rsidRDefault="00AB77A8">
      <w:pPr>
        <w:tabs>
          <w:tab w:val="left" w:pos="5256"/>
        </w:tabs>
        <w:spacing w:before="29" w:line="274" w:lineRule="exact"/>
        <w:textAlignment w:val="baseline"/>
        <w:rPr>
          <w:rFonts w:eastAsia="Times New Roman"/>
          <w:b/>
          <w:color w:val="000000"/>
          <w:sz w:val="24"/>
        </w:rPr>
      </w:pPr>
      <w:r>
        <w:rPr>
          <w:rFonts w:eastAsia="Times New Roman"/>
          <w:b/>
          <w:color w:val="000000"/>
          <w:sz w:val="24"/>
        </w:rPr>
        <w:t>Due Date for Applications:</w:t>
      </w:r>
      <w:r>
        <w:rPr>
          <w:rFonts w:eastAsia="Times New Roman"/>
          <w:b/>
          <w:color w:val="000000"/>
          <w:sz w:val="24"/>
        </w:rPr>
        <w:tab/>
        <w:t>[Insert 144 days from date of</w:t>
      </w:r>
    </w:p>
    <w:p w:rsidR="007C25FE" w:rsidRDefault="00AB77A8">
      <w:pPr>
        <w:spacing w:before="4" w:after="431" w:line="274" w:lineRule="exact"/>
        <w:ind w:left="5256"/>
        <w:textAlignment w:val="baseline"/>
        <w:rPr>
          <w:rFonts w:eastAsia="Times New Roman"/>
          <w:b/>
          <w:color w:val="000000"/>
          <w:spacing w:val="-1"/>
          <w:sz w:val="24"/>
        </w:rPr>
      </w:pPr>
      <w:r>
        <w:rPr>
          <w:rFonts w:eastAsia="Times New Roman"/>
          <w:b/>
          <w:color w:val="000000"/>
          <w:spacing w:val="-1"/>
          <w:sz w:val="24"/>
        </w:rPr>
        <w:t>publication]</w:t>
      </w:r>
    </w:p>
    <w:p w:rsidR="007C25FE" w:rsidRDefault="00AB77A8">
      <w:pPr>
        <w:shd w:val="solid" w:color="E0E0E0" w:fill="E0E0E0"/>
        <w:spacing w:after="20" w:line="274" w:lineRule="exact"/>
        <w:textAlignment w:val="baseline"/>
        <w:rPr>
          <w:rFonts w:eastAsia="Times New Roman"/>
          <w:b/>
          <w:color w:val="000000"/>
          <w:sz w:val="24"/>
        </w:rPr>
      </w:pPr>
      <w:r>
        <w:rPr>
          <w:rFonts w:eastAsia="Times New Roman"/>
          <w:b/>
          <w:color w:val="000000"/>
          <w:sz w:val="24"/>
        </w:rPr>
        <w:t>Overview</w:t>
      </w:r>
    </w:p>
    <w:p w:rsidR="007C25FE" w:rsidRDefault="00AB77A8">
      <w:pPr>
        <w:spacing w:before="5" w:line="276" w:lineRule="exact"/>
        <w:ind w:right="432"/>
        <w:textAlignment w:val="baseline"/>
        <w:rPr>
          <w:rFonts w:eastAsia="Times New Roman"/>
          <w:b/>
          <w:color w:val="000000"/>
          <w:sz w:val="24"/>
        </w:rPr>
      </w:pPr>
      <w:r>
        <w:rPr>
          <w:rFonts w:eastAsia="Times New Roman"/>
          <w:b/>
          <w:color w:val="000000"/>
          <w:sz w:val="24"/>
        </w:rPr>
        <w:t>For Further Information Regarding this NOFA:</w:t>
      </w:r>
      <w:r>
        <w:rPr>
          <w:rFonts w:eastAsia="Times New Roman"/>
          <w:color w:val="000000"/>
          <w:sz w:val="24"/>
        </w:rPr>
        <w:t>Please direct questions regarding the specific program requirements of this Program Notice of Funding Availability (NOFA) to the agency contact identified in Section VII.</w:t>
      </w:r>
    </w:p>
    <w:p w:rsidR="007C25FE" w:rsidRDefault="00AB77A8">
      <w:pPr>
        <w:tabs>
          <w:tab w:val="left" w:pos="5256"/>
        </w:tabs>
        <w:spacing w:before="152" w:after="426" w:line="276" w:lineRule="exact"/>
        <w:textAlignment w:val="baseline"/>
        <w:rPr>
          <w:rFonts w:eastAsia="Times New Roman"/>
          <w:color w:val="000000"/>
          <w:spacing w:val="-1"/>
          <w:sz w:val="24"/>
          <w:u w:val="single"/>
        </w:rPr>
      </w:pPr>
      <w:r>
        <w:rPr>
          <w:rFonts w:eastAsia="Times New Roman"/>
          <w:color w:val="000000"/>
          <w:spacing w:val="-1"/>
          <w:sz w:val="24"/>
          <w:u w:val="single"/>
        </w:rPr>
        <w:t>OMB Approval Number(s):</w:t>
      </w:r>
      <w:r>
        <w:rPr>
          <w:rFonts w:eastAsia="Times New Roman"/>
          <w:color w:val="000000"/>
          <w:spacing w:val="-1"/>
          <w:sz w:val="24"/>
        </w:rPr>
        <w:tab/>
        <w:t>2502-0261</w:t>
      </w:r>
    </w:p>
    <w:p w:rsidR="007C25FE" w:rsidRDefault="00AB77A8">
      <w:pPr>
        <w:shd w:val="solid" w:color="BCDFFB" w:fill="BCDFFB"/>
        <w:spacing w:after="153" w:line="274" w:lineRule="exact"/>
        <w:textAlignment w:val="baseline"/>
        <w:rPr>
          <w:rFonts w:eastAsia="Times New Roman"/>
          <w:b/>
          <w:color w:val="000000"/>
          <w:sz w:val="24"/>
        </w:rPr>
      </w:pPr>
      <w:r>
        <w:rPr>
          <w:rFonts w:eastAsia="Times New Roman"/>
          <w:b/>
          <w:color w:val="000000"/>
          <w:sz w:val="24"/>
        </w:rPr>
        <w:t>I. Funding Opportunity Description.</w:t>
      </w:r>
    </w:p>
    <w:p w:rsidR="007C25FE" w:rsidRDefault="00AB77A8">
      <w:pPr>
        <w:shd w:val="solid" w:color="E0E0E0" w:fill="E0E0E0"/>
        <w:spacing w:after="198" w:line="274" w:lineRule="exact"/>
        <w:textAlignment w:val="baseline"/>
        <w:rPr>
          <w:rFonts w:eastAsia="Times New Roman"/>
          <w:b/>
          <w:color w:val="000000"/>
          <w:sz w:val="24"/>
        </w:rPr>
      </w:pPr>
      <w:r>
        <w:rPr>
          <w:rFonts w:eastAsia="Times New Roman"/>
          <w:b/>
          <w:color w:val="000000"/>
          <w:sz w:val="24"/>
        </w:rPr>
        <w:t>A. Program Description.</w:t>
      </w:r>
    </w:p>
    <w:p w:rsidR="007C25FE" w:rsidRDefault="00AB77A8">
      <w:pPr>
        <w:spacing w:before="3" w:after="61" w:line="274" w:lineRule="exact"/>
        <w:textAlignment w:val="baseline"/>
        <w:rPr>
          <w:rFonts w:eastAsia="Times New Roman"/>
          <w:b/>
          <w:color w:val="000000"/>
          <w:spacing w:val="-1"/>
          <w:sz w:val="24"/>
        </w:rPr>
      </w:pPr>
      <w:r>
        <w:rPr>
          <w:rFonts w:eastAsia="Times New Roman"/>
          <w:b/>
          <w:color w:val="000000"/>
          <w:spacing w:val="-1"/>
          <w:sz w:val="24"/>
        </w:rPr>
        <w:t>1. Purpose</w:t>
      </w:r>
    </w:p>
    <w:p w:rsidR="007C25FE" w:rsidRDefault="00AB77A8">
      <w:pPr>
        <w:pBdr>
          <w:top w:val="single" w:sz="5" w:space="1" w:color="CCCCCC"/>
          <w:left w:val="single" w:sz="5" w:space="0" w:color="CCCCCC"/>
          <w:bottom w:val="single" w:sz="5" w:space="0" w:color="CCCCCC"/>
          <w:right w:val="single" w:sz="5" w:space="10" w:color="CCCCCC"/>
        </w:pBdr>
        <w:spacing w:after="539" w:line="276" w:lineRule="exact"/>
        <w:ind w:right="216"/>
        <w:textAlignment w:val="baseline"/>
        <w:rPr>
          <w:rFonts w:eastAsia="Times New Roman"/>
          <w:b/>
          <w:color w:val="000000"/>
          <w:spacing w:val="-1"/>
          <w:sz w:val="24"/>
        </w:rPr>
      </w:pPr>
      <w:r>
        <w:rPr>
          <w:rFonts w:eastAsia="Times New Roman"/>
          <w:b/>
          <w:color w:val="000000"/>
          <w:spacing w:val="-1"/>
          <w:sz w:val="24"/>
        </w:rPr>
        <w:t xml:space="preserve">a. Program Description. </w:t>
      </w:r>
      <w:r>
        <w:rPr>
          <w:rFonts w:eastAsia="Times New Roman"/>
          <w:color w:val="000000"/>
          <w:spacing w:val="-1"/>
          <w:sz w:val="24"/>
        </w:rPr>
        <w:t>The purpose of HUD’s Housing Counseling Grant Program is to provide funds that shall be used for providing counseling and advice to tenants and homeowners, both current and prospective, with respect to property maintenance, financial management and literacy, and such other matters as may be appropriate to assist program clients in improving their housing conditions, meeting their financial needs, and fulfilling the responsibilities of tenancy or homeownership. Funding provided under this NOFA is intended to support HUD-approved housing counseling agencies to respond flexibly to the needs of residents and neighborhoods, and deliver a wide variety of housing counseling services to homebuyers, homeowners, renters, and the homeless. This NOFA plays an integral role in the continued stabilization of our nation’s housing market by helping individuals and families obtain housing and stay in their homes through responsible homeownership or affordable rental housing. Traditionally underserved populations, such as minorities, the elderly, veterans, persons with disabilities, persons with limited English proficiency and residents of rural areas, face unique housing and economic challenges. HUD’s Comprehensive Housing Counseling Grant Program funds housing agencies that provide expert, unbiased guidance and information to help families and individuals meet their housing needs and improve their financial situations. Moreover, HUD grant funding supports housing counseling agencies that act as an important safeguard in the prevention of housing scams and discrimination. These housing counseling</w:t>
      </w:r>
    </w:p>
    <w:p w:rsidR="007C25FE" w:rsidRDefault="00AB77A8">
      <w:pPr>
        <w:spacing w:line="276" w:lineRule="exact"/>
        <w:jc w:val="right"/>
        <w:textAlignment w:val="baseline"/>
        <w:rPr>
          <w:rFonts w:eastAsia="Times New Roman"/>
          <w:color w:val="000000"/>
          <w:spacing w:val="11"/>
          <w:sz w:val="24"/>
        </w:rPr>
      </w:pPr>
      <w:r>
        <w:rPr>
          <w:rFonts w:eastAsia="Times New Roman"/>
          <w:color w:val="000000"/>
          <w:spacing w:val="11"/>
          <w:sz w:val="24"/>
        </w:rPr>
        <w:t>1 of 49</w:t>
      </w:r>
    </w:p>
    <w:p w:rsidR="007C25FE" w:rsidRDefault="007C25FE">
      <w:pPr>
        <w:sectPr w:rsidR="007C25FE">
          <w:pgSz w:w="12240" w:h="15840"/>
          <w:pgMar w:top="1880" w:right="1360" w:bottom="304" w:left="1440" w:header="720" w:footer="720" w:gutter="0"/>
          <w:cols w:space="720"/>
        </w:sectPr>
      </w:pPr>
    </w:p>
    <w:p w:rsidR="007C25FE" w:rsidRDefault="00AB77A8">
      <w:pPr>
        <w:spacing w:before="66" w:line="274" w:lineRule="exact"/>
        <w:ind w:left="106" w:right="627"/>
        <w:textAlignment w:val="baseline"/>
        <w:rPr>
          <w:rFonts w:eastAsia="Times New Roman"/>
          <w:color w:val="000000"/>
          <w:sz w:val="24"/>
        </w:rPr>
      </w:pPr>
      <w:r>
        <w:rPr>
          <w:noProof/>
        </w:rPr>
        <mc:AlternateContent>
          <mc:Choice Requires="wps">
            <w:drawing>
              <wp:anchor distT="0" distB="120650" distL="0" distR="0" simplePos="0" relativeHeight="251615232" behindDoc="1" locked="0" layoutInCell="1" allowOverlap="1" wp14:anchorId="101C8903" wp14:editId="31C0E007">
                <wp:simplePos x="0" y="0"/>
                <wp:positionH relativeFrom="page">
                  <wp:posOffset>880110</wp:posOffset>
                </wp:positionH>
                <wp:positionV relativeFrom="page">
                  <wp:posOffset>914400</wp:posOffset>
                </wp:positionV>
                <wp:extent cx="6005195" cy="3818890"/>
                <wp:effectExtent l="0" t="0" r="0" b="0"/>
                <wp:wrapNone/>
                <wp:docPr id="8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81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9"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69.3pt;margin-top:1in;width:472.85pt;height:300.7pt;z-index:-251701248;visibility:visible;mso-wrap-style:square;mso-width-percent:0;mso-height-percent:0;mso-wrap-distance-left:0;mso-wrap-distance-top:0;mso-wrap-distance-right:0;mso-wrap-distance-bottom: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" filled="f" stroked="f">
                <v:textbox inset="0,0,0,0">
                  <w:txbxContent>
                    <w:p w:rsidR="007C25FE" w:rsidRDefault="007C25FE">
                      <w:pPr>
                        <w:pBdr>
                          <w:top w:val="single" w:sz="5" w:space="0" w:color="CCCCCC"/>
                          <w:left w:val="single" w:sz="5" w:space="0" w:color="CCCCCC"/>
                          <w:bottom w:val="single" w:sz="5" w:space="9" w:color="CCCCCC"/>
                          <w:right w:val="single" w:sz="5" w:space="0" w:color="CCCCCC"/>
                        </w:pBdr>
                      </w:pPr>
                    </w:p>
                  </w:txbxContent>
                </v:textbox>
                <w10:wrap anchorx="page" anchory="page"/>
              </v:shape>
            </w:pict>
          </mc:Fallback>
        </mc:AlternateContent>
      </w:r>
      <w:r>
        <w:rPr>
          <w:rFonts w:eastAsia="Times New Roman"/>
          <w:color w:val="000000"/>
          <w:sz w:val="24"/>
        </w:rPr>
        <w:t>agencies are able to act as an important gateway to local, state, federal and private housing assistance and resources.</w:t>
      </w:r>
    </w:p>
    <w:p w:rsidR="007C25FE" w:rsidRDefault="00AB77A8">
      <w:pPr>
        <w:spacing w:before="124" w:line="274" w:lineRule="exact"/>
        <w:ind w:left="106" w:right="195"/>
        <w:textAlignment w:val="baseline"/>
        <w:rPr>
          <w:rFonts w:eastAsia="Times New Roman"/>
          <w:b/>
          <w:color w:val="000000"/>
          <w:sz w:val="24"/>
        </w:rPr>
      </w:pPr>
      <w:r>
        <w:rPr>
          <w:rFonts w:eastAsia="Times New Roman"/>
          <w:b/>
          <w:color w:val="000000"/>
          <w:sz w:val="24"/>
        </w:rPr>
        <w:t xml:space="preserve">b. Objectives and Priorities of this NOFA. </w:t>
      </w:r>
      <w:r>
        <w:rPr>
          <w:rFonts w:eastAsia="Times New Roman"/>
          <w:color w:val="000000"/>
          <w:sz w:val="24"/>
        </w:rPr>
        <w:t>The Department has identified several priorities for the Housing Counseling Program that this NOFA addresses, including but not limited to:</w:t>
      </w:r>
    </w:p>
    <w:p w:rsidR="007C25FE" w:rsidRDefault="00AB77A8">
      <w:pPr>
        <w:numPr>
          <w:ilvl w:val="0"/>
          <w:numId w:val="5"/>
        </w:numPr>
        <w:tabs>
          <w:tab w:val="clear" w:pos="360"/>
          <w:tab w:val="left" w:pos="466"/>
        </w:tabs>
        <w:spacing w:before="116" w:line="278" w:lineRule="exact"/>
        <w:ind w:left="106" w:right="627"/>
        <w:textAlignment w:val="baseline"/>
        <w:rPr>
          <w:rFonts w:eastAsia="Times New Roman"/>
          <w:color w:val="000000"/>
          <w:sz w:val="24"/>
        </w:rPr>
      </w:pPr>
      <w:r>
        <w:rPr>
          <w:rFonts w:eastAsia="Times New Roman"/>
          <w:color w:val="000000"/>
          <w:sz w:val="24"/>
        </w:rPr>
        <w:t>Distribute federal financial support to housing counseling agencies for them to provide quality services to consumers to address their housing and financial needs.</w:t>
      </w:r>
    </w:p>
    <w:p w:rsidR="007C25FE" w:rsidRDefault="00AB77A8">
      <w:pPr>
        <w:numPr>
          <w:ilvl w:val="0"/>
          <w:numId w:val="5"/>
        </w:numPr>
        <w:tabs>
          <w:tab w:val="clear" w:pos="360"/>
          <w:tab w:val="left" w:pos="466"/>
        </w:tabs>
        <w:spacing w:before="116" w:line="278" w:lineRule="exact"/>
        <w:ind w:left="106" w:right="1203"/>
        <w:textAlignment w:val="baseline"/>
        <w:rPr>
          <w:rFonts w:eastAsia="Times New Roman"/>
          <w:color w:val="000000"/>
          <w:sz w:val="24"/>
        </w:rPr>
      </w:pPr>
      <w:r>
        <w:rPr>
          <w:rFonts w:eastAsia="Times New Roman"/>
          <w:color w:val="000000"/>
          <w:sz w:val="24"/>
        </w:rPr>
        <w:t>Distribute federal financial support to housing counseling agencies based on past performance and quality of housing counseling services.</w:t>
      </w:r>
    </w:p>
    <w:p w:rsidR="007C25FE" w:rsidRDefault="00AB77A8">
      <w:pPr>
        <w:numPr>
          <w:ilvl w:val="0"/>
          <w:numId w:val="5"/>
        </w:numPr>
        <w:tabs>
          <w:tab w:val="clear" w:pos="360"/>
          <w:tab w:val="left" w:pos="466"/>
        </w:tabs>
        <w:spacing w:before="118" w:line="276" w:lineRule="exact"/>
        <w:ind w:left="106" w:right="195"/>
        <w:textAlignment w:val="baseline"/>
        <w:rPr>
          <w:rFonts w:eastAsia="Times New Roman"/>
          <w:color w:val="000000"/>
          <w:sz w:val="24"/>
        </w:rPr>
      </w:pPr>
      <w:r>
        <w:rPr>
          <w:rFonts w:eastAsia="Times New Roman"/>
          <w:color w:val="000000"/>
          <w:sz w:val="24"/>
        </w:rPr>
        <w:t>Reduce the administrative costs to program participants when applying for and reporting on HUD funding while maintaining essential tracking of program performance and accountability for federal funds.</w:t>
      </w:r>
    </w:p>
    <w:p w:rsidR="007C25FE" w:rsidRDefault="00AB77A8">
      <w:pPr>
        <w:numPr>
          <w:ilvl w:val="0"/>
          <w:numId w:val="5"/>
        </w:numPr>
        <w:tabs>
          <w:tab w:val="clear" w:pos="360"/>
          <w:tab w:val="left" w:pos="466"/>
        </w:tabs>
        <w:spacing w:before="124" w:line="274" w:lineRule="exact"/>
        <w:ind w:left="106" w:right="483"/>
        <w:textAlignment w:val="baseline"/>
        <w:rPr>
          <w:rFonts w:eastAsia="Times New Roman"/>
          <w:color w:val="000000"/>
          <w:sz w:val="24"/>
        </w:rPr>
      </w:pPr>
      <w:r>
        <w:rPr>
          <w:rFonts w:eastAsia="Times New Roman"/>
          <w:color w:val="000000"/>
          <w:sz w:val="24"/>
        </w:rPr>
        <w:t>Leverage external resources and funding to increase the sustainability of quality housing counseling programs.</w:t>
      </w:r>
    </w:p>
    <w:p w:rsidR="007C25FE" w:rsidRDefault="00AB77A8">
      <w:pPr>
        <w:numPr>
          <w:ilvl w:val="0"/>
          <w:numId w:val="5"/>
        </w:numPr>
        <w:tabs>
          <w:tab w:val="clear" w:pos="360"/>
          <w:tab w:val="left" w:pos="466"/>
        </w:tabs>
        <w:spacing w:before="122" w:line="276" w:lineRule="exact"/>
        <w:ind w:left="106" w:right="195"/>
        <w:textAlignment w:val="baseline"/>
        <w:rPr>
          <w:rFonts w:eastAsia="Times New Roman"/>
          <w:color w:val="000000"/>
          <w:sz w:val="24"/>
        </w:rPr>
      </w:pPr>
      <w:r>
        <w:rPr>
          <w:rFonts w:eastAsia="Times New Roman"/>
          <w:color w:val="000000"/>
          <w:sz w:val="24"/>
        </w:rPr>
        <w:t>Ensure high quality housing counseling services by preparing the housing counseling industry for additional HUD counseling standards and individual housing counselor testing and certification.</w:t>
      </w:r>
    </w:p>
    <w:p w:rsidR="007C25FE" w:rsidRDefault="00AB77A8">
      <w:pPr>
        <w:numPr>
          <w:ilvl w:val="0"/>
          <w:numId w:val="5"/>
        </w:numPr>
        <w:tabs>
          <w:tab w:val="clear" w:pos="360"/>
          <w:tab w:val="left" w:pos="466"/>
        </w:tabs>
        <w:spacing w:before="116" w:after="324" w:line="278" w:lineRule="exact"/>
        <w:ind w:left="106" w:right="411"/>
        <w:textAlignment w:val="baseline"/>
        <w:rPr>
          <w:rFonts w:eastAsia="Times New Roman"/>
          <w:color w:val="000000"/>
          <w:spacing w:val="-2"/>
          <w:sz w:val="24"/>
        </w:rPr>
      </w:pPr>
      <w:r>
        <w:rPr>
          <w:rFonts w:eastAsia="Times New Roman"/>
          <w:color w:val="000000"/>
          <w:spacing w:val="-2"/>
          <w:sz w:val="24"/>
        </w:rPr>
        <w:t>Ensure distribution of funding amounts for rural areas having traditionally low levels of access to housing counseling services, including areas with insufficient access to the Internet.</w:t>
      </w:r>
    </w:p>
    <w:p w:rsidR="007C25FE" w:rsidRDefault="00AB77A8">
      <w:pPr>
        <w:spacing w:before="3" w:after="57" w:line="273" w:lineRule="exact"/>
        <w:ind w:left="72"/>
        <w:textAlignment w:val="baseline"/>
        <w:rPr>
          <w:rFonts w:eastAsia="Times New Roman"/>
          <w:b/>
          <w:color w:val="000000"/>
          <w:sz w:val="24"/>
        </w:rPr>
      </w:pPr>
      <w:r>
        <w:rPr>
          <w:rFonts w:eastAsia="Times New Roman"/>
          <w:b/>
          <w:color w:val="000000"/>
          <w:sz w:val="24"/>
        </w:rPr>
        <w:t>2. Changes from Previous NOFA.</w:t>
      </w:r>
    </w:p>
    <w:p w:rsidR="007C25FE" w:rsidRDefault="00AB77A8">
      <w:pPr>
        <w:spacing w:before="33" w:line="276" w:lineRule="exact"/>
        <w:ind w:left="72" w:right="360"/>
        <w:textAlignment w:val="baseline"/>
        <w:rPr>
          <w:rFonts w:eastAsia="Times New Roman"/>
          <w:b/>
          <w:color w:val="000000"/>
          <w:sz w:val="24"/>
        </w:rPr>
      </w:pPr>
      <w:r>
        <w:rPr>
          <w:noProof/>
        </w:rPr>
        <mc:AlternateContent>
          <mc:Choice Requires="wps">
            <w:drawing>
              <wp:anchor distT="0" distB="0" distL="114300" distR="114300" simplePos="0" relativeHeight="251639808" behindDoc="0" locked="0" layoutInCell="1" allowOverlap="1" wp14:anchorId="4F5F3F43" wp14:editId="140ADB90">
                <wp:simplePos x="0" y="0"/>
                <wp:positionH relativeFrom="page">
                  <wp:posOffset>880110</wp:posOffset>
                </wp:positionH>
                <wp:positionV relativeFrom="page">
                  <wp:posOffset>5066030</wp:posOffset>
                </wp:positionV>
                <wp:extent cx="6005195" cy="0"/>
                <wp:effectExtent l="0" t="0" r="0" b="0"/>
                <wp:wrapNone/>
                <wp:docPr id="8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C55681" id="Line 8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398.9pt" to="542.15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yt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40832" behindDoc="0" locked="0" layoutInCell="1" allowOverlap="1" wp14:anchorId="7F95DE34" wp14:editId="337A6841">
                <wp:simplePos x="0" y="0"/>
                <wp:positionH relativeFrom="page">
                  <wp:posOffset>880110</wp:posOffset>
                </wp:positionH>
                <wp:positionV relativeFrom="page">
                  <wp:posOffset>5066030</wp:posOffset>
                </wp:positionV>
                <wp:extent cx="0" cy="3956050"/>
                <wp:effectExtent l="0" t="0" r="0" b="0"/>
                <wp:wrapNone/>
                <wp:docPr id="8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90038" id="Line 8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398.9pt" to="69.3pt,7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" strokecolor="#ccc" strokeweight=".7pt">
                <w10:wrap anchorx="page" anchory="page"/>
              </v:line>
            </w:pict>
          </mc:Fallback>
        </mc:AlternateContent>
      </w:r>
      <w:r>
        <w:rPr>
          <w:noProof/>
        </w:rPr>
        <mc:AlternateContent>
          <mc:Choice Requires="wps">
            <w:drawing>
              <wp:anchor distT="0" distB="0" distL="114300" distR="114300" simplePos="0" relativeHeight="251641856" behindDoc="0" locked="0" layoutInCell="1" allowOverlap="1" wp14:anchorId="79FE46B9" wp14:editId="2AEC217E">
                <wp:simplePos x="0" y="0"/>
                <wp:positionH relativeFrom="page">
                  <wp:posOffset>6885305</wp:posOffset>
                </wp:positionH>
                <wp:positionV relativeFrom="page">
                  <wp:posOffset>5066030</wp:posOffset>
                </wp:positionV>
                <wp:extent cx="0" cy="3956050"/>
                <wp:effectExtent l="0" t="0" r="0" b="0"/>
                <wp:wrapNone/>
                <wp:docPr id="8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F129EC" id="Line 8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15pt,398.9pt" to="542.15pt,7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yIHQIAAEM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" strokecolor="#ccc" strokeweight=".7pt">
                <w10:wrap anchorx="page" anchory="page"/>
              </v:line>
            </w:pict>
          </mc:Fallback>
        </mc:AlternateContent>
      </w:r>
      <w:r>
        <w:rPr>
          <w:rFonts w:eastAsia="Times New Roman"/>
          <w:b/>
          <w:color w:val="000000"/>
          <w:sz w:val="24"/>
        </w:rPr>
        <w:t xml:space="preserve">a. Continuation of Previously Implemented Procedural Changes. </w:t>
      </w:r>
      <w:r>
        <w:rPr>
          <w:rFonts w:eastAsia="Times New Roman"/>
          <w:color w:val="000000"/>
          <w:sz w:val="24"/>
        </w:rPr>
        <w:t>In accordance with the administrative requirements of 2 CFR Part 200, HUD is outlining its process to consider and establish requirements in the following areas. In this NOFA, HUD continues a number of significant changes implemented under previous Comprehensive Housing Counseling NOFA competitions to improve communication, streamline program requirements, reduce administrative burdens, and prepare for additional program standards.</w:t>
      </w:r>
    </w:p>
    <w:p w:rsidR="007C25FE" w:rsidRDefault="00AB77A8">
      <w:pPr>
        <w:spacing w:before="118" w:line="276" w:lineRule="exact"/>
        <w:ind w:left="72" w:right="144"/>
        <w:textAlignment w:val="baseline"/>
        <w:rPr>
          <w:rFonts w:eastAsia="Times New Roman"/>
          <w:b/>
          <w:color w:val="000000"/>
          <w:sz w:val="24"/>
        </w:rPr>
      </w:pPr>
      <w:r>
        <w:rPr>
          <w:rFonts w:eastAsia="Times New Roman"/>
          <w:b/>
          <w:color w:val="000000"/>
          <w:sz w:val="24"/>
        </w:rPr>
        <w:t xml:space="preserve">(1) One Competition Distributes Subsequent Year Funding if Available. </w:t>
      </w:r>
      <w:r>
        <w:rPr>
          <w:rFonts w:eastAsia="Times New Roman"/>
          <w:color w:val="000000"/>
          <w:sz w:val="24"/>
        </w:rPr>
        <w:t>Under the FY 2018 – FY 2019 NOFA, HUD may conduct a competition for housing counseling grant funding for both FY 2018 and FY 2019. HUD will use the Grant applications received for FY 2018 and the corresponding scores and funding methodology to make awards for FY 2019 subject to the availability of FY 2019 appropriations. Along with significantly reducing the application burdens for FY 2018 Grantees, this funding process should enable HUD to make FY 2019 awards soon after FY 2019 appropriations become available.</w:t>
      </w:r>
    </w:p>
    <w:p w:rsidR="007C25FE" w:rsidRDefault="00AB77A8">
      <w:pPr>
        <w:spacing w:before="128" w:after="125" w:line="275" w:lineRule="exact"/>
        <w:ind w:left="72" w:right="144"/>
        <w:textAlignment w:val="baseline"/>
        <w:rPr>
          <w:rFonts w:eastAsia="Times New Roman"/>
          <w:color w:val="000000"/>
          <w:spacing w:val="-2"/>
          <w:sz w:val="24"/>
        </w:rPr>
      </w:pPr>
      <w:r>
        <w:rPr>
          <w:rFonts w:eastAsia="Times New Roman"/>
          <w:color w:val="000000"/>
          <w:spacing w:val="-2"/>
          <w:sz w:val="24"/>
        </w:rPr>
        <w:t>Local Housing Counseling Agencies (LHCAs) that received HUD approval after the FY 2018-FY 2019 NOFA publication date, and other Participating Agencies may be able to affiliate with an Intermediary or State Housing Finance Agency (SHFA) and access FY 2019 funding through that affiliation. A counseling agency which changes its Housing Counseling Program status during FY 2018 (</w:t>
      </w:r>
      <w:r>
        <w:rPr>
          <w:rFonts w:eastAsia="Times New Roman"/>
          <w:i/>
          <w:color w:val="000000"/>
          <w:spacing w:val="-2"/>
          <w:sz w:val="26"/>
        </w:rPr>
        <w:t xml:space="preserve">e.g., </w:t>
      </w:r>
      <w:r>
        <w:rPr>
          <w:rFonts w:eastAsia="Times New Roman"/>
          <w:color w:val="000000"/>
          <w:spacing w:val="-2"/>
          <w:sz w:val="24"/>
        </w:rPr>
        <w:t>change in status from a Multi-State Organization to an LHCA) may still be eligible for FY 2019 funding if the counseling agency meets all pertinent requirements for the current status of the agency. In such a case, HUD may, at its discretion, fund the eligible counseling agency for FY 2019 based on the applicable funding methodology.</w:t>
      </w:r>
    </w:p>
    <w:p w:rsidR="007C25FE" w:rsidRDefault="00AB77A8">
      <w:pPr>
        <w:spacing w:before="375" w:line="288" w:lineRule="exact"/>
        <w:textAlignment w:val="baseline"/>
        <w:rPr>
          <w:rFonts w:eastAsia="Times New Roman"/>
          <w:color w:val="000000"/>
          <w:sz w:val="24"/>
        </w:rPr>
      </w:pPr>
      <w:r>
        <w:rPr>
          <w:noProof/>
        </w:rPr>
        <mc:AlternateContent>
          <mc:Choice Requires="wps">
            <w:drawing>
              <wp:anchor distT="0" distB="0" distL="114300" distR="114300" simplePos="0" relativeHeight="251642880" behindDoc="0" locked="0" layoutInCell="1" allowOverlap="1" wp14:anchorId="3FCDA309" wp14:editId="4EF455F4">
                <wp:simplePos x="0" y="0"/>
                <wp:positionH relativeFrom="column">
                  <wp:posOffset>0</wp:posOffset>
                </wp:positionH>
                <wp:positionV relativeFrom="paragraph">
                  <wp:posOffset>0</wp:posOffset>
                </wp:positionV>
                <wp:extent cx="6005195" cy="0"/>
                <wp:effectExtent l="0" t="0" r="0" b="0"/>
                <wp:wrapNone/>
                <wp:docPr id="7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5042C4" id="Line 7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f4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" strokecolor="#ccc" strokeweight=".7pt"/>
            </w:pict>
          </mc:Fallback>
        </mc:AlternateContent>
      </w:r>
    </w:p>
    <w:p w:rsidR="007C25FE" w:rsidRDefault="007C25FE">
      <w:pPr>
        <w:sectPr w:rsidR="007C25FE">
          <w:pgSz w:w="12240" w:h="15840"/>
          <w:pgMar w:top="1440" w:right="1397" w:bottom="304" w:left="1386" w:header="720" w:footer="720" w:gutter="0"/>
          <w:cols w:space="720"/>
        </w:sectPr>
      </w:pPr>
    </w:p>
    <w:p w:rsidR="007C25FE" w:rsidRDefault="00AB77A8">
      <w:pPr>
        <w:spacing w:before="3" w:line="273" w:lineRule="exact"/>
        <w:textAlignment w:val="baseline"/>
        <w:rPr>
          <w:rFonts w:eastAsia="Times New Roman"/>
          <w:color w:val="000000"/>
          <w:spacing w:val="-9"/>
          <w:sz w:val="24"/>
        </w:rPr>
      </w:pPr>
      <w:r>
        <w:rPr>
          <w:rFonts w:eastAsia="Times New Roman"/>
          <w:color w:val="000000"/>
          <w:spacing w:val="-9"/>
          <w:sz w:val="24"/>
        </w:rPr>
        <w:t>2 of 49</w:t>
      </w:r>
    </w:p>
    <w:p w:rsidR="007C25FE" w:rsidRDefault="007C25FE">
      <w:pPr>
        <w:sectPr w:rsidR="007C25FE">
          <w:type w:val="continuous"/>
          <w:pgSz w:w="12240" w:h="15840"/>
          <w:pgMar w:top="1440" w:right="1397" w:bottom="304" w:left="10123" w:header="720" w:footer="720" w:gutter="0"/>
          <w:cols w:space="720"/>
        </w:sectPr>
      </w:pPr>
    </w:p>
    <w:p w:rsidR="007C25FE" w:rsidRDefault="00AB77A8">
      <w:pPr>
        <w:spacing w:before="49" w:line="276" w:lineRule="exact"/>
        <w:ind w:left="144" w:right="432"/>
        <w:textAlignment w:val="baseline"/>
        <w:rPr>
          <w:rFonts w:eastAsia="Times New Roman"/>
          <w:color w:val="000000"/>
          <w:sz w:val="24"/>
        </w:rPr>
      </w:pPr>
      <w:r>
        <w:rPr>
          <w:noProof/>
        </w:rPr>
        <mc:AlternateContent>
          <mc:Choice Requires="wps">
            <w:drawing>
              <wp:anchor distT="0" distB="0" distL="114300" distR="114300" simplePos="0" relativeHeight="251643904" behindDoc="0" locked="0" layoutInCell="1" allowOverlap="1" wp14:anchorId="0E9248A3" wp14:editId="1CF94446">
                <wp:simplePos x="0" y="0"/>
                <wp:positionH relativeFrom="page">
                  <wp:posOffset>875030</wp:posOffset>
                </wp:positionH>
                <wp:positionV relativeFrom="page">
                  <wp:posOffset>914400</wp:posOffset>
                </wp:positionV>
                <wp:extent cx="6005195" cy="0"/>
                <wp:effectExtent l="0" t="0" r="0" b="0"/>
                <wp:wrapNone/>
                <wp:docPr id="7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4F2A6" id="Line 7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s7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44928" behindDoc="0" locked="0" layoutInCell="1" allowOverlap="1" wp14:anchorId="21BCE79B" wp14:editId="670DE54C">
                <wp:simplePos x="0" y="0"/>
                <wp:positionH relativeFrom="page">
                  <wp:posOffset>875030</wp:posOffset>
                </wp:positionH>
                <wp:positionV relativeFrom="page">
                  <wp:posOffset>914400</wp:posOffset>
                </wp:positionV>
                <wp:extent cx="0" cy="8070850"/>
                <wp:effectExtent l="0" t="0" r="0" b="0"/>
                <wp:wrapNone/>
                <wp:docPr id="7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2A870" id="Line 7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" strokecolor="#ccc" strokeweight=".7pt">
                <w10:wrap anchorx="page" anchory="page"/>
              </v:line>
            </w:pict>
          </mc:Fallback>
        </mc:AlternateContent>
      </w:r>
      <w:r>
        <w:rPr>
          <w:noProof/>
        </w:rPr>
        <mc:AlternateContent>
          <mc:Choice Requires="wps">
            <w:drawing>
              <wp:anchor distT="0" distB="0" distL="114300" distR="114300" simplePos="0" relativeHeight="251645952" behindDoc="0" locked="0" layoutInCell="1" allowOverlap="1" wp14:anchorId="1B227319" wp14:editId="13A63B6F">
                <wp:simplePos x="0" y="0"/>
                <wp:positionH relativeFrom="page">
                  <wp:posOffset>6880225</wp:posOffset>
                </wp:positionH>
                <wp:positionV relativeFrom="page">
                  <wp:posOffset>914400</wp:posOffset>
                </wp:positionV>
                <wp:extent cx="0" cy="8070850"/>
                <wp:effectExtent l="0" t="0" r="0" b="0"/>
                <wp:wrapNone/>
                <wp:docPr id="7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C13CF" id="Line 7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" strokecolor="#ccc" strokeweight=".7pt">
                <w10:wrap anchorx="page" anchory="page"/>
              </v:line>
            </w:pict>
          </mc:Fallback>
        </mc:AlternateContent>
      </w:r>
      <w:r>
        <w:rPr>
          <w:rFonts w:eastAsia="Times New Roman"/>
          <w:color w:val="000000"/>
          <w:sz w:val="24"/>
        </w:rPr>
        <w:t>Alternatively, HUD reserves the right to issue a supplemental or independent Housing Counseling Program NOFA in FY 2019, perhaps limited to new Applicants, or for a specific housing counseling related activity to provide additional support for that activity.</w:t>
      </w:r>
    </w:p>
    <w:p w:rsidR="007C25FE" w:rsidRDefault="00AB77A8">
      <w:pPr>
        <w:numPr>
          <w:ilvl w:val="0"/>
          <w:numId w:val="6"/>
        </w:numPr>
        <w:tabs>
          <w:tab w:val="clear" w:pos="288"/>
          <w:tab w:val="left" w:pos="432"/>
        </w:tabs>
        <w:spacing w:before="116" w:line="276" w:lineRule="exact"/>
        <w:ind w:left="144" w:right="144"/>
        <w:textAlignment w:val="baseline"/>
        <w:rPr>
          <w:rFonts w:eastAsia="Times New Roman"/>
          <w:b/>
          <w:color w:val="000000"/>
          <w:spacing w:val="-1"/>
          <w:sz w:val="24"/>
        </w:rPr>
      </w:pPr>
      <w:r>
        <w:rPr>
          <w:rFonts w:eastAsia="Times New Roman"/>
          <w:b/>
          <w:color w:val="000000"/>
          <w:spacing w:val="-1"/>
          <w:sz w:val="24"/>
        </w:rPr>
        <w:t xml:space="preserve">Risk. </w:t>
      </w:r>
      <w:r>
        <w:rPr>
          <w:rFonts w:eastAsia="Times New Roman"/>
          <w:color w:val="000000"/>
          <w:spacing w:val="-1"/>
          <w:sz w:val="24"/>
        </w:rPr>
        <w:t>This NOFA recognizes that all eligible Applicants already participate in HUD’s Housing Counseling Program and those that met threshold requirements have demonstrated an acceptable level of performance and compliance with programmatic requirements. Risk under HUD’s Housing Counseling Program is further related to past performance and scored under this NOFA through three factors outlined in this NOFA in Section V – Application Review Information. These three factors represent up to 33 of the 100 maximum total points available. Rating Factor 1-Capacity, sub-factor 2 – Performance Review, worth a maximum total of 7 points, considers the Applicant’s performance review history utilizing HUD records. Rating Factor 3 – Soundness of Approach, sub-factor 1 - Past Performance, worth a maximum total of 24 points, considers the Applicant’s past performance (including the impact of number of clients served and the Applicant’s past actual expenses) through information available both in HUD’s systems and as provided by the Applicant. Rating Factor 5 - Achieving Results and Program Evaluation, sub-factor 2 - Grant Expenditure, worth a maximum total of 3 points, considers the Applicant's past grant expenditure history utilizing HUD's records.</w:t>
      </w:r>
    </w:p>
    <w:p w:rsidR="007C25FE" w:rsidRDefault="00AB77A8">
      <w:pPr>
        <w:numPr>
          <w:ilvl w:val="0"/>
          <w:numId w:val="6"/>
        </w:numPr>
        <w:tabs>
          <w:tab w:val="clear" w:pos="288"/>
          <w:tab w:val="left" w:pos="432"/>
        </w:tabs>
        <w:spacing w:before="122" w:line="276" w:lineRule="exact"/>
        <w:ind w:left="144" w:right="144"/>
        <w:textAlignment w:val="baseline"/>
        <w:rPr>
          <w:rFonts w:eastAsia="Times New Roman"/>
          <w:b/>
          <w:color w:val="000000"/>
          <w:sz w:val="24"/>
        </w:rPr>
      </w:pPr>
      <w:r>
        <w:rPr>
          <w:rFonts w:eastAsia="Times New Roman"/>
          <w:b/>
          <w:color w:val="000000"/>
          <w:sz w:val="24"/>
        </w:rPr>
        <w:t xml:space="preserve">Cost Limitations. </w:t>
      </w:r>
      <w:r>
        <w:rPr>
          <w:rFonts w:eastAsia="Times New Roman"/>
          <w:color w:val="000000"/>
          <w:sz w:val="24"/>
        </w:rPr>
        <w:t>Successful applicants under this NOFA will execute a grant agreement with HUD which provides funds for eligible activities on a cost reimbursement basis. As further described under Section III – Eligibility Information, eligible costs, whether direct or indirect, must meet eligibility criteria and also comply with the requirements of 2 CFR Part 200 and the grant agreement. While HUD does not further limit costs beyond these requirements, successful Applicants who further distribute funds to their Sub-grantees may establish additional cost requirements that exceed HUD’s requirements.</w:t>
      </w:r>
    </w:p>
    <w:p w:rsidR="007C25FE" w:rsidRDefault="00AB77A8">
      <w:pPr>
        <w:numPr>
          <w:ilvl w:val="0"/>
          <w:numId w:val="6"/>
        </w:numPr>
        <w:tabs>
          <w:tab w:val="clear" w:pos="288"/>
          <w:tab w:val="left" w:pos="432"/>
        </w:tabs>
        <w:spacing w:before="120" w:line="276" w:lineRule="exact"/>
        <w:ind w:left="144" w:right="144"/>
        <w:textAlignment w:val="baseline"/>
        <w:rPr>
          <w:rFonts w:eastAsia="Times New Roman"/>
          <w:b/>
          <w:color w:val="000000"/>
          <w:sz w:val="24"/>
        </w:rPr>
      </w:pPr>
      <w:r>
        <w:rPr>
          <w:rFonts w:eastAsia="Times New Roman"/>
          <w:b/>
          <w:color w:val="000000"/>
          <w:sz w:val="24"/>
        </w:rPr>
        <w:t xml:space="preserve">Offsetting Expected Counselor Certification Costs. </w:t>
      </w:r>
      <w:r>
        <w:rPr>
          <w:rFonts w:eastAsia="Times New Roman"/>
          <w:color w:val="000000"/>
          <w:sz w:val="24"/>
        </w:rPr>
        <w:t xml:space="preserve">As Applicants should be aware, sections 106(e) and (f) of the Housing and Urban Development Act of 1968 (12 U.S.C. §§ 1701x(e) and (f)) require the Department to test and certify housing counselors. HUD has published a final rule related to these requirements. </w:t>
      </w:r>
      <w:r>
        <w:rPr>
          <w:rFonts w:eastAsia="Times New Roman"/>
          <w:i/>
          <w:color w:val="000000"/>
          <w:sz w:val="24"/>
        </w:rPr>
        <w:t xml:space="preserve">See </w:t>
      </w:r>
      <w:r>
        <w:rPr>
          <w:rFonts w:eastAsia="Times New Roman"/>
          <w:color w:val="000000"/>
          <w:sz w:val="24"/>
        </w:rPr>
        <w:t>81 FR 90632. Applicants should be aware that expected training, testing and certification expenses are eligible expenses under this NOFA. The funding methodology contains a layer of funding based on the number of the Applicant’s full-time equivalent (FTE) housing counselors. This change was made not only to improve the methodology with which HUD determines award amounts, but also to make sure award amounts are made in a manner consistent with the intent to help counseling agencies offset expected certification costs for their counselors.</w:t>
      </w:r>
    </w:p>
    <w:p w:rsidR="007C25FE" w:rsidRDefault="00AB77A8">
      <w:pPr>
        <w:numPr>
          <w:ilvl w:val="0"/>
          <w:numId w:val="6"/>
        </w:numPr>
        <w:tabs>
          <w:tab w:val="clear" w:pos="288"/>
          <w:tab w:val="left" w:pos="432"/>
        </w:tabs>
        <w:spacing w:before="120" w:after="1" w:line="276" w:lineRule="exact"/>
        <w:ind w:left="144" w:right="144"/>
        <w:textAlignment w:val="baseline"/>
        <w:rPr>
          <w:rFonts w:eastAsia="Times New Roman"/>
          <w:b/>
          <w:color w:val="000000"/>
          <w:spacing w:val="-2"/>
          <w:sz w:val="24"/>
        </w:rPr>
      </w:pPr>
      <w:r>
        <w:rPr>
          <w:rFonts w:eastAsia="Times New Roman"/>
          <w:b/>
          <w:color w:val="000000"/>
          <w:spacing w:val="-2"/>
          <w:sz w:val="24"/>
        </w:rPr>
        <w:t xml:space="preserve">Recognition of Quality of Housing Counseling Services. </w:t>
      </w:r>
      <w:r>
        <w:rPr>
          <w:rFonts w:eastAsia="Times New Roman"/>
          <w:color w:val="000000"/>
          <w:spacing w:val="-2"/>
          <w:sz w:val="24"/>
        </w:rPr>
        <w:t>The scoring and funding methodology for this NOFA is intended to enable Grantees to meet the program goal of building agency capacity to provide a flexible range of services to address a wide variety of housing and financial needs, especially in response to recent economic and housing conditions. Scoring under this NOFA will reward high-quality services, oversight and quality control, meeting key needs, and efficient program administration. HUD will require all Applicants to identify distribution of funds among Sub-grantees and Branches at the time of application based on percentages of the grant rather than dollar amounts. In addition, only Sub-grantees and Branches that directly provide housing counseling services should be listed in the application. In other words, Sub-grantees or Branches that perform administrative functions only should not</w:t>
      </w:r>
    </w:p>
    <w:p w:rsidR="007C25FE" w:rsidRDefault="00AB77A8">
      <w:pPr>
        <w:spacing w:before="433" w:line="288" w:lineRule="exact"/>
        <w:textAlignment w:val="baseline"/>
        <w:rPr>
          <w:rFonts w:eastAsia="Times New Roman"/>
          <w:color w:val="000000"/>
          <w:sz w:val="24"/>
        </w:rPr>
      </w:pPr>
      <w:r>
        <w:rPr>
          <w:noProof/>
        </w:rPr>
        <mc:AlternateContent>
          <mc:Choice Requires="wps">
            <w:drawing>
              <wp:anchor distT="0" distB="0" distL="114300" distR="114300" simplePos="0" relativeHeight="251646976" behindDoc="0" locked="0" layoutInCell="1" allowOverlap="1" wp14:anchorId="6B42D163" wp14:editId="7D67A86A">
                <wp:simplePos x="0" y="0"/>
                <wp:positionH relativeFrom="column">
                  <wp:posOffset>0</wp:posOffset>
                </wp:positionH>
                <wp:positionV relativeFrom="paragraph">
                  <wp:posOffset>0</wp:posOffset>
                </wp:positionV>
                <wp:extent cx="6005195" cy="0"/>
                <wp:effectExtent l="0" t="0" r="0" b="0"/>
                <wp:wrapNone/>
                <wp:docPr id="7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6D1BD" id="Line 7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Po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" strokecolor="#ccc" strokeweight=".7pt"/>
            </w:pict>
          </mc:Fallback>
        </mc:AlternateContent>
      </w:r>
    </w:p>
    <w:p w:rsidR="007C25FE" w:rsidRDefault="007C25FE">
      <w:pPr>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0"/>
          <w:sz w:val="24"/>
        </w:rPr>
      </w:pPr>
      <w:r>
        <w:rPr>
          <w:rFonts w:eastAsia="Times New Roman"/>
          <w:color w:val="000000"/>
          <w:spacing w:val="-10"/>
          <w:sz w:val="24"/>
        </w:rPr>
        <w:t>3 of 49</w:t>
      </w:r>
    </w:p>
    <w:p w:rsidR="007C25FE" w:rsidRDefault="007C25FE">
      <w:pPr>
        <w:sectPr w:rsidR="007C25FE">
          <w:type w:val="continuous"/>
          <w:pgSz w:w="12240" w:h="15840"/>
          <w:pgMar w:top="1440" w:right="1418" w:bottom="304" w:left="10102" w:header="720" w:footer="720" w:gutter="0"/>
          <w:cols w:space="720"/>
        </w:sectPr>
      </w:pPr>
    </w:p>
    <w:p w:rsidR="007C25FE" w:rsidRDefault="00AB77A8">
      <w:pPr>
        <w:spacing w:before="45" w:line="276" w:lineRule="exact"/>
        <w:ind w:left="72" w:right="144"/>
        <w:textAlignment w:val="baseline"/>
        <w:rPr>
          <w:rFonts w:eastAsia="Times New Roman"/>
          <w:color w:val="000000"/>
          <w:sz w:val="24"/>
        </w:rPr>
      </w:pPr>
      <w:r>
        <w:rPr>
          <w:noProof/>
        </w:rPr>
        <mc:AlternateContent>
          <mc:Choice Requires="wps">
            <w:drawing>
              <wp:anchor distT="0" distB="0" distL="114300" distR="114300" simplePos="0" relativeHeight="251648000" behindDoc="0" locked="0" layoutInCell="1" allowOverlap="1" wp14:anchorId="0CB4E877" wp14:editId="1346DDBF">
                <wp:simplePos x="0" y="0"/>
                <wp:positionH relativeFrom="page">
                  <wp:posOffset>875030</wp:posOffset>
                </wp:positionH>
                <wp:positionV relativeFrom="page">
                  <wp:posOffset>914400</wp:posOffset>
                </wp:positionV>
                <wp:extent cx="6005195" cy="0"/>
                <wp:effectExtent l="0" t="0" r="0" b="0"/>
                <wp:wrapNone/>
                <wp:docPr id="7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F5C5F" id="Line 7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8rHgIAAEM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49024" behindDoc="0" locked="0" layoutInCell="1" allowOverlap="1" wp14:anchorId="20B5AAED" wp14:editId="746B04F6">
                <wp:simplePos x="0" y="0"/>
                <wp:positionH relativeFrom="page">
                  <wp:posOffset>875030</wp:posOffset>
                </wp:positionH>
                <wp:positionV relativeFrom="page">
                  <wp:posOffset>914400</wp:posOffset>
                </wp:positionV>
                <wp:extent cx="0" cy="8070850"/>
                <wp:effectExtent l="0" t="0" r="0" b="0"/>
                <wp:wrapNone/>
                <wp:docPr id="7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E180F5" id="Line 7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" strokecolor="#ccc" strokeweight=".7pt">
                <w10:wrap anchorx="page" anchory="page"/>
              </v:line>
            </w:pict>
          </mc:Fallback>
        </mc:AlternateContent>
      </w:r>
      <w:r>
        <w:rPr>
          <w:noProof/>
        </w:rPr>
        <mc:AlternateContent>
          <mc:Choice Requires="wps">
            <w:drawing>
              <wp:anchor distT="0" distB="0" distL="114300" distR="114300" simplePos="0" relativeHeight="251650048" behindDoc="0" locked="0" layoutInCell="1" allowOverlap="1" wp14:anchorId="48AA3A6B" wp14:editId="458FE7AC">
                <wp:simplePos x="0" y="0"/>
                <wp:positionH relativeFrom="page">
                  <wp:posOffset>6880225</wp:posOffset>
                </wp:positionH>
                <wp:positionV relativeFrom="page">
                  <wp:posOffset>914400</wp:posOffset>
                </wp:positionV>
                <wp:extent cx="0" cy="8070850"/>
                <wp:effectExtent l="0" t="0" r="0" b="0"/>
                <wp:wrapNone/>
                <wp:docPr id="7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5B43A0" id="Line 7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" strokecolor="#ccc" strokeweight=".7pt">
                <w10:wrap anchorx="page" anchory="page"/>
              </v:line>
            </w:pict>
          </mc:Fallback>
        </mc:AlternateContent>
      </w:r>
      <w:r>
        <w:rPr>
          <w:rFonts w:eastAsia="Times New Roman"/>
          <w:color w:val="000000"/>
          <w:sz w:val="24"/>
        </w:rPr>
        <w:t>be listed as Sub-grantees. Further, an Intermediary or State Housing Finance Agency (SHFA) may not fund a Sub-grantee at 100% of the Sub-grantee’s budget. HUD will view the list of Sub-grantees identified in the Applicant’s application as final. If after the grants are awarded an Applicant would like to change its submitted list of Sub-grantees, the Grantee must make the request of HUD in writing and provide detailed justification for the request.</w:t>
      </w:r>
    </w:p>
    <w:p w:rsidR="007C25FE" w:rsidRDefault="00AB77A8">
      <w:pPr>
        <w:spacing w:before="120" w:line="276" w:lineRule="exact"/>
        <w:ind w:left="72" w:right="144"/>
        <w:textAlignment w:val="baseline"/>
        <w:rPr>
          <w:rFonts w:eastAsia="Times New Roman"/>
          <w:b/>
          <w:color w:val="000000"/>
          <w:sz w:val="24"/>
        </w:rPr>
      </w:pPr>
      <w:r>
        <w:rPr>
          <w:rFonts w:eastAsia="Times New Roman"/>
          <w:b/>
          <w:color w:val="000000"/>
          <w:sz w:val="24"/>
        </w:rPr>
        <w:t>(6) Encouraging Counseling Networks</w:t>
      </w:r>
      <w:r>
        <w:rPr>
          <w:rFonts w:eastAsia="Times New Roman"/>
          <w:color w:val="000000"/>
          <w:sz w:val="24"/>
        </w:rPr>
        <w:t>. HUD will provide increased support for Intermediaries, SHFAs and Multi-State Organizations (MSOs) that manage networks of housing counseling agencies or Branches; in other words, that sub-allocate funding to Sub-grantees and Branches. Specifically, this NOFA is structured to encourage such agencies to expand their network, and encourage Local Housing Counseling Agencies (LHCAs) and other agencies to form new partnerships to gain access to additional resources and cost savings. This NOFA permits the funding of a Sub-grantee’s Branches. However, to receive a base award under the funding methodology for this NOFA, a Branch office must be open to provide housing counseling services to a minimum of thirty (30) clients per year, except for those agencies providing only HECM counseling. In addition, this NOFA will provide support based on the number of FTE counselors in a network. HUD counseling grants will be structured to provide Grantees that manage networks of counseling agencies with additional resources to ensure quality, accountability, technical assistance support and information technology support for their respective networks.</w:t>
      </w:r>
    </w:p>
    <w:p w:rsidR="007C25FE" w:rsidRDefault="00AB77A8">
      <w:pPr>
        <w:spacing w:before="122" w:line="276" w:lineRule="exact"/>
        <w:ind w:left="72" w:right="144"/>
        <w:textAlignment w:val="baseline"/>
        <w:rPr>
          <w:rFonts w:eastAsia="Times New Roman"/>
          <w:color w:val="000000"/>
          <w:spacing w:val="-1"/>
          <w:sz w:val="24"/>
        </w:rPr>
      </w:pPr>
      <w:r>
        <w:rPr>
          <w:rFonts w:eastAsia="Times New Roman"/>
          <w:color w:val="000000"/>
          <w:spacing w:val="-1"/>
          <w:sz w:val="24"/>
        </w:rPr>
        <w:t>HUD continues to encourage networks with HUD-approved Intermediaries and SHFAs for several reasons. First, HUD recognizes the important role that housing counseling networks can play in improving the quality of housing counseling, for example by facilitating knowledge and sharing best practices. Second, HUD is determined to take steps to decrease the size of the application, reporting and other program administration work load burdens on housing counseling agencies in an effort to maximize the impact of housing counseling resources on the consumers of housing counseling services. HUD also wants to cooperate more effectively with SHFAs given the increasingly important role they are playing in the housing counseling field. Most applicants should be familiar with this counseling network funding model, as a similar approach has been used to distribute National Foreclosure Mitigation Counseling (NFMC) funding. To help facilitate the partnering of LHCAs with Intermediaries and SHFAs, Appendix A provides contact information for Intermediaries and SHFAs that participate in HUD’s Housing Counseling Program as of the NOFA publication date.</w:t>
      </w:r>
    </w:p>
    <w:p w:rsidR="007C25FE" w:rsidRDefault="00AB77A8">
      <w:pPr>
        <w:spacing w:before="118" w:line="276" w:lineRule="exact"/>
        <w:ind w:left="72" w:right="720"/>
        <w:textAlignment w:val="baseline"/>
        <w:rPr>
          <w:rFonts w:eastAsia="Times New Roman"/>
          <w:color w:val="000000"/>
          <w:sz w:val="24"/>
        </w:rPr>
      </w:pPr>
      <w:r>
        <w:rPr>
          <w:rFonts w:eastAsia="Times New Roman"/>
          <w:color w:val="000000"/>
          <w:sz w:val="24"/>
        </w:rPr>
        <w:t>To encourage Applicants to increase the size of their counseling networks, the funding methodology for this NOFA incorporates a flat award per Sub-grantee and Branch (of the Intermediary, SHFA or Multi-State Organization [MSO]) included in an application.</w:t>
      </w:r>
    </w:p>
    <w:p w:rsidR="007C25FE" w:rsidRDefault="00AB77A8">
      <w:pPr>
        <w:spacing w:before="122" w:after="1" w:line="276" w:lineRule="exact"/>
        <w:ind w:left="72" w:right="144"/>
        <w:textAlignment w:val="baseline"/>
        <w:rPr>
          <w:rFonts w:eastAsia="Times New Roman"/>
          <w:b/>
          <w:color w:val="000000"/>
          <w:spacing w:val="-2"/>
          <w:sz w:val="24"/>
        </w:rPr>
      </w:pPr>
      <w:r>
        <w:rPr>
          <w:rFonts w:eastAsia="Times New Roman"/>
          <w:b/>
          <w:color w:val="000000"/>
          <w:spacing w:val="-2"/>
          <w:sz w:val="24"/>
        </w:rPr>
        <w:t xml:space="preserve">b. Continuation of Significant Funding Methodology Changes. </w:t>
      </w:r>
      <w:r>
        <w:rPr>
          <w:rFonts w:eastAsia="Times New Roman"/>
          <w:color w:val="000000"/>
          <w:spacing w:val="-2"/>
          <w:sz w:val="24"/>
        </w:rPr>
        <w:t>While network size and number of Sub-grantees remain as funding methodology factors, this NOFA continues changes made to the FY16-FY17 Comprehensive Housing Counseling NOFA funding methodology that slightly decreased the weighting of network size while continuing to factor in other criteria such as score, number of FTEs, network management activities and other relevant criteria. In determining the level of funding to provide support for a network, HUD may base a portion of this calculation on an Applicant’s intent to review members of its network utilizing the HUD-9910 form and share review results and follow-up actions with HUD. HUD continues to reserve the right to establish maximum award amounts as it has done in the past, and anticipates</w:t>
      </w:r>
    </w:p>
    <w:p w:rsidR="007C25FE" w:rsidRDefault="00AB77A8">
      <w:pPr>
        <w:spacing w:before="433" w:line="288" w:lineRule="exact"/>
        <w:textAlignment w:val="baseline"/>
        <w:rPr>
          <w:rFonts w:eastAsia="Times New Roman"/>
          <w:color w:val="000000"/>
          <w:sz w:val="24"/>
        </w:rPr>
      </w:pPr>
      <w:r>
        <w:rPr>
          <w:noProof/>
        </w:rPr>
        <mc:AlternateContent>
          <mc:Choice Requires="wps">
            <w:drawing>
              <wp:anchor distT="0" distB="0" distL="114300" distR="114300" simplePos="0" relativeHeight="251651072" behindDoc="0" locked="0" layoutInCell="1" allowOverlap="1" wp14:anchorId="3CB7924B" wp14:editId="697414CB">
                <wp:simplePos x="0" y="0"/>
                <wp:positionH relativeFrom="column">
                  <wp:posOffset>0</wp:posOffset>
                </wp:positionH>
                <wp:positionV relativeFrom="paragraph">
                  <wp:posOffset>0</wp:posOffset>
                </wp:positionV>
                <wp:extent cx="6005195" cy="0"/>
                <wp:effectExtent l="0" t="0" r="0" b="0"/>
                <wp:wrapNone/>
                <wp:docPr id="7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333A8F" id="Line 7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BRIAIAAEM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" strokecolor="#ccc" strokeweight=".7pt"/>
            </w:pict>
          </mc:Fallback>
        </mc:AlternateContent>
      </w:r>
    </w:p>
    <w:p w:rsidR="007C25FE" w:rsidRDefault="007C25FE">
      <w:pPr>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9"/>
          <w:sz w:val="24"/>
        </w:rPr>
      </w:pPr>
      <w:r>
        <w:rPr>
          <w:rFonts w:eastAsia="Times New Roman"/>
          <w:color w:val="000000"/>
          <w:spacing w:val="-9"/>
          <w:sz w:val="24"/>
        </w:rPr>
        <w:t>4 of 49</w:t>
      </w:r>
    </w:p>
    <w:p w:rsidR="007C25FE" w:rsidRDefault="007C25FE">
      <w:pPr>
        <w:sectPr w:rsidR="007C25FE">
          <w:type w:val="continuous"/>
          <w:pgSz w:w="12240" w:h="15840"/>
          <w:pgMar w:top="1440" w:right="1423" w:bottom="304" w:left="10097" w:header="720" w:footer="720" w:gutter="0"/>
          <w:cols w:space="720"/>
        </w:sectPr>
      </w:pPr>
    </w:p>
    <w:p w:rsidR="007C25FE" w:rsidRDefault="00AB77A8">
      <w:pPr>
        <w:spacing w:before="50" w:line="276" w:lineRule="exact"/>
        <w:ind w:left="72"/>
        <w:textAlignment w:val="baseline"/>
        <w:rPr>
          <w:rFonts w:eastAsia="Times New Roman"/>
          <w:color w:val="000000"/>
          <w:sz w:val="24"/>
        </w:rPr>
      </w:pPr>
      <w:r>
        <w:rPr>
          <w:noProof/>
        </w:rPr>
        <mc:AlternateContent>
          <mc:Choice Requires="wps">
            <w:drawing>
              <wp:anchor distT="0" distB="0" distL="114300" distR="114300" simplePos="0" relativeHeight="251652096" behindDoc="0" locked="0" layoutInCell="1" allowOverlap="1" wp14:anchorId="254EAFE0" wp14:editId="56BDEF14">
                <wp:simplePos x="0" y="0"/>
                <wp:positionH relativeFrom="page">
                  <wp:posOffset>875030</wp:posOffset>
                </wp:positionH>
                <wp:positionV relativeFrom="page">
                  <wp:posOffset>914400</wp:posOffset>
                </wp:positionV>
                <wp:extent cx="6005195" cy="0"/>
                <wp:effectExtent l="0" t="0" r="0" b="0"/>
                <wp:wrapNone/>
                <wp:docPr id="7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F7C5B" id="Line 7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yS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4F89AFC7" wp14:editId="70293324">
                <wp:simplePos x="0" y="0"/>
                <wp:positionH relativeFrom="page">
                  <wp:posOffset>875030</wp:posOffset>
                </wp:positionH>
                <wp:positionV relativeFrom="page">
                  <wp:posOffset>6776720</wp:posOffset>
                </wp:positionV>
                <wp:extent cx="6005195" cy="0"/>
                <wp:effectExtent l="0" t="0" r="0" b="0"/>
                <wp:wrapNone/>
                <wp:docPr id="6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9FB190" id="Line 6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533.6pt" to="541.75pt,5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DW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" strokecolor="#ccc" strokeweight=".7pt">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14:anchorId="779BE1B6" wp14:editId="322F0A10">
                <wp:simplePos x="0" y="0"/>
                <wp:positionH relativeFrom="page">
                  <wp:posOffset>875030</wp:posOffset>
                </wp:positionH>
                <wp:positionV relativeFrom="page">
                  <wp:posOffset>914400</wp:posOffset>
                </wp:positionV>
                <wp:extent cx="0" cy="5862320"/>
                <wp:effectExtent l="0" t="0" r="0" b="0"/>
                <wp:wrapNone/>
                <wp:docPr id="6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C5973D" id="Line 6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5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abHgIAAEMEAAAOAAAAZHJzL2Uyb0RvYy54bWysU82O2jAQvlfqO1i+QxI2S0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51A1E6E5" wp14:editId="4B23CC49">
                <wp:simplePos x="0" y="0"/>
                <wp:positionH relativeFrom="page">
                  <wp:posOffset>6880225</wp:posOffset>
                </wp:positionH>
                <wp:positionV relativeFrom="page">
                  <wp:posOffset>914400</wp:posOffset>
                </wp:positionV>
                <wp:extent cx="0" cy="5862320"/>
                <wp:effectExtent l="0" t="0" r="0" b="0"/>
                <wp:wrapNone/>
                <wp:docPr id="6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232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96B563" id="Line 6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5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" strokecolor="#ccc" strokeweight=".7pt">
                <w10:wrap anchorx="page" anchory="page"/>
              </v:line>
            </w:pict>
          </mc:Fallback>
        </mc:AlternateContent>
      </w:r>
      <w:r>
        <w:rPr>
          <w:rFonts w:eastAsia="Times New Roman"/>
          <w:color w:val="000000"/>
          <w:sz w:val="24"/>
        </w:rPr>
        <w:t>considering a reduction in the maximum award amount under this NOFA.</w:t>
      </w:r>
    </w:p>
    <w:p w:rsidR="007C25FE" w:rsidRDefault="00AB77A8">
      <w:pPr>
        <w:numPr>
          <w:ilvl w:val="0"/>
          <w:numId w:val="7"/>
        </w:numPr>
        <w:tabs>
          <w:tab w:val="clear" w:pos="216"/>
          <w:tab w:val="left" w:pos="288"/>
        </w:tabs>
        <w:spacing w:before="116" w:line="276" w:lineRule="exact"/>
        <w:ind w:left="72" w:right="144"/>
        <w:textAlignment w:val="baseline"/>
        <w:rPr>
          <w:rFonts w:eastAsia="Times New Roman"/>
          <w:b/>
          <w:color w:val="000000"/>
          <w:sz w:val="24"/>
        </w:rPr>
      </w:pPr>
      <w:r>
        <w:rPr>
          <w:rFonts w:eastAsia="Times New Roman"/>
          <w:b/>
          <w:color w:val="000000"/>
          <w:sz w:val="24"/>
        </w:rPr>
        <w:t xml:space="preserve">Grant Request Amount. </w:t>
      </w:r>
      <w:r>
        <w:rPr>
          <w:rFonts w:eastAsia="Times New Roman"/>
          <w:color w:val="000000"/>
          <w:sz w:val="24"/>
        </w:rPr>
        <w:t>HUD will not require grant amount requests or grant budgets at the time of application. However, HUD will require submission of the actual expenses of the previous year, which will be used as an element in scoring. As discussed in the Funding Methodology section of this NOFA (Section V.B.2.a.(5)), HUD reserves the right to establish a maximum grant amount in order to distribute funds to best meet program objectives. Applicants may also indicate (but are not required to provide) a maximum grant request. This amount, if provided, will also be used in the Funding Methodology as a cap used in establishing the maximum grant amount for the Applicant.</w:t>
      </w:r>
    </w:p>
    <w:p w:rsidR="007C25FE" w:rsidRDefault="00AB77A8">
      <w:pPr>
        <w:numPr>
          <w:ilvl w:val="0"/>
          <w:numId w:val="7"/>
        </w:numPr>
        <w:tabs>
          <w:tab w:val="clear" w:pos="216"/>
          <w:tab w:val="left" w:pos="288"/>
        </w:tabs>
        <w:spacing w:before="120" w:line="276" w:lineRule="exact"/>
        <w:ind w:left="72" w:right="144"/>
        <w:textAlignment w:val="baseline"/>
        <w:rPr>
          <w:rFonts w:eastAsia="Times New Roman"/>
          <w:b/>
          <w:color w:val="000000"/>
          <w:sz w:val="24"/>
        </w:rPr>
      </w:pPr>
      <w:r>
        <w:rPr>
          <w:rFonts w:eastAsia="Times New Roman"/>
          <w:b/>
          <w:color w:val="000000"/>
          <w:sz w:val="24"/>
        </w:rPr>
        <w:t xml:space="preserve">Changes to Application Form: </w:t>
      </w:r>
      <w:r>
        <w:rPr>
          <w:rFonts w:eastAsia="Times New Roman"/>
          <w:color w:val="000000"/>
          <w:sz w:val="24"/>
        </w:rPr>
        <w:t>LHCA and Intermediaries/SHFAs/MSOs now have separate sets of application forms. LHCAs will complete and submit the HUD-9906-L "Local Housing Counseling Agency (LHCA) Application" which contains Charts A1, B1, C1, D1, E1, F1 and G1.</w:t>
      </w:r>
    </w:p>
    <w:p w:rsidR="007C25FE" w:rsidRDefault="00AB77A8">
      <w:pPr>
        <w:spacing w:before="122" w:line="276" w:lineRule="exact"/>
        <w:ind w:left="72" w:right="144"/>
        <w:textAlignment w:val="baseline"/>
        <w:rPr>
          <w:rFonts w:eastAsia="Times New Roman"/>
          <w:color w:val="000000"/>
          <w:sz w:val="24"/>
        </w:rPr>
      </w:pPr>
      <w:r>
        <w:rPr>
          <w:rFonts w:eastAsia="Times New Roman"/>
          <w:color w:val="000000"/>
          <w:sz w:val="24"/>
        </w:rPr>
        <w:t>Intermediaries, State Housing Finance Agencies (SHFA) and Multi-State Organizations (MSO) will complete the HUD-9906-P "Intermediary, State Housing Finance Agency, and Multi-State Organization Application" which contains Charts A2, B2, C2, D2, E2, F2 and G2. Additionally, they must complete and submit the mandatory Excel spreadsheets accompanying Charts A2 and D2.</w:t>
      </w:r>
    </w:p>
    <w:p w:rsidR="007C25FE" w:rsidRDefault="00AB77A8">
      <w:pPr>
        <w:numPr>
          <w:ilvl w:val="0"/>
          <w:numId w:val="7"/>
        </w:numPr>
        <w:tabs>
          <w:tab w:val="clear" w:pos="216"/>
          <w:tab w:val="left" w:pos="288"/>
        </w:tabs>
        <w:spacing w:before="120" w:line="276" w:lineRule="exact"/>
        <w:ind w:left="72" w:right="216"/>
        <w:textAlignment w:val="baseline"/>
        <w:rPr>
          <w:rFonts w:eastAsia="Times New Roman"/>
          <w:b/>
          <w:color w:val="000000"/>
          <w:sz w:val="24"/>
        </w:rPr>
      </w:pPr>
      <w:r>
        <w:rPr>
          <w:rFonts w:eastAsia="Times New Roman"/>
          <w:b/>
          <w:color w:val="000000"/>
          <w:sz w:val="24"/>
        </w:rPr>
        <w:t xml:space="preserve">Changes to Preference Points. </w:t>
      </w:r>
      <w:r>
        <w:rPr>
          <w:rFonts w:eastAsia="Times New Roman"/>
          <w:color w:val="000000"/>
          <w:sz w:val="24"/>
        </w:rPr>
        <w:t>Preference Points in addition to Promise Zones in Section V.A.2 of this NOFA: HUD encourages housing counselling agencies to provide housing counselors with training in emergency preparedness and/or disaster recovery. HUD will award two points for qualified activities, such as establishing a Continuity of Operations Plan</w:t>
      </w:r>
    </w:p>
    <w:p w:rsidR="007C25FE" w:rsidRDefault="00AB77A8">
      <w:pPr>
        <w:spacing w:line="275" w:lineRule="exact"/>
        <w:ind w:left="72" w:right="144"/>
        <w:textAlignment w:val="baseline"/>
        <w:rPr>
          <w:rFonts w:eastAsia="Times New Roman"/>
          <w:color w:val="000000"/>
          <w:sz w:val="24"/>
        </w:rPr>
      </w:pPr>
      <w:r>
        <w:rPr>
          <w:rFonts w:eastAsia="Times New Roman"/>
          <w:color w:val="000000"/>
          <w:sz w:val="24"/>
        </w:rPr>
        <w:t>(COOP), supporting either or both initiative(s). In no case will HUD award more than two preference points for these activities. To receive Emergency Preparedness and/or Disaster Recovery Preference Points, applicants must indicate "x" in Field E on HUD-9906 Chart A1 or A2, and have described these types of activities in their approved housing counseling work plan on file with HUD. Applicants should note that preference points will be awarded only after an applicant has met a minimum threshold score on their application (i.e., the preference points do not assist the applicant to meet the minimum threshold score).</w:t>
      </w:r>
    </w:p>
    <w:p w:rsidR="007C25FE" w:rsidRDefault="00AB77A8">
      <w:pPr>
        <w:spacing w:before="122" w:after="274" w:line="276" w:lineRule="exact"/>
        <w:ind w:left="72"/>
        <w:textAlignment w:val="baseline"/>
        <w:rPr>
          <w:rFonts w:eastAsia="Times New Roman"/>
          <w:color w:val="000000"/>
          <w:sz w:val="24"/>
        </w:rPr>
      </w:pPr>
      <w:r>
        <w:rPr>
          <w:rFonts w:eastAsia="Times New Roman"/>
          <w:color w:val="000000"/>
          <w:sz w:val="24"/>
        </w:rPr>
        <w:t>There are no longer Preference points for Preferred Sustainability Status Communities (PSSC).</w:t>
      </w:r>
    </w:p>
    <w:p w:rsidR="007C25FE" w:rsidRDefault="00AB77A8">
      <w:pPr>
        <w:spacing w:before="3" w:line="273" w:lineRule="exact"/>
        <w:ind w:left="72"/>
        <w:textAlignment w:val="baseline"/>
        <w:rPr>
          <w:rFonts w:eastAsia="Times New Roman"/>
          <w:b/>
          <w:color w:val="000000"/>
          <w:sz w:val="24"/>
        </w:rPr>
      </w:pPr>
      <w:r>
        <w:rPr>
          <w:rFonts w:eastAsia="Times New Roman"/>
          <w:b/>
          <w:color w:val="000000"/>
          <w:sz w:val="24"/>
        </w:rPr>
        <w:t>3. Definitions.</w:t>
      </w:r>
    </w:p>
    <w:p w:rsidR="007C25FE" w:rsidRDefault="00AB77A8">
      <w:pPr>
        <w:spacing w:before="3" w:line="276" w:lineRule="exact"/>
        <w:ind w:left="72"/>
        <w:textAlignment w:val="baseline"/>
        <w:rPr>
          <w:rFonts w:eastAsia="Times New Roman"/>
          <w:color w:val="000000"/>
          <w:sz w:val="24"/>
        </w:rPr>
      </w:pPr>
      <w:r>
        <w:rPr>
          <w:rFonts w:eastAsia="Times New Roman"/>
          <w:color w:val="000000"/>
          <w:sz w:val="24"/>
        </w:rPr>
        <w:t>a. Standard Definitions</w:t>
      </w:r>
    </w:p>
    <w:p w:rsidR="007C25FE" w:rsidRDefault="00AB77A8">
      <w:pPr>
        <w:spacing w:line="276" w:lineRule="exact"/>
        <w:ind w:left="72" w:right="216"/>
        <w:textAlignment w:val="baseline"/>
        <w:rPr>
          <w:rFonts w:eastAsia="Times New Roman"/>
          <w:color w:val="000000"/>
          <w:sz w:val="24"/>
        </w:rPr>
      </w:pPr>
      <w:r>
        <w:rPr>
          <w:rFonts w:eastAsia="Times New Roman"/>
          <w:color w:val="000000"/>
          <w:sz w:val="24"/>
        </w:rPr>
        <w:t>Analysis of Impediments to Fair Housing Choice (AI) is a review of impediments or barriers that affect the rights related to fair housing choice pursuant to the Fair Housing Planning Guide issued in 1996, and pertains to program participants in jurisdictions operating under a current Consolidated Plan and public housing agencies operating under a PHA Plan.</w:t>
      </w:r>
    </w:p>
    <w:p w:rsidR="007C25FE" w:rsidRDefault="00AB77A8">
      <w:pPr>
        <w:spacing w:after="586" w:line="275" w:lineRule="exact"/>
        <w:ind w:left="72" w:right="72"/>
        <w:textAlignment w:val="baseline"/>
        <w:rPr>
          <w:rFonts w:eastAsia="Times New Roman"/>
          <w:color w:val="000000"/>
          <w:spacing w:val="2"/>
          <w:sz w:val="24"/>
        </w:rPr>
      </w:pPr>
      <w:r>
        <w:rPr>
          <w:rFonts w:eastAsia="Times New Roman"/>
          <w:color w:val="000000"/>
          <w:spacing w:val="2"/>
          <w:sz w:val="24"/>
        </w:rPr>
        <w:t>Assessment of Fair Housing (AFH) is the analysis undertaken pursuant to</w:t>
      </w:r>
      <w:r>
        <w:rPr>
          <w:rFonts w:eastAsia="Times New Roman"/>
          <w:color w:val="0000EE"/>
          <w:spacing w:val="2"/>
          <w:sz w:val="24"/>
          <w:u w:val="single"/>
        </w:rPr>
        <w:t xml:space="preserve"> 24 CFR 5.154.</w:t>
      </w:r>
      <w:r>
        <w:rPr>
          <w:rFonts w:eastAsia="Times New Roman"/>
          <w:color w:val="000000"/>
          <w:spacing w:val="2"/>
          <w:sz w:val="24"/>
        </w:rPr>
        <w:t xml:space="preserve"> AFH includes an analysis of fair housing data, an assessment of fair housing issues and contributing factors, the prioritization of contributing factors, and the identification of fair housing goals. AFH is conducted and submitted to HUD using the applicable Assessment Tool. Entities obligated to prepare and submit an AFH are: (1) Jurisdictions and Insular Areas are required to submit Consolidated Plans for the following programs: (i) The Community Development Block Grant (CDBG) program (see 24 CFR part 570, subparts D and I); (ii) The</w:t>
      </w:r>
    </w:p>
    <w:p w:rsidR="007C25FE" w:rsidRDefault="007C25FE">
      <w:pPr>
        <w:spacing w:after="586" w:line="275" w:lineRule="exact"/>
        <w:sectPr w:rsidR="007C25FE">
          <w:pgSz w:w="12240" w:h="15840"/>
          <w:pgMar w:top="1440" w:right="1405" w:bottom="304" w:left="1378" w:header="720" w:footer="720" w:gutter="0"/>
          <w:cols w:space="720"/>
        </w:sectPr>
      </w:pPr>
    </w:p>
    <w:p w:rsidR="007C25FE" w:rsidRDefault="00AB77A8">
      <w:pPr>
        <w:spacing w:line="276" w:lineRule="exact"/>
        <w:textAlignment w:val="baseline"/>
        <w:rPr>
          <w:rFonts w:eastAsia="Times New Roman"/>
          <w:color w:val="000000"/>
          <w:spacing w:val="-10"/>
          <w:sz w:val="24"/>
        </w:rPr>
      </w:pPr>
      <w:r>
        <w:rPr>
          <w:rFonts w:eastAsia="Times New Roman"/>
          <w:color w:val="000000"/>
          <w:spacing w:val="-10"/>
          <w:sz w:val="24"/>
        </w:rPr>
        <w:t>5 of 49</w:t>
      </w:r>
    </w:p>
    <w:p w:rsidR="007C25FE" w:rsidRDefault="007C25FE">
      <w:pPr>
        <w:sectPr w:rsidR="007C25FE">
          <w:type w:val="continuous"/>
          <w:pgSz w:w="12240" w:h="15840"/>
          <w:pgMar w:top="1440" w:right="1418" w:bottom="304" w:left="10102" w:header="720" w:footer="720" w:gutter="0"/>
          <w:cols w:space="720"/>
        </w:sectPr>
      </w:pPr>
    </w:p>
    <w:p w:rsidR="007C25FE" w:rsidRDefault="00AB77A8">
      <w:pPr>
        <w:spacing w:before="11" w:line="276" w:lineRule="exact"/>
        <w:ind w:left="72"/>
        <w:textAlignment w:val="baseline"/>
        <w:rPr>
          <w:rFonts w:eastAsia="Times New Roman"/>
          <w:color w:val="000000"/>
          <w:sz w:val="24"/>
        </w:rPr>
      </w:pPr>
      <w:r>
        <w:rPr>
          <w:rFonts w:eastAsia="Times New Roman"/>
          <w:color w:val="000000"/>
          <w:sz w:val="24"/>
        </w:rPr>
        <w:t>Emergency Solutions Grants (ESG) program (see 24 CFR part 576); (iii)</w:t>
      </w:r>
    </w:p>
    <w:p w:rsidR="007C25FE" w:rsidRDefault="00AB77A8">
      <w:pPr>
        <w:spacing w:line="276" w:lineRule="exact"/>
        <w:ind w:left="72" w:right="216"/>
        <w:textAlignment w:val="baseline"/>
        <w:rPr>
          <w:rFonts w:eastAsia="Times New Roman"/>
          <w:color w:val="000000"/>
          <w:sz w:val="24"/>
        </w:rPr>
      </w:pPr>
      <w:r>
        <w:rPr>
          <w:rFonts w:eastAsia="Times New Roman"/>
          <w:color w:val="000000"/>
          <w:sz w:val="24"/>
        </w:rPr>
        <w:t>The HOMEInvestment Partnerships (HOME) program (see 24 CFR part 92); and (iv) The Housing Opportunities for Persons With AIDS (HOPWA) program (see 24 CFR part 574); and (2) Public housing agencies (PHAs) receiving assistance under sections 8 or 9 of the United States Housing Act of 1937 (42 U.S.C. 1437f or 42 U.S.C.1437g).</w:t>
      </w:r>
    </w:p>
    <w:p w:rsidR="007C25FE" w:rsidRDefault="00AB77A8">
      <w:pPr>
        <w:spacing w:line="275" w:lineRule="exact"/>
        <w:ind w:left="72" w:right="216"/>
        <w:textAlignment w:val="baseline"/>
        <w:rPr>
          <w:rFonts w:eastAsia="Times New Roman"/>
          <w:color w:val="000000"/>
          <w:sz w:val="24"/>
        </w:rPr>
      </w:pPr>
      <w:r>
        <w:rPr>
          <w:rFonts w:eastAsia="Times New Roman"/>
          <w:color w:val="000000"/>
          <w:sz w:val="24"/>
        </w:rPr>
        <w:t xml:space="preserve">Authorized Organization Representative (AOR) is the person authorized to submit applications on behalf of the organization via </w:t>
      </w:r>
      <w:hyperlink r:id="rId7">
        <w:r>
          <w:rPr>
            <w:rFonts w:eastAsia="Times New Roman"/>
            <w:color w:val="0000FF"/>
            <w:sz w:val="24"/>
            <w:u w:val="single"/>
          </w:rPr>
          <w:t>Grants.gov</w:t>
        </w:r>
      </w:hyperlink>
      <w:r>
        <w:rPr>
          <w:rFonts w:eastAsia="Times New Roman"/>
          <w:color w:val="000000"/>
          <w:sz w:val="24"/>
        </w:rPr>
        <w:t>. The AOR is authorized by the E-Biz point of contact in the System for Award Management. The AOR is listed in item 21 on the SF-424. Award, as used in this NOFA means a federal, grant, cooperative agreement, loan, or loan guarantee.</w:t>
      </w:r>
    </w:p>
    <w:p w:rsidR="007C25FE" w:rsidRDefault="00AB77A8">
      <w:pPr>
        <w:spacing w:line="276" w:lineRule="exact"/>
        <w:ind w:left="72" w:right="360"/>
        <w:jc w:val="both"/>
        <w:textAlignment w:val="baseline"/>
        <w:rPr>
          <w:rFonts w:eastAsia="Times New Roman"/>
          <w:color w:val="000000"/>
          <w:spacing w:val="-1"/>
          <w:sz w:val="24"/>
        </w:rPr>
      </w:pPr>
      <w:r>
        <w:rPr>
          <w:rFonts w:eastAsia="Times New Roman"/>
          <w:color w:val="000000"/>
          <w:spacing w:val="-1"/>
          <w:sz w:val="24"/>
        </w:rPr>
        <w:t>Catalog of Federal Domestic Assistance (CFDA) is a directory of the various Federal listings, projects, services and activities offering financial and non-financial assistance and benefits to the American public. CFDA Number is the unique number assigned to each program, project, service or activity listed in the Catalog of Federal Domestic Assistance (CFDA).</w:t>
      </w:r>
    </w:p>
    <w:p w:rsidR="007C25FE" w:rsidRDefault="00AB77A8">
      <w:pPr>
        <w:spacing w:before="3" w:line="276" w:lineRule="exact"/>
        <w:ind w:left="72" w:right="216"/>
        <w:textAlignment w:val="baseline"/>
        <w:rPr>
          <w:rFonts w:eastAsia="Times New Roman"/>
          <w:color w:val="000000"/>
          <w:sz w:val="24"/>
        </w:rPr>
      </w:pPr>
      <w:r>
        <w:rPr>
          <w:rFonts w:eastAsia="Times New Roman"/>
          <w:color w:val="000000"/>
          <w:sz w:val="24"/>
        </w:rPr>
        <w:t>Consolidated Plan is a document developed by states and local jurisdictions. This plan is completed by engaging in a participatory process to assess their affordable housing and community development needs and market conditions, and to make data-driven, place-based investment decisions with funding from formula grant programs. (See 24 CFR part 91 for more information about the Consolidated Plan and related Annual Action Plan).</w:t>
      </w:r>
    </w:p>
    <w:p w:rsidR="007C25FE" w:rsidRDefault="00AB77A8">
      <w:pPr>
        <w:spacing w:line="275" w:lineRule="exact"/>
        <w:ind w:left="72" w:right="144"/>
        <w:textAlignment w:val="baseline"/>
        <w:rPr>
          <w:rFonts w:eastAsia="Times New Roman"/>
          <w:color w:val="000000"/>
          <w:sz w:val="24"/>
        </w:rPr>
      </w:pPr>
      <w:r>
        <w:rPr>
          <w:rFonts w:eastAsia="Times New Roman"/>
          <w:color w:val="000000"/>
          <w:sz w:val="24"/>
        </w:rPr>
        <w:t>Contract means a legal instrument by which a non-Federal entity purchases property or services needed to carry out the project or program under a Federal award. The term as used in this NOFA does not include a legal instrument, even if the non-Federal entity considers it a contract, when the substance of the transaction meets the definition of a Federal award or subaward (See 2 CFR 200.22.)</w:t>
      </w:r>
    </w:p>
    <w:p w:rsidR="007C25FE" w:rsidRDefault="00AB77A8">
      <w:pPr>
        <w:spacing w:before="3" w:line="276" w:lineRule="exact"/>
        <w:ind w:left="72"/>
        <w:textAlignment w:val="baseline"/>
        <w:rPr>
          <w:rFonts w:eastAsia="Times New Roman"/>
          <w:color w:val="000000"/>
          <w:sz w:val="24"/>
        </w:rPr>
      </w:pPr>
      <w:r>
        <w:rPr>
          <w:rFonts w:eastAsia="Times New Roman"/>
          <w:color w:val="000000"/>
          <w:sz w:val="24"/>
        </w:rPr>
        <w:t>Contractor means an entity receiving a contract.</w:t>
      </w:r>
    </w:p>
    <w:p w:rsidR="007C25FE" w:rsidRDefault="00AB77A8">
      <w:pPr>
        <w:spacing w:line="276" w:lineRule="exact"/>
        <w:ind w:left="72" w:right="288"/>
        <w:textAlignment w:val="baseline"/>
        <w:rPr>
          <w:rFonts w:eastAsia="Times New Roman"/>
          <w:color w:val="000000"/>
          <w:sz w:val="24"/>
        </w:rPr>
      </w:pPr>
      <w:r>
        <w:rPr>
          <w:rFonts w:eastAsia="Times New Roman"/>
          <w:color w:val="000000"/>
          <w:sz w:val="24"/>
        </w:rPr>
        <w:t>Deficiency is information missing or omitted within a submitted application. Deficiencies typically involve missing documents, information on a form, or some other type of unsatisfied information requirement (e.g., an unsigned form, unchecked box, etc.). Depending on specific criteria, deficiencies may be either curable or non-curable.</w:t>
      </w:r>
    </w:p>
    <w:p w:rsidR="007C25FE" w:rsidRDefault="00AB77A8">
      <w:pPr>
        <w:spacing w:before="385" w:line="276" w:lineRule="exact"/>
        <w:ind w:left="72"/>
        <w:jc w:val="center"/>
        <w:textAlignment w:val="baseline"/>
        <w:rPr>
          <w:rFonts w:ascii="Segoe UI Symbol" w:eastAsia="Segoe UI Symbol" w:hAnsi="Segoe UI Symbol"/>
          <w:color w:val="000000"/>
          <w:spacing w:val="1"/>
          <w:sz w:val="24"/>
        </w:rPr>
      </w:pPr>
      <w:r>
        <w:rPr>
          <w:rFonts w:ascii="Segoe UI Symbol" w:eastAsia="Segoe UI Symbol" w:hAnsi="Segoe UI Symbol"/>
          <w:color w:val="000000"/>
          <w:spacing w:val="1"/>
          <w:sz w:val="24"/>
        </w:rPr>
        <w:t></w:t>
      </w:r>
      <w:r>
        <w:rPr>
          <w:rFonts w:eastAsia="Times New Roman"/>
          <w:color w:val="000000"/>
          <w:spacing w:val="1"/>
          <w:sz w:val="24"/>
        </w:rPr>
        <w:t xml:space="preserve"> Curable Deficiency – Applicants may correct a curable deficiency with timely action.</w:t>
      </w:r>
    </w:p>
    <w:p w:rsidR="007C25FE" w:rsidRDefault="00AB77A8">
      <w:pPr>
        <w:spacing w:before="229" w:line="276" w:lineRule="exact"/>
        <w:ind w:left="72"/>
        <w:textAlignment w:val="baseline"/>
        <w:rPr>
          <w:rFonts w:eastAsia="Times New Roman"/>
          <w:color w:val="000000"/>
          <w:sz w:val="24"/>
        </w:rPr>
      </w:pPr>
      <w:r>
        <w:rPr>
          <w:rFonts w:eastAsia="Times New Roman"/>
          <w:color w:val="000000"/>
          <w:sz w:val="24"/>
        </w:rPr>
        <w:t>To be curable the deficiency must:</w:t>
      </w:r>
    </w:p>
    <w:p w:rsidR="007C25FE" w:rsidRDefault="00AB77A8">
      <w:pPr>
        <w:spacing w:before="2" w:line="276" w:lineRule="exact"/>
        <w:ind w:left="72"/>
        <w:textAlignment w:val="baseline"/>
        <w:rPr>
          <w:rFonts w:eastAsia="Times New Roman"/>
          <w:color w:val="000000"/>
          <w:sz w:val="24"/>
        </w:rPr>
      </w:pPr>
      <w:r>
        <w:rPr>
          <w:rFonts w:eastAsia="Times New Roman"/>
          <w:color w:val="000000"/>
          <w:sz w:val="24"/>
        </w:rPr>
        <w:t>Not be a threshold requirement, except for documentation of applicant eligibility;</w:t>
      </w:r>
    </w:p>
    <w:p w:rsidR="007C25FE" w:rsidRDefault="00AB77A8">
      <w:pPr>
        <w:spacing w:line="274" w:lineRule="exact"/>
        <w:ind w:left="72"/>
        <w:textAlignment w:val="baseline"/>
        <w:rPr>
          <w:rFonts w:eastAsia="Times New Roman"/>
          <w:color w:val="000000"/>
          <w:sz w:val="24"/>
        </w:rPr>
      </w:pPr>
      <w:r>
        <w:rPr>
          <w:rFonts w:eastAsia="Times New Roman"/>
          <w:color w:val="000000"/>
          <w:sz w:val="24"/>
        </w:rPr>
        <w:t>Not influence how an applicant is ranked or scored versus other applicants; and</w:t>
      </w:r>
    </w:p>
    <w:p w:rsidR="007C25FE" w:rsidRDefault="00AB77A8">
      <w:pPr>
        <w:spacing w:before="2" w:line="276" w:lineRule="exact"/>
        <w:ind w:left="1152"/>
        <w:textAlignment w:val="baseline"/>
        <w:rPr>
          <w:rFonts w:eastAsia="Times New Roman"/>
          <w:color w:val="000000"/>
          <w:sz w:val="24"/>
        </w:rPr>
      </w:pPr>
      <w:r>
        <w:rPr>
          <w:rFonts w:eastAsia="Times New Roman"/>
          <w:color w:val="000000"/>
          <w:sz w:val="24"/>
        </w:rPr>
        <w:t>Be able to be remedied within the time frame specified in the notice of deficiency.</w:t>
      </w:r>
    </w:p>
    <w:p w:rsidR="007C25FE" w:rsidRDefault="00AB77A8">
      <w:pPr>
        <w:spacing w:before="375" w:line="276" w:lineRule="exact"/>
        <w:ind w:left="792" w:right="72" w:hanging="216"/>
        <w:textAlignment w:val="baseline"/>
        <w:rPr>
          <w:rFonts w:ascii="Segoe UI Symbol" w:eastAsia="Segoe UI Symbol" w:hAnsi="Segoe UI Symbol"/>
          <w:color w:val="000000"/>
          <w:sz w:val="24"/>
        </w:rPr>
      </w:pPr>
      <w:r>
        <w:rPr>
          <w:rFonts w:ascii="Segoe UI Symbol" w:eastAsia="Segoe UI Symbol" w:hAnsi="Segoe UI Symbol"/>
          <w:color w:val="000000"/>
          <w:sz w:val="24"/>
        </w:rPr>
        <w:t></w:t>
      </w:r>
      <w:r>
        <w:rPr>
          <w:rFonts w:eastAsia="Times New Roman"/>
          <w:color w:val="000000"/>
          <w:sz w:val="24"/>
        </w:rPr>
        <w:t xml:space="preserve"> Non-Curable Deficiency – An applicant cannot correct a non-curable deficiency after the submission deadline.</w:t>
      </w:r>
    </w:p>
    <w:p w:rsidR="007C25FE" w:rsidRDefault="00AB77A8">
      <w:pPr>
        <w:spacing w:before="240" w:line="276" w:lineRule="exact"/>
        <w:ind w:left="72" w:right="72"/>
        <w:jc w:val="both"/>
        <w:textAlignment w:val="baseline"/>
        <w:rPr>
          <w:rFonts w:eastAsia="Times New Roman"/>
          <w:color w:val="000000"/>
          <w:sz w:val="24"/>
        </w:rPr>
      </w:pPr>
      <w:r>
        <w:rPr>
          <w:rFonts w:eastAsia="Times New Roman"/>
          <w:color w:val="000000"/>
          <w:sz w:val="24"/>
        </w:rPr>
        <w:t>Non-curable deficiencies are deficiencies if corrected would change an applicant’s score or rank versus other applicants.</w:t>
      </w:r>
    </w:p>
    <w:p w:rsidR="007C25FE" w:rsidRDefault="00AB77A8">
      <w:pPr>
        <w:spacing w:after="1004" w:line="276" w:lineRule="exact"/>
        <w:ind w:left="72" w:right="576"/>
        <w:jc w:val="both"/>
        <w:textAlignment w:val="baseline"/>
        <w:rPr>
          <w:rFonts w:eastAsia="Times New Roman"/>
          <w:color w:val="000000"/>
          <w:sz w:val="24"/>
        </w:rPr>
      </w:pPr>
      <w:r>
        <w:rPr>
          <w:rFonts w:eastAsia="Times New Roman"/>
          <w:color w:val="000000"/>
          <w:sz w:val="24"/>
        </w:rPr>
        <w:t>Non-curable deficiencies may result in an application being marked ineligible, or otherwise adversely affect an application’s score and final determination.</w:t>
      </w:r>
    </w:p>
    <w:p w:rsidR="007C25FE" w:rsidRDefault="007C25FE">
      <w:pPr>
        <w:spacing w:after="1004" w:line="276" w:lineRule="exact"/>
        <w:sectPr w:rsidR="007C25FE">
          <w:pgSz w:w="12240" w:h="15840"/>
          <w:pgMar w:top="1560" w:right="1425" w:bottom="304" w:left="1358" w:header="720" w:footer="720" w:gutter="0"/>
          <w:cols w:space="720"/>
        </w:sectPr>
      </w:pPr>
    </w:p>
    <w:p w:rsidR="007C25FE" w:rsidRDefault="00AB77A8">
      <w:pPr>
        <w:spacing w:line="275" w:lineRule="exact"/>
        <w:textAlignment w:val="baseline"/>
        <w:rPr>
          <w:rFonts w:eastAsia="Times New Roman"/>
          <w:color w:val="000000"/>
          <w:spacing w:val="-10"/>
          <w:sz w:val="24"/>
        </w:rPr>
      </w:pPr>
      <w:r>
        <w:rPr>
          <w:rFonts w:eastAsia="Times New Roman"/>
          <w:color w:val="000000"/>
          <w:spacing w:val="-10"/>
          <w:sz w:val="24"/>
        </w:rPr>
        <w:t>6 of 49</w:t>
      </w:r>
    </w:p>
    <w:p w:rsidR="007C25FE" w:rsidRDefault="007C25FE">
      <w:pPr>
        <w:sectPr w:rsidR="007C25FE">
          <w:type w:val="continuous"/>
          <w:pgSz w:w="12240" w:h="15840"/>
          <w:pgMar w:top="1560" w:right="1418" w:bottom="304" w:left="10102" w:header="720" w:footer="720" w:gutter="0"/>
          <w:cols w:space="720"/>
        </w:sectPr>
      </w:pPr>
    </w:p>
    <w:p w:rsidR="007C25FE" w:rsidRDefault="00AB77A8">
      <w:pPr>
        <w:spacing w:before="8" w:line="276" w:lineRule="exact"/>
        <w:ind w:left="72" w:right="144"/>
        <w:textAlignment w:val="baseline"/>
        <w:rPr>
          <w:rFonts w:eastAsia="Times New Roman"/>
          <w:color w:val="000000"/>
          <w:sz w:val="24"/>
        </w:rPr>
      </w:pPr>
      <w:r>
        <w:rPr>
          <w:rFonts w:eastAsia="Times New Roman"/>
          <w:color w:val="000000"/>
          <w:sz w:val="24"/>
        </w:rPr>
        <w:t>DUNS Number is the nine-digit identification number assigned to a business or organization by Dun &amp; Bradstreet and provides a means of identifying business entities on a location-specific basis. Requests for a DUNS number can be made by visiting the Online DUNS Request Portal. Eligibility requirements are mandatory requirements for an application to be eligible for funding. Deficiencies in meeting an eligibility requirement may be categorized as either curable or non-curable.</w:t>
      </w:r>
    </w:p>
    <w:p w:rsidR="007C25FE" w:rsidRDefault="00AB77A8">
      <w:pPr>
        <w:spacing w:line="276" w:lineRule="exact"/>
        <w:ind w:left="72" w:right="144"/>
        <w:textAlignment w:val="baseline"/>
        <w:rPr>
          <w:rFonts w:eastAsia="Times New Roman"/>
          <w:color w:val="000000"/>
          <w:sz w:val="24"/>
        </w:rPr>
      </w:pPr>
      <w:r>
        <w:rPr>
          <w:rFonts w:eastAsia="Times New Roman"/>
          <w:color w:val="000000"/>
          <w:sz w:val="24"/>
        </w:rPr>
        <w:t>Federal Awardee Performance and Integrity Information System (FAPIIS) is a database that has been established to track contractor misconduct and performance.</w:t>
      </w:r>
    </w:p>
    <w:p w:rsidR="007C25FE" w:rsidRDefault="005D7575">
      <w:pPr>
        <w:spacing w:before="3" w:line="276" w:lineRule="exact"/>
        <w:ind w:left="72" w:right="288"/>
        <w:textAlignment w:val="baseline"/>
        <w:rPr>
          <w:rFonts w:eastAsia="Times New Roman"/>
          <w:color w:val="000000"/>
          <w:sz w:val="24"/>
        </w:rPr>
      </w:pPr>
      <w:hyperlink r:id="rId8">
        <w:r w:rsidR="00AB77A8">
          <w:rPr>
            <w:rFonts w:eastAsia="Times New Roman"/>
            <w:color w:val="0000FF"/>
            <w:sz w:val="24"/>
            <w:u w:val="single"/>
          </w:rPr>
          <w:t>Grants.gov</w:t>
        </w:r>
      </w:hyperlink>
      <w:r w:rsidR="00AB77A8">
        <w:rPr>
          <w:rFonts w:eastAsia="Times New Roman"/>
          <w:color w:val="000000"/>
          <w:sz w:val="24"/>
        </w:rPr>
        <w:t xml:space="preserve"> is the website serving as the Federal government’s central portal for searching and applying for federal financial assistance throughout the Federal government. Registration in </w:t>
      </w:r>
      <w:hyperlink r:id="rId9">
        <w:r w:rsidR="00AB77A8">
          <w:rPr>
            <w:rFonts w:eastAsia="Times New Roman"/>
            <w:color w:val="0000FF"/>
            <w:sz w:val="24"/>
            <w:u w:val="single"/>
          </w:rPr>
          <w:t>Grants.gov</w:t>
        </w:r>
      </w:hyperlink>
      <w:r w:rsidR="00AB77A8">
        <w:rPr>
          <w:rFonts w:eastAsia="Times New Roman"/>
          <w:color w:val="000000"/>
          <w:sz w:val="24"/>
        </w:rPr>
        <w:t xml:space="preserve"> is required for submission of applications to prospective agencies.</w:t>
      </w:r>
    </w:p>
    <w:p w:rsidR="007C25FE" w:rsidRDefault="00AB77A8">
      <w:pPr>
        <w:spacing w:line="275" w:lineRule="exact"/>
        <w:ind w:left="72" w:right="144"/>
        <w:textAlignment w:val="baseline"/>
        <w:rPr>
          <w:rFonts w:eastAsia="Times New Roman"/>
          <w:color w:val="000000"/>
          <w:spacing w:val="6"/>
          <w:sz w:val="24"/>
        </w:rPr>
      </w:pPr>
      <w:r>
        <w:rPr>
          <w:rFonts w:eastAsia="Times New Roman"/>
          <w:color w:val="000000"/>
          <w:spacing w:val="6"/>
          <w:sz w:val="24"/>
        </w:rPr>
        <w:t>NOTE: Passwords expire every 60 days. Accounts inactive for 1 year or more result in removal of all account roles. For more account management information, review the</w:t>
      </w:r>
      <w:r>
        <w:rPr>
          <w:rFonts w:eastAsia="Times New Roman"/>
          <w:color w:val="0000EE"/>
          <w:spacing w:val="6"/>
          <w:sz w:val="24"/>
          <w:u w:val="single"/>
        </w:rPr>
        <w:t xml:space="preserve"> Applicant FAQs</w:t>
      </w:r>
      <w:r>
        <w:rPr>
          <w:rFonts w:eastAsia="Times New Roman"/>
          <w:color w:val="000000"/>
          <w:spacing w:val="6"/>
          <w:sz w:val="24"/>
        </w:rPr>
        <w:t xml:space="preserve"> contained on the </w:t>
      </w:r>
      <w:hyperlink r:id="rId10">
        <w:r>
          <w:rPr>
            <w:rFonts w:eastAsia="Times New Roman"/>
            <w:color w:val="0000FF"/>
            <w:spacing w:val="6"/>
            <w:sz w:val="24"/>
            <w:u w:val="single"/>
          </w:rPr>
          <w:t>grants.gov</w:t>
        </w:r>
      </w:hyperlink>
      <w:r>
        <w:rPr>
          <w:rFonts w:eastAsia="Times New Roman"/>
          <w:color w:val="000000"/>
          <w:spacing w:val="6"/>
          <w:sz w:val="24"/>
        </w:rPr>
        <w:t xml:space="preserve"> web page.</w:t>
      </w:r>
    </w:p>
    <w:p w:rsidR="007C25FE" w:rsidRDefault="00AB77A8">
      <w:pPr>
        <w:spacing w:before="2" w:line="276" w:lineRule="exact"/>
        <w:ind w:left="72" w:right="144"/>
        <w:textAlignment w:val="baseline"/>
        <w:rPr>
          <w:rFonts w:eastAsia="Times New Roman"/>
          <w:color w:val="000000"/>
          <w:sz w:val="24"/>
        </w:rPr>
      </w:pPr>
      <w:r>
        <w:rPr>
          <w:rFonts w:eastAsia="Times New Roman"/>
          <w:color w:val="000000"/>
          <w:sz w:val="24"/>
        </w:rPr>
        <w:t>Non-Federal Entity means a state, local government, Indian tribe, institution of higher education (IHE), or non-profit organization carrying out a Federal award as a recipient or subrecipient. Personally identifiable information (PII), as defined by the</w:t>
      </w:r>
      <w:r>
        <w:rPr>
          <w:rFonts w:eastAsia="Times New Roman"/>
          <w:color w:val="0000EE"/>
          <w:sz w:val="24"/>
          <w:u w:val="single"/>
        </w:rPr>
        <w:t xml:space="preserve"> Office of Management and Budget M-07-16,</w:t>
      </w:r>
      <w:r>
        <w:rPr>
          <w:rFonts w:eastAsia="Times New Roman"/>
          <w:color w:val="000000"/>
          <w:sz w:val="24"/>
        </w:rPr>
        <w:t xml:space="preserve"> is any information which can be used to distinguish or trace an individual’s identity, such as their name, social security number, biometric records, alone, or when combined with other personal or identifying information which is linked or linkable to a specific individual, such as date and place of birth, mother’s maiden name, etc.</w:t>
      </w:r>
    </w:p>
    <w:p w:rsidR="007C25FE" w:rsidRDefault="00AB77A8">
      <w:pPr>
        <w:spacing w:before="273" w:line="276" w:lineRule="exact"/>
        <w:ind w:left="72" w:right="720"/>
        <w:textAlignment w:val="baseline"/>
        <w:rPr>
          <w:rFonts w:eastAsia="Times New Roman"/>
          <w:color w:val="000000"/>
          <w:spacing w:val="-1"/>
          <w:sz w:val="24"/>
        </w:rPr>
      </w:pPr>
      <w:r>
        <w:rPr>
          <w:rFonts w:eastAsia="Times New Roman"/>
          <w:color w:val="000000"/>
          <w:spacing w:val="-1"/>
          <w:sz w:val="24"/>
        </w:rPr>
        <w:t>Point of Contact (POC) is the person who may be contacted with questions about the application submitted by the AOR. The point of contact is listed in item 8F on the SF424.</w:t>
      </w:r>
    </w:p>
    <w:p w:rsidR="007C25FE" w:rsidRDefault="00AB77A8">
      <w:pPr>
        <w:spacing w:before="279" w:line="276" w:lineRule="exact"/>
        <w:ind w:left="72" w:right="144"/>
        <w:textAlignment w:val="baseline"/>
        <w:rPr>
          <w:rFonts w:eastAsia="Times New Roman"/>
          <w:color w:val="000000"/>
          <w:sz w:val="24"/>
        </w:rPr>
      </w:pPr>
      <w:r>
        <w:rPr>
          <w:rFonts w:eastAsia="Times New Roman"/>
          <w:color w:val="000000"/>
          <w:sz w:val="24"/>
        </w:rPr>
        <w:t>Promise Zonesare federally-designated, high-poverty urban, rural and tribal communities where the Federal government will partner with and invest in communities to accomplish these goals: create jobs, leverage private investment, increase economic activity, expand educational opportunities, and reduce violent crime.</w:t>
      </w:r>
    </w:p>
    <w:p w:rsidR="007C25FE" w:rsidRDefault="00AB77A8">
      <w:pPr>
        <w:spacing w:before="276" w:line="276" w:lineRule="exact"/>
        <w:ind w:left="72" w:right="360"/>
        <w:textAlignment w:val="baseline"/>
        <w:rPr>
          <w:rFonts w:eastAsia="Times New Roman"/>
          <w:color w:val="000000"/>
          <w:sz w:val="24"/>
        </w:rPr>
      </w:pPr>
      <w:r>
        <w:rPr>
          <w:rFonts w:eastAsia="Times New Roman"/>
          <w:color w:val="000000"/>
          <w:sz w:val="24"/>
        </w:rPr>
        <w:t>Promotores/Promotoras are Spanish-speaking Community Health Workers who work in their communities to reduce barriers to health services and make health care systems more responsive.</w:t>
      </w:r>
    </w:p>
    <w:p w:rsidR="007C25FE" w:rsidRDefault="00AB77A8">
      <w:pPr>
        <w:spacing w:line="276" w:lineRule="exact"/>
        <w:ind w:left="72" w:right="504"/>
        <w:textAlignment w:val="baseline"/>
        <w:rPr>
          <w:rFonts w:eastAsia="Times New Roman"/>
          <w:color w:val="000000"/>
          <w:sz w:val="24"/>
        </w:rPr>
      </w:pPr>
      <w:r>
        <w:rPr>
          <w:rFonts w:eastAsia="Times New Roman"/>
          <w:color w:val="000000"/>
          <w:sz w:val="24"/>
        </w:rPr>
        <w:t>Recipient means a non-Federal entity receiving an award directly from HUD to carry out an activity under a HUD program.</w:t>
      </w:r>
    </w:p>
    <w:p w:rsidR="007C25FE" w:rsidRDefault="00AB77A8">
      <w:pPr>
        <w:spacing w:line="276" w:lineRule="exact"/>
        <w:ind w:left="72" w:right="144"/>
        <w:textAlignment w:val="baseline"/>
        <w:rPr>
          <w:rFonts w:eastAsia="Times New Roman"/>
          <w:color w:val="000000"/>
          <w:sz w:val="24"/>
        </w:rPr>
      </w:pPr>
      <w:r>
        <w:rPr>
          <w:rFonts w:eastAsia="Times New Roman"/>
          <w:color w:val="000000"/>
          <w:sz w:val="24"/>
        </w:rPr>
        <w:t>Section 3 Business Concern means a business concern (1) 51 percent or more owned by Section 3 residents; or (2) of which at least 30 percent of permanent, full-time employees are currently Section 3 residents, or were Section 3 residents within three years of the date of first employment with the business concern; or (3) provides evidence of a commitment to subcontract over 25 percent of the dollar award of all subcontracts to be awarded to business concerns meeting the qualifications in this definition.</w:t>
      </w:r>
    </w:p>
    <w:p w:rsidR="007C25FE" w:rsidRDefault="00AB77A8">
      <w:pPr>
        <w:spacing w:line="275" w:lineRule="exact"/>
        <w:ind w:left="72" w:right="576"/>
        <w:textAlignment w:val="baseline"/>
        <w:rPr>
          <w:rFonts w:eastAsia="Times New Roman"/>
          <w:color w:val="000000"/>
          <w:sz w:val="24"/>
        </w:rPr>
      </w:pPr>
      <w:r>
        <w:rPr>
          <w:rFonts w:eastAsia="Times New Roman"/>
          <w:color w:val="000000"/>
          <w:sz w:val="24"/>
        </w:rPr>
        <w:t>Section 3 Residents means: 1) Public housing residents; or 2) Low and very-low income persons, as defined in 24 CFR 135.5, who live in the metropolitan area or non-metropolitan county where Section 3 covered assistance is expended.</w:t>
      </w:r>
    </w:p>
    <w:p w:rsidR="007C25FE" w:rsidRDefault="00AB77A8">
      <w:pPr>
        <w:spacing w:after="582" w:line="276" w:lineRule="exact"/>
        <w:ind w:left="72" w:right="1008"/>
        <w:textAlignment w:val="baseline"/>
        <w:rPr>
          <w:rFonts w:eastAsia="Times New Roman"/>
          <w:color w:val="000000"/>
          <w:sz w:val="24"/>
        </w:rPr>
      </w:pPr>
      <w:r>
        <w:rPr>
          <w:rFonts w:eastAsia="Times New Roman"/>
          <w:color w:val="000000"/>
          <w:sz w:val="24"/>
        </w:rPr>
        <w:t>Standard Form 424 (SF424) Application for Federal Assistance Programs, required by discretionary grant programs.</w:t>
      </w:r>
    </w:p>
    <w:p w:rsidR="007C25FE" w:rsidRDefault="007C25FE">
      <w:pPr>
        <w:spacing w:after="582" w:line="276" w:lineRule="exact"/>
        <w:sectPr w:rsidR="007C25FE">
          <w:pgSz w:w="12240" w:h="15840"/>
          <w:pgMar w:top="1560" w:right="1434" w:bottom="304" w:left="1349" w:header="720" w:footer="720" w:gutter="0"/>
          <w:cols w:space="720"/>
        </w:sectPr>
      </w:pPr>
    </w:p>
    <w:p w:rsidR="007C25FE" w:rsidRDefault="00AB77A8">
      <w:pPr>
        <w:spacing w:line="275" w:lineRule="exact"/>
        <w:textAlignment w:val="baseline"/>
        <w:rPr>
          <w:rFonts w:eastAsia="Times New Roman"/>
          <w:color w:val="000000"/>
          <w:spacing w:val="-10"/>
          <w:sz w:val="24"/>
        </w:rPr>
      </w:pPr>
      <w:r>
        <w:rPr>
          <w:rFonts w:eastAsia="Times New Roman"/>
          <w:color w:val="000000"/>
          <w:spacing w:val="-10"/>
          <w:sz w:val="24"/>
        </w:rPr>
        <w:t>7 of 49</w:t>
      </w:r>
    </w:p>
    <w:p w:rsidR="007C25FE" w:rsidRDefault="007C25FE">
      <w:pPr>
        <w:sectPr w:rsidR="007C25FE">
          <w:type w:val="continuous"/>
          <w:pgSz w:w="12240" w:h="15840"/>
          <w:pgMar w:top="1560" w:right="1421" w:bottom="304" w:left="10099" w:header="720" w:footer="720" w:gutter="0"/>
          <w:cols w:space="720"/>
        </w:sectPr>
      </w:pPr>
    </w:p>
    <w:p w:rsidR="007C25FE" w:rsidRDefault="00AB77A8">
      <w:pPr>
        <w:spacing w:before="12" w:line="276" w:lineRule="exact"/>
        <w:ind w:left="72" w:right="144"/>
        <w:textAlignment w:val="baseline"/>
        <w:rPr>
          <w:rFonts w:eastAsia="Times New Roman"/>
          <w:color w:val="000000"/>
          <w:sz w:val="24"/>
        </w:rPr>
      </w:pPr>
      <w:r>
        <w:rPr>
          <w:rFonts w:eastAsia="Times New Roman"/>
          <w:color w:val="000000"/>
          <w:sz w:val="24"/>
        </w:rPr>
        <w:t>Subaward means an award provided by a recipient to a subrecipient for the subrecipient to carry out part of a Federal award received by the recipient. It does not include payments to a contractor or payments to an individual’s beneficiary of a Federal program. A subaward may be provided through any form of legal agreement, including an agreement that the recipient considers a contract.</w:t>
      </w:r>
    </w:p>
    <w:p w:rsidR="007C25FE" w:rsidRDefault="00AB77A8">
      <w:pPr>
        <w:spacing w:line="276" w:lineRule="exact"/>
        <w:ind w:left="72" w:right="144"/>
        <w:textAlignment w:val="baseline"/>
        <w:rPr>
          <w:rFonts w:eastAsia="Times New Roman"/>
          <w:color w:val="000000"/>
          <w:sz w:val="24"/>
        </w:rPr>
      </w:pPr>
      <w:r>
        <w:rPr>
          <w:rFonts w:eastAsia="Times New Roman"/>
          <w:color w:val="000000"/>
          <w:sz w:val="24"/>
        </w:rPr>
        <w:t>Subrecipient means a non-Federal entity receiving a subaward from a recipient to carry out part of a HUD program; but does not include an individual’s beneficiary of such program.</w:t>
      </w:r>
    </w:p>
    <w:p w:rsidR="007C25FE" w:rsidRDefault="00AB77A8">
      <w:pPr>
        <w:spacing w:line="276" w:lineRule="exact"/>
        <w:ind w:left="72" w:right="216"/>
        <w:textAlignment w:val="baseline"/>
        <w:rPr>
          <w:rFonts w:eastAsia="Times New Roman"/>
          <w:color w:val="000000"/>
          <w:sz w:val="24"/>
        </w:rPr>
      </w:pPr>
      <w:r>
        <w:rPr>
          <w:rFonts w:eastAsia="Times New Roman"/>
          <w:color w:val="000000"/>
          <w:sz w:val="24"/>
        </w:rPr>
        <w:t>A subrecipient may also receive other Federal awards directly from a Federal awarding agency (including HUD).</w:t>
      </w:r>
    </w:p>
    <w:p w:rsidR="007C25FE" w:rsidRDefault="00AB77A8">
      <w:pPr>
        <w:spacing w:line="276" w:lineRule="exact"/>
        <w:ind w:left="72" w:right="144"/>
        <w:textAlignment w:val="baseline"/>
        <w:rPr>
          <w:rFonts w:eastAsia="Times New Roman"/>
          <w:color w:val="000000"/>
          <w:sz w:val="24"/>
        </w:rPr>
      </w:pPr>
      <w:r>
        <w:rPr>
          <w:rFonts w:eastAsia="Times New Roman"/>
          <w:color w:val="000000"/>
          <w:sz w:val="24"/>
        </w:rPr>
        <w:t xml:space="preserve">System for Award Management (SAM), is an official website of the U.S. government. You can access the website at </w:t>
      </w:r>
      <w:hyperlink r:id="rId11">
        <w:r>
          <w:rPr>
            <w:rFonts w:eastAsia="Times New Roman"/>
            <w:color w:val="0000FF"/>
            <w:sz w:val="24"/>
            <w:u w:val="single"/>
          </w:rPr>
          <w:t>Sam.gov</w:t>
        </w:r>
      </w:hyperlink>
      <w:r>
        <w:rPr>
          <w:rFonts w:eastAsia="Times New Roman"/>
          <w:color w:val="000000"/>
          <w:sz w:val="24"/>
        </w:rPr>
        <w:t xml:space="preserve"> There is no cost to use SAM. SAM is the official U.S. Government system that consolidated the capabilities of Central Contractor Registry (CCR), Excluded Parties List System (EPLS) and the Online Representations and Certifications Application (ORCA). Registration with </w:t>
      </w:r>
      <w:hyperlink r:id="rId12">
        <w:r>
          <w:rPr>
            <w:rFonts w:eastAsia="Times New Roman"/>
            <w:color w:val="0000FF"/>
            <w:sz w:val="24"/>
            <w:u w:val="single"/>
          </w:rPr>
          <w:t>Sam.gov</w:t>
        </w:r>
      </w:hyperlink>
      <w:r>
        <w:rPr>
          <w:rFonts w:eastAsia="Times New Roman"/>
          <w:color w:val="000000"/>
          <w:sz w:val="24"/>
        </w:rPr>
        <w:t xml:space="preserve"> is required for submission of applications via </w:t>
      </w:r>
      <w:hyperlink r:id="rId13">
        <w:r>
          <w:rPr>
            <w:rFonts w:eastAsia="Times New Roman"/>
            <w:color w:val="0000FF"/>
            <w:sz w:val="24"/>
            <w:u w:val="single"/>
          </w:rPr>
          <w:t>Grants.gov</w:t>
        </w:r>
      </w:hyperlink>
      <w:r>
        <w:rPr>
          <w:rFonts w:eastAsia="Times New Roman"/>
          <w:color w:val="000000"/>
          <w:sz w:val="24"/>
        </w:rPr>
        <w:t>.</w:t>
      </w:r>
    </w:p>
    <w:p w:rsidR="007C25FE" w:rsidRDefault="00AB77A8">
      <w:pPr>
        <w:spacing w:line="276" w:lineRule="exact"/>
        <w:ind w:left="72" w:right="216"/>
        <w:textAlignment w:val="baseline"/>
        <w:rPr>
          <w:rFonts w:eastAsia="Times New Roman"/>
          <w:color w:val="000000"/>
          <w:sz w:val="24"/>
        </w:rPr>
      </w:pPr>
      <w:r>
        <w:rPr>
          <w:rFonts w:eastAsia="Times New Roman"/>
          <w:color w:val="000000"/>
          <w:sz w:val="24"/>
        </w:rPr>
        <w:t>Threshold Requirement – Threshold requirements are a type of eligibility requirement. Threshold requirements must be met for an application to be reviewed. Threshold requirements are not curable, except for documentation of applicant eligibility. Threshold requirements are listed in Section III.C. of this NOFA.</w:t>
      </w:r>
    </w:p>
    <w:p w:rsidR="007C25FE" w:rsidRDefault="00AB77A8">
      <w:pPr>
        <w:spacing w:line="276" w:lineRule="exact"/>
        <w:ind w:left="72" w:right="576"/>
        <w:textAlignment w:val="baseline"/>
        <w:rPr>
          <w:rFonts w:eastAsia="Times New Roman"/>
          <w:color w:val="000000"/>
          <w:sz w:val="24"/>
        </w:rPr>
      </w:pPr>
      <w:r>
        <w:rPr>
          <w:rFonts w:eastAsia="Times New Roman"/>
          <w:color w:val="000000"/>
          <w:sz w:val="24"/>
        </w:rPr>
        <w:t>Applicants must ensure their application package addresses threshold requirements. Please check your application carefully!</w:t>
      </w:r>
    </w:p>
    <w:p w:rsidR="007C25FE" w:rsidRDefault="00AB77A8">
      <w:pPr>
        <w:numPr>
          <w:ilvl w:val="0"/>
          <w:numId w:val="8"/>
        </w:numPr>
        <w:tabs>
          <w:tab w:val="clear" w:pos="288"/>
          <w:tab w:val="left" w:pos="360"/>
        </w:tabs>
        <w:spacing w:before="298" w:line="274" w:lineRule="exact"/>
        <w:ind w:left="72"/>
        <w:textAlignment w:val="baseline"/>
        <w:rPr>
          <w:rFonts w:eastAsia="Times New Roman"/>
          <w:b/>
          <w:color w:val="000000"/>
          <w:sz w:val="24"/>
        </w:rPr>
      </w:pPr>
      <w:r>
        <w:rPr>
          <w:rFonts w:eastAsia="Times New Roman"/>
          <w:b/>
          <w:color w:val="000000"/>
          <w:sz w:val="24"/>
        </w:rPr>
        <w:t>Program Definitions</w:t>
      </w:r>
    </w:p>
    <w:p w:rsidR="007C25FE" w:rsidRDefault="00AB77A8">
      <w:pPr>
        <w:spacing w:before="68" w:line="276" w:lineRule="exact"/>
        <w:ind w:left="72"/>
        <w:textAlignment w:val="baseline"/>
        <w:rPr>
          <w:rFonts w:eastAsia="Times New Roman"/>
          <w:color w:val="000000"/>
          <w:sz w:val="24"/>
        </w:rPr>
      </w:pPr>
      <w:r>
        <w:rPr>
          <w:rFonts w:eastAsia="Times New Roman"/>
          <w:color w:val="000000"/>
          <w:sz w:val="24"/>
        </w:rPr>
        <w:t>Program specific definitions are available in Appendix B, Definitions.</w:t>
      </w:r>
    </w:p>
    <w:p w:rsidR="007C25FE" w:rsidRDefault="00AB77A8">
      <w:pPr>
        <w:numPr>
          <w:ilvl w:val="0"/>
          <w:numId w:val="8"/>
        </w:numPr>
        <w:tabs>
          <w:tab w:val="clear" w:pos="288"/>
          <w:tab w:val="left" w:pos="360"/>
        </w:tabs>
        <w:spacing w:before="255" w:line="274" w:lineRule="exact"/>
        <w:ind w:left="72"/>
        <w:textAlignment w:val="baseline"/>
        <w:rPr>
          <w:rFonts w:eastAsia="Times New Roman"/>
          <w:b/>
          <w:color w:val="000000"/>
          <w:sz w:val="24"/>
        </w:rPr>
      </w:pPr>
      <w:r>
        <w:rPr>
          <w:rFonts w:eastAsia="Times New Roman"/>
          <w:b/>
          <w:color w:val="000000"/>
          <w:sz w:val="24"/>
        </w:rPr>
        <w:t>Web Resources</w:t>
      </w:r>
    </w:p>
    <w:p w:rsidR="007C25FE" w:rsidRDefault="00AB77A8">
      <w:pPr>
        <w:spacing w:before="5" w:line="274" w:lineRule="exact"/>
        <w:ind w:left="72"/>
        <w:textAlignment w:val="baseline"/>
        <w:rPr>
          <w:rFonts w:eastAsia="Times New Roman"/>
          <w:b/>
          <w:color w:val="000000"/>
          <w:sz w:val="24"/>
        </w:rPr>
      </w:pPr>
      <w:r>
        <w:rPr>
          <w:rFonts w:eastAsia="Times New Roman"/>
          <w:b/>
          <w:color w:val="000000"/>
          <w:sz w:val="24"/>
        </w:rPr>
        <w:t>The resources indicated provide details for the application process</w:t>
      </w:r>
    </w:p>
    <w:p w:rsidR="007C25FE" w:rsidRDefault="00AB77A8">
      <w:pPr>
        <w:numPr>
          <w:ilvl w:val="0"/>
          <w:numId w:val="9"/>
        </w:numPr>
        <w:tabs>
          <w:tab w:val="clear" w:pos="216"/>
          <w:tab w:val="left" w:pos="864"/>
        </w:tabs>
        <w:spacing w:before="352" w:line="296" w:lineRule="exact"/>
        <w:ind w:left="648"/>
        <w:textAlignment w:val="baseline"/>
        <w:rPr>
          <w:rFonts w:eastAsia="Times New Roman"/>
          <w:color w:val="0000EE"/>
          <w:sz w:val="24"/>
          <w:u w:val="single"/>
        </w:rPr>
      </w:pPr>
      <w:r>
        <w:rPr>
          <w:rFonts w:eastAsia="Times New Roman"/>
          <w:color w:val="0000EE"/>
          <w:sz w:val="24"/>
          <w:u w:val="single"/>
        </w:rPr>
        <w:t>Affirmatively Furthering Fair Housing</w:t>
      </w:r>
    </w:p>
    <w:p w:rsidR="007C25FE" w:rsidRDefault="00AB77A8">
      <w:pPr>
        <w:numPr>
          <w:ilvl w:val="0"/>
          <w:numId w:val="9"/>
        </w:numPr>
        <w:tabs>
          <w:tab w:val="clear" w:pos="216"/>
          <w:tab w:val="left" w:pos="864"/>
        </w:tabs>
        <w:spacing w:line="292" w:lineRule="exact"/>
        <w:ind w:left="648"/>
        <w:textAlignment w:val="baseline"/>
        <w:rPr>
          <w:rFonts w:eastAsia="Times New Roman"/>
          <w:color w:val="0000EE"/>
          <w:sz w:val="24"/>
          <w:u w:val="single"/>
        </w:rPr>
      </w:pPr>
      <w:r>
        <w:rPr>
          <w:rFonts w:eastAsia="Times New Roman"/>
          <w:color w:val="0000EE"/>
          <w:sz w:val="24"/>
          <w:u w:val="single"/>
        </w:rPr>
        <w:t>Code of Conduct list</w:t>
      </w:r>
      <w:r>
        <w:rPr>
          <w:rFonts w:eastAsia="Times New Roman"/>
          <w:color w:val="000000"/>
          <w:sz w:val="24"/>
          <w:u w:val="single"/>
        </w:rPr>
        <w:t xml:space="preserve"> </w:t>
      </w:r>
    </w:p>
    <w:p w:rsidR="007C25FE" w:rsidRDefault="00AB77A8">
      <w:pPr>
        <w:numPr>
          <w:ilvl w:val="0"/>
          <w:numId w:val="9"/>
        </w:numPr>
        <w:tabs>
          <w:tab w:val="clear" w:pos="216"/>
          <w:tab w:val="left" w:pos="864"/>
        </w:tabs>
        <w:spacing w:line="293" w:lineRule="exact"/>
        <w:ind w:left="648"/>
        <w:textAlignment w:val="baseline"/>
        <w:rPr>
          <w:rFonts w:eastAsia="Times New Roman"/>
          <w:color w:val="0000EE"/>
          <w:spacing w:val="-1"/>
          <w:sz w:val="24"/>
          <w:u w:val="single"/>
        </w:rPr>
      </w:pPr>
      <w:r>
        <w:rPr>
          <w:rFonts w:eastAsia="Times New Roman"/>
          <w:color w:val="0000EE"/>
          <w:spacing w:val="-1"/>
          <w:sz w:val="24"/>
          <w:u w:val="single"/>
        </w:rPr>
        <w:t>Do Not Pay</w:t>
      </w:r>
      <w:r>
        <w:rPr>
          <w:rFonts w:eastAsia="Times New Roman"/>
          <w:color w:val="000000"/>
          <w:spacing w:val="-1"/>
          <w:sz w:val="24"/>
          <w:u w:val="single"/>
        </w:rPr>
        <w:t xml:space="preserve"> </w:t>
      </w:r>
    </w:p>
    <w:p w:rsidR="007C25FE" w:rsidRDefault="00AB77A8">
      <w:pPr>
        <w:numPr>
          <w:ilvl w:val="0"/>
          <w:numId w:val="9"/>
        </w:numPr>
        <w:tabs>
          <w:tab w:val="clear" w:pos="216"/>
          <w:tab w:val="left" w:pos="864"/>
        </w:tabs>
        <w:spacing w:line="293" w:lineRule="exact"/>
        <w:ind w:left="648"/>
        <w:textAlignment w:val="baseline"/>
        <w:rPr>
          <w:rFonts w:eastAsia="Times New Roman"/>
          <w:color w:val="0000EE"/>
          <w:spacing w:val="-1"/>
          <w:sz w:val="24"/>
          <w:u w:val="single"/>
        </w:rPr>
      </w:pPr>
      <w:r>
        <w:rPr>
          <w:rFonts w:eastAsia="Times New Roman"/>
          <w:color w:val="0000EE"/>
          <w:spacing w:val="-1"/>
          <w:sz w:val="24"/>
          <w:u w:val="single"/>
        </w:rPr>
        <w:t>Dun &amp; Bradstreet</w:t>
      </w:r>
    </w:p>
    <w:p w:rsidR="007C25FE" w:rsidRDefault="00AB77A8">
      <w:pPr>
        <w:numPr>
          <w:ilvl w:val="0"/>
          <w:numId w:val="9"/>
        </w:numPr>
        <w:tabs>
          <w:tab w:val="clear" w:pos="216"/>
          <w:tab w:val="left" w:pos="864"/>
        </w:tabs>
        <w:spacing w:line="293" w:lineRule="exact"/>
        <w:ind w:left="648"/>
        <w:textAlignment w:val="baseline"/>
        <w:rPr>
          <w:rFonts w:eastAsia="Times New Roman"/>
          <w:color w:val="0000EE"/>
          <w:spacing w:val="-1"/>
          <w:sz w:val="24"/>
          <w:u w:val="single"/>
        </w:rPr>
      </w:pPr>
      <w:r>
        <w:rPr>
          <w:rFonts w:eastAsia="Times New Roman"/>
          <w:color w:val="0000EE"/>
          <w:spacing w:val="-1"/>
          <w:sz w:val="24"/>
          <w:u w:val="single"/>
        </w:rPr>
        <w:t>DUNS Request</w:t>
      </w:r>
    </w:p>
    <w:p w:rsidR="007C25FE" w:rsidRDefault="00AB77A8">
      <w:pPr>
        <w:numPr>
          <w:ilvl w:val="0"/>
          <w:numId w:val="9"/>
        </w:numPr>
        <w:tabs>
          <w:tab w:val="clear" w:pos="216"/>
          <w:tab w:val="left" w:pos="864"/>
        </w:tabs>
        <w:spacing w:line="293" w:lineRule="exact"/>
        <w:ind w:left="648"/>
        <w:textAlignment w:val="baseline"/>
        <w:rPr>
          <w:rFonts w:eastAsia="Times New Roman"/>
          <w:color w:val="0000EE"/>
          <w:sz w:val="24"/>
          <w:u w:val="single"/>
        </w:rPr>
      </w:pPr>
      <w:r>
        <w:rPr>
          <w:rFonts w:eastAsia="Times New Roman"/>
          <w:color w:val="0000EE"/>
          <w:sz w:val="24"/>
          <w:u w:val="single"/>
        </w:rPr>
        <w:t>Equal Participation of Faith-Based Organizations</w:t>
      </w:r>
      <w:r>
        <w:rPr>
          <w:rFonts w:eastAsia="Times New Roman"/>
          <w:color w:val="000000"/>
          <w:sz w:val="24"/>
          <w:u w:val="single"/>
        </w:rPr>
        <w:t xml:space="preserve"> </w:t>
      </w:r>
    </w:p>
    <w:p w:rsidR="007C25FE" w:rsidRDefault="00AB77A8">
      <w:pPr>
        <w:numPr>
          <w:ilvl w:val="0"/>
          <w:numId w:val="9"/>
        </w:numPr>
        <w:tabs>
          <w:tab w:val="clear" w:pos="216"/>
          <w:tab w:val="left" w:pos="864"/>
        </w:tabs>
        <w:spacing w:line="292" w:lineRule="exact"/>
        <w:ind w:left="648"/>
        <w:textAlignment w:val="baseline"/>
        <w:rPr>
          <w:rFonts w:eastAsia="Times New Roman"/>
          <w:color w:val="0000EE"/>
          <w:sz w:val="24"/>
          <w:u w:val="single"/>
        </w:rPr>
      </w:pPr>
      <w:r>
        <w:rPr>
          <w:rFonts w:eastAsia="Times New Roman"/>
          <w:color w:val="0000EE"/>
          <w:sz w:val="24"/>
          <w:u w:val="single"/>
        </w:rPr>
        <w:t>Federal Awardee Performance and Integrity Information System</w:t>
      </w:r>
    </w:p>
    <w:p w:rsidR="007C25FE" w:rsidRDefault="00AB77A8">
      <w:pPr>
        <w:numPr>
          <w:ilvl w:val="0"/>
          <w:numId w:val="9"/>
        </w:numPr>
        <w:tabs>
          <w:tab w:val="clear" w:pos="216"/>
          <w:tab w:val="left" w:pos="864"/>
        </w:tabs>
        <w:spacing w:line="297" w:lineRule="exact"/>
        <w:ind w:left="648"/>
        <w:textAlignment w:val="baseline"/>
        <w:rPr>
          <w:rFonts w:eastAsia="Times New Roman"/>
          <w:color w:val="0000EE"/>
          <w:sz w:val="24"/>
          <w:u w:val="single"/>
        </w:rPr>
      </w:pPr>
      <w:r>
        <w:rPr>
          <w:rFonts w:eastAsia="Times New Roman"/>
          <w:color w:val="0000EE"/>
          <w:sz w:val="24"/>
          <w:u w:val="single"/>
        </w:rPr>
        <w:t>Federal Subaward Reporting System) FSRS</w:t>
      </w:r>
      <w:r>
        <w:rPr>
          <w:rFonts w:eastAsia="Times New Roman"/>
          <w:color w:val="000000"/>
          <w:sz w:val="24"/>
          <w:u w:val="single"/>
        </w:rPr>
        <w:t xml:space="preserve"> </w:t>
      </w:r>
    </w:p>
    <w:p w:rsidR="007C25FE" w:rsidRDefault="005D7575">
      <w:pPr>
        <w:numPr>
          <w:ilvl w:val="0"/>
          <w:numId w:val="9"/>
        </w:numPr>
        <w:tabs>
          <w:tab w:val="clear" w:pos="216"/>
          <w:tab w:val="left" w:pos="864"/>
        </w:tabs>
        <w:spacing w:before="17" w:line="275" w:lineRule="exact"/>
        <w:ind w:left="648"/>
        <w:textAlignment w:val="baseline"/>
        <w:rPr>
          <w:rFonts w:eastAsia="Times New Roman"/>
          <w:color w:val="0000EE"/>
          <w:spacing w:val="-2"/>
          <w:sz w:val="24"/>
          <w:u w:val="single"/>
        </w:rPr>
      </w:pPr>
      <w:hyperlink r:id="rId14">
        <w:r w:rsidR="00AB77A8">
          <w:rPr>
            <w:rFonts w:eastAsia="Times New Roman"/>
            <w:color w:val="0000FF"/>
            <w:spacing w:val="-2"/>
            <w:sz w:val="24"/>
            <w:u w:val="single"/>
          </w:rPr>
          <w:t>Grants.gov</w:t>
        </w:r>
      </w:hyperlink>
      <w:r w:rsidR="00AB77A8">
        <w:rPr>
          <w:rFonts w:eastAsia="Times New Roman"/>
          <w:color w:val="0000EE"/>
          <w:spacing w:val="-2"/>
          <w:sz w:val="24"/>
        </w:rPr>
        <w:t xml:space="preserve"> </w:t>
      </w:r>
    </w:p>
    <w:p w:rsidR="007C25FE" w:rsidRDefault="005D7575">
      <w:pPr>
        <w:numPr>
          <w:ilvl w:val="0"/>
          <w:numId w:val="9"/>
        </w:numPr>
        <w:tabs>
          <w:tab w:val="clear" w:pos="216"/>
          <w:tab w:val="left" w:pos="864"/>
        </w:tabs>
        <w:spacing w:line="295" w:lineRule="exact"/>
        <w:ind w:left="648"/>
        <w:textAlignment w:val="baseline"/>
        <w:rPr>
          <w:rFonts w:eastAsia="Times New Roman"/>
          <w:color w:val="0000EE"/>
          <w:spacing w:val="-1"/>
          <w:sz w:val="24"/>
          <w:u w:val="single"/>
        </w:rPr>
      </w:pPr>
      <w:hyperlink r:id="rId15">
        <w:r w:rsidR="00AB77A8">
          <w:rPr>
            <w:rFonts w:eastAsia="Times New Roman"/>
            <w:color w:val="0000FF"/>
            <w:spacing w:val="-1"/>
            <w:sz w:val="24"/>
            <w:u w:val="single"/>
          </w:rPr>
          <w:t>Grants.gov</w:t>
        </w:r>
      </w:hyperlink>
      <w:r w:rsidR="00AB77A8">
        <w:rPr>
          <w:rFonts w:eastAsia="Times New Roman"/>
          <w:color w:val="0000EE"/>
          <w:spacing w:val="-1"/>
          <w:sz w:val="24"/>
          <w:u w:val="single"/>
        </w:rPr>
        <w:t xml:space="preserve"> support</w:t>
      </w:r>
    </w:p>
    <w:p w:rsidR="007C25FE" w:rsidRDefault="00AB77A8">
      <w:pPr>
        <w:numPr>
          <w:ilvl w:val="0"/>
          <w:numId w:val="9"/>
        </w:numPr>
        <w:tabs>
          <w:tab w:val="clear" w:pos="216"/>
          <w:tab w:val="left" w:pos="864"/>
        </w:tabs>
        <w:spacing w:line="292" w:lineRule="exact"/>
        <w:ind w:left="648"/>
        <w:textAlignment w:val="baseline"/>
        <w:rPr>
          <w:rFonts w:eastAsia="Times New Roman"/>
          <w:color w:val="0000EE"/>
          <w:sz w:val="24"/>
          <w:u w:val="single"/>
        </w:rPr>
      </w:pPr>
      <w:r>
        <w:rPr>
          <w:rFonts w:eastAsia="Times New Roman"/>
          <w:color w:val="0000EE"/>
          <w:sz w:val="24"/>
          <w:u w:val="single"/>
        </w:rPr>
        <w:t>Healthy Homes Strategic Plan</w:t>
      </w:r>
      <w:r>
        <w:rPr>
          <w:rFonts w:eastAsia="Times New Roman"/>
          <w:color w:val="000000"/>
          <w:sz w:val="24"/>
          <w:u w:val="single"/>
        </w:rPr>
        <w:t xml:space="preserve"> </w:t>
      </w:r>
    </w:p>
    <w:p w:rsidR="007C25FE" w:rsidRDefault="00AB77A8">
      <w:pPr>
        <w:numPr>
          <w:ilvl w:val="0"/>
          <w:numId w:val="9"/>
        </w:numPr>
        <w:tabs>
          <w:tab w:val="clear" w:pos="216"/>
          <w:tab w:val="left" w:pos="864"/>
        </w:tabs>
        <w:spacing w:line="293" w:lineRule="exact"/>
        <w:ind w:left="648"/>
        <w:textAlignment w:val="baseline"/>
        <w:rPr>
          <w:rFonts w:eastAsia="Times New Roman"/>
          <w:color w:val="0000EE"/>
          <w:sz w:val="24"/>
          <w:u w:val="single"/>
        </w:rPr>
      </w:pPr>
      <w:r>
        <w:rPr>
          <w:rFonts w:eastAsia="Times New Roman"/>
          <w:color w:val="0000EE"/>
          <w:sz w:val="24"/>
          <w:u w:val="single"/>
        </w:rPr>
        <w:t>Healthy Housing Reference Manual</w:t>
      </w:r>
      <w:r>
        <w:rPr>
          <w:rFonts w:eastAsia="Times New Roman"/>
          <w:color w:val="000000"/>
          <w:sz w:val="24"/>
          <w:u w:val="single"/>
        </w:rPr>
        <w:t xml:space="preserve"> </w:t>
      </w:r>
    </w:p>
    <w:p w:rsidR="007C25FE" w:rsidRDefault="00AB77A8">
      <w:pPr>
        <w:numPr>
          <w:ilvl w:val="0"/>
          <w:numId w:val="9"/>
        </w:numPr>
        <w:tabs>
          <w:tab w:val="clear" w:pos="216"/>
          <w:tab w:val="left" w:pos="864"/>
        </w:tabs>
        <w:spacing w:line="293" w:lineRule="exact"/>
        <w:ind w:left="648"/>
        <w:textAlignment w:val="baseline"/>
        <w:rPr>
          <w:rFonts w:eastAsia="Times New Roman"/>
          <w:color w:val="0000EE"/>
          <w:sz w:val="24"/>
          <w:u w:val="single"/>
        </w:rPr>
      </w:pPr>
      <w:r>
        <w:rPr>
          <w:rFonts w:eastAsia="Times New Roman"/>
          <w:color w:val="0000EE"/>
          <w:sz w:val="24"/>
          <w:u w:val="single"/>
        </w:rPr>
        <w:t>HUD Funds available</w:t>
      </w:r>
      <w:r>
        <w:rPr>
          <w:rFonts w:eastAsia="Times New Roman"/>
          <w:color w:val="000000"/>
          <w:sz w:val="24"/>
          <w:u w:val="single"/>
        </w:rPr>
        <w:t xml:space="preserve"> </w:t>
      </w:r>
    </w:p>
    <w:p w:rsidR="007C25FE" w:rsidRDefault="00AB77A8">
      <w:pPr>
        <w:numPr>
          <w:ilvl w:val="0"/>
          <w:numId w:val="9"/>
        </w:numPr>
        <w:tabs>
          <w:tab w:val="clear" w:pos="216"/>
          <w:tab w:val="left" w:pos="864"/>
        </w:tabs>
        <w:spacing w:line="293" w:lineRule="exact"/>
        <w:ind w:left="648"/>
        <w:textAlignment w:val="baseline"/>
        <w:rPr>
          <w:rFonts w:eastAsia="Times New Roman"/>
          <w:color w:val="0000EE"/>
          <w:sz w:val="24"/>
          <w:u w:val="single"/>
        </w:rPr>
      </w:pPr>
      <w:r>
        <w:rPr>
          <w:rFonts w:eastAsia="Times New Roman"/>
          <w:color w:val="0000EE"/>
          <w:sz w:val="24"/>
          <w:u w:val="single"/>
        </w:rPr>
        <w:t>HUD’s Strategic Plan</w:t>
      </w:r>
      <w:r>
        <w:rPr>
          <w:rFonts w:eastAsia="Times New Roman"/>
          <w:color w:val="000000"/>
          <w:sz w:val="24"/>
          <w:u w:val="single"/>
        </w:rPr>
        <w:t xml:space="preserve"> </w:t>
      </w:r>
    </w:p>
    <w:p w:rsidR="007C25FE" w:rsidRDefault="00AB77A8">
      <w:pPr>
        <w:numPr>
          <w:ilvl w:val="0"/>
          <w:numId w:val="9"/>
        </w:numPr>
        <w:tabs>
          <w:tab w:val="clear" w:pos="216"/>
          <w:tab w:val="left" w:pos="864"/>
        </w:tabs>
        <w:spacing w:line="293" w:lineRule="exact"/>
        <w:ind w:left="648"/>
        <w:textAlignment w:val="baseline"/>
        <w:rPr>
          <w:rFonts w:eastAsia="Times New Roman"/>
          <w:color w:val="0000EE"/>
          <w:spacing w:val="-1"/>
          <w:sz w:val="24"/>
          <w:u w:val="single"/>
        </w:rPr>
      </w:pPr>
      <w:r>
        <w:rPr>
          <w:rFonts w:eastAsia="Times New Roman"/>
          <w:color w:val="0000EE"/>
          <w:spacing w:val="-1"/>
          <w:sz w:val="24"/>
          <w:u w:val="single"/>
        </w:rPr>
        <w:t>HUD Grants</w:t>
      </w:r>
      <w:r>
        <w:rPr>
          <w:rFonts w:eastAsia="Times New Roman"/>
          <w:color w:val="000000"/>
          <w:spacing w:val="-1"/>
          <w:sz w:val="24"/>
          <w:u w:val="single"/>
        </w:rPr>
        <w:t xml:space="preserve"> </w:t>
      </w:r>
    </w:p>
    <w:p w:rsidR="007C25FE" w:rsidRDefault="00AB77A8">
      <w:pPr>
        <w:numPr>
          <w:ilvl w:val="0"/>
          <w:numId w:val="9"/>
        </w:numPr>
        <w:tabs>
          <w:tab w:val="clear" w:pos="216"/>
          <w:tab w:val="left" w:pos="864"/>
        </w:tabs>
        <w:spacing w:after="706" w:line="296" w:lineRule="exact"/>
        <w:ind w:left="648"/>
        <w:textAlignment w:val="baseline"/>
        <w:rPr>
          <w:rFonts w:eastAsia="Times New Roman"/>
          <w:color w:val="0000EE"/>
          <w:sz w:val="24"/>
          <w:u w:val="single"/>
        </w:rPr>
      </w:pPr>
      <w:r>
        <w:rPr>
          <w:rFonts w:eastAsia="Times New Roman"/>
          <w:color w:val="0000EE"/>
          <w:sz w:val="24"/>
          <w:u w:val="single"/>
        </w:rPr>
        <w:t>Limited English Proficiency</w:t>
      </w:r>
    </w:p>
    <w:p w:rsidR="007C25FE" w:rsidRDefault="007C25FE">
      <w:pPr>
        <w:spacing w:after="706" w:line="296" w:lineRule="exact"/>
        <w:sectPr w:rsidR="007C25FE">
          <w:pgSz w:w="12240" w:h="15840"/>
          <w:pgMar w:top="1560" w:right="1449" w:bottom="304" w:left="1334" w:header="720" w:footer="720" w:gutter="0"/>
          <w:cols w:space="720"/>
        </w:sectPr>
      </w:pPr>
    </w:p>
    <w:p w:rsidR="007C25FE" w:rsidRDefault="00AB77A8">
      <w:pPr>
        <w:spacing w:line="276" w:lineRule="exact"/>
        <w:textAlignment w:val="baseline"/>
        <w:rPr>
          <w:rFonts w:eastAsia="Times New Roman"/>
          <w:color w:val="000000"/>
          <w:spacing w:val="-10"/>
          <w:sz w:val="24"/>
        </w:rPr>
      </w:pPr>
      <w:r>
        <w:rPr>
          <w:rFonts w:eastAsia="Times New Roman"/>
          <w:color w:val="000000"/>
          <w:spacing w:val="-10"/>
          <w:sz w:val="24"/>
        </w:rPr>
        <w:t>8 of 49</w:t>
      </w:r>
    </w:p>
    <w:p w:rsidR="007C25FE" w:rsidRDefault="007C25FE">
      <w:pPr>
        <w:sectPr w:rsidR="007C25FE">
          <w:type w:val="continuous"/>
          <w:pgSz w:w="12240" w:h="15840"/>
          <w:pgMar w:top="1560" w:right="1416" w:bottom="304" w:left="10104" w:header="720" w:footer="720" w:gutter="0"/>
          <w:cols w:space="720"/>
        </w:sectPr>
      </w:pPr>
    </w:p>
    <w:p w:rsidR="007C25FE" w:rsidRDefault="00AB77A8">
      <w:pPr>
        <w:numPr>
          <w:ilvl w:val="0"/>
          <w:numId w:val="9"/>
        </w:numPr>
        <w:tabs>
          <w:tab w:val="clear" w:pos="216"/>
          <w:tab w:val="left" w:pos="792"/>
        </w:tabs>
        <w:spacing w:before="42" w:line="296" w:lineRule="exact"/>
        <w:ind w:left="576"/>
        <w:jc w:val="both"/>
        <w:textAlignment w:val="baseline"/>
        <w:rPr>
          <w:rFonts w:eastAsia="Times New Roman"/>
          <w:color w:val="0000EE"/>
          <w:sz w:val="24"/>
          <w:u w:val="single"/>
        </w:rPr>
      </w:pPr>
      <w:r>
        <w:rPr>
          <w:rFonts w:eastAsia="Times New Roman"/>
          <w:color w:val="0000EE"/>
          <w:sz w:val="24"/>
          <w:u w:val="single"/>
        </w:rPr>
        <w:t>NOFA webcasts</w:t>
      </w:r>
      <w:r>
        <w:rPr>
          <w:rFonts w:eastAsia="Times New Roman"/>
          <w:color w:val="000000"/>
          <w:sz w:val="24"/>
          <w:u w:val="single"/>
        </w:rPr>
        <w:t xml:space="preserve"> </w:t>
      </w:r>
    </w:p>
    <w:p w:rsidR="007C25FE" w:rsidRDefault="00AB77A8">
      <w:pPr>
        <w:numPr>
          <w:ilvl w:val="0"/>
          <w:numId w:val="9"/>
        </w:numPr>
        <w:tabs>
          <w:tab w:val="clear" w:pos="216"/>
          <w:tab w:val="left" w:pos="792"/>
        </w:tabs>
        <w:spacing w:line="293" w:lineRule="exact"/>
        <w:ind w:left="576"/>
        <w:jc w:val="both"/>
        <w:textAlignment w:val="baseline"/>
        <w:rPr>
          <w:rFonts w:eastAsia="Times New Roman"/>
          <w:color w:val="0000EE"/>
          <w:sz w:val="24"/>
          <w:u w:val="single"/>
        </w:rPr>
      </w:pPr>
      <w:r>
        <w:rPr>
          <w:rFonts w:eastAsia="Times New Roman"/>
          <w:color w:val="0000EE"/>
          <w:sz w:val="24"/>
          <w:u w:val="single"/>
        </w:rPr>
        <w:t>Procurement of recovered materials</w:t>
      </w:r>
      <w:r>
        <w:rPr>
          <w:rFonts w:eastAsia="Times New Roman"/>
          <w:color w:val="000000"/>
          <w:sz w:val="24"/>
          <w:u w:val="single"/>
        </w:rPr>
        <w:t xml:space="preserve"> </w:t>
      </w:r>
    </w:p>
    <w:p w:rsidR="007C25FE" w:rsidRDefault="00AB77A8">
      <w:pPr>
        <w:numPr>
          <w:ilvl w:val="0"/>
          <w:numId w:val="9"/>
        </w:numPr>
        <w:tabs>
          <w:tab w:val="clear" w:pos="216"/>
          <w:tab w:val="left" w:pos="792"/>
        </w:tabs>
        <w:spacing w:line="295" w:lineRule="exact"/>
        <w:ind w:left="576"/>
        <w:jc w:val="both"/>
        <w:textAlignment w:val="baseline"/>
        <w:rPr>
          <w:rFonts w:eastAsia="Times New Roman"/>
          <w:color w:val="0000EE"/>
          <w:sz w:val="24"/>
          <w:u w:val="single"/>
        </w:rPr>
      </w:pPr>
      <w:r>
        <w:rPr>
          <w:rFonts w:eastAsia="Times New Roman"/>
          <w:color w:val="0000EE"/>
          <w:sz w:val="24"/>
          <w:u w:val="single"/>
        </w:rPr>
        <w:t>Promise Zones</w:t>
      </w:r>
      <w:r>
        <w:rPr>
          <w:rFonts w:eastAsia="Times New Roman"/>
          <w:color w:val="000000"/>
          <w:sz w:val="24"/>
          <w:u w:val="single"/>
        </w:rPr>
        <w:t xml:space="preserve"> </w:t>
      </w:r>
    </w:p>
    <w:p w:rsidR="007C25FE" w:rsidRDefault="00AB77A8">
      <w:pPr>
        <w:numPr>
          <w:ilvl w:val="0"/>
          <w:numId w:val="9"/>
        </w:numPr>
        <w:tabs>
          <w:tab w:val="clear" w:pos="216"/>
          <w:tab w:val="left" w:pos="792"/>
        </w:tabs>
        <w:spacing w:line="295" w:lineRule="exact"/>
        <w:ind w:left="576"/>
        <w:jc w:val="both"/>
        <w:textAlignment w:val="baseline"/>
        <w:rPr>
          <w:rFonts w:eastAsia="Times New Roman"/>
          <w:color w:val="0000EE"/>
          <w:sz w:val="24"/>
          <w:u w:val="single"/>
        </w:rPr>
      </w:pPr>
      <w:r>
        <w:rPr>
          <w:rFonts w:eastAsia="Times New Roman"/>
          <w:color w:val="0000EE"/>
          <w:sz w:val="24"/>
          <w:u w:val="single"/>
        </w:rPr>
        <w:t>Section 3 Business Registry</w:t>
      </w:r>
    </w:p>
    <w:p w:rsidR="007C25FE" w:rsidRDefault="00AB77A8">
      <w:pPr>
        <w:numPr>
          <w:ilvl w:val="0"/>
          <w:numId w:val="9"/>
        </w:numPr>
        <w:tabs>
          <w:tab w:val="clear" w:pos="216"/>
          <w:tab w:val="left" w:pos="792"/>
        </w:tabs>
        <w:spacing w:line="293" w:lineRule="exact"/>
        <w:ind w:left="576"/>
        <w:jc w:val="both"/>
        <w:textAlignment w:val="baseline"/>
        <w:rPr>
          <w:rFonts w:eastAsia="Times New Roman"/>
          <w:color w:val="0000EE"/>
          <w:sz w:val="24"/>
          <w:u w:val="single"/>
        </w:rPr>
      </w:pPr>
      <w:r>
        <w:rPr>
          <w:rFonts w:eastAsia="Times New Roman"/>
          <w:color w:val="0000EE"/>
          <w:sz w:val="24"/>
          <w:u w:val="single"/>
        </w:rPr>
        <w:t>State Point of Contact List</w:t>
      </w:r>
    </w:p>
    <w:p w:rsidR="007C25FE" w:rsidRDefault="00AB77A8">
      <w:pPr>
        <w:numPr>
          <w:ilvl w:val="0"/>
          <w:numId w:val="9"/>
        </w:numPr>
        <w:tabs>
          <w:tab w:val="clear" w:pos="216"/>
          <w:tab w:val="left" w:pos="792"/>
        </w:tabs>
        <w:spacing w:line="293" w:lineRule="exact"/>
        <w:ind w:left="576"/>
        <w:jc w:val="both"/>
        <w:textAlignment w:val="baseline"/>
        <w:rPr>
          <w:rFonts w:eastAsia="Times New Roman"/>
          <w:color w:val="0000EE"/>
          <w:sz w:val="24"/>
          <w:u w:val="single"/>
        </w:rPr>
      </w:pPr>
      <w:r>
        <w:rPr>
          <w:rFonts w:eastAsia="Times New Roman"/>
          <w:color w:val="0000EE"/>
          <w:sz w:val="24"/>
          <w:u w:val="single"/>
        </w:rPr>
        <w:t>System for Award Management (SAM))</w:t>
      </w:r>
    </w:p>
    <w:p w:rsidR="007C25FE" w:rsidRDefault="00AB77A8">
      <w:pPr>
        <w:numPr>
          <w:ilvl w:val="0"/>
          <w:numId w:val="9"/>
        </w:numPr>
        <w:tabs>
          <w:tab w:val="clear" w:pos="216"/>
          <w:tab w:val="left" w:pos="792"/>
        </w:tabs>
        <w:spacing w:line="297" w:lineRule="exact"/>
        <w:ind w:left="576"/>
        <w:jc w:val="both"/>
        <w:textAlignment w:val="baseline"/>
        <w:rPr>
          <w:rFonts w:eastAsia="Times New Roman"/>
          <w:color w:val="0000EE"/>
          <w:sz w:val="24"/>
          <w:u w:val="single"/>
        </w:rPr>
      </w:pPr>
      <w:r>
        <w:rPr>
          <w:rFonts w:eastAsia="Times New Roman"/>
          <w:color w:val="0000EE"/>
          <w:sz w:val="24"/>
          <w:u w:val="single"/>
        </w:rPr>
        <w:t>Uniform Relocation Act Information</w:t>
      </w:r>
      <w:r>
        <w:rPr>
          <w:rFonts w:eastAsia="Times New Roman"/>
          <w:color w:val="000000"/>
          <w:sz w:val="24"/>
          <w:u w:val="single"/>
        </w:rPr>
        <w:t xml:space="preserve"> </w:t>
      </w:r>
    </w:p>
    <w:p w:rsidR="007C25FE" w:rsidRDefault="00AB77A8">
      <w:pPr>
        <w:numPr>
          <w:ilvl w:val="0"/>
          <w:numId w:val="9"/>
        </w:numPr>
        <w:tabs>
          <w:tab w:val="clear" w:pos="216"/>
          <w:tab w:val="left" w:pos="792"/>
        </w:tabs>
        <w:spacing w:before="16" w:after="1052" w:line="276" w:lineRule="exact"/>
        <w:ind w:left="576"/>
        <w:jc w:val="both"/>
        <w:textAlignment w:val="baseline"/>
        <w:rPr>
          <w:rFonts w:eastAsia="Times New Roman"/>
          <w:color w:val="0000EE"/>
          <w:sz w:val="24"/>
          <w:u w:val="single"/>
        </w:rPr>
      </w:pPr>
      <w:r>
        <w:rPr>
          <w:rFonts w:eastAsia="Times New Roman"/>
          <w:color w:val="0000EE"/>
          <w:sz w:val="24"/>
          <w:u w:val="single"/>
        </w:rPr>
        <w:t>USASpending</w:t>
      </w:r>
      <w:r>
        <w:rPr>
          <w:rFonts w:eastAsia="Times New Roman"/>
          <w:color w:val="000000"/>
          <w:sz w:val="24"/>
          <w:shd w:val="solid" w:color="E0E0E0" w:fill="E0E0E0"/>
        </w:rPr>
        <w:t xml:space="preserve"> </w:t>
      </w:r>
    </w:p>
    <w:p w:rsidR="007C25FE" w:rsidRDefault="00AB77A8">
      <w:pPr>
        <w:shd w:val="solid" w:color="E0E0E0" w:fill="E0E0E0"/>
        <w:spacing w:after="55" w:line="274" w:lineRule="exact"/>
        <w:ind w:left="72"/>
        <w:textAlignment w:val="baseline"/>
        <w:rPr>
          <w:rFonts w:eastAsia="Times New Roman"/>
          <w:b/>
          <w:color w:val="000000"/>
          <w:sz w:val="24"/>
        </w:rPr>
      </w:pPr>
      <w:r>
        <w:rPr>
          <w:rFonts w:eastAsia="Times New Roman"/>
          <w:b/>
          <w:color w:val="000000"/>
          <w:sz w:val="24"/>
        </w:rPr>
        <w:t>B. Authority.</w:t>
      </w:r>
    </w:p>
    <w:p w:rsidR="007C25FE" w:rsidRDefault="00AB77A8">
      <w:pPr>
        <w:spacing w:after="423" w:line="276" w:lineRule="exact"/>
        <w:ind w:left="72" w:right="144"/>
        <w:textAlignment w:val="baseline"/>
        <w:rPr>
          <w:rFonts w:eastAsia="Times New Roman"/>
          <w:color w:val="000000"/>
          <w:sz w:val="24"/>
        </w:rPr>
      </w:pPr>
      <w:r>
        <w:rPr>
          <w:rFonts w:eastAsia="Times New Roman"/>
          <w:color w:val="000000"/>
          <w:sz w:val="24"/>
        </w:rPr>
        <w:t>HUD's Housing Counseling Program is authorized by Section 106 of the Housing and Urban Development Act of 1968 (12 U.S.C. § 1701x) and Section 4 of the Department of Housing and Urban Development Act (42 U.S.C. § 3533) as amended by Title XIV of the Dodd-Frank Wall Street Reform and Consumer Protection Act (Dodd-Frank). The Housing Counseling Program regulations are codified at 24 C.F.R. Part 214. The Home Equity Conversion Mortgage Program (HECM) is authorized by Section 255 of the National Housing Act (12 U.S.C. § 1715z-20), and its regulations are codified at 24 C.F.R. Part 206.</w:t>
      </w:r>
    </w:p>
    <w:p w:rsidR="007C25FE" w:rsidRDefault="00AB77A8">
      <w:pPr>
        <w:shd w:val="solid" w:color="BCDFFB" w:fill="BCDFFB"/>
        <w:spacing w:after="148" w:line="274" w:lineRule="exact"/>
        <w:ind w:left="72"/>
        <w:textAlignment w:val="baseline"/>
        <w:rPr>
          <w:rFonts w:eastAsia="Times New Roman"/>
          <w:b/>
          <w:color w:val="000000"/>
          <w:sz w:val="24"/>
        </w:rPr>
      </w:pPr>
      <w:r>
        <w:rPr>
          <w:rFonts w:eastAsia="Times New Roman"/>
          <w:b/>
          <w:color w:val="000000"/>
          <w:sz w:val="24"/>
        </w:rPr>
        <w:t>II. Award Information.</w:t>
      </w:r>
    </w:p>
    <w:p w:rsidR="007C25FE" w:rsidRDefault="00AB77A8">
      <w:pPr>
        <w:numPr>
          <w:ilvl w:val="0"/>
          <w:numId w:val="10"/>
        </w:numPr>
        <w:shd w:val="solid" w:color="E0E0E0" w:fill="E0E0E0"/>
        <w:tabs>
          <w:tab w:val="clear" w:pos="360"/>
          <w:tab w:val="left" w:pos="432"/>
        </w:tabs>
        <w:spacing w:after="371" w:line="274" w:lineRule="exact"/>
        <w:ind w:left="72"/>
        <w:textAlignment w:val="baseline"/>
        <w:rPr>
          <w:rFonts w:eastAsia="Times New Roman"/>
          <w:b/>
          <w:color w:val="000000"/>
          <w:spacing w:val="-2"/>
          <w:sz w:val="24"/>
        </w:rPr>
      </w:pPr>
      <w:r>
        <w:rPr>
          <w:rFonts w:eastAsia="Times New Roman"/>
          <w:b/>
          <w:color w:val="000000"/>
          <w:spacing w:val="-2"/>
          <w:sz w:val="24"/>
        </w:rPr>
        <w:t>Available Funds</w:t>
      </w:r>
    </w:p>
    <w:p w:rsidR="007C25FE" w:rsidRDefault="00AB77A8">
      <w:pPr>
        <w:spacing w:after="428" w:line="274" w:lineRule="exact"/>
        <w:ind w:left="72" w:right="432"/>
        <w:textAlignment w:val="baseline"/>
        <w:rPr>
          <w:rFonts w:eastAsia="Times New Roman"/>
          <w:color w:val="000000"/>
          <w:sz w:val="24"/>
        </w:rPr>
      </w:pPr>
      <w:r>
        <w:rPr>
          <w:rFonts w:eastAsia="Times New Roman"/>
          <w:color w:val="000000"/>
          <w:sz w:val="24"/>
        </w:rPr>
        <w:t>Congress has not yet appropriated funds for this program. Therefore, the amount of available funding is not known and is contingent on future Congressional action.</w:t>
      </w:r>
    </w:p>
    <w:p w:rsidR="007C25FE" w:rsidRDefault="00AB77A8">
      <w:pPr>
        <w:numPr>
          <w:ilvl w:val="0"/>
          <w:numId w:val="10"/>
        </w:numPr>
        <w:shd w:val="solid" w:color="E0E0E0" w:fill="E0E0E0"/>
        <w:tabs>
          <w:tab w:val="clear" w:pos="360"/>
          <w:tab w:val="left" w:pos="432"/>
        </w:tabs>
        <w:spacing w:after="64" w:line="274" w:lineRule="exact"/>
        <w:ind w:left="72"/>
        <w:textAlignment w:val="baseline"/>
        <w:rPr>
          <w:rFonts w:eastAsia="Times New Roman"/>
          <w:b/>
          <w:color w:val="000000"/>
          <w:spacing w:val="-2"/>
          <w:sz w:val="24"/>
        </w:rPr>
      </w:pPr>
      <w:r>
        <w:rPr>
          <w:rFonts w:eastAsia="Times New Roman"/>
          <w:b/>
          <w:color w:val="000000"/>
          <w:spacing w:val="-2"/>
          <w:sz w:val="24"/>
        </w:rPr>
        <w:t>Number of Awards.</w:t>
      </w:r>
    </w:p>
    <w:p w:rsidR="007C25FE" w:rsidRDefault="00AB77A8">
      <w:pPr>
        <w:spacing w:after="15" w:line="276" w:lineRule="exact"/>
        <w:ind w:left="72"/>
        <w:textAlignment w:val="baseline"/>
        <w:rPr>
          <w:rFonts w:eastAsia="Times New Roman"/>
          <w:color w:val="000000"/>
          <w:sz w:val="24"/>
        </w:rPr>
      </w:pPr>
      <w:r>
        <w:rPr>
          <w:rFonts w:eastAsia="Times New Roman"/>
          <w:color w:val="000000"/>
          <w:sz w:val="24"/>
        </w:rPr>
        <w:t>HUD expects to make approximately 300 awards from the funds available under this NOFA.</w:t>
      </w:r>
    </w:p>
    <w:p w:rsidR="007C25FE" w:rsidRDefault="00AB77A8">
      <w:pPr>
        <w:pBdr>
          <w:top w:val="single" w:sz="5" w:space="1" w:color="CCCCCC"/>
          <w:left w:val="single" w:sz="5" w:space="3" w:color="CCCCCC"/>
          <w:bottom w:val="single" w:sz="5" w:space="6" w:color="CCCCCC"/>
          <w:right w:val="single" w:sz="5" w:space="10" w:color="CCCCCC"/>
        </w:pBdr>
        <w:spacing w:after="130" w:line="276" w:lineRule="exact"/>
        <w:ind w:left="72" w:right="216"/>
        <w:textAlignment w:val="baseline"/>
        <w:rPr>
          <w:rFonts w:eastAsia="Times New Roman"/>
          <w:color w:val="000000"/>
          <w:sz w:val="24"/>
        </w:rPr>
      </w:pPr>
      <w:r>
        <w:rPr>
          <w:rFonts w:eastAsia="Times New Roman"/>
          <w:color w:val="000000"/>
          <w:sz w:val="24"/>
        </w:rPr>
        <w:t>The number of awards made from funds available under this NOFA will depend on the amount of funding in the FY 2018 appropriation, the number of eligible applicants, and other factors. For information on the methodology used to make award determinations under this NOFA, please see Section V.B Review and Selection Process below.</w:t>
      </w:r>
    </w:p>
    <w:p w:rsidR="007C25FE" w:rsidRDefault="00AB77A8">
      <w:pPr>
        <w:numPr>
          <w:ilvl w:val="0"/>
          <w:numId w:val="10"/>
        </w:numPr>
        <w:shd w:val="solid" w:color="E0E0E0" w:fill="E0E0E0"/>
        <w:tabs>
          <w:tab w:val="clear" w:pos="360"/>
          <w:tab w:val="left" w:pos="432"/>
        </w:tabs>
        <w:spacing w:after="47" w:line="274" w:lineRule="exact"/>
        <w:ind w:left="72"/>
        <w:textAlignment w:val="baseline"/>
        <w:rPr>
          <w:rFonts w:eastAsia="Times New Roman"/>
          <w:b/>
          <w:color w:val="000000"/>
          <w:sz w:val="24"/>
        </w:rPr>
      </w:pPr>
      <w:r>
        <w:rPr>
          <w:rFonts w:eastAsia="Times New Roman"/>
          <w:b/>
          <w:color w:val="000000"/>
          <w:sz w:val="24"/>
        </w:rPr>
        <w:t>Minimum/Maximum Award Information</w:t>
      </w:r>
    </w:p>
    <w:tbl>
      <w:tblPr>
        <w:tblW w:w="0" w:type="auto"/>
        <w:tblInd w:w="6" w:type="dxa"/>
        <w:tblLayout w:type="fixed"/>
        <w:tblCellMar>
          <w:left w:w="0" w:type="dxa"/>
          <w:right w:w="0" w:type="dxa"/>
        </w:tblCellMar>
        <w:tblLook w:val="04A0" w:firstRow="1" w:lastRow="0" w:firstColumn="1" w:lastColumn="0" w:noHBand="0" w:noVBand="1"/>
      </w:tblPr>
      <w:tblGrid>
        <w:gridCol w:w="9457"/>
      </w:tblGrid>
      <w:tr w:rsidR="007C25FE">
        <w:trPr>
          <w:trHeight w:hRule="exact" w:val="1848"/>
        </w:trPr>
        <w:tc>
          <w:tcPr>
            <w:tcW w:w="9457" w:type="dxa"/>
            <w:tcBorders>
              <w:top w:val="single" w:sz="5" w:space="0" w:color="CCCCCC"/>
              <w:left w:val="single" w:sz="5" w:space="0" w:color="CCCCCC"/>
              <w:bottom w:val="single" w:sz="5" w:space="0" w:color="CCCCCC"/>
              <w:right w:val="single" w:sz="5" w:space="0" w:color="CCCCCC"/>
            </w:tcBorders>
          </w:tcPr>
          <w:p w:rsidR="007C25FE" w:rsidRDefault="00AB77A8">
            <w:pPr>
              <w:numPr>
                <w:ilvl w:val="0"/>
                <w:numId w:val="11"/>
              </w:numPr>
              <w:tabs>
                <w:tab w:val="clear" w:pos="360"/>
                <w:tab w:val="left" w:pos="432"/>
              </w:tabs>
              <w:spacing w:before="35" w:line="276" w:lineRule="exact"/>
              <w:ind w:left="72" w:right="360"/>
              <w:textAlignment w:val="baseline"/>
              <w:rPr>
                <w:rFonts w:eastAsia="Times New Roman"/>
                <w:b/>
                <w:color w:val="000000"/>
                <w:sz w:val="24"/>
              </w:rPr>
            </w:pPr>
            <w:r>
              <w:rPr>
                <w:rFonts w:eastAsia="Times New Roman"/>
                <w:b/>
                <w:color w:val="000000"/>
                <w:sz w:val="24"/>
              </w:rPr>
              <w:t xml:space="preserve">Total Grant Request. </w:t>
            </w:r>
            <w:r>
              <w:rPr>
                <w:rFonts w:eastAsia="Times New Roman"/>
                <w:color w:val="000000"/>
                <w:sz w:val="24"/>
              </w:rPr>
              <w:t>Applicants are not required to request a specific award amount, nor provide a proposed budget for a grant amount but should enter a response of $1.00 in line 18a of the SF424, Application for Federal Assistance. Applicants will be required to submit the actual expenses for their counseling program for the most recent fiscal year (</w:t>
            </w:r>
            <w:r>
              <w:rPr>
                <w:rFonts w:eastAsia="Times New Roman"/>
                <w:i/>
                <w:color w:val="000000"/>
                <w:sz w:val="26"/>
              </w:rPr>
              <w:t>i.e.</w:t>
            </w:r>
            <w:r>
              <w:rPr>
                <w:rFonts w:eastAsia="Times New Roman"/>
                <w:color w:val="000000"/>
                <w:sz w:val="24"/>
              </w:rPr>
              <w:t>, October 1, 2016 to September 30, 2017).</w:t>
            </w:r>
          </w:p>
          <w:p w:rsidR="007C25FE" w:rsidRDefault="00AB77A8">
            <w:pPr>
              <w:numPr>
                <w:ilvl w:val="0"/>
                <w:numId w:val="11"/>
              </w:numPr>
              <w:tabs>
                <w:tab w:val="clear" w:pos="360"/>
                <w:tab w:val="left" w:pos="432"/>
              </w:tabs>
              <w:spacing w:before="120" w:after="9" w:line="276" w:lineRule="exact"/>
              <w:ind w:left="72"/>
              <w:textAlignment w:val="baseline"/>
              <w:rPr>
                <w:rFonts w:eastAsia="Times New Roman"/>
                <w:b/>
                <w:color w:val="000000"/>
                <w:sz w:val="24"/>
              </w:rPr>
            </w:pPr>
            <w:r>
              <w:rPr>
                <w:rFonts w:eastAsia="Times New Roman"/>
                <w:b/>
                <w:color w:val="000000"/>
                <w:sz w:val="24"/>
              </w:rPr>
              <w:t>Award Adjustments</w:t>
            </w:r>
            <w:r>
              <w:rPr>
                <w:rFonts w:eastAsia="Times New Roman"/>
                <w:color w:val="000000"/>
                <w:sz w:val="24"/>
              </w:rPr>
              <w:t>. HUD reserves the right to adjust funding levels for each grantee.</w:t>
            </w:r>
          </w:p>
        </w:tc>
      </w:tr>
    </w:tbl>
    <w:p w:rsidR="007C25FE" w:rsidRDefault="007C25FE">
      <w:pPr>
        <w:spacing w:after="563" w:line="20" w:lineRule="exact"/>
      </w:pPr>
    </w:p>
    <w:p w:rsidR="007C25FE" w:rsidRDefault="00AB77A8">
      <w:pPr>
        <w:spacing w:line="275" w:lineRule="exact"/>
        <w:ind w:left="72"/>
        <w:jc w:val="right"/>
        <w:textAlignment w:val="baseline"/>
        <w:rPr>
          <w:rFonts w:eastAsia="Times New Roman"/>
          <w:color w:val="000000"/>
          <w:spacing w:val="-2"/>
          <w:sz w:val="24"/>
        </w:rPr>
      </w:pPr>
      <w:r>
        <w:rPr>
          <w:rFonts w:eastAsia="Times New Roman"/>
          <w:color w:val="000000"/>
          <w:spacing w:val="-2"/>
          <w:sz w:val="24"/>
        </w:rPr>
        <w:t>9 of 49</w:t>
      </w:r>
    </w:p>
    <w:p w:rsidR="007C25FE" w:rsidRDefault="007C25FE">
      <w:pPr>
        <w:sectPr w:rsidR="007C25FE">
          <w:pgSz w:w="12240" w:h="15840"/>
          <w:pgMar w:top="1520" w:right="1394" w:bottom="304" w:left="1389" w:header="720" w:footer="720" w:gutter="0"/>
          <w:cols w:space="720"/>
        </w:sectPr>
      </w:pPr>
    </w:p>
    <w:p w:rsidR="007C25FE" w:rsidRDefault="00AB77A8">
      <w:pPr>
        <w:pBdr>
          <w:top w:val="single" w:sz="5" w:space="2" w:color="CCCCCC"/>
          <w:left w:val="single" w:sz="5" w:space="3" w:color="CCCCCC"/>
          <w:bottom w:val="single" w:sz="5" w:space="6" w:color="CCCCCC"/>
          <w:right w:val="single" w:sz="5" w:space="10" w:color="CCCCCC"/>
        </w:pBdr>
        <w:spacing w:line="276" w:lineRule="exact"/>
        <w:ind w:left="72" w:right="216"/>
        <w:textAlignment w:val="baseline"/>
        <w:rPr>
          <w:rFonts w:eastAsia="Times New Roman"/>
          <w:color w:val="000000"/>
          <w:sz w:val="24"/>
        </w:rPr>
      </w:pPr>
      <w:r>
        <w:rPr>
          <w:rFonts w:eastAsia="Times New Roman"/>
          <w:color w:val="000000"/>
          <w:sz w:val="24"/>
        </w:rPr>
        <w:t>Once Applicants are selected for award, HUD will determine the total amount to be awarded to any grantee, based upon the scope of services to be provided and funds available and other factors that HUD may determine.</w:t>
      </w:r>
    </w:p>
    <w:p w:rsidR="007C25FE" w:rsidRDefault="00AB77A8">
      <w:pPr>
        <w:pBdr>
          <w:top w:val="single" w:sz="5" w:space="2" w:color="CCCCCC"/>
          <w:left w:val="single" w:sz="5" w:space="3" w:color="CCCCCC"/>
          <w:bottom w:val="single" w:sz="5" w:space="6" w:color="CCCCCC"/>
          <w:right w:val="single" w:sz="5" w:space="10" w:color="CCCCCC"/>
        </w:pBdr>
        <w:spacing w:before="116" w:after="40" w:line="276" w:lineRule="exact"/>
        <w:ind w:left="72" w:right="216"/>
        <w:textAlignment w:val="baseline"/>
        <w:rPr>
          <w:rFonts w:eastAsia="Times New Roman"/>
          <w:b/>
          <w:color w:val="000000"/>
          <w:spacing w:val="-1"/>
          <w:sz w:val="24"/>
        </w:rPr>
      </w:pPr>
      <w:r>
        <w:rPr>
          <w:rFonts w:eastAsia="Times New Roman"/>
          <w:b/>
          <w:color w:val="000000"/>
          <w:spacing w:val="-1"/>
          <w:sz w:val="24"/>
        </w:rPr>
        <w:t xml:space="preserve">3. Minimum and Maximum Award Amounts. </w:t>
      </w:r>
      <w:r>
        <w:rPr>
          <w:rFonts w:eastAsia="Times New Roman"/>
          <w:color w:val="000000"/>
          <w:spacing w:val="-1"/>
          <w:sz w:val="24"/>
        </w:rPr>
        <w:t>Minimum and maximum award amounts for awards made from funds available under this NOFA will depend on the number of eligible applicants and other factors. For information on the methodology used to make award determinations under this NOFA, please see Section V.B Review and Selection Process below.</w:t>
      </w:r>
    </w:p>
    <w:p w:rsidR="007C25FE" w:rsidRDefault="00AB77A8">
      <w:pPr>
        <w:spacing w:after="115" w:line="276" w:lineRule="exact"/>
        <w:ind w:left="72"/>
        <w:textAlignment w:val="baseline"/>
        <w:rPr>
          <w:rFonts w:eastAsia="Times New Roman"/>
          <w:color w:val="000000"/>
          <w:sz w:val="24"/>
        </w:rPr>
      </w:pPr>
      <w:r>
        <w:rPr>
          <w:rFonts w:eastAsia="Times New Roman"/>
          <w:color w:val="000000"/>
          <w:sz w:val="24"/>
        </w:rPr>
        <w:t>Congress has not yet appropriated funds for this Program.</w:t>
      </w:r>
    </w:p>
    <w:p w:rsidR="007C25FE" w:rsidRDefault="00AB77A8">
      <w:pPr>
        <w:numPr>
          <w:ilvl w:val="0"/>
          <w:numId w:val="12"/>
        </w:numPr>
        <w:shd w:val="solid" w:color="E0E0E0" w:fill="E0E0E0"/>
        <w:tabs>
          <w:tab w:val="clear" w:pos="360"/>
          <w:tab w:val="left" w:pos="432"/>
        </w:tabs>
        <w:spacing w:after="366" w:line="274" w:lineRule="exact"/>
        <w:ind w:left="72"/>
        <w:textAlignment w:val="baseline"/>
        <w:rPr>
          <w:rFonts w:eastAsia="Times New Roman"/>
          <w:b/>
          <w:color w:val="000000"/>
          <w:sz w:val="24"/>
        </w:rPr>
      </w:pPr>
      <w:r>
        <w:rPr>
          <w:rFonts w:eastAsia="Times New Roman"/>
          <w:b/>
          <w:color w:val="000000"/>
          <w:sz w:val="24"/>
        </w:rPr>
        <w:t>Period of Performance</w:t>
      </w:r>
    </w:p>
    <w:p w:rsidR="007C25FE" w:rsidRDefault="00AB77A8">
      <w:pPr>
        <w:tabs>
          <w:tab w:val="left" w:pos="5328"/>
        </w:tabs>
        <w:spacing w:line="276" w:lineRule="exact"/>
        <w:ind w:left="72"/>
        <w:textAlignment w:val="baseline"/>
        <w:rPr>
          <w:rFonts w:eastAsia="Times New Roman"/>
          <w:color w:val="000000"/>
          <w:sz w:val="24"/>
        </w:rPr>
      </w:pPr>
      <w:r>
        <w:rPr>
          <w:rFonts w:eastAsia="Times New Roman"/>
          <w:color w:val="000000"/>
          <w:sz w:val="24"/>
        </w:rPr>
        <w:t>Estimated Project Start Date:</w:t>
      </w:r>
      <w:r>
        <w:rPr>
          <w:rFonts w:eastAsia="Times New Roman"/>
          <w:color w:val="000000"/>
          <w:sz w:val="24"/>
        </w:rPr>
        <w:tab/>
        <w:t>06/26/2018</w:t>
      </w:r>
    </w:p>
    <w:p w:rsidR="007C25FE" w:rsidRDefault="00AB77A8">
      <w:pPr>
        <w:tabs>
          <w:tab w:val="left" w:pos="5328"/>
        </w:tabs>
        <w:spacing w:before="27" w:line="276" w:lineRule="exact"/>
        <w:ind w:left="72"/>
        <w:textAlignment w:val="baseline"/>
        <w:rPr>
          <w:rFonts w:eastAsia="Times New Roman"/>
          <w:color w:val="000000"/>
          <w:sz w:val="24"/>
        </w:rPr>
      </w:pPr>
      <w:r>
        <w:rPr>
          <w:rFonts w:eastAsia="Times New Roman"/>
          <w:color w:val="000000"/>
          <w:sz w:val="24"/>
        </w:rPr>
        <w:t>Estimated Project End Date:</w:t>
      </w:r>
      <w:r>
        <w:rPr>
          <w:rFonts w:eastAsia="Times New Roman"/>
          <w:color w:val="000000"/>
          <w:sz w:val="24"/>
        </w:rPr>
        <w:tab/>
        <w:t>12/25/2019</w:t>
      </w:r>
    </w:p>
    <w:p w:rsidR="007C25FE" w:rsidRDefault="00AB77A8">
      <w:pPr>
        <w:tabs>
          <w:tab w:val="left" w:pos="5328"/>
        </w:tabs>
        <w:spacing w:before="31" w:line="276" w:lineRule="exact"/>
        <w:ind w:left="72"/>
        <w:textAlignment w:val="baseline"/>
        <w:rPr>
          <w:rFonts w:eastAsia="Times New Roman"/>
          <w:color w:val="000000"/>
          <w:sz w:val="24"/>
        </w:rPr>
      </w:pPr>
      <w:r>
        <w:rPr>
          <w:rFonts w:eastAsia="Times New Roman"/>
          <w:color w:val="000000"/>
          <w:sz w:val="24"/>
        </w:rPr>
        <w:t>Length of Project Periods:</w:t>
      </w:r>
      <w:r>
        <w:rPr>
          <w:rFonts w:eastAsia="Times New Roman"/>
          <w:color w:val="000000"/>
          <w:sz w:val="24"/>
        </w:rPr>
        <w:tab/>
        <w:t>Other</w:t>
      </w:r>
    </w:p>
    <w:p w:rsidR="007C25FE" w:rsidRDefault="00AB77A8">
      <w:pPr>
        <w:tabs>
          <w:tab w:val="left" w:pos="5328"/>
        </w:tabs>
        <w:spacing w:before="31" w:line="276" w:lineRule="exact"/>
        <w:ind w:left="72"/>
        <w:textAlignment w:val="baseline"/>
        <w:rPr>
          <w:rFonts w:eastAsia="Times New Roman"/>
          <w:color w:val="000000"/>
          <w:sz w:val="24"/>
        </w:rPr>
      </w:pPr>
      <w:r>
        <w:rPr>
          <w:rFonts w:eastAsia="Times New Roman"/>
          <w:color w:val="000000"/>
          <w:sz w:val="24"/>
        </w:rPr>
        <w:t>Length of Project Periods Explanation of Other:</w:t>
      </w:r>
      <w:r>
        <w:rPr>
          <w:rFonts w:eastAsia="Times New Roman"/>
          <w:color w:val="000000"/>
          <w:sz w:val="24"/>
        </w:rPr>
        <w:tab/>
        <w:t>The initial period of performance for</w:t>
      </w:r>
    </w:p>
    <w:p w:rsidR="007C25FE" w:rsidRDefault="00AB77A8">
      <w:pPr>
        <w:spacing w:after="240" w:line="275" w:lineRule="exact"/>
        <w:ind w:left="5328" w:right="72"/>
        <w:textAlignment w:val="baseline"/>
        <w:rPr>
          <w:rFonts w:eastAsia="Times New Roman"/>
          <w:color w:val="000000"/>
          <w:spacing w:val="1"/>
          <w:sz w:val="24"/>
        </w:rPr>
      </w:pPr>
      <w:r>
        <w:rPr>
          <w:rFonts w:eastAsia="Times New Roman"/>
          <w:color w:val="000000"/>
          <w:spacing w:val="1"/>
          <w:sz w:val="24"/>
        </w:rPr>
        <w:t>grants awarded under this program will be for a period of up to eighteen (18) months. For planning purposes, Applicants should assume that the period of performance is October 1, 2017 through March 31, 2019. On a case-by-case basis, after HUD has issued the FY 2018 awards, HUD may approve one</w:t>
      </w:r>
      <w:r>
        <w:rPr>
          <w:rFonts w:eastAsia="Times New Roman"/>
          <w:color w:val="000000"/>
          <w:spacing w:val="1"/>
          <w:sz w:val="24"/>
        </w:rPr>
        <w:softHyphen/>
        <w:t>time requests from grantees to extend the initial period of performance for good cause. This request must include the reasons why an extension is necessary and justified, the specific time frame of the proposed extension, and an explanation of how the funds will be effectively spent within the proposed extension period. Extensions will not be exercised merely for the purpose of using un-obligated balances.</w:t>
      </w:r>
    </w:p>
    <w:p w:rsidR="007C25FE" w:rsidRDefault="00AB77A8">
      <w:pPr>
        <w:numPr>
          <w:ilvl w:val="0"/>
          <w:numId w:val="12"/>
        </w:numPr>
        <w:shd w:val="solid" w:color="E0E0E0" w:fill="E0E0E0"/>
        <w:tabs>
          <w:tab w:val="clear" w:pos="360"/>
          <w:tab w:val="left" w:pos="432"/>
        </w:tabs>
        <w:spacing w:after="63" w:line="274" w:lineRule="exact"/>
        <w:ind w:left="72"/>
        <w:textAlignment w:val="baseline"/>
        <w:rPr>
          <w:rFonts w:eastAsia="Times New Roman"/>
          <w:b/>
          <w:color w:val="000000"/>
          <w:spacing w:val="-1"/>
          <w:sz w:val="24"/>
        </w:rPr>
      </w:pPr>
      <w:r>
        <w:rPr>
          <w:rFonts w:eastAsia="Times New Roman"/>
          <w:b/>
          <w:color w:val="000000"/>
          <w:spacing w:val="-1"/>
          <w:sz w:val="24"/>
        </w:rPr>
        <w:t>Type of Funding Instrument.</w:t>
      </w:r>
    </w:p>
    <w:p w:rsidR="007C25FE" w:rsidRDefault="00AB77A8">
      <w:pPr>
        <w:tabs>
          <w:tab w:val="left" w:pos="5328"/>
        </w:tabs>
        <w:spacing w:line="276" w:lineRule="exact"/>
        <w:ind w:left="72"/>
        <w:textAlignment w:val="baseline"/>
        <w:rPr>
          <w:rFonts w:eastAsia="Times New Roman"/>
          <w:color w:val="000000"/>
          <w:sz w:val="24"/>
        </w:rPr>
      </w:pPr>
      <w:r>
        <w:rPr>
          <w:rFonts w:eastAsia="Times New Roman"/>
          <w:color w:val="000000"/>
          <w:sz w:val="24"/>
        </w:rPr>
        <w:t>Funding Instrument Type:</w:t>
      </w:r>
      <w:r>
        <w:rPr>
          <w:rFonts w:eastAsia="Times New Roman"/>
          <w:color w:val="000000"/>
          <w:sz w:val="24"/>
        </w:rPr>
        <w:tab/>
        <w:t>Grant</w:t>
      </w:r>
    </w:p>
    <w:p w:rsidR="007C25FE" w:rsidRDefault="00AB77A8">
      <w:pPr>
        <w:spacing w:before="34" w:after="1512" w:line="276" w:lineRule="exact"/>
        <w:ind w:left="72" w:right="360"/>
        <w:textAlignment w:val="baseline"/>
        <w:rPr>
          <w:rFonts w:eastAsia="Times New Roman"/>
          <w:color w:val="000000"/>
          <w:spacing w:val="-1"/>
          <w:sz w:val="24"/>
        </w:rPr>
      </w:pPr>
      <w:r>
        <w:rPr>
          <w:rFonts w:eastAsia="Times New Roman"/>
          <w:color w:val="000000"/>
          <w:spacing w:val="-1"/>
          <w:sz w:val="24"/>
        </w:rPr>
        <w:t>HUD will use a Grant Agreement. All awards will be made on a cost reimbursement basis, which means that grantees will receive funding for housing counseling services that were provided prior to a draw request for reimbursement from HUD. Grantees may not draw down on an award made through this NOFA until the prior year’s award has been fully expended.</w:t>
      </w:r>
    </w:p>
    <w:p w:rsidR="007C25FE" w:rsidRDefault="007C25FE">
      <w:pPr>
        <w:spacing w:before="34" w:after="1512" w:line="276" w:lineRule="exact"/>
        <w:sectPr w:rsidR="007C25FE">
          <w:pgSz w:w="12240" w:h="15840"/>
          <w:pgMar w:top="1440" w:right="1410" w:bottom="304" w:left="1373" w:header="720" w:footer="720" w:gutter="0"/>
          <w:cols w:space="720"/>
        </w:sectPr>
      </w:pPr>
    </w:p>
    <w:p w:rsidR="007C25FE" w:rsidRDefault="00AB77A8">
      <w:pPr>
        <w:spacing w:line="276" w:lineRule="exact"/>
        <w:textAlignment w:val="baseline"/>
        <w:rPr>
          <w:rFonts w:eastAsia="Times New Roman"/>
          <w:color w:val="000000"/>
          <w:spacing w:val="-18"/>
          <w:sz w:val="24"/>
        </w:rPr>
      </w:pPr>
      <w:r>
        <w:rPr>
          <w:rFonts w:eastAsia="Times New Roman"/>
          <w:color w:val="000000"/>
          <w:spacing w:val="-18"/>
          <w:sz w:val="24"/>
        </w:rPr>
        <w:t>10 of 49</w:t>
      </w:r>
    </w:p>
    <w:p w:rsidR="007C25FE" w:rsidRDefault="007C25FE">
      <w:pPr>
        <w:sectPr w:rsidR="007C25FE">
          <w:type w:val="continuous"/>
          <w:pgSz w:w="12240" w:h="15840"/>
          <w:pgMar w:top="1440" w:right="1438" w:bottom="304" w:left="10022" w:header="720" w:footer="720" w:gutter="0"/>
          <w:cols w:space="720"/>
        </w:sectPr>
      </w:pPr>
    </w:p>
    <w:p w:rsidR="007C25FE" w:rsidRDefault="00AB77A8">
      <w:pPr>
        <w:shd w:val="solid" w:color="BCDFFB" w:fill="BCDFFB"/>
        <w:spacing w:after="695" w:line="274" w:lineRule="exact"/>
        <w:ind w:left="144"/>
        <w:textAlignment w:val="baseline"/>
        <w:rPr>
          <w:rFonts w:eastAsia="Times New Roman"/>
          <w:b/>
          <w:color w:val="000000"/>
          <w:sz w:val="24"/>
        </w:rPr>
      </w:pPr>
      <w:r>
        <w:rPr>
          <w:rFonts w:eastAsia="Times New Roman"/>
          <w:b/>
          <w:color w:val="000000"/>
          <w:sz w:val="24"/>
        </w:rPr>
        <w:t>III. Eligibility Information.</w:t>
      </w:r>
    </w:p>
    <w:p w:rsidR="007C25FE" w:rsidRDefault="00AB77A8">
      <w:pPr>
        <w:shd w:val="solid" w:color="E0E0E0" w:fill="E0E0E0"/>
        <w:spacing w:after="64" w:line="274" w:lineRule="exact"/>
        <w:ind w:left="144"/>
        <w:textAlignment w:val="baseline"/>
        <w:rPr>
          <w:rFonts w:eastAsia="Times New Roman"/>
          <w:b/>
          <w:color w:val="000000"/>
          <w:sz w:val="24"/>
        </w:rPr>
      </w:pPr>
      <w:r>
        <w:rPr>
          <w:rFonts w:eastAsia="Times New Roman"/>
          <w:b/>
          <w:color w:val="000000"/>
          <w:sz w:val="24"/>
        </w:rPr>
        <w:t>A. Eligible Applicants.</w:t>
      </w:r>
    </w:p>
    <w:p w:rsidR="007C25FE" w:rsidRDefault="00AB77A8">
      <w:pPr>
        <w:spacing w:before="3" w:line="273" w:lineRule="exact"/>
        <w:ind w:left="144"/>
        <w:textAlignment w:val="baseline"/>
        <w:rPr>
          <w:rFonts w:eastAsia="Times New Roman"/>
          <w:color w:val="000000"/>
          <w:sz w:val="24"/>
        </w:rPr>
      </w:pPr>
      <w:r>
        <w:rPr>
          <w:rFonts w:eastAsia="Times New Roman"/>
          <w:color w:val="000000"/>
          <w:sz w:val="24"/>
        </w:rPr>
        <w:t>Others (see text field entitled "Additional Information on Eligibility" for clarification)</w:t>
      </w:r>
    </w:p>
    <w:p w:rsidR="007C25FE" w:rsidRDefault="00AB77A8">
      <w:pPr>
        <w:spacing w:before="341" w:line="273" w:lineRule="exact"/>
        <w:ind w:left="144"/>
        <w:textAlignment w:val="baseline"/>
        <w:rPr>
          <w:rFonts w:eastAsia="Times New Roman"/>
          <w:color w:val="000000"/>
          <w:spacing w:val="-1"/>
          <w:sz w:val="24"/>
        </w:rPr>
      </w:pPr>
      <w:r>
        <w:rPr>
          <w:rFonts w:eastAsia="Times New Roman"/>
          <w:color w:val="000000"/>
          <w:spacing w:val="-1"/>
          <w:sz w:val="24"/>
        </w:rPr>
        <w:t>Additional Information on Eligibility:</w:t>
      </w:r>
    </w:p>
    <w:p w:rsidR="007C25FE" w:rsidRDefault="00AB77A8">
      <w:pPr>
        <w:spacing w:before="26" w:line="276" w:lineRule="exact"/>
        <w:ind w:left="144" w:right="144"/>
        <w:textAlignment w:val="baseline"/>
        <w:rPr>
          <w:rFonts w:eastAsia="Times New Roman"/>
          <w:color w:val="000000"/>
          <w:spacing w:val="-2"/>
          <w:sz w:val="24"/>
        </w:rPr>
      </w:pPr>
      <w:r>
        <w:rPr>
          <w:rFonts w:eastAsia="Times New Roman"/>
          <w:color w:val="000000"/>
          <w:spacing w:val="-2"/>
          <w:sz w:val="24"/>
        </w:rPr>
        <w:t>1. All housing counseling agencies (including LHCAs, Intermediaries and MSOs) that are directly approved by HUD to participate in the HUD Housing Counseling Program prior to the NOFA issue date and SHFAs are eligible for this NOFA. Housing Counseling agencies that have not received HUD approval but meet the Housing Counseling Program approval criteria at 24 C.F.R. § 214.103 are encouraged to affiliate with a HUD-approved Intermediary or SHFA.</w:t>
      </w:r>
    </w:p>
    <w:p w:rsidR="007C25FE" w:rsidRDefault="00AB77A8">
      <w:pPr>
        <w:spacing w:before="139" w:line="274" w:lineRule="exact"/>
        <w:ind w:left="144" w:right="216"/>
        <w:textAlignment w:val="baseline"/>
        <w:rPr>
          <w:rFonts w:eastAsia="Times New Roman"/>
          <w:b/>
          <w:color w:val="000000"/>
          <w:sz w:val="24"/>
        </w:rPr>
      </w:pPr>
      <w:r>
        <w:rPr>
          <w:rFonts w:eastAsia="Times New Roman"/>
          <w:b/>
          <w:color w:val="000000"/>
          <w:sz w:val="24"/>
        </w:rPr>
        <w:t xml:space="preserve">2. Applicant and Sub-grantee Status. </w:t>
      </w:r>
      <w:r>
        <w:rPr>
          <w:rFonts w:eastAsia="Times New Roman"/>
          <w:color w:val="000000"/>
          <w:sz w:val="24"/>
        </w:rPr>
        <w:t>To be eligible to receive a grant or sub-grant under this NOFA, all Applicants, Sub-grantees and Branches must be:</w:t>
      </w:r>
    </w:p>
    <w:p w:rsidR="007C25FE" w:rsidRDefault="00AB77A8">
      <w:pPr>
        <w:numPr>
          <w:ilvl w:val="0"/>
          <w:numId w:val="13"/>
        </w:numPr>
        <w:tabs>
          <w:tab w:val="clear" w:pos="216"/>
          <w:tab w:val="left" w:pos="360"/>
        </w:tabs>
        <w:spacing w:before="124" w:line="274" w:lineRule="exact"/>
        <w:ind w:left="144" w:right="216"/>
        <w:textAlignment w:val="baseline"/>
        <w:rPr>
          <w:rFonts w:eastAsia="Times New Roman"/>
          <w:color w:val="000000"/>
          <w:sz w:val="24"/>
        </w:rPr>
      </w:pPr>
      <w:r>
        <w:rPr>
          <w:rFonts w:eastAsia="Times New Roman"/>
          <w:color w:val="000000"/>
          <w:sz w:val="24"/>
        </w:rPr>
        <w:t>tax-exempt organizations under Internal Revenue Code (IRC) section 501 (a) as described in IRC section 501 (c) (26 U.S.C. 501 (a) and (c)). or be a local, county or state government;</w:t>
      </w:r>
    </w:p>
    <w:p w:rsidR="007C25FE" w:rsidRDefault="00AB77A8">
      <w:pPr>
        <w:numPr>
          <w:ilvl w:val="0"/>
          <w:numId w:val="13"/>
        </w:numPr>
        <w:tabs>
          <w:tab w:val="clear" w:pos="216"/>
          <w:tab w:val="left" w:pos="360"/>
        </w:tabs>
        <w:spacing w:before="125" w:line="273" w:lineRule="exact"/>
        <w:ind w:left="144"/>
        <w:textAlignment w:val="baseline"/>
        <w:rPr>
          <w:rFonts w:eastAsia="Times New Roman"/>
          <w:color w:val="000000"/>
          <w:sz w:val="24"/>
        </w:rPr>
      </w:pPr>
      <w:r>
        <w:rPr>
          <w:rFonts w:eastAsia="Times New Roman"/>
          <w:color w:val="000000"/>
          <w:sz w:val="24"/>
        </w:rPr>
        <w:t>in good standing under the laws and regulations of the state of their organization; and</w:t>
      </w:r>
    </w:p>
    <w:p w:rsidR="007C25FE" w:rsidRDefault="00AB77A8">
      <w:pPr>
        <w:numPr>
          <w:ilvl w:val="0"/>
          <w:numId w:val="13"/>
        </w:numPr>
        <w:tabs>
          <w:tab w:val="clear" w:pos="216"/>
          <w:tab w:val="left" w:pos="360"/>
        </w:tabs>
        <w:spacing w:before="116" w:line="278" w:lineRule="exact"/>
        <w:ind w:left="144" w:right="360"/>
        <w:textAlignment w:val="baseline"/>
        <w:rPr>
          <w:rFonts w:eastAsia="Times New Roman"/>
          <w:color w:val="000000"/>
          <w:sz w:val="24"/>
        </w:rPr>
      </w:pPr>
      <w:r>
        <w:rPr>
          <w:rFonts w:eastAsia="Times New Roman"/>
          <w:color w:val="000000"/>
          <w:sz w:val="24"/>
        </w:rPr>
        <w:t>authorized to do business in the states in which they propose to provide housing counseling services.</w:t>
      </w:r>
    </w:p>
    <w:p w:rsidR="007C25FE" w:rsidRDefault="00AB77A8">
      <w:pPr>
        <w:spacing w:before="116" w:line="278" w:lineRule="exact"/>
        <w:ind w:left="144" w:right="360"/>
        <w:textAlignment w:val="baseline"/>
        <w:rPr>
          <w:rFonts w:eastAsia="Times New Roman"/>
          <w:b/>
          <w:color w:val="000000"/>
          <w:sz w:val="24"/>
        </w:rPr>
      </w:pPr>
      <w:r>
        <w:rPr>
          <w:rFonts w:eastAsia="Times New Roman"/>
          <w:b/>
          <w:color w:val="000000"/>
          <w:sz w:val="24"/>
        </w:rPr>
        <w:t xml:space="preserve">3. Additional Eligibility Requirements for Applicants and Sub-grantees. </w:t>
      </w:r>
      <w:r>
        <w:rPr>
          <w:rFonts w:eastAsia="Times New Roman"/>
          <w:color w:val="000000"/>
          <w:sz w:val="24"/>
        </w:rPr>
        <w:t>To be eligible to receive a grant or sub-grant under this NOFA:</w:t>
      </w:r>
    </w:p>
    <w:p w:rsidR="007C25FE" w:rsidRDefault="00AB77A8">
      <w:pPr>
        <w:numPr>
          <w:ilvl w:val="0"/>
          <w:numId w:val="14"/>
        </w:numPr>
        <w:tabs>
          <w:tab w:val="clear" w:pos="216"/>
          <w:tab w:val="left" w:pos="360"/>
        </w:tabs>
        <w:spacing w:before="120" w:line="276" w:lineRule="exact"/>
        <w:ind w:left="144" w:right="216"/>
        <w:textAlignment w:val="baseline"/>
        <w:rPr>
          <w:rFonts w:eastAsia="Times New Roman"/>
          <w:color w:val="000000"/>
          <w:spacing w:val="-1"/>
          <w:sz w:val="24"/>
        </w:rPr>
      </w:pPr>
      <w:r>
        <w:rPr>
          <w:rFonts w:eastAsia="Times New Roman"/>
          <w:color w:val="000000"/>
          <w:spacing w:val="-1"/>
          <w:sz w:val="24"/>
        </w:rPr>
        <w:t>Successful Applicants must give priority to methods that provide physical access to individuals with disabilities, i.e., holding the training or any other type of meeting in an accessible location, in accordance with the regulations implementing Section 504 of the Rehabilitation Act of 1973 and Titles II and III of the Americans with Disabilities Act of 1990, as applicable. All programs or activities must be held in accessible locations unless the recipient can demonstrate that doing so would result in a fundamental alteration of the program or an undue financial and administrative burdens in which case the recipients must take any action that would not result in such an alteration or such burden but would nevertheless ensure that individuals with disabilities receive the benefits and services of the program or activity, e.g., training at an alternate accessible site or in-home training. Individuals with disabilities must receive services in the most integrated setting appropriate to their needs. In addition, counseling services must comply with effective communication requirements pursuant to Section 504 of the Rehabilitation Act of 1973 and its implementing regulations at 24 C.F.R. § 8.6.</w:t>
      </w:r>
    </w:p>
    <w:p w:rsidR="007C25FE" w:rsidRDefault="005D7575">
      <w:pPr>
        <w:numPr>
          <w:ilvl w:val="0"/>
          <w:numId w:val="14"/>
        </w:numPr>
        <w:tabs>
          <w:tab w:val="clear" w:pos="216"/>
          <w:tab w:val="left" w:pos="360"/>
        </w:tabs>
        <w:spacing w:before="118" w:line="276" w:lineRule="exact"/>
        <w:ind w:left="144" w:right="216"/>
        <w:textAlignment w:val="baseline"/>
        <w:rPr>
          <w:rFonts w:eastAsia="Times New Roman"/>
          <w:color w:val="000000"/>
          <w:sz w:val="24"/>
        </w:rPr>
      </w:pPr>
      <w:hyperlink r:id="rId16">
        <w:r w:rsidR="00AB77A8">
          <w:rPr>
            <w:rFonts w:eastAsia="Times New Roman"/>
            <w:color w:val="0000FF"/>
            <w:sz w:val="24"/>
            <w:u w:val="single"/>
          </w:rPr>
          <w:t>SAM.gov</w:t>
        </w:r>
      </w:hyperlink>
      <w:r w:rsidR="00AB77A8">
        <w:rPr>
          <w:rFonts w:eastAsia="Times New Roman"/>
          <w:color w:val="000000"/>
          <w:sz w:val="24"/>
        </w:rPr>
        <w:t xml:space="preserve"> Registration Requirement. All Applicants must have a valid, active registration in the System for Award Management (SAM). All applicants and sub-grantees must have a Data Universal Number System (DUNS) identifier.</w:t>
      </w:r>
    </w:p>
    <w:p w:rsidR="007C25FE" w:rsidRDefault="00AB77A8">
      <w:pPr>
        <w:numPr>
          <w:ilvl w:val="0"/>
          <w:numId w:val="14"/>
        </w:numPr>
        <w:tabs>
          <w:tab w:val="clear" w:pos="216"/>
          <w:tab w:val="left" w:pos="360"/>
        </w:tabs>
        <w:spacing w:before="124" w:after="667" w:line="274" w:lineRule="exact"/>
        <w:ind w:left="144" w:right="504"/>
        <w:textAlignment w:val="baseline"/>
        <w:rPr>
          <w:rFonts w:eastAsia="Times New Roman"/>
          <w:color w:val="000000"/>
          <w:spacing w:val="-2"/>
          <w:sz w:val="24"/>
        </w:rPr>
      </w:pPr>
      <w:r>
        <w:rPr>
          <w:rFonts w:eastAsia="Times New Roman"/>
          <w:color w:val="000000"/>
          <w:spacing w:val="-2"/>
          <w:sz w:val="24"/>
        </w:rPr>
        <w:t>All Applicants and Sub-grantees must have resolved all outstanding issues on their most recent HUD housing counseling performance review by the later of the application deadline</w:t>
      </w:r>
    </w:p>
    <w:p w:rsidR="007C25FE" w:rsidRDefault="007C25FE">
      <w:pPr>
        <w:spacing w:before="124" w:after="667" w:line="274" w:lineRule="exact"/>
        <w:sectPr w:rsidR="007C25FE">
          <w:pgSz w:w="12240" w:h="15840"/>
          <w:pgMar w:top="1740" w:right="1420" w:bottom="304" w:left="1363" w:header="720" w:footer="720" w:gutter="0"/>
          <w:cols w:space="720"/>
        </w:sectPr>
      </w:pPr>
    </w:p>
    <w:p w:rsidR="007C25FE" w:rsidRDefault="00AB77A8">
      <w:pPr>
        <w:spacing w:before="3" w:line="273" w:lineRule="exact"/>
        <w:textAlignment w:val="baseline"/>
        <w:rPr>
          <w:rFonts w:eastAsia="Times New Roman"/>
          <w:color w:val="000000"/>
          <w:spacing w:val="-18"/>
          <w:sz w:val="24"/>
        </w:rPr>
      </w:pPr>
      <w:r>
        <w:rPr>
          <w:rFonts w:eastAsia="Times New Roman"/>
          <w:color w:val="000000"/>
          <w:spacing w:val="-18"/>
          <w:sz w:val="24"/>
        </w:rPr>
        <w:t>11 of 49</w:t>
      </w:r>
    </w:p>
    <w:p w:rsidR="007C25FE" w:rsidRDefault="007C25FE">
      <w:pPr>
        <w:sectPr w:rsidR="007C25FE">
          <w:type w:val="continuous"/>
          <w:pgSz w:w="12240" w:h="15840"/>
          <w:pgMar w:top="1740" w:right="1441" w:bottom="304" w:left="10019" w:header="720" w:footer="720" w:gutter="0"/>
          <w:cols w:space="720"/>
        </w:sectPr>
      </w:pPr>
    </w:p>
    <w:p w:rsidR="007C25FE" w:rsidRDefault="00AB77A8">
      <w:pPr>
        <w:spacing w:line="275" w:lineRule="exact"/>
        <w:ind w:left="72" w:right="216"/>
        <w:jc w:val="both"/>
        <w:textAlignment w:val="baseline"/>
        <w:rPr>
          <w:rFonts w:eastAsia="Times New Roman"/>
          <w:color w:val="000000"/>
          <w:sz w:val="24"/>
        </w:rPr>
      </w:pPr>
      <w:r>
        <w:rPr>
          <w:rFonts w:eastAsia="Times New Roman"/>
          <w:color w:val="000000"/>
          <w:sz w:val="24"/>
        </w:rPr>
        <w:t>date of this NOFA, or the expiration date of any conditional re-approval resulting from a HUD performance review.</w:t>
      </w:r>
    </w:p>
    <w:p w:rsidR="007C25FE" w:rsidRDefault="00AB77A8">
      <w:pPr>
        <w:spacing w:before="120" w:after="1354" w:line="276" w:lineRule="exact"/>
        <w:ind w:left="72" w:right="216"/>
        <w:textAlignment w:val="baseline"/>
        <w:rPr>
          <w:rFonts w:eastAsia="Times New Roman"/>
          <w:color w:val="000000"/>
          <w:spacing w:val="1"/>
          <w:sz w:val="24"/>
        </w:rPr>
      </w:pPr>
      <w:r>
        <w:rPr>
          <w:rFonts w:eastAsia="Times New Roman"/>
          <w:color w:val="000000"/>
          <w:spacing w:val="1"/>
          <w:sz w:val="24"/>
        </w:rPr>
        <w:t>d. No Applicant, Sub-grantee or Branch that has been, or employs an individual who has been, convicted of a violation under federal law relating to an election for Federal office (as defined in Pub. L. 111-203, 124 Stat. 1376 (July 21, 2010)) is eligible for grant funding under this NOFA.</w:t>
      </w:r>
    </w:p>
    <w:p w:rsidR="007C25FE" w:rsidRDefault="00AB77A8">
      <w:pPr>
        <w:spacing w:before="423" w:line="274" w:lineRule="exact"/>
        <w:ind w:left="72"/>
        <w:textAlignment w:val="baseline"/>
        <w:rPr>
          <w:rFonts w:eastAsia="Times New Roman"/>
          <w:b/>
          <w:color w:val="000000"/>
          <w:sz w:val="24"/>
        </w:rPr>
      </w:pPr>
      <w:r>
        <w:rPr>
          <w:noProof/>
        </w:rPr>
        <mc:AlternateContent>
          <mc:Choice Requires="wps">
            <w:drawing>
              <wp:anchor distT="0" distB="0" distL="114300" distR="114300" simplePos="0" relativeHeight="251656192" behindDoc="0" locked="0" layoutInCell="1" allowOverlap="1" wp14:anchorId="3760F858" wp14:editId="1E240A0F">
                <wp:simplePos x="0" y="0"/>
                <wp:positionH relativeFrom="page">
                  <wp:posOffset>869950</wp:posOffset>
                </wp:positionH>
                <wp:positionV relativeFrom="page">
                  <wp:posOffset>2926080</wp:posOffset>
                </wp:positionV>
                <wp:extent cx="6005195" cy="0"/>
                <wp:effectExtent l="0" t="0" r="0" b="0"/>
                <wp:wrapNone/>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97CA4" id="Line 6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pt,230.4pt" to="541.3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FZ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67A29CDE" wp14:editId="6468CC0F">
                <wp:simplePos x="0" y="0"/>
                <wp:positionH relativeFrom="page">
                  <wp:posOffset>869950</wp:posOffset>
                </wp:positionH>
                <wp:positionV relativeFrom="page">
                  <wp:posOffset>7528560</wp:posOffset>
                </wp:positionV>
                <wp:extent cx="6005195" cy="0"/>
                <wp:effectExtent l="0" t="0" r="0" b="0"/>
                <wp:wrapNone/>
                <wp:docPr id="6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A260D" id="Line 6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pt,592.8pt" to="541.35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G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" strokecolor="#ccc" strokeweight=".7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23694C5E" wp14:editId="19A381BA">
                <wp:simplePos x="0" y="0"/>
                <wp:positionH relativeFrom="page">
                  <wp:posOffset>869950</wp:posOffset>
                </wp:positionH>
                <wp:positionV relativeFrom="page">
                  <wp:posOffset>2926080</wp:posOffset>
                </wp:positionV>
                <wp:extent cx="0" cy="4602480"/>
                <wp:effectExtent l="0" t="0" r="0" b="0"/>
                <wp:wrapNone/>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248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C532A" id="Line 6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pt,230.4pt" to="68.5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" strokecolor="#ccc" strokeweight=".7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30B46C4D" wp14:editId="14AB9480">
                <wp:simplePos x="0" y="0"/>
                <wp:positionH relativeFrom="page">
                  <wp:posOffset>6875145</wp:posOffset>
                </wp:positionH>
                <wp:positionV relativeFrom="page">
                  <wp:posOffset>2926080</wp:posOffset>
                </wp:positionV>
                <wp:extent cx="0" cy="4602480"/>
                <wp:effectExtent l="0" t="0" r="0" b="0"/>
                <wp:wrapNone/>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248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D79D66" id="Line 6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35pt,230.4pt" to="541.35pt,5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sgHgIAAEMEAAAOAAAAZHJzL2Uyb0RvYy54bWysU82O2jAQvlfqO1i+QxI2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" strokecolor="#ccc" strokeweight=".7pt">
                <w10:wrap anchorx="page" anchory="page"/>
              </v:line>
            </w:pict>
          </mc:Fallback>
        </mc:AlternateContent>
      </w:r>
      <w:r>
        <w:rPr>
          <w:rFonts w:eastAsia="Times New Roman"/>
          <w:b/>
          <w:color w:val="000000"/>
          <w:sz w:val="24"/>
        </w:rPr>
        <w:t>4. Additional Eligibility Requirements for Applicant:</w:t>
      </w:r>
    </w:p>
    <w:p w:rsidR="007C25FE" w:rsidRDefault="00AB77A8">
      <w:pPr>
        <w:numPr>
          <w:ilvl w:val="0"/>
          <w:numId w:val="15"/>
        </w:numPr>
        <w:tabs>
          <w:tab w:val="clear" w:pos="216"/>
          <w:tab w:val="left" w:pos="288"/>
        </w:tabs>
        <w:spacing w:before="119" w:line="276" w:lineRule="exact"/>
        <w:ind w:left="72" w:right="216"/>
        <w:jc w:val="both"/>
        <w:textAlignment w:val="baseline"/>
        <w:rPr>
          <w:rFonts w:eastAsia="Times New Roman"/>
          <w:color w:val="000000"/>
          <w:spacing w:val="-2"/>
          <w:sz w:val="24"/>
        </w:rPr>
      </w:pPr>
      <w:r>
        <w:rPr>
          <w:rFonts w:eastAsia="Times New Roman"/>
          <w:color w:val="000000"/>
          <w:spacing w:val="-2"/>
          <w:sz w:val="24"/>
        </w:rPr>
        <w:t>Housing Counseling Work Plan. All Applicants must have an approved Housing Counseling Work Plan on file with HUD. Activities specified in the HUD-9906 Housing Counseling charts must be consistent with activities previously approved in the work plan on file with HUD prior to the application due date, and the activities must include the provision of housing</w:t>
      </w:r>
    </w:p>
    <w:p w:rsidR="007C25FE" w:rsidRDefault="00AB77A8">
      <w:pPr>
        <w:spacing w:line="276" w:lineRule="exact"/>
        <w:ind w:left="72" w:right="1224"/>
        <w:textAlignment w:val="baseline"/>
        <w:rPr>
          <w:rFonts w:eastAsia="Times New Roman"/>
          <w:color w:val="000000"/>
          <w:sz w:val="24"/>
        </w:rPr>
      </w:pPr>
      <w:r>
        <w:rPr>
          <w:rFonts w:eastAsia="Times New Roman"/>
          <w:color w:val="000000"/>
          <w:sz w:val="24"/>
        </w:rPr>
        <w:t>counseling. Providing only education or marketing and outreach does not fulfill this requirement.</w:t>
      </w:r>
    </w:p>
    <w:p w:rsidR="007C25FE" w:rsidRDefault="00AB77A8">
      <w:pPr>
        <w:numPr>
          <w:ilvl w:val="0"/>
          <w:numId w:val="15"/>
        </w:numPr>
        <w:tabs>
          <w:tab w:val="clear" w:pos="216"/>
          <w:tab w:val="left" w:pos="288"/>
        </w:tabs>
        <w:spacing w:before="118" w:line="276" w:lineRule="exact"/>
        <w:ind w:left="72" w:right="1152"/>
        <w:jc w:val="both"/>
        <w:textAlignment w:val="baseline"/>
        <w:rPr>
          <w:rFonts w:eastAsia="Times New Roman"/>
          <w:color w:val="000000"/>
          <w:spacing w:val="-1"/>
          <w:sz w:val="24"/>
        </w:rPr>
      </w:pPr>
      <w:r>
        <w:rPr>
          <w:rFonts w:eastAsia="Times New Roman"/>
          <w:color w:val="000000"/>
          <w:spacing w:val="-1"/>
          <w:sz w:val="24"/>
        </w:rPr>
        <w:t>Compliance with third party certifications and licensing. All Applicants must be in compliance with, and not in default under, any applicable state or other licensing and certification requirements. HUD will review individual circumstances upon request.</w:t>
      </w:r>
    </w:p>
    <w:p w:rsidR="007C25FE" w:rsidRDefault="00AB77A8">
      <w:pPr>
        <w:spacing w:before="120" w:line="276" w:lineRule="exact"/>
        <w:ind w:left="72" w:right="216"/>
        <w:textAlignment w:val="baseline"/>
        <w:rPr>
          <w:rFonts w:eastAsia="Times New Roman"/>
          <w:b/>
          <w:color w:val="000000"/>
          <w:sz w:val="24"/>
        </w:rPr>
      </w:pPr>
      <w:r>
        <w:rPr>
          <w:rFonts w:eastAsia="Times New Roman"/>
          <w:b/>
          <w:color w:val="000000"/>
          <w:sz w:val="24"/>
        </w:rPr>
        <w:t xml:space="preserve">5. Limits on Applicants. </w:t>
      </w:r>
      <w:r>
        <w:rPr>
          <w:rFonts w:eastAsia="Times New Roman"/>
          <w:color w:val="000000"/>
          <w:sz w:val="24"/>
        </w:rPr>
        <w:t>Applicants and Sub-grantees are prohibited from applying for or accessing FY 2018 HUD Housing Counseling Program grant funding from multiple sources. For example, applying for funding under this NOFA as both a direct Grantee (e.g. LHCA) and as a Sub-grantee of an Intermediary or SHFA is prohibited. Likewise, applying for funding under this NOFA as a Sub-grantee of two different Intermediaries or as a Sub-grantee of an Intermediary and as a Sub-grantee of an SHFA is prohibited.</w:t>
      </w:r>
    </w:p>
    <w:p w:rsidR="007C25FE" w:rsidRDefault="00AB77A8">
      <w:pPr>
        <w:spacing w:before="122" w:line="276" w:lineRule="exact"/>
        <w:ind w:left="72"/>
        <w:textAlignment w:val="baseline"/>
        <w:rPr>
          <w:rFonts w:eastAsia="Times New Roman"/>
          <w:color w:val="000000"/>
          <w:sz w:val="24"/>
        </w:rPr>
      </w:pPr>
      <w:r>
        <w:rPr>
          <w:rFonts w:eastAsia="Times New Roman"/>
          <w:color w:val="000000"/>
          <w:sz w:val="24"/>
        </w:rPr>
        <w:t>The following limited sole exception is made to these requirements:</w:t>
      </w:r>
    </w:p>
    <w:p w:rsidR="007C25FE" w:rsidRDefault="00AB77A8">
      <w:pPr>
        <w:spacing w:before="118" w:after="124" w:line="276" w:lineRule="exact"/>
        <w:ind w:left="72" w:right="216"/>
        <w:textAlignment w:val="baseline"/>
        <w:rPr>
          <w:rFonts w:eastAsia="Times New Roman"/>
          <w:color w:val="000000"/>
          <w:sz w:val="24"/>
        </w:rPr>
      </w:pPr>
      <w:r>
        <w:rPr>
          <w:rFonts w:eastAsia="Times New Roman"/>
          <w:color w:val="000000"/>
          <w:sz w:val="24"/>
        </w:rPr>
        <w:t>The Grantee or Sub-grantee has one or more HUD HECM Roster Counselors that are awarded Comprehensive Grant funds directly from HUD, or indirectly through an Intermediary or SHFA, and the Grantee or Sub-grantee receives a single additional Sub-grant for reverse mortgage counseling activities from an Intermediary that provides reverse mortgage counseling exclusively.</w:t>
      </w:r>
    </w:p>
    <w:p w:rsidR="007C25FE" w:rsidRDefault="00AB77A8">
      <w:pPr>
        <w:pBdr>
          <w:top w:val="single" w:sz="5" w:space="1" w:color="CCCCCC"/>
          <w:left w:val="single" w:sz="5" w:space="3" w:color="CCCCCC"/>
          <w:bottom w:val="single" w:sz="5" w:space="6" w:color="CCCCCC"/>
          <w:right w:val="single" w:sz="5" w:space="10" w:color="CCCCCC"/>
        </w:pBdr>
        <w:spacing w:after="840" w:line="276" w:lineRule="exact"/>
        <w:ind w:left="72" w:right="216"/>
        <w:textAlignment w:val="baseline"/>
        <w:rPr>
          <w:rFonts w:eastAsia="Times New Roman"/>
          <w:color w:val="000000"/>
          <w:sz w:val="24"/>
        </w:rPr>
      </w:pPr>
      <w:r>
        <w:rPr>
          <w:rFonts w:eastAsia="Times New Roman"/>
          <w:color w:val="000000"/>
          <w:sz w:val="24"/>
        </w:rPr>
        <w:t>HUD does not award grants to individuals. HUD will not evaluate applications from ineligible applicants.</w:t>
      </w:r>
    </w:p>
    <w:p w:rsidR="007C25FE" w:rsidRDefault="00AB77A8">
      <w:pPr>
        <w:shd w:val="solid" w:color="E0E0E0" w:fill="E0E0E0"/>
        <w:spacing w:after="23" w:line="274" w:lineRule="exact"/>
        <w:ind w:left="72"/>
        <w:textAlignment w:val="baseline"/>
        <w:rPr>
          <w:rFonts w:eastAsia="Times New Roman"/>
          <w:b/>
          <w:color w:val="000000"/>
          <w:sz w:val="24"/>
        </w:rPr>
      </w:pPr>
      <w:r>
        <w:rPr>
          <w:rFonts w:eastAsia="Times New Roman"/>
          <w:b/>
          <w:color w:val="000000"/>
          <w:sz w:val="24"/>
        </w:rPr>
        <w:t>B. Cost Sharing or Matching.</w:t>
      </w:r>
    </w:p>
    <w:p w:rsidR="007C25FE" w:rsidRDefault="007C25FE">
      <w:pPr>
        <w:spacing w:before="797" w:line="288" w:lineRule="exact"/>
        <w:textAlignment w:val="baseline"/>
        <w:rPr>
          <w:rFonts w:eastAsia="Times New Roman"/>
          <w:color w:val="000000"/>
          <w:sz w:val="24"/>
        </w:rPr>
      </w:pPr>
    </w:p>
    <w:p w:rsidR="007C25FE" w:rsidRDefault="007C25FE">
      <w:pPr>
        <w:sectPr w:rsidR="007C25FE">
          <w:pgSz w:w="12240" w:h="15840"/>
          <w:pgMar w:top="1480" w:right="1413" w:bottom="304" w:left="1370" w:header="720" w:footer="720" w:gutter="0"/>
          <w:cols w:space="720"/>
        </w:sectPr>
      </w:pPr>
    </w:p>
    <w:p w:rsidR="007C25FE" w:rsidRDefault="00AB77A8">
      <w:pPr>
        <w:spacing w:line="276" w:lineRule="exact"/>
        <w:textAlignment w:val="baseline"/>
        <w:rPr>
          <w:rFonts w:eastAsia="Times New Roman"/>
          <w:color w:val="000000"/>
          <w:spacing w:val="-18"/>
          <w:sz w:val="24"/>
        </w:rPr>
      </w:pPr>
      <w:r>
        <w:rPr>
          <w:rFonts w:eastAsia="Times New Roman"/>
          <w:color w:val="000000"/>
          <w:spacing w:val="-18"/>
          <w:sz w:val="24"/>
        </w:rPr>
        <w:t>12 of 49</w:t>
      </w:r>
    </w:p>
    <w:p w:rsidR="007C25FE" w:rsidRDefault="007C25FE">
      <w:pPr>
        <w:sectPr w:rsidR="007C25FE">
          <w:type w:val="continuous"/>
          <w:pgSz w:w="12240" w:h="15840"/>
          <w:pgMar w:top="1480" w:right="1441" w:bottom="304" w:left="10019" w:header="720" w:footer="720" w:gutter="0"/>
          <w:cols w:space="720"/>
        </w:sectPr>
      </w:pPr>
    </w:p>
    <w:p w:rsidR="007C25FE" w:rsidRDefault="00AB77A8">
      <w:pPr>
        <w:spacing w:before="5" w:after="418" w:line="277" w:lineRule="exact"/>
        <w:ind w:left="72"/>
        <w:textAlignment w:val="baseline"/>
        <w:rPr>
          <w:rFonts w:eastAsia="Times New Roman"/>
          <w:color w:val="000000"/>
          <w:sz w:val="24"/>
        </w:rPr>
      </w:pPr>
      <w:r>
        <w:rPr>
          <w:rFonts w:eastAsia="Times New Roman"/>
          <w:color w:val="000000"/>
          <w:sz w:val="24"/>
        </w:rPr>
        <w:t>This Program does not require cost sharing, matching or leveraging.</w:t>
      </w:r>
    </w:p>
    <w:p w:rsidR="007C25FE" w:rsidRDefault="00AB77A8">
      <w:pPr>
        <w:numPr>
          <w:ilvl w:val="0"/>
          <w:numId w:val="16"/>
        </w:numPr>
        <w:shd w:val="solid" w:color="E0E0E0" w:fill="E0E0E0"/>
        <w:tabs>
          <w:tab w:val="clear" w:pos="360"/>
          <w:tab w:val="left" w:pos="432"/>
        </w:tabs>
        <w:spacing w:after="25" w:line="274" w:lineRule="exact"/>
        <w:ind w:left="72"/>
        <w:textAlignment w:val="baseline"/>
        <w:rPr>
          <w:rFonts w:eastAsia="Times New Roman"/>
          <w:b/>
          <w:color w:val="000000"/>
          <w:sz w:val="24"/>
        </w:rPr>
      </w:pPr>
      <w:r>
        <w:rPr>
          <w:rFonts w:eastAsia="Times New Roman"/>
          <w:b/>
          <w:color w:val="000000"/>
          <w:sz w:val="24"/>
        </w:rPr>
        <w:t>Threshold Requirements.</w:t>
      </w:r>
    </w:p>
    <w:p w:rsidR="007C25FE" w:rsidRDefault="00AB77A8">
      <w:pPr>
        <w:spacing w:before="1" w:line="277" w:lineRule="exact"/>
        <w:ind w:left="72" w:right="720"/>
        <w:jc w:val="both"/>
        <w:textAlignment w:val="baseline"/>
        <w:rPr>
          <w:rFonts w:eastAsia="Times New Roman"/>
          <w:color w:val="000000"/>
          <w:sz w:val="24"/>
        </w:rPr>
      </w:pPr>
      <w:r>
        <w:rPr>
          <w:rFonts w:eastAsia="Times New Roman"/>
          <w:color w:val="000000"/>
          <w:sz w:val="24"/>
        </w:rPr>
        <w:t>Applicants who fail to meet any of the following threshold eligibility requirements will be deemed ineligible. Applications from ineligible applicants will not be evaluated.</w:t>
      </w:r>
    </w:p>
    <w:p w:rsidR="007C25FE" w:rsidRDefault="00AB77A8">
      <w:pPr>
        <w:spacing w:after="542" w:line="276" w:lineRule="exact"/>
        <w:ind w:left="72" w:right="216"/>
        <w:textAlignment w:val="baseline"/>
        <w:rPr>
          <w:rFonts w:eastAsia="Times New Roman"/>
          <w:b/>
          <w:color w:val="000000"/>
          <w:sz w:val="24"/>
        </w:rPr>
      </w:pPr>
      <w:r>
        <w:rPr>
          <w:rFonts w:eastAsia="Times New Roman"/>
          <w:b/>
          <w:color w:val="000000"/>
          <w:sz w:val="24"/>
        </w:rPr>
        <w:t xml:space="preserve">1. Timely Submission of Applications </w:t>
      </w:r>
      <w:r>
        <w:rPr>
          <w:rFonts w:eastAsia="Times New Roman"/>
          <w:color w:val="000000"/>
          <w:sz w:val="24"/>
        </w:rPr>
        <w:t>– Applications submitted after the deadline stated within this NOFA that do not meet the requirements of the grace period policy will be marked late. Late applications are ineligible and will not be considered for funding. See also Section IV Application and Submission Information, part D. Application Submission Dates and Times</w:t>
      </w:r>
    </w:p>
    <w:p w:rsidR="007C25FE" w:rsidRDefault="00AB77A8">
      <w:pPr>
        <w:numPr>
          <w:ilvl w:val="0"/>
          <w:numId w:val="16"/>
        </w:numPr>
        <w:shd w:val="solid" w:color="E0E0E0" w:fill="E0E0E0"/>
        <w:tabs>
          <w:tab w:val="clear" w:pos="360"/>
          <w:tab w:val="left" w:pos="432"/>
        </w:tabs>
        <w:spacing w:after="30" w:line="274" w:lineRule="exact"/>
        <w:ind w:left="72"/>
        <w:textAlignment w:val="baseline"/>
        <w:rPr>
          <w:rFonts w:eastAsia="Times New Roman"/>
          <w:b/>
          <w:color w:val="000000"/>
          <w:sz w:val="24"/>
        </w:rPr>
      </w:pPr>
      <w:r>
        <w:rPr>
          <w:rFonts w:eastAsia="Times New Roman"/>
          <w:b/>
          <w:color w:val="000000"/>
          <w:sz w:val="24"/>
        </w:rPr>
        <w:t>Statutory and Regulatory Requirements Affecting Eligibility</w:t>
      </w:r>
    </w:p>
    <w:p w:rsidR="007C25FE" w:rsidRDefault="00AB77A8">
      <w:pPr>
        <w:spacing w:before="3" w:line="274" w:lineRule="exact"/>
        <w:ind w:left="72"/>
        <w:textAlignment w:val="baseline"/>
        <w:rPr>
          <w:rFonts w:eastAsia="Times New Roman"/>
          <w:b/>
          <w:color w:val="000000"/>
          <w:sz w:val="24"/>
        </w:rPr>
      </w:pPr>
      <w:r>
        <w:rPr>
          <w:rFonts w:eastAsia="Times New Roman"/>
          <w:b/>
          <w:color w:val="000000"/>
          <w:sz w:val="24"/>
        </w:rPr>
        <w:t>Eligibility Requirements for Applicants of HUD’s Grants Programs</w:t>
      </w:r>
    </w:p>
    <w:p w:rsidR="007C25FE" w:rsidRDefault="00AB77A8">
      <w:pPr>
        <w:spacing w:before="1" w:line="277" w:lineRule="exact"/>
        <w:ind w:left="72"/>
        <w:textAlignment w:val="baseline"/>
        <w:rPr>
          <w:rFonts w:eastAsia="Times New Roman"/>
          <w:color w:val="000000"/>
          <w:sz w:val="24"/>
        </w:rPr>
      </w:pPr>
      <w:r>
        <w:rPr>
          <w:rFonts w:eastAsia="Times New Roman"/>
          <w:color w:val="000000"/>
          <w:sz w:val="24"/>
        </w:rPr>
        <w:t>The following requirements affect applicant eligibility. Detailed information on each</w:t>
      </w:r>
    </w:p>
    <w:p w:rsidR="007C25FE" w:rsidRDefault="00AB77A8">
      <w:pPr>
        <w:spacing w:line="274" w:lineRule="exact"/>
        <w:ind w:left="72"/>
        <w:textAlignment w:val="baseline"/>
        <w:rPr>
          <w:rFonts w:eastAsia="Times New Roman"/>
          <w:color w:val="000000"/>
          <w:sz w:val="24"/>
        </w:rPr>
      </w:pPr>
      <w:r>
        <w:rPr>
          <w:rFonts w:eastAsia="Times New Roman"/>
          <w:color w:val="000000"/>
          <w:sz w:val="24"/>
        </w:rPr>
        <w:t>requirement is posted on HUD’s Funding Opportunities Page</w:t>
      </w:r>
      <w:r>
        <w:rPr>
          <w:rFonts w:eastAsia="Times New Roman"/>
          <w:color w:val="0000EE"/>
          <w:sz w:val="24"/>
          <w:u w:val="single"/>
        </w:rPr>
        <w:t xml:space="preserve"> (</w:t>
      </w:r>
      <w:r>
        <w:rPr>
          <w:rFonts w:eastAsia="Times New Roman"/>
          <w:b/>
          <w:color w:val="0000EE"/>
          <w:sz w:val="24"/>
          <w:u w:val="single"/>
        </w:rPr>
        <w:t>click here</w:t>
      </w:r>
      <w:r>
        <w:rPr>
          <w:rFonts w:eastAsia="Times New Roman"/>
          <w:color w:val="0000EE"/>
          <w:sz w:val="24"/>
          <w:u w:val="single"/>
        </w:rPr>
        <w:t>).</w:t>
      </w:r>
    </w:p>
    <w:p w:rsidR="007C25FE" w:rsidRDefault="00AB77A8">
      <w:pPr>
        <w:spacing w:before="1" w:line="277" w:lineRule="exact"/>
        <w:ind w:left="72"/>
        <w:textAlignment w:val="baseline"/>
        <w:rPr>
          <w:rFonts w:eastAsia="Times New Roman"/>
          <w:color w:val="000000"/>
          <w:sz w:val="24"/>
        </w:rPr>
      </w:pPr>
      <w:r>
        <w:rPr>
          <w:rFonts w:eastAsia="Times New Roman"/>
          <w:color w:val="000000"/>
          <w:sz w:val="24"/>
        </w:rPr>
        <w:t>Resolution of Civil Rights Matters</w:t>
      </w:r>
    </w:p>
    <w:p w:rsidR="007C25FE" w:rsidRDefault="00AB77A8">
      <w:pPr>
        <w:spacing w:line="273" w:lineRule="exact"/>
        <w:ind w:left="72"/>
        <w:textAlignment w:val="baseline"/>
        <w:rPr>
          <w:rFonts w:eastAsia="Times New Roman"/>
          <w:color w:val="000000"/>
          <w:sz w:val="24"/>
        </w:rPr>
      </w:pPr>
      <w:r>
        <w:rPr>
          <w:rFonts w:eastAsia="Times New Roman"/>
          <w:color w:val="000000"/>
          <w:sz w:val="24"/>
        </w:rPr>
        <w:t>Outstanding Delinquent Federal Debts</w:t>
      </w:r>
    </w:p>
    <w:p w:rsidR="007C25FE" w:rsidRDefault="00AB77A8">
      <w:pPr>
        <w:spacing w:before="2" w:line="277" w:lineRule="exact"/>
        <w:ind w:left="72"/>
        <w:textAlignment w:val="baseline"/>
        <w:rPr>
          <w:rFonts w:eastAsia="Times New Roman"/>
          <w:color w:val="000000"/>
          <w:sz w:val="24"/>
        </w:rPr>
      </w:pPr>
      <w:r>
        <w:rPr>
          <w:rFonts w:eastAsia="Times New Roman"/>
          <w:color w:val="000000"/>
          <w:sz w:val="24"/>
        </w:rPr>
        <w:t>Debarments and/or Suspensions</w:t>
      </w:r>
    </w:p>
    <w:p w:rsidR="007C25FE" w:rsidRDefault="00AB77A8">
      <w:pPr>
        <w:spacing w:line="273" w:lineRule="exact"/>
        <w:ind w:left="72"/>
        <w:textAlignment w:val="baseline"/>
        <w:rPr>
          <w:rFonts w:eastAsia="Times New Roman"/>
          <w:color w:val="000000"/>
          <w:sz w:val="24"/>
        </w:rPr>
      </w:pPr>
      <w:r>
        <w:rPr>
          <w:rFonts w:eastAsia="Times New Roman"/>
          <w:color w:val="000000"/>
          <w:sz w:val="24"/>
        </w:rPr>
        <w:t>Pre-selection Review of Performance</w:t>
      </w:r>
    </w:p>
    <w:p w:rsidR="007C25FE" w:rsidRDefault="00AB77A8">
      <w:pPr>
        <w:spacing w:before="2" w:line="277" w:lineRule="exact"/>
        <w:ind w:left="72"/>
        <w:textAlignment w:val="baseline"/>
        <w:rPr>
          <w:rFonts w:eastAsia="Times New Roman"/>
          <w:color w:val="000000"/>
          <w:sz w:val="24"/>
        </w:rPr>
      </w:pPr>
      <w:r>
        <w:rPr>
          <w:rFonts w:eastAsia="Times New Roman"/>
          <w:color w:val="000000"/>
          <w:sz w:val="24"/>
        </w:rPr>
        <w:t>Sufficiency of Financial Management System</w:t>
      </w:r>
    </w:p>
    <w:p w:rsidR="007C25FE" w:rsidRDefault="00AB77A8">
      <w:pPr>
        <w:spacing w:line="273" w:lineRule="exact"/>
        <w:ind w:left="72"/>
        <w:textAlignment w:val="baseline"/>
        <w:rPr>
          <w:rFonts w:eastAsia="Times New Roman"/>
          <w:color w:val="000000"/>
          <w:sz w:val="24"/>
        </w:rPr>
      </w:pPr>
      <w:r>
        <w:rPr>
          <w:rFonts w:eastAsia="Times New Roman"/>
          <w:color w:val="000000"/>
          <w:sz w:val="24"/>
        </w:rPr>
        <w:t>False Statements</w:t>
      </w:r>
    </w:p>
    <w:p w:rsidR="007C25FE" w:rsidRDefault="00AB77A8">
      <w:pPr>
        <w:spacing w:before="2" w:line="277" w:lineRule="exact"/>
        <w:ind w:left="72"/>
        <w:textAlignment w:val="baseline"/>
        <w:rPr>
          <w:rFonts w:eastAsia="Times New Roman"/>
          <w:color w:val="000000"/>
          <w:sz w:val="24"/>
        </w:rPr>
      </w:pPr>
      <w:r>
        <w:rPr>
          <w:rFonts w:eastAsia="Times New Roman"/>
          <w:color w:val="000000"/>
          <w:sz w:val="24"/>
        </w:rPr>
        <w:t>Mandatory Disclosure Requirement</w:t>
      </w:r>
    </w:p>
    <w:p w:rsidR="007C25FE" w:rsidRDefault="00AB77A8">
      <w:pPr>
        <w:spacing w:line="273" w:lineRule="exact"/>
        <w:ind w:left="72"/>
        <w:textAlignment w:val="baseline"/>
        <w:rPr>
          <w:rFonts w:eastAsia="Times New Roman"/>
          <w:color w:val="000000"/>
          <w:sz w:val="24"/>
        </w:rPr>
      </w:pPr>
      <w:r>
        <w:rPr>
          <w:rFonts w:eastAsia="Times New Roman"/>
          <w:color w:val="000000"/>
          <w:sz w:val="24"/>
        </w:rPr>
        <w:t>Prohibition Against Lobbying Activities</w:t>
      </w:r>
    </w:p>
    <w:p w:rsidR="007C25FE" w:rsidRDefault="00AB77A8">
      <w:pPr>
        <w:spacing w:before="2" w:after="504" w:line="277" w:lineRule="exact"/>
        <w:ind w:left="72"/>
        <w:textAlignment w:val="baseline"/>
        <w:rPr>
          <w:rFonts w:eastAsia="Times New Roman"/>
          <w:color w:val="000000"/>
          <w:sz w:val="24"/>
        </w:rPr>
      </w:pPr>
      <w:r>
        <w:rPr>
          <w:rFonts w:eastAsia="Times New Roman"/>
          <w:color w:val="000000"/>
          <w:sz w:val="24"/>
        </w:rPr>
        <w:t>Equal Participation of Faith-Based Organizations in HUD Programs and Activities</w:t>
      </w:r>
    </w:p>
    <w:p w:rsidR="007C25FE" w:rsidRDefault="00AB77A8">
      <w:pPr>
        <w:numPr>
          <w:ilvl w:val="0"/>
          <w:numId w:val="16"/>
        </w:numPr>
        <w:shd w:val="solid" w:color="E0E0E0" w:fill="E0E0E0"/>
        <w:tabs>
          <w:tab w:val="clear" w:pos="360"/>
          <w:tab w:val="left" w:pos="432"/>
        </w:tabs>
        <w:spacing w:after="48" w:line="274" w:lineRule="exact"/>
        <w:ind w:left="72"/>
        <w:textAlignment w:val="baseline"/>
        <w:rPr>
          <w:rFonts w:eastAsia="Times New Roman"/>
          <w:b/>
          <w:color w:val="000000"/>
          <w:sz w:val="24"/>
        </w:rPr>
      </w:pPr>
      <w:r>
        <w:rPr>
          <w:rFonts w:eastAsia="Times New Roman"/>
          <w:b/>
          <w:color w:val="000000"/>
          <w:sz w:val="24"/>
        </w:rPr>
        <w:t>Program Specific Requirements.</w:t>
      </w:r>
    </w:p>
    <w:p w:rsidR="007C25FE" w:rsidRDefault="00AB77A8">
      <w:pPr>
        <w:spacing w:before="44" w:line="277" w:lineRule="exact"/>
        <w:ind w:left="106" w:right="538"/>
        <w:textAlignment w:val="baseline"/>
        <w:rPr>
          <w:rFonts w:eastAsia="Times New Roman"/>
          <w:color w:val="000000"/>
          <w:sz w:val="24"/>
        </w:rPr>
      </w:pPr>
      <w:r>
        <w:rPr>
          <w:noProof/>
        </w:rPr>
        <mc:AlternateContent>
          <mc:Choice Requires="wps">
            <w:drawing>
              <wp:anchor distT="0" distB="309245" distL="0" distR="0" simplePos="0" relativeHeight="251616256" behindDoc="1" locked="0" layoutInCell="1" allowOverlap="1" wp14:anchorId="156CB3C4" wp14:editId="063921B3">
                <wp:simplePos x="0" y="0"/>
                <wp:positionH relativeFrom="page">
                  <wp:posOffset>871855</wp:posOffset>
                </wp:positionH>
                <wp:positionV relativeFrom="page">
                  <wp:posOffset>5925185</wp:posOffset>
                </wp:positionV>
                <wp:extent cx="6005195" cy="31972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19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4"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left:0;text-align:left;margin-left:68.65pt;margin-top:466.55pt;width:472.85pt;height:251.75pt;z-index:-251700224;visibility:visible;mso-wrap-style:square;mso-width-percent:0;mso-height-percent:0;mso-wrap-distance-left:0;mso-wrap-distance-top:0;mso-wrap-distance-right:0;mso-wrap-distance-bottom:24.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2Hsg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" filled="f" stroked="f">
                <v:textbox inset="0,0,0,0">
                  <w:txbxContent>
                    <w:p w:rsidR="007C25FE" w:rsidRDefault="007C25FE">
                      <w:pPr>
                        <w:pBdr>
                          <w:top w:val="single" w:sz="5" w:space="0" w:color="CCCCCC"/>
                          <w:left w:val="single" w:sz="5" w:space="0" w:color="CCCCCC"/>
                          <w:bottom w:val="single" w:sz="5" w:space="24" w:color="CCCCCC"/>
                          <w:right w:val="single" w:sz="5" w:space="0" w:color="CCCCCC"/>
                        </w:pBdr>
                      </w:pPr>
                    </w:p>
                  </w:txbxContent>
                </v:textbox>
                <w10:wrap anchorx="page" anchory="page"/>
              </v:shape>
            </w:pict>
          </mc:Fallback>
        </mc:AlternateContent>
      </w:r>
      <w:r>
        <w:rPr>
          <w:rFonts w:eastAsia="Times New Roman"/>
          <w:color w:val="000000"/>
          <w:sz w:val="24"/>
        </w:rPr>
        <w:t>1. Eligible Activities. Grantees and Sub-grantees will be reimbursed only for the applicable activities outlined in this section. HUD reserves the right to reject funding requested for any costs that are outside the scope of housing counseling and group education services listed below:</w:t>
      </w:r>
    </w:p>
    <w:p w:rsidR="007C25FE" w:rsidRDefault="00AB77A8">
      <w:pPr>
        <w:spacing w:before="118" w:line="277" w:lineRule="exact"/>
        <w:ind w:left="106" w:right="106"/>
        <w:textAlignment w:val="baseline"/>
        <w:rPr>
          <w:rFonts w:eastAsia="Times New Roman"/>
          <w:b/>
          <w:color w:val="000000"/>
          <w:sz w:val="24"/>
        </w:rPr>
      </w:pPr>
      <w:r>
        <w:rPr>
          <w:rFonts w:eastAsia="Times New Roman"/>
          <w:b/>
          <w:color w:val="000000"/>
          <w:sz w:val="24"/>
        </w:rPr>
        <w:t xml:space="preserve">a. Individual Housing Counseling. </w:t>
      </w:r>
      <w:r>
        <w:rPr>
          <w:rFonts w:eastAsia="Times New Roman"/>
          <w:color w:val="000000"/>
          <w:sz w:val="24"/>
        </w:rPr>
        <w:t>Individual counseling activity regarding one or more of the following topics:</w:t>
      </w:r>
    </w:p>
    <w:p w:rsidR="007C25FE" w:rsidRDefault="00AB77A8">
      <w:pPr>
        <w:numPr>
          <w:ilvl w:val="0"/>
          <w:numId w:val="9"/>
        </w:numPr>
        <w:tabs>
          <w:tab w:val="clear" w:pos="216"/>
          <w:tab w:val="left" w:pos="826"/>
        </w:tabs>
        <w:spacing w:before="256" w:line="277" w:lineRule="exact"/>
        <w:ind w:left="826" w:right="106" w:hanging="216"/>
        <w:textAlignment w:val="baseline"/>
        <w:rPr>
          <w:rFonts w:eastAsia="Times New Roman"/>
          <w:color w:val="000000"/>
          <w:sz w:val="24"/>
        </w:rPr>
      </w:pPr>
      <w:r>
        <w:rPr>
          <w:rFonts w:eastAsia="Times New Roman"/>
          <w:color w:val="000000"/>
          <w:sz w:val="24"/>
        </w:rPr>
        <w:t>Pre-Purchase/Home Buying</w:t>
      </w:r>
    </w:p>
    <w:p w:rsidR="007C25FE" w:rsidRDefault="00AB77A8">
      <w:pPr>
        <w:numPr>
          <w:ilvl w:val="0"/>
          <w:numId w:val="9"/>
        </w:numPr>
        <w:tabs>
          <w:tab w:val="clear" w:pos="216"/>
          <w:tab w:val="left" w:pos="826"/>
        </w:tabs>
        <w:spacing w:before="15" w:line="277" w:lineRule="exact"/>
        <w:ind w:left="826" w:right="106" w:hanging="216"/>
        <w:textAlignment w:val="baseline"/>
        <w:rPr>
          <w:rFonts w:eastAsia="Times New Roman"/>
          <w:color w:val="000000"/>
          <w:sz w:val="24"/>
        </w:rPr>
      </w:pPr>
      <w:r>
        <w:rPr>
          <w:rFonts w:eastAsia="Times New Roman"/>
          <w:color w:val="000000"/>
          <w:sz w:val="24"/>
        </w:rPr>
        <w:t>Resolving or Preventing Mortgage Delinquency or Default</w:t>
      </w:r>
    </w:p>
    <w:p w:rsidR="007C25FE" w:rsidRDefault="00AB77A8">
      <w:pPr>
        <w:numPr>
          <w:ilvl w:val="0"/>
          <w:numId w:val="9"/>
        </w:numPr>
        <w:tabs>
          <w:tab w:val="clear" w:pos="216"/>
          <w:tab w:val="left" w:pos="826"/>
        </w:tabs>
        <w:spacing w:before="13" w:line="277" w:lineRule="exact"/>
        <w:ind w:left="826" w:right="538" w:hanging="216"/>
        <w:textAlignment w:val="baseline"/>
        <w:rPr>
          <w:rFonts w:eastAsia="Times New Roman"/>
          <w:color w:val="000000"/>
          <w:sz w:val="24"/>
        </w:rPr>
      </w:pPr>
      <w:r>
        <w:rPr>
          <w:rFonts w:eastAsia="Times New Roman"/>
          <w:color w:val="000000"/>
          <w:sz w:val="24"/>
        </w:rPr>
        <w:t>Home Maintenance and Financial Management for Homeowners (Non-Delinquency Post-Purchase)</w:t>
      </w:r>
    </w:p>
    <w:p w:rsidR="007C25FE" w:rsidRDefault="00AB77A8">
      <w:pPr>
        <w:numPr>
          <w:ilvl w:val="0"/>
          <w:numId w:val="9"/>
        </w:numPr>
        <w:tabs>
          <w:tab w:val="clear" w:pos="216"/>
          <w:tab w:val="left" w:pos="826"/>
        </w:tabs>
        <w:spacing w:before="16" w:line="277" w:lineRule="exact"/>
        <w:ind w:left="826" w:right="106" w:hanging="216"/>
        <w:textAlignment w:val="baseline"/>
        <w:rPr>
          <w:rFonts w:eastAsia="Times New Roman"/>
          <w:color w:val="000000"/>
          <w:sz w:val="24"/>
        </w:rPr>
      </w:pPr>
      <w:r>
        <w:rPr>
          <w:rFonts w:eastAsia="Times New Roman"/>
          <w:color w:val="000000"/>
          <w:sz w:val="24"/>
        </w:rPr>
        <w:t>Rental Topics</w:t>
      </w:r>
    </w:p>
    <w:p w:rsidR="007C25FE" w:rsidRDefault="00AB77A8">
      <w:pPr>
        <w:numPr>
          <w:ilvl w:val="0"/>
          <w:numId w:val="9"/>
        </w:numPr>
        <w:tabs>
          <w:tab w:val="clear" w:pos="216"/>
          <w:tab w:val="left" w:pos="826"/>
        </w:tabs>
        <w:spacing w:before="15" w:line="277" w:lineRule="exact"/>
        <w:ind w:left="826" w:right="106" w:hanging="216"/>
        <w:textAlignment w:val="baseline"/>
        <w:rPr>
          <w:rFonts w:eastAsia="Times New Roman"/>
          <w:color w:val="000000"/>
          <w:sz w:val="24"/>
        </w:rPr>
      </w:pPr>
      <w:r>
        <w:rPr>
          <w:rFonts w:eastAsia="Times New Roman"/>
          <w:color w:val="000000"/>
          <w:sz w:val="24"/>
        </w:rPr>
        <w:t>Homeless Assistance</w:t>
      </w:r>
    </w:p>
    <w:p w:rsidR="007C25FE" w:rsidRDefault="00AB77A8">
      <w:pPr>
        <w:numPr>
          <w:ilvl w:val="0"/>
          <w:numId w:val="9"/>
        </w:numPr>
        <w:tabs>
          <w:tab w:val="clear" w:pos="216"/>
          <w:tab w:val="left" w:pos="826"/>
        </w:tabs>
        <w:spacing w:before="21" w:line="277" w:lineRule="exact"/>
        <w:ind w:left="826" w:right="106" w:hanging="216"/>
        <w:textAlignment w:val="baseline"/>
        <w:rPr>
          <w:rFonts w:eastAsia="Times New Roman"/>
          <w:color w:val="000000"/>
          <w:sz w:val="24"/>
        </w:rPr>
      </w:pPr>
      <w:r>
        <w:rPr>
          <w:rFonts w:eastAsia="Times New Roman"/>
          <w:color w:val="000000"/>
          <w:sz w:val="24"/>
        </w:rPr>
        <w:t>Reverse Mortgage</w:t>
      </w:r>
    </w:p>
    <w:p w:rsidR="007C25FE" w:rsidRDefault="00AB77A8">
      <w:pPr>
        <w:spacing w:before="238" w:after="621" w:line="277" w:lineRule="exact"/>
        <w:ind w:left="106" w:right="538"/>
        <w:textAlignment w:val="baseline"/>
        <w:rPr>
          <w:rFonts w:eastAsia="Times New Roman"/>
          <w:color w:val="000000"/>
          <w:sz w:val="24"/>
        </w:rPr>
      </w:pPr>
      <w:r>
        <w:rPr>
          <w:rFonts w:eastAsia="Times New Roman"/>
          <w:color w:val="000000"/>
          <w:sz w:val="24"/>
        </w:rPr>
        <w:t>For counseling to be eligible for reimbursement under this NOFA, at a minimum, a housing counselor must perform and document each of the following activities:</w:t>
      </w:r>
    </w:p>
    <w:p w:rsidR="007C25FE" w:rsidRDefault="007C25FE">
      <w:pPr>
        <w:spacing w:before="238" w:after="621" w:line="277" w:lineRule="exact"/>
        <w:sectPr w:rsidR="007C25FE">
          <w:pgSz w:w="12240" w:h="15840"/>
          <w:pgMar w:top="1460" w:right="1410" w:bottom="304" w:left="1373" w:header="720" w:footer="720" w:gutter="0"/>
          <w:cols w:space="720"/>
        </w:sectPr>
      </w:pPr>
    </w:p>
    <w:p w:rsidR="007C25FE" w:rsidRDefault="00AB77A8">
      <w:pPr>
        <w:spacing w:line="276" w:lineRule="exact"/>
        <w:textAlignment w:val="baseline"/>
        <w:rPr>
          <w:rFonts w:eastAsia="Times New Roman"/>
          <w:color w:val="000000"/>
          <w:spacing w:val="-18"/>
          <w:sz w:val="24"/>
        </w:rPr>
      </w:pPr>
      <w:r>
        <w:rPr>
          <w:rFonts w:eastAsia="Times New Roman"/>
          <w:color w:val="000000"/>
          <w:spacing w:val="-18"/>
          <w:sz w:val="24"/>
        </w:rPr>
        <w:t>13 of 49</w:t>
      </w:r>
    </w:p>
    <w:p w:rsidR="007C25FE" w:rsidRDefault="007C25FE">
      <w:pPr>
        <w:sectPr w:rsidR="007C25FE">
          <w:type w:val="continuous"/>
          <w:pgSz w:w="12240" w:h="15840"/>
          <w:pgMar w:top="1460" w:right="1441" w:bottom="304" w:left="10019" w:header="720" w:footer="720" w:gutter="0"/>
          <w:cols w:space="720"/>
        </w:sectPr>
      </w:pPr>
    </w:p>
    <w:p w:rsidR="007C25FE" w:rsidRDefault="00AB77A8">
      <w:pPr>
        <w:numPr>
          <w:ilvl w:val="0"/>
          <w:numId w:val="17"/>
        </w:numPr>
        <w:tabs>
          <w:tab w:val="clear" w:pos="360"/>
          <w:tab w:val="left" w:pos="466"/>
        </w:tabs>
        <w:spacing w:before="61" w:line="276" w:lineRule="exact"/>
        <w:ind w:left="106" w:right="178"/>
        <w:textAlignment w:val="baseline"/>
        <w:rPr>
          <w:rFonts w:eastAsia="Times New Roman"/>
          <w:b/>
          <w:color w:val="000000"/>
          <w:spacing w:val="-2"/>
          <w:sz w:val="24"/>
        </w:rPr>
      </w:pPr>
      <w:r>
        <w:rPr>
          <w:noProof/>
        </w:rPr>
        <mc:AlternateContent>
          <mc:Choice Requires="wps">
            <w:drawing>
              <wp:anchor distT="0" distB="351790" distL="0" distR="0" simplePos="0" relativeHeight="251617280" behindDoc="1" locked="0" layoutInCell="1" allowOverlap="1" wp14:anchorId="58CE8C0B" wp14:editId="06DF6ECC">
                <wp:simplePos x="0" y="0"/>
                <wp:positionH relativeFrom="page">
                  <wp:posOffset>875030</wp:posOffset>
                </wp:positionH>
                <wp:positionV relativeFrom="page">
                  <wp:posOffset>914400</wp:posOffset>
                </wp:positionV>
                <wp:extent cx="6005195" cy="816546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16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7"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68.9pt;margin-top:1in;width:472.85pt;height:642.95pt;z-index:-251699200;visibility:visible;mso-wrap-style:square;mso-width-percent:0;mso-height-percent:0;mso-wrap-distance-left:0;mso-wrap-distance-top:0;mso-wrap-distance-right:0;mso-wrap-distance-bottom:27.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" filled="f" stroked="f">
                <v:textbox inset="0,0,0,0">
                  <w:txbxContent>
                    <w:p w:rsidR="007C25FE" w:rsidRDefault="007C25FE">
                      <w:pPr>
                        <w:pBdr>
                          <w:top w:val="single" w:sz="5" w:space="0" w:color="CCCCCC"/>
                          <w:left w:val="single" w:sz="5" w:space="0" w:color="CCCCCC"/>
                          <w:bottom w:val="single" w:sz="5" w:space="27" w:color="CCCCCC"/>
                          <w:right w:val="single" w:sz="5" w:space="0" w:color="CCCCCC"/>
                        </w:pBdr>
                      </w:pPr>
                    </w:p>
                  </w:txbxContent>
                </v:textbox>
                <w10:wrap anchorx="page" anchory="page"/>
              </v:shape>
            </w:pict>
          </mc:Fallback>
        </mc:AlternateContent>
      </w:r>
      <w:r>
        <w:rPr>
          <w:rFonts w:eastAsia="Times New Roman"/>
          <w:b/>
          <w:color w:val="000000"/>
          <w:spacing w:val="-2"/>
          <w:sz w:val="24"/>
        </w:rPr>
        <w:t xml:space="preserve">Budget/Financial Analysis. </w:t>
      </w:r>
      <w:r>
        <w:rPr>
          <w:rFonts w:eastAsia="Times New Roman"/>
          <w:color w:val="000000"/>
          <w:spacing w:val="-2"/>
          <w:sz w:val="24"/>
        </w:rPr>
        <w:t>A review of the client's income, expenses, spending habits, and use of credit in order to evaluate their unique financial situation relative to their housing needs.</w:t>
      </w:r>
    </w:p>
    <w:p w:rsidR="007C25FE" w:rsidRDefault="00AB77A8">
      <w:pPr>
        <w:numPr>
          <w:ilvl w:val="0"/>
          <w:numId w:val="17"/>
        </w:numPr>
        <w:tabs>
          <w:tab w:val="clear" w:pos="360"/>
          <w:tab w:val="left" w:pos="466"/>
        </w:tabs>
        <w:spacing w:before="120" w:line="276" w:lineRule="exact"/>
        <w:ind w:left="106" w:right="610"/>
        <w:textAlignment w:val="baseline"/>
        <w:rPr>
          <w:rFonts w:eastAsia="Times New Roman"/>
          <w:b/>
          <w:color w:val="000000"/>
          <w:sz w:val="24"/>
        </w:rPr>
      </w:pPr>
      <w:r>
        <w:rPr>
          <w:rFonts w:eastAsia="Times New Roman"/>
          <w:b/>
          <w:color w:val="000000"/>
          <w:sz w:val="24"/>
        </w:rPr>
        <w:t xml:space="preserve">Housing Analysis. </w:t>
      </w:r>
      <w:r>
        <w:rPr>
          <w:rFonts w:eastAsia="Times New Roman"/>
          <w:color w:val="000000"/>
          <w:sz w:val="24"/>
        </w:rPr>
        <w:t>A review of the client’s housing needs, current housing quality, and housing affordability relative to their financial capability.</w:t>
      </w:r>
    </w:p>
    <w:p w:rsidR="007C25FE" w:rsidRDefault="00AB77A8">
      <w:pPr>
        <w:numPr>
          <w:ilvl w:val="0"/>
          <w:numId w:val="17"/>
        </w:numPr>
        <w:tabs>
          <w:tab w:val="clear" w:pos="360"/>
          <w:tab w:val="left" w:pos="466"/>
        </w:tabs>
        <w:spacing w:before="120" w:line="276" w:lineRule="exact"/>
        <w:ind w:left="106" w:right="178"/>
        <w:textAlignment w:val="baseline"/>
        <w:rPr>
          <w:rFonts w:eastAsia="Times New Roman"/>
          <w:b/>
          <w:color w:val="000000"/>
          <w:sz w:val="24"/>
        </w:rPr>
      </w:pPr>
      <w:r>
        <w:rPr>
          <w:rFonts w:eastAsia="Times New Roman"/>
          <w:b/>
          <w:color w:val="000000"/>
          <w:sz w:val="24"/>
        </w:rPr>
        <w:t xml:space="preserve">Action Plan. </w:t>
      </w:r>
      <w:r>
        <w:rPr>
          <w:rFonts w:eastAsia="Times New Roman"/>
          <w:color w:val="000000"/>
          <w:sz w:val="24"/>
        </w:rPr>
        <w:t>Except for reverse mortgage counseling, the housing counselor and client must establish an action plan that outlines actions the housing counseling agency and client will do in order to meet the client’s housing goals and, when appropriate, addresses the client’s housing problem(s).</w:t>
      </w:r>
    </w:p>
    <w:p w:rsidR="007C25FE" w:rsidRDefault="00AB77A8">
      <w:pPr>
        <w:numPr>
          <w:ilvl w:val="0"/>
          <w:numId w:val="17"/>
        </w:numPr>
        <w:tabs>
          <w:tab w:val="clear" w:pos="360"/>
          <w:tab w:val="left" w:pos="466"/>
        </w:tabs>
        <w:spacing w:before="120" w:line="276" w:lineRule="exact"/>
        <w:ind w:left="106" w:right="250"/>
        <w:textAlignment w:val="baseline"/>
        <w:rPr>
          <w:rFonts w:eastAsia="Times New Roman"/>
          <w:b/>
          <w:color w:val="000000"/>
          <w:sz w:val="24"/>
        </w:rPr>
      </w:pPr>
      <w:r>
        <w:rPr>
          <w:rFonts w:eastAsia="Times New Roman"/>
          <w:b/>
          <w:color w:val="000000"/>
          <w:sz w:val="24"/>
        </w:rPr>
        <w:t xml:space="preserve">Discuss Alternatives. </w:t>
      </w:r>
      <w:r>
        <w:rPr>
          <w:rFonts w:eastAsia="Times New Roman"/>
          <w:color w:val="000000"/>
          <w:sz w:val="24"/>
        </w:rPr>
        <w:t>Identify and discuss with the client at least three (3) alternatives or options available to the client, including Federal Housing Administration (FHA) programs and products if applicable, relevant to the specific housing need. For example, if a particular company, loan product, property, or debt management program is discussed, the counseling must include a detailed discussion of alternative companies, loan products, properties, debt management programs, etc.</w:t>
      </w:r>
    </w:p>
    <w:p w:rsidR="007C25FE" w:rsidRDefault="00AB77A8">
      <w:pPr>
        <w:numPr>
          <w:ilvl w:val="0"/>
          <w:numId w:val="17"/>
        </w:numPr>
        <w:tabs>
          <w:tab w:val="clear" w:pos="360"/>
          <w:tab w:val="left" w:pos="466"/>
        </w:tabs>
        <w:spacing w:before="118" w:line="276" w:lineRule="exact"/>
        <w:ind w:left="106" w:right="178"/>
        <w:textAlignment w:val="baseline"/>
        <w:rPr>
          <w:rFonts w:eastAsia="Times New Roman"/>
          <w:b/>
          <w:color w:val="000000"/>
          <w:sz w:val="24"/>
        </w:rPr>
      </w:pPr>
      <w:r>
        <w:rPr>
          <w:rFonts w:eastAsia="Times New Roman"/>
          <w:b/>
          <w:color w:val="000000"/>
          <w:sz w:val="24"/>
        </w:rPr>
        <w:t xml:space="preserve">Follow-up. </w:t>
      </w:r>
      <w:r>
        <w:rPr>
          <w:rFonts w:eastAsia="Times New Roman"/>
          <w:color w:val="000000"/>
          <w:sz w:val="24"/>
        </w:rPr>
        <w:t>Efforts made by the counselor to have follow-up communication with the client, to ensure that the client is progressing toward his or her housing goal(s), to modify or terminate housing counseling services, and to determine and report outcomes.</w:t>
      </w:r>
    </w:p>
    <w:p w:rsidR="007C25FE" w:rsidRDefault="00AB77A8">
      <w:pPr>
        <w:spacing w:before="120" w:line="276" w:lineRule="exact"/>
        <w:ind w:left="106" w:right="970"/>
        <w:textAlignment w:val="baseline"/>
        <w:rPr>
          <w:rFonts w:eastAsia="Times New Roman"/>
          <w:b/>
          <w:color w:val="000000"/>
          <w:sz w:val="24"/>
        </w:rPr>
      </w:pPr>
      <w:r>
        <w:rPr>
          <w:rFonts w:eastAsia="Times New Roman"/>
          <w:b/>
          <w:color w:val="000000"/>
          <w:sz w:val="24"/>
        </w:rPr>
        <w:t xml:space="preserve">b. Group Education/Classes: </w:t>
      </w:r>
      <w:r>
        <w:rPr>
          <w:rFonts w:eastAsia="Times New Roman"/>
          <w:color w:val="000000"/>
          <w:sz w:val="24"/>
        </w:rPr>
        <w:t>Group education or classes regarding one or more of the following topics:</w:t>
      </w:r>
    </w:p>
    <w:p w:rsidR="007C25FE" w:rsidRDefault="00AB77A8">
      <w:pPr>
        <w:numPr>
          <w:ilvl w:val="0"/>
          <w:numId w:val="9"/>
        </w:numPr>
        <w:tabs>
          <w:tab w:val="clear" w:pos="216"/>
          <w:tab w:val="left" w:pos="826"/>
        </w:tabs>
        <w:spacing w:before="261" w:line="276" w:lineRule="exact"/>
        <w:ind w:left="826" w:right="106" w:hanging="216"/>
        <w:textAlignment w:val="baseline"/>
        <w:rPr>
          <w:rFonts w:eastAsia="Times New Roman"/>
          <w:color w:val="000000"/>
          <w:sz w:val="24"/>
        </w:rPr>
      </w:pPr>
      <w:r>
        <w:rPr>
          <w:rFonts w:eastAsia="Times New Roman"/>
          <w:color w:val="000000"/>
          <w:sz w:val="24"/>
        </w:rPr>
        <w:t>Financial Literacy</w:t>
      </w:r>
    </w:p>
    <w:p w:rsidR="007C25FE" w:rsidRDefault="00AB77A8">
      <w:pPr>
        <w:numPr>
          <w:ilvl w:val="0"/>
          <w:numId w:val="9"/>
        </w:numPr>
        <w:tabs>
          <w:tab w:val="clear" w:pos="216"/>
          <w:tab w:val="left" w:pos="826"/>
        </w:tabs>
        <w:spacing w:before="17" w:line="276" w:lineRule="exact"/>
        <w:ind w:left="826" w:right="106" w:hanging="216"/>
        <w:textAlignment w:val="baseline"/>
        <w:rPr>
          <w:rFonts w:eastAsia="Times New Roman"/>
          <w:color w:val="000000"/>
          <w:sz w:val="24"/>
        </w:rPr>
      </w:pPr>
      <w:r>
        <w:rPr>
          <w:rFonts w:eastAsia="Times New Roman"/>
          <w:color w:val="000000"/>
          <w:sz w:val="24"/>
        </w:rPr>
        <w:t>Predatory Lending, Loan Scams or Fraud Prevention</w:t>
      </w:r>
    </w:p>
    <w:p w:rsidR="007C25FE" w:rsidRDefault="00AB77A8">
      <w:pPr>
        <w:numPr>
          <w:ilvl w:val="0"/>
          <w:numId w:val="9"/>
        </w:numPr>
        <w:tabs>
          <w:tab w:val="clear" w:pos="216"/>
          <w:tab w:val="left" w:pos="826"/>
        </w:tabs>
        <w:spacing w:before="17" w:line="276" w:lineRule="exact"/>
        <w:ind w:left="826" w:right="106" w:hanging="216"/>
        <w:textAlignment w:val="baseline"/>
        <w:rPr>
          <w:rFonts w:eastAsia="Times New Roman"/>
          <w:color w:val="000000"/>
          <w:sz w:val="24"/>
        </w:rPr>
      </w:pPr>
      <w:r>
        <w:rPr>
          <w:rFonts w:eastAsia="Times New Roman"/>
          <w:color w:val="000000"/>
          <w:sz w:val="24"/>
        </w:rPr>
        <w:t>Fair Housing</w:t>
      </w:r>
    </w:p>
    <w:p w:rsidR="007C25FE" w:rsidRDefault="00AB77A8">
      <w:pPr>
        <w:numPr>
          <w:ilvl w:val="0"/>
          <w:numId w:val="9"/>
        </w:numPr>
        <w:tabs>
          <w:tab w:val="clear" w:pos="216"/>
          <w:tab w:val="left" w:pos="826"/>
        </w:tabs>
        <w:spacing w:before="17" w:line="276" w:lineRule="exact"/>
        <w:ind w:left="826" w:right="106" w:hanging="216"/>
        <w:textAlignment w:val="baseline"/>
        <w:rPr>
          <w:rFonts w:eastAsia="Times New Roman"/>
          <w:color w:val="000000"/>
          <w:sz w:val="24"/>
        </w:rPr>
      </w:pPr>
      <w:r>
        <w:rPr>
          <w:rFonts w:eastAsia="Times New Roman"/>
          <w:color w:val="000000"/>
          <w:sz w:val="24"/>
        </w:rPr>
        <w:t>Pre-Purchase/Home Buying</w:t>
      </w:r>
    </w:p>
    <w:p w:rsidR="007C25FE" w:rsidRDefault="00AB77A8">
      <w:pPr>
        <w:numPr>
          <w:ilvl w:val="0"/>
          <w:numId w:val="9"/>
        </w:numPr>
        <w:tabs>
          <w:tab w:val="clear" w:pos="216"/>
          <w:tab w:val="left" w:pos="826"/>
        </w:tabs>
        <w:spacing w:before="16" w:line="276" w:lineRule="exact"/>
        <w:ind w:left="826" w:right="106" w:hanging="216"/>
        <w:textAlignment w:val="baseline"/>
        <w:rPr>
          <w:rFonts w:eastAsia="Times New Roman"/>
          <w:color w:val="000000"/>
          <w:sz w:val="24"/>
        </w:rPr>
      </w:pPr>
      <w:r>
        <w:rPr>
          <w:rFonts w:eastAsia="Times New Roman"/>
          <w:color w:val="000000"/>
          <w:sz w:val="24"/>
        </w:rPr>
        <w:t>Resolving or Preventing Mortgage Delinquency or Default</w:t>
      </w:r>
    </w:p>
    <w:p w:rsidR="007C25FE" w:rsidRDefault="00AB77A8">
      <w:pPr>
        <w:numPr>
          <w:ilvl w:val="0"/>
          <w:numId w:val="9"/>
        </w:numPr>
        <w:tabs>
          <w:tab w:val="clear" w:pos="216"/>
          <w:tab w:val="left" w:pos="826"/>
        </w:tabs>
        <w:spacing w:before="15" w:line="276" w:lineRule="exact"/>
        <w:ind w:left="826" w:right="1114" w:hanging="216"/>
        <w:textAlignment w:val="baseline"/>
        <w:rPr>
          <w:rFonts w:eastAsia="Times New Roman"/>
          <w:color w:val="000000"/>
          <w:sz w:val="24"/>
        </w:rPr>
      </w:pPr>
      <w:r>
        <w:rPr>
          <w:rFonts w:eastAsia="Times New Roman"/>
          <w:color w:val="000000"/>
          <w:sz w:val="24"/>
        </w:rPr>
        <w:t>Non-Delinquency Post-Purchase including home maintenance and/or financial management for homeowners</w:t>
      </w:r>
    </w:p>
    <w:p w:rsidR="007C25FE" w:rsidRDefault="00AB77A8">
      <w:pPr>
        <w:numPr>
          <w:ilvl w:val="0"/>
          <w:numId w:val="9"/>
        </w:numPr>
        <w:tabs>
          <w:tab w:val="clear" w:pos="216"/>
          <w:tab w:val="left" w:pos="826"/>
        </w:tabs>
        <w:spacing w:before="21" w:line="276" w:lineRule="exact"/>
        <w:ind w:left="826" w:right="106" w:hanging="216"/>
        <w:textAlignment w:val="baseline"/>
        <w:rPr>
          <w:rFonts w:eastAsia="Times New Roman"/>
          <w:color w:val="000000"/>
          <w:sz w:val="24"/>
        </w:rPr>
      </w:pPr>
      <w:r>
        <w:rPr>
          <w:rFonts w:eastAsia="Times New Roman"/>
          <w:color w:val="000000"/>
          <w:sz w:val="24"/>
        </w:rPr>
        <w:t>Locating, Securing, or Maintaining Residence in Rental Housing</w:t>
      </w:r>
    </w:p>
    <w:p w:rsidR="007C25FE" w:rsidRDefault="00AB77A8">
      <w:pPr>
        <w:numPr>
          <w:ilvl w:val="0"/>
          <w:numId w:val="9"/>
        </w:numPr>
        <w:tabs>
          <w:tab w:val="clear" w:pos="216"/>
          <w:tab w:val="left" w:pos="826"/>
        </w:tabs>
        <w:spacing w:before="17" w:line="276" w:lineRule="exact"/>
        <w:ind w:left="826" w:right="106" w:hanging="216"/>
        <w:textAlignment w:val="baseline"/>
        <w:rPr>
          <w:rFonts w:eastAsia="Times New Roman"/>
          <w:color w:val="000000"/>
          <w:sz w:val="24"/>
        </w:rPr>
      </w:pPr>
      <w:r>
        <w:rPr>
          <w:rFonts w:eastAsia="Times New Roman"/>
          <w:color w:val="000000"/>
          <w:sz w:val="24"/>
        </w:rPr>
        <w:t>Homeless Prevention</w:t>
      </w:r>
    </w:p>
    <w:p w:rsidR="007C25FE" w:rsidRDefault="00AB77A8">
      <w:pPr>
        <w:spacing w:before="240" w:line="276" w:lineRule="exact"/>
        <w:ind w:left="106" w:right="754"/>
        <w:textAlignment w:val="baseline"/>
        <w:rPr>
          <w:rFonts w:eastAsia="Times New Roman"/>
          <w:color w:val="000000"/>
          <w:sz w:val="24"/>
        </w:rPr>
      </w:pPr>
      <w:r>
        <w:rPr>
          <w:rFonts w:eastAsia="Times New Roman"/>
          <w:color w:val="000000"/>
          <w:sz w:val="24"/>
        </w:rPr>
        <w:t>Applicants that provide education regarding any of these topics must also offer individual counseling that complements the education.</w:t>
      </w:r>
    </w:p>
    <w:p w:rsidR="007C25FE" w:rsidRDefault="00AB77A8">
      <w:pPr>
        <w:numPr>
          <w:ilvl w:val="0"/>
          <w:numId w:val="18"/>
        </w:numPr>
        <w:tabs>
          <w:tab w:val="clear" w:pos="216"/>
          <w:tab w:val="left" w:pos="322"/>
        </w:tabs>
        <w:spacing w:before="118" w:line="276" w:lineRule="exact"/>
        <w:ind w:left="106" w:right="322"/>
        <w:textAlignment w:val="baseline"/>
        <w:rPr>
          <w:rFonts w:eastAsia="Times New Roman"/>
          <w:b/>
          <w:color w:val="000000"/>
          <w:sz w:val="24"/>
        </w:rPr>
      </w:pPr>
      <w:r>
        <w:rPr>
          <w:rFonts w:eastAsia="Times New Roman"/>
          <w:b/>
          <w:color w:val="000000"/>
          <w:sz w:val="24"/>
        </w:rPr>
        <w:t xml:space="preserve">Fair Housing. </w:t>
      </w:r>
      <w:r>
        <w:rPr>
          <w:rFonts w:eastAsia="Times New Roman"/>
          <w:color w:val="000000"/>
          <w:sz w:val="24"/>
        </w:rPr>
        <w:t>For both individual counseling and group education, as appropriate, educate the client with respect to fair housing, fair lending, and accessibility rights (e.g., how to file a Fair Housing Act complaint, legal and illegal inquiries related to disability, reasonable accommodations, placement in the most integrated setting appropriate to the person’s needs, additional protections available under state and local laws, etc.)</w:t>
      </w:r>
    </w:p>
    <w:p w:rsidR="007C25FE" w:rsidRDefault="00AB77A8">
      <w:pPr>
        <w:numPr>
          <w:ilvl w:val="0"/>
          <w:numId w:val="18"/>
        </w:numPr>
        <w:tabs>
          <w:tab w:val="clear" w:pos="216"/>
          <w:tab w:val="left" w:pos="322"/>
        </w:tabs>
        <w:spacing w:before="120" w:after="564" w:line="276" w:lineRule="exact"/>
        <w:ind w:left="106" w:right="178"/>
        <w:textAlignment w:val="baseline"/>
        <w:rPr>
          <w:rFonts w:eastAsia="Times New Roman"/>
          <w:b/>
          <w:color w:val="000000"/>
          <w:spacing w:val="-2"/>
          <w:sz w:val="24"/>
        </w:rPr>
      </w:pPr>
      <w:r>
        <w:rPr>
          <w:rFonts w:eastAsia="Times New Roman"/>
          <w:b/>
          <w:color w:val="000000"/>
          <w:spacing w:val="-2"/>
          <w:sz w:val="24"/>
        </w:rPr>
        <w:t xml:space="preserve">Lead-Based Paint. </w:t>
      </w:r>
      <w:r>
        <w:rPr>
          <w:rFonts w:eastAsia="Times New Roman"/>
          <w:color w:val="000000"/>
          <w:spacing w:val="-2"/>
          <w:sz w:val="24"/>
        </w:rPr>
        <w:t>Applicants that provide education or counseling regarding Pre-Purchase/Home Buying, or Locating, Securing, or Maintaining Residence in Rental Housing, are encouraged, when the homes in which clients will be seeking may include pre-1978 housing, to teach counselors how to, and inform clients about their rights and responsibilities under the HUD Lead-Based Paint Disclosure Rule (24 CFR part 35, subpart A), and, if the rental or purchase may be HUD-assisted, requirements of 24 CFR part 35, subparts B, K and R.</w:t>
      </w:r>
    </w:p>
    <w:p w:rsidR="007C25FE" w:rsidRDefault="007C25FE">
      <w:pPr>
        <w:spacing w:before="120" w:after="564" w:line="276" w:lineRule="exact"/>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8"/>
          <w:sz w:val="24"/>
        </w:rPr>
      </w:pPr>
      <w:r>
        <w:rPr>
          <w:rFonts w:eastAsia="Times New Roman"/>
          <w:color w:val="000000"/>
          <w:spacing w:val="-18"/>
          <w:sz w:val="24"/>
        </w:rPr>
        <w:t>14 of 49</w:t>
      </w:r>
    </w:p>
    <w:p w:rsidR="007C25FE" w:rsidRDefault="007C25FE">
      <w:pPr>
        <w:sectPr w:rsidR="007C25FE">
          <w:type w:val="continuous"/>
          <w:pgSz w:w="12240" w:h="15840"/>
          <w:pgMar w:top="1440" w:right="1441" w:bottom="304" w:left="10019" w:header="720" w:footer="720" w:gutter="0"/>
          <w:cols w:space="720"/>
        </w:sectPr>
      </w:pPr>
    </w:p>
    <w:p w:rsidR="007C25FE" w:rsidRDefault="00AB77A8">
      <w:pPr>
        <w:spacing w:before="67" w:line="275" w:lineRule="exact"/>
        <w:ind w:left="106" w:right="682"/>
        <w:textAlignment w:val="baseline"/>
        <w:rPr>
          <w:rFonts w:eastAsia="Times New Roman"/>
          <w:color w:val="000000"/>
          <w:sz w:val="24"/>
        </w:rPr>
      </w:pPr>
      <w:r>
        <w:rPr>
          <w:noProof/>
        </w:rPr>
        <mc:AlternateContent>
          <mc:Choice Requires="wps">
            <w:drawing>
              <wp:anchor distT="0" distB="339725" distL="0" distR="0" simplePos="0" relativeHeight="251618304" behindDoc="1" locked="0" layoutInCell="1" allowOverlap="1" wp14:anchorId="44AA31B2" wp14:editId="50414C3C">
                <wp:simplePos x="0" y="0"/>
                <wp:positionH relativeFrom="page">
                  <wp:posOffset>875030</wp:posOffset>
                </wp:positionH>
                <wp:positionV relativeFrom="page">
                  <wp:posOffset>914400</wp:posOffset>
                </wp:positionV>
                <wp:extent cx="6005195" cy="817753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17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6"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left:0;text-align:left;margin-left:68.9pt;margin-top:1in;width:472.85pt;height:643.9pt;z-index:-251698176;visibility:visible;mso-wrap-style:square;mso-width-percent:0;mso-height-percent:0;mso-wrap-distance-left:0;mso-wrap-distance-top:0;mso-wrap-distance-right:0;mso-wrap-distance-bottom:26.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" filled="f" stroked="f">
                <v:textbox inset="0,0,0,0">
                  <w:txbxContent>
                    <w:p w:rsidR="007C25FE" w:rsidRDefault="007C25FE">
                      <w:pPr>
                        <w:pBdr>
                          <w:top w:val="single" w:sz="5" w:space="0" w:color="CCCCCC"/>
                          <w:left w:val="single" w:sz="5" w:space="0" w:color="CCCCCC"/>
                          <w:bottom w:val="single" w:sz="5" w:space="26" w:color="CCCCCC"/>
                          <w:right w:val="single" w:sz="5" w:space="0" w:color="CCCCCC"/>
                        </w:pBdr>
                      </w:pPr>
                    </w:p>
                  </w:txbxContent>
                </v:textbox>
                <w10:wrap anchorx="page" anchory="page"/>
              </v:shape>
            </w:pict>
          </mc:Fallback>
        </mc:AlternateContent>
      </w:r>
      <w:r>
        <w:rPr>
          <w:rFonts w:eastAsia="Times New Roman"/>
          <w:color w:val="000000"/>
          <w:sz w:val="24"/>
        </w:rPr>
        <w:t>See the lead-safety information and guidance at:</w:t>
      </w:r>
      <w:r>
        <w:rPr>
          <w:rFonts w:eastAsia="Times New Roman"/>
          <w:color w:val="0000EE"/>
          <w:sz w:val="24"/>
          <w:u w:val="single"/>
        </w:rPr>
        <w:t xml:space="preserve"> </w:t>
      </w:r>
      <w:hyperlink r:id="rId17">
        <w:r>
          <w:rPr>
            <w:rFonts w:eastAsia="Times New Roman"/>
            <w:color w:val="0000FF"/>
            <w:sz w:val="24"/>
            <w:u w:val="single"/>
          </w:rPr>
          <w:t>http://portal.hud.gov/hudportal/HUD?src</w:t>
        </w:r>
      </w:hyperlink>
      <w:r>
        <w:rPr>
          <w:rFonts w:eastAsia="Times New Roman"/>
          <w:color w:val="0000EE"/>
          <w:sz w:val="24"/>
          <w:u w:val="single"/>
        </w:rPr>
        <w:t xml:space="preserve">  =/program_offices/healthy_homes/training.</w:t>
      </w:r>
      <w:r>
        <w:rPr>
          <w:rFonts w:eastAsia="Times New Roman"/>
          <w:color w:val="0000EE"/>
          <w:sz w:val="24"/>
        </w:rPr>
        <w:t xml:space="preserve"> </w:t>
      </w:r>
    </w:p>
    <w:p w:rsidR="007C25FE" w:rsidRDefault="00AB77A8">
      <w:pPr>
        <w:numPr>
          <w:ilvl w:val="0"/>
          <w:numId w:val="19"/>
        </w:numPr>
        <w:tabs>
          <w:tab w:val="clear" w:pos="216"/>
          <w:tab w:val="left" w:pos="322"/>
        </w:tabs>
        <w:spacing w:before="126" w:line="275" w:lineRule="exact"/>
        <w:ind w:left="106" w:right="466"/>
        <w:textAlignment w:val="baseline"/>
        <w:rPr>
          <w:rFonts w:eastAsia="Times New Roman"/>
          <w:b/>
          <w:color w:val="000000"/>
          <w:sz w:val="24"/>
        </w:rPr>
      </w:pPr>
      <w:r>
        <w:rPr>
          <w:rFonts w:eastAsia="Times New Roman"/>
          <w:b/>
          <w:color w:val="000000"/>
          <w:sz w:val="24"/>
        </w:rPr>
        <w:t xml:space="preserve">Marketing and Outreach Initiatives. </w:t>
      </w:r>
      <w:r>
        <w:rPr>
          <w:rFonts w:eastAsia="Times New Roman"/>
          <w:color w:val="000000"/>
          <w:sz w:val="24"/>
        </w:rPr>
        <w:t xml:space="preserve">This includes providing general information and materials about housing opportunities and issues, conducting informational campaigns, advocating with lenders for non-traditional lending standards and raising awareness about critical housing topics, such as fair housing rights and remedies, lending discrimination, predatory lending, mortgage fraud, lead safety, other fair lending issues or energy efficiency options to reduce homeowner energy costs. For example, grant funds may be utilized to purchase and disseminate materials related to the Loan Modification Scam Alert Campaign: </w:t>
      </w:r>
      <w:hyperlink r:id="rId18">
        <w:r>
          <w:rPr>
            <w:rFonts w:eastAsia="Times New Roman"/>
            <w:color w:val="0000FF"/>
            <w:sz w:val="24"/>
            <w:u w:val="single"/>
          </w:rPr>
          <w:t>http://www.loanscamalert.org</w:t>
        </w:r>
      </w:hyperlink>
      <w:r>
        <w:rPr>
          <w:rFonts w:eastAsia="Times New Roman"/>
          <w:color w:val="000000"/>
          <w:sz w:val="24"/>
        </w:rPr>
        <w:t xml:space="preserve"> or fair housing rights.</w:t>
      </w:r>
    </w:p>
    <w:p w:rsidR="007C25FE" w:rsidRDefault="00AB77A8">
      <w:pPr>
        <w:spacing w:before="125" w:line="275" w:lineRule="exact"/>
        <w:ind w:left="106" w:right="250"/>
        <w:textAlignment w:val="baseline"/>
        <w:rPr>
          <w:rFonts w:eastAsia="Times New Roman"/>
          <w:b/>
          <w:color w:val="000000"/>
          <w:sz w:val="24"/>
        </w:rPr>
      </w:pPr>
      <w:r>
        <w:rPr>
          <w:rFonts w:eastAsia="Times New Roman"/>
          <w:b/>
          <w:color w:val="000000"/>
          <w:sz w:val="24"/>
        </w:rPr>
        <w:t xml:space="preserve">NOTE: </w:t>
      </w:r>
      <w:r>
        <w:rPr>
          <w:rFonts w:eastAsia="Times New Roman"/>
          <w:color w:val="000000"/>
          <w:sz w:val="24"/>
        </w:rPr>
        <w:t>Marketing and outreach initiatives should follow affirmative marketing principles and be directed at those populations least likely to seek counseling services or the information marketed, including those of racial, religious or national origin groups not normally served by the sponsoring agency, as well as persons with disabilities and persons with Limited English Proficiency (LEP). To do so, it may be necessary to broaden the target areas or provide translation and interpretive services in languages other than English in order to reach a greater variety of racial and ethnic minorities. It may also require providing outreach and services in alternative formats for persons with disabilities (e.g., Braille, large type, sign language interpreters, audio, assistive listening devices, etc.).</w:t>
      </w:r>
    </w:p>
    <w:p w:rsidR="007C25FE" w:rsidRDefault="00AB77A8">
      <w:pPr>
        <w:numPr>
          <w:ilvl w:val="0"/>
          <w:numId w:val="19"/>
        </w:numPr>
        <w:tabs>
          <w:tab w:val="clear" w:pos="216"/>
          <w:tab w:val="left" w:pos="322"/>
        </w:tabs>
        <w:spacing w:before="125" w:line="275" w:lineRule="exact"/>
        <w:ind w:left="106" w:right="250"/>
        <w:textAlignment w:val="baseline"/>
        <w:rPr>
          <w:rFonts w:eastAsia="Times New Roman"/>
          <w:b/>
          <w:color w:val="000000"/>
          <w:sz w:val="24"/>
        </w:rPr>
      </w:pPr>
      <w:r>
        <w:rPr>
          <w:rFonts w:eastAsia="Times New Roman"/>
          <w:b/>
          <w:color w:val="000000"/>
          <w:sz w:val="24"/>
        </w:rPr>
        <w:t xml:space="preserve">Training. </w:t>
      </w:r>
      <w:r>
        <w:rPr>
          <w:rFonts w:eastAsia="Times New Roman"/>
          <w:color w:val="000000"/>
          <w:sz w:val="24"/>
        </w:rPr>
        <w:t>Eligible expenses include training, testing and certification on housing counseling topics, including, but not limited to, preparation of counselors to satisfy HUD housing counseling training, testing and certification requirements.</w:t>
      </w:r>
    </w:p>
    <w:p w:rsidR="007C25FE" w:rsidRDefault="00AB77A8">
      <w:pPr>
        <w:numPr>
          <w:ilvl w:val="0"/>
          <w:numId w:val="19"/>
        </w:numPr>
        <w:tabs>
          <w:tab w:val="clear" w:pos="216"/>
          <w:tab w:val="left" w:pos="322"/>
        </w:tabs>
        <w:spacing w:before="124" w:line="275" w:lineRule="exact"/>
        <w:ind w:left="106" w:right="250"/>
        <w:textAlignment w:val="baseline"/>
        <w:rPr>
          <w:rFonts w:eastAsia="Times New Roman"/>
          <w:b/>
          <w:color w:val="000000"/>
          <w:sz w:val="24"/>
        </w:rPr>
      </w:pPr>
      <w:r>
        <w:rPr>
          <w:rFonts w:eastAsia="Times New Roman"/>
          <w:b/>
          <w:color w:val="000000"/>
          <w:sz w:val="24"/>
        </w:rPr>
        <w:t xml:space="preserve">Quality Assurance. </w:t>
      </w:r>
      <w:r>
        <w:rPr>
          <w:rFonts w:eastAsia="Times New Roman"/>
          <w:color w:val="000000"/>
          <w:sz w:val="24"/>
        </w:rPr>
        <w:t>Eligible expenses include costs associated with ensuring compliance with program rules and regulations, internal and external quality assurance, program evaluation and improvement, and the cost of implementing improved management, supervision and oversight of the housing counseling program.</w:t>
      </w:r>
    </w:p>
    <w:p w:rsidR="007C25FE" w:rsidRDefault="00AB77A8">
      <w:pPr>
        <w:numPr>
          <w:ilvl w:val="0"/>
          <w:numId w:val="19"/>
        </w:numPr>
        <w:tabs>
          <w:tab w:val="clear" w:pos="216"/>
          <w:tab w:val="left" w:pos="322"/>
        </w:tabs>
        <w:spacing w:before="121" w:line="275" w:lineRule="exact"/>
        <w:ind w:left="106" w:right="250"/>
        <w:textAlignment w:val="baseline"/>
        <w:rPr>
          <w:rFonts w:eastAsia="Times New Roman"/>
          <w:b/>
          <w:color w:val="000000"/>
          <w:sz w:val="24"/>
        </w:rPr>
      </w:pPr>
      <w:r>
        <w:rPr>
          <w:rFonts w:eastAsia="Times New Roman"/>
          <w:b/>
          <w:color w:val="000000"/>
          <w:sz w:val="24"/>
        </w:rPr>
        <w:t xml:space="preserve">Computer Equipment and Systems. </w:t>
      </w:r>
      <w:r>
        <w:rPr>
          <w:rFonts w:eastAsia="Times New Roman"/>
          <w:color w:val="000000"/>
          <w:sz w:val="24"/>
        </w:rPr>
        <w:t>Eligible expenses include the cost of computer equipment and systems acquired with the objective of improving the quality of counseling and education services available.</w:t>
      </w:r>
    </w:p>
    <w:p w:rsidR="007C25FE" w:rsidRDefault="00AB77A8">
      <w:pPr>
        <w:numPr>
          <w:ilvl w:val="0"/>
          <w:numId w:val="19"/>
        </w:numPr>
        <w:tabs>
          <w:tab w:val="clear" w:pos="216"/>
          <w:tab w:val="left" w:pos="322"/>
        </w:tabs>
        <w:spacing w:before="124" w:line="275" w:lineRule="exact"/>
        <w:ind w:left="106" w:right="250"/>
        <w:textAlignment w:val="baseline"/>
        <w:rPr>
          <w:rFonts w:eastAsia="Times New Roman"/>
          <w:b/>
          <w:color w:val="000000"/>
          <w:sz w:val="24"/>
        </w:rPr>
      </w:pPr>
      <w:r>
        <w:rPr>
          <w:rFonts w:eastAsia="Times New Roman"/>
          <w:b/>
          <w:color w:val="000000"/>
          <w:sz w:val="24"/>
        </w:rPr>
        <w:t xml:space="preserve">Administrative Costs. </w:t>
      </w:r>
      <w:r>
        <w:rPr>
          <w:rFonts w:eastAsia="Times New Roman"/>
          <w:color w:val="000000"/>
          <w:sz w:val="24"/>
        </w:rPr>
        <w:t>This includes direct costs associated with administering a housing counseling program, and for Intermediaries, SHFAs and MSOs managing a network of housing counseling agencies or Branch offices, or both. HUD reserves the right to review and approve or reject costs.</w:t>
      </w:r>
    </w:p>
    <w:p w:rsidR="007C25FE" w:rsidRDefault="00AB77A8">
      <w:pPr>
        <w:numPr>
          <w:ilvl w:val="0"/>
          <w:numId w:val="19"/>
        </w:numPr>
        <w:tabs>
          <w:tab w:val="clear" w:pos="216"/>
          <w:tab w:val="left" w:pos="322"/>
        </w:tabs>
        <w:spacing w:before="122" w:line="275" w:lineRule="exact"/>
        <w:ind w:left="106" w:right="538"/>
        <w:textAlignment w:val="baseline"/>
        <w:rPr>
          <w:rFonts w:eastAsia="Times New Roman"/>
          <w:b/>
          <w:color w:val="000000"/>
          <w:sz w:val="24"/>
        </w:rPr>
      </w:pPr>
      <w:r>
        <w:rPr>
          <w:rFonts w:eastAsia="Times New Roman"/>
          <w:b/>
          <w:color w:val="000000"/>
          <w:sz w:val="24"/>
        </w:rPr>
        <w:t xml:space="preserve">Capacity Building. </w:t>
      </w:r>
      <w:r>
        <w:rPr>
          <w:rFonts w:eastAsia="Times New Roman"/>
          <w:color w:val="000000"/>
          <w:sz w:val="24"/>
        </w:rPr>
        <w:t>This includes costs associated with hiring additional staff to meet the demand for counseling and to effectively expend grant awards.</w:t>
      </w:r>
    </w:p>
    <w:p w:rsidR="007C25FE" w:rsidRDefault="00AB77A8">
      <w:pPr>
        <w:numPr>
          <w:ilvl w:val="0"/>
          <w:numId w:val="19"/>
        </w:numPr>
        <w:tabs>
          <w:tab w:val="clear" w:pos="216"/>
          <w:tab w:val="left" w:pos="322"/>
        </w:tabs>
        <w:spacing w:before="128" w:line="275" w:lineRule="exact"/>
        <w:ind w:left="106" w:right="106"/>
        <w:textAlignment w:val="baseline"/>
        <w:rPr>
          <w:rFonts w:eastAsia="Times New Roman"/>
          <w:b/>
          <w:color w:val="000000"/>
          <w:sz w:val="24"/>
        </w:rPr>
      </w:pPr>
      <w:r>
        <w:rPr>
          <w:rFonts w:eastAsia="Times New Roman"/>
          <w:b/>
          <w:color w:val="000000"/>
          <w:sz w:val="24"/>
        </w:rPr>
        <w:t xml:space="preserve">Scam Awareness, Identification and Reporting. </w:t>
      </w:r>
      <w:r>
        <w:rPr>
          <w:rFonts w:eastAsia="Times New Roman"/>
          <w:color w:val="000000"/>
          <w:sz w:val="24"/>
        </w:rPr>
        <w:t>Eligible expenses include education on, identification of, and reporting of potential loan modification scams, rental scams, rent to own scams, home repair scams and similar. The HUD Office of Inspector General has several integrity bulletins posted on its website that can assist counselors with additional information on Fraud Prevention. For more information, go to</w:t>
      </w:r>
      <w:r>
        <w:rPr>
          <w:rFonts w:eastAsia="Times New Roman"/>
          <w:color w:val="0000EE"/>
          <w:sz w:val="24"/>
          <w:u w:val="single"/>
        </w:rPr>
        <w:t xml:space="preserve"> </w:t>
      </w:r>
      <w:hyperlink r:id="rId19">
        <w:r>
          <w:rPr>
            <w:rFonts w:eastAsia="Times New Roman"/>
            <w:color w:val="0000FF"/>
            <w:sz w:val="24"/>
            <w:u w:val="single"/>
          </w:rPr>
          <w:t>https://www.hudoig.gov/fraud-prevention/indus</w:t>
        </w:r>
      </w:hyperlink>
      <w:r>
        <w:rPr>
          <w:rFonts w:eastAsia="Times New Roman"/>
          <w:color w:val="0000EE"/>
          <w:sz w:val="24"/>
          <w:u w:val="single"/>
        </w:rPr>
        <w:t xml:space="preserve">  try-advisories</w:t>
      </w:r>
      <w:r>
        <w:rPr>
          <w:rFonts w:eastAsia="Times New Roman"/>
          <w:color w:val="000000"/>
          <w:sz w:val="24"/>
        </w:rPr>
        <w:t xml:space="preserve"> </w:t>
      </w:r>
    </w:p>
    <w:p w:rsidR="007C25FE" w:rsidRDefault="00AB77A8">
      <w:pPr>
        <w:spacing w:before="124" w:after="674" w:line="273" w:lineRule="exact"/>
        <w:ind w:left="106" w:right="106"/>
        <w:textAlignment w:val="baseline"/>
        <w:rPr>
          <w:rFonts w:eastAsia="Times New Roman"/>
          <w:b/>
          <w:color w:val="000000"/>
          <w:sz w:val="24"/>
        </w:rPr>
      </w:pPr>
      <w:r>
        <w:rPr>
          <w:rFonts w:eastAsia="Times New Roman"/>
          <w:b/>
          <w:color w:val="000000"/>
          <w:sz w:val="24"/>
        </w:rPr>
        <w:t>2. Other Program and Grant Agreement Requirements and Obligations</w:t>
      </w:r>
    </w:p>
    <w:p w:rsidR="007C25FE" w:rsidRDefault="007C25FE">
      <w:pPr>
        <w:spacing w:before="124" w:after="674" w:line="273" w:lineRule="exact"/>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8"/>
          <w:sz w:val="24"/>
        </w:rPr>
      </w:pPr>
      <w:r>
        <w:rPr>
          <w:rFonts w:eastAsia="Times New Roman"/>
          <w:color w:val="000000"/>
          <w:spacing w:val="-18"/>
          <w:sz w:val="24"/>
        </w:rPr>
        <w:t>15 of 49</w:t>
      </w:r>
    </w:p>
    <w:p w:rsidR="007C25FE" w:rsidRDefault="007C25FE">
      <w:pPr>
        <w:sectPr w:rsidR="007C25FE">
          <w:type w:val="continuous"/>
          <w:pgSz w:w="12240" w:h="15840"/>
          <w:pgMar w:top="1440" w:right="1441" w:bottom="304" w:left="10019" w:header="720" w:footer="720" w:gutter="0"/>
          <w:cols w:space="720"/>
        </w:sectPr>
      </w:pPr>
    </w:p>
    <w:p w:rsidR="007C25FE" w:rsidRDefault="00AB77A8">
      <w:pPr>
        <w:numPr>
          <w:ilvl w:val="0"/>
          <w:numId w:val="20"/>
        </w:numPr>
        <w:tabs>
          <w:tab w:val="clear" w:pos="216"/>
          <w:tab w:val="left" w:pos="360"/>
        </w:tabs>
        <w:spacing w:before="54" w:line="275" w:lineRule="exact"/>
        <w:ind w:left="144" w:right="216"/>
        <w:textAlignment w:val="baseline"/>
        <w:rPr>
          <w:rFonts w:eastAsia="Times New Roman"/>
          <w:b/>
          <w:color w:val="000000"/>
          <w:sz w:val="24"/>
        </w:rPr>
      </w:pPr>
      <w:r>
        <w:rPr>
          <w:noProof/>
        </w:rPr>
        <mc:AlternateContent>
          <mc:Choice Requires="wps">
            <w:drawing>
              <wp:anchor distT="0" distB="0" distL="114300" distR="114300" simplePos="0" relativeHeight="251660288" behindDoc="0" locked="0" layoutInCell="1" allowOverlap="1" wp14:anchorId="74167A14" wp14:editId="1D563AC4">
                <wp:simplePos x="0" y="0"/>
                <wp:positionH relativeFrom="page">
                  <wp:posOffset>875030</wp:posOffset>
                </wp:positionH>
                <wp:positionV relativeFrom="page">
                  <wp:posOffset>914400</wp:posOffset>
                </wp:positionV>
                <wp:extent cx="6005195" cy="0"/>
                <wp:effectExtent l="0" t="0" r="0" b="0"/>
                <wp:wrapNone/>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E00186" id="Line 5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ik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10194174" wp14:editId="33F0C739">
                <wp:simplePos x="0" y="0"/>
                <wp:positionH relativeFrom="page">
                  <wp:posOffset>875030</wp:posOffset>
                </wp:positionH>
                <wp:positionV relativeFrom="page">
                  <wp:posOffset>914400</wp:posOffset>
                </wp:positionV>
                <wp:extent cx="0" cy="8049895"/>
                <wp:effectExtent l="0" t="0" r="0" b="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989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A289AD" id="Line 5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7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" strokecolor="#ccc" strokeweight=".7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3717A582" wp14:editId="213530DD">
                <wp:simplePos x="0" y="0"/>
                <wp:positionH relativeFrom="page">
                  <wp:posOffset>6880225</wp:posOffset>
                </wp:positionH>
                <wp:positionV relativeFrom="page">
                  <wp:posOffset>914400</wp:posOffset>
                </wp:positionV>
                <wp:extent cx="0" cy="8049895"/>
                <wp:effectExtent l="0" t="0" r="0" b="0"/>
                <wp:wrapNone/>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989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B8F2DF" id="Line 5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7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" strokecolor="#ccc" strokeweight=".7pt">
                <w10:wrap anchorx="page" anchory="page"/>
              </v:line>
            </w:pict>
          </mc:Fallback>
        </mc:AlternateContent>
      </w:r>
      <w:r>
        <w:rPr>
          <w:rFonts w:eastAsia="Times New Roman"/>
          <w:b/>
          <w:color w:val="000000"/>
          <w:sz w:val="24"/>
        </w:rPr>
        <w:t xml:space="preserve">External Audits and Investigations. </w:t>
      </w:r>
      <w:r>
        <w:rPr>
          <w:rFonts w:eastAsia="Times New Roman"/>
          <w:color w:val="000000"/>
          <w:sz w:val="24"/>
        </w:rPr>
        <w:t>All Applicants must provide the most recent audit of financial activities with completed audit no earlier than its fiscal year 2015. Applicants must be in compliance with the audit filing requirements at 2 C.F.R. 200.501. All Applicants not required to complete a single or program-specific audit under 2 C.F.R. 200.501 must submit their most recent independent financial audit. HUD will review individual circumstances upon request. Applicants must also disclose to HUD the status of active federal investigations at the time of the NOFA application submission date or thereafter. HUD may determine that Applicants are not eligible for grant funding based on its review of such external audits and federal investigation.</w:t>
      </w:r>
    </w:p>
    <w:p w:rsidR="007C25FE" w:rsidRDefault="00AB77A8">
      <w:pPr>
        <w:numPr>
          <w:ilvl w:val="0"/>
          <w:numId w:val="20"/>
        </w:numPr>
        <w:tabs>
          <w:tab w:val="clear" w:pos="216"/>
          <w:tab w:val="left" w:pos="360"/>
        </w:tabs>
        <w:spacing w:before="128" w:line="275" w:lineRule="exact"/>
        <w:ind w:left="144" w:right="360"/>
        <w:textAlignment w:val="baseline"/>
        <w:rPr>
          <w:rFonts w:eastAsia="Times New Roman"/>
          <w:b/>
          <w:color w:val="000000"/>
          <w:spacing w:val="-2"/>
          <w:sz w:val="24"/>
        </w:rPr>
      </w:pPr>
      <w:r>
        <w:rPr>
          <w:rFonts w:eastAsia="Times New Roman"/>
          <w:b/>
          <w:color w:val="000000"/>
          <w:spacing w:val="-2"/>
          <w:sz w:val="24"/>
        </w:rPr>
        <w:t xml:space="preserve">Client Management System. </w:t>
      </w:r>
      <w:r>
        <w:rPr>
          <w:rFonts w:eastAsia="Times New Roman"/>
          <w:color w:val="000000"/>
          <w:spacing w:val="-2"/>
          <w:sz w:val="24"/>
        </w:rPr>
        <w:t>All Applicants, and all Affiliates and Branches, if applicable, must utilize a client management system acceptable to HUD that interfaces, or is working to interface, with HUD’s databases. Information on client management systems and interfacing with HUD’s database is found on HUD’s website:</w:t>
      </w:r>
      <w:r>
        <w:rPr>
          <w:rFonts w:eastAsia="Times New Roman"/>
          <w:color w:val="0000EE"/>
          <w:spacing w:val="-2"/>
          <w:sz w:val="24"/>
          <w:u w:val="single"/>
        </w:rPr>
        <w:t xml:space="preserve"> </w:t>
      </w:r>
      <w:hyperlink r:id="rId20">
        <w:r>
          <w:rPr>
            <w:rFonts w:eastAsia="Times New Roman"/>
            <w:color w:val="0000FF"/>
            <w:spacing w:val="-2"/>
            <w:sz w:val="24"/>
            <w:u w:val="single"/>
          </w:rPr>
          <w:t>https://www.hudexchange.info/programs</w:t>
        </w:r>
      </w:hyperlink>
      <w:r>
        <w:rPr>
          <w:rFonts w:eastAsia="Times New Roman"/>
          <w:color w:val="0000EE"/>
          <w:spacing w:val="-2"/>
          <w:sz w:val="24"/>
          <w:u w:val="single"/>
        </w:rPr>
        <w:t xml:space="preserve">  /housing-counseling/cms/</w:t>
      </w:r>
      <w:r>
        <w:rPr>
          <w:rFonts w:eastAsia="Times New Roman"/>
          <w:color w:val="0000EE"/>
          <w:spacing w:val="-2"/>
          <w:sz w:val="24"/>
        </w:rPr>
        <w:t xml:space="preserve"> </w:t>
      </w:r>
    </w:p>
    <w:p w:rsidR="007C25FE" w:rsidRDefault="00AB77A8">
      <w:pPr>
        <w:numPr>
          <w:ilvl w:val="0"/>
          <w:numId w:val="20"/>
        </w:numPr>
        <w:tabs>
          <w:tab w:val="clear" w:pos="216"/>
          <w:tab w:val="left" w:pos="360"/>
        </w:tabs>
        <w:spacing w:before="124" w:line="275" w:lineRule="exact"/>
        <w:ind w:left="144" w:right="72"/>
        <w:textAlignment w:val="baseline"/>
        <w:rPr>
          <w:rFonts w:eastAsia="Times New Roman"/>
          <w:b/>
          <w:color w:val="000000"/>
          <w:sz w:val="24"/>
        </w:rPr>
      </w:pPr>
      <w:r>
        <w:rPr>
          <w:rFonts w:eastAsia="Times New Roman"/>
          <w:b/>
          <w:color w:val="000000"/>
          <w:sz w:val="24"/>
        </w:rPr>
        <w:t xml:space="preserve">Sub-grantees and Branches. </w:t>
      </w:r>
      <w:r>
        <w:rPr>
          <w:rFonts w:eastAsia="Times New Roman"/>
          <w:color w:val="000000"/>
          <w:sz w:val="24"/>
        </w:rPr>
        <w:t>As part of their executed Grant Agreement, Grantees must identify to HUD a list of funded Sub-grantees and Branches. Intermediaries, and SHFAs that award sub-grants to counseling agencies that are not HUD-approved must assure that the Sub-grantee organizations meet or exceed HUD’s approval standards as outlined in 24 C.F.R. Part 214 and continue to comply with all HUD requirements. Grantees may request to amend their Sub-grantee list after awards are made by submitting written request and detailed justification to HUD. Such amendments will be approved at HUD’s sole discretion.</w:t>
      </w:r>
    </w:p>
    <w:p w:rsidR="007C25FE" w:rsidRDefault="00AB77A8">
      <w:pPr>
        <w:numPr>
          <w:ilvl w:val="0"/>
          <w:numId w:val="20"/>
        </w:numPr>
        <w:tabs>
          <w:tab w:val="clear" w:pos="216"/>
          <w:tab w:val="left" w:pos="360"/>
        </w:tabs>
        <w:spacing w:before="130" w:line="275" w:lineRule="exact"/>
        <w:ind w:left="144" w:right="72"/>
        <w:textAlignment w:val="baseline"/>
        <w:rPr>
          <w:rFonts w:eastAsia="Times New Roman"/>
          <w:b/>
          <w:color w:val="000000"/>
          <w:spacing w:val="-1"/>
          <w:sz w:val="24"/>
        </w:rPr>
      </w:pPr>
      <w:r>
        <w:rPr>
          <w:rFonts w:eastAsia="Times New Roman"/>
          <w:b/>
          <w:color w:val="000000"/>
          <w:spacing w:val="-1"/>
          <w:sz w:val="24"/>
        </w:rPr>
        <w:t xml:space="preserve">Sub-Grant Agreement. </w:t>
      </w:r>
      <w:r>
        <w:rPr>
          <w:rFonts w:eastAsia="Times New Roman"/>
          <w:color w:val="000000"/>
          <w:spacing w:val="-1"/>
          <w:sz w:val="24"/>
        </w:rPr>
        <w:t>Intermediaries and SHFAs that make sub-grants must execute sub-grant agreements with Sub-grantees that clearly delineate the mutual responsibilities for program management, including appropriate time frames for reporting results to HUD and compliance with all HUD rules and regulations. Applicants that manage networks of counseling agencies must submit to HUD with their application a proposed sub-allocation plan indicating how they will divide their HUD Housing Counseling grant funds among its Branches and Sub-grantees, with the understanding that a written agreement with the Sub-grantees will be required once the grant award with HUD is finalized. These records must meet the data requirements of the Transparency Act, and must be made available to Sub-grantees, Branches and to HUD, within 30 days of making the sub-award or allocation to Branches.</w:t>
      </w:r>
    </w:p>
    <w:p w:rsidR="007C25FE" w:rsidRDefault="00AB77A8">
      <w:pPr>
        <w:numPr>
          <w:ilvl w:val="0"/>
          <w:numId w:val="20"/>
        </w:numPr>
        <w:tabs>
          <w:tab w:val="clear" w:pos="216"/>
          <w:tab w:val="left" w:pos="360"/>
        </w:tabs>
        <w:spacing w:before="122" w:line="275" w:lineRule="exact"/>
        <w:ind w:left="144" w:right="576"/>
        <w:textAlignment w:val="baseline"/>
        <w:rPr>
          <w:rFonts w:eastAsia="Times New Roman"/>
          <w:b/>
          <w:color w:val="000000"/>
          <w:sz w:val="24"/>
        </w:rPr>
      </w:pPr>
      <w:r>
        <w:rPr>
          <w:rFonts w:eastAsia="Times New Roman"/>
          <w:b/>
          <w:color w:val="000000"/>
          <w:sz w:val="24"/>
        </w:rPr>
        <w:t xml:space="preserve">Succession Plans. </w:t>
      </w:r>
      <w:r>
        <w:rPr>
          <w:rFonts w:eastAsia="Times New Roman"/>
          <w:color w:val="000000"/>
          <w:sz w:val="24"/>
        </w:rPr>
        <w:t>HUD will require grantees to execute transition or succession plans to ensure continuity of services to consumers.</w:t>
      </w:r>
    </w:p>
    <w:p w:rsidR="007C25FE" w:rsidRDefault="00AB77A8">
      <w:pPr>
        <w:numPr>
          <w:ilvl w:val="0"/>
          <w:numId w:val="20"/>
        </w:numPr>
        <w:tabs>
          <w:tab w:val="clear" w:pos="216"/>
          <w:tab w:val="left" w:pos="360"/>
        </w:tabs>
        <w:spacing w:before="126" w:line="275" w:lineRule="exact"/>
        <w:ind w:left="144" w:right="360"/>
        <w:textAlignment w:val="baseline"/>
        <w:rPr>
          <w:rFonts w:eastAsia="Times New Roman"/>
          <w:b/>
          <w:color w:val="000000"/>
          <w:sz w:val="24"/>
        </w:rPr>
      </w:pPr>
      <w:r>
        <w:rPr>
          <w:rFonts w:eastAsia="Times New Roman"/>
          <w:b/>
          <w:color w:val="000000"/>
          <w:sz w:val="24"/>
        </w:rPr>
        <w:t>Inherently Religious Activity</w:t>
      </w:r>
      <w:r>
        <w:rPr>
          <w:rFonts w:eastAsia="Times New Roman"/>
          <w:color w:val="000000"/>
          <w:sz w:val="24"/>
        </w:rPr>
        <w:t>. Organizations funded under this NOFA may not engage in inherently religious activities, such as worship, religious instruction or proselytization, as part of the programs or services funded under this program. If an organization conducts such activities, these activities must be offered separately, in time or location, from the programs or services funded under this part, and participation must be voluntary and not a condition of the HUD programs or services.</w:t>
      </w:r>
    </w:p>
    <w:p w:rsidR="007C25FE" w:rsidRDefault="00AB77A8">
      <w:pPr>
        <w:numPr>
          <w:ilvl w:val="0"/>
          <w:numId w:val="20"/>
        </w:numPr>
        <w:tabs>
          <w:tab w:val="clear" w:pos="216"/>
          <w:tab w:val="left" w:pos="360"/>
        </w:tabs>
        <w:spacing w:before="124" w:after="10" w:line="275" w:lineRule="exact"/>
        <w:ind w:left="144" w:right="216"/>
        <w:textAlignment w:val="baseline"/>
        <w:rPr>
          <w:rFonts w:eastAsia="Times New Roman"/>
          <w:b/>
          <w:color w:val="000000"/>
          <w:spacing w:val="-2"/>
          <w:sz w:val="24"/>
        </w:rPr>
      </w:pPr>
      <w:r>
        <w:rPr>
          <w:rFonts w:eastAsia="Times New Roman"/>
          <w:b/>
          <w:color w:val="000000"/>
          <w:spacing w:val="-2"/>
          <w:sz w:val="24"/>
        </w:rPr>
        <w:t xml:space="preserve">Documentation of Expenses. </w:t>
      </w:r>
      <w:r>
        <w:rPr>
          <w:rFonts w:eastAsia="Times New Roman"/>
          <w:color w:val="000000"/>
          <w:spacing w:val="-2"/>
          <w:sz w:val="24"/>
        </w:rPr>
        <w:t>The grantee or its Sub-grantees, or both, must maintain source documentation of direct costs, such as invoices, receipts, cancelled checks, and personnel activity reports, to support all Line of Credit Control System (LOCCS) draw requests for payment. This information must be made available to HUD upon request and maintained for a</w:t>
      </w:r>
    </w:p>
    <w:p w:rsidR="007C25FE" w:rsidRDefault="00AB77A8">
      <w:pPr>
        <w:spacing w:before="466" w:line="288" w:lineRule="exact"/>
        <w:textAlignment w:val="baseline"/>
        <w:rPr>
          <w:rFonts w:eastAsia="Times New Roman"/>
          <w:color w:val="000000"/>
          <w:sz w:val="24"/>
        </w:rPr>
      </w:pPr>
      <w:r>
        <w:rPr>
          <w:noProof/>
        </w:rPr>
        <mc:AlternateContent>
          <mc:Choice Requires="wps">
            <w:drawing>
              <wp:anchor distT="0" distB="0" distL="114300" distR="114300" simplePos="0" relativeHeight="251663360" behindDoc="0" locked="0" layoutInCell="1" allowOverlap="1" wp14:anchorId="10A05073" wp14:editId="713B0E29">
                <wp:simplePos x="0" y="0"/>
                <wp:positionH relativeFrom="column">
                  <wp:posOffset>0</wp:posOffset>
                </wp:positionH>
                <wp:positionV relativeFrom="paragraph">
                  <wp:posOffset>0</wp:posOffset>
                </wp:positionV>
                <wp:extent cx="6005195" cy="0"/>
                <wp:effectExtent l="0" t="0" r="0" b="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4F021" id="Line 5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kr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" strokecolor="#ccc" strokeweight=".7pt"/>
            </w:pict>
          </mc:Fallback>
        </mc:AlternateContent>
      </w:r>
    </w:p>
    <w:p w:rsidR="007C25FE" w:rsidRDefault="007C25FE">
      <w:pPr>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8"/>
          <w:sz w:val="24"/>
        </w:rPr>
      </w:pPr>
      <w:r>
        <w:rPr>
          <w:rFonts w:eastAsia="Times New Roman"/>
          <w:color w:val="000000"/>
          <w:spacing w:val="-18"/>
          <w:sz w:val="24"/>
        </w:rPr>
        <w:t>16 of 49</w:t>
      </w:r>
    </w:p>
    <w:p w:rsidR="007C25FE" w:rsidRDefault="007C25FE">
      <w:pPr>
        <w:sectPr w:rsidR="007C25FE">
          <w:type w:val="continuous"/>
          <w:pgSz w:w="12240" w:h="15840"/>
          <w:pgMar w:top="1440" w:right="1441" w:bottom="304" w:left="10019" w:header="720" w:footer="720" w:gutter="0"/>
          <w:cols w:space="720"/>
        </w:sectPr>
      </w:pPr>
    </w:p>
    <w:p w:rsidR="007C25FE" w:rsidRDefault="00AB77A8">
      <w:pPr>
        <w:spacing w:before="47" w:line="276" w:lineRule="exact"/>
        <w:ind w:left="144" w:right="216"/>
        <w:textAlignment w:val="baseline"/>
        <w:rPr>
          <w:rFonts w:eastAsia="Times New Roman"/>
          <w:color w:val="000000"/>
          <w:sz w:val="24"/>
        </w:rPr>
      </w:pPr>
      <w:r>
        <w:rPr>
          <w:noProof/>
        </w:rPr>
        <mc:AlternateContent>
          <mc:Choice Requires="wps">
            <w:drawing>
              <wp:anchor distT="0" distB="0" distL="114300" distR="114300" simplePos="0" relativeHeight="251664384" behindDoc="0" locked="0" layoutInCell="1" allowOverlap="1" wp14:anchorId="019B388E" wp14:editId="3AD5443A">
                <wp:simplePos x="0" y="0"/>
                <wp:positionH relativeFrom="page">
                  <wp:posOffset>875030</wp:posOffset>
                </wp:positionH>
                <wp:positionV relativeFrom="page">
                  <wp:posOffset>914400</wp:posOffset>
                </wp:positionV>
                <wp:extent cx="6005195" cy="0"/>
                <wp:effectExtent l="0" t="0" r="0" b="0"/>
                <wp:wrapNone/>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CE4132" id="Line 5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0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22A73818" wp14:editId="041FB98E">
                <wp:simplePos x="0" y="0"/>
                <wp:positionH relativeFrom="page">
                  <wp:posOffset>875030</wp:posOffset>
                </wp:positionH>
                <wp:positionV relativeFrom="page">
                  <wp:posOffset>914400</wp:posOffset>
                </wp:positionV>
                <wp:extent cx="0" cy="8126095"/>
                <wp:effectExtent l="0" t="0" r="0" b="0"/>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609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B0AA7" id="Line 5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7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" strokecolor="#ccc" strokeweight=".7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501E1EFA" wp14:editId="2E9744F9">
                <wp:simplePos x="0" y="0"/>
                <wp:positionH relativeFrom="page">
                  <wp:posOffset>6880225</wp:posOffset>
                </wp:positionH>
                <wp:positionV relativeFrom="page">
                  <wp:posOffset>914400</wp:posOffset>
                </wp:positionV>
                <wp:extent cx="0" cy="8126095"/>
                <wp:effectExtent l="0" t="0" r="0" b="0"/>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609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085EE2" id="Line 5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7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mWHgIAAEMEAAAOAAAAZHJzL2Uyb0RvYy54bWysU12v2iAYvl+y/0C417Yed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" strokecolor="#ccc" strokeweight=".7pt">
                <w10:wrap anchorx="page" anchory="page"/>
              </v:line>
            </w:pict>
          </mc:Fallback>
        </mc:AlternateContent>
      </w:r>
      <w:r>
        <w:rPr>
          <w:rFonts w:eastAsia="Times New Roman"/>
          <w:color w:val="000000"/>
          <w:sz w:val="24"/>
        </w:rPr>
        <w:t>period of at least three (3) years after the expiration of the Grant period or date of last payment, whichever occurs first. All grantees and Sub-grantees must be able to demonstrate and document the actual cost of service provision. The amount billed by the grantee or its Sub-grantees, or both, to the grant cannot exceed the actual cost of providing the service.</w:t>
      </w:r>
    </w:p>
    <w:p w:rsidR="007C25FE" w:rsidRDefault="00AB77A8">
      <w:pPr>
        <w:numPr>
          <w:ilvl w:val="0"/>
          <w:numId w:val="21"/>
        </w:numPr>
        <w:tabs>
          <w:tab w:val="clear" w:pos="144"/>
          <w:tab w:val="left" w:pos="288"/>
        </w:tabs>
        <w:spacing w:before="120" w:line="276" w:lineRule="exact"/>
        <w:ind w:left="144" w:right="216"/>
        <w:textAlignment w:val="baseline"/>
        <w:rPr>
          <w:rFonts w:eastAsia="Times New Roman"/>
          <w:b/>
          <w:color w:val="000000"/>
          <w:sz w:val="24"/>
        </w:rPr>
      </w:pPr>
      <w:r>
        <w:rPr>
          <w:rFonts w:eastAsia="Times New Roman"/>
          <w:b/>
          <w:color w:val="000000"/>
          <w:sz w:val="24"/>
        </w:rPr>
        <w:t xml:space="preserve">Documentation of Personnel Expenses. </w:t>
      </w:r>
      <w:r>
        <w:rPr>
          <w:rFonts w:eastAsia="Times New Roman"/>
          <w:color w:val="000000"/>
          <w:sz w:val="24"/>
        </w:rPr>
        <w:t>Charges to Federal awards for salaries and wages must be based on records that accurately reflect the work performed and meet the standards required in 2 C.F.R Part 200.430(i). The records must support the distribution of employee’s salaries and wages among specific activities or cost objectives if the employee works on more than one Federal award; a Federal award and non-Federal award; an indirect cost activity and a direct cost activity; two or more indirect activities which are allocated using different allocation bases; or an unallowable activity and a direct or indirect cost activity. Budget estimates ( i.e., estimates determined before the services are performed) alone do not qualify as support for charges to awards. Records must reasonably reflect the total activity for which employees are compensated.</w:t>
      </w:r>
    </w:p>
    <w:p w:rsidR="007C25FE" w:rsidRDefault="00AB77A8">
      <w:pPr>
        <w:numPr>
          <w:ilvl w:val="0"/>
          <w:numId w:val="21"/>
        </w:numPr>
        <w:tabs>
          <w:tab w:val="clear" w:pos="144"/>
          <w:tab w:val="left" w:pos="288"/>
        </w:tabs>
        <w:spacing w:before="120" w:line="276" w:lineRule="exact"/>
        <w:ind w:left="144" w:right="216"/>
        <w:textAlignment w:val="baseline"/>
        <w:rPr>
          <w:rFonts w:eastAsia="Times New Roman"/>
          <w:b/>
          <w:color w:val="000000"/>
          <w:sz w:val="24"/>
        </w:rPr>
      </w:pPr>
      <w:r>
        <w:rPr>
          <w:rFonts w:eastAsia="Times New Roman"/>
          <w:b/>
          <w:color w:val="000000"/>
          <w:sz w:val="24"/>
        </w:rPr>
        <w:t xml:space="preserve">Subcontracting. </w:t>
      </w:r>
      <w:r>
        <w:rPr>
          <w:rFonts w:eastAsia="Times New Roman"/>
          <w:color w:val="000000"/>
          <w:sz w:val="24"/>
        </w:rPr>
        <w:t>Grantees and Sub-grantees must deliver all of the housing counseling set forth in the Applicant’s Work Plan provided in response to Rating Factor 3 of this NOFA. It is not permissible to contract out housing counseling services, except as specified in 24 C.F.R. § 214.103(i).</w:t>
      </w:r>
    </w:p>
    <w:p w:rsidR="007C25FE" w:rsidRDefault="00AB77A8">
      <w:pPr>
        <w:numPr>
          <w:ilvl w:val="0"/>
          <w:numId w:val="21"/>
        </w:numPr>
        <w:tabs>
          <w:tab w:val="clear" w:pos="144"/>
          <w:tab w:val="left" w:pos="288"/>
        </w:tabs>
        <w:spacing w:before="118" w:line="276" w:lineRule="exact"/>
        <w:ind w:left="144" w:right="216"/>
        <w:textAlignment w:val="baseline"/>
        <w:rPr>
          <w:rFonts w:eastAsia="Times New Roman"/>
          <w:b/>
          <w:color w:val="000000"/>
          <w:sz w:val="24"/>
        </w:rPr>
      </w:pPr>
      <w:r>
        <w:rPr>
          <w:rFonts w:eastAsia="Times New Roman"/>
          <w:b/>
          <w:color w:val="000000"/>
          <w:sz w:val="24"/>
        </w:rPr>
        <w:t xml:space="preserve">Conflicts of Interest. </w:t>
      </w:r>
      <w:r>
        <w:rPr>
          <w:rFonts w:eastAsia="Times New Roman"/>
          <w:color w:val="000000"/>
          <w:sz w:val="24"/>
        </w:rPr>
        <w:t>See 24 C.F.R. Part 214 for information about the Applicant’s code of conduct and the prohibition against real and apparent conflicts of interest that may arise among officers, employees, agents or other parties.</w:t>
      </w:r>
    </w:p>
    <w:p w:rsidR="007C25FE" w:rsidRDefault="00AB77A8">
      <w:pPr>
        <w:numPr>
          <w:ilvl w:val="0"/>
          <w:numId w:val="21"/>
        </w:numPr>
        <w:tabs>
          <w:tab w:val="clear" w:pos="144"/>
          <w:tab w:val="left" w:pos="288"/>
        </w:tabs>
        <w:spacing w:before="121" w:line="276" w:lineRule="exact"/>
        <w:ind w:left="144" w:right="216"/>
        <w:textAlignment w:val="baseline"/>
        <w:rPr>
          <w:rFonts w:eastAsia="Times New Roman"/>
          <w:b/>
          <w:color w:val="000000"/>
          <w:spacing w:val="-2"/>
          <w:sz w:val="24"/>
        </w:rPr>
      </w:pPr>
      <w:r>
        <w:rPr>
          <w:rFonts w:eastAsia="Times New Roman"/>
          <w:b/>
          <w:color w:val="000000"/>
          <w:spacing w:val="-2"/>
          <w:sz w:val="24"/>
        </w:rPr>
        <w:t xml:space="preserve">Home Inspection Materials. </w:t>
      </w:r>
      <w:r>
        <w:rPr>
          <w:rFonts w:eastAsia="Times New Roman"/>
          <w:color w:val="000000"/>
          <w:spacing w:val="-2"/>
          <w:sz w:val="24"/>
        </w:rPr>
        <w:t>If grantee provides pre-purchase counseling or homebuyer education, or both, the client(s) must be provided a copy of the following materials: “For Your Protection Get a Home Inspection” (HUD Form 92564) and “Ten Important Questions to Ask Your Home Inspector” (both documents can be found at</w:t>
      </w:r>
      <w:r>
        <w:rPr>
          <w:rFonts w:eastAsia="Times New Roman"/>
          <w:color w:val="0000EE"/>
          <w:spacing w:val="-2"/>
          <w:sz w:val="24"/>
          <w:u w:val="single"/>
        </w:rPr>
        <w:t xml:space="preserve"> </w:t>
      </w:r>
      <w:hyperlink r:id="rId21">
        <w:r>
          <w:rPr>
            <w:rFonts w:eastAsia="Times New Roman"/>
            <w:color w:val="0000FF"/>
            <w:spacing w:val="-2"/>
            <w:sz w:val="24"/>
            <w:u w:val="single"/>
          </w:rPr>
          <w:t>http://portal.hud.gov/hudportal/HUD</w:t>
        </w:r>
      </w:hyperlink>
      <w:r>
        <w:rPr>
          <w:rFonts w:eastAsia="Times New Roman"/>
          <w:color w:val="0000EE"/>
          <w:spacing w:val="-2"/>
          <w:sz w:val="24"/>
          <w:u w:val="single"/>
        </w:rPr>
        <w:t xml:space="preserve">  ?src=/topics/buyingahome</w:t>
      </w:r>
      <w:r>
        <w:rPr>
          <w:rFonts w:eastAsia="Times New Roman"/>
          <w:color w:val="000000"/>
          <w:spacing w:val="-2"/>
          <w:sz w:val="24"/>
        </w:rPr>
        <w:t xml:space="preserve"> and</w:t>
      </w:r>
      <w:r>
        <w:rPr>
          <w:rFonts w:eastAsia="Times New Roman"/>
          <w:color w:val="0000EE"/>
          <w:spacing w:val="-2"/>
          <w:sz w:val="24"/>
          <w:u w:val="single"/>
        </w:rPr>
        <w:t xml:space="preserve"> </w:t>
      </w:r>
      <w:hyperlink r:id="rId22">
        <w:r>
          <w:rPr>
            <w:rFonts w:eastAsia="Times New Roman"/>
            <w:color w:val="0000FF"/>
            <w:spacing w:val="-2"/>
            <w:sz w:val="24"/>
            <w:u w:val="single"/>
          </w:rPr>
          <w:t>http://portal.hud.gov/hudportal/HUD?src=/programoffices/housi</w:t>
        </w:r>
      </w:hyperlink>
      <w:r>
        <w:rPr>
          <w:rFonts w:eastAsia="Times New Roman"/>
          <w:color w:val="0000EE"/>
          <w:spacing w:val="-2"/>
          <w:sz w:val="24"/>
          <w:u w:val="single"/>
        </w:rPr>
        <w:t xml:space="preserve">  ng/sfh/insp/inspfaq).</w:t>
      </w:r>
      <w:r>
        <w:rPr>
          <w:rFonts w:eastAsia="Times New Roman"/>
          <w:color w:val="0000EE"/>
          <w:spacing w:val="-2"/>
          <w:sz w:val="24"/>
        </w:rPr>
        <w:t xml:space="preserve"> </w:t>
      </w:r>
    </w:p>
    <w:p w:rsidR="007C25FE" w:rsidRDefault="00AB77A8">
      <w:pPr>
        <w:numPr>
          <w:ilvl w:val="0"/>
          <w:numId w:val="21"/>
        </w:numPr>
        <w:tabs>
          <w:tab w:val="clear" w:pos="144"/>
          <w:tab w:val="left" w:pos="288"/>
        </w:tabs>
        <w:spacing w:before="121" w:line="276" w:lineRule="exact"/>
        <w:ind w:left="144" w:right="216"/>
        <w:textAlignment w:val="baseline"/>
        <w:rPr>
          <w:rFonts w:eastAsia="Times New Roman"/>
          <w:b/>
          <w:color w:val="000000"/>
          <w:sz w:val="24"/>
        </w:rPr>
      </w:pPr>
      <w:r>
        <w:rPr>
          <w:rFonts w:eastAsia="Times New Roman"/>
          <w:b/>
          <w:color w:val="000000"/>
          <w:sz w:val="24"/>
        </w:rPr>
        <w:t xml:space="preserve">Affirmatively Furthering Fair Housing (AFFH). </w:t>
      </w:r>
      <w:r>
        <w:rPr>
          <w:rFonts w:eastAsia="Times New Roman"/>
          <w:color w:val="000000"/>
          <w:sz w:val="24"/>
        </w:rPr>
        <w:t>Under Section 808(e)(5) of the Fair Housing Act HUD has a statutory duty to affirmatively further fair housing. HUD requires the same of its funding recipients.</w:t>
      </w:r>
    </w:p>
    <w:p w:rsidR="007C25FE" w:rsidRDefault="00AB77A8">
      <w:pPr>
        <w:spacing w:before="120" w:line="276" w:lineRule="exact"/>
        <w:ind w:left="144" w:right="72"/>
        <w:textAlignment w:val="baseline"/>
        <w:rPr>
          <w:rFonts w:eastAsia="Times New Roman"/>
          <w:color w:val="000000"/>
          <w:sz w:val="24"/>
        </w:rPr>
      </w:pPr>
      <w:r>
        <w:rPr>
          <w:rFonts w:eastAsia="Times New Roman"/>
          <w:color w:val="000000"/>
          <w:sz w:val="24"/>
        </w:rPr>
        <w:t>As provided in the rule, AFFH means: taking meaningful actions, in addition to combating discrimination, that overcome patterns of segregation and foster inclusive communities free from barriers that restrict access to opportunity based on protected characteristics. Specifically, affirmatively furthering fair housing means taking meaningful actions that, taken together, address significant disparities in housing needs and in access to opportunity, replacing segregated living patterns with truly integrated and balanced living patterns, transforming racially and ethnically concentrated areas of poverty into areas of opportunity, and fostering and maintaining compliance with civil rights and fair housing laws. The duty to affirmatively further fair housing extends to all of a program participant's activities and programs relating to housing and urban development.</w:t>
      </w:r>
    </w:p>
    <w:p w:rsidR="007C25FE" w:rsidRDefault="00AB77A8">
      <w:pPr>
        <w:spacing w:before="118" w:after="5" w:line="276" w:lineRule="exact"/>
        <w:ind w:left="144" w:right="216"/>
        <w:textAlignment w:val="baseline"/>
        <w:rPr>
          <w:rFonts w:eastAsia="Times New Roman"/>
          <w:color w:val="000000"/>
          <w:spacing w:val="-2"/>
          <w:sz w:val="24"/>
        </w:rPr>
      </w:pPr>
      <w:r>
        <w:rPr>
          <w:rFonts w:eastAsia="Times New Roman"/>
          <w:color w:val="000000"/>
          <w:spacing w:val="-2"/>
          <w:sz w:val="24"/>
        </w:rPr>
        <w:t>Examples of housing counseling activities that would fulfill the affirmatively furthering fair housing policy priority in rating factor 3(2)(c) of this NOFA and the affirmatively furthering fair housing policy priority in rating factor 2(2)(a) of this NOFA include, but are not limited to,</w:t>
      </w:r>
    </w:p>
    <w:p w:rsidR="007C25FE" w:rsidRDefault="00AB77A8">
      <w:pPr>
        <w:spacing w:before="346" w:line="288" w:lineRule="exact"/>
        <w:textAlignment w:val="baseline"/>
        <w:rPr>
          <w:rFonts w:eastAsia="Times New Roman"/>
          <w:color w:val="000000"/>
          <w:sz w:val="24"/>
        </w:rPr>
      </w:pPr>
      <w:r>
        <w:rPr>
          <w:noProof/>
        </w:rPr>
        <mc:AlternateContent>
          <mc:Choice Requires="wps">
            <w:drawing>
              <wp:anchor distT="0" distB="0" distL="114300" distR="114300" simplePos="0" relativeHeight="251667456" behindDoc="0" locked="0" layoutInCell="1" allowOverlap="1" wp14:anchorId="7C3DCA5D" wp14:editId="69893DAE">
                <wp:simplePos x="0" y="0"/>
                <wp:positionH relativeFrom="column">
                  <wp:posOffset>0</wp:posOffset>
                </wp:positionH>
                <wp:positionV relativeFrom="paragraph">
                  <wp:posOffset>0</wp:posOffset>
                </wp:positionV>
                <wp:extent cx="6005195" cy="0"/>
                <wp:effectExtent l="0" t="0" r="0" b="0"/>
                <wp:wrapNone/>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5297AF" id="Line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qS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" strokecolor="#ccc" strokeweight=".7pt"/>
            </w:pict>
          </mc:Fallback>
        </mc:AlternateContent>
      </w:r>
    </w:p>
    <w:p w:rsidR="007C25FE" w:rsidRDefault="007C25FE">
      <w:pPr>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8"/>
          <w:sz w:val="24"/>
        </w:rPr>
      </w:pPr>
      <w:r>
        <w:rPr>
          <w:rFonts w:eastAsia="Times New Roman"/>
          <w:color w:val="000000"/>
          <w:spacing w:val="-18"/>
          <w:sz w:val="24"/>
        </w:rPr>
        <w:t>17 of 49</w:t>
      </w:r>
    </w:p>
    <w:p w:rsidR="007C25FE" w:rsidRDefault="007C25FE">
      <w:pPr>
        <w:sectPr w:rsidR="007C25FE">
          <w:type w:val="continuous"/>
          <w:pgSz w:w="12240" w:h="15840"/>
          <w:pgMar w:top="1440" w:right="1441" w:bottom="304" w:left="10019" w:header="720" w:footer="720" w:gutter="0"/>
          <w:cols w:space="720"/>
        </w:sectPr>
      </w:pPr>
    </w:p>
    <w:p w:rsidR="007C25FE" w:rsidRDefault="00AB77A8">
      <w:pPr>
        <w:spacing w:before="67" w:line="272" w:lineRule="exact"/>
        <w:ind w:left="106" w:right="106"/>
        <w:textAlignment w:val="baseline"/>
        <w:rPr>
          <w:rFonts w:eastAsia="Times New Roman"/>
          <w:color w:val="000000"/>
          <w:spacing w:val="-1"/>
          <w:sz w:val="24"/>
        </w:rPr>
      </w:pPr>
      <w:r>
        <w:rPr>
          <w:noProof/>
        </w:rPr>
        <mc:AlternateContent>
          <mc:Choice Requires="wps">
            <w:drawing>
              <wp:anchor distT="0" distB="1107440" distL="0" distR="0" simplePos="0" relativeHeight="251619328" behindDoc="1" locked="0" layoutInCell="1" allowOverlap="1" wp14:anchorId="51102BA1" wp14:editId="74669D25">
                <wp:simplePos x="0" y="0"/>
                <wp:positionH relativeFrom="page">
                  <wp:posOffset>871855</wp:posOffset>
                </wp:positionH>
                <wp:positionV relativeFrom="page">
                  <wp:posOffset>914400</wp:posOffset>
                </wp:positionV>
                <wp:extent cx="6005195" cy="454469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454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3"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68.65pt;margin-top:1in;width:472.85pt;height:357.85pt;z-index:-251697152;visibility:visible;mso-wrap-style:square;mso-width-percent:0;mso-height-percent:0;mso-wrap-distance-left:0;mso-wrap-distance-top:0;mso-wrap-distance-right:0;mso-wrap-distance-bottom:8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" filled="f" stroked="f">
                <v:textbox inset="0,0,0,0">
                  <w:txbxContent>
                    <w:p w:rsidR="007C25FE" w:rsidRDefault="007C25FE">
                      <w:pPr>
                        <w:pBdr>
                          <w:top w:val="single" w:sz="5" w:space="0" w:color="CCCCCC"/>
                          <w:left w:val="single" w:sz="5" w:space="0" w:color="CCCCCC"/>
                          <w:bottom w:val="single" w:sz="5" w:space="23" w:color="CCCCCC"/>
                          <w:right w:val="single" w:sz="5" w:space="0" w:color="CCCCCC"/>
                        </w:pBdr>
                      </w:pPr>
                    </w:p>
                  </w:txbxContent>
                </v:textbox>
                <w10:wrap anchorx="page" anchory="page"/>
              </v:shape>
            </w:pict>
          </mc:Fallback>
        </mc:AlternateContent>
      </w:r>
      <w:r>
        <w:rPr>
          <w:rFonts w:eastAsia="Times New Roman"/>
          <w:color w:val="000000"/>
          <w:spacing w:val="-1"/>
          <w:sz w:val="24"/>
        </w:rPr>
        <w:t>the following:</w:t>
      </w:r>
    </w:p>
    <w:p w:rsidR="007C25FE" w:rsidRDefault="00AB77A8">
      <w:pPr>
        <w:numPr>
          <w:ilvl w:val="0"/>
          <w:numId w:val="22"/>
        </w:numPr>
        <w:tabs>
          <w:tab w:val="clear" w:pos="360"/>
          <w:tab w:val="left" w:pos="466"/>
        </w:tabs>
        <w:spacing w:before="118" w:line="276" w:lineRule="exact"/>
        <w:ind w:left="106" w:right="106"/>
        <w:textAlignment w:val="baseline"/>
        <w:rPr>
          <w:rFonts w:eastAsia="Times New Roman"/>
          <w:color w:val="000000"/>
          <w:sz w:val="24"/>
        </w:rPr>
      </w:pPr>
      <w:r>
        <w:rPr>
          <w:rFonts w:eastAsia="Times New Roman"/>
          <w:color w:val="000000"/>
          <w:sz w:val="24"/>
        </w:rPr>
        <w:t>Providing persons with counseling, education, or information on discriminatory housing and mortgage lending practices and the rights and remedies available under federal, state, and local laws.</w:t>
      </w:r>
    </w:p>
    <w:p w:rsidR="007C25FE" w:rsidRDefault="00AB77A8">
      <w:pPr>
        <w:numPr>
          <w:ilvl w:val="0"/>
          <w:numId w:val="22"/>
        </w:numPr>
        <w:tabs>
          <w:tab w:val="clear" w:pos="360"/>
          <w:tab w:val="left" w:pos="466"/>
        </w:tabs>
        <w:spacing w:before="118" w:line="276" w:lineRule="exact"/>
        <w:ind w:left="106" w:right="322"/>
        <w:textAlignment w:val="baseline"/>
        <w:rPr>
          <w:rFonts w:eastAsia="Times New Roman"/>
          <w:color w:val="000000"/>
          <w:spacing w:val="-2"/>
          <w:sz w:val="24"/>
        </w:rPr>
      </w:pPr>
      <w:r>
        <w:rPr>
          <w:rFonts w:eastAsia="Times New Roman"/>
          <w:color w:val="000000"/>
          <w:spacing w:val="-2"/>
          <w:sz w:val="24"/>
        </w:rPr>
        <w:t>Creating and maintaining a database of accessible housing opportunities in the community and marketing such housing opportunities to persons with Limited English Proficiency (LEP) and persons with disabilities, including those who live in segregated, institutional settings.</w:t>
      </w:r>
    </w:p>
    <w:p w:rsidR="007C25FE" w:rsidRDefault="00AB77A8">
      <w:pPr>
        <w:numPr>
          <w:ilvl w:val="0"/>
          <w:numId w:val="22"/>
        </w:numPr>
        <w:tabs>
          <w:tab w:val="clear" w:pos="360"/>
          <w:tab w:val="left" w:pos="466"/>
        </w:tabs>
        <w:spacing w:before="122" w:line="276" w:lineRule="exact"/>
        <w:ind w:left="106" w:right="250"/>
        <w:textAlignment w:val="baseline"/>
        <w:rPr>
          <w:rFonts w:eastAsia="Times New Roman"/>
          <w:color w:val="000000"/>
          <w:sz w:val="24"/>
        </w:rPr>
      </w:pPr>
      <w:r>
        <w:rPr>
          <w:rFonts w:eastAsia="Times New Roman"/>
          <w:color w:val="000000"/>
          <w:sz w:val="24"/>
        </w:rPr>
        <w:t>Affirmative marketing and outreach to those populations least likely to seek the counseling or education services or information marketed, including those of racial, national origin, or religious groups not normally served by the sponsoring agency, as well as persons with disabilities and persons with Limited English Proficiency (LEP). To do so, it may be necessary to conduct marketing and outreach in a broader target area or languages other than English. It may also require conducting marketing and outreach in alternative formats for persons with disabilities (e.g. Braille, large print, audio, etc.).</w:t>
      </w:r>
    </w:p>
    <w:p w:rsidR="007C25FE" w:rsidRDefault="00AB77A8">
      <w:pPr>
        <w:numPr>
          <w:ilvl w:val="0"/>
          <w:numId w:val="22"/>
        </w:numPr>
        <w:tabs>
          <w:tab w:val="clear" w:pos="360"/>
          <w:tab w:val="left" w:pos="466"/>
        </w:tabs>
        <w:spacing w:before="120" w:line="276" w:lineRule="exact"/>
        <w:ind w:left="106" w:right="106"/>
        <w:textAlignment w:val="baseline"/>
        <w:rPr>
          <w:rFonts w:eastAsia="Times New Roman"/>
          <w:color w:val="000000"/>
          <w:sz w:val="24"/>
        </w:rPr>
      </w:pPr>
      <w:r>
        <w:rPr>
          <w:rFonts w:eastAsia="Times New Roman"/>
          <w:color w:val="000000"/>
          <w:sz w:val="24"/>
        </w:rPr>
        <w:t>Providing mobility counseling to help persons move to housing that is not located in areas of poverty concentration or minority concentration, including helping persons identify housing opportunities, helping them connect with landlords, and assisting them with applying for such housing.</w:t>
      </w:r>
    </w:p>
    <w:p w:rsidR="007C25FE" w:rsidRDefault="00AB77A8">
      <w:pPr>
        <w:spacing w:before="118" w:after="1893" w:line="276" w:lineRule="exact"/>
        <w:ind w:left="106" w:right="106"/>
        <w:textAlignment w:val="baseline"/>
        <w:rPr>
          <w:rFonts w:eastAsia="Times New Roman"/>
          <w:color w:val="000000"/>
          <w:sz w:val="24"/>
        </w:rPr>
      </w:pPr>
      <w:r>
        <w:rPr>
          <w:rFonts w:eastAsia="Times New Roman"/>
          <w:color w:val="000000"/>
          <w:sz w:val="24"/>
        </w:rPr>
        <w:t>When housing counselors learn of alleged housing or mortgage lending discrimination that may violate federal, state, or local fair housing or civil rights laws, report the instance to HUD, a state or local Fair Housing Assistance Program (FHAP) agency, or a private fair housing group, and/or provide clients with information on how to file a housing discrimination complaint of their own.</w:t>
      </w:r>
    </w:p>
    <w:p w:rsidR="007C25FE" w:rsidRDefault="00AB77A8">
      <w:pPr>
        <w:spacing w:before="3" w:after="959" w:line="274" w:lineRule="exact"/>
        <w:ind w:left="72"/>
        <w:textAlignment w:val="baseline"/>
        <w:rPr>
          <w:rFonts w:eastAsia="Times New Roman"/>
          <w:b/>
          <w:color w:val="000000"/>
          <w:sz w:val="24"/>
        </w:rPr>
      </w:pPr>
      <w:r>
        <w:rPr>
          <w:rFonts w:eastAsia="Times New Roman"/>
          <w:b/>
          <w:color w:val="000000"/>
          <w:sz w:val="24"/>
        </w:rPr>
        <w:t>F. Criteria for Beneficiaries.</w:t>
      </w:r>
    </w:p>
    <w:p w:rsidR="007C25FE" w:rsidRDefault="00AB77A8">
      <w:pPr>
        <w:shd w:val="solid" w:color="BCDFFB" w:fill="BCDFFB"/>
        <w:spacing w:after="138" w:line="274" w:lineRule="exact"/>
        <w:ind w:left="72"/>
        <w:textAlignment w:val="baseline"/>
        <w:rPr>
          <w:rFonts w:eastAsia="Times New Roman"/>
          <w:b/>
          <w:color w:val="000000"/>
          <w:sz w:val="24"/>
        </w:rPr>
      </w:pPr>
      <w:r>
        <w:rPr>
          <w:rFonts w:eastAsia="Times New Roman"/>
          <w:b/>
          <w:color w:val="000000"/>
          <w:sz w:val="24"/>
        </w:rPr>
        <w:t>IV. Application and Submission Information.</w:t>
      </w:r>
    </w:p>
    <w:p w:rsidR="007C25FE" w:rsidRDefault="00AB77A8">
      <w:pPr>
        <w:shd w:val="solid" w:color="E0E0E0" w:fill="E0E0E0"/>
        <w:spacing w:after="30" w:line="274" w:lineRule="exact"/>
        <w:ind w:left="72"/>
        <w:textAlignment w:val="baseline"/>
        <w:rPr>
          <w:rFonts w:eastAsia="Times New Roman"/>
          <w:b/>
          <w:color w:val="000000"/>
          <w:sz w:val="24"/>
        </w:rPr>
      </w:pPr>
      <w:r>
        <w:rPr>
          <w:rFonts w:eastAsia="Times New Roman"/>
          <w:b/>
          <w:color w:val="000000"/>
          <w:sz w:val="24"/>
        </w:rPr>
        <w:t>A. Obtaining an Application Package.</w:t>
      </w:r>
    </w:p>
    <w:p w:rsidR="007C25FE" w:rsidRDefault="00AB77A8">
      <w:pPr>
        <w:spacing w:before="3" w:line="274" w:lineRule="exact"/>
        <w:ind w:left="72"/>
        <w:textAlignment w:val="baseline"/>
        <w:rPr>
          <w:rFonts w:eastAsia="Times New Roman"/>
          <w:b/>
          <w:color w:val="000000"/>
          <w:sz w:val="24"/>
        </w:rPr>
      </w:pPr>
      <w:r>
        <w:rPr>
          <w:rFonts w:eastAsia="Times New Roman"/>
          <w:b/>
          <w:color w:val="000000"/>
          <w:sz w:val="24"/>
        </w:rPr>
        <w:t>Instructions for Applicants.</w:t>
      </w:r>
    </w:p>
    <w:p w:rsidR="007C25FE" w:rsidRDefault="00AB77A8">
      <w:pPr>
        <w:spacing w:line="272" w:lineRule="exact"/>
        <w:ind w:left="72"/>
        <w:textAlignment w:val="baseline"/>
        <w:rPr>
          <w:rFonts w:eastAsia="Times New Roman"/>
          <w:color w:val="000000"/>
          <w:sz w:val="24"/>
        </w:rPr>
      </w:pPr>
      <w:r>
        <w:rPr>
          <w:rFonts w:eastAsia="Times New Roman"/>
          <w:color w:val="000000"/>
          <w:sz w:val="24"/>
        </w:rPr>
        <w:t>You must download both the Application Instruction and the Application Package</w:t>
      </w:r>
    </w:p>
    <w:p w:rsidR="007C25FE" w:rsidRDefault="00AB77A8">
      <w:pPr>
        <w:spacing w:before="6" w:line="272" w:lineRule="exact"/>
        <w:ind w:left="72"/>
        <w:textAlignment w:val="baseline"/>
        <w:rPr>
          <w:rFonts w:eastAsia="Times New Roman"/>
          <w:color w:val="000000"/>
          <w:sz w:val="24"/>
        </w:rPr>
      </w:pPr>
      <w:r>
        <w:rPr>
          <w:rFonts w:eastAsia="Times New Roman"/>
          <w:color w:val="000000"/>
          <w:sz w:val="24"/>
        </w:rPr>
        <w:t xml:space="preserve">from </w:t>
      </w:r>
      <w:hyperlink r:id="rId23">
        <w:r>
          <w:rPr>
            <w:rFonts w:eastAsia="Times New Roman"/>
            <w:color w:val="0000FF"/>
            <w:sz w:val="24"/>
            <w:u w:val="single"/>
          </w:rPr>
          <w:t>Grants.gov</w:t>
        </w:r>
      </w:hyperlink>
      <w:r>
        <w:rPr>
          <w:rFonts w:eastAsia="Times New Roman"/>
          <w:color w:val="000000"/>
          <w:sz w:val="24"/>
        </w:rPr>
        <w:t>. To ensure you are using the correct Application Package and Application</w:t>
      </w:r>
    </w:p>
    <w:p w:rsidR="007C25FE" w:rsidRDefault="00AB77A8">
      <w:pPr>
        <w:spacing w:before="2" w:line="272" w:lineRule="exact"/>
        <w:ind w:left="72"/>
        <w:textAlignment w:val="baseline"/>
        <w:rPr>
          <w:rFonts w:eastAsia="Times New Roman"/>
          <w:color w:val="000000"/>
          <w:sz w:val="24"/>
        </w:rPr>
      </w:pPr>
      <w:r>
        <w:rPr>
          <w:rFonts w:eastAsia="Times New Roman"/>
          <w:color w:val="000000"/>
          <w:sz w:val="24"/>
        </w:rPr>
        <w:t>Instructions, you must verify the CFDA Number and CFDA Description on the first page of the</w:t>
      </w:r>
    </w:p>
    <w:p w:rsidR="007C25FE" w:rsidRDefault="00AB77A8">
      <w:pPr>
        <w:spacing w:before="6" w:line="272" w:lineRule="exact"/>
        <w:ind w:left="72"/>
        <w:textAlignment w:val="baseline"/>
        <w:rPr>
          <w:rFonts w:eastAsia="Times New Roman"/>
          <w:color w:val="000000"/>
          <w:sz w:val="24"/>
        </w:rPr>
      </w:pPr>
      <w:r>
        <w:rPr>
          <w:rFonts w:eastAsia="Times New Roman"/>
          <w:color w:val="000000"/>
          <w:sz w:val="24"/>
        </w:rPr>
        <w:t>Application Package, and the Opportunity Title and the Funding Opportunity Number match the</w:t>
      </w:r>
    </w:p>
    <w:p w:rsidR="007C25FE" w:rsidRDefault="00AB77A8">
      <w:pPr>
        <w:spacing w:before="2" w:line="272" w:lineRule="exact"/>
        <w:ind w:left="72"/>
        <w:textAlignment w:val="baseline"/>
        <w:rPr>
          <w:rFonts w:eastAsia="Times New Roman"/>
          <w:color w:val="000000"/>
          <w:sz w:val="24"/>
        </w:rPr>
      </w:pPr>
      <w:r>
        <w:rPr>
          <w:rFonts w:eastAsia="Times New Roman"/>
          <w:color w:val="000000"/>
          <w:sz w:val="24"/>
        </w:rPr>
        <w:t>Program and NOFA to which you are applying.</w:t>
      </w:r>
    </w:p>
    <w:p w:rsidR="007C25FE" w:rsidRDefault="00AB77A8">
      <w:pPr>
        <w:spacing w:before="6" w:after="481" w:line="272" w:lineRule="exact"/>
        <w:ind w:left="72"/>
        <w:textAlignment w:val="baseline"/>
        <w:rPr>
          <w:rFonts w:eastAsia="Times New Roman"/>
          <w:color w:val="000000"/>
          <w:sz w:val="24"/>
        </w:rPr>
      </w:pPr>
      <w:r>
        <w:rPr>
          <w:rFonts w:eastAsia="Times New Roman"/>
          <w:color w:val="000000"/>
          <w:sz w:val="24"/>
        </w:rPr>
        <w:t xml:space="preserve">The Application Package contains the Adobe forms created by </w:t>
      </w:r>
      <w:hyperlink r:id="rId24">
        <w:r>
          <w:rPr>
            <w:rFonts w:eastAsia="Times New Roman"/>
            <w:color w:val="0000FF"/>
            <w:sz w:val="24"/>
            <w:u w:val="single"/>
          </w:rPr>
          <w:t>Grants.gov</w:t>
        </w:r>
      </w:hyperlink>
      <w:r>
        <w:rPr>
          <w:rFonts w:eastAsia="Times New Roman"/>
          <w:color w:val="000000"/>
          <w:sz w:val="24"/>
        </w:rPr>
        <w:t>. The Instruction</w:t>
      </w:r>
    </w:p>
    <w:p w:rsidR="007C25FE" w:rsidRDefault="007C25FE">
      <w:pPr>
        <w:spacing w:before="6" w:after="481" w:line="272" w:lineRule="exact"/>
        <w:sectPr w:rsidR="007C25FE">
          <w:pgSz w:w="12240" w:h="15840"/>
          <w:pgMar w:top="1440" w:right="1410" w:bottom="304" w:left="1373" w:header="720" w:footer="720" w:gutter="0"/>
          <w:cols w:space="720"/>
        </w:sectPr>
      </w:pPr>
    </w:p>
    <w:p w:rsidR="007C25FE" w:rsidRDefault="00AB77A8">
      <w:pPr>
        <w:spacing w:before="3" w:line="272" w:lineRule="exact"/>
        <w:textAlignment w:val="baseline"/>
        <w:rPr>
          <w:rFonts w:eastAsia="Times New Roman"/>
          <w:color w:val="000000"/>
          <w:spacing w:val="-18"/>
          <w:sz w:val="24"/>
        </w:rPr>
      </w:pPr>
      <w:r>
        <w:rPr>
          <w:rFonts w:eastAsia="Times New Roman"/>
          <w:color w:val="000000"/>
          <w:spacing w:val="-18"/>
          <w:sz w:val="24"/>
        </w:rPr>
        <w:t>18 of 49</w:t>
      </w:r>
    </w:p>
    <w:p w:rsidR="007C25FE" w:rsidRDefault="007C25FE">
      <w:pPr>
        <w:sectPr w:rsidR="007C25FE">
          <w:type w:val="continuous"/>
          <w:pgSz w:w="12240" w:h="15840"/>
          <w:pgMar w:top="1440" w:right="1441" w:bottom="304" w:left="10019" w:header="720" w:footer="720" w:gutter="0"/>
          <w:cols w:space="720"/>
        </w:sectPr>
      </w:pPr>
    </w:p>
    <w:p w:rsidR="007C25FE" w:rsidRDefault="00AB77A8">
      <w:pPr>
        <w:spacing w:before="9" w:line="277" w:lineRule="exact"/>
        <w:ind w:left="72" w:right="720"/>
        <w:textAlignment w:val="baseline"/>
        <w:rPr>
          <w:rFonts w:eastAsia="Times New Roman"/>
          <w:color w:val="000000"/>
          <w:sz w:val="24"/>
        </w:rPr>
      </w:pPr>
      <w:r>
        <w:rPr>
          <w:rFonts w:eastAsia="Times New Roman"/>
          <w:color w:val="000000"/>
          <w:sz w:val="24"/>
        </w:rPr>
        <w:t>Download contains official copies of the NOFA, and forms necessary for a complete application. The Instruction Download may include Microsoft Word, Microsoft Excel and additional documents.</w:t>
      </w:r>
    </w:p>
    <w:p w:rsidR="007C25FE" w:rsidRDefault="00AB77A8">
      <w:pPr>
        <w:spacing w:line="276" w:lineRule="exact"/>
        <w:ind w:left="72" w:right="144"/>
        <w:textAlignment w:val="baseline"/>
        <w:rPr>
          <w:rFonts w:eastAsia="Times New Roman"/>
          <w:color w:val="000000"/>
          <w:sz w:val="24"/>
        </w:rPr>
      </w:pPr>
      <w:r>
        <w:rPr>
          <w:rFonts w:eastAsia="Times New Roman"/>
          <w:color w:val="000000"/>
          <w:sz w:val="24"/>
        </w:rPr>
        <w:t>An applicant demonstrating good cause may request a waiver from the requirement for electronic submission. For example, a lack of available Internet access in the geographic area in which your business offices are located. Lack of SAM registration or valid DUNS is not deemed good cause. If you cannot submit your application electronically, you must ask in writing for a waiver of the electronic grant submission requirements. HUD will not grant a waiver if HUD does not receive your written request at least 15 days before the application deadline or if you do not demonstrate good cause. An email request sent 15 days before the application will also be considered. If HUD waives the requirement, HUD must receive your paper application or email request before the deadline of this NOFA. To request a waiver and receive a paper copy of the application materials, you must contact:</w:t>
      </w:r>
    </w:p>
    <w:p w:rsidR="007C25FE" w:rsidRDefault="005D7575">
      <w:pPr>
        <w:spacing w:before="145" w:after="19" w:line="277" w:lineRule="exact"/>
        <w:ind w:left="72"/>
        <w:textAlignment w:val="baseline"/>
        <w:rPr>
          <w:rFonts w:eastAsia="Times New Roman"/>
          <w:color w:val="000000"/>
          <w:sz w:val="24"/>
        </w:rPr>
      </w:pPr>
      <w:hyperlink r:id="rId25">
        <w:r w:rsidR="00AB77A8">
          <w:rPr>
            <w:rFonts w:eastAsia="Times New Roman"/>
            <w:color w:val="0000FF"/>
            <w:sz w:val="24"/>
            <w:u w:val="single"/>
          </w:rPr>
          <w:t>Email:</w:t>
        </w:r>
      </w:hyperlink>
      <w:r w:rsidR="00AB77A8">
        <w:rPr>
          <w:rFonts w:eastAsia="Times New Roman"/>
          <w:color w:val="0000FF"/>
          <w:sz w:val="24"/>
          <w:u w:val="single"/>
        </w:rPr>
        <w:t xml:space="preserve"> Housing.Counseling@hud.gov</w:t>
      </w:r>
      <w:r w:rsidR="00AB77A8">
        <w:rPr>
          <w:rFonts w:eastAsia="Times New Roman"/>
          <w:color w:val="0000EE"/>
          <w:sz w:val="24"/>
        </w:rPr>
        <w:t xml:space="preserve"> </w:t>
      </w:r>
    </w:p>
    <w:p w:rsidR="007C25FE" w:rsidRDefault="00AB77A8">
      <w:pPr>
        <w:spacing w:before="39" w:line="277" w:lineRule="exact"/>
        <w:ind w:left="106" w:right="322"/>
        <w:textAlignment w:val="baseline"/>
        <w:rPr>
          <w:rFonts w:eastAsia="Times New Roman"/>
          <w:b/>
          <w:color w:val="000000"/>
          <w:sz w:val="24"/>
        </w:rPr>
      </w:pPr>
      <w:r>
        <w:rPr>
          <w:noProof/>
        </w:rPr>
        <mc:AlternateContent>
          <mc:Choice Requires="wps">
            <w:drawing>
              <wp:anchor distT="0" distB="333375" distL="0" distR="0" simplePos="0" relativeHeight="251620352" behindDoc="1" locked="0" layoutInCell="1" allowOverlap="1" wp14:anchorId="1FA79698" wp14:editId="7B490C53">
                <wp:simplePos x="0" y="0"/>
                <wp:positionH relativeFrom="page">
                  <wp:posOffset>875030</wp:posOffset>
                </wp:positionH>
                <wp:positionV relativeFrom="page">
                  <wp:posOffset>3559810</wp:posOffset>
                </wp:positionV>
                <wp:extent cx="6005195" cy="553847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553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6"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68.9pt;margin-top:280.3pt;width:472.85pt;height:436.1pt;z-index:-251696128;visibility:visible;mso-wrap-style:square;mso-width-percent:0;mso-height-percent:0;mso-wrap-distance-left:0;mso-wrap-distance-top:0;mso-wrap-distance-right:0;mso-wrap-distance-bottom:26.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" filled="f" stroked="f">
                <v:textbox inset="0,0,0,0">
                  <w:txbxContent>
                    <w:p w:rsidR="007C25FE" w:rsidRDefault="007C25FE">
                      <w:pPr>
                        <w:pBdr>
                          <w:top w:val="single" w:sz="5" w:space="0" w:color="CCCCCC"/>
                          <w:left w:val="single" w:sz="5" w:space="0" w:color="CCCCCC"/>
                          <w:bottom w:val="single" w:sz="5" w:space="26" w:color="CCCCCC"/>
                          <w:right w:val="single" w:sz="5" w:space="0" w:color="CCCCCC"/>
                        </w:pBdr>
                      </w:pPr>
                    </w:p>
                  </w:txbxContent>
                </v:textbox>
                <w10:wrap anchorx="page" anchory="page"/>
              </v:shape>
            </w:pict>
          </mc:Fallback>
        </mc:AlternateContent>
      </w:r>
      <w:r>
        <w:rPr>
          <w:rFonts w:eastAsia="Times New Roman"/>
          <w:b/>
          <w:color w:val="000000"/>
          <w:sz w:val="24"/>
        </w:rPr>
        <w:t xml:space="preserve">1. Address to Request Application Package. </w:t>
      </w:r>
      <w:r>
        <w:rPr>
          <w:rFonts w:eastAsia="Times New Roman"/>
          <w:color w:val="000000"/>
          <w:sz w:val="24"/>
        </w:rPr>
        <w:t>Applications and forms that you need to apply for funding under this NOFA are available from</w:t>
      </w:r>
      <w:r>
        <w:rPr>
          <w:rFonts w:eastAsia="Times New Roman"/>
          <w:color w:val="0000EE"/>
          <w:sz w:val="24"/>
          <w:u w:val="single"/>
        </w:rPr>
        <w:t xml:space="preserve"> </w:t>
      </w:r>
      <w:hyperlink r:id="rId26">
        <w:r>
          <w:rPr>
            <w:rFonts w:eastAsia="Times New Roman"/>
            <w:color w:val="0000FF"/>
            <w:sz w:val="24"/>
            <w:u w:val="single"/>
          </w:rPr>
          <w:t>http://www.grants.gov/web/grants/applicants</w:t>
        </w:r>
      </w:hyperlink>
      <w:r>
        <w:rPr>
          <w:rFonts w:eastAsia="Times New Roman"/>
          <w:color w:val="0000EE"/>
          <w:sz w:val="24"/>
          <w:u w:val="single"/>
        </w:rPr>
        <w:t xml:space="preserve">  /apply-for-grants.html,</w:t>
      </w:r>
      <w:r>
        <w:rPr>
          <w:rFonts w:eastAsia="Times New Roman"/>
          <w:color w:val="000000"/>
          <w:sz w:val="24"/>
        </w:rPr>
        <w:t xml:space="preserve"> but outlined below are basic instructions for obtaining an application package:</w:t>
      </w:r>
    </w:p>
    <w:p w:rsidR="007C25FE" w:rsidRDefault="00AB77A8">
      <w:pPr>
        <w:spacing w:before="120" w:line="277" w:lineRule="exact"/>
        <w:ind w:left="106" w:right="610"/>
        <w:textAlignment w:val="baseline"/>
        <w:rPr>
          <w:rFonts w:eastAsia="Times New Roman"/>
          <w:b/>
          <w:color w:val="000000"/>
          <w:sz w:val="24"/>
        </w:rPr>
      </w:pPr>
      <w:r>
        <w:rPr>
          <w:rFonts w:eastAsia="Times New Roman"/>
          <w:b/>
          <w:color w:val="000000"/>
          <w:sz w:val="24"/>
        </w:rPr>
        <w:t xml:space="preserve">a. </w:t>
      </w:r>
      <w:r>
        <w:rPr>
          <w:rFonts w:eastAsia="Times New Roman"/>
          <w:color w:val="000000"/>
          <w:sz w:val="24"/>
        </w:rPr>
        <w:t>Go to the “Package” tab and click on “Select Package” to view the instructions and application package. You may be asked to enter your email to be notified of updates. Click submit.</w:t>
      </w:r>
    </w:p>
    <w:p w:rsidR="007C25FE" w:rsidRDefault="00AB77A8">
      <w:pPr>
        <w:spacing w:before="118" w:line="277" w:lineRule="exact"/>
        <w:ind w:left="106" w:right="178"/>
        <w:textAlignment w:val="baseline"/>
        <w:rPr>
          <w:rFonts w:eastAsia="Times New Roman"/>
          <w:b/>
          <w:color w:val="000000"/>
          <w:sz w:val="24"/>
        </w:rPr>
      </w:pPr>
      <w:r>
        <w:rPr>
          <w:rFonts w:eastAsia="Times New Roman"/>
          <w:b/>
          <w:color w:val="000000"/>
          <w:sz w:val="24"/>
        </w:rPr>
        <w:t xml:space="preserve">b. </w:t>
      </w:r>
      <w:r>
        <w:rPr>
          <w:rFonts w:eastAsia="Times New Roman"/>
          <w:color w:val="000000"/>
          <w:sz w:val="24"/>
        </w:rPr>
        <w:t>Download both the instructions and the appropriate application package for your agency type (LHCA or Intermediary/SHFA/MSO) by clicking the respective buttons.</w:t>
      </w:r>
    </w:p>
    <w:p w:rsidR="007C25FE" w:rsidRDefault="00AB77A8">
      <w:pPr>
        <w:spacing w:before="114" w:line="277" w:lineRule="exact"/>
        <w:ind w:left="106" w:right="178"/>
        <w:textAlignment w:val="baseline"/>
        <w:rPr>
          <w:rFonts w:eastAsia="Times New Roman"/>
          <w:b/>
          <w:color w:val="000000"/>
          <w:sz w:val="24"/>
        </w:rPr>
      </w:pPr>
      <w:r>
        <w:rPr>
          <w:rFonts w:eastAsia="Times New Roman"/>
          <w:b/>
          <w:color w:val="000000"/>
          <w:sz w:val="24"/>
        </w:rPr>
        <w:t xml:space="preserve">c. </w:t>
      </w:r>
      <w:r>
        <w:rPr>
          <w:rFonts w:eastAsia="Times New Roman"/>
          <w:color w:val="000000"/>
          <w:sz w:val="24"/>
        </w:rPr>
        <w:t>By clicking the Download Instructions button, a WinZip folder containing the following files will open. These files must be downloaded, completed as instructed in the NOFA, and saved as documents on the Applicant’s computer system:</w:t>
      </w:r>
    </w:p>
    <w:p w:rsidR="007C25FE" w:rsidRDefault="00AB77A8">
      <w:pPr>
        <w:numPr>
          <w:ilvl w:val="0"/>
          <w:numId w:val="23"/>
        </w:numPr>
        <w:tabs>
          <w:tab w:val="clear" w:pos="216"/>
          <w:tab w:val="left" w:pos="322"/>
        </w:tabs>
        <w:spacing w:before="122" w:line="277" w:lineRule="exact"/>
        <w:ind w:left="106" w:right="106"/>
        <w:textAlignment w:val="baseline"/>
        <w:rPr>
          <w:rFonts w:eastAsia="Times New Roman"/>
          <w:color w:val="000000"/>
          <w:sz w:val="24"/>
        </w:rPr>
      </w:pPr>
      <w:r>
        <w:rPr>
          <w:rFonts w:eastAsia="Times New Roman"/>
          <w:color w:val="000000"/>
          <w:sz w:val="24"/>
        </w:rPr>
        <w:t>HUD 50153 Certification of Consistency with Promise Zone.docx</w:t>
      </w:r>
    </w:p>
    <w:p w:rsidR="007C25FE" w:rsidRDefault="00AB77A8">
      <w:pPr>
        <w:numPr>
          <w:ilvl w:val="0"/>
          <w:numId w:val="23"/>
        </w:numPr>
        <w:tabs>
          <w:tab w:val="clear" w:pos="216"/>
          <w:tab w:val="left" w:pos="322"/>
        </w:tabs>
        <w:spacing w:before="116" w:line="277" w:lineRule="exact"/>
        <w:ind w:left="106" w:right="106"/>
        <w:textAlignment w:val="baseline"/>
        <w:rPr>
          <w:rFonts w:eastAsia="Times New Roman"/>
          <w:color w:val="000000"/>
          <w:spacing w:val="3"/>
          <w:sz w:val="24"/>
        </w:rPr>
      </w:pPr>
      <w:r>
        <w:rPr>
          <w:rFonts w:eastAsia="Times New Roman"/>
          <w:color w:val="000000"/>
          <w:spacing w:val="3"/>
          <w:sz w:val="24"/>
        </w:rPr>
        <w:t>HUD 9902 Form.pdf</w:t>
      </w:r>
    </w:p>
    <w:p w:rsidR="007C25FE" w:rsidRDefault="00AB77A8">
      <w:pPr>
        <w:numPr>
          <w:ilvl w:val="0"/>
          <w:numId w:val="23"/>
        </w:numPr>
        <w:tabs>
          <w:tab w:val="left" w:pos="394"/>
        </w:tabs>
        <w:spacing w:before="122" w:line="277" w:lineRule="exact"/>
        <w:ind w:left="106" w:right="106"/>
        <w:textAlignment w:val="baseline"/>
        <w:rPr>
          <w:rFonts w:eastAsia="Times New Roman"/>
          <w:color w:val="000000"/>
          <w:spacing w:val="2"/>
          <w:sz w:val="24"/>
        </w:rPr>
      </w:pPr>
      <w:r>
        <w:rPr>
          <w:rFonts w:eastAsia="Times New Roman"/>
          <w:color w:val="000000"/>
          <w:spacing w:val="2"/>
          <w:sz w:val="24"/>
        </w:rPr>
        <w:t>FY18 CHC NOFA final.pdf</w:t>
      </w:r>
    </w:p>
    <w:p w:rsidR="007C25FE" w:rsidRDefault="00AB77A8">
      <w:pPr>
        <w:numPr>
          <w:ilvl w:val="0"/>
          <w:numId w:val="23"/>
        </w:numPr>
        <w:tabs>
          <w:tab w:val="left" w:pos="394"/>
        </w:tabs>
        <w:spacing w:before="118" w:line="277" w:lineRule="exact"/>
        <w:ind w:left="106" w:right="466"/>
        <w:textAlignment w:val="baseline"/>
        <w:rPr>
          <w:rFonts w:eastAsia="Times New Roman"/>
          <w:color w:val="000000"/>
          <w:sz w:val="24"/>
        </w:rPr>
      </w:pPr>
      <w:r>
        <w:rPr>
          <w:rFonts w:eastAsia="Times New Roman"/>
          <w:color w:val="000000"/>
          <w:sz w:val="24"/>
        </w:rPr>
        <w:t>Mandatory Chart A2 and Chart D2 Supplemental Excel Spreadsheets (for Intermediaries, SHFAs and MSOs)</w:t>
      </w:r>
    </w:p>
    <w:p w:rsidR="007C25FE" w:rsidRDefault="00AB77A8">
      <w:pPr>
        <w:spacing w:before="114" w:line="277" w:lineRule="exact"/>
        <w:ind w:left="106" w:right="250"/>
        <w:textAlignment w:val="baseline"/>
        <w:rPr>
          <w:rFonts w:eastAsia="Times New Roman"/>
          <w:b/>
          <w:color w:val="000000"/>
          <w:sz w:val="24"/>
        </w:rPr>
      </w:pPr>
      <w:r>
        <w:rPr>
          <w:rFonts w:eastAsia="Times New Roman"/>
          <w:b/>
          <w:color w:val="000000"/>
          <w:sz w:val="24"/>
        </w:rPr>
        <w:t xml:space="preserve">d. </w:t>
      </w:r>
      <w:r>
        <w:rPr>
          <w:rFonts w:eastAsia="Times New Roman"/>
          <w:color w:val="000000"/>
          <w:sz w:val="24"/>
        </w:rPr>
        <w:t>By clicking the Download Package button, the Grant Application Package (PDF document) containing the required SF424, Form 2880, and HUD-9906 charts will open (HUD-9906-L for LHCA applicants and HUD-9906-P for Intermediary/SHFA/MSO applicants). To open the Disclosure of Lobbying Activities form (SF-LLL), check the box and scroll through the Grant Application Package (PDF document) until you are at the SF-LLL, and fill in required information.</w:t>
      </w:r>
    </w:p>
    <w:p w:rsidR="007C25FE" w:rsidRDefault="00AB77A8">
      <w:pPr>
        <w:spacing w:before="116" w:after="669" w:line="277" w:lineRule="exact"/>
        <w:ind w:left="106" w:right="178"/>
        <w:textAlignment w:val="baseline"/>
        <w:rPr>
          <w:rFonts w:eastAsia="Times New Roman"/>
          <w:b/>
          <w:color w:val="000000"/>
          <w:sz w:val="24"/>
        </w:rPr>
      </w:pPr>
      <w:r>
        <w:rPr>
          <w:rFonts w:eastAsia="Times New Roman"/>
          <w:b/>
          <w:color w:val="000000"/>
          <w:sz w:val="24"/>
        </w:rPr>
        <w:t xml:space="preserve">e. </w:t>
      </w:r>
      <w:r>
        <w:rPr>
          <w:rFonts w:eastAsia="Times New Roman"/>
          <w:color w:val="000000"/>
          <w:sz w:val="24"/>
        </w:rPr>
        <w:t>To attach the forms from both the Download Instructions and Download Package tabs, check the box next to “Attachments” and scroll through the Grant Application Package (PDF) until you are at the “Attachments Form.” Click the “Add Attachment” box to attach documents and forms required for the application.</w:t>
      </w:r>
    </w:p>
    <w:p w:rsidR="007C25FE" w:rsidRDefault="007C25FE">
      <w:pPr>
        <w:spacing w:before="116" w:after="669" w:line="277" w:lineRule="exact"/>
        <w:sectPr w:rsidR="007C25FE">
          <w:pgSz w:w="12240" w:h="15840"/>
          <w:pgMar w:top="1560" w:right="1405" w:bottom="304" w:left="1378" w:header="720" w:footer="720" w:gutter="0"/>
          <w:cols w:space="720"/>
        </w:sectPr>
      </w:pPr>
    </w:p>
    <w:p w:rsidR="007C25FE" w:rsidRDefault="00AB77A8">
      <w:pPr>
        <w:spacing w:line="276" w:lineRule="exact"/>
        <w:textAlignment w:val="baseline"/>
        <w:rPr>
          <w:rFonts w:eastAsia="Times New Roman"/>
          <w:color w:val="000000"/>
          <w:spacing w:val="-18"/>
          <w:sz w:val="24"/>
        </w:rPr>
      </w:pPr>
      <w:r>
        <w:rPr>
          <w:rFonts w:eastAsia="Times New Roman"/>
          <w:color w:val="000000"/>
          <w:spacing w:val="-18"/>
          <w:sz w:val="24"/>
        </w:rPr>
        <w:t>19 of 49</w:t>
      </w:r>
    </w:p>
    <w:p w:rsidR="007C25FE" w:rsidRDefault="007C25FE">
      <w:pPr>
        <w:sectPr w:rsidR="007C25FE">
          <w:type w:val="continuous"/>
          <w:pgSz w:w="12240" w:h="15840"/>
          <w:pgMar w:top="1560" w:right="1441" w:bottom="304" w:left="10019"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9457"/>
      </w:tblGrid>
      <w:tr w:rsidR="007C25FE">
        <w:trPr>
          <w:trHeight w:hRule="exact" w:val="3206"/>
        </w:trPr>
        <w:tc>
          <w:tcPr>
            <w:tcW w:w="9457" w:type="dxa"/>
            <w:tcBorders>
              <w:top w:val="single" w:sz="5" w:space="0" w:color="CCCCCC"/>
              <w:left w:val="single" w:sz="5" w:space="0" w:color="CCCCCC"/>
              <w:bottom w:val="single" w:sz="5" w:space="0" w:color="CCCCCC"/>
              <w:right w:val="single" w:sz="5" w:space="0" w:color="CCCCCC"/>
            </w:tcBorders>
          </w:tcPr>
          <w:p w:rsidR="007C25FE" w:rsidRDefault="00AB77A8">
            <w:pPr>
              <w:spacing w:before="48" w:line="276" w:lineRule="exact"/>
              <w:ind w:left="72" w:right="504"/>
              <w:textAlignment w:val="baseline"/>
              <w:rPr>
                <w:rFonts w:eastAsia="Times New Roman"/>
                <w:b/>
                <w:color w:val="000000"/>
                <w:sz w:val="24"/>
              </w:rPr>
            </w:pPr>
            <w:r>
              <w:rPr>
                <w:rFonts w:eastAsia="Times New Roman"/>
                <w:b/>
                <w:color w:val="000000"/>
                <w:sz w:val="24"/>
              </w:rPr>
              <w:t xml:space="preserve">f. </w:t>
            </w:r>
            <w:r>
              <w:rPr>
                <w:rFonts w:eastAsia="Times New Roman"/>
                <w:color w:val="000000"/>
                <w:sz w:val="24"/>
              </w:rPr>
              <w:t>When the application is complete, you may click “Check Package for Errors” followed by “Save and Submit” when ready to submit the application.</w:t>
            </w:r>
          </w:p>
          <w:p w:rsidR="007C25FE" w:rsidRDefault="00AB77A8">
            <w:pPr>
              <w:spacing w:before="118" w:line="276" w:lineRule="exact"/>
              <w:ind w:left="72" w:right="360"/>
              <w:textAlignment w:val="baseline"/>
              <w:rPr>
                <w:rFonts w:eastAsia="Times New Roman"/>
                <w:color w:val="000000"/>
                <w:sz w:val="24"/>
              </w:rPr>
            </w:pPr>
            <w:r>
              <w:rPr>
                <w:rFonts w:eastAsia="Times New Roman"/>
                <w:color w:val="000000"/>
                <w:sz w:val="24"/>
              </w:rPr>
              <w:t xml:space="preserve">If Applicants have difficulty accessing the information, Applicants may call the help desk at (800) 518-GRANTS or </w:t>
            </w:r>
            <w:hyperlink r:id="rId27">
              <w:r>
                <w:rPr>
                  <w:rFonts w:eastAsia="Times New Roman"/>
                  <w:color w:val="0000FF"/>
                  <w:sz w:val="24"/>
                  <w:u w:val="single"/>
                </w:rPr>
                <w:t>e-mailing</w:t>
              </w:r>
            </w:hyperlink>
            <w:r>
              <w:rPr>
                <w:rFonts w:eastAsia="Times New Roman"/>
                <w:color w:val="0000FF"/>
                <w:sz w:val="24"/>
                <w:u w:val="single"/>
              </w:rPr>
              <w:t xml:space="preserve"> support@grants.gov</w:t>
            </w:r>
            <w:r>
              <w:rPr>
                <w:rFonts w:eastAsia="Times New Roman"/>
                <w:color w:val="0000EE"/>
                <w:sz w:val="24"/>
                <w:u w:val="single"/>
              </w:rPr>
              <w:t>.</w:t>
            </w:r>
            <w:r>
              <w:rPr>
                <w:rFonts w:eastAsia="Times New Roman"/>
                <w:color w:val="000000"/>
                <w:sz w:val="24"/>
              </w:rPr>
              <w:t xml:space="preserve"> Persons who are deaf or hard of hearing, or who have speech disabilities, may contact customer support through the Federal Relay Service's teletype service at 1-800-877-8339. The</w:t>
            </w:r>
            <w:r>
              <w:rPr>
                <w:rFonts w:eastAsia="Times New Roman"/>
                <w:color w:val="0000EE"/>
                <w:sz w:val="24"/>
                <w:u w:val="single"/>
              </w:rPr>
              <w:t xml:space="preserve"> </w:t>
            </w:r>
            <w:hyperlink r:id="rId28">
              <w:r>
                <w:rPr>
                  <w:rFonts w:eastAsia="Times New Roman"/>
                  <w:color w:val="0000FF"/>
                  <w:sz w:val="24"/>
                  <w:u w:val="single"/>
                </w:rPr>
                <w:t>Grants.gov</w:t>
              </w:r>
            </w:hyperlink>
            <w:r>
              <w:rPr>
                <w:rFonts w:eastAsia="Times New Roman"/>
                <w:color w:val="000000"/>
                <w:sz w:val="24"/>
              </w:rPr>
              <w:t xml:space="preserve"> help desk is available 24 hours a day, 7 days per week, except federal holidays.</w:t>
            </w:r>
          </w:p>
          <w:p w:rsidR="007C25FE" w:rsidRDefault="00AB77A8">
            <w:pPr>
              <w:spacing w:before="122" w:line="276" w:lineRule="exact"/>
              <w:ind w:left="72"/>
              <w:textAlignment w:val="baseline"/>
              <w:rPr>
                <w:rFonts w:eastAsia="Times New Roman"/>
                <w:b/>
                <w:color w:val="000000"/>
                <w:sz w:val="24"/>
              </w:rPr>
            </w:pPr>
            <w:r>
              <w:rPr>
                <w:rFonts w:eastAsia="Times New Roman"/>
                <w:b/>
                <w:color w:val="000000"/>
                <w:sz w:val="24"/>
              </w:rPr>
              <w:t xml:space="preserve">2. Waiver of Electronic Application. </w:t>
            </w:r>
            <w:r>
              <w:rPr>
                <w:rFonts w:eastAsia="Times New Roman"/>
                <w:color w:val="000000"/>
                <w:sz w:val="24"/>
              </w:rPr>
              <w:t>Waiver requests for this NOFA must be submitted</w:t>
            </w:r>
          </w:p>
          <w:p w:rsidR="007C25FE" w:rsidRDefault="00AB77A8">
            <w:pPr>
              <w:spacing w:line="274" w:lineRule="exact"/>
              <w:ind w:left="72"/>
              <w:textAlignment w:val="baseline"/>
              <w:rPr>
                <w:rFonts w:eastAsia="Times New Roman"/>
                <w:color w:val="000000"/>
                <w:sz w:val="24"/>
              </w:rPr>
            </w:pPr>
            <w:r>
              <w:rPr>
                <w:rFonts w:eastAsia="Times New Roman"/>
                <w:color w:val="000000"/>
                <w:sz w:val="24"/>
              </w:rPr>
              <w:t>to</w:t>
            </w:r>
            <w:r>
              <w:rPr>
                <w:rFonts w:eastAsia="Times New Roman"/>
                <w:color w:val="0000EE"/>
                <w:sz w:val="24"/>
                <w:u w:val="single"/>
              </w:rPr>
              <w:t xml:space="preserve"> </w:t>
            </w:r>
            <w:hyperlink r:id="rId29">
              <w:r>
                <w:rPr>
                  <w:rFonts w:eastAsia="Times New Roman"/>
                  <w:color w:val="0000FF"/>
                  <w:sz w:val="24"/>
                  <w:u w:val="single"/>
                </w:rPr>
                <w:t>housing.counseling@hud.gov</w:t>
              </w:r>
            </w:hyperlink>
            <w:r>
              <w:rPr>
                <w:rFonts w:eastAsia="Times New Roman"/>
                <w:color w:val="000000"/>
                <w:sz w:val="24"/>
              </w:rPr>
              <w:t xml:space="preserve"> with the subject line “FY 2018-FY 2019 Supplemental NOFA</w:t>
            </w:r>
          </w:p>
          <w:p w:rsidR="007C25FE" w:rsidRDefault="00AB77A8">
            <w:pPr>
              <w:spacing w:before="2" w:after="120" w:line="276" w:lineRule="exact"/>
              <w:ind w:left="72"/>
              <w:textAlignment w:val="baseline"/>
              <w:rPr>
                <w:rFonts w:eastAsia="Times New Roman"/>
                <w:color w:val="000000"/>
                <w:sz w:val="24"/>
              </w:rPr>
            </w:pPr>
            <w:r>
              <w:rPr>
                <w:rFonts w:eastAsia="Times New Roman"/>
                <w:color w:val="000000"/>
                <w:sz w:val="24"/>
              </w:rPr>
              <w:t>– Request for Waiver of Electronic Application.”</w:t>
            </w:r>
          </w:p>
        </w:tc>
      </w:tr>
    </w:tbl>
    <w:p w:rsidR="007C25FE" w:rsidRDefault="007C25FE">
      <w:pPr>
        <w:spacing w:after="422" w:line="20" w:lineRule="exact"/>
      </w:pPr>
    </w:p>
    <w:p w:rsidR="007C25FE" w:rsidRDefault="00AB77A8">
      <w:pPr>
        <w:shd w:val="solid" w:color="E0E0E0" w:fill="E0E0E0"/>
        <w:spacing w:after="36" w:line="273" w:lineRule="exact"/>
        <w:ind w:left="72"/>
        <w:textAlignment w:val="baseline"/>
        <w:rPr>
          <w:rFonts w:eastAsia="Times New Roman"/>
          <w:b/>
          <w:color w:val="000000"/>
          <w:sz w:val="24"/>
        </w:rPr>
      </w:pPr>
      <w:r>
        <w:rPr>
          <w:rFonts w:eastAsia="Times New Roman"/>
          <w:b/>
          <w:color w:val="000000"/>
          <w:sz w:val="24"/>
        </w:rPr>
        <w:t>B. Content and Form of Application Submission.</w:t>
      </w:r>
    </w:p>
    <w:p w:rsidR="007C25FE" w:rsidRDefault="00AB77A8">
      <w:pPr>
        <w:spacing w:line="276" w:lineRule="exact"/>
        <w:ind w:left="72" w:right="504"/>
        <w:textAlignment w:val="baseline"/>
        <w:rPr>
          <w:rFonts w:eastAsia="Times New Roman"/>
          <w:color w:val="000000"/>
          <w:sz w:val="24"/>
        </w:rPr>
      </w:pPr>
      <w:r>
        <w:rPr>
          <w:noProof/>
        </w:rPr>
        <mc:AlternateContent>
          <mc:Choice Requires="wps">
            <w:drawing>
              <wp:anchor distT="267970" distB="0" distL="0" distR="0" simplePos="0" relativeHeight="251621376" behindDoc="1" locked="0" layoutInCell="1" allowOverlap="1" wp14:anchorId="3C6AB474" wp14:editId="649999FC">
                <wp:simplePos x="0" y="0"/>
                <wp:positionH relativeFrom="page">
                  <wp:posOffset>871855</wp:posOffset>
                </wp:positionH>
                <wp:positionV relativeFrom="page">
                  <wp:posOffset>7226935</wp:posOffset>
                </wp:positionV>
                <wp:extent cx="6005195" cy="21336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21" w:color="CCCCCC"/>
                                <w:left w:val="single" w:sz="5" w:space="0" w:color="CCCCCC"/>
                                <w:bottom w:val="single" w:sz="5" w:space="0"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68.65pt;margin-top:569.05pt;width:472.85pt;height:16.8pt;z-index:-251695104;visibility:visible;mso-wrap-style:square;mso-width-percent:0;mso-height-percent:0;mso-wrap-distance-left:0;mso-wrap-distance-top:21.1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" filled="f" stroked="f">
                <v:textbox inset="0,0,0,0">
                  <w:txbxContent>
                    <w:p w:rsidR="007C25FE" w:rsidRDefault="007C25FE">
                      <w:pPr>
                        <w:pBdr>
                          <w:top w:val="single" w:sz="5" w:space="21" w:color="CCCCCC"/>
                          <w:left w:val="single" w:sz="5" w:space="0" w:color="CCCCCC"/>
                          <w:bottom w:val="single" w:sz="5" w:space="0" w:color="CCCCCC"/>
                          <w:right w:val="single" w:sz="5" w:space="0" w:color="CCCCCC"/>
                        </w:pBdr>
                      </w:pPr>
                    </w:p>
                  </w:txbxContent>
                </v:textbox>
                <w10:wrap type="square" anchorx="page" anchory="page"/>
              </v:shape>
            </w:pict>
          </mc:Fallback>
        </mc:AlternateContent>
      </w:r>
      <w:r>
        <w:rPr>
          <w:rFonts w:eastAsia="Times New Roman"/>
          <w:color w:val="000000"/>
          <w:sz w:val="24"/>
        </w:rPr>
        <w:t>You must verify boxes 11, 12, and 13 on the SF424 match the NOFA for which you are applying. If they do not match, you have downloaded the wrong Application Instruction and Application Package.</w:t>
      </w:r>
    </w:p>
    <w:p w:rsidR="007C25FE" w:rsidRDefault="00AB77A8">
      <w:pPr>
        <w:spacing w:before="456" w:line="276" w:lineRule="exact"/>
        <w:ind w:left="72" w:right="288"/>
        <w:textAlignment w:val="baseline"/>
        <w:rPr>
          <w:rFonts w:eastAsia="Times New Roman"/>
          <w:color w:val="000000"/>
          <w:sz w:val="24"/>
        </w:rPr>
      </w:pPr>
      <w:r>
        <w:rPr>
          <w:rFonts w:eastAsia="Times New Roman"/>
          <w:color w:val="000000"/>
          <w:sz w:val="24"/>
        </w:rPr>
        <w:t>Submission of an application that is otherwise sufficient, under the wrong CFDA and Funding Opportunity Number is a curable deficiency.</w:t>
      </w:r>
    </w:p>
    <w:p w:rsidR="007C25FE" w:rsidRDefault="00AB77A8">
      <w:pPr>
        <w:numPr>
          <w:ilvl w:val="0"/>
          <w:numId w:val="24"/>
        </w:numPr>
        <w:tabs>
          <w:tab w:val="clear" w:pos="216"/>
          <w:tab w:val="left" w:pos="288"/>
        </w:tabs>
        <w:spacing w:before="140" w:line="273" w:lineRule="exact"/>
        <w:ind w:left="72"/>
        <w:textAlignment w:val="baseline"/>
        <w:rPr>
          <w:rFonts w:eastAsia="Times New Roman"/>
          <w:b/>
          <w:color w:val="000000"/>
          <w:spacing w:val="3"/>
          <w:sz w:val="24"/>
        </w:rPr>
      </w:pPr>
      <w:r>
        <w:rPr>
          <w:rFonts w:eastAsia="Times New Roman"/>
          <w:b/>
          <w:color w:val="000000"/>
          <w:spacing w:val="3"/>
          <w:sz w:val="24"/>
        </w:rPr>
        <w:t>Content.</w:t>
      </w:r>
    </w:p>
    <w:p w:rsidR="007C25FE" w:rsidRDefault="00AB77A8">
      <w:pPr>
        <w:spacing w:line="273" w:lineRule="exact"/>
        <w:ind w:left="72"/>
        <w:textAlignment w:val="baseline"/>
        <w:rPr>
          <w:rFonts w:eastAsia="Times New Roman"/>
          <w:color w:val="000000"/>
          <w:sz w:val="24"/>
        </w:rPr>
      </w:pPr>
      <w:r>
        <w:rPr>
          <w:rFonts w:eastAsia="Times New Roman"/>
          <w:color w:val="000000"/>
          <w:sz w:val="24"/>
        </w:rPr>
        <w:t>Forms for your package include the forms outlined below:</w:t>
      </w:r>
    </w:p>
    <w:p w:rsidR="007C25FE" w:rsidRDefault="00AB77A8">
      <w:pPr>
        <w:spacing w:before="605" w:line="276" w:lineRule="exact"/>
        <w:ind w:left="72" w:right="504"/>
        <w:jc w:val="both"/>
        <w:textAlignment w:val="baseline"/>
        <w:rPr>
          <w:rFonts w:eastAsia="Times New Roman"/>
          <w:color w:val="000000"/>
          <w:sz w:val="24"/>
        </w:rPr>
      </w:pPr>
      <w:r>
        <w:rPr>
          <w:rFonts w:eastAsia="Times New Roman"/>
          <w:color w:val="000000"/>
          <w:sz w:val="24"/>
        </w:rPr>
        <w:t>Additionally, your complete application must include the following narratives and non-form attachments.</w:t>
      </w:r>
    </w:p>
    <w:p w:rsidR="007C25FE" w:rsidRDefault="00AB77A8">
      <w:pPr>
        <w:spacing w:before="73" w:line="273" w:lineRule="exact"/>
        <w:ind w:left="72"/>
        <w:textAlignment w:val="baseline"/>
        <w:rPr>
          <w:rFonts w:eastAsia="Times New Roman"/>
          <w:b/>
          <w:color w:val="000000"/>
          <w:sz w:val="24"/>
        </w:rPr>
      </w:pPr>
      <w:r>
        <w:rPr>
          <w:rFonts w:eastAsia="Times New Roman"/>
          <w:b/>
          <w:color w:val="000000"/>
          <w:sz w:val="24"/>
        </w:rPr>
        <w:t>See Application Checklist at Section IV(B)(2)(b) for a list of required content.</w:t>
      </w:r>
    </w:p>
    <w:p w:rsidR="007C25FE" w:rsidRDefault="00AB77A8">
      <w:pPr>
        <w:numPr>
          <w:ilvl w:val="0"/>
          <w:numId w:val="24"/>
        </w:numPr>
        <w:tabs>
          <w:tab w:val="clear" w:pos="216"/>
          <w:tab w:val="left" w:pos="288"/>
        </w:tabs>
        <w:spacing w:before="653" w:line="273" w:lineRule="exact"/>
        <w:ind w:left="72"/>
        <w:textAlignment w:val="baseline"/>
        <w:rPr>
          <w:rFonts w:eastAsia="Times New Roman"/>
          <w:b/>
          <w:color w:val="000000"/>
          <w:spacing w:val="1"/>
          <w:sz w:val="24"/>
        </w:rPr>
      </w:pPr>
      <w:r>
        <w:rPr>
          <w:rFonts w:eastAsia="Times New Roman"/>
          <w:b/>
          <w:color w:val="000000"/>
          <w:spacing w:val="1"/>
          <w:sz w:val="24"/>
        </w:rPr>
        <w:t>Format and Form.</w:t>
      </w:r>
    </w:p>
    <w:p w:rsidR="007C25FE" w:rsidRDefault="00AB77A8">
      <w:pPr>
        <w:spacing w:line="274" w:lineRule="exact"/>
        <w:ind w:left="72"/>
        <w:textAlignment w:val="baseline"/>
        <w:rPr>
          <w:rFonts w:eastAsia="Times New Roman"/>
          <w:color w:val="000000"/>
          <w:sz w:val="24"/>
        </w:rPr>
      </w:pPr>
      <w:r>
        <w:rPr>
          <w:rFonts w:eastAsia="Times New Roman"/>
          <w:color w:val="000000"/>
          <w:sz w:val="24"/>
        </w:rPr>
        <w:t>Narratives and other attachments to your application must follow the following format</w:t>
      </w:r>
    </w:p>
    <w:p w:rsidR="007C25FE" w:rsidRDefault="00AB77A8">
      <w:pPr>
        <w:spacing w:before="2" w:line="276" w:lineRule="exact"/>
        <w:ind w:left="72"/>
        <w:textAlignment w:val="baseline"/>
        <w:rPr>
          <w:rFonts w:eastAsia="Times New Roman"/>
          <w:color w:val="000000"/>
          <w:spacing w:val="-1"/>
          <w:sz w:val="24"/>
        </w:rPr>
      </w:pPr>
      <w:r>
        <w:rPr>
          <w:rFonts w:eastAsia="Times New Roman"/>
          <w:color w:val="000000"/>
          <w:spacing w:val="-1"/>
          <w:sz w:val="24"/>
        </w:rPr>
        <w:t>guidelines.</w:t>
      </w:r>
    </w:p>
    <w:p w:rsidR="007C25FE" w:rsidRDefault="00AB77A8">
      <w:pPr>
        <w:pBdr>
          <w:top w:val="single" w:sz="5" w:space="21" w:color="CCCCCC"/>
          <w:left w:val="single" w:sz="5" w:space="3" w:color="CCCCCC"/>
          <w:bottom w:val="single" w:sz="5" w:space="5" w:color="CCCCCC"/>
          <w:right w:val="single" w:sz="5" w:space="3" w:color="CCCCCC"/>
        </w:pBdr>
        <w:spacing w:line="276" w:lineRule="exact"/>
        <w:ind w:left="72" w:right="72"/>
        <w:textAlignment w:val="baseline"/>
        <w:rPr>
          <w:rFonts w:eastAsia="Times New Roman"/>
          <w:b/>
          <w:color w:val="000000"/>
          <w:sz w:val="24"/>
        </w:rPr>
      </w:pPr>
      <w:r>
        <w:rPr>
          <w:rFonts w:eastAsia="Times New Roman"/>
          <w:b/>
          <w:color w:val="000000"/>
          <w:sz w:val="24"/>
        </w:rPr>
        <w:t xml:space="preserve">a. Size Limitations and Format for Narrative Statements. </w:t>
      </w:r>
      <w:r>
        <w:rPr>
          <w:rFonts w:eastAsia="Times New Roman"/>
          <w:color w:val="000000"/>
          <w:sz w:val="24"/>
        </w:rPr>
        <w:t>Applicants must be as specific and direct as possible. For all Applicants, the narrative portion (responses to all Rating Factors) must not exceed 25 double-spaced, 12-point font, single-sided pages. Pages in excess of the size limit will not be read. Applicants must number the pages of their narrative statements and include on each page a header that indicates the Applicant’s name and the Rating Factor (number and title) addressed in the body of the page. For each narrative, clearly identify each sub-factor immediately above the response for that sub-factor.</w:t>
      </w:r>
    </w:p>
    <w:p w:rsidR="007C25FE" w:rsidRDefault="007C25FE">
      <w:pPr>
        <w:spacing w:before="361" w:line="288" w:lineRule="exact"/>
        <w:textAlignment w:val="baseline"/>
        <w:rPr>
          <w:rFonts w:eastAsia="Times New Roman"/>
          <w:color w:val="000000"/>
          <w:sz w:val="24"/>
        </w:rPr>
      </w:pPr>
    </w:p>
    <w:p w:rsidR="007C25FE" w:rsidRDefault="007C25FE">
      <w:pPr>
        <w:sectPr w:rsidR="007C25FE">
          <w:pgSz w:w="12240" w:h="15840"/>
          <w:pgMar w:top="1440" w:right="1410" w:bottom="304" w:left="1373" w:header="720" w:footer="720" w:gutter="0"/>
          <w:cols w:space="720"/>
        </w:sectPr>
      </w:pPr>
    </w:p>
    <w:p w:rsidR="007C25FE" w:rsidRDefault="00AB77A8">
      <w:pPr>
        <w:spacing w:line="276" w:lineRule="exact"/>
        <w:textAlignment w:val="baseline"/>
        <w:rPr>
          <w:rFonts w:eastAsia="Times New Roman"/>
          <w:color w:val="000000"/>
          <w:spacing w:val="-13"/>
          <w:sz w:val="24"/>
        </w:rPr>
      </w:pPr>
      <w:r>
        <w:rPr>
          <w:rFonts w:eastAsia="Times New Roman"/>
          <w:color w:val="000000"/>
          <w:spacing w:val="-13"/>
          <w:sz w:val="24"/>
        </w:rPr>
        <w:t>20 of 49</w:t>
      </w:r>
    </w:p>
    <w:p w:rsidR="007C25FE" w:rsidRDefault="007C25FE">
      <w:pPr>
        <w:sectPr w:rsidR="007C25FE">
          <w:type w:val="continuous"/>
          <w:pgSz w:w="12240" w:h="15840"/>
          <w:pgMar w:top="1440" w:right="1437" w:bottom="304" w:left="10003" w:header="720" w:footer="720" w:gutter="0"/>
          <w:cols w:space="720"/>
        </w:sectPr>
      </w:pPr>
    </w:p>
    <w:p w:rsidR="007C25FE" w:rsidRDefault="00AB77A8">
      <w:pPr>
        <w:spacing w:before="62" w:line="276" w:lineRule="exact"/>
        <w:ind w:left="106" w:right="1330"/>
        <w:textAlignment w:val="baseline"/>
        <w:rPr>
          <w:rFonts w:eastAsia="Times New Roman"/>
          <w:b/>
          <w:color w:val="000000"/>
          <w:sz w:val="24"/>
        </w:rPr>
      </w:pPr>
      <w:r>
        <w:rPr>
          <w:noProof/>
        </w:rPr>
        <mc:AlternateContent>
          <mc:Choice Requires="wps">
            <w:drawing>
              <wp:anchor distT="0" distB="314960" distL="0" distR="0" simplePos="0" relativeHeight="251622400" behindDoc="1" locked="0" layoutInCell="1" allowOverlap="1" wp14:anchorId="73B53C33" wp14:editId="0AD360B3">
                <wp:simplePos x="0" y="0"/>
                <wp:positionH relativeFrom="page">
                  <wp:posOffset>875030</wp:posOffset>
                </wp:positionH>
                <wp:positionV relativeFrom="page">
                  <wp:posOffset>914400</wp:posOffset>
                </wp:positionV>
                <wp:extent cx="6005195" cy="820229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20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4"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left:0;text-align:left;margin-left:68.9pt;margin-top:1in;width:472.85pt;height:645.85pt;z-index:-251694080;visibility:visible;mso-wrap-style:square;mso-width-percent:0;mso-height-percent:0;mso-wrap-distance-left:0;mso-wrap-distance-top:0;mso-wrap-distance-right:0;mso-wrap-distance-bottom:24.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" filled="f" stroked="f">
                <v:textbox inset="0,0,0,0">
                  <w:txbxContent>
                    <w:p w:rsidR="007C25FE" w:rsidRDefault="007C25FE">
                      <w:pPr>
                        <w:pBdr>
                          <w:top w:val="single" w:sz="5" w:space="0" w:color="CCCCCC"/>
                          <w:left w:val="single" w:sz="5" w:space="0" w:color="CCCCCC"/>
                          <w:bottom w:val="single" w:sz="5" w:space="24" w:color="CCCCCC"/>
                          <w:right w:val="single" w:sz="5" w:space="0" w:color="CCCCCC"/>
                        </w:pBdr>
                      </w:pPr>
                    </w:p>
                  </w:txbxContent>
                </v:textbox>
                <w10:wrap anchorx="page" anchory="page"/>
              </v:shape>
            </w:pict>
          </mc:Fallback>
        </mc:AlternateContent>
      </w:r>
      <w:r>
        <w:rPr>
          <w:rFonts w:eastAsia="Times New Roman"/>
          <w:b/>
          <w:color w:val="000000"/>
          <w:sz w:val="24"/>
        </w:rPr>
        <w:t xml:space="preserve">b. Application Checklist. </w:t>
      </w:r>
      <w:r>
        <w:rPr>
          <w:rFonts w:eastAsia="Times New Roman"/>
          <w:color w:val="000000"/>
          <w:sz w:val="24"/>
        </w:rPr>
        <w:t>The Application Checklist indicates forms, information, certifications and assurances that apply to this NOFA.</w:t>
      </w:r>
    </w:p>
    <w:p w:rsidR="007C25FE" w:rsidRDefault="00AB77A8">
      <w:pPr>
        <w:numPr>
          <w:ilvl w:val="0"/>
          <w:numId w:val="25"/>
        </w:numPr>
        <w:tabs>
          <w:tab w:val="clear" w:pos="360"/>
          <w:tab w:val="left" w:pos="466"/>
        </w:tabs>
        <w:spacing w:before="127" w:line="275" w:lineRule="exact"/>
        <w:ind w:left="106" w:right="106"/>
        <w:textAlignment w:val="baseline"/>
        <w:rPr>
          <w:rFonts w:eastAsia="Times New Roman"/>
          <w:b/>
          <w:color w:val="000000"/>
          <w:spacing w:val="-1"/>
          <w:sz w:val="24"/>
        </w:rPr>
      </w:pPr>
      <w:r>
        <w:rPr>
          <w:rFonts w:eastAsia="Times New Roman"/>
          <w:b/>
          <w:color w:val="000000"/>
          <w:spacing w:val="-1"/>
          <w:sz w:val="24"/>
        </w:rPr>
        <w:t xml:space="preserve">SF-424, Application for Federal Assistance. NOTE: </w:t>
      </w:r>
      <w:r>
        <w:rPr>
          <w:rFonts w:eastAsia="Times New Roman"/>
          <w:color w:val="000000"/>
          <w:spacing w:val="-1"/>
          <w:sz w:val="24"/>
        </w:rPr>
        <w:t>In block 8.d of the form, you must include a 9 digit number for your organization’s zip code (zip plus 4 digits). Please be sure to check your DUNS identifier and ensure that it is listed on</w:t>
      </w:r>
      <w:r>
        <w:rPr>
          <w:rFonts w:eastAsia="Times New Roman"/>
          <w:color w:val="0000EE"/>
          <w:spacing w:val="-1"/>
          <w:sz w:val="24"/>
          <w:u w:val="single"/>
        </w:rPr>
        <w:t xml:space="preserve"> </w:t>
      </w:r>
      <w:hyperlink r:id="rId30">
        <w:r>
          <w:rPr>
            <w:rFonts w:eastAsia="Times New Roman"/>
            <w:color w:val="0000FF"/>
            <w:spacing w:val="-1"/>
            <w:sz w:val="24"/>
            <w:u w:val="single"/>
          </w:rPr>
          <w:t>SAM.gov</w:t>
        </w:r>
      </w:hyperlink>
      <w:r>
        <w:rPr>
          <w:rFonts w:eastAsia="Times New Roman"/>
          <w:color w:val="000000"/>
          <w:spacing w:val="-1"/>
          <w:sz w:val="24"/>
        </w:rPr>
        <w:t xml:space="preserve"> with an active registration. Confirm that the person submitting the application has an ID and password for the</w:t>
      </w:r>
      <w:r>
        <w:rPr>
          <w:rFonts w:eastAsia="Times New Roman"/>
          <w:color w:val="0000EE"/>
          <w:spacing w:val="-1"/>
          <w:sz w:val="24"/>
          <w:u w:val="single"/>
        </w:rPr>
        <w:t xml:space="preserve"> </w:t>
      </w:r>
      <w:hyperlink r:id="rId31">
        <w:r>
          <w:rPr>
            <w:rFonts w:eastAsia="Times New Roman"/>
            <w:color w:val="0000FF"/>
            <w:spacing w:val="-1"/>
            <w:sz w:val="24"/>
            <w:u w:val="single"/>
          </w:rPr>
          <w:t>Grants.gov</w:t>
        </w:r>
      </w:hyperlink>
      <w:r>
        <w:rPr>
          <w:rFonts w:eastAsia="Times New Roman"/>
          <w:color w:val="000000"/>
          <w:spacing w:val="-1"/>
          <w:sz w:val="24"/>
        </w:rPr>
        <w:t xml:space="preserve">  system and has been authorized to submit the Application on behalf of the Applicant organization named in box 8a.of the SF-424 by the eBiz Point of Contact listed in the</w:t>
      </w:r>
      <w:r>
        <w:rPr>
          <w:rFonts w:eastAsia="Times New Roman"/>
          <w:color w:val="0000EE"/>
          <w:spacing w:val="-1"/>
          <w:sz w:val="24"/>
          <w:u w:val="single"/>
        </w:rPr>
        <w:t xml:space="preserve"> </w:t>
      </w:r>
      <w:hyperlink r:id="rId32">
        <w:r>
          <w:rPr>
            <w:rFonts w:eastAsia="Times New Roman"/>
            <w:color w:val="0000FF"/>
            <w:spacing w:val="-1"/>
            <w:sz w:val="24"/>
            <w:u w:val="single"/>
          </w:rPr>
          <w:t>SAM.gov</w:t>
        </w:r>
      </w:hyperlink>
      <w:r>
        <w:rPr>
          <w:rFonts w:eastAsia="Times New Roman"/>
          <w:color w:val="000000"/>
          <w:spacing w:val="-1"/>
          <w:sz w:val="24"/>
        </w:rPr>
        <w:t xml:space="preserve">  registration for the Applicant organization. Applicants are not required to request a specific grant amount, but should enter a response of $1.00 in line 18a. Applicants may leave lines 4, 5a, and 5b blank. Applicants should check "new" for Question 2 for "Type of Application."</w:t>
      </w:r>
    </w:p>
    <w:p w:rsidR="007C25FE" w:rsidRDefault="00AB77A8">
      <w:pPr>
        <w:numPr>
          <w:ilvl w:val="0"/>
          <w:numId w:val="25"/>
        </w:numPr>
        <w:tabs>
          <w:tab w:val="clear" w:pos="360"/>
          <w:tab w:val="left" w:pos="466"/>
        </w:tabs>
        <w:spacing w:before="120" w:line="278" w:lineRule="exact"/>
        <w:ind w:left="106" w:right="106"/>
        <w:textAlignment w:val="baseline"/>
        <w:rPr>
          <w:rFonts w:eastAsia="Times New Roman"/>
          <w:b/>
          <w:color w:val="000000"/>
          <w:sz w:val="24"/>
        </w:rPr>
      </w:pPr>
      <w:r>
        <w:rPr>
          <w:rFonts w:eastAsia="Times New Roman"/>
          <w:b/>
          <w:color w:val="000000"/>
          <w:sz w:val="24"/>
        </w:rPr>
        <w:t xml:space="preserve">SF-LLL, Disclosure of Lobbying Activities. </w:t>
      </w:r>
      <w:r>
        <w:rPr>
          <w:rFonts w:eastAsia="Times New Roman"/>
          <w:color w:val="000000"/>
          <w:sz w:val="24"/>
        </w:rPr>
        <w:t>(Complete if applicable).</w:t>
      </w:r>
    </w:p>
    <w:p w:rsidR="007C25FE" w:rsidRDefault="00AB77A8">
      <w:pPr>
        <w:numPr>
          <w:ilvl w:val="0"/>
          <w:numId w:val="25"/>
        </w:numPr>
        <w:tabs>
          <w:tab w:val="clear" w:pos="360"/>
          <w:tab w:val="left" w:pos="466"/>
        </w:tabs>
        <w:spacing w:before="120" w:line="276" w:lineRule="exact"/>
        <w:ind w:left="106" w:right="250"/>
        <w:textAlignment w:val="baseline"/>
        <w:rPr>
          <w:rFonts w:eastAsia="Times New Roman"/>
          <w:b/>
          <w:color w:val="000000"/>
          <w:sz w:val="24"/>
        </w:rPr>
      </w:pPr>
      <w:r>
        <w:rPr>
          <w:rFonts w:eastAsia="Times New Roman"/>
          <w:b/>
          <w:color w:val="000000"/>
          <w:sz w:val="24"/>
        </w:rPr>
        <w:t xml:space="preserve">HUD-50153, Certification of Consistency with Promise Zone Goals and Implementation. </w:t>
      </w:r>
      <w:r>
        <w:rPr>
          <w:rFonts w:eastAsia="Times New Roman"/>
          <w:color w:val="000000"/>
          <w:sz w:val="24"/>
        </w:rPr>
        <w:t>This form is not required for Applicants that do not meet the criteria for preference points - Promise Zones. This form must be signed by the authorized official for the designated Promise Zone.</w:t>
      </w:r>
    </w:p>
    <w:p w:rsidR="007C25FE" w:rsidRDefault="00AB77A8">
      <w:pPr>
        <w:numPr>
          <w:ilvl w:val="0"/>
          <w:numId w:val="25"/>
        </w:numPr>
        <w:tabs>
          <w:tab w:val="clear" w:pos="360"/>
          <w:tab w:val="left" w:pos="466"/>
        </w:tabs>
        <w:spacing w:before="128" w:line="275" w:lineRule="exact"/>
        <w:ind w:left="106" w:right="106"/>
        <w:textAlignment w:val="baseline"/>
        <w:rPr>
          <w:rFonts w:eastAsia="Times New Roman"/>
          <w:b/>
          <w:color w:val="000000"/>
          <w:sz w:val="24"/>
        </w:rPr>
      </w:pPr>
      <w:r>
        <w:rPr>
          <w:rFonts w:eastAsia="Times New Roman"/>
          <w:b/>
          <w:color w:val="000000"/>
          <w:sz w:val="24"/>
        </w:rPr>
        <w:t xml:space="preserve">HUD-9902, Housing Counseling Agency Fiscal Year Activity Report, for the Period October 1, 2016 through September 30, 2017. </w:t>
      </w:r>
      <w:r>
        <w:rPr>
          <w:rFonts w:eastAsia="Times New Roman"/>
          <w:color w:val="000000"/>
          <w:sz w:val="24"/>
        </w:rPr>
        <w:t>This form is required for newly-approved applicants (i.e., applicants that received approval as a HUD housing counseling agency after September 30, 2017) who have not submitted a form HUD-9902 covering the period October 1, 2016 through September 30, 2017. Applicants that were previously required to submit a HUD-9902 will be evaluated based on the data in HUD's Housing Counseling System (HCS). It is the responsibility of these Applicants to ensure that the HUD-9902 data attributed to the Applicant in HCS is correct prior to the application due date.</w:t>
      </w:r>
    </w:p>
    <w:p w:rsidR="007C25FE" w:rsidRDefault="00AB77A8">
      <w:pPr>
        <w:numPr>
          <w:ilvl w:val="0"/>
          <w:numId w:val="25"/>
        </w:numPr>
        <w:tabs>
          <w:tab w:val="clear" w:pos="360"/>
          <w:tab w:val="left" w:pos="466"/>
        </w:tabs>
        <w:spacing w:before="126" w:line="275" w:lineRule="exact"/>
        <w:ind w:left="106" w:right="250"/>
        <w:textAlignment w:val="baseline"/>
        <w:rPr>
          <w:rFonts w:eastAsia="Times New Roman"/>
          <w:b/>
          <w:color w:val="000000"/>
          <w:sz w:val="24"/>
        </w:rPr>
      </w:pPr>
      <w:r>
        <w:rPr>
          <w:rFonts w:eastAsia="Times New Roman"/>
          <w:b/>
          <w:color w:val="000000"/>
          <w:sz w:val="24"/>
        </w:rPr>
        <w:t>SHFA Statutory Authority</w:t>
      </w:r>
      <w:r>
        <w:rPr>
          <w:rFonts w:eastAsia="Times New Roman"/>
          <w:color w:val="000000"/>
          <w:sz w:val="24"/>
        </w:rPr>
        <w:t>. SHFAs must submit evidence of their statutory authority to operate as a SHFA, as defined in this NOFA, and must submit evidence of their authority to apply for funds and subsequently use any funds awarded. Applicants should verify that their agency profile information is accurately represented in HUD’s Housing Counseling System (HCS) and validate the information prior to submitting the grant application. HUD will contact SHFA Applicants that are new to the program to establish their profiles in the HCS.</w:t>
      </w:r>
    </w:p>
    <w:p w:rsidR="007C25FE" w:rsidRDefault="00AB77A8">
      <w:pPr>
        <w:numPr>
          <w:ilvl w:val="0"/>
          <w:numId w:val="25"/>
        </w:numPr>
        <w:tabs>
          <w:tab w:val="clear" w:pos="360"/>
          <w:tab w:val="left" w:pos="466"/>
        </w:tabs>
        <w:spacing w:before="126" w:line="275" w:lineRule="exact"/>
        <w:ind w:left="106" w:right="106"/>
        <w:textAlignment w:val="baseline"/>
        <w:rPr>
          <w:rFonts w:eastAsia="Times New Roman"/>
          <w:b/>
          <w:color w:val="000000"/>
          <w:spacing w:val="1"/>
          <w:sz w:val="24"/>
        </w:rPr>
      </w:pPr>
      <w:r>
        <w:rPr>
          <w:rFonts w:eastAsia="Times New Roman"/>
          <w:b/>
          <w:color w:val="000000"/>
          <w:spacing w:val="1"/>
          <w:sz w:val="24"/>
        </w:rPr>
        <w:t xml:space="preserve">Organization Description. </w:t>
      </w:r>
      <w:r>
        <w:rPr>
          <w:rFonts w:eastAsia="Times New Roman"/>
          <w:color w:val="000000"/>
          <w:spacing w:val="1"/>
          <w:sz w:val="24"/>
        </w:rPr>
        <w:t>Applicants must provide a brief description of their organization of no more than 225 words. This description will appear in the press release issued by HUD announcing the grant awards in the event that the Applicant is funded through this NOFA. Each description should contain: organizational history, purpose and mission, years of service, affordable housing services provided, and agency web address for additional information.</w:t>
      </w:r>
    </w:p>
    <w:p w:rsidR="007C25FE" w:rsidRDefault="00AB77A8">
      <w:pPr>
        <w:numPr>
          <w:ilvl w:val="0"/>
          <w:numId w:val="25"/>
        </w:numPr>
        <w:tabs>
          <w:tab w:val="clear" w:pos="360"/>
          <w:tab w:val="left" w:pos="466"/>
        </w:tabs>
        <w:spacing w:before="123" w:line="275" w:lineRule="exact"/>
        <w:ind w:left="106" w:right="322"/>
        <w:textAlignment w:val="baseline"/>
        <w:rPr>
          <w:rFonts w:eastAsia="Times New Roman"/>
          <w:b/>
          <w:color w:val="000000"/>
          <w:sz w:val="24"/>
        </w:rPr>
      </w:pPr>
      <w:r>
        <w:rPr>
          <w:rFonts w:eastAsia="Times New Roman"/>
          <w:b/>
          <w:color w:val="000000"/>
          <w:sz w:val="24"/>
        </w:rPr>
        <w:t xml:space="preserve">External Audits and Investigations. </w:t>
      </w:r>
      <w:r>
        <w:rPr>
          <w:rFonts w:eastAsia="Times New Roman"/>
          <w:color w:val="000000"/>
          <w:sz w:val="24"/>
        </w:rPr>
        <w:t>Applicants must provide the most recent audit of financial activities (e.g. a single or program-specific audit required under 2 C.F.R. Part 200.501) with completed audit no earlier than its fiscal year 2015. All Applicants not required to complete a single or program-specific audit under 2 C.F.R. Part 200.501 must submit their most recent independent financial audit.</w:t>
      </w:r>
    </w:p>
    <w:p w:rsidR="007C25FE" w:rsidRDefault="00AB77A8">
      <w:pPr>
        <w:numPr>
          <w:ilvl w:val="0"/>
          <w:numId w:val="25"/>
        </w:numPr>
        <w:tabs>
          <w:tab w:val="clear" w:pos="360"/>
          <w:tab w:val="left" w:pos="466"/>
        </w:tabs>
        <w:spacing w:before="120" w:after="524" w:line="276" w:lineRule="exact"/>
        <w:ind w:left="106" w:right="322"/>
        <w:textAlignment w:val="baseline"/>
        <w:rPr>
          <w:rFonts w:eastAsia="Times New Roman"/>
          <w:b/>
          <w:color w:val="000000"/>
          <w:spacing w:val="-2"/>
          <w:sz w:val="24"/>
        </w:rPr>
      </w:pPr>
      <w:r>
        <w:rPr>
          <w:rFonts w:eastAsia="Times New Roman"/>
          <w:b/>
          <w:color w:val="000000"/>
          <w:spacing w:val="-2"/>
          <w:sz w:val="24"/>
        </w:rPr>
        <w:t xml:space="preserve">HUD-9906 Housing Counseling Charts. </w:t>
      </w:r>
      <w:r>
        <w:rPr>
          <w:rFonts w:eastAsia="Times New Roman"/>
          <w:color w:val="000000"/>
          <w:spacing w:val="-2"/>
          <w:sz w:val="24"/>
        </w:rPr>
        <w:t>Applicants must provide completed HUD-9906 Housing Counseling Charts as a required part of their application submission. The charts must</w:t>
      </w:r>
    </w:p>
    <w:p w:rsidR="007C25FE" w:rsidRDefault="007C25FE">
      <w:pPr>
        <w:spacing w:before="120" w:after="524" w:line="276" w:lineRule="exact"/>
        <w:sectPr w:rsidR="007C25FE">
          <w:pgSz w:w="12240" w:h="15840"/>
          <w:pgMar w:top="1440" w:right="1405" w:bottom="304" w:left="1378" w:header="720" w:footer="720" w:gutter="0"/>
          <w:cols w:space="720"/>
        </w:sectPr>
      </w:pPr>
    </w:p>
    <w:p w:rsidR="007C25FE" w:rsidRDefault="00AB77A8">
      <w:pPr>
        <w:spacing w:before="1" w:line="275" w:lineRule="exact"/>
        <w:textAlignment w:val="baseline"/>
        <w:rPr>
          <w:rFonts w:eastAsia="Times New Roman"/>
          <w:color w:val="000000"/>
          <w:spacing w:val="-13"/>
          <w:sz w:val="24"/>
        </w:rPr>
      </w:pPr>
      <w:r>
        <w:rPr>
          <w:rFonts w:eastAsia="Times New Roman"/>
          <w:color w:val="000000"/>
          <w:spacing w:val="-13"/>
          <w:sz w:val="24"/>
        </w:rPr>
        <w:t>21 of 49</w:t>
      </w:r>
    </w:p>
    <w:p w:rsidR="007C25FE" w:rsidRDefault="007C25FE">
      <w:pPr>
        <w:sectPr w:rsidR="007C25FE">
          <w:type w:val="continuous"/>
          <w:pgSz w:w="12240" w:h="15840"/>
          <w:pgMar w:top="1440" w:right="1441" w:bottom="304" w:left="9999" w:header="720" w:footer="720" w:gutter="0"/>
          <w:cols w:space="720"/>
        </w:sectPr>
      </w:pPr>
    </w:p>
    <w:p w:rsidR="007C25FE" w:rsidRDefault="00AB77A8">
      <w:pPr>
        <w:spacing w:before="62" w:line="276" w:lineRule="exact"/>
        <w:ind w:left="106" w:right="178"/>
        <w:textAlignment w:val="baseline"/>
        <w:rPr>
          <w:rFonts w:eastAsia="Times New Roman"/>
          <w:color w:val="000000"/>
          <w:sz w:val="24"/>
        </w:rPr>
      </w:pPr>
      <w:r>
        <w:rPr>
          <w:noProof/>
        </w:rPr>
        <mc:AlternateContent>
          <mc:Choice Requires="wps">
            <w:drawing>
              <wp:anchor distT="0" distB="530860" distL="0" distR="0" simplePos="0" relativeHeight="251623424" behindDoc="1" locked="0" layoutInCell="1" allowOverlap="1" wp14:anchorId="6A31635B" wp14:editId="03BD79F9">
                <wp:simplePos x="0" y="0"/>
                <wp:positionH relativeFrom="page">
                  <wp:posOffset>871855</wp:posOffset>
                </wp:positionH>
                <wp:positionV relativeFrom="page">
                  <wp:posOffset>914400</wp:posOffset>
                </wp:positionV>
                <wp:extent cx="6005195" cy="386461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86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9"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68.65pt;margin-top:1in;width:472.85pt;height:304.3pt;z-index:-251693056;visibility:visible;mso-wrap-style:square;mso-width-percent:0;mso-height-percent:0;mso-wrap-distance-left:0;mso-wrap-distance-top:0;mso-wrap-distance-right:0;mso-wrap-distance-bottom:41.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" filled="f" stroked="f">
                <v:textbox inset="0,0,0,0">
                  <w:txbxContent>
                    <w:p w:rsidR="007C25FE" w:rsidRDefault="007C25FE">
                      <w:pPr>
                        <w:pBdr>
                          <w:top w:val="single" w:sz="5" w:space="0" w:color="CCCCCC"/>
                          <w:left w:val="single" w:sz="5" w:space="0" w:color="CCCCCC"/>
                          <w:bottom w:val="single" w:sz="5" w:space="9" w:color="CCCCCC"/>
                          <w:right w:val="single" w:sz="5" w:space="0" w:color="CCCCCC"/>
                        </w:pBdr>
                      </w:pPr>
                    </w:p>
                  </w:txbxContent>
                </v:textbox>
                <w10:wrap anchorx="page" anchory="page"/>
              </v:shape>
            </w:pict>
          </mc:Fallback>
        </mc:AlternateContent>
      </w:r>
      <w:r>
        <w:rPr>
          <w:rFonts w:eastAsia="Times New Roman"/>
          <w:color w:val="000000"/>
          <w:sz w:val="24"/>
        </w:rPr>
        <w:t>be completed in their entirety in order for Applicants to receive full points. Applicant’s name and location will auto-populate onto the HUD-9906 charts from the Applicant’s SF-424. Please be advised that there are multiple components (i.e., Chart A, Chart B, etc.) that comprise the 9906 charts.</w:t>
      </w:r>
    </w:p>
    <w:p w:rsidR="007C25FE" w:rsidRDefault="00AB77A8">
      <w:pPr>
        <w:spacing w:before="120" w:line="276" w:lineRule="exact"/>
        <w:ind w:left="106" w:right="178"/>
        <w:textAlignment w:val="baseline"/>
        <w:rPr>
          <w:rFonts w:eastAsia="Times New Roman"/>
          <w:color w:val="000000"/>
          <w:spacing w:val="-2"/>
          <w:sz w:val="24"/>
        </w:rPr>
      </w:pPr>
      <w:r>
        <w:rPr>
          <w:rFonts w:eastAsia="Times New Roman"/>
          <w:color w:val="000000"/>
          <w:spacing w:val="-2"/>
          <w:sz w:val="24"/>
        </w:rPr>
        <w:t>LHCA applicants must provide the HUD-9906-L. Intermediary/SHFA/MSO applicants must provide the HUD-9906-P, along with mandatory Excel spreadsheets for Chart A2 and Chart D2.</w:t>
      </w:r>
    </w:p>
    <w:p w:rsidR="007C25FE" w:rsidRDefault="00AB77A8">
      <w:pPr>
        <w:numPr>
          <w:ilvl w:val="0"/>
          <w:numId w:val="26"/>
        </w:numPr>
        <w:tabs>
          <w:tab w:val="clear" w:pos="360"/>
          <w:tab w:val="left" w:pos="466"/>
        </w:tabs>
        <w:spacing w:before="119" w:line="276" w:lineRule="exact"/>
        <w:ind w:left="106" w:right="178"/>
        <w:textAlignment w:val="baseline"/>
        <w:rPr>
          <w:rFonts w:eastAsia="Times New Roman"/>
          <w:b/>
          <w:color w:val="000000"/>
          <w:sz w:val="24"/>
        </w:rPr>
      </w:pPr>
      <w:r>
        <w:rPr>
          <w:rFonts w:eastAsia="Times New Roman"/>
          <w:b/>
          <w:color w:val="000000"/>
          <w:sz w:val="24"/>
        </w:rPr>
        <w:t>Narrative Statement</w:t>
      </w:r>
      <w:r>
        <w:rPr>
          <w:rFonts w:eastAsia="Times New Roman"/>
          <w:color w:val="000000"/>
          <w:sz w:val="24"/>
        </w:rPr>
        <w:t xml:space="preserve">. Applicants must provide narrative statements responding to specific questions in this NOFA, including the data requested in the HUD-9906 </w:t>
      </w:r>
      <w:r>
        <w:rPr>
          <w:rFonts w:eastAsia="Times New Roman"/>
          <w:b/>
          <w:color w:val="000000"/>
          <w:sz w:val="24"/>
        </w:rPr>
        <w:t>Housing Counseling Charts</w:t>
      </w:r>
      <w:r>
        <w:rPr>
          <w:rFonts w:eastAsia="Times New Roman"/>
          <w:color w:val="000000"/>
          <w:sz w:val="24"/>
        </w:rPr>
        <w:t>.</w:t>
      </w:r>
    </w:p>
    <w:p w:rsidR="007C25FE" w:rsidRDefault="00AB77A8">
      <w:pPr>
        <w:numPr>
          <w:ilvl w:val="0"/>
          <w:numId w:val="26"/>
        </w:numPr>
        <w:tabs>
          <w:tab w:val="left" w:pos="538"/>
        </w:tabs>
        <w:spacing w:before="119" w:line="276" w:lineRule="exact"/>
        <w:ind w:left="106" w:right="394"/>
        <w:textAlignment w:val="baseline"/>
        <w:rPr>
          <w:rFonts w:eastAsia="Times New Roman"/>
          <w:b/>
          <w:color w:val="000000"/>
          <w:sz w:val="24"/>
        </w:rPr>
      </w:pPr>
      <w:r>
        <w:rPr>
          <w:rFonts w:eastAsia="Times New Roman"/>
          <w:b/>
          <w:color w:val="000000"/>
          <w:sz w:val="24"/>
        </w:rPr>
        <w:t xml:space="preserve">HUD-2880 Applicant/Recipient Disclosure/Update Report. </w:t>
      </w:r>
      <w:r>
        <w:rPr>
          <w:rFonts w:eastAsia="Times New Roman"/>
          <w:color w:val="000000"/>
          <w:sz w:val="24"/>
        </w:rPr>
        <w:t>All entities applying for HUD funding must complete the HUD-2880. Applicants should check the box "Initial</w:t>
      </w:r>
    </w:p>
    <w:p w:rsidR="007C25FE" w:rsidRDefault="00AB77A8">
      <w:pPr>
        <w:spacing w:before="2" w:after="970" w:line="276" w:lineRule="exact"/>
        <w:ind w:left="106" w:right="178"/>
        <w:textAlignment w:val="baseline"/>
        <w:rPr>
          <w:rFonts w:eastAsia="Times New Roman"/>
          <w:color w:val="000000"/>
          <w:sz w:val="24"/>
        </w:rPr>
      </w:pPr>
      <w:r>
        <w:rPr>
          <w:rFonts w:eastAsia="Times New Roman"/>
          <w:color w:val="000000"/>
          <w:sz w:val="24"/>
        </w:rPr>
        <w:t>Report." On line 4, "Amount of HUD Assistance Requested/Received" of this form, Applicants may enter $1.00. The amount entered on this line will not be used by HUD as a cap in establishing the maximum grant amount for the applicant (applicants who choose to indicate a maximum grant amount may do so in the "Actual Expenses" portion of the HUD-9906). Please note that regardless of the amount listed in line 4, applicants that have received or expect to receive HUD assistance for housing counseling in excess of $200,000 during FY 2018 must select "yes" under the second question in "Part I Threshold Determinations," and complete the remainder of the form. Detailed instructions for completing the form are found at this link:</w:t>
      </w:r>
      <w:r>
        <w:rPr>
          <w:rFonts w:eastAsia="Times New Roman"/>
          <w:color w:val="0000EE"/>
          <w:sz w:val="24"/>
          <w:u w:val="single"/>
        </w:rPr>
        <w:t xml:space="preserve"> http ://</w:t>
      </w:r>
      <w:hyperlink r:id="rId33">
        <w:r>
          <w:rPr>
            <w:rFonts w:eastAsia="Times New Roman"/>
            <w:color w:val="0000FF"/>
            <w:sz w:val="24"/>
            <w:u w:val="single"/>
          </w:rPr>
          <w:t>portal.hud.gov/hudportal/documents/huddoc?id=2880.pdf</w:t>
        </w:r>
      </w:hyperlink>
      <w:r>
        <w:rPr>
          <w:rFonts w:eastAsia="Times New Roman"/>
          <w:color w:val="0000EE"/>
          <w:sz w:val="24"/>
        </w:rPr>
        <w:t xml:space="preserve"> </w:t>
      </w:r>
    </w:p>
    <w:p w:rsidR="007C25FE" w:rsidRDefault="00AB77A8">
      <w:pPr>
        <w:shd w:val="solid" w:color="E0E0E0" w:fill="E0E0E0"/>
        <w:spacing w:after="40" w:line="274" w:lineRule="exact"/>
        <w:ind w:left="72" w:right="144"/>
        <w:jc w:val="both"/>
        <w:textAlignment w:val="baseline"/>
        <w:rPr>
          <w:rFonts w:eastAsia="Times New Roman"/>
          <w:b/>
          <w:color w:val="000000"/>
          <w:sz w:val="24"/>
        </w:rPr>
      </w:pPr>
      <w:r>
        <w:rPr>
          <w:rFonts w:eastAsia="Times New Roman"/>
          <w:b/>
          <w:color w:val="000000"/>
          <w:sz w:val="24"/>
        </w:rPr>
        <w:t>C. System for Award Management (SAM) and Dun and Bradstreet Universal Numbering System (DUNS) Number.</w:t>
      </w:r>
    </w:p>
    <w:p w:rsidR="007C25FE" w:rsidRDefault="00AB77A8">
      <w:pPr>
        <w:numPr>
          <w:ilvl w:val="0"/>
          <w:numId w:val="27"/>
        </w:numPr>
        <w:tabs>
          <w:tab w:val="clear" w:pos="216"/>
          <w:tab w:val="left" w:pos="288"/>
        </w:tabs>
        <w:spacing w:before="3" w:line="274" w:lineRule="exact"/>
        <w:ind w:left="72"/>
        <w:textAlignment w:val="baseline"/>
        <w:rPr>
          <w:rFonts w:eastAsia="Times New Roman"/>
          <w:b/>
          <w:color w:val="000000"/>
          <w:spacing w:val="1"/>
          <w:sz w:val="24"/>
        </w:rPr>
      </w:pPr>
      <w:r>
        <w:rPr>
          <w:rFonts w:eastAsia="Times New Roman"/>
          <w:b/>
          <w:color w:val="000000"/>
          <w:spacing w:val="1"/>
          <w:sz w:val="24"/>
        </w:rPr>
        <w:t>SAM Registration Requirement</w:t>
      </w:r>
    </w:p>
    <w:p w:rsidR="007C25FE" w:rsidRDefault="00AB77A8">
      <w:pPr>
        <w:spacing w:before="1" w:line="276" w:lineRule="exact"/>
        <w:ind w:left="72" w:right="288"/>
        <w:textAlignment w:val="baseline"/>
        <w:rPr>
          <w:rFonts w:eastAsia="Times New Roman"/>
          <w:color w:val="000000"/>
          <w:sz w:val="24"/>
        </w:rPr>
      </w:pPr>
      <w:r>
        <w:rPr>
          <w:rFonts w:eastAsia="Times New Roman"/>
          <w:color w:val="000000"/>
          <w:sz w:val="24"/>
        </w:rPr>
        <w:t>Applicants must be registered with SAM before submitting their application. In addition, applicants must maintain an active SAM registration with current information while they have an active Federal award or an application or plan under consideration by HUD.</w:t>
      </w:r>
    </w:p>
    <w:p w:rsidR="007C25FE" w:rsidRDefault="00AB77A8">
      <w:pPr>
        <w:numPr>
          <w:ilvl w:val="0"/>
          <w:numId w:val="27"/>
        </w:numPr>
        <w:tabs>
          <w:tab w:val="clear" w:pos="216"/>
          <w:tab w:val="left" w:pos="288"/>
        </w:tabs>
        <w:spacing w:before="1" w:line="274" w:lineRule="exact"/>
        <w:ind w:left="72"/>
        <w:textAlignment w:val="baseline"/>
        <w:rPr>
          <w:rFonts w:eastAsia="Times New Roman"/>
          <w:b/>
          <w:color w:val="000000"/>
          <w:spacing w:val="1"/>
          <w:sz w:val="24"/>
        </w:rPr>
      </w:pPr>
      <w:r>
        <w:rPr>
          <w:rFonts w:eastAsia="Times New Roman"/>
          <w:b/>
          <w:color w:val="000000"/>
          <w:spacing w:val="1"/>
          <w:sz w:val="24"/>
        </w:rPr>
        <w:t>DUNS Number Requirement.</w:t>
      </w:r>
    </w:p>
    <w:p w:rsidR="007C25FE" w:rsidRDefault="00AB77A8">
      <w:pPr>
        <w:spacing w:before="1" w:line="276" w:lineRule="exact"/>
        <w:ind w:left="72"/>
        <w:textAlignment w:val="baseline"/>
        <w:rPr>
          <w:rFonts w:eastAsia="Times New Roman"/>
          <w:color w:val="000000"/>
          <w:sz w:val="24"/>
        </w:rPr>
      </w:pPr>
      <w:r>
        <w:rPr>
          <w:rFonts w:eastAsia="Times New Roman"/>
          <w:color w:val="000000"/>
          <w:sz w:val="24"/>
        </w:rPr>
        <w:t>Applicants must provide a valid DUNS number, registered and active at SAM, in the</w:t>
      </w:r>
    </w:p>
    <w:p w:rsidR="007C25FE" w:rsidRDefault="00AB77A8">
      <w:pPr>
        <w:spacing w:line="274" w:lineRule="exact"/>
        <w:ind w:left="72"/>
        <w:textAlignment w:val="baseline"/>
        <w:rPr>
          <w:rFonts w:eastAsia="Times New Roman"/>
          <w:color w:val="000000"/>
          <w:sz w:val="24"/>
        </w:rPr>
      </w:pPr>
      <w:r>
        <w:rPr>
          <w:rFonts w:eastAsia="Times New Roman"/>
          <w:color w:val="000000"/>
          <w:sz w:val="24"/>
        </w:rPr>
        <w:t>application. DUNS numbers may be obtained for free from</w:t>
      </w:r>
      <w:r>
        <w:rPr>
          <w:rFonts w:eastAsia="Times New Roman"/>
          <w:color w:val="0000EE"/>
          <w:sz w:val="24"/>
          <w:u w:val="single"/>
        </w:rPr>
        <w:t xml:space="preserve"> Dun &amp; Bradstreet.</w:t>
      </w:r>
    </w:p>
    <w:p w:rsidR="007C25FE" w:rsidRDefault="00AB77A8">
      <w:pPr>
        <w:numPr>
          <w:ilvl w:val="0"/>
          <w:numId w:val="27"/>
        </w:numPr>
        <w:tabs>
          <w:tab w:val="clear" w:pos="216"/>
          <w:tab w:val="left" w:pos="288"/>
        </w:tabs>
        <w:spacing w:before="5" w:line="274" w:lineRule="exact"/>
        <w:ind w:left="72"/>
        <w:textAlignment w:val="baseline"/>
        <w:rPr>
          <w:rFonts w:eastAsia="Times New Roman"/>
          <w:b/>
          <w:color w:val="000000"/>
          <w:sz w:val="24"/>
        </w:rPr>
      </w:pPr>
      <w:r>
        <w:rPr>
          <w:rFonts w:eastAsia="Times New Roman"/>
          <w:b/>
          <w:color w:val="000000"/>
          <w:sz w:val="24"/>
        </w:rPr>
        <w:t xml:space="preserve">Requirement to Register with </w:t>
      </w:r>
      <w:hyperlink r:id="rId34">
        <w:r>
          <w:rPr>
            <w:rFonts w:eastAsia="Times New Roman"/>
            <w:b/>
            <w:color w:val="0000FF"/>
            <w:sz w:val="24"/>
            <w:u w:val="single"/>
          </w:rPr>
          <w:t>Grants.gov</w:t>
        </w:r>
      </w:hyperlink>
      <w:r>
        <w:rPr>
          <w:rFonts w:eastAsia="Times New Roman"/>
          <w:b/>
          <w:color w:val="000000"/>
          <w:sz w:val="24"/>
        </w:rPr>
        <w:t>.</w:t>
      </w:r>
    </w:p>
    <w:p w:rsidR="007C25FE" w:rsidRDefault="00AB77A8">
      <w:pPr>
        <w:spacing w:line="275" w:lineRule="exact"/>
        <w:ind w:left="72" w:right="216"/>
        <w:textAlignment w:val="baseline"/>
        <w:rPr>
          <w:rFonts w:eastAsia="Times New Roman"/>
          <w:color w:val="000000"/>
          <w:sz w:val="24"/>
        </w:rPr>
      </w:pPr>
      <w:r>
        <w:rPr>
          <w:rFonts w:eastAsia="Times New Roman"/>
          <w:color w:val="000000"/>
          <w:sz w:val="24"/>
        </w:rPr>
        <w:t xml:space="preserve">Anyone planning to submit applications on behalf of an organization must register at </w:t>
      </w:r>
      <w:hyperlink r:id="rId35">
        <w:r>
          <w:rPr>
            <w:rFonts w:eastAsia="Times New Roman"/>
            <w:color w:val="0000FF"/>
            <w:sz w:val="24"/>
            <w:u w:val="single"/>
          </w:rPr>
          <w:t>Grants.gov</w:t>
        </w:r>
      </w:hyperlink>
      <w:r>
        <w:rPr>
          <w:rFonts w:eastAsia="Times New Roman"/>
          <w:color w:val="000000"/>
          <w:sz w:val="24"/>
        </w:rPr>
        <w:t xml:space="preserve"> and be approved by the EBiz Point of Contact in SAM to submit applications for the organization.</w:t>
      </w:r>
    </w:p>
    <w:p w:rsidR="007C25FE" w:rsidRDefault="00AB77A8">
      <w:pPr>
        <w:spacing w:after="533" w:line="276" w:lineRule="exact"/>
        <w:ind w:left="72" w:right="144"/>
        <w:textAlignment w:val="baseline"/>
        <w:rPr>
          <w:rFonts w:eastAsia="Times New Roman"/>
          <w:color w:val="000000"/>
          <w:sz w:val="24"/>
        </w:rPr>
      </w:pPr>
      <w:r>
        <w:rPr>
          <w:rFonts w:eastAsia="Times New Roman"/>
          <w:color w:val="000000"/>
          <w:sz w:val="24"/>
        </w:rPr>
        <w:t xml:space="preserve">Registration for SAM and </w:t>
      </w:r>
      <w:hyperlink r:id="rId36">
        <w:r>
          <w:rPr>
            <w:rFonts w:eastAsia="Times New Roman"/>
            <w:color w:val="0000FF"/>
            <w:sz w:val="24"/>
            <w:u w:val="single"/>
          </w:rPr>
          <w:t>Grants.gov</w:t>
        </w:r>
      </w:hyperlink>
      <w:r>
        <w:rPr>
          <w:rFonts w:eastAsia="Times New Roman"/>
          <w:color w:val="000000"/>
          <w:sz w:val="24"/>
        </w:rPr>
        <w:t xml:space="preserve"> is a multi-step process and can take four (4) weeks or longer to complete if data issues arise. Applicants without a valid registration cannot submit an application through </w:t>
      </w:r>
      <w:hyperlink r:id="rId37">
        <w:r>
          <w:rPr>
            <w:rFonts w:eastAsia="Times New Roman"/>
            <w:color w:val="0000FF"/>
            <w:sz w:val="24"/>
            <w:u w:val="single"/>
          </w:rPr>
          <w:t>Grants.gov</w:t>
        </w:r>
      </w:hyperlink>
      <w:r>
        <w:rPr>
          <w:rFonts w:eastAsia="Times New Roman"/>
          <w:color w:val="000000"/>
          <w:sz w:val="24"/>
        </w:rPr>
        <w:t xml:space="preserve">. Complete registration instructions and guidance are provided at </w:t>
      </w:r>
      <w:hyperlink r:id="rId38">
        <w:r>
          <w:rPr>
            <w:rFonts w:eastAsia="Times New Roman"/>
            <w:color w:val="0000FF"/>
            <w:sz w:val="24"/>
            <w:u w:val="single"/>
          </w:rPr>
          <w:t>Grants.gov</w:t>
        </w:r>
      </w:hyperlink>
      <w:r>
        <w:rPr>
          <w:rFonts w:eastAsia="Times New Roman"/>
          <w:color w:val="000000"/>
          <w:sz w:val="24"/>
        </w:rPr>
        <w:t>. See also Section IV.B for necessary form and content information.</w:t>
      </w:r>
    </w:p>
    <w:p w:rsidR="007C25FE" w:rsidRDefault="00AB77A8">
      <w:pPr>
        <w:shd w:val="solid" w:color="E0E0E0" w:fill="E0E0E0"/>
        <w:spacing w:after="29" w:line="274" w:lineRule="exact"/>
        <w:ind w:left="72"/>
        <w:textAlignment w:val="baseline"/>
        <w:rPr>
          <w:rFonts w:eastAsia="Times New Roman"/>
          <w:b/>
          <w:color w:val="000000"/>
          <w:sz w:val="24"/>
        </w:rPr>
      </w:pPr>
      <w:r>
        <w:rPr>
          <w:rFonts w:eastAsia="Times New Roman"/>
          <w:b/>
          <w:color w:val="000000"/>
          <w:sz w:val="24"/>
        </w:rPr>
        <w:t>D. Application Submission Dates and Times.</w:t>
      </w:r>
    </w:p>
    <w:p w:rsidR="007C25FE" w:rsidRDefault="00AB77A8">
      <w:pPr>
        <w:shd w:val="solid" w:color="FFB2B2" w:fill="FFB2B2"/>
        <w:spacing w:line="276" w:lineRule="exact"/>
        <w:ind w:left="72"/>
        <w:textAlignment w:val="baseline"/>
        <w:rPr>
          <w:rFonts w:eastAsia="Times New Roman"/>
          <w:color w:val="000000"/>
          <w:sz w:val="24"/>
        </w:rPr>
      </w:pPr>
      <w:r>
        <w:rPr>
          <w:rFonts w:eastAsia="Times New Roman"/>
          <w:color w:val="000000"/>
          <w:sz w:val="24"/>
        </w:rPr>
        <w:t>The application deadline is 11:59:59 p.m. Eastern time on . Applications must be received no</w:t>
      </w:r>
    </w:p>
    <w:p w:rsidR="007C25FE" w:rsidRDefault="007C25FE">
      <w:pPr>
        <w:spacing w:before="207" w:line="288" w:lineRule="exact"/>
        <w:textAlignment w:val="baseline"/>
        <w:rPr>
          <w:rFonts w:eastAsia="Times New Roman"/>
          <w:color w:val="000000"/>
          <w:sz w:val="24"/>
        </w:rPr>
      </w:pPr>
    </w:p>
    <w:p w:rsidR="007C25FE" w:rsidRDefault="007C25FE">
      <w:pPr>
        <w:sectPr w:rsidR="007C25FE">
          <w:pgSz w:w="12240" w:h="15840"/>
          <w:pgMar w:top="1440" w:right="1410" w:bottom="304" w:left="1373" w:header="720" w:footer="720" w:gutter="0"/>
          <w:cols w:space="720"/>
        </w:sectPr>
      </w:pPr>
    </w:p>
    <w:p w:rsidR="007C25FE" w:rsidRDefault="00AB77A8">
      <w:pPr>
        <w:spacing w:line="276" w:lineRule="exact"/>
        <w:textAlignment w:val="baseline"/>
        <w:rPr>
          <w:rFonts w:eastAsia="Times New Roman"/>
          <w:color w:val="000000"/>
          <w:spacing w:val="-13"/>
          <w:sz w:val="24"/>
        </w:rPr>
      </w:pPr>
      <w:r>
        <w:rPr>
          <w:rFonts w:eastAsia="Times New Roman"/>
          <w:color w:val="000000"/>
          <w:spacing w:val="-13"/>
          <w:sz w:val="24"/>
        </w:rPr>
        <w:t>22 of 49</w:t>
      </w:r>
    </w:p>
    <w:p w:rsidR="007C25FE" w:rsidRDefault="007C25FE">
      <w:pPr>
        <w:sectPr w:rsidR="007C25FE">
          <w:type w:val="continuous"/>
          <w:pgSz w:w="12240" w:h="15840"/>
          <w:pgMar w:top="1440" w:right="1441" w:bottom="304" w:left="9999" w:header="720" w:footer="720" w:gutter="0"/>
          <w:cols w:space="720"/>
        </w:sectPr>
      </w:pPr>
    </w:p>
    <w:p w:rsidR="007C25FE" w:rsidRDefault="00AB77A8">
      <w:pPr>
        <w:shd w:val="solid" w:color="FFB2B2" w:fill="FFB2B2"/>
        <w:spacing w:after="127" w:line="273" w:lineRule="exact"/>
        <w:ind w:left="72"/>
        <w:textAlignment w:val="baseline"/>
        <w:rPr>
          <w:rFonts w:eastAsia="Times New Roman"/>
          <w:color w:val="000000"/>
          <w:sz w:val="24"/>
        </w:rPr>
      </w:pPr>
      <w:r>
        <w:rPr>
          <w:rFonts w:eastAsia="Times New Roman"/>
          <w:color w:val="000000"/>
          <w:sz w:val="24"/>
        </w:rPr>
        <w:t>later than the deadline.</w:t>
      </w:r>
    </w:p>
    <w:p w:rsidR="007C25FE" w:rsidRDefault="00AB77A8">
      <w:pPr>
        <w:spacing w:line="276" w:lineRule="exact"/>
        <w:ind w:left="72" w:right="288"/>
        <w:textAlignment w:val="baseline"/>
        <w:rPr>
          <w:rFonts w:eastAsia="Times New Roman"/>
          <w:color w:val="000000"/>
          <w:sz w:val="24"/>
        </w:rPr>
      </w:pPr>
      <w:r>
        <w:rPr>
          <w:rFonts w:eastAsia="Times New Roman"/>
          <w:color w:val="000000"/>
          <w:sz w:val="24"/>
        </w:rPr>
        <w:t xml:space="preserve">Submit your application to </w:t>
      </w:r>
      <w:hyperlink r:id="rId39">
        <w:r>
          <w:rPr>
            <w:rFonts w:eastAsia="Times New Roman"/>
            <w:color w:val="0000FF"/>
            <w:sz w:val="24"/>
            <w:u w:val="single"/>
          </w:rPr>
          <w:t>Grants.gov</w:t>
        </w:r>
      </w:hyperlink>
      <w:r>
        <w:rPr>
          <w:rFonts w:eastAsia="Times New Roman"/>
          <w:color w:val="000000"/>
          <w:sz w:val="24"/>
        </w:rPr>
        <w:t xml:space="preserve"> unless a waiver has been issued allowing you to submit your application in paper form. Instructions for submitting your paper application will be contained in the waiver of electronic submission.</w:t>
      </w:r>
    </w:p>
    <w:p w:rsidR="007C25FE" w:rsidRDefault="00AB77A8">
      <w:pPr>
        <w:spacing w:before="276" w:line="276" w:lineRule="exact"/>
        <w:ind w:left="72" w:right="216"/>
        <w:textAlignment w:val="baseline"/>
        <w:rPr>
          <w:rFonts w:eastAsia="Times New Roman"/>
          <w:color w:val="000000"/>
          <w:sz w:val="24"/>
        </w:rPr>
      </w:pPr>
      <w:r>
        <w:rPr>
          <w:rFonts w:eastAsia="Times New Roman"/>
          <w:color w:val="000000"/>
          <w:sz w:val="24"/>
        </w:rPr>
        <w:t xml:space="preserve">“Received by </w:t>
      </w:r>
      <w:hyperlink r:id="rId40">
        <w:r>
          <w:rPr>
            <w:rFonts w:eastAsia="Times New Roman"/>
            <w:color w:val="0000FF"/>
            <w:sz w:val="24"/>
            <w:u w:val="single"/>
          </w:rPr>
          <w:t>Grants.gov</w:t>
        </w:r>
      </w:hyperlink>
      <w:r>
        <w:rPr>
          <w:rFonts w:eastAsia="Times New Roman"/>
          <w:color w:val="000000"/>
          <w:sz w:val="24"/>
        </w:rPr>
        <w:t xml:space="preserve">” means the applicant received a confirmation of receipt and an application tracking number from </w:t>
      </w:r>
      <w:hyperlink r:id="rId41">
        <w:r>
          <w:rPr>
            <w:rFonts w:eastAsia="Times New Roman"/>
            <w:color w:val="0000FF"/>
            <w:sz w:val="24"/>
            <w:u w:val="single"/>
          </w:rPr>
          <w:t>Grants.gov</w:t>
        </w:r>
      </w:hyperlink>
      <w:r>
        <w:rPr>
          <w:rFonts w:eastAsia="Times New Roman"/>
          <w:color w:val="000000"/>
          <w:sz w:val="24"/>
        </w:rPr>
        <w:t xml:space="preserve">. Then </w:t>
      </w:r>
      <w:hyperlink r:id="rId42">
        <w:r>
          <w:rPr>
            <w:rFonts w:eastAsia="Times New Roman"/>
            <w:color w:val="0000FF"/>
            <w:sz w:val="24"/>
            <w:u w:val="single"/>
          </w:rPr>
          <w:t>Grants.gov</w:t>
        </w:r>
      </w:hyperlink>
      <w:r>
        <w:rPr>
          <w:rFonts w:eastAsia="Times New Roman"/>
          <w:color w:val="000000"/>
          <w:sz w:val="24"/>
        </w:rPr>
        <w:t xml:space="preserve"> assigns an application tracking number and </w:t>
      </w:r>
      <w:r>
        <w:rPr>
          <w:rFonts w:eastAsia="Times New Roman"/>
          <w:b/>
          <w:color w:val="000000"/>
          <w:sz w:val="24"/>
        </w:rPr>
        <w:t xml:space="preserve">date-and time-stamps </w:t>
      </w:r>
      <w:r>
        <w:rPr>
          <w:rFonts w:eastAsia="Times New Roman"/>
          <w:color w:val="000000"/>
          <w:sz w:val="24"/>
        </w:rPr>
        <w:t xml:space="preserve">each application upon successful receipt by the </w:t>
      </w:r>
      <w:hyperlink r:id="rId43">
        <w:r>
          <w:rPr>
            <w:rFonts w:eastAsia="Times New Roman"/>
            <w:color w:val="0000FF"/>
            <w:sz w:val="24"/>
            <w:u w:val="single"/>
          </w:rPr>
          <w:t>Grants.gov</w:t>
        </w:r>
      </w:hyperlink>
      <w:r>
        <w:rPr>
          <w:rFonts w:eastAsia="Times New Roman"/>
          <w:color w:val="000000"/>
          <w:sz w:val="24"/>
        </w:rPr>
        <w:t xml:space="preserve"> system. A submission attempt not resulting in confirmation of receipt and an application tracking number is not considered received by </w:t>
      </w:r>
      <w:hyperlink r:id="rId44">
        <w:r>
          <w:rPr>
            <w:rFonts w:eastAsia="Times New Roman"/>
            <w:color w:val="0000FF"/>
            <w:sz w:val="24"/>
            <w:u w:val="single"/>
          </w:rPr>
          <w:t>Grants.gov</w:t>
        </w:r>
      </w:hyperlink>
      <w:r>
        <w:rPr>
          <w:rFonts w:eastAsia="Times New Roman"/>
          <w:color w:val="000000"/>
          <w:sz w:val="24"/>
        </w:rPr>
        <w:t>.</w:t>
      </w:r>
    </w:p>
    <w:p w:rsidR="007C25FE" w:rsidRDefault="00AB77A8">
      <w:pPr>
        <w:spacing w:before="278" w:line="276" w:lineRule="exact"/>
        <w:ind w:left="72" w:right="72"/>
        <w:textAlignment w:val="baseline"/>
        <w:rPr>
          <w:rFonts w:eastAsia="Times New Roman"/>
          <w:color w:val="000000"/>
          <w:spacing w:val="1"/>
          <w:sz w:val="24"/>
        </w:rPr>
      </w:pPr>
      <w:r>
        <w:rPr>
          <w:rFonts w:eastAsia="Times New Roman"/>
          <w:color w:val="000000"/>
          <w:spacing w:val="1"/>
          <w:sz w:val="24"/>
        </w:rPr>
        <w:t xml:space="preserve">Applications received by </w:t>
      </w:r>
      <w:hyperlink r:id="rId45">
        <w:r>
          <w:rPr>
            <w:rFonts w:eastAsia="Times New Roman"/>
            <w:color w:val="0000FF"/>
            <w:spacing w:val="1"/>
            <w:sz w:val="24"/>
            <w:u w:val="single"/>
          </w:rPr>
          <w:t>Grants.gov</w:t>
        </w:r>
      </w:hyperlink>
      <w:r>
        <w:rPr>
          <w:rFonts w:eastAsia="Times New Roman"/>
          <w:color w:val="000000"/>
          <w:spacing w:val="1"/>
          <w:sz w:val="24"/>
        </w:rPr>
        <w:t xml:space="preserve"> must be validated by </w:t>
      </w:r>
      <w:hyperlink r:id="rId46">
        <w:r>
          <w:rPr>
            <w:rFonts w:eastAsia="Times New Roman"/>
            <w:color w:val="0000FF"/>
            <w:spacing w:val="1"/>
            <w:sz w:val="24"/>
            <w:u w:val="single"/>
          </w:rPr>
          <w:t>Grants.gov</w:t>
        </w:r>
      </w:hyperlink>
      <w:r>
        <w:rPr>
          <w:rFonts w:eastAsia="Times New Roman"/>
          <w:color w:val="000000"/>
          <w:spacing w:val="1"/>
          <w:sz w:val="24"/>
        </w:rPr>
        <w:t xml:space="preserve"> to be received by HUD. “Validated by </w:t>
      </w:r>
      <w:hyperlink r:id="rId47">
        <w:r>
          <w:rPr>
            <w:rFonts w:eastAsia="Times New Roman"/>
            <w:color w:val="0000FF"/>
            <w:spacing w:val="1"/>
            <w:sz w:val="24"/>
            <w:u w:val="single"/>
          </w:rPr>
          <w:t>Grants.gov</w:t>
        </w:r>
      </w:hyperlink>
      <w:r>
        <w:rPr>
          <w:rFonts w:eastAsia="Times New Roman"/>
          <w:color w:val="000000"/>
          <w:spacing w:val="1"/>
          <w:sz w:val="24"/>
        </w:rPr>
        <w:t xml:space="preserve">” means the application has been accepted and was not rejected with errors. You can track the status of your application by logging into </w:t>
      </w:r>
      <w:hyperlink r:id="rId48">
        <w:r>
          <w:rPr>
            <w:rFonts w:eastAsia="Times New Roman"/>
            <w:color w:val="0000FF"/>
            <w:spacing w:val="1"/>
            <w:sz w:val="24"/>
            <w:u w:val="single"/>
          </w:rPr>
          <w:t>Grants.gov</w:t>
        </w:r>
      </w:hyperlink>
      <w:r>
        <w:rPr>
          <w:rFonts w:eastAsia="Times New Roman"/>
          <w:color w:val="000000"/>
          <w:spacing w:val="1"/>
          <w:sz w:val="24"/>
        </w:rPr>
        <w:t xml:space="preserve">, selecting “Applicants” from the top navigation, and selecting “Track my application” from the dropdown list. If the application status is “rejected with errors,” you must correct the error(s) and resubmit the application before the 24-hour grace period ends. Applications in “rejected with errors” status after the 24-hour grace period expires will not be received by HUD. Visit </w:t>
      </w:r>
      <w:hyperlink r:id="rId49">
        <w:r>
          <w:rPr>
            <w:rFonts w:eastAsia="Times New Roman"/>
            <w:color w:val="0000FF"/>
            <w:spacing w:val="1"/>
            <w:sz w:val="24"/>
            <w:u w:val="single"/>
          </w:rPr>
          <w:t>Grants.gov</w:t>
        </w:r>
      </w:hyperlink>
      <w:r>
        <w:rPr>
          <w:rFonts w:eastAsia="Times New Roman"/>
          <w:color w:val="000000"/>
          <w:spacing w:val="1"/>
          <w:sz w:val="24"/>
        </w:rPr>
        <w:t xml:space="preserve"> for a complete description of processing steps after submitting an application.</w:t>
      </w:r>
    </w:p>
    <w:p w:rsidR="007C25FE" w:rsidRDefault="00AB77A8">
      <w:pPr>
        <w:spacing w:before="279" w:line="274" w:lineRule="exact"/>
        <w:ind w:left="72"/>
        <w:textAlignment w:val="baseline"/>
        <w:rPr>
          <w:rFonts w:eastAsia="Times New Roman"/>
          <w:color w:val="000000"/>
          <w:sz w:val="24"/>
        </w:rPr>
      </w:pPr>
      <w:r>
        <w:rPr>
          <w:rFonts w:eastAsia="Times New Roman"/>
          <w:color w:val="000000"/>
          <w:sz w:val="24"/>
        </w:rPr>
        <w:t xml:space="preserve">HUD strongly recommends applications be submitted at least </w:t>
      </w:r>
      <w:r>
        <w:rPr>
          <w:rFonts w:eastAsia="Times New Roman"/>
          <w:b/>
          <w:color w:val="000000"/>
          <w:sz w:val="24"/>
        </w:rPr>
        <w:t>48 hours before the</w:t>
      </w:r>
    </w:p>
    <w:p w:rsidR="007C25FE" w:rsidRDefault="00AB77A8">
      <w:pPr>
        <w:spacing w:line="274" w:lineRule="exact"/>
        <w:ind w:left="72"/>
        <w:textAlignment w:val="baseline"/>
        <w:rPr>
          <w:rFonts w:eastAsia="Times New Roman"/>
          <w:b/>
          <w:color w:val="000000"/>
          <w:sz w:val="24"/>
        </w:rPr>
      </w:pPr>
      <w:r>
        <w:rPr>
          <w:rFonts w:eastAsia="Times New Roman"/>
          <w:b/>
          <w:color w:val="000000"/>
          <w:sz w:val="24"/>
        </w:rPr>
        <w:t xml:space="preserve">deadline </w:t>
      </w:r>
      <w:r>
        <w:rPr>
          <w:rFonts w:eastAsia="Times New Roman"/>
          <w:color w:val="000000"/>
          <w:sz w:val="24"/>
        </w:rPr>
        <w:t>and during regular business hours to allow enough time to correct errors or overcome</w:t>
      </w:r>
    </w:p>
    <w:p w:rsidR="007C25FE" w:rsidRDefault="00AB77A8">
      <w:pPr>
        <w:spacing w:before="4" w:line="273" w:lineRule="exact"/>
        <w:ind w:left="72"/>
        <w:textAlignment w:val="baseline"/>
        <w:rPr>
          <w:rFonts w:eastAsia="Times New Roman"/>
          <w:color w:val="000000"/>
          <w:spacing w:val="-1"/>
          <w:sz w:val="24"/>
        </w:rPr>
      </w:pPr>
      <w:r>
        <w:rPr>
          <w:rFonts w:eastAsia="Times New Roman"/>
          <w:color w:val="000000"/>
          <w:spacing w:val="-1"/>
          <w:sz w:val="24"/>
        </w:rPr>
        <w:t>other problems.</w:t>
      </w:r>
    </w:p>
    <w:p w:rsidR="007C25FE" w:rsidRDefault="00AB77A8">
      <w:pPr>
        <w:spacing w:before="278" w:line="274" w:lineRule="exact"/>
        <w:ind w:left="72" w:right="720"/>
        <w:textAlignment w:val="baseline"/>
        <w:rPr>
          <w:rFonts w:eastAsia="Times New Roman"/>
          <w:color w:val="000000"/>
          <w:spacing w:val="-1"/>
          <w:sz w:val="24"/>
        </w:rPr>
      </w:pPr>
      <w:r>
        <w:rPr>
          <w:rFonts w:eastAsia="Times New Roman"/>
          <w:color w:val="000000"/>
          <w:spacing w:val="-1"/>
          <w:sz w:val="24"/>
        </w:rPr>
        <w:t xml:space="preserve">You can verify the contents of your submitted application to confirm </w:t>
      </w:r>
      <w:hyperlink r:id="rId50">
        <w:r>
          <w:rPr>
            <w:rFonts w:eastAsia="Times New Roman"/>
            <w:color w:val="0000FF"/>
            <w:spacing w:val="-1"/>
            <w:sz w:val="24"/>
            <w:u w:val="single"/>
          </w:rPr>
          <w:t>Grants.gov</w:t>
        </w:r>
      </w:hyperlink>
      <w:r>
        <w:rPr>
          <w:rFonts w:eastAsia="Times New Roman"/>
          <w:color w:val="000000"/>
          <w:spacing w:val="-1"/>
          <w:sz w:val="24"/>
        </w:rPr>
        <w:t xml:space="preserve"> received everything you intended to submit. To verify the contents of your submitted application:</w:t>
      </w:r>
    </w:p>
    <w:p w:rsidR="007C25FE" w:rsidRDefault="00AB77A8">
      <w:pPr>
        <w:numPr>
          <w:ilvl w:val="0"/>
          <w:numId w:val="9"/>
        </w:numPr>
        <w:tabs>
          <w:tab w:val="clear" w:pos="216"/>
          <w:tab w:val="left" w:pos="864"/>
        </w:tabs>
        <w:spacing w:before="631" w:line="300" w:lineRule="exact"/>
        <w:ind w:left="864" w:hanging="216"/>
        <w:textAlignment w:val="baseline"/>
        <w:rPr>
          <w:rFonts w:eastAsia="Times New Roman"/>
          <w:color w:val="000000"/>
          <w:spacing w:val="-2"/>
          <w:sz w:val="24"/>
        </w:rPr>
      </w:pPr>
      <w:r>
        <w:rPr>
          <w:rFonts w:eastAsia="Times New Roman"/>
          <w:color w:val="000000"/>
          <w:spacing w:val="-2"/>
          <w:sz w:val="24"/>
        </w:rPr>
        <w:t xml:space="preserve">Log in to </w:t>
      </w:r>
      <w:hyperlink r:id="rId51">
        <w:r>
          <w:rPr>
            <w:rFonts w:eastAsia="Times New Roman"/>
            <w:color w:val="0000FF"/>
            <w:spacing w:val="-2"/>
            <w:sz w:val="24"/>
            <w:u w:val="single"/>
          </w:rPr>
          <w:t>Grants.gov</w:t>
        </w:r>
      </w:hyperlink>
      <w:r>
        <w:rPr>
          <w:rFonts w:eastAsia="Times New Roman"/>
          <w:color w:val="000000"/>
          <w:spacing w:val="-2"/>
          <w:sz w:val="24"/>
        </w:rPr>
        <w:t>.</w:t>
      </w:r>
    </w:p>
    <w:p w:rsidR="007C25FE" w:rsidRDefault="00AB77A8">
      <w:pPr>
        <w:numPr>
          <w:ilvl w:val="0"/>
          <w:numId w:val="9"/>
        </w:numPr>
        <w:tabs>
          <w:tab w:val="clear" w:pos="216"/>
          <w:tab w:val="left" w:pos="864"/>
        </w:tabs>
        <w:spacing w:before="17" w:line="274" w:lineRule="exact"/>
        <w:ind w:left="864" w:right="432" w:hanging="216"/>
        <w:textAlignment w:val="baseline"/>
        <w:rPr>
          <w:rFonts w:eastAsia="Times New Roman"/>
          <w:color w:val="000000"/>
          <w:sz w:val="24"/>
        </w:rPr>
      </w:pPr>
      <w:r>
        <w:rPr>
          <w:rFonts w:eastAsia="Times New Roman"/>
          <w:color w:val="000000"/>
          <w:sz w:val="24"/>
        </w:rPr>
        <w:t>Click the Check Application Status link, which appears under the Grant Applications heading in the Applicant Center page. This will take you to the Check Application Status page.</w:t>
      </w:r>
    </w:p>
    <w:p w:rsidR="007C25FE" w:rsidRDefault="00AB77A8">
      <w:pPr>
        <w:numPr>
          <w:ilvl w:val="0"/>
          <w:numId w:val="9"/>
        </w:numPr>
        <w:tabs>
          <w:tab w:val="clear" w:pos="216"/>
          <w:tab w:val="left" w:pos="864"/>
        </w:tabs>
        <w:spacing w:line="297" w:lineRule="exact"/>
        <w:ind w:left="864" w:hanging="216"/>
        <w:textAlignment w:val="baseline"/>
        <w:rPr>
          <w:rFonts w:eastAsia="Times New Roman"/>
          <w:color w:val="000000"/>
          <w:sz w:val="24"/>
        </w:rPr>
      </w:pPr>
      <w:r>
        <w:rPr>
          <w:rFonts w:eastAsia="Times New Roman"/>
          <w:color w:val="000000"/>
          <w:sz w:val="24"/>
        </w:rPr>
        <w:t>Enter search criteria and a date range to narrow your search results.</w:t>
      </w:r>
    </w:p>
    <w:p w:rsidR="007C25FE" w:rsidRDefault="00AB77A8">
      <w:pPr>
        <w:numPr>
          <w:ilvl w:val="0"/>
          <w:numId w:val="9"/>
        </w:numPr>
        <w:tabs>
          <w:tab w:val="clear" w:pos="216"/>
          <w:tab w:val="left" w:pos="864"/>
        </w:tabs>
        <w:spacing w:before="15" w:line="276" w:lineRule="exact"/>
        <w:ind w:left="864" w:right="576" w:hanging="216"/>
        <w:textAlignment w:val="baseline"/>
        <w:rPr>
          <w:rFonts w:eastAsia="Times New Roman"/>
          <w:color w:val="000000"/>
          <w:sz w:val="24"/>
        </w:rPr>
      </w:pPr>
      <w:r>
        <w:rPr>
          <w:rFonts w:eastAsia="Times New Roman"/>
          <w:color w:val="000000"/>
          <w:sz w:val="24"/>
        </w:rPr>
        <w:t>Click the Search button. To review your search results in Microsoft Excel, click the Export Data button.</w:t>
      </w:r>
    </w:p>
    <w:p w:rsidR="007C25FE" w:rsidRDefault="00AB77A8">
      <w:pPr>
        <w:numPr>
          <w:ilvl w:val="0"/>
          <w:numId w:val="9"/>
        </w:numPr>
        <w:tabs>
          <w:tab w:val="clear" w:pos="216"/>
          <w:tab w:val="left" w:pos="864"/>
        </w:tabs>
        <w:spacing w:line="297" w:lineRule="exact"/>
        <w:ind w:left="864" w:hanging="216"/>
        <w:textAlignment w:val="baseline"/>
        <w:rPr>
          <w:rFonts w:eastAsia="Times New Roman"/>
          <w:color w:val="000000"/>
          <w:spacing w:val="-2"/>
          <w:sz w:val="24"/>
        </w:rPr>
      </w:pPr>
      <w:r>
        <w:rPr>
          <w:rFonts w:eastAsia="Times New Roman"/>
          <w:color w:val="000000"/>
          <w:spacing w:val="-2"/>
          <w:sz w:val="24"/>
        </w:rPr>
        <w:t>Review the Status column.</w:t>
      </w:r>
    </w:p>
    <w:p w:rsidR="007C25FE" w:rsidRDefault="00AB77A8">
      <w:pPr>
        <w:numPr>
          <w:ilvl w:val="0"/>
          <w:numId w:val="9"/>
        </w:numPr>
        <w:tabs>
          <w:tab w:val="clear" w:pos="216"/>
          <w:tab w:val="left" w:pos="864"/>
        </w:tabs>
        <w:spacing w:before="20" w:line="271" w:lineRule="exact"/>
        <w:ind w:left="864" w:right="576" w:hanging="216"/>
        <w:textAlignment w:val="baseline"/>
        <w:rPr>
          <w:rFonts w:eastAsia="Times New Roman"/>
          <w:color w:val="000000"/>
          <w:sz w:val="24"/>
        </w:rPr>
      </w:pPr>
      <w:r>
        <w:rPr>
          <w:rFonts w:eastAsia="Times New Roman"/>
          <w:color w:val="000000"/>
          <w:sz w:val="24"/>
        </w:rPr>
        <w:t>To view more detailed submission information, click the Details link in the Actions column.</w:t>
      </w:r>
    </w:p>
    <w:p w:rsidR="007C25FE" w:rsidRDefault="00AB77A8">
      <w:pPr>
        <w:numPr>
          <w:ilvl w:val="0"/>
          <w:numId w:val="9"/>
        </w:numPr>
        <w:tabs>
          <w:tab w:val="clear" w:pos="216"/>
          <w:tab w:val="left" w:pos="864"/>
        </w:tabs>
        <w:spacing w:line="297" w:lineRule="exact"/>
        <w:ind w:left="864" w:hanging="216"/>
        <w:textAlignment w:val="baseline"/>
        <w:rPr>
          <w:rFonts w:eastAsia="Times New Roman"/>
          <w:color w:val="000000"/>
          <w:sz w:val="24"/>
        </w:rPr>
      </w:pPr>
      <w:r>
        <w:rPr>
          <w:rFonts w:eastAsia="Times New Roman"/>
          <w:color w:val="000000"/>
          <w:sz w:val="24"/>
        </w:rPr>
        <w:t>To download the submitted application, click the Download link in the Actions column.</w:t>
      </w:r>
    </w:p>
    <w:p w:rsidR="007C25FE" w:rsidRDefault="00AB77A8">
      <w:pPr>
        <w:spacing w:before="244" w:line="274" w:lineRule="exact"/>
        <w:ind w:left="72" w:right="72"/>
        <w:textAlignment w:val="baseline"/>
        <w:rPr>
          <w:rFonts w:eastAsia="Times New Roman"/>
          <w:color w:val="000000"/>
          <w:sz w:val="24"/>
        </w:rPr>
      </w:pPr>
      <w:r>
        <w:rPr>
          <w:rFonts w:eastAsia="Times New Roman"/>
          <w:color w:val="000000"/>
          <w:sz w:val="24"/>
        </w:rPr>
        <w:t xml:space="preserve">Please make note of the </w:t>
      </w:r>
      <w:hyperlink r:id="rId52">
        <w:r>
          <w:rPr>
            <w:rFonts w:eastAsia="Times New Roman"/>
            <w:color w:val="0000FF"/>
            <w:sz w:val="24"/>
            <w:u w:val="single"/>
          </w:rPr>
          <w:t>Grants.gov</w:t>
        </w:r>
      </w:hyperlink>
      <w:r>
        <w:rPr>
          <w:rFonts w:eastAsia="Times New Roman"/>
          <w:color w:val="000000"/>
          <w:sz w:val="24"/>
        </w:rPr>
        <w:t xml:space="preserve"> tracking number as it will be needed by the </w:t>
      </w:r>
      <w:hyperlink r:id="rId53">
        <w:r>
          <w:rPr>
            <w:rFonts w:eastAsia="Times New Roman"/>
            <w:color w:val="0000FF"/>
            <w:sz w:val="24"/>
            <w:u w:val="single"/>
          </w:rPr>
          <w:t>Grants.gov</w:t>
        </w:r>
      </w:hyperlink>
      <w:r>
        <w:rPr>
          <w:rFonts w:eastAsia="Times New Roman"/>
          <w:color w:val="000000"/>
          <w:sz w:val="24"/>
        </w:rPr>
        <w:t xml:space="preserve"> Help Desk if you seek their assistance.</w:t>
      </w:r>
    </w:p>
    <w:p w:rsidR="007C25FE" w:rsidRDefault="00AB77A8">
      <w:pPr>
        <w:spacing w:before="274" w:after="658" w:line="278" w:lineRule="exact"/>
        <w:ind w:left="72" w:right="72"/>
        <w:textAlignment w:val="baseline"/>
        <w:rPr>
          <w:rFonts w:eastAsia="Times New Roman"/>
          <w:color w:val="000000"/>
          <w:spacing w:val="-1"/>
          <w:sz w:val="24"/>
        </w:rPr>
      </w:pPr>
      <w:r>
        <w:rPr>
          <w:rFonts w:eastAsia="Times New Roman"/>
          <w:color w:val="000000"/>
          <w:spacing w:val="-1"/>
          <w:sz w:val="24"/>
        </w:rPr>
        <w:t xml:space="preserve">HUD may extend the application deadline for any program if </w:t>
      </w:r>
      <w:hyperlink r:id="rId54">
        <w:r>
          <w:rPr>
            <w:rFonts w:eastAsia="Times New Roman"/>
            <w:color w:val="0000FF"/>
            <w:spacing w:val="-1"/>
            <w:sz w:val="24"/>
            <w:u w:val="single"/>
          </w:rPr>
          <w:t>Grants.gov</w:t>
        </w:r>
      </w:hyperlink>
      <w:r>
        <w:rPr>
          <w:rFonts w:eastAsia="Times New Roman"/>
          <w:color w:val="000000"/>
          <w:spacing w:val="-1"/>
          <w:sz w:val="24"/>
        </w:rPr>
        <w:t xml:space="preserve"> is offline or not available to applicants for at least 24 hours immediately prior to the deadline date, or the system</w:t>
      </w:r>
    </w:p>
    <w:p w:rsidR="007C25FE" w:rsidRDefault="007C25FE">
      <w:pPr>
        <w:spacing w:before="274" w:after="658" w:line="278" w:lineRule="exact"/>
        <w:sectPr w:rsidR="007C25FE">
          <w:pgSz w:w="12240" w:h="15840"/>
          <w:pgMar w:top="1440" w:right="1434" w:bottom="304" w:left="1349" w:header="720" w:footer="720" w:gutter="0"/>
          <w:cols w:space="720"/>
        </w:sectPr>
      </w:pPr>
    </w:p>
    <w:p w:rsidR="007C25FE" w:rsidRDefault="00AB77A8">
      <w:pPr>
        <w:spacing w:before="3" w:line="273" w:lineRule="exact"/>
        <w:textAlignment w:val="baseline"/>
        <w:rPr>
          <w:rFonts w:eastAsia="Times New Roman"/>
          <w:color w:val="000000"/>
          <w:spacing w:val="-13"/>
          <w:sz w:val="24"/>
        </w:rPr>
      </w:pPr>
      <w:r>
        <w:rPr>
          <w:rFonts w:eastAsia="Times New Roman"/>
          <w:color w:val="000000"/>
          <w:spacing w:val="-13"/>
          <w:sz w:val="24"/>
        </w:rPr>
        <w:t>23 of 49</w:t>
      </w:r>
    </w:p>
    <w:p w:rsidR="007C25FE" w:rsidRDefault="007C25FE">
      <w:pPr>
        <w:sectPr w:rsidR="007C25FE">
          <w:type w:val="continuous"/>
          <w:pgSz w:w="12240" w:h="15840"/>
          <w:pgMar w:top="1440" w:right="1441" w:bottom="304" w:left="9999" w:header="720" w:footer="720" w:gutter="0"/>
          <w:cols w:space="720"/>
        </w:sectPr>
      </w:pPr>
    </w:p>
    <w:p w:rsidR="007C25FE" w:rsidRDefault="00AB77A8">
      <w:pPr>
        <w:spacing w:before="9" w:line="276" w:lineRule="exact"/>
        <w:ind w:left="72" w:right="864"/>
        <w:textAlignment w:val="baseline"/>
        <w:rPr>
          <w:rFonts w:eastAsia="Times New Roman"/>
          <w:color w:val="000000"/>
          <w:sz w:val="24"/>
        </w:rPr>
      </w:pPr>
      <w:r>
        <w:rPr>
          <w:rFonts w:eastAsia="Times New Roman"/>
          <w:color w:val="000000"/>
          <w:sz w:val="24"/>
        </w:rPr>
        <w:t>is down for 24 hours or longer and impacts the ability of applicants to cure a submission deficiency within the grace period.</w:t>
      </w:r>
    </w:p>
    <w:p w:rsidR="007C25FE" w:rsidRDefault="00AB77A8">
      <w:pPr>
        <w:spacing w:before="279" w:line="276" w:lineRule="exact"/>
        <w:ind w:left="72" w:right="144"/>
        <w:textAlignment w:val="baseline"/>
        <w:rPr>
          <w:rFonts w:eastAsia="Times New Roman"/>
          <w:color w:val="000000"/>
          <w:sz w:val="24"/>
        </w:rPr>
      </w:pPr>
      <w:r>
        <w:rPr>
          <w:rFonts w:eastAsia="Times New Roman"/>
          <w:color w:val="000000"/>
          <w:sz w:val="24"/>
        </w:rPr>
        <w:t>HUD may also extend the application deadline upon request if there is a presidentially-declared disaster in the applicant’s area.</w:t>
      </w:r>
    </w:p>
    <w:p w:rsidR="007C25FE" w:rsidRDefault="00AB77A8">
      <w:pPr>
        <w:spacing w:before="276" w:line="276" w:lineRule="exact"/>
        <w:ind w:left="72" w:right="648"/>
        <w:textAlignment w:val="baseline"/>
        <w:rPr>
          <w:rFonts w:eastAsia="Times New Roman"/>
          <w:color w:val="000000"/>
          <w:spacing w:val="-1"/>
          <w:sz w:val="24"/>
        </w:rPr>
      </w:pPr>
      <w:r>
        <w:rPr>
          <w:rFonts w:eastAsia="Times New Roman"/>
          <w:color w:val="000000"/>
          <w:spacing w:val="-1"/>
          <w:sz w:val="24"/>
        </w:rPr>
        <w:t>If these events occur, HUD will post a notice on its website establishing the new, extended deadline for the affected applicants. HUD will also include the fact of the extension in the program’s Notice of Funding Awards required to be published in the</w:t>
      </w:r>
      <w:r>
        <w:rPr>
          <w:rFonts w:eastAsia="Times New Roman"/>
          <w:color w:val="0000EE"/>
          <w:spacing w:val="-1"/>
          <w:sz w:val="24"/>
          <w:u w:val="single"/>
        </w:rPr>
        <w:t xml:space="preserve"> Federal Register.</w:t>
      </w:r>
    </w:p>
    <w:p w:rsidR="007C25FE" w:rsidRDefault="00AB77A8">
      <w:pPr>
        <w:spacing w:before="276" w:line="276" w:lineRule="exact"/>
        <w:ind w:left="72" w:right="144"/>
        <w:textAlignment w:val="baseline"/>
        <w:rPr>
          <w:rFonts w:eastAsia="Times New Roman"/>
          <w:color w:val="000000"/>
          <w:sz w:val="24"/>
        </w:rPr>
      </w:pPr>
      <w:r>
        <w:rPr>
          <w:rFonts w:eastAsia="Times New Roman"/>
          <w:color w:val="000000"/>
          <w:sz w:val="24"/>
        </w:rPr>
        <w:t>In determining whether to grant a request for an extension based on a presidentially-declared disaster, HUD will consider the totality of the circumstances including the date of an applicant’s extension request (how closely it followed the basis for the extension), whether other applicants in the geographic area are similarly affected by the disaster, and how quickly power or services are restored to enable the applicant to submit its application.</w:t>
      </w:r>
    </w:p>
    <w:p w:rsidR="007C25FE" w:rsidRDefault="00AB77A8">
      <w:pPr>
        <w:spacing w:before="273" w:line="276" w:lineRule="exact"/>
        <w:ind w:left="72" w:right="504"/>
        <w:textAlignment w:val="baseline"/>
        <w:rPr>
          <w:rFonts w:eastAsia="Times New Roman"/>
          <w:b/>
          <w:color w:val="000000"/>
          <w:spacing w:val="-1"/>
          <w:sz w:val="24"/>
        </w:rPr>
      </w:pPr>
      <w:r>
        <w:rPr>
          <w:rFonts w:eastAsia="Times New Roman"/>
          <w:b/>
          <w:color w:val="000000"/>
          <w:spacing w:val="-1"/>
          <w:sz w:val="24"/>
        </w:rPr>
        <w:t>PLEASE NOTE</w:t>
      </w:r>
      <w:r>
        <w:rPr>
          <w:rFonts w:eastAsia="Times New Roman"/>
          <w:color w:val="000000"/>
          <w:spacing w:val="-1"/>
          <w:sz w:val="24"/>
        </w:rPr>
        <w:t>: Busy servers, slow processing, or large file sizes, improper registration or password issues are not valid circumstances to extend the deadline dates or the grace period.</w:t>
      </w:r>
    </w:p>
    <w:p w:rsidR="007C25FE" w:rsidRDefault="00AB77A8">
      <w:pPr>
        <w:numPr>
          <w:ilvl w:val="0"/>
          <w:numId w:val="28"/>
        </w:numPr>
        <w:tabs>
          <w:tab w:val="clear" w:pos="288"/>
          <w:tab w:val="left" w:pos="360"/>
        </w:tabs>
        <w:spacing w:before="279" w:line="273" w:lineRule="exact"/>
        <w:ind w:left="72"/>
        <w:textAlignment w:val="baseline"/>
        <w:rPr>
          <w:rFonts w:eastAsia="Times New Roman"/>
          <w:b/>
          <w:color w:val="000000"/>
          <w:sz w:val="24"/>
        </w:rPr>
      </w:pPr>
      <w:r>
        <w:rPr>
          <w:rFonts w:eastAsia="Times New Roman"/>
          <w:b/>
          <w:color w:val="000000"/>
          <w:sz w:val="24"/>
        </w:rPr>
        <w:t>Amending or Resubmitting an Application.</w:t>
      </w:r>
    </w:p>
    <w:p w:rsidR="007C25FE" w:rsidRDefault="00AB77A8">
      <w:pPr>
        <w:spacing w:before="3" w:line="276" w:lineRule="exact"/>
        <w:ind w:left="72" w:right="216"/>
        <w:textAlignment w:val="baseline"/>
        <w:rPr>
          <w:rFonts w:eastAsia="Times New Roman"/>
          <w:color w:val="000000"/>
          <w:spacing w:val="-1"/>
          <w:sz w:val="24"/>
        </w:rPr>
      </w:pPr>
      <w:r>
        <w:rPr>
          <w:rFonts w:eastAsia="Times New Roman"/>
          <w:color w:val="000000"/>
          <w:spacing w:val="-1"/>
          <w:sz w:val="24"/>
        </w:rPr>
        <w:t xml:space="preserve">Before the submission deadline, you may amend a validated application through </w:t>
      </w:r>
      <w:hyperlink r:id="rId55">
        <w:r>
          <w:rPr>
            <w:rFonts w:eastAsia="Times New Roman"/>
            <w:color w:val="0000FF"/>
            <w:spacing w:val="-1"/>
            <w:sz w:val="24"/>
            <w:u w:val="single"/>
          </w:rPr>
          <w:t>Grants.gov</w:t>
        </w:r>
      </w:hyperlink>
      <w:r>
        <w:rPr>
          <w:rFonts w:eastAsia="Times New Roman"/>
          <w:color w:val="000000"/>
          <w:spacing w:val="-1"/>
          <w:sz w:val="24"/>
        </w:rPr>
        <w:t xml:space="preserve"> by resubmitting a revised application containing the new or changed material. The resubmitted application must be received and validated by </w:t>
      </w:r>
      <w:hyperlink r:id="rId56">
        <w:r>
          <w:rPr>
            <w:rFonts w:eastAsia="Times New Roman"/>
            <w:color w:val="0000FF"/>
            <w:spacing w:val="-1"/>
            <w:sz w:val="24"/>
            <w:u w:val="single"/>
          </w:rPr>
          <w:t>Grants.gov</w:t>
        </w:r>
      </w:hyperlink>
      <w:r>
        <w:rPr>
          <w:rFonts w:eastAsia="Times New Roman"/>
          <w:color w:val="000000"/>
          <w:spacing w:val="-1"/>
          <w:sz w:val="24"/>
        </w:rPr>
        <w:t xml:space="preserve"> by the applicable deadline.</w:t>
      </w:r>
    </w:p>
    <w:p w:rsidR="007C25FE" w:rsidRDefault="00AB77A8">
      <w:pPr>
        <w:spacing w:line="276" w:lineRule="exact"/>
        <w:ind w:left="72" w:right="216"/>
        <w:textAlignment w:val="baseline"/>
        <w:rPr>
          <w:rFonts w:eastAsia="Times New Roman"/>
          <w:color w:val="000000"/>
          <w:sz w:val="24"/>
        </w:rPr>
      </w:pPr>
      <w:r>
        <w:rPr>
          <w:rFonts w:eastAsia="Times New Roman"/>
          <w:color w:val="000000"/>
          <w:sz w:val="24"/>
        </w:rPr>
        <w:t xml:space="preserve">If HUD receives an original and a revised application for a single proposal, HUD will evaluate only the last submission received by </w:t>
      </w:r>
      <w:hyperlink r:id="rId57">
        <w:r>
          <w:rPr>
            <w:rFonts w:eastAsia="Times New Roman"/>
            <w:color w:val="0000FF"/>
            <w:sz w:val="24"/>
            <w:u w:val="single"/>
          </w:rPr>
          <w:t>Grants.gov</w:t>
        </w:r>
      </w:hyperlink>
      <w:r>
        <w:rPr>
          <w:rFonts w:eastAsia="Times New Roman"/>
          <w:color w:val="000000"/>
          <w:sz w:val="24"/>
        </w:rPr>
        <w:t xml:space="preserve"> before the deadline.</w:t>
      </w:r>
    </w:p>
    <w:p w:rsidR="007C25FE" w:rsidRDefault="00AB77A8">
      <w:pPr>
        <w:numPr>
          <w:ilvl w:val="0"/>
          <w:numId w:val="28"/>
        </w:numPr>
        <w:tabs>
          <w:tab w:val="clear" w:pos="288"/>
          <w:tab w:val="left" w:pos="360"/>
        </w:tabs>
        <w:spacing w:before="279" w:line="273" w:lineRule="exact"/>
        <w:ind w:left="72"/>
        <w:textAlignment w:val="baseline"/>
        <w:rPr>
          <w:rFonts w:eastAsia="Times New Roman"/>
          <w:b/>
          <w:color w:val="000000"/>
          <w:sz w:val="24"/>
        </w:rPr>
      </w:pPr>
      <w:r>
        <w:rPr>
          <w:rFonts w:eastAsia="Times New Roman"/>
          <w:b/>
          <w:color w:val="000000"/>
          <w:sz w:val="24"/>
        </w:rPr>
        <w:t xml:space="preserve">Grace Period for </w:t>
      </w:r>
      <w:hyperlink r:id="rId58">
        <w:r>
          <w:rPr>
            <w:rFonts w:eastAsia="Times New Roman"/>
            <w:b/>
            <w:color w:val="0000FF"/>
            <w:sz w:val="24"/>
            <w:u w:val="single"/>
          </w:rPr>
          <w:t>Grants.gov</w:t>
        </w:r>
      </w:hyperlink>
      <w:r>
        <w:rPr>
          <w:rFonts w:eastAsia="Times New Roman"/>
          <w:b/>
          <w:color w:val="000000"/>
          <w:sz w:val="24"/>
        </w:rPr>
        <w:t xml:space="preserve"> Submissions.</w:t>
      </w:r>
    </w:p>
    <w:p w:rsidR="007C25FE" w:rsidRDefault="00AB77A8">
      <w:pPr>
        <w:spacing w:line="275" w:lineRule="exact"/>
        <w:ind w:left="72" w:right="72"/>
        <w:textAlignment w:val="baseline"/>
        <w:rPr>
          <w:rFonts w:eastAsia="Times New Roman"/>
          <w:color w:val="000000"/>
          <w:sz w:val="24"/>
        </w:rPr>
      </w:pPr>
      <w:r>
        <w:rPr>
          <w:rFonts w:eastAsia="Times New Roman"/>
          <w:color w:val="000000"/>
          <w:sz w:val="24"/>
        </w:rPr>
        <w:t xml:space="preserve">If your application is received by </w:t>
      </w:r>
      <w:hyperlink r:id="rId59">
        <w:r>
          <w:rPr>
            <w:rFonts w:eastAsia="Times New Roman"/>
            <w:color w:val="0000FF"/>
            <w:sz w:val="24"/>
            <w:u w:val="single"/>
          </w:rPr>
          <w:t>Grants.gov</w:t>
        </w:r>
      </w:hyperlink>
      <w:r>
        <w:rPr>
          <w:rFonts w:eastAsia="Times New Roman"/>
          <w:color w:val="000000"/>
          <w:sz w:val="24"/>
        </w:rPr>
        <w:t xml:space="preserve"> before the deadline, but is rejected with errors, you have a grace period of 24 hours after the application deadline to submit a corrected, received, and validated application through </w:t>
      </w:r>
      <w:hyperlink r:id="rId60">
        <w:r>
          <w:rPr>
            <w:rFonts w:eastAsia="Times New Roman"/>
            <w:color w:val="0000FF"/>
            <w:sz w:val="24"/>
            <w:u w:val="single"/>
          </w:rPr>
          <w:t>Grants.gov</w:t>
        </w:r>
      </w:hyperlink>
      <w:r>
        <w:rPr>
          <w:rFonts w:eastAsia="Times New Roman"/>
          <w:color w:val="000000"/>
          <w:sz w:val="24"/>
        </w:rPr>
        <w:t>. The date and time stamp on the</w:t>
      </w:r>
    </w:p>
    <w:p w:rsidR="007C25FE" w:rsidRDefault="005D7575">
      <w:pPr>
        <w:spacing w:before="3" w:line="276" w:lineRule="exact"/>
        <w:ind w:left="72" w:right="432"/>
        <w:textAlignment w:val="baseline"/>
        <w:rPr>
          <w:rFonts w:eastAsia="Times New Roman"/>
          <w:color w:val="000000"/>
          <w:sz w:val="24"/>
        </w:rPr>
      </w:pPr>
      <w:hyperlink r:id="rId61">
        <w:r w:rsidR="00AB77A8">
          <w:rPr>
            <w:rFonts w:eastAsia="Times New Roman"/>
            <w:color w:val="0000FF"/>
            <w:sz w:val="24"/>
            <w:u w:val="single"/>
          </w:rPr>
          <w:t>Grants.gov</w:t>
        </w:r>
      </w:hyperlink>
      <w:r w:rsidR="00AB77A8">
        <w:rPr>
          <w:rFonts w:eastAsia="Times New Roman"/>
          <w:color w:val="000000"/>
          <w:sz w:val="24"/>
        </w:rPr>
        <w:t xml:space="preserve"> system determines the application receipt time. Any application submitted during the grace period not received and validated by </w:t>
      </w:r>
      <w:hyperlink r:id="rId62">
        <w:r w:rsidR="00AB77A8">
          <w:rPr>
            <w:rFonts w:eastAsia="Times New Roman"/>
            <w:color w:val="0000FF"/>
            <w:sz w:val="24"/>
            <w:u w:val="single"/>
          </w:rPr>
          <w:t>Grants.gov</w:t>
        </w:r>
      </w:hyperlink>
      <w:r w:rsidR="00AB77A8">
        <w:rPr>
          <w:rFonts w:eastAsia="Times New Roman"/>
          <w:color w:val="000000"/>
          <w:sz w:val="24"/>
        </w:rPr>
        <w:t xml:space="preserve"> will not be considered for funding. There is no grace period for paper applications.</w:t>
      </w:r>
    </w:p>
    <w:p w:rsidR="007C25FE" w:rsidRDefault="00AB77A8">
      <w:pPr>
        <w:numPr>
          <w:ilvl w:val="0"/>
          <w:numId w:val="28"/>
        </w:numPr>
        <w:tabs>
          <w:tab w:val="clear" w:pos="288"/>
          <w:tab w:val="left" w:pos="360"/>
        </w:tabs>
        <w:spacing w:before="279" w:line="273" w:lineRule="exact"/>
        <w:ind w:left="72"/>
        <w:textAlignment w:val="baseline"/>
        <w:rPr>
          <w:rFonts w:eastAsia="Times New Roman"/>
          <w:b/>
          <w:color w:val="000000"/>
          <w:spacing w:val="-1"/>
          <w:sz w:val="24"/>
        </w:rPr>
      </w:pPr>
      <w:r>
        <w:rPr>
          <w:rFonts w:eastAsia="Times New Roman"/>
          <w:b/>
          <w:color w:val="000000"/>
          <w:spacing w:val="-1"/>
          <w:sz w:val="24"/>
        </w:rPr>
        <w:t>Late Applications.</w:t>
      </w:r>
    </w:p>
    <w:p w:rsidR="007C25FE" w:rsidRDefault="00AB77A8">
      <w:pPr>
        <w:spacing w:line="276" w:lineRule="exact"/>
        <w:ind w:left="72" w:right="360"/>
        <w:textAlignment w:val="baseline"/>
        <w:rPr>
          <w:rFonts w:eastAsia="Times New Roman"/>
          <w:color w:val="000000"/>
          <w:sz w:val="24"/>
        </w:rPr>
      </w:pPr>
      <w:r>
        <w:rPr>
          <w:rFonts w:eastAsia="Times New Roman"/>
          <w:color w:val="000000"/>
          <w:sz w:val="24"/>
        </w:rPr>
        <w:t>An application received after the NOFA deadline date that does not meet the Grace Period requirements will be marked late and will not be received by HUD for funding consideration. Improper or expired registration and password issues are not causes that allow HUD to accept applications after the deadline.</w:t>
      </w:r>
    </w:p>
    <w:p w:rsidR="007C25FE" w:rsidRDefault="00AB77A8">
      <w:pPr>
        <w:numPr>
          <w:ilvl w:val="0"/>
          <w:numId w:val="28"/>
        </w:numPr>
        <w:tabs>
          <w:tab w:val="clear" w:pos="288"/>
          <w:tab w:val="left" w:pos="360"/>
        </w:tabs>
        <w:spacing w:before="279" w:line="273" w:lineRule="exact"/>
        <w:ind w:left="72"/>
        <w:textAlignment w:val="baseline"/>
        <w:rPr>
          <w:rFonts w:eastAsia="Times New Roman"/>
          <w:b/>
          <w:color w:val="000000"/>
          <w:sz w:val="24"/>
        </w:rPr>
      </w:pPr>
      <w:r>
        <w:rPr>
          <w:rFonts w:eastAsia="Times New Roman"/>
          <w:b/>
          <w:color w:val="000000"/>
          <w:sz w:val="24"/>
        </w:rPr>
        <w:t>Corrections to Deficient Applications.</w:t>
      </w:r>
    </w:p>
    <w:p w:rsidR="007C25FE" w:rsidRDefault="00AB77A8">
      <w:pPr>
        <w:spacing w:after="581" w:line="275" w:lineRule="exact"/>
        <w:ind w:left="72" w:right="432"/>
        <w:textAlignment w:val="baseline"/>
        <w:rPr>
          <w:rFonts w:eastAsia="Times New Roman"/>
          <w:color w:val="000000"/>
          <w:spacing w:val="-1"/>
          <w:sz w:val="24"/>
        </w:rPr>
      </w:pPr>
      <w:r>
        <w:rPr>
          <w:rFonts w:eastAsia="Times New Roman"/>
          <w:color w:val="000000"/>
          <w:spacing w:val="-1"/>
          <w:sz w:val="24"/>
        </w:rPr>
        <w:t xml:space="preserve">HUD will not consider information from applicants after the application deadline. HUD may contact the applicant to clarify other items in its application. HUD will uniformly notify applicants of each curable deficiency. A curable deficiency is an error or oversight that if </w:t>
      </w:r>
      <w:r>
        <w:rPr>
          <w:rFonts w:eastAsia="Times New Roman"/>
          <w:b/>
          <w:color w:val="000000"/>
          <w:spacing w:val="-1"/>
          <w:sz w:val="24"/>
        </w:rPr>
        <w:t xml:space="preserve">corrected </w:t>
      </w:r>
      <w:r>
        <w:rPr>
          <w:rFonts w:eastAsia="Times New Roman"/>
          <w:color w:val="000000"/>
          <w:spacing w:val="-1"/>
          <w:sz w:val="24"/>
        </w:rPr>
        <w:t>it would not alter, in a positive or negative fashion, the review and rating of the application. See curable deficiency in definitions section. Examples of curable (correctable)</w:t>
      </w:r>
    </w:p>
    <w:p w:rsidR="007C25FE" w:rsidRDefault="007C25FE">
      <w:pPr>
        <w:spacing w:after="581" w:line="275" w:lineRule="exact"/>
        <w:sectPr w:rsidR="007C25FE">
          <w:pgSz w:w="12240" w:h="15840"/>
          <w:pgMar w:top="1560" w:right="1432" w:bottom="304" w:left="1351" w:header="720" w:footer="720" w:gutter="0"/>
          <w:cols w:space="720"/>
        </w:sectPr>
      </w:pPr>
    </w:p>
    <w:p w:rsidR="007C25FE" w:rsidRDefault="00AB77A8">
      <w:pPr>
        <w:spacing w:line="276" w:lineRule="exact"/>
        <w:textAlignment w:val="baseline"/>
        <w:rPr>
          <w:rFonts w:eastAsia="Times New Roman"/>
          <w:color w:val="000000"/>
          <w:spacing w:val="-13"/>
          <w:sz w:val="24"/>
        </w:rPr>
      </w:pPr>
      <w:r>
        <w:rPr>
          <w:rFonts w:eastAsia="Times New Roman"/>
          <w:color w:val="000000"/>
          <w:spacing w:val="-13"/>
          <w:sz w:val="24"/>
        </w:rPr>
        <w:t>24 of 49</w:t>
      </w:r>
    </w:p>
    <w:p w:rsidR="007C25FE" w:rsidRDefault="007C25FE">
      <w:pPr>
        <w:sectPr w:rsidR="007C25FE">
          <w:type w:val="continuous"/>
          <w:pgSz w:w="12240" w:h="15840"/>
          <w:pgMar w:top="1560" w:right="1441" w:bottom="304" w:left="9999" w:header="720" w:footer="720" w:gutter="0"/>
          <w:cols w:space="720"/>
        </w:sectPr>
      </w:pPr>
    </w:p>
    <w:p w:rsidR="007C25FE" w:rsidRDefault="00AB77A8">
      <w:pPr>
        <w:spacing w:before="9" w:line="276" w:lineRule="exact"/>
        <w:ind w:left="72" w:right="864"/>
        <w:textAlignment w:val="baseline"/>
        <w:rPr>
          <w:rFonts w:eastAsia="Times New Roman"/>
          <w:color w:val="000000"/>
          <w:sz w:val="24"/>
        </w:rPr>
      </w:pPr>
      <w:r>
        <w:rPr>
          <w:rFonts w:eastAsia="Times New Roman"/>
          <w:color w:val="000000"/>
          <w:sz w:val="24"/>
        </w:rPr>
        <w:t>deficiencies include inconsistencies in the funding request and failure to submit required certifications. These examples are non-exhaustive.</w:t>
      </w:r>
    </w:p>
    <w:p w:rsidR="007C25FE" w:rsidRDefault="00AB77A8">
      <w:pPr>
        <w:spacing w:before="279" w:line="276" w:lineRule="exact"/>
        <w:ind w:left="72" w:right="216"/>
        <w:textAlignment w:val="baseline"/>
        <w:rPr>
          <w:rFonts w:eastAsia="Times New Roman"/>
          <w:color w:val="000000"/>
          <w:sz w:val="24"/>
        </w:rPr>
      </w:pPr>
      <w:r>
        <w:rPr>
          <w:rFonts w:eastAsia="Times New Roman"/>
          <w:color w:val="000000"/>
          <w:sz w:val="24"/>
        </w:rPr>
        <w:t>When HUD identifies a curable deficiency, HUD will notify the authorized representative. The email is the official notification of a curable deficiency. Each applicant must provide accurate email addresses for receipt of these notifications and must monitor their email accounts to determine whether a deficiency notification has been received. The applicant must carefully review the request for cure of deficiency and must provide the response in accordance with the instructions contained in the deficiency notification.</w:t>
      </w:r>
    </w:p>
    <w:p w:rsidR="007C25FE" w:rsidRDefault="00AB77A8">
      <w:pPr>
        <w:spacing w:before="276" w:line="276" w:lineRule="exact"/>
        <w:ind w:left="72"/>
        <w:textAlignment w:val="baseline"/>
        <w:rPr>
          <w:rFonts w:eastAsia="Times New Roman"/>
          <w:color w:val="000000"/>
          <w:sz w:val="24"/>
        </w:rPr>
      </w:pPr>
      <w:r>
        <w:rPr>
          <w:rFonts w:eastAsia="Times New Roman"/>
          <w:color w:val="000000"/>
          <w:sz w:val="24"/>
        </w:rPr>
        <w:t>Applicants must email corrections of curable deficiencies</w:t>
      </w:r>
    </w:p>
    <w:p w:rsidR="007C25FE" w:rsidRDefault="005D7575">
      <w:pPr>
        <w:spacing w:line="276" w:lineRule="exact"/>
        <w:ind w:left="72" w:right="72"/>
        <w:textAlignment w:val="baseline"/>
        <w:rPr>
          <w:rFonts w:eastAsia="Times New Roman"/>
          <w:color w:val="000000"/>
          <w:sz w:val="24"/>
        </w:rPr>
      </w:pPr>
      <w:hyperlink r:id="rId63">
        <w:r w:rsidR="00AB77A8">
          <w:rPr>
            <w:rFonts w:eastAsia="Times New Roman"/>
            <w:color w:val="0000FF"/>
            <w:sz w:val="24"/>
            <w:u w:val="single"/>
          </w:rPr>
          <w:t>to</w:t>
        </w:r>
      </w:hyperlink>
      <w:r w:rsidR="00AB77A8">
        <w:rPr>
          <w:rFonts w:eastAsia="Times New Roman"/>
          <w:color w:val="0000FF"/>
          <w:sz w:val="24"/>
          <w:u w:val="single"/>
        </w:rPr>
        <w:t xml:space="preserve"> applicationsupport@hud.gov</w:t>
      </w:r>
      <w:r w:rsidR="00AB77A8">
        <w:rPr>
          <w:rFonts w:eastAsia="Times New Roman"/>
          <w:color w:val="000000"/>
          <w:sz w:val="24"/>
        </w:rPr>
        <w:t xml:space="preserve"> within the time limits specified in the notification. The time allowed to correct deficiencies will not exceed 14 calendar days or be less than 48 hours from the date of the email notification. The start of the cure period will be the date stamp on the email sent from HUD. If the deficiency cure deadline date falls on a Saturday, Sunday, Federal holiday, or on a day when HUD’s Headquarters are closed, then the applicant’s correction must be received on the next business day HUD Headquarters offices in Washington, DC are open.</w:t>
      </w:r>
    </w:p>
    <w:p w:rsidR="007C25FE" w:rsidRDefault="00AB77A8">
      <w:pPr>
        <w:spacing w:before="276" w:line="276" w:lineRule="exact"/>
        <w:ind w:left="72" w:right="288"/>
        <w:textAlignment w:val="baseline"/>
        <w:rPr>
          <w:rFonts w:eastAsia="Times New Roman"/>
          <w:color w:val="000000"/>
          <w:sz w:val="24"/>
        </w:rPr>
      </w:pPr>
      <w:r>
        <w:rPr>
          <w:rFonts w:eastAsia="Times New Roman"/>
          <w:color w:val="000000"/>
          <w:sz w:val="24"/>
        </w:rPr>
        <w:t xml:space="preserve">The subject line of the email sent </w:t>
      </w:r>
      <w:hyperlink r:id="rId64">
        <w:r>
          <w:rPr>
            <w:rFonts w:eastAsia="Times New Roman"/>
            <w:color w:val="0000FF"/>
            <w:sz w:val="24"/>
            <w:u w:val="single"/>
          </w:rPr>
          <w:t>to</w:t>
        </w:r>
      </w:hyperlink>
      <w:r>
        <w:rPr>
          <w:rFonts w:eastAsia="Times New Roman"/>
          <w:color w:val="0000FF"/>
          <w:sz w:val="24"/>
          <w:u w:val="single"/>
        </w:rPr>
        <w:t xml:space="preserve"> applicationsupport@hud.gov</w:t>
      </w:r>
      <w:r>
        <w:rPr>
          <w:rFonts w:eastAsia="Times New Roman"/>
          <w:color w:val="000000"/>
          <w:sz w:val="24"/>
        </w:rPr>
        <w:t xml:space="preserve"> must state: </w:t>
      </w:r>
      <w:r>
        <w:rPr>
          <w:rFonts w:eastAsia="Times New Roman"/>
          <w:b/>
          <w:color w:val="000000"/>
          <w:sz w:val="24"/>
        </w:rPr>
        <w:t xml:space="preserve">Technical Cure </w:t>
      </w:r>
      <w:r>
        <w:rPr>
          <w:rFonts w:eastAsia="Times New Roman"/>
          <w:color w:val="000000"/>
          <w:sz w:val="24"/>
        </w:rPr>
        <w:t xml:space="preserve">and include the </w:t>
      </w:r>
      <w:hyperlink r:id="rId65">
        <w:r>
          <w:rPr>
            <w:rFonts w:eastAsia="Times New Roman"/>
            <w:color w:val="0000FF"/>
            <w:sz w:val="24"/>
            <w:u w:val="single"/>
          </w:rPr>
          <w:t>Grants.gov</w:t>
        </w:r>
      </w:hyperlink>
      <w:r>
        <w:rPr>
          <w:rFonts w:eastAsia="Times New Roman"/>
          <w:color w:val="000000"/>
          <w:sz w:val="24"/>
        </w:rPr>
        <w:t xml:space="preserve"> application tracking number (e.g., Subject: Technical Cure - GRANT123456). If this information is not included, HUD cannot match the response with the application under review and the application may be rejected due to the deficiency. This only applies to certain programs and responses should be sent to the NOFA specific program.</w:t>
      </w:r>
    </w:p>
    <w:p w:rsidR="007C25FE" w:rsidRDefault="00AB77A8">
      <w:pPr>
        <w:spacing w:before="276" w:line="276" w:lineRule="exact"/>
        <w:ind w:left="72" w:right="144"/>
        <w:textAlignment w:val="baseline"/>
        <w:rPr>
          <w:rFonts w:eastAsia="Times New Roman"/>
          <w:color w:val="000000"/>
          <w:sz w:val="24"/>
        </w:rPr>
      </w:pPr>
      <w:r>
        <w:rPr>
          <w:rFonts w:eastAsia="Times New Roman"/>
          <w:color w:val="000000"/>
          <w:sz w:val="24"/>
        </w:rPr>
        <w:t>Corrections to a paper application must be sent in accordance with and to the address indicated in the notification of deficiency. HUD will treat a paper application submitted in accordance with a waiver of electronic application containing the wrong DUNS number as having a curable deficiency. Failure to correct the deficiency and meet the requirement to have a DUNS number and active registration in SAM will render the application ineligible for funding.</w:t>
      </w:r>
    </w:p>
    <w:p w:rsidR="007C25FE" w:rsidRDefault="00AB77A8">
      <w:pPr>
        <w:spacing w:before="273" w:after="816" w:line="276" w:lineRule="exact"/>
        <w:ind w:left="72" w:right="936"/>
        <w:textAlignment w:val="baseline"/>
        <w:rPr>
          <w:rFonts w:eastAsia="Times New Roman"/>
          <w:b/>
          <w:color w:val="000000"/>
          <w:sz w:val="24"/>
        </w:rPr>
      </w:pPr>
      <w:r>
        <w:rPr>
          <w:rFonts w:eastAsia="Times New Roman"/>
          <w:b/>
          <w:color w:val="000000"/>
          <w:sz w:val="24"/>
        </w:rPr>
        <w:t xml:space="preserve">5. Authoritative Versions of HUD NOFAs. </w:t>
      </w:r>
      <w:r>
        <w:rPr>
          <w:rFonts w:eastAsia="Times New Roman"/>
          <w:color w:val="000000"/>
          <w:sz w:val="24"/>
        </w:rPr>
        <w:t xml:space="preserve">The version of these NOFAs as posted on </w:t>
      </w:r>
      <w:hyperlink r:id="rId66">
        <w:r>
          <w:rPr>
            <w:rFonts w:eastAsia="Times New Roman"/>
            <w:color w:val="0000FF"/>
            <w:sz w:val="24"/>
            <w:u w:val="single"/>
          </w:rPr>
          <w:t>Grants.gov</w:t>
        </w:r>
      </w:hyperlink>
      <w:r>
        <w:rPr>
          <w:rFonts w:eastAsia="Times New Roman"/>
          <w:color w:val="000000"/>
          <w:sz w:val="24"/>
        </w:rPr>
        <w:t xml:space="preserve"> are the official documents HUD uses to solicit applications.</w:t>
      </w:r>
    </w:p>
    <w:p w:rsidR="007C25FE" w:rsidRDefault="00AB77A8">
      <w:pPr>
        <w:numPr>
          <w:ilvl w:val="0"/>
          <w:numId w:val="29"/>
        </w:numPr>
        <w:shd w:val="solid" w:color="E0E0E0" w:fill="E0E0E0"/>
        <w:tabs>
          <w:tab w:val="clear" w:pos="360"/>
          <w:tab w:val="left" w:pos="432"/>
        </w:tabs>
        <w:spacing w:after="366" w:line="274" w:lineRule="exact"/>
        <w:ind w:left="72"/>
        <w:textAlignment w:val="baseline"/>
        <w:rPr>
          <w:rFonts w:eastAsia="Times New Roman"/>
          <w:b/>
          <w:color w:val="000000"/>
          <w:sz w:val="24"/>
        </w:rPr>
      </w:pPr>
      <w:r>
        <w:rPr>
          <w:rFonts w:eastAsia="Times New Roman"/>
          <w:b/>
          <w:color w:val="000000"/>
          <w:sz w:val="24"/>
        </w:rPr>
        <w:t>Intergovernmental Review.</w:t>
      </w:r>
    </w:p>
    <w:p w:rsidR="007C25FE" w:rsidRDefault="00AB77A8">
      <w:pPr>
        <w:spacing w:before="2" w:after="418" w:line="276" w:lineRule="exact"/>
        <w:ind w:left="72" w:right="432"/>
        <w:textAlignment w:val="baseline"/>
        <w:rPr>
          <w:rFonts w:eastAsia="Times New Roman"/>
          <w:color w:val="000000"/>
          <w:sz w:val="24"/>
        </w:rPr>
      </w:pPr>
      <w:r>
        <w:rPr>
          <w:rFonts w:eastAsia="Times New Roman"/>
          <w:color w:val="000000"/>
          <w:sz w:val="24"/>
        </w:rPr>
        <w:t>This program is not subject to Executive Order 12372, Intergovernmental Review of Federal Programs.</w:t>
      </w:r>
    </w:p>
    <w:p w:rsidR="007C25FE" w:rsidRDefault="00AB77A8">
      <w:pPr>
        <w:numPr>
          <w:ilvl w:val="0"/>
          <w:numId w:val="29"/>
        </w:numPr>
        <w:shd w:val="solid" w:color="E0E0E0" w:fill="E0E0E0"/>
        <w:tabs>
          <w:tab w:val="clear" w:pos="360"/>
          <w:tab w:val="left" w:pos="432"/>
        </w:tabs>
        <w:spacing w:after="59" w:line="274" w:lineRule="exact"/>
        <w:ind w:left="72"/>
        <w:textAlignment w:val="baseline"/>
        <w:rPr>
          <w:rFonts w:eastAsia="Times New Roman"/>
          <w:b/>
          <w:color w:val="000000"/>
          <w:spacing w:val="-1"/>
          <w:sz w:val="24"/>
        </w:rPr>
      </w:pPr>
      <w:r>
        <w:rPr>
          <w:rFonts w:eastAsia="Times New Roman"/>
          <w:b/>
          <w:color w:val="000000"/>
          <w:spacing w:val="-1"/>
          <w:sz w:val="24"/>
        </w:rPr>
        <w:t>Funding Restrictions.</w:t>
      </w:r>
    </w:p>
    <w:p w:rsidR="007C25FE" w:rsidRDefault="00AB77A8">
      <w:pPr>
        <w:spacing w:line="276" w:lineRule="exact"/>
        <w:ind w:left="72"/>
        <w:textAlignment w:val="baseline"/>
        <w:rPr>
          <w:rFonts w:eastAsia="Times New Roman"/>
          <w:color w:val="000000"/>
          <w:sz w:val="24"/>
        </w:rPr>
      </w:pPr>
      <w:r>
        <w:rPr>
          <w:rFonts w:eastAsia="Times New Roman"/>
          <w:color w:val="000000"/>
          <w:sz w:val="24"/>
        </w:rPr>
        <w:t>Not Applicable</w:t>
      </w:r>
    </w:p>
    <w:p w:rsidR="007C25FE" w:rsidRDefault="00AB77A8">
      <w:pPr>
        <w:spacing w:before="298" w:after="690" w:line="274" w:lineRule="exact"/>
        <w:ind w:left="72"/>
        <w:textAlignment w:val="baseline"/>
        <w:rPr>
          <w:rFonts w:eastAsia="Times New Roman"/>
          <w:b/>
          <w:color w:val="000000"/>
          <w:sz w:val="24"/>
        </w:rPr>
      </w:pPr>
      <w:r>
        <w:rPr>
          <w:rFonts w:eastAsia="Times New Roman"/>
          <w:b/>
          <w:color w:val="000000"/>
          <w:sz w:val="24"/>
        </w:rPr>
        <w:t>Indirect Cost Rate.</w:t>
      </w:r>
    </w:p>
    <w:p w:rsidR="007C25FE" w:rsidRDefault="007C25FE">
      <w:pPr>
        <w:spacing w:before="298" w:after="690" w:line="274" w:lineRule="exact"/>
        <w:sectPr w:rsidR="007C25FE">
          <w:pgSz w:w="12240" w:h="15840"/>
          <w:pgMar w:top="1560" w:right="1420" w:bottom="304" w:left="1363" w:header="720" w:footer="720" w:gutter="0"/>
          <w:cols w:space="720"/>
        </w:sectPr>
      </w:pPr>
    </w:p>
    <w:p w:rsidR="007C25FE" w:rsidRDefault="00AB77A8">
      <w:pPr>
        <w:spacing w:line="276" w:lineRule="exact"/>
        <w:textAlignment w:val="baseline"/>
        <w:rPr>
          <w:rFonts w:eastAsia="Times New Roman"/>
          <w:color w:val="000000"/>
          <w:spacing w:val="-13"/>
          <w:sz w:val="24"/>
        </w:rPr>
      </w:pPr>
      <w:r>
        <w:rPr>
          <w:rFonts w:eastAsia="Times New Roman"/>
          <w:color w:val="000000"/>
          <w:spacing w:val="-13"/>
          <w:sz w:val="24"/>
        </w:rPr>
        <w:t>25 of 49</w:t>
      </w:r>
    </w:p>
    <w:p w:rsidR="007C25FE" w:rsidRDefault="007C25FE">
      <w:pPr>
        <w:sectPr w:rsidR="007C25FE">
          <w:type w:val="continuous"/>
          <w:pgSz w:w="12240" w:h="15840"/>
          <w:pgMar w:top="1560" w:right="1441" w:bottom="304" w:left="9999" w:header="720" w:footer="720" w:gutter="0"/>
          <w:cols w:space="720"/>
        </w:sectPr>
      </w:pPr>
    </w:p>
    <w:p w:rsidR="007C25FE" w:rsidRDefault="00AB77A8">
      <w:pPr>
        <w:spacing w:before="11" w:line="276" w:lineRule="exact"/>
        <w:ind w:left="72" w:right="216"/>
        <w:textAlignment w:val="baseline"/>
        <w:rPr>
          <w:rFonts w:eastAsia="Times New Roman"/>
          <w:color w:val="000000"/>
          <w:sz w:val="24"/>
        </w:rPr>
      </w:pPr>
      <w:r>
        <w:rPr>
          <w:rFonts w:eastAsia="Times New Roman"/>
          <w:color w:val="000000"/>
          <w:sz w:val="24"/>
        </w:rPr>
        <w:t xml:space="preserve">Indirect Cost Rate: Consistent with 2 CFR 200.414, applicants may use their negotiated rate or the </w:t>
      </w:r>
      <w:r>
        <w:rPr>
          <w:rFonts w:eastAsia="Times New Roman"/>
          <w:i/>
          <w:color w:val="000000"/>
          <w:sz w:val="24"/>
        </w:rPr>
        <w:t xml:space="preserve">de minimis </w:t>
      </w:r>
      <w:r>
        <w:rPr>
          <w:rFonts w:eastAsia="Times New Roman"/>
          <w:color w:val="000000"/>
          <w:sz w:val="24"/>
        </w:rPr>
        <w:t>rate (10% of Modified Total Direct Costs).</w:t>
      </w:r>
    </w:p>
    <w:p w:rsidR="007C25FE" w:rsidRDefault="00AB77A8">
      <w:pPr>
        <w:spacing w:before="2" w:line="276" w:lineRule="exact"/>
        <w:ind w:left="72" w:right="144"/>
        <w:textAlignment w:val="baseline"/>
        <w:rPr>
          <w:rFonts w:eastAsia="Times New Roman"/>
          <w:color w:val="000000"/>
          <w:spacing w:val="-1"/>
          <w:sz w:val="24"/>
        </w:rPr>
      </w:pPr>
      <w:r>
        <w:rPr>
          <w:rFonts w:eastAsia="Times New Roman"/>
          <w:color w:val="000000"/>
          <w:spacing w:val="-1"/>
          <w:sz w:val="24"/>
        </w:rPr>
        <w:t xml:space="preserve">Non-governmental organizations: If you are using a negotiated indirect cost rate, your application must clearly state the approved rate and distribution base and include a letter or other documentation from the cognizant agency showing the approved rate. If your organization has never had an indirect cost rate and wishes to use the </w:t>
      </w:r>
      <w:r>
        <w:rPr>
          <w:rFonts w:eastAsia="Times New Roman"/>
          <w:i/>
          <w:color w:val="000000"/>
          <w:spacing w:val="-1"/>
          <w:sz w:val="24"/>
        </w:rPr>
        <w:t xml:space="preserve">de minimis </w:t>
      </w:r>
      <w:r>
        <w:rPr>
          <w:rFonts w:eastAsia="Times New Roman"/>
          <w:color w:val="000000"/>
          <w:spacing w:val="-1"/>
          <w:sz w:val="24"/>
        </w:rPr>
        <w:t xml:space="preserve">rate, your application must clearly state your intent to use the </w:t>
      </w:r>
      <w:r>
        <w:rPr>
          <w:rFonts w:eastAsia="Times New Roman"/>
          <w:i/>
          <w:color w:val="000000"/>
          <w:spacing w:val="-1"/>
          <w:sz w:val="24"/>
        </w:rPr>
        <w:t xml:space="preserve">de minimis </w:t>
      </w:r>
      <w:r>
        <w:rPr>
          <w:rFonts w:eastAsia="Times New Roman"/>
          <w:color w:val="000000"/>
          <w:spacing w:val="-1"/>
          <w:sz w:val="24"/>
        </w:rPr>
        <w:t>10% of Modified Total Direct Costs (MTDC).</w:t>
      </w:r>
    </w:p>
    <w:p w:rsidR="007C25FE" w:rsidRDefault="00AB77A8">
      <w:pPr>
        <w:spacing w:before="276" w:after="1032" w:line="276" w:lineRule="exact"/>
        <w:ind w:left="72" w:right="144"/>
        <w:textAlignment w:val="baseline"/>
        <w:rPr>
          <w:rFonts w:eastAsia="Times New Roman"/>
          <w:color w:val="000000"/>
          <w:sz w:val="24"/>
        </w:rPr>
      </w:pPr>
      <w:r>
        <w:rPr>
          <w:rFonts w:eastAsia="Times New Roman"/>
          <w:color w:val="000000"/>
          <w:sz w:val="24"/>
        </w:rPr>
        <w:t>Governmental organizations: If your organization has a negotiated indirect cost rate, your application must include the rate and a letter or other documentation from the cognizant agency showing the negotiated rate. If your organization has prepared and maintains documentation supporting an indirect rate proposal but has not negotiated approval of the rate, your application's budget narrative must include the rate and applicable distribution base.</w:t>
      </w:r>
    </w:p>
    <w:p w:rsidR="007C25FE" w:rsidRDefault="00AB77A8">
      <w:pPr>
        <w:shd w:val="solid" w:color="E0E0E0" w:fill="E0E0E0"/>
        <w:spacing w:after="36" w:line="273" w:lineRule="exact"/>
        <w:ind w:left="72"/>
        <w:textAlignment w:val="baseline"/>
        <w:rPr>
          <w:rFonts w:eastAsia="Times New Roman"/>
          <w:b/>
          <w:color w:val="000000"/>
          <w:sz w:val="24"/>
        </w:rPr>
      </w:pPr>
      <w:r>
        <w:rPr>
          <w:rFonts w:eastAsia="Times New Roman"/>
          <w:b/>
          <w:color w:val="000000"/>
          <w:sz w:val="24"/>
        </w:rPr>
        <w:t>G. Other Submission Requirements.</w:t>
      </w:r>
    </w:p>
    <w:p w:rsidR="007C25FE" w:rsidRDefault="00AB77A8">
      <w:pPr>
        <w:numPr>
          <w:ilvl w:val="0"/>
          <w:numId w:val="30"/>
        </w:numPr>
        <w:tabs>
          <w:tab w:val="clear" w:pos="288"/>
          <w:tab w:val="left" w:pos="360"/>
        </w:tabs>
        <w:spacing w:before="3" w:line="273" w:lineRule="exact"/>
        <w:ind w:left="72"/>
        <w:textAlignment w:val="baseline"/>
        <w:rPr>
          <w:rFonts w:eastAsia="Times New Roman"/>
          <w:b/>
          <w:color w:val="000000"/>
          <w:sz w:val="24"/>
        </w:rPr>
      </w:pPr>
      <w:r>
        <w:rPr>
          <w:rFonts w:eastAsia="Times New Roman"/>
          <w:b/>
          <w:color w:val="000000"/>
          <w:sz w:val="24"/>
        </w:rPr>
        <w:t>Application Certifications and Assurances</w:t>
      </w:r>
    </w:p>
    <w:p w:rsidR="007C25FE" w:rsidRDefault="00AB77A8">
      <w:pPr>
        <w:spacing w:line="275" w:lineRule="exact"/>
        <w:ind w:left="72" w:right="72"/>
        <w:textAlignment w:val="baseline"/>
        <w:rPr>
          <w:rFonts w:eastAsia="Times New Roman"/>
          <w:color w:val="000000"/>
          <w:sz w:val="24"/>
        </w:rPr>
      </w:pPr>
      <w:r>
        <w:rPr>
          <w:rFonts w:eastAsia="Times New Roman"/>
          <w:color w:val="000000"/>
          <w:sz w:val="24"/>
        </w:rPr>
        <w:t xml:space="preserve">By signing the SF424 either through electronic submission or in paper copy submission (for those granted a waiver), applicant affirms certifications and assurances associated with the application are material representations of the facts upon which HUD will rely when making an award to the applicant. If it is later determined the signatory to the application submission knowingly made a false certification or assurance or did not have the authority to make a legally binding commitment for the applicant, the applicant may be subject to criminal prosecution, and HUD may terminate the award to the applicant organization or pursue other available remedies. Each applicant is responsible for including the correct certifications and assurances with its application submission, including those applicable to all applicants, those applicable only to federally-recognized Indian tribes, and those applicable to applicants other than federally-recognized Indian tribes. All program-specific certifications and assurances are included in the program Instructions Download on </w:t>
      </w:r>
      <w:hyperlink r:id="rId67">
        <w:r>
          <w:rPr>
            <w:rFonts w:eastAsia="Times New Roman"/>
            <w:color w:val="0000FF"/>
            <w:sz w:val="24"/>
            <w:u w:val="single"/>
          </w:rPr>
          <w:t>Grants.gov</w:t>
        </w:r>
      </w:hyperlink>
      <w:r>
        <w:rPr>
          <w:rFonts w:eastAsia="Times New Roman"/>
          <w:color w:val="000000"/>
          <w:sz w:val="24"/>
        </w:rPr>
        <w:t>.</w:t>
      </w:r>
    </w:p>
    <w:p w:rsidR="007C25FE" w:rsidRDefault="00AB77A8">
      <w:pPr>
        <w:numPr>
          <w:ilvl w:val="0"/>
          <w:numId w:val="30"/>
        </w:numPr>
        <w:tabs>
          <w:tab w:val="clear" w:pos="288"/>
          <w:tab w:val="left" w:pos="360"/>
        </w:tabs>
        <w:spacing w:before="6" w:line="273" w:lineRule="exact"/>
        <w:ind w:left="72"/>
        <w:textAlignment w:val="baseline"/>
        <w:rPr>
          <w:rFonts w:eastAsia="Times New Roman"/>
          <w:b/>
          <w:color w:val="000000"/>
          <w:spacing w:val="-1"/>
          <w:sz w:val="24"/>
        </w:rPr>
      </w:pPr>
      <w:r>
        <w:rPr>
          <w:rFonts w:eastAsia="Times New Roman"/>
          <w:b/>
          <w:color w:val="000000"/>
          <w:spacing w:val="-1"/>
          <w:sz w:val="24"/>
        </w:rPr>
        <w:t>Lead Based Paint Requirements</w:t>
      </w:r>
    </w:p>
    <w:p w:rsidR="007C25FE" w:rsidRDefault="00AB77A8">
      <w:pPr>
        <w:spacing w:before="453" w:after="610" w:line="276" w:lineRule="exact"/>
        <w:ind w:left="72" w:right="288"/>
        <w:textAlignment w:val="baseline"/>
        <w:rPr>
          <w:rFonts w:eastAsia="Times New Roman"/>
          <w:color w:val="000000"/>
          <w:sz w:val="24"/>
        </w:rPr>
      </w:pPr>
      <w:r>
        <w:rPr>
          <w:rFonts w:eastAsia="Times New Roman"/>
          <w:color w:val="000000"/>
          <w:sz w:val="24"/>
        </w:rPr>
        <w:t>When providing education or counseling on buying or renting housing that may include pre-1978 housing, when required by regulation or policy, inform clients of their rights under the Lead Disclosure Rule (24 CFR part 35, subpart A), and, if the focus of the education or counseling is on rental or purchase of HUD-assisted pre-1978 housing, the Lead Safe Housing Rule (subparts B, R, and, as applicable, F - M).</w:t>
      </w:r>
    </w:p>
    <w:p w:rsidR="007C25FE" w:rsidRDefault="00AB77A8">
      <w:pPr>
        <w:shd w:val="solid" w:color="BCDFFB" w:fill="BCDFFB"/>
        <w:spacing w:after="149" w:line="273" w:lineRule="exact"/>
        <w:ind w:left="72"/>
        <w:textAlignment w:val="baseline"/>
        <w:rPr>
          <w:rFonts w:eastAsia="Times New Roman"/>
          <w:b/>
          <w:color w:val="000000"/>
          <w:sz w:val="24"/>
        </w:rPr>
      </w:pPr>
      <w:r>
        <w:rPr>
          <w:rFonts w:eastAsia="Times New Roman"/>
          <w:b/>
          <w:color w:val="000000"/>
          <w:sz w:val="24"/>
        </w:rPr>
        <w:t>V. Application Review Information.</w:t>
      </w:r>
    </w:p>
    <w:p w:rsidR="007C25FE" w:rsidRDefault="00AB77A8">
      <w:pPr>
        <w:shd w:val="solid" w:color="E0E0E0" w:fill="E0E0E0"/>
        <w:spacing w:after="28" w:line="273" w:lineRule="exact"/>
        <w:ind w:left="72"/>
        <w:textAlignment w:val="baseline"/>
        <w:rPr>
          <w:rFonts w:eastAsia="Times New Roman"/>
          <w:b/>
          <w:color w:val="000000"/>
          <w:sz w:val="24"/>
        </w:rPr>
      </w:pPr>
      <w:r>
        <w:rPr>
          <w:rFonts w:eastAsia="Times New Roman"/>
          <w:b/>
          <w:color w:val="000000"/>
          <w:sz w:val="24"/>
        </w:rPr>
        <w:t>A. Review Criteria.</w:t>
      </w:r>
    </w:p>
    <w:p w:rsidR="007C25FE" w:rsidRDefault="007C25FE">
      <w:pPr>
        <w:spacing w:before="653" w:line="288" w:lineRule="exact"/>
        <w:textAlignment w:val="baseline"/>
        <w:rPr>
          <w:rFonts w:eastAsia="Times New Roman"/>
          <w:color w:val="000000"/>
          <w:sz w:val="24"/>
        </w:rPr>
      </w:pPr>
    </w:p>
    <w:p w:rsidR="007C25FE" w:rsidRDefault="007C25FE">
      <w:pPr>
        <w:sectPr w:rsidR="007C25FE">
          <w:pgSz w:w="12240" w:h="15840"/>
          <w:pgMar w:top="1760" w:right="1420" w:bottom="304" w:left="1363" w:header="720" w:footer="720" w:gutter="0"/>
          <w:cols w:space="720"/>
        </w:sectPr>
      </w:pPr>
    </w:p>
    <w:p w:rsidR="007C25FE" w:rsidRDefault="00AB77A8">
      <w:pPr>
        <w:spacing w:line="276" w:lineRule="exact"/>
        <w:textAlignment w:val="baseline"/>
        <w:rPr>
          <w:rFonts w:eastAsia="Times New Roman"/>
          <w:color w:val="000000"/>
          <w:spacing w:val="-13"/>
          <w:sz w:val="24"/>
        </w:rPr>
      </w:pPr>
      <w:r>
        <w:rPr>
          <w:rFonts w:eastAsia="Times New Roman"/>
          <w:color w:val="000000"/>
          <w:spacing w:val="-13"/>
          <w:sz w:val="24"/>
        </w:rPr>
        <w:t>26 of 49</w:t>
      </w:r>
    </w:p>
    <w:p w:rsidR="007C25FE" w:rsidRDefault="007C25FE">
      <w:pPr>
        <w:sectPr w:rsidR="007C25FE">
          <w:type w:val="continuous"/>
          <w:pgSz w:w="12240" w:h="15840"/>
          <w:pgMar w:top="1760" w:right="1441" w:bottom="304" w:left="9999" w:header="720" w:footer="720" w:gutter="0"/>
          <w:cols w:space="720"/>
        </w:sectPr>
      </w:pPr>
    </w:p>
    <w:p w:rsidR="007C25FE" w:rsidRDefault="00AB77A8">
      <w:pPr>
        <w:spacing w:before="9" w:after="44" w:line="276" w:lineRule="exact"/>
        <w:ind w:left="72"/>
        <w:textAlignment w:val="baseline"/>
        <w:rPr>
          <w:rFonts w:eastAsia="Times New Roman"/>
          <w:color w:val="000000"/>
          <w:spacing w:val="-2"/>
          <w:sz w:val="24"/>
        </w:rPr>
      </w:pPr>
      <w:r>
        <w:rPr>
          <w:rFonts w:eastAsia="Times New Roman"/>
          <w:color w:val="000000"/>
          <w:spacing w:val="-2"/>
          <w:sz w:val="24"/>
        </w:rPr>
        <w:t>1. Rating Factors.</w:t>
      </w:r>
    </w:p>
    <w:tbl>
      <w:tblPr>
        <w:tblW w:w="0" w:type="auto"/>
        <w:tblInd w:w="75" w:type="dxa"/>
        <w:tblLayout w:type="fixed"/>
        <w:tblCellMar>
          <w:left w:w="0" w:type="dxa"/>
          <w:right w:w="0" w:type="dxa"/>
        </w:tblCellMar>
        <w:tblLook w:val="04A0" w:firstRow="1" w:lastRow="0" w:firstColumn="1" w:lastColumn="0" w:noHBand="0" w:noVBand="1"/>
      </w:tblPr>
      <w:tblGrid>
        <w:gridCol w:w="653"/>
        <w:gridCol w:w="2409"/>
        <w:gridCol w:w="965"/>
        <w:gridCol w:w="1867"/>
        <w:gridCol w:w="3413"/>
      </w:tblGrid>
      <w:tr w:rsidR="007C25FE">
        <w:trPr>
          <w:trHeight w:hRule="exact" w:val="5093"/>
        </w:trPr>
        <w:tc>
          <w:tcPr>
            <w:tcW w:w="9307" w:type="dxa"/>
            <w:gridSpan w:val="5"/>
            <w:tcBorders>
              <w:top w:val="single" w:sz="5" w:space="0" w:color="000000"/>
              <w:left w:val="single" w:sz="5" w:space="0" w:color="000000"/>
              <w:bottom w:val="single" w:sz="5" w:space="0" w:color="000000"/>
              <w:right w:val="single" w:sz="5" w:space="0" w:color="000000"/>
            </w:tcBorders>
          </w:tcPr>
          <w:p w:rsidR="007C25FE" w:rsidRDefault="00AB77A8">
            <w:pPr>
              <w:spacing w:before="42" w:line="276" w:lineRule="exact"/>
              <w:ind w:left="72" w:right="108"/>
              <w:textAlignment w:val="baseline"/>
              <w:rPr>
                <w:rFonts w:eastAsia="Times New Roman"/>
                <w:b/>
                <w:color w:val="000000"/>
                <w:sz w:val="24"/>
              </w:rPr>
            </w:pPr>
            <w:r>
              <w:rPr>
                <w:rFonts w:eastAsia="Times New Roman"/>
                <w:b/>
                <w:color w:val="000000"/>
                <w:sz w:val="24"/>
              </w:rPr>
              <w:t xml:space="preserve">Scope of Review. </w:t>
            </w:r>
            <w:r>
              <w:rPr>
                <w:rFonts w:eastAsia="Times New Roman"/>
                <w:color w:val="000000"/>
                <w:sz w:val="24"/>
              </w:rPr>
              <w:t xml:space="preserve">HUD will review all applications in accordance with the requirements of this NOFA, and Housing Counseling Program requirements. HUD may rely on performance, monitoring and audit reports, financial status information, and other information available to HUD to make score determinations for </w:t>
            </w:r>
            <w:r>
              <w:rPr>
                <w:rFonts w:eastAsia="Times New Roman"/>
                <w:i/>
                <w:color w:val="000000"/>
                <w:sz w:val="25"/>
              </w:rPr>
              <w:t xml:space="preserve">any </w:t>
            </w:r>
            <w:r>
              <w:rPr>
                <w:rFonts w:eastAsia="Times New Roman"/>
                <w:color w:val="000000"/>
                <w:sz w:val="24"/>
              </w:rPr>
              <w:t xml:space="preserve">relevant Rating Factor. The Factors for Award, and maximum points for each factor, are outlined below. These factors will be used to evaluate all applications. The maximum number of points available for the Rating Factors is 100 for all Applicants. In response to the various factors and sub-factors, Applicants that manage networks of counseling agencies should </w:t>
            </w:r>
            <w:r>
              <w:rPr>
                <w:rFonts w:eastAsia="Times New Roman"/>
                <w:i/>
                <w:color w:val="000000"/>
                <w:sz w:val="25"/>
              </w:rPr>
              <w:t xml:space="preserve">not </w:t>
            </w:r>
            <w:r>
              <w:rPr>
                <w:rFonts w:eastAsia="Times New Roman"/>
                <w:color w:val="000000"/>
                <w:sz w:val="24"/>
              </w:rPr>
              <w:t>submit a separate response for each proposed Sub-grantee and Branch, but should provide a brief profile of each proposed Sub-grantee and Branch and a summary response for the Applicant’s entire network, highlighting individual activities, partnerships, needs and results when appropriate. Responses to the Rating Factors outlined below will be used to evaluate all applications.</w:t>
            </w:r>
          </w:p>
          <w:p w:rsidR="007C25FE" w:rsidRDefault="00AB77A8">
            <w:pPr>
              <w:spacing w:before="122" w:line="276" w:lineRule="exact"/>
              <w:ind w:left="72" w:right="252"/>
              <w:textAlignment w:val="baseline"/>
              <w:rPr>
                <w:rFonts w:eastAsia="Times New Roman"/>
                <w:color w:val="000000"/>
                <w:sz w:val="24"/>
              </w:rPr>
            </w:pPr>
            <w:r>
              <w:rPr>
                <w:rFonts w:eastAsia="Times New Roman"/>
                <w:color w:val="000000"/>
                <w:sz w:val="24"/>
              </w:rPr>
              <w:t>See table below for a summary of the Rating Factors and Sub-factors, Preference Points, their point values and information on whether to use the HUD-9906 Housing Counseling Charts or provide separate narratives.</w:t>
            </w:r>
          </w:p>
          <w:p w:rsidR="007C25FE" w:rsidRDefault="00AB77A8">
            <w:pPr>
              <w:spacing w:before="120" w:after="116" w:line="276" w:lineRule="exact"/>
              <w:ind w:left="72" w:right="540"/>
              <w:textAlignment w:val="baseline"/>
              <w:rPr>
                <w:rFonts w:eastAsia="Times New Roman"/>
                <w:color w:val="000000"/>
                <w:sz w:val="24"/>
              </w:rPr>
            </w:pPr>
            <w:r>
              <w:rPr>
                <w:rFonts w:eastAsia="Times New Roman"/>
                <w:color w:val="000000"/>
                <w:sz w:val="24"/>
              </w:rPr>
              <w:t>Unless otherwise specified, the term "HUD-9906" or "9906" refers to the HUD-9906-L for LHCA Applicants and to the HUD-9906-P for Intermediary/SHFA/MSO Applicants.</w:t>
            </w:r>
          </w:p>
        </w:tc>
      </w:tr>
      <w:tr w:rsidR="007C25FE">
        <w:trPr>
          <w:trHeight w:hRule="exact" w:val="729"/>
        </w:trPr>
        <w:tc>
          <w:tcPr>
            <w:tcW w:w="3062"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41" w:after="402" w:line="276" w:lineRule="exact"/>
              <w:ind w:left="24"/>
              <w:textAlignment w:val="baseline"/>
              <w:rPr>
                <w:rFonts w:eastAsia="Times New Roman"/>
                <w:b/>
                <w:color w:val="000000"/>
                <w:sz w:val="24"/>
              </w:rPr>
            </w:pPr>
            <w:r>
              <w:rPr>
                <w:rFonts w:eastAsia="Times New Roman"/>
                <w:b/>
                <w:color w:val="000000"/>
                <w:sz w:val="24"/>
              </w:rPr>
              <w:t>RATING FACTOR</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41" w:after="402" w:line="276" w:lineRule="exact"/>
              <w:ind w:left="24"/>
              <w:textAlignment w:val="baseline"/>
              <w:rPr>
                <w:rFonts w:eastAsia="Times New Roman"/>
                <w:b/>
                <w:color w:val="000000"/>
                <w:sz w:val="24"/>
              </w:rPr>
            </w:pPr>
            <w:r>
              <w:rPr>
                <w:rFonts w:eastAsia="Times New Roman"/>
                <w:b/>
                <w:color w:val="000000"/>
                <w:sz w:val="24"/>
              </w:rPr>
              <w:t>POINTS</w:t>
            </w:r>
          </w:p>
        </w:tc>
        <w:tc>
          <w:tcPr>
            <w:tcW w:w="1867" w:type="dxa"/>
            <w:tcBorders>
              <w:top w:val="single" w:sz="5" w:space="0" w:color="000000"/>
              <w:left w:val="single" w:sz="5" w:space="0" w:color="000000"/>
              <w:bottom w:val="single" w:sz="5" w:space="0" w:color="000000"/>
              <w:right w:val="single" w:sz="5" w:space="0" w:color="000000"/>
            </w:tcBorders>
          </w:tcPr>
          <w:p w:rsidR="007C25FE" w:rsidRDefault="00AB77A8">
            <w:pPr>
              <w:spacing w:before="41" w:after="402" w:line="276" w:lineRule="exact"/>
              <w:ind w:left="19"/>
              <w:textAlignment w:val="baseline"/>
              <w:rPr>
                <w:rFonts w:eastAsia="Times New Roman"/>
                <w:b/>
                <w:color w:val="000000"/>
                <w:sz w:val="24"/>
              </w:rPr>
            </w:pPr>
            <w:r>
              <w:rPr>
                <w:rFonts w:eastAsia="Times New Roman"/>
                <w:b/>
                <w:color w:val="000000"/>
                <w:sz w:val="24"/>
              </w:rPr>
              <w:t>CHART</w:t>
            </w:r>
          </w:p>
        </w:tc>
        <w:tc>
          <w:tcPr>
            <w:tcW w:w="3413"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128" w:line="276" w:lineRule="exact"/>
              <w:textAlignment w:val="baseline"/>
              <w:rPr>
                <w:rFonts w:eastAsia="Times New Roman"/>
                <w:b/>
                <w:color w:val="000000"/>
                <w:sz w:val="24"/>
              </w:rPr>
            </w:pPr>
            <w:r>
              <w:rPr>
                <w:rFonts w:eastAsia="Times New Roman"/>
                <w:b/>
                <w:color w:val="000000"/>
                <w:sz w:val="24"/>
              </w:rPr>
              <w:t>SEPARATE NARRATIVE or EXCEL SPREADSHEET</w:t>
            </w:r>
          </w:p>
        </w:tc>
      </w:tr>
      <w:tr w:rsidR="007C25FE">
        <w:trPr>
          <w:trHeight w:hRule="exact" w:val="730"/>
        </w:trPr>
        <w:tc>
          <w:tcPr>
            <w:tcW w:w="3062"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44" w:after="129" w:line="276" w:lineRule="exact"/>
              <w:ind w:left="36"/>
              <w:textAlignment w:val="baseline"/>
              <w:rPr>
                <w:rFonts w:eastAsia="Times New Roman"/>
                <w:b/>
                <w:color w:val="000000"/>
                <w:sz w:val="24"/>
              </w:rPr>
            </w:pPr>
            <w:r>
              <w:rPr>
                <w:rFonts w:eastAsia="Times New Roman"/>
                <w:b/>
                <w:color w:val="000000"/>
                <w:sz w:val="24"/>
              </w:rPr>
              <w:t>Rating Factor 1. Capacity of the Applicant</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42" w:after="407" w:line="276" w:lineRule="exact"/>
              <w:ind w:left="24"/>
              <w:textAlignment w:val="baseline"/>
              <w:rPr>
                <w:rFonts w:eastAsia="Times New Roman"/>
                <w:b/>
                <w:color w:val="000000"/>
                <w:sz w:val="24"/>
              </w:rPr>
            </w:pPr>
            <w:r>
              <w:rPr>
                <w:rFonts w:eastAsia="Times New Roman"/>
                <w:b/>
                <w:color w:val="000000"/>
                <w:sz w:val="24"/>
              </w:rPr>
              <w:t>31</w:t>
            </w:r>
          </w:p>
        </w:tc>
        <w:tc>
          <w:tcPr>
            <w:tcW w:w="1867" w:type="dxa"/>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c>
          <w:tcPr>
            <w:tcW w:w="3413" w:type="dxa"/>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r>
      <w:tr w:rsidR="007C25FE">
        <w:trPr>
          <w:trHeight w:hRule="exact" w:val="1008"/>
        </w:trPr>
        <w:tc>
          <w:tcPr>
            <w:tcW w:w="653" w:type="dxa"/>
            <w:tcBorders>
              <w:top w:val="single" w:sz="5" w:space="0" w:color="000000"/>
              <w:left w:val="single" w:sz="5" w:space="0" w:color="000000"/>
              <w:bottom w:val="single" w:sz="5" w:space="0" w:color="000000"/>
              <w:right w:val="single" w:sz="5" w:space="0" w:color="000000"/>
            </w:tcBorders>
          </w:tcPr>
          <w:p w:rsidR="007C25FE" w:rsidRDefault="00AB77A8">
            <w:pPr>
              <w:spacing w:before="42" w:line="276" w:lineRule="exact"/>
              <w:ind w:left="72"/>
              <w:textAlignment w:val="baseline"/>
              <w:rPr>
                <w:rFonts w:eastAsia="Times New Roman"/>
                <w:color w:val="000000"/>
                <w:sz w:val="24"/>
              </w:rPr>
            </w:pPr>
            <w:r>
              <w:rPr>
                <w:rFonts w:eastAsia="Times New Roman"/>
                <w:color w:val="000000"/>
                <w:sz w:val="24"/>
              </w:rPr>
              <w:t>Sub- factor</w:t>
            </w:r>
          </w:p>
          <w:p w:rsidR="007C25FE" w:rsidRDefault="00AB77A8">
            <w:pPr>
              <w:spacing w:after="136" w:line="273" w:lineRule="exact"/>
              <w:textAlignment w:val="baseline"/>
              <w:rPr>
                <w:rFonts w:eastAsia="Times New Roman"/>
                <w:color w:val="000000"/>
                <w:sz w:val="24"/>
              </w:rPr>
            </w:pPr>
            <w:r>
              <w:rPr>
                <w:rFonts w:eastAsia="Times New Roman"/>
                <w:color w:val="000000"/>
                <w:sz w:val="24"/>
              </w:rPr>
              <w:t>1</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spacing w:before="44" w:after="683" w:line="276" w:lineRule="exact"/>
              <w:ind w:left="23"/>
              <w:textAlignment w:val="baseline"/>
              <w:rPr>
                <w:rFonts w:eastAsia="Times New Roman"/>
                <w:color w:val="000000"/>
                <w:sz w:val="24"/>
              </w:rPr>
            </w:pPr>
            <w:r>
              <w:rPr>
                <w:rFonts w:eastAsia="Times New Roman"/>
                <w:color w:val="000000"/>
                <w:sz w:val="24"/>
              </w:rPr>
              <w:t>Capacity</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44" w:after="683" w:line="276" w:lineRule="exact"/>
              <w:ind w:left="24"/>
              <w:textAlignment w:val="baseline"/>
              <w:rPr>
                <w:rFonts w:eastAsia="Times New Roman"/>
                <w:color w:val="000000"/>
                <w:sz w:val="24"/>
              </w:rPr>
            </w:pPr>
            <w:r>
              <w:rPr>
                <w:rFonts w:eastAsia="Times New Roman"/>
                <w:color w:val="000000"/>
                <w:sz w:val="24"/>
              </w:rPr>
              <w:t>18</w:t>
            </w:r>
          </w:p>
        </w:tc>
        <w:tc>
          <w:tcPr>
            <w:tcW w:w="1867" w:type="dxa"/>
            <w:tcBorders>
              <w:top w:val="single" w:sz="5" w:space="0" w:color="000000"/>
              <w:left w:val="single" w:sz="5" w:space="0" w:color="000000"/>
              <w:bottom w:val="single" w:sz="5" w:space="0" w:color="000000"/>
              <w:right w:val="single" w:sz="5" w:space="0" w:color="000000"/>
            </w:tcBorders>
          </w:tcPr>
          <w:p w:rsidR="007C25FE" w:rsidRDefault="00AB77A8">
            <w:pPr>
              <w:spacing w:before="44" w:after="683" w:line="276" w:lineRule="exact"/>
              <w:ind w:left="19"/>
              <w:textAlignment w:val="baseline"/>
              <w:rPr>
                <w:rFonts w:eastAsia="Times New Roman"/>
                <w:color w:val="000000"/>
                <w:sz w:val="24"/>
              </w:rPr>
            </w:pPr>
            <w:r>
              <w:rPr>
                <w:rFonts w:eastAsia="Times New Roman"/>
                <w:color w:val="000000"/>
                <w:sz w:val="24"/>
              </w:rPr>
              <w:t>Chart A1 or A2</w:t>
            </w:r>
          </w:p>
        </w:tc>
        <w:tc>
          <w:tcPr>
            <w:tcW w:w="3413"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136" w:line="276" w:lineRule="exact"/>
              <w:textAlignment w:val="baseline"/>
              <w:rPr>
                <w:rFonts w:eastAsia="Times New Roman"/>
                <w:color w:val="000000"/>
                <w:sz w:val="24"/>
              </w:rPr>
            </w:pPr>
            <w:r>
              <w:rPr>
                <w:rFonts w:eastAsia="Times New Roman"/>
                <w:color w:val="000000"/>
                <w:sz w:val="24"/>
              </w:rPr>
              <w:t>Intermediary/SHFA/MSO Applic ants Only: Spreadsheet with Chart A2.</w:t>
            </w:r>
          </w:p>
        </w:tc>
      </w:tr>
      <w:tr w:rsidR="007C25FE">
        <w:trPr>
          <w:trHeight w:hRule="exact" w:val="1008"/>
        </w:trPr>
        <w:tc>
          <w:tcPr>
            <w:tcW w:w="653" w:type="dxa"/>
            <w:tcBorders>
              <w:top w:val="single" w:sz="5" w:space="0" w:color="000000"/>
              <w:left w:val="single" w:sz="5" w:space="0" w:color="000000"/>
              <w:bottom w:val="single" w:sz="5" w:space="0" w:color="000000"/>
              <w:right w:val="single" w:sz="5" w:space="0" w:color="000000"/>
            </w:tcBorders>
          </w:tcPr>
          <w:p w:rsidR="007C25FE" w:rsidRDefault="00AB77A8">
            <w:pPr>
              <w:spacing w:before="42" w:line="276" w:lineRule="exact"/>
              <w:ind w:left="72"/>
              <w:textAlignment w:val="baseline"/>
              <w:rPr>
                <w:rFonts w:eastAsia="Times New Roman"/>
                <w:color w:val="000000"/>
                <w:sz w:val="24"/>
              </w:rPr>
            </w:pPr>
            <w:r>
              <w:rPr>
                <w:rFonts w:eastAsia="Times New Roman"/>
                <w:color w:val="000000"/>
                <w:sz w:val="24"/>
              </w:rPr>
              <w:t>Sub- factor</w:t>
            </w:r>
          </w:p>
          <w:p w:rsidR="007C25FE" w:rsidRDefault="00AB77A8">
            <w:pPr>
              <w:spacing w:after="136" w:line="273" w:lineRule="exact"/>
              <w:textAlignment w:val="baseline"/>
              <w:rPr>
                <w:rFonts w:eastAsia="Times New Roman"/>
                <w:color w:val="000000"/>
                <w:sz w:val="24"/>
              </w:rPr>
            </w:pPr>
            <w:r>
              <w:rPr>
                <w:rFonts w:eastAsia="Times New Roman"/>
                <w:color w:val="000000"/>
                <w:sz w:val="24"/>
              </w:rPr>
              <w:t>2</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spacing w:before="39" w:line="276" w:lineRule="exact"/>
              <w:textAlignment w:val="baseline"/>
              <w:rPr>
                <w:rFonts w:eastAsia="Times New Roman"/>
                <w:color w:val="000000"/>
                <w:sz w:val="24"/>
              </w:rPr>
            </w:pPr>
            <w:r>
              <w:rPr>
                <w:rFonts w:eastAsia="Times New Roman"/>
                <w:color w:val="000000"/>
                <w:sz w:val="24"/>
              </w:rPr>
              <w:t>Performance</w:t>
            </w:r>
          </w:p>
          <w:p w:rsidR="007C25FE" w:rsidRDefault="00AB77A8">
            <w:pPr>
              <w:spacing w:before="123" w:after="289" w:line="276" w:lineRule="exact"/>
              <w:textAlignment w:val="baseline"/>
              <w:rPr>
                <w:rFonts w:eastAsia="Times New Roman"/>
                <w:color w:val="000000"/>
                <w:sz w:val="24"/>
              </w:rPr>
            </w:pPr>
            <w:r>
              <w:rPr>
                <w:rFonts w:eastAsia="Times New Roman"/>
                <w:color w:val="000000"/>
                <w:sz w:val="24"/>
              </w:rPr>
              <w:t>Reviews/Compliance</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688" w:line="276" w:lineRule="exact"/>
              <w:ind w:left="24"/>
              <w:textAlignment w:val="baseline"/>
              <w:rPr>
                <w:rFonts w:eastAsia="Times New Roman"/>
                <w:color w:val="000000"/>
                <w:sz w:val="24"/>
              </w:rPr>
            </w:pPr>
            <w:r>
              <w:rPr>
                <w:rFonts w:eastAsia="Times New Roman"/>
                <w:color w:val="000000"/>
                <w:sz w:val="24"/>
              </w:rPr>
              <w:t>7</w:t>
            </w:r>
          </w:p>
        </w:tc>
        <w:tc>
          <w:tcPr>
            <w:tcW w:w="1867"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688" w:line="276" w:lineRule="exact"/>
              <w:ind w:left="19"/>
              <w:textAlignment w:val="baseline"/>
              <w:rPr>
                <w:rFonts w:eastAsia="Times New Roman"/>
                <w:color w:val="000000"/>
                <w:sz w:val="24"/>
              </w:rPr>
            </w:pPr>
            <w:r>
              <w:rPr>
                <w:rFonts w:eastAsia="Times New Roman"/>
                <w:color w:val="000000"/>
                <w:sz w:val="24"/>
              </w:rPr>
              <w:t>N/A</w:t>
            </w:r>
          </w:p>
        </w:tc>
        <w:tc>
          <w:tcPr>
            <w:tcW w:w="3413"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688" w:line="276" w:lineRule="exact"/>
              <w:ind w:left="19"/>
              <w:textAlignment w:val="baseline"/>
              <w:rPr>
                <w:rFonts w:eastAsia="Times New Roman"/>
                <w:color w:val="000000"/>
                <w:sz w:val="24"/>
              </w:rPr>
            </w:pPr>
            <w:r>
              <w:rPr>
                <w:rFonts w:eastAsia="Times New Roman"/>
                <w:color w:val="000000"/>
                <w:sz w:val="24"/>
              </w:rPr>
              <w:t>N/A</w:t>
            </w:r>
          </w:p>
        </w:tc>
      </w:tr>
      <w:tr w:rsidR="007C25FE">
        <w:trPr>
          <w:trHeight w:hRule="exact" w:val="1008"/>
        </w:trPr>
        <w:tc>
          <w:tcPr>
            <w:tcW w:w="653" w:type="dxa"/>
            <w:tcBorders>
              <w:top w:val="single" w:sz="5" w:space="0" w:color="000000"/>
              <w:left w:val="single" w:sz="5" w:space="0" w:color="000000"/>
              <w:bottom w:val="single" w:sz="5" w:space="0" w:color="000000"/>
              <w:right w:val="single" w:sz="5" w:space="0" w:color="000000"/>
            </w:tcBorders>
          </w:tcPr>
          <w:p w:rsidR="007C25FE" w:rsidRDefault="00AB77A8">
            <w:pPr>
              <w:spacing w:before="42" w:line="276" w:lineRule="exact"/>
              <w:ind w:left="72"/>
              <w:textAlignment w:val="baseline"/>
              <w:rPr>
                <w:rFonts w:eastAsia="Times New Roman"/>
                <w:color w:val="000000"/>
                <w:sz w:val="24"/>
              </w:rPr>
            </w:pPr>
            <w:r>
              <w:rPr>
                <w:rFonts w:eastAsia="Times New Roman"/>
                <w:color w:val="000000"/>
                <w:sz w:val="24"/>
              </w:rPr>
              <w:t>Sub- factor</w:t>
            </w:r>
          </w:p>
          <w:p w:rsidR="007C25FE" w:rsidRDefault="00AB77A8">
            <w:pPr>
              <w:spacing w:after="136" w:line="273" w:lineRule="exact"/>
              <w:textAlignment w:val="baseline"/>
              <w:rPr>
                <w:rFonts w:eastAsia="Times New Roman"/>
                <w:color w:val="000000"/>
                <w:sz w:val="24"/>
              </w:rPr>
            </w:pPr>
            <w:r>
              <w:rPr>
                <w:rFonts w:eastAsia="Times New Roman"/>
                <w:color w:val="000000"/>
                <w:sz w:val="24"/>
              </w:rPr>
              <w:t>3</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spacing w:before="42" w:after="409" w:line="276" w:lineRule="exact"/>
              <w:ind w:left="36"/>
              <w:textAlignment w:val="baseline"/>
              <w:rPr>
                <w:rFonts w:eastAsia="Times New Roman"/>
                <w:color w:val="000000"/>
                <w:sz w:val="24"/>
              </w:rPr>
            </w:pPr>
            <w:r>
              <w:rPr>
                <w:rFonts w:eastAsia="Times New Roman"/>
                <w:color w:val="000000"/>
                <w:sz w:val="24"/>
              </w:rPr>
              <w:t>Measuring Client Satisfaction</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688" w:line="276" w:lineRule="exact"/>
              <w:ind w:left="24"/>
              <w:textAlignment w:val="baseline"/>
              <w:rPr>
                <w:rFonts w:eastAsia="Times New Roman"/>
                <w:color w:val="000000"/>
                <w:sz w:val="24"/>
              </w:rPr>
            </w:pPr>
            <w:r>
              <w:rPr>
                <w:rFonts w:eastAsia="Times New Roman"/>
                <w:color w:val="000000"/>
                <w:sz w:val="24"/>
              </w:rPr>
              <w:t>6</w:t>
            </w:r>
          </w:p>
        </w:tc>
        <w:tc>
          <w:tcPr>
            <w:tcW w:w="1867"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688" w:line="276" w:lineRule="exact"/>
              <w:ind w:left="19"/>
              <w:textAlignment w:val="baseline"/>
              <w:rPr>
                <w:rFonts w:eastAsia="Times New Roman"/>
                <w:color w:val="000000"/>
                <w:sz w:val="24"/>
              </w:rPr>
            </w:pPr>
            <w:r>
              <w:rPr>
                <w:rFonts w:eastAsia="Times New Roman"/>
                <w:color w:val="000000"/>
                <w:sz w:val="24"/>
              </w:rPr>
              <w:t>Chart A1 or A2</w:t>
            </w:r>
          </w:p>
        </w:tc>
        <w:tc>
          <w:tcPr>
            <w:tcW w:w="3413"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688" w:line="276" w:lineRule="exact"/>
              <w:ind w:left="19"/>
              <w:textAlignment w:val="baseline"/>
              <w:rPr>
                <w:rFonts w:eastAsia="Times New Roman"/>
                <w:color w:val="000000"/>
                <w:sz w:val="24"/>
              </w:rPr>
            </w:pPr>
            <w:r>
              <w:rPr>
                <w:rFonts w:eastAsia="Times New Roman"/>
                <w:color w:val="000000"/>
                <w:sz w:val="24"/>
              </w:rPr>
              <w:t>N/A</w:t>
            </w:r>
          </w:p>
        </w:tc>
      </w:tr>
      <w:tr w:rsidR="007C25FE">
        <w:trPr>
          <w:trHeight w:hRule="exact" w:val="1003"/>
        </w:trPr>
        <w:tc>
          <w:tcPr>
            <w:tcW w:w="3062"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41" w:after="134" w:line="276" w:lineRule="exact"/>
              <w:ind w:left="36"/>
              <w:textAlignment w:val="baseline"/>
              <w:rPr>
                <w:rFonts w:eastAsia="Times New Roman"/>
                <w:b/>
                <w:color w:val="000000"/>
                <w:sz w:val="24"/>
              </w:rPr>
            </w:pPr>
            <w:r>
              <w:rPr>
                <w:rFonts w:eastAsia="Times New Roman"/>
                <w:b/>
                <w:color w:val="000000"/>
                <w:sz w:val="24"/>
              </w:rPr>
              <w:t>Rating Factor 2. Need/ Departmental Policy Priorities</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41" w:after="686" w:line="276" w:lineRule="exact"/>
              <w:ind w:left="24"/>
              <w:textAlignment w:val="baseline"/>
              <w:rPr>
                <w:rFonts w:eastAsia="Times New Roman"/>
                <w:b/>
                <w:color w:val="000000"/>
                <w:sz w:val="24"/>
              </w:rPr>
            </w:pPr>
            <w:r>
              <w:rPr>
                <w:rFonts w:eastAsia="Times New Roman"/>
                <w:b/>
                <w:color w:val="000000"/>
                <w:sz w:val="24"/>
              </w:rPr>
              <w:t>14</w:t>
            </w:r>
          </w:p>
        </w:tc>
        <w:tc>
          <w:tcPr>
            <w:tcW w:w="1867" w:type="dxa"/>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c>
          <w:tcPr>
            <w:tcW w:w="3413" w:type="dxa"/>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r>
      <w:tr w:rsidR="007C25FE">
        <w:trPr>
          <w:trHeight w:hRule="exact" w:val="456"/>
        </w:trPr>
        <w:tc>
          <w:tcPr>
            <w:tcW w:w="653"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44" w:after="308" w:line="276" w:lineRule="exact"/>
              <w:ind w:left="72"/>
              <w:textAlignment w:val="baseline"/>
              <w:rPr>
                <w:rFonts w:eastAsia="Times New Roman"/>
                <w:color w:val="000000"/>
                <w:sz w:val="24"/>
              </w:rPr>
            </w:pPr>
            <w:r>
              <w:rPr>
                <w:rFonts w:eastAsia="Times New Roman"/>
                <w:color w:val="000000"/>
                <w:sz w:val="24"/>
              </w:rPr>
              <w:t>Sub- factor 1</w:t>
            </w:r>
          </w:p>
        </w:tc>
        <w:tc>
          <w:tcPr>
            <w:tcW w:w="2409"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44" w:after="860" w:line="276" w:lineRule="exact"/>
              <w:ind w:left="23"/>
              <w:textAlignment w:val="baseline"/>
              <w:rPr>
                <w:rFonts w:eastAsia="Times New Roman"/>
                <w:color w:val="000000"/>
                <w:sz w:val="24"/>
              </w:rPr>
            </w:pPr>
            <w:r>
              <w:rPr>
                <w:rFonts w:eastAsia="Times New Roman"/>
                <w:color w:val="000000"/>
                <w:sz w:val="24"/>
              </w:rPr>
              <w:t>Needs</w:t>
            </w:r>
          </w:p>
        </w:tc>
        <w:tc>
          <w:tcPr>
            <w:tcW w:w="965"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44" w:after="860" w:line="276" w:lineRule="exact"/>
              <w:ind w:left="24"/>
              <w:textAlignment w:val="baseline"/>
              <w:rPr>
                <w:rFonts w:eastAsia="Times New Roman"/>
                <w:color w:val="000000"/>
                <w:sz w:val="24"/>
              </w:rPr>
            </w:pPr>
            <w:r>
              <w:rPr>
                <w:rFonts w:eastAsia="Times New Roman"/>
                <w:color w:val="000000"/>
                <w:sz w:val="24"/>
              </w:rPr>
              <w:t>10</w:t>
            </w:r>
          </w:p>
        </w:tc>
        <w:tc>
          <w:tcPr>
            <w:tcW w:w="1867" w:type="dxa"/>
            <w:tcBorders>
              <w:top w:val="single" w:sz="5" w:space="0" w:color="000000"/>
              <w:left w:val="single" w:sz="5" w:space="0" w:color="000000"/>
              <w:bottom w:val="single" w:sz="5" w:space="0" w:color="000000"/>
              <w:right w:val="single" w:sz="5" w:space="0" w:color="000000"/>
            </w:tcBorders>
            <w:vAlign w:val="center"/>
          </w:tcPr>
          <w:p w:rsidR="007C25FE" w:rsidRDefault="00AB77A8">
            <w:pPr>
              <w:spacing w:before="44" w:after="126" w:line="276" w:lineRule="exact"/>
              <w:ind w:left="19"/>
              <w:textAlignment w:val="baseline"/>
              <w:rPr>
                <w:rFonts w:eastAsia="Times New Roman"/>
                <w:color w:val="000000"/>
                <w:sz w:val="24"/>
              </w:rPr>
            </w:pPr>
            <w:r>
              <w:rPr>
                <w:rFonts w:eastAsia="Times New Roman"/>
                <w:color w:val="000000"/>
                <w:sz w:val="24"/>
              </w:rPr>
              <w:t>Chart A1 or A2</w:t>
            </w:r>
          </w:p>
        </w:tc>
        <w:tc>
          <w:tcPr>
            <w:tcW w:w="3413"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42" w:after="586" w:line="276" w:lineRule="exact"/>
              <w:ind w:left="36" w:right="252"/>
              <w:textAlignment w:val="baseline"/>
              <w:rPr>
                <w:rFonts w:eastAsia="Times New Roman"/>
                <w:color w:val="000000"/>
                <w:sz w:val="24"/>
              </w:rPr>
            </w:pPr>
            <w:r>
              <w:rPr>
                <w:rFonts w:eastAsia="Times New Roman"/>
                <w:color w:val="000000"/>
                <w:sz w:val="24"/>
              </w:rPr>
              <w:t>Sub-factor 1b (if applicable) and 1d</w:t>
            </w:r>
          </w:p>
        </w:tc>
      </w:tr>
      <w:tr w:rsidR="007C25FE">
        <w:trPr>
          <w:trHeight w:hRule="exact" w:val="730"/>
        </w:trPr>
        <w:tc>
          <w:tcPr>
            <w:tcW w:w="653"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2409"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965"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1867" w:type="dxa"/>
            <w:tcBorders>
              <w:top w:val="single" w:sz="5" w:space="0" w:color="000000"/>
              <w:left w:val="single" w:sz="5" w:space="0" w:color="000000"/>
              <w:bottom w:val="single" w:sz="5" w:space="0" w:color="000000"/>
              <w:right w:val="single" w:sz="5" w:space="0" w:color="000000"/>
            </w:tcBorders>
          </w:tcPr>
          <w:p w:rsidR="007C25FE" w:rsidRDefault="00AB77A8">
            <w:pPr>
              <w:spacing w:before="42" w:after="130" w:line="276" w:lineRule="exact"/>
              <w:ind w:right="432"/>
              <w:textAlignment w:val="baseline"/>
              <w:rPr>
                <w:rFonts w:eastAsia="Times New Roman"/>
                <w:color w:val="000000"/>
                <w:spacing w:val="-1"/>
                <w:sz w:val="24"/>
              </w:rPr>
            </w:pPr>
            <w:r>
              <w:rPr>
                <w:rFonts w:eastAsia="Times New Roman"/>
                <w:color w:val="000000"/>
                <w:spacing w:val="-1"/>
                <w:sz w:val="24"/>
              </w:rPr>
              <w:t>Chart F1 or F2, Fields A-C</w:t>
            </w:r>
          </w:p>
        </w:tc>
        <w:tc>
          <w:tcPr>
            <w:tcW w:w="3413" w:type="dxa"/>
            <w:vMerge/>
            <w:tcBorders>
              <w:top w:val="single" w:sz="0" w:space="0" w:color="000000"/>
              <w:left w:val="single" w:sz="5" w:space="0" w:color="000000"/>
              <w:bottom w:val="single" w:sz="5" w:space="0" w:color="000000"/>
              <w:right w:val="single" w:sz="5" w:space="0" w:color="000000"/>
            </w:tcBorders>
          </w:tcPr>
          <w:p w:rsidR="007C25FE" w:rsidRDefault="007C25FE"/>
        </w:tc>
      </w:tr>
      <w:tr w:rsidR="007C25FE">
        <w:trPr>
          <w:trHeight w:hRule="exact" w:val="638"/>
        </w:trPr>
        <w:tc>
          <w:tcPr>
            <w:tcW w:w="653" w:type="dxa"/>
            <w:tcBorders>
              <w:top w:val="single" w:sz="5" w:space="0" w:color="000000"/>
              <w:left w:val="single" w:sz="5" w:space="0" w:color="000000"/>
              <w:bottom w:val="single" w:sz="5" w:space="0" w:color="000000"/>
              <w:right w:val="single" w:sz="5" w:space="0" w:color="000000"/>
            </w:tcBorders>
          </w:tcPr>
          <w:p w:rsidR="007C25FE" w:rsidRDefault="00AB77A8">
            <w:pPr>
              <w:spacing w:before="41" w:after="35" w:line="276" w:lineRule="exact"/>
              <w:ind w:left="36"/>
              <w:textAlignment w:val="baseline"/>
              <w:rPr>
                <w:rFonts w:eastAsia="Times New Roman"/>
                <w:color w:val="000000"/>
                <w:sz w:val="24"/>
              </w:rPr>
            </w:pPr>
            <w:r>
              <w:rPr>
                <w:rFonts w:eastAsia="Times New Roman"/>
                <w:color w:val="000000"/>
                <w:sz w:val="24"/>
              </w:rPr>
              <w:t>Sub- factor</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spacing w:before="44" w:after="308" w:line="276" w:lineRule="exact"/>
              <w:ind w:left="23"/>
              <w:textAlignment w:val="baseline"/>
              <w:rPr>
                <w:rFonts w:eastAsia="Times New Roman"/>
                <w:color w:val="000000"/>
                <w:sz w:val="24"/>
              </w:rPr>
            </w:pPr>
            <w:r>
              <w:rPr>
                <w:rFonts w:eastAsia="Times New Roman"/>
                <w:color w:val="000000"/>
                <w:sz w:val="24"/>
              </w:rPr>
              <w:t>NOFA Priorities</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44" w:after="308" w:line="276" w:lineRule="exact"/>
              <w:ind w:left="24"/>
              <w:textAlignment w:val="baseline"/>
              <w:rPr>
                <w:rFonts w:eastAsia="Times New Roman"/>
                <w:color w:val="000000"/>
                <w:sz w:val="24"/>
              </w:rPr>
            </w:pPr>
            <w:r>
              <w:rPr>
                <w:rFonts w:eastAsia="Times New Roman"/>
                <w:color w:val="000000"/>
                <w:sz w:val="24"/>
              </w:rPr>
              <w:t>4</w:t>
            </w:r>
          </w:p>
        </w:tc>
        <w:tc>
          <w:tcPr>
            <w:tcW w:w="1867" w:type="dxa"/>
            <w:tcBorders>
              <w:top w:val="single" w:sz="5" w:space="0" w:color="000000"/>
              <w:left w:val="single" w:sz="5" w:space="0" w:color="000000"/>
              <w:bottom w:val="single" w:sz="5" w:space="0" w:color="000000"/>
              <w:right w:val="single" w:sz="5" w:space="0" w:color="000000"/>
            </w:tcBorders>
          </w:tcPr>
          <w:p w:rsidR="007C25FE" w:rsidRDefault="00AB77A8">
            <w:pPr>
              <w:spacing w:before="44" w:after="308" w:line="276" w:lineRule="exact"/>
              <w:ind w:left="19"/>
              <w:textAlignment w:val="baseline"/>
              <w:rPr>
                <w:rFonts w:eastAsia="Times New Roman"/>
                <w:color w:val="000000"/>
                <w:sz w:val="24"/>
              </w:rPr>
            </w:pPr>
            <w:r>
              <w:rPr>
                <w:rFonts w:eastAsia="Times New Roman"/>
                <w:color w:val="000000"/>
                <w:sz w:val="24"/>
              </w:rPr>
              <w:t>N/A</w:t>
            </w:r>
          </w:p>
        </w:tc>
        <w:tc>
          <w:tcPr>
            <w:tcW w:w="3413" w:type="dxa"/>
            <w:tcBorders>
              <w:top w:val="single" w:sz="5" w:space="0" w:color="000000"/>
              <w:left w:val="single" w:sz="5" w:space="0" w:color="000000"/>
              <w:bottom w:val="single" w:sz="5" w:space="0" w:color="000000"/>
              <w:right w:val="single" w:sz="5" w:space="0" w:color="000000"/>
            </w:tcBorders>
          </w:tcPr>
          <w:p w:rsidR="007C25FE" w:rsidRDefault="00AB77A8">
            <w:pPr>
              <w:spacing w:before="44" w:after="308" w:line="276" w:lineRule="exact"/>
              <w:ind w:left="19"/>
              <w:textAlignment w:val="baseline"/>
              <w:rPr>
                <w:rFonts w:eastAsia="Times New Roman"/>
                <w:color w:val="000000"/>
                <w:sz w:val="24"/>
              </w:rPr>
            </w:pPr>
            <w:r>
              <w:rPr>
                <w:rFonts w:eastAsia="Times New Roman"/>
                <w:color w:val="000000"/>
                <w:sz w:val="24"/>
              </w:rPr>
              <w:t>Sub-factors 2 a and b</w:t>
            </w:r>
          </w:p>
        </w:tc>
      </w:tr>
    </w:tbl>
    <w:p w:rsidR="007C25FE" w:rsidRDefault="007C25FE">
      <w:pPr>
        <w:spacing w:after="481" w:line="20" w:lineRule="exact"/>
      </w:pPr>
    </w:p>
    <w:p w:rsidR="007C25FE" w:rsidRDefault="007C25FE">
      <w:pPr>
        <w:spacing w:after="481" w:line="20" w:lineRule="exact"/>
        <w:sectPr w:rsidR="007C25FE">
          <w:pgSz w:w="12240" w:h="15840"/>
          <w:pgMar w:top="1600" w:right="1408" w:bottom="304" w:left="1375"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27 of 49</w:t>
      </w:r>
    </w:p>
    <w:p w:rsidR="007C25FE" w:rsidRDefault="007C25FE">
      <w:pPr>
        <w:sectPr w:rsidR="007C25FE">
          <w:type w:val="continuous"/>
          <w:pgSz w:w="12240" w:h="15840"/>
          <w:pgMar w:top="1600" w:right="1441" w:bottom="304" w:left="9999" w:header="720" w:footer="720" w:gutter="0"/>
          <w:cols w:space="720"/>
        </w:sectPr>
      </w:pPr>
    </w:p>
    <w:tbl>
      <w:tblPr>
        <w:tblW w:w="0" w:type="auto"/>
        <w:tblInd w:w="75" w:type="dxa"/>
        <w:tblLayout w:type="fixed"/>
        <w:tblCellMar>
          <w:left w:w="0" w:type="dxa"/>
          <w:right w:w="0" w:type="dxa"/>
        </w:tblCellMar>
        <w:tblLook w:val="04A0" w:firstRow="1" w:lastRow="0" w:firstColumn="1" w:lastColumn="0" w:noHBand="0" w:noVBand="1"/>
      </w:tblPr>
      <w:tblGrid>
        <w:gridCol w:w="653"/>
        <w:gridCol w:w="2409"/>
        <w:gridCol w:w="965"/>
        <w:gridCol w:w="235"/>
        <w:gridCol w:w="1248"/>
        <w:gridCol w:w="384"/>
        <w:gridCol w:w="965"/>
        <w:gridCol w:w="2448"/>
      </w:tblGrid>
      <w:tr w:rsidR="007C25FE">
        <w:trPr>
          <w:trHeight w:hRule="exact" w:val="499"/>
        </w:trPr>
        <w:tc>
          <w:tcPr>
            <w:tcW w:w="653" w:type="dxa"/>
            <w:tcBorders>
              <w:top w:val="single" w:sz="5" w:space="0" w:color="000000"/>
              <w:left w:val="single" w:sz="5" w:space="0" w:color="000000"/>
              <w:bottom w:val="single" w:sz="5" w:space="0" w:color="000000"/>
              <w:right w:val="single" w:sz="5" w:space="0" w:color="000000"/>
            </w:tcBorders>
            <w:vAlign w:val="center"/>
          </w:tcPr>
          <w:p w:rsidR="007C25FE" w:rsidRDefault="00AB77A8">
            <w:pPr>
              <w:spacing w:before="82" w:after="131" w:line="277" w:lineRule="exact"/>
              <w:ind w:left="33"/>
              <w:textAlignment w:val="baseline"/>
              <w:rPr>
                <w:rFonts w:eastAsia="Times New Roman"/>
                <w:color w:val="000000"/>
                <w:sz w:val="24"/>
              </w:rPr>
            </w:pPr>
            <w:r>
              <w:rPr>
                <w:rFonts w:eastAsia="Times New Roman"/>
                <w:color w:val="000000"/>
                <w:sz w:val="24"/>
              </w:rPr>
              <w:t>2</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c>
          <w:tcPr>
            <w:tcW w:w="3413" w:type="dxa"/>
            <w:gridSpan w:val="2"/>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r>
      <w:tr w:rsidR="007C25FE">
        <w:trPr>
          <w:trHeight w:hRule="exact" w:val="1402"/>
        </w:trPr>
        <w:tc>
          <w:tcPr>
            <w:tcW w:w="3062"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42" w:line="277" w:lineRule="exact"/>
              <w:ind w:left="72"/>
              <w:textAlignment w:val="baseline"/>
              <w:rPr>
                <w:rFonts w:eastAsia="Times New Roman"/>
                <w:b/>
                <w:color w:val="000000"/>
                <w:sz w:val="24"/>
              </w:rPr>
            </w:pPr>
            <w:r>
              <w:rPr>
                <w:rFonts w:eastAsia="Times New Roman"/>
                <w:b/>
                <w:color w:val="000000"/>
                <w:sz w:val="24"/>
              </w:rPr>
              <w:t>Rating Factor 3. Soundness of</w:t>
            </w:r>
          </w:p>
          <w:p w:rsidR="007C25FE" w:rsidRDefault="00AB77A8">
            <w:pPr>
              <w:spacing w:before="114" w:after="123" w:line="277" w:lineRule="exact"/>
              <w:ind w:left="72"/>
              <w:textAlignment w:val="baseline"/>
              <w:rPr>
                <w:rFonts w:eastAsia="Times New Roman"/>
                <w:b/>
                <w:color w:val="000000"/>
                <w:sz w:val="24"/>
              </w:rPr>
            </w:pPr>
            <w:r>
              <w:rPr>
                <w:rFonts w:eastAsia="Times New Roman"/>
                <w:b/>
                <w:color w:val="000000"/>
                <w:sz w:val="24"/>
              </w:rPr>
              <w:t>Approach/Scope of Housing Counseling Services</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41" w:after="1069" w:line="277" w:lineRule="exact"/>
              <w:ind w:right="417"/>
              <w:jc w:val="right"/>
              <w:textAlignment w:val="baseline"/>
              <w:rPr>
                <w:rFonts w:eastAsia="Times New Roman"/>
                <w:b/>
                <w:color w:val="000000"/>
                <w:sz w:val="24"/>
              </w:rPr>
            </w:pPr>
            <w:r>
              <w:rPr>
                <w:rFonts w:eastAsia="Times New Roman"/>
                <w:b/>
                <w:color w:val="000000"/>
                <w:sz w:val="24"/>
              </w:rPr>
              <w:t>41</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c>
          <w:tcPr>
            <w:tcW w:w="3413" w:type="dxa"/>
            <w:gridSpan w:val="2"/>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r>
      <w:tr w:rsidR="007C25FE">
        <w:trPr>
          <w:trHeight w:hRule="exact" w:val="1008"/>
        </w:trPr>
        <w:tc>
          <w:tcPr>
            <w:tcW w:w="653" w:type="dxa"/>
            <w:tcBorders>
              <w:top w:val="single" w:sz="5" w:space="0" w:color="000000"/>
              <w:left w:val="single" w:sz="5" w:space="0" w:color="000000"/>
              <w:bottom w:val="single" w:sz="5" w:space="0" w:color="000000"/>
              <w:right w:val="single" w:sz="5" w:space="0" w:color="000000"/>
            </w:tcBorders>
          </w:tcPr>
          <w:p w:rsidR="007C25FE" w:rsidRDefault="00AB77A8">
            <w:pPr>
              <w:spacing w:before="40" w:line="277" w:lineRule="exact"/>
              <w:ind w:left="72"/>
              <w:textAlignment w:val="baseline"/>
              <w:rPr>
                <w:rFonts w:eastAsia="Times New Roman"/>
                <w:color w:val="000000"/>
                <w:sz w:val="24"/>
              </w:rPr>
            </w:pPr>
            <w:r>
              <w:rPr>
                <w:rFonts w:eastAsia="Times New Roman"/>
                <w:color w:val="000000"/>
                <w:sz w:val="24"/>
              </w:rPr>
              <w:t>Sub- factor</w:t>
            </w:r>
          </w:p>
          <w:p w:rsidR="007C25FE" w:rsidRDefault="00AB77A8">
            <w:pPr>
              <w:spacing w:after="125" w:line="274" w:lineRule="exact"/>
              <w:textAlignment w:val="baseline"/>
              <w:rPr>
                <w:rFonts w:eastAsia="Times New Roman"/>
                <w:color w:val="000000"/>
                <w:sz w:val="24"/>
              </w:rPr>
            </w:pPr>
            <w:r>
              <w:rPr>
                <w:rFonts w:eastAsia="Times New Roman"/>
                <w:color w:val="000000"/>
                <w:sz w:val="24"/>
              </w:rPr>
              <w:t>1</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spacing w:before="40" w:after="399" w:line="277" w:lineRule="exact"/>
              <w:textAlignment w:val="baseline"/>
              <w:rPr>
                <w:rFonts w:eastAsia="Times New Roman"/>
                <w:color w:val="000000"/>
                <w:sz w:val="24"/>
              </w:rPr>
            </w:pPr>
            <w:r>
              <w:rPr>
                <w:rFonts w:eastAsia="Times New Roman"/>
                <w:color w:val="000000"/>
                <w:sz w:val="24"/>
              </w:rPr>
              <w:t>Past Performance – Impact</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677" w:line="277" w:lineRule="exact"/>
              <w:ind w:right="417"/>
              <w:jc w:val="right"/>
              <w:textAlignment w:val="baseline"/>
              <w:rPr>
                <w:rFonts w:eastAsia="Times New Roman"/>
                <w:color w:val="000000"/>
                <w:sz w:val="24"/>
              </w:rPr>
            </w:pPr>
            <w:r>
              <w:rPr>
                <w:rFonts w:eastAsia="Times New Roman"/>
                <w:color w:val="000000"/>
                <w:sz w:val="24"/>
              </w:rPr>
              <w:t>24</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spacing w:before="37" w:after="125" w:line="277" w:lineRule="exact"/>
              <w:textAlignment w:val="baseline"/>
              <w:rPr>
                <w:rFonts w:eastAsia="Times New Roman"/>
                <w:color w:val="000000"/>
                <w:sz w:val="24"/>
              </w:rPr>
            </w:pPr>
            <w:r>
              <w:rPr>
                <w:rFonts w:eastAsia="Times New Roman"/>
                <w:color w:val="000000"/>
                <w:sz w:val="24"/>
              </w:rPr>
              <w:t>Charts E1 or E2 and Charts G1 or G2</w:t>
            </w:r>
          </w:p>
        </w:tc>
        <w:tc>
          <w:tcPr>
            <w:tcW w:w="3413"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39" w:after="677" w:line="277" w:lineRule="exact"/>
              <w:ind w:left="19"/>
              <w:textAlignment w:val="baseline"/>
              <w:rPr>
                <w:rFonts w:eastAsia="Times New Roman"/>
                <w:color w:val="000000"/>
                <w:sz w:val="24"/>
              </w:rPr>
            </w:pPr>
            <w:r>
              <w:rPr>
                <w:rFonts w:eastAsia="Times New Roman"/>
                <w:color w:val="000000"/>
                <w:sz w:val="24"/>
              </w:rPr>
              <w:t>Sub-factors 1b</w:t>
            </w:r>
          </w:p>
        </w:tc>
      </w:tr>
      <w:tr w:rsidR="007C25FE">
        <w:trPr>
          <w:trHeight w:hRule="exact" w:val="456"/>
        </w:trPr>
        <w:tc>
          <w:tcPr>
            <w:tcW w:w="653"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40" w:line="277" w:lineRule="exact"/>
              <w:ind w:left="72"/>
              <w:textAlignment w:val="baseline"/>
              <w:rPr>
                <w:rFonts w:eastAsia="Times New Roman"/>
                <w:color w:val="000000"/>
                <w:sz w:val="24"/>
              </w:rPr>
            </w:pPr>
            <w:r>
              <w:rPr>
                <w:rFonts w:eastAsia="Times New Roman"/>
                <w:color w:val="000000"/>
                <w:sz w:val="24"/>
              </w:rPr>
              <w:t>Sub- factor</w:t>
            </w:r>
          </w:p>
          <w:p w:rsidR="007C25FE" w:rsidRDefault="00AB77A8">
            <w:pPr>
              <w:spacing w:after="1033" w:line="274" w:lineRule="exact"/>
              <w:textAlignment w:val="baseline"/>
              <w:rPr>
                <w:rFonts w:eastAsia="Times New Roman"/>
                <w:color w:val="000000"/>
                <w:sz w:val="24"/>
              </w:rPr>
            </w:pPr>
            <w:r>
              <w:rPr>
                <w:rFonts w:eastAsia="Times New Roman"/>
                <w:color w:val="000000"/>
                <w:sz w:val="24"/>
              </w:rPr>
              <w:t>2</w:t>
            </w:r>
          </w:p>
        </w:tc>
        <w:tc>
          <w:tcPr>
            <w:tcW w:w="2409"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40" w:after="1307" w:line="277" w:lineRule="exact"/>
              <w:ind w:right="180"/>
              <w:textAlignment w:val="baseline"/>
              <w:rPr>
                <w:rFonts w:eastAsia="Times New Roman"/>
                <w:color w:val="000000"/>
                <w:sz w:val="24"/>
              </w:rPr>
            </w:pPr>
            <w:r>
              <w:rPr>
                <w:rFonts w:eastAsia="Times New Roman"/>
                <w:color w:val="000000"/>
                <w:sz w:val="24"/>
              </w:rPr>
              <w:t>Projected Performance – Work Plan</w:t>
            </w:r>
          </w:p>
        </w:tc>
        <w:tc>
          <w:tcPr>
            <w:tcW w:w="965"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39" w:after="1585" w:line="277" w:lineRule="exact"/>
              <w:ind w:right="417"/>
              <w:jc w:val="right"/>
              <w:textAlignment w:val="baseline"/>
              <w:rPr>
                <w:rFonts w:eastAsia="Times New Roman"/>
                <w:color w:val="000000"/>
                <w:sz w:val="24"/>
              </w:rPr>
            </w:pPr>
            <w:r>
              <w:rPr>
                <w:rFonts w:eastAsia="Times New Roman"/>
                <w:color w:val="000000"/>
                <w:sz w:val="24"/>
              </w:rPr>
              <w:t>12</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spacing w:before="39" w:after="130" w:line="277" w:lineRule="exact"/>
              <w:ind w:left="19"/>
              <w:textAlignment w:val="baseline"/>
              <w:rPr>
                <w:rFonts w:eastAsia="Times New Roman"/>
                <w:color w:val="000000"/>
                <w:sz w:val="24"/>
              </w:rPr>
            </w:pPr>
            <w:r>
              <w:rPr>
                <w:rFonts w:eastAsia="Times New Roman"/>
                <w:color w:val="000000"/>
                <w:sz w:val="24"/>
              </w:rPr>
              <w:t>Chart A2, Field X</w:t>
            </w:r>
          </w:p>
        </w:tc>
        <w:tc>
          <w:tcPr>
            <w:tcW w:w="3413" w:type="dxa"/>
            <w:gridSpan w:val="2"/>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39" w:after="1585" w:line="277" w:lineRule="exact"/>
              <w:ind w:left="19"/>
              <w:textAlignment w:val="baseline"/>
              <w:rPr>
                <w:rFonts w:eastAsia="Times New Roman"/>
                <w:color w:val="000000"/>
                <w:sz w:val="24"/>
              </w:rPr>
            </w:pPr>
            <w:r>
              <w:rPr>
                <w:rFonts w:eastAsia="Times New Roman"/>
                <w:color w:val="000000"/>
                <w:sz w:val="24"/>
              </w:rPr>
              <w:t>N/A</w:t>
            </w:r>
          </w:p>
        </w:tc>
      </w:tr>
      <w:tr w:rsidR="007C25FE">
        <w:trPr>
          <w:trHeight w:hRule="exact" w:val="451"/>
        </w:trPr>
        <w:tc>
          <w:tcPr>
            <w:tcW w:w="653" w:type="dxa"/>
            <w:vMerge/>
            <w:tcBorders>
              <w:top w:val="single" w:sz="0" w:space="0" w:color="000000"/>
              <w:left w:val="single" w:sz="5" w:space="0" w:color="000000"/>
              <w:bottom w:val="single" w:sz="0" w:space="0" w:color="000000"/>
              <w:right w:val="single" w:sz="5" w:space="0" w:color="000000"/>
            </w:tcBorders>
          </w:tcPr>
          <w:p w:rsidR="007C25FE" w:rsidRDefault="007C25FE"/>
        </w:tc>
        <w:tc>
          <w:tcPr>
            <w:tcW w:w="2409" w:type="dxa"/>
            <w:vMerge/>
            <w:tcBorders>
              <w:top w:val="single" w:sz="0" w:space="0" w:color="000000"/>
              <w:left w:val="single" w:sz="5" w:space="0" w:color="000000"/>
              <w:bottom w:val="single" w:sz="0" w:space="0" w:color="000000"/>
              <w:right w:val="single" w:sz="5" w:space="0" w:color="000000"/>
            </w:tcBorders>
          </w:tcPr>
          <w:p w:rsidR="007C25FE" w:rsidRDefault="007C25FE"/>
        </w:tc>
        <w:tc>
          <w:tcPr>
            <w:tcW w:w="965" w:type="dxa"/>
            <w:vMerge/>
            <w:tcBorders>
              <w:top w:val="single" w:sz="0" w:space="0" w:color="000000"/>
              <w:left w:val="single" w:sz="5" w:space="0" w:color="000000"/>
              <w:bottom w:val="single" w:sz="0" w:space="0" w:color="000000"/>
              <w:right w:val="single" w:sz="5" w:space="0" w:color="000000"/>
            </w:tcBorders>
          </w:tcPr>
          <w:p w:rsidR="007C25FE" w:rsidRDefault="007C25FE"/>
        </w:tc>
        <w:tc>
          <w:tcPr>
            <w:tcW w:w="1867" w:type="dxa"/>
            <w:gridSpan w:val="3"/>
            <w:tcBorders>
              <w:top w:val="single" w:sz="5" w:space="0" w:color="000000"/>
              <w:left w:val="single" w:sz="5" w:space="0" w:color="000000"/>
              <w:bottom w:val="single" w:sz="5" w:space="0" w:color="000000"/>
              <w:right w:val="single" w:sz="5" w:space="0" w:color="000000"/>
            </w:tcBorders>
            <w:vAlign w:val="center"/>
          </w:tcPr>
          <w:p w:rsidR="007C25FE" w:rsidRDefault="00AB77A8">
            <w:pPr>
              <w:spacing w:before="39" w:after="121" w:line="277" w:lineRule="exact"/>
              <w:textAlignment w:val="baseline"/>
              <w:rPr>
                <w:rFonts w:eastAsia="Times New Roman"/>
                <w:color w:val="000000"/>
                <w:sz w:val="24"/>
              </w:rPr>
            </w:pPr>
            <w:r>
              <w:rPr>
                <w:rFonts w:eastAsia="Times New Roman"/>
                <w:color w:val="000000"/>
                <w:sz w:val="24"/>
              </w:rPr>
              <w:t>Chart B1 or B2</w:t>
            </w:r>
          </w:p>
        </w:tc>
        <w:tc>
          <w:tcPr>
            <w:tcW w:w="3413" w:type="dxa"/>
            <w:gridSpan w:val="2"/>
            <w:vMerge/>
            <w:tcBorders>
              <w:top w:val="single" w:sz="0" w:space="0" w:color="000000"/>
              <w:left w:val="single" w:sz="5" w:space="0" w:color="000000"/>
              <w:bottom w:val="single" w:sz="0" w:space="0" w:color="000000"/>
              <w:right w:val="single" w:sz="5" w:space="0" w:color="000000"/>
            </w:tcBorders>
          </w:tcPr>
          <w:p w:rsidR="007C25FE" w:rsidRDefault="007C25FE"/>
        </w:tc>
      </w:tr>
      <w:tr w:rsidR="007C25FE">
        <w:trPr>
          <w:trHeight w:hRule="exact" w:val="1008"/>
        </w:trPr>
        <w:tc>
          <w:tcPr>
            <w:tcW w:w="653"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2409"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965"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spacing w:before="44" w:line="277" w:lineRule="exact"/>
              <w:textAlignment w:val="baseline"/>
              <w:rPr>
                <w:rFonts w:eastAsia="Times New Roman"/>
                <w:color w:val="000000"/>
                <w:sz w:val="24"/>
              </w:rPr>
            </w:pPr>
            <w:r>
              <w:rPr>
                <w:rFonts w:eastAsia="Times New Roman"/>
                <w:color w:val="000000"/>
                <w:sz w:val="24"/>
              </w:rPr>
              <w:t>Chart F1 or</w:t>
            </w:r>
          </w:p>
          <w:p w:rsidR="007C25FE" w:rsidRDefault="00AB77A8">
            <w:pPr>
              <w:spacing w:after="121" w:line="276" w:lineRule="exact"/>
              <w:textAlignment w:val="baseline"/>
              <w:rPr>
                <w:rFonts w:eastAsia="Times New Roman"/>
                <w:color w:val="000000"/>
                <w:sz w:val="24"/>
              </w:rPr>
            </w:pPr>
            <w:r>
              <w:rPr>
                <w:rFonts w:eastAsia="Times New Roman"/>
                <w:color w:val="000000"/>
                <w:sz w:val="24"/>
              </w:rPr>
              <w:t>F2, Fields D-E Chart G1 or G2</w:t>
            </w:r>
          </w:p>
        </w:tc>
        <w:tc>
          <w:tcPr>
            <w:tcW w:w="3413" w:type="dxa"/>
            <w:gridSpan w:val="2"/>
            <w:vMerge/>
            <w:tcBorders>
              <w:top w:val="single" w:sz="0" w:space="0" w:color="000000"/>
              <w:left w:val="single" w:sz="5" w:space="0" w:color="000000"/>
              <w:bottom w:val="single" w:sz="5" w:space="0" w:color="000000"/>
              <w:right w:val="single" w:sz="5" w:space="0" w:color="000000"/>
            </w:tcBorders>
          </w:tcPr>
          <w:p w:rsidR="007C25FE" w:rsidRDefault="007C25FE"/>
        </w:tc>
      </w:tr>
      <w:tr w:rsidR="007C25FE">
        <w:trPr>
          <w:trHeight w:hRule="exact" w:val="456"/>
        </w:trPr>
        <w:tc>
          <w:tcPr>
            <w:tcW w:w="653"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40" w:line="277" w:lineRule="exact"/>
              <w:ind w:left="72"/>
              <w:textAlignment w:val="baseline"/>
              <w:rPr>
                <w:rFonts w:eastAsia="Times New Roman"/>
                <w:color w:val="000000"/>
                <w:sz w:val="24"/>
              </w:rPr>
            </w:pPr>
            <w:r>
              <w:rPr>
                <w:rFonts w:eastAsia="Times New Roman"/>
                <w:color w:val="000000"/>
                <w:sz w:val="24"/>
              </w:rPr>
              <w:t>Sub- factor</w:t>
            </w:r>
          </w:p>
          <w:p w:rsidR="007C25FE" w:rsidRDefault="00AB77A8">
            <w:pPr>
              <w:spacing w:after="126" w:line="274" w:lineRule="exact"/>
              <w:textAlignment w:val="baseline"/>
              <w:rPr>
                <w:rFonts w:eastAsia="Times New Roman"/>
                <w:color w:val="000000"/>
                <w:sz w:val="24"/>
              </w:rPr>
            </w:pPr>
            <w:r>
              <w:rPr>
                <w:rFonts w:eastAsia="Times New Roman"/>
                <w:color w:val="000000"/>
                <w:sz w:val="24"/>
              </w:rPr>
              <w:t>3</w:t>
            </w:r>
          </w:p>
        </w:tc>
        <w:tc>
          <w:tcPr>
            <w:tcW w:w="2409"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37" w:after="126" w:line="277" w:lineRule="exact"/>
              <w:textAlignment w:val="baseline"/>
              <w:rPr>
                <w:rFonts w:eastAsia="Times New Roman"/>
                <w:color w:val="000000"/>
                <w:sz w:val="24"/>
              </w:rPr>
            </w:pPr>
            <w:r>
              <w:rPr>
                <w:rFonts w:eastAsia="Times New Roman"/>
                <w:color w:val="000000"/>
                <w:sz w:val="24"/>
              </w:rPr>
              <w:t>Projected Performance/ Work Plan – Coordination</w:t>
            </w:r>
          </w:p>
        </w:tc>
        <w:tc>
          <w:tcPr>
            <w:tcW w:w="965" w:type="dxa"/>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39" w:after="678" w:line="277" w:lineRule="exact"/>
              <w:ind w:right="417"/>
              <w:jc w:val="right"/>
              <w:textAlignment w:val="baseline"/>
              <w:rPr>
                <w:rFonts w:eastAsia="Times New Roman"/>
                <w:color w:val="000000"/>
                <w:sz w:val="24"/>
              </w:rPr>
            </w:pPr>
            <w:r>
              <w:rPr>
                <w:rFonts w:eastAsia="Times New Roman"/>
                <w:color w:val="000000"/>
                <w:sz w:val="24"/>
              </w:rPr>
              <w:t>5</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spacing w:before="39" w:after="130" w:line="277" w:lineRule="exact"/>
              <w:ind w:left="19"/>
              <w:textAlignment w:val="baseline"/>
              <w:rPr>
                <w:rFonts w:eastAsia="Times New Roman"/>
                <w:color w:val="000000"/>
                <w:sz w:val="24"/>
              </w:rPr>
            </w:pPr>
            <w:r>
              <w:rPr>
                <w:rFonts w:eastAsia="Times New Roman"/>
                <w:color w:val="000000"/>
                <w:sz w:val="24"/>
              </w:rPr>
              <w:t>Chart A1 or A2</w:t>
            </w:r>
          </w:p>
        </w:tc>
        <w:tc>
          <w:tcPr>
            <w:tcW w:w="3413" w:type="dxa"/>
            <w:gridSpan w:val="2"/>
            <w:vMerge w:val="restart"/>
            <w:tcBorders>
              <w:top w:val="single" w:sz="5" w:space="0" w:color="000000"/>
              <w:left w:val="single" w:sz="5" w:space="0" w:color="000000"/>
              <w:bottom w:val="single" w:sz="0" w:space="0" w:color="000000"/>
              <w:right w:val="single" w:sz="5" w:space="0" w:color="000000"/>
            </w:tcBorders>
          </w:tcPr>
          <w:p w:rsidR="007C25FE" w:rsidRDefault="00AB77A8">
            <w:pPr>
              <w:spacing w:before="39" w:after="678" w:line="277" w:lineRule="exact"/>
              <w:ind w:left="19"/>
              <w:textAlignment w:val="baseline"/>
              <w:rPr>
                <w:rFonts w:eastAsia="Times New Roman"/>
                <w:color w:val="000000"/>
                <w:sz w:val="24"/>
              </w:rPr>
            </w:pPr>
            <w:r>
              <w:rPr>
                <w:rFonts w:eastAsia="Times New Roman"/>
                <w:color w:val="000000"/>
                <w:sz w:val="24"/>
              </w:rPr>
              <w:t>N/A</w:t>
            </w:r>
          </w:p>
        </w:tc>
      </w:tr>
      <w:tr w:rsidR="007C25FE">
        <w:trPr>
          <w:trHeight w:hRule="exact" w:val="552"/>
        </w:trPr>
        <w:tc>
          <w:tcPr>
            <w:tcW w:w="653"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2409"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965" w:type="dxa"/>
            <w:vMerge/>
            <w:tcBorders>
              <w:top w:val="single" w:sz="0" w:space="0" w:color="000000"/>
              <w:left w:val="single" w:sz="5" w:space="0" w:color="000000"/>
              <w:bottom w:val="single" w:sz="5" w:space="0" w:color="000000"/>
              <w:right w:val="single" w:sz="5" w:space="0" w:color="000000"/>
            </w:tcBorders>
          </w:tcPr>
          <w:p w:rsidR="007C25FE" w:rsidRDefault="007C25FE"/>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spacing w:before="39" w:after="222" w:line="277" w:lineRule="exact"/>
              <w:ind w:left="19"/>
              <w:textAlignment w:val="baseline"/>
              <w:rPr>
                <w:rFonts w:eastAsia="Times New Roman"/>
                <w:color w:val="000000"/>
                <w:sz w:val="24"/>
              </w:rPr>
            </w:pPr>
            <w:r>
              <w:rPr>
                <w:rFonts w:eastAsia="Times New Roman"/>
                <w:color w:val="000000"/>
                <w:sz w:val="24"/>
              </w:rPr>
              <w:t>Chart C1 or C2</w:t>
            </w:r>
          </w:p>
        </w:tc>
        <w:tc>
          <w:tcPr>
            <w:tcW w:w="3413" w:type="dxa"/>
            <w:gridSpan w:val="2"/>
            <w:vMerge/>
            <w:tcBorders>
              <w:top w:val="single" w:sz="0" w:space="0" w:color="000000"/>
              <w:left w:val="single" w:sz="5" w:space="0" w:color="000000"/>
              <w:bottom w:val="single" w:sz="5" w:space="0" w:color="000000"/>
              <w:right w:val="single" w:sz="5" w:space="0" w:color="000000"/>
            </w:tcBorders>
          </w:tcPr>
          <w:p w:rsidR="007C25FE" w:rsidRDefault="007C25FE"/>
        </w:tc>
      </w:tr>
      <w:tr w:rsidR="007C25FE">
        <w:trPr>
          <w:trHeight w:hRule="exact" w:val="730"/>
        </w:trPr>
        <w:tc>
          <w:tcPr>
            <w:tcW w:w="3062"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42" w:after="124" w:line="277" w:lineRule="exact"/>
              <w:ind w:left="36"/>
              <w:textAlignment w:val="baseline"/>
              <w:rPr>
                <w:rFonts w:eastAsia="Times New Roman"/>
                <w:b/>
                <w:color w:val="000000"/>
                <w:sz w:val="24"/>
              </w:rPr>
            </w:pPr>
            <w:r>
              <w:rPr>
                <w:rFonts w:eastAsia="Times New Roman"/>
                <w:b/>
                <w:color w:val="000000"/>
                <w:sz w:val="24"/>
              </w:rPr>
              <w:t>Rating Factor 4. Leveraging Resources</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41" w:after="402" w:line="277" w:lineRule="exact"/>
              <w:ind w:right="417"/>
              <w:jc w:val="right"/>
              <w:textAlignment w:val="baseline"/>
              <w:rPr>
                <w:rFonts w:eastAsia="Times New Roman"/>
                <w:b/>
                <w:color w:val="000000"/>
                <w:sz w:val="24"/>
              </w:rPr>
            </w:pPr>
            <w:r>
              <w:rPr>
                <w:rFonts w:eastAsia="Times New Roman"/>
                <w:b/>
                <w:color w:val="000000"/>
                <w:sz w:val="24"/>
              </w:rPr>
              <w:t>6</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c>
          <w:tcPr>
            <w:tcW w:w="3413" w:type="dxa"/>
            <w:gridSpan w:val="2"/>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r>
      <w:tr w:rsidR="007C25FE">
        <w:trPr>
          <w:trHeight w:hRule="exact" w:val="1008"/>
        </w:trPr>
        <w:tc>
          <w:tcPr>
            <w:tcW w:w="653" w:type="dxa"/>
            <w:tcBorders>
              <w:top w:val="single" w:sz="5" w:space="0" w:color="000000"/>
              <w:left w:val="single" w:sz="5" w:space="0" w:color="000000"/>
              <w:bottom w:val="single" w:sz="5" w:space="0" w:color="000000"/>
              <w:right w:val="single" w:sz="5" w:space="0" w:color="000000"/>
            </w:tcBorders>
          </w:tcPr>
          <w:p w:rsidR="007C25FE" w:rsidRDefault="00AB77A8">
            <w:pPr>
              <w:spacing w:before="36" w:after="131" w:line="277" w:lineRule="exact"/>
              <w:ind w:left="72"/>
              <w:textAlignment w:val="baseline"/>
              <w:rPr>
                <w:rFonts w:eastAsia="Times New Roman"/>
                <w:color w:val="000000"/>
                <w:sz w:val="24"/>
              </w:rPr>
            </w:pPr>
            <w:r>
              <w:rPr>
                <w:rFonts w:eastAsia="Times New Roman"/>
                <w:color w:val="000000"/>
                <w:sz w:val="24"/>
              </w:rPr>
              <w:t>Sub- factor 1</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spacing w:before="38" w:after="683" w:line="277" w:lineRule="exact"/>
              <w:ind w:left="23"/>
              <w:textAlignment w:val="baseline"/>
              <w:rPr>
                <w:rFonts w:eastAsia="Times New Roman"/>
                <w:color w:val="000000"/>
                <w:sz w:val="24"/>
              </w:rPr>
            </w:pPr>
            <w:r>
              <w:rPr>
                <w:rFonts w:eastAsia="Times New Roman"/>
                <w:color w:val="000000"/>
                <w:sz w:val="24"/>
              </w:rPr>
              <w:t>Itemize Leveraging</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38" w:after="683" w:line="277" w:lineRule="exact"/>
              <w:ind w:right="417"/>
              <w:jc w:val="right"/>
              <w:textAlignment w:val="baseline"/>
              <w:rPr>
                <w:rFonts w:eastAsia="Times New Roman"/>
                <w:color w:val="000000"/>
                <w:sz w:val="24"/>
              </w:rPr>
            </w:pPr>
            <w:r>
              <w:rPr>
                <w:rFonts w:eastAsia="Times New Roman"/>
                <w:color w:val="000000"/>
                <w:sz w:val="24"/>
              </w:rPr>
              <w:t>6</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spacing w:before="38" w:after="683" w:line="277" w:lineRule="exact"/>
              <w:ind w:left="19"/>
              <w:textAlignment w:val="baseline"/>
              <w:rPr>
                <w:rFonts w:eastAsia="Times New Roman"/>
                <w:color w:val="000000"/>
                <w:sz w:val="24"/>
              </w:rPr>
            </w:pPr>
            <w:r>
              <w:rPr>
                <w:rFonts w:eastAsia="Times New Roman"/>
                <w:color w:val="000000"/>
                <w:sz w:val="24"/>
              </w:rPr>
              <w:t>Chart D1 or D2</w:t>
            </w:r>
          </w:p>
        </w:tc>
        <w:tc>
          <w:tcPr>
            <w:tcW w:w="3413"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36" w:after="131" w:line="277" w:lineRule="exact"/>
              <w:textAlignment w:val="baseline"/>
              <w:rPr>
                <w:rFonts w:eastAsia="Times New Roman"/>
                <w:color w:val="000000"/>
                <w:sz w:val="24"/>
              </w:rPr>
            </w:pPr>
            <w:r>
              <w:rPr>
                <w:rFonts w:eastAsia="Times New Roman"/>
                <w:color w:val="000000"/>
                <w:sz w:val="24"/>
              </w:rPr>
              <w:t>Intermediary/SHFA/MSO Applic ants Only: Excel Spreadsheet with Chart D2.</w:t>
            </w:r>
          </w:p>
        </w:tc>
      </w:tr>
      <w:tr w:rsidR="007C25FE">
        <w:trPr>
          <w:trHeight w:hRule="exact" w:val="1008"/>
        </w:trPr>
        <w:tc>
          <w:tcPr>
            <w:tcW w:w="3062"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38" w:after="129" w:line="277" w:lineRule="exact"/>
              <w:ind w:left="36"/>
              <w:textAlignment w:val="baseline"/>
              <w:rPr>
                <w:rFonts w:eastAsia="Times New Roman"/>
                <w:b/>
                <w:color w:val="000000"/>
                <w:sz w:val="24"/>
              </w:rPr>
            </w:pPr>
            <w:r>
              <w:rPr>
                <w:rFonts w:eastAsia="Times New Roman"/>
                <w:b/>
                <w:color w:val="000000"/>
                <w:sz w:val="24"/>
              </w:rPr>
              <w:t>Rating Factor 5. Achieving Results and Program Evaluation</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40" w:after="681" w:line="277" w:lineRule="exact"/>
              <w:ind w:right="417"/>
              <w:jc w:val="right"/>
              <w:textAlignment w:val="baseline"/>
              <w:rPr>
                <w:rFonts w:eastAsia="Times New Roman"/>
                <w:b/>
                <w:color w:val="000000"/>
                <w:sz w:val="24"/>
              </w:rPr>
            </w:pPr>
            <w:r>
              <w:rPr>
                <w:rFonts w:eastAsia="Times New Roman"/>
                <w:b/>
                <w:color w:val="000000"/>
                <w:sz w:val="24"/>
              </w:rPr>
              <w:t>8</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c>
          <w:tcPr>
            <w:tcW w:w="3413" w:type="dxa"/>
            <w:gridSpan w:val="2"/>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r>
      <w:tr w:rsidR="007C25FE">
        <w:trPr>
          <w:trHeight w:hRule="exact" w:val="1008"/>
        </w:trPr>
        <w:tc>
          <w:tcPr>
            <w:tcW w:w="653" w:type="dxa"/>
            <w:tcBorders>
              <w:top w:val="single" w:sz="5" w:space="0" w:color="000000"/>
              <w:left w:val="single" w:sz="5" w:space="0" w:color="000000"/>
              <w:bottom w:val="single" w:sz="5" w:space="0" w:color="000000"/>
              <w:right w:val="single" w:sz="5" w:space="0" w:color="000000"/>
            </w:tcBorders>
          </w:tcPr>
          <w:p w:rsidR="007C25FE" w:rsidRDefault="00AB77A8">
            <w:pPr>
              <w:spacing w:before="40" w:line="277" w:lineRule="exact"/>
              <w:ind w:left="72"/>
              <w:textAlignment w:val="baseline"/>
              <w:rPr>
                <w:rFonts w:eastAsia="Times New Roman"/>
                <w:color w:val="000000"/>
                <w:sz w:val="24"/>
              </w:rPr>
            </w:pPr>
            <w:r>
              <w:rPr>
                <w:rFonts w:eastAsia="Times New Roman"/>
                <w:color w:val="000000"/>
                <w:sz w:val="24"/>
              </w:rPr>
              <w:t>Sub- factor</w:t>
            </w:r>
          </w:p>
          <w:p w:rsidR="007C25FE" w:rsidRDefault="00AB77A8">
            <w:pPr>
              <w:spacing w:after="131" w:line="273" w:lineRule="exact"/>
              <w:textAlignment w:val="baseline"/>
              <w:rPr>
                <w:rFonts w:eastAsia="Times New Roman"/>
                <w:color w:val="000000"/>
                <w:sz w:val="24"/>
              </w:rPr>
            </w:pPr>
            <w:r>
              <w:rPr>
                <w:rFonts w:eastAsia="Times New Roman"/>
                <w:color w:val="000000"/>
                <w:sz w:val="24"/>
              </w:rPr>
              <w:t>1</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spacing w:before="40" w:after="404" w:line="277" w:lineRule="exact"/>
              <w:textAlignment w:val="baseline"/>
              <w:rPr>
                <w:rFonts w:eastAsia="Times New Roman"/>
                <w:color w:val="000000"/>
                <w:sz w:val="24"/>
              </w:rPr>
            </w:pPr>
            <w:r>
              <w:rPr>
                <w:rFonts w:eastAsia="Times New Roman"/>
                <w:color w:val="000000"/>
                <w:sz w:val="24"/>
              </w:rPr>
              <w:t>Components of Evaluation</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38" w:after="683" w:line="277" w:lineRule="exact"/>
              <w:ind w:right="417"/>
              <w:jc w:val="right"/>
              <w:textAlignment w:val="baseline"/>
              <w:rPr>
                <w:rFonts w:eastAsia="Times New Roman"/>
                <w:color w:val="000000"/>
                <w:sz w:val="24"/>
              </w:rPr>
            </w:pPr>
            <w:r>
              <w:rPr>
                <w:rFonts w:eastAsia="Times New Roman"/>
                <w:color w:val="000000"/>
                <w:sz w:val="24"/>
              </w:rPr>
              <w:t>5</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spacing w:before="38" w:line="277" w:lineRule="exact"/>
              <w:textAlignment w:val="baseline"/>
              <w:rPr>
                <w:rFonts w:eastAsia="Times New Roman"/>
                <w:color w:val="000000"/>
                <w:sz w:val="24"/>
              </w:rPr>
            </w:pPr>
            <w:r>
              <w:rPr>
                <w:rFonts w:eastAsia="Times New Roman"/>
                <w:color w:val="000000"/>
                <w:sz w:val="24"/>
              </w:rPr>
              <w:t>Chart A1 or</w:t>
            </w:r>
          </w:p>
          <w:p w:rsidR="007C25FE" w:rsidRDefault="00AB77A8">
            <w:pPr>
              <w:spacing w:before="2" w:after="404" w:line="277" w:lineRule="exact"/>
              <w:textAlignment w:val="baseline"/>
              <w:rPr>
                <w:rFonts w:eastAsia="Times New Roman"/>
                <w:color w:val="000000"/>
                <w:sz w:val="24"/>
              </w:rPr>
            </w:pPr>
            <w:r>
              <w:rPr>
                <w:rFonts w:eastAsia="Times New Roman"/>
                <w:color w:val="000000"/>
                <w:sz w:val="24"/>
              </w:rPr>
              <w:t>A2, Fields Z - AI</w:t>
            </w:r>
          </w:p>
        </w:tc>
        <w:tc>
          <w:tcPr>
            <w:tcW w:w="3413"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40" w:after="404" w:line="277" w:lineRule="exact"/>
              <w:textAlignment w:val="baseline"/>
              <w:rPr>
                <w:rFonts w:eastAsia="Times New Roman"/>
                <w:color w:val="000000"/>
                <w:sz w:val="24"/>
              </w:rPr>
            </w:pPr>
            <w:r>
              <w:rPr>
                <w:rFonts w:eastAsia="Times New Roman"/>
                <w:color w:val="000000"/>
                <w:sz w:val="24"/>
              </w:rPr>
              <w:t>Only if “x” entered in Field AI on Chart A</w:t>
            </w:r>
          </w:p>
        </w:tc>
      </w:tr>
      <w:tr w:rsidR="007C25FE">
        <w:trPr>
          <w:trHeight w:hRule="exact" w:val="1003"/>
        </w:trPr>
        <w:tc>
          <w:tcPr>
            <w:tcW w:w="653" w:type="dxa"/>
            <w:tcBorders>
              <w:top w:val="single" w:sz="5" w:space="0" w:color="000000"/>
              <w:left w:val="single" w:sz="5" w:space="0" w:color="000000"/>
              <w:bottom w:val="single" w:sz="5" w:space="0" w:color="000000"/>
              <w:right w:val="single" w:sz="5" w:space="0" w:color="000000"/>
            </w:tcBorders>
          </w:tcPr>
          <w:p w:rsidR="007C25FE" w:rsidRDefault="00AB77A8">
            <w:pPr>
              <w:spacing w:before="35" w:line="277" w:lineRule="exact"/>
              <w:ind w:left="72"/>
              <w:textAlignment w:val="baseline"/>
              <w:rPr>
                <w:rFonts w:eastAsia="Times New Roman"/>
                <w:color w:val="000000"/>
                <w:sz w:val="24"/>
              </w:rPr>
            </w:pPr>
            <w:r>
              <w:rPr>
                <w:rFonts w:eastAsia="Times New Roman"/>
                <w:color w:val="000000"/>
                <w:sz w:val="24"/>
              </w:rPr>
              <w:t>Sub- factor</w:t>
            </w:r>
          </w:p>
          <w:p w:rsidR="007C25FE" w:rsidRDefault="00AB77A8">
            <w:pPr>
              <w:spacing w:before="1" w:after="131" w:line="277" w:lineRule="exact"/>
              <w:textAlignment w:val="baseline"/>
              <w:rPr>
                <w:rFonts w:eastAsia="Times New Roman"/>
                <w:color w:val="000000"/>
                <w:sz w:val="24"/>
              </w:rPr>
            </w:pPr>
            <w:r>
              <w:rPr>
                <w:rFonts w:eastAsia="Times New Roman"/>
                <w:color w:val="000000"/>
                <w:sz w:val="24"/>
              </w:rPr>
              <w:t>2</w:t>
            </w:r>
          </w:p>
        </w:tc>
        <w:tc>
          <w:tcPr>
            <w:tcW w:w="2409" w:type="dxa"/>
            <w:tcBorders>
              <w:top w:val="single" w:sz="5" w:space="0" w:color="000000"/>
              <w:left w:val="single" w:sz="5" w:space="0" w:color="000000"/>
              <w:bottom w:val="single" w:sz="5" w:space="0" w:color="000000"/>
              <w:right w:val="single" w:sz="5" w:space="0" w:color="000000"/>
            </w:tcBorders>
          </w:tcPr>
          <w:p w:rsidR="007C25FE" w:rsidRDefault="00AB77A8">
            <w:pPr>
              <w:spacing w:before="38" w:after="683" w:line="277" w:lineRule="exact"/>
              <w:ind w:left="23"/>
              <w:textAlignment w:val="baseline"/>
              <w:rPr>
                <w:rFonts w:eastAsia="Times New Roman"/>
                <w:color w:val="000000"/>
                <w:sz w:val="24"/>
              </w:rPr>
            </w:pPr>
            <w:r>
              <w:rPr>
                <w:rFonts w:eastAsia="Times New Roman"/>
                <w:color w:val="000000"/>
                <w:sz w:val="24"/>
              </w:rPr>
              <w:t>Grant Expenditure</w:t>
            </w:r>
          </w:p>
        </w:tc>
        <w:tc>
          <w:tcPr>
            <w:tcW w:w="965" w:type="dxa"/>
            <w:tcBorders>
              <w:top w:val="single" w:sz="5" w:space="0" w:color="000000"/>
              <w:left w:val="single" w:sz="5" w:space="0" w:color="000000"/>
              <w:bottom w:val="single" w:sz="5" w:space="0" w:color="000000"/>
              <w:right w:val="single" w:sz="5" w:space="0" w:color="000000"/>
            </w:tcBorders>
          </w:tcPr>
          <w:p w:rsidR="007C25FE" w:rsidRDefault="00AB77A8">
            <w:pPr>
              <w:spacing w:before="38" w:after="683" w:line="277" w:lineRule="exact"/>
              <w:ind w:right="417"/>
              <w:jc w:val="right"/>
              <w:textAlignment w:val="baseline"/>
              <w:rPr>
                <w:rFonts w:eastAsia="Times New Roman"/>
                <w:color w:val="000000"/>
                <w:sz w:val="24"/>
              </w:rPr>
            </w:pPr>
            <w:r>
              <w:rPr>
                <w:rFonts w:eastAsia="Times New Roman"/>
                <w:color w:val="000000"/>
                <w:sz w:val="24"/>
              </w:rPr>
              <w:t>3</w:t>
            </w:r>
          </w:p>
        </w:tc>
        <w:tc>
          <w:tcPr>
            <w:tcW w:w="1867" w:type="dxa"/>
            <w:gridSpan w:val="3"/>
            <w:tcBorders>
              <w:top w:val="single" w:sz="5" w:space="0" w:color="000000"/>
              <w:left w:val="single" w:sz="5" w:space="0" w:color="000000"/>
              <w:bottom w:val="single" w:sz="5" w:space="0" w:color="000000"/>
              <w:right w:val="single" w:sz="5" w:space="0" w:color="000000"/>
            </w:tcBorders>
          </w:tcPr>
          <w:p w:rsidR="007C25FE" w:rsidRDefault="00AB77A8">
            <w:pPr>
              <w:spacing w:before="38" w:after="683" w:line="277" w:lineRule="exact"/>
              <w:ind w:left="19"/>
              <w:textAlignment w:val="baseline"/>
              <w:rPr>
                <w:rFonts w:eastAsia="Times New Roman"/>
                <w:color w:val="000000"/>
                <w:sz w:val="24"/>
              </w:rPr>
            </w:pPr>
            <w:r>
              <w:rPr>
                <w:rFonts w:eastAsia="Times New Roman"/>
                <w:color w:val="000000"/>
                <w:sz w:val="24"/>
              </w:rPr>
              <w:t>N/A</w:t>
            </w:r>
          </w:p>
        </w:tc>
        <w:tc>
          <w:tcPr>
            <w:tcW w:w="3413"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38" w:after="683" w:line="277" w:lineRule="exact"/>
              <w:ind w:left="19"/>
              <w:textAlignment w:val="baseline"/>
              <w:rPr>
                <w:rFonts w:eastAsia="Times New Roman"/>
                <w:color w:val="000000"/>
                <w:sz w:val="24"/>
              </w:rPr>
            </w:pPr>
            <w:r>
              <w:rPr>
                <w:rFonts w:eastAsia="Times New Roman"/>
                <w:color w:val="000000"/>
                <w:sz w:val="24"/>
              </w:rPr>
              <w:t>N/A</w:t>
            </w:r>
          </w:p>
        </w:tc>
      </w:tr>
      <w:tr w:rsidR="007C25FE">
        <w:trPr>
          <w:trHeight w:hRule="exact" w:val="413"/>
        </w:trPr>
        <w:tc>
          <w:tcPr>
            <w:tcW w:w="9307" w:type="dxa"/>
            <w:gridSpan w:val="8"/>
            <w:tcBorders>
              <w:top w:val="single" w:sz="5" w:space="0" w:color="000000"/>
              <w:left w:val="single" w:sz="5" w:space="0" w:color="000000"/>
              <w:bottom w:val="single" w:sz="5" w:space="0" w:color="000000"/>
              <w:right w:val="single" w:sz="5" w:space="0" w:color="000000"/>
            </w:tcBorders>
          </w:tcPr>
          <w:p w:rsidR="007C25FE" w:rsidRDefault="00AB77A8">
            <w:pPr>
              <w:textAlignment w:val="baseline"/>
              <w:rPr>
                <w:rFonts w:eastAsia="Times New Roman"/>
                <w:color w:val="000000"/>
                <w:sz w:val="24"/>
              </w:rPr>
            </w:pPr>
            <w:r>
              <w:rPr>
                <w:rFonts w:eastAsia="Times New Roman"/>
                <w:color w:val="000000"/>
                <w:sz w:val="24"/>
              </w:rPr>
              <w:t xml:space="preserve"> </w:t>
            </w:r>
          </w:p>
        </w:tc>
      </w:tr>
      <w:tr w:rsidR="007C25FE">
        <w:trPr>
          <w:trHeight w:hRule="exact" w:val="729"/>
        </w:trPr>
        <w:tc>
          <w:tcPr>
            <w:tcW w:w="4262" w:type="dxa"/>
            <w:gridSpan w:val="4"/>
            <w:tcBorders>
              <w:top w:val="single" w:sz="5" w:space="0" w:color="000000"/>
              <w:left w:val="single" w:sz="5" w:space="0" w:color="000000"/>
              <w:bottom w:val="single" w:sz="5" w:space="0" w:color="000000"/>
              <w:right w:val="single" w:sz="5" w:space="0" w:color="000000"/>
            </w:tcBorders>
          </w:tcPr>
          <w:p w:rsidR="007C25FE" w:rsidRDefault="00AB77A8">
            <w:pPr>
              <w:spacing w:before="40" w:after="403" w:line="277" w:lineRule="exact"/>
              <w:ind w:left="33"/>
              <w:textAlignment w:val="baseline"/>
              <w:rPr>
                <w:rFonts w:eastAsia="Times New Roman"/>
                <w:b/>
                <w:color w:val="000000"/>
                <w:sz w:val="24"/>
              </w:rPr>
            </w:pPr>
            <w:r>
              <w:rPr>
                <w:rFonts w:eastAsia="Times New Roman"/>
                <w:b/>
                <w:color w:val="000000"/>
                <w:sz w:val="24"/>
              </w:rPr>
              <w:t>PREFERENCE POINTS</w:t>
            </w:r>
          </w:p>
        </w:tc>
        <w:tc>
          <w:tcPr>
            <w:tcW w:w="1248" w:type="dxa"/>
            <w:tcBorders>
              <w:top w:val="single" w:sz="5" w:space="0" w:color="000000"/>
              <w:left w:val="single" w:sz="5" w:space="0" w:color="000000"/>
              <w:bottom w:val="single" w:sz="5" w:space="0" w:color="000000"/>
              <w:right w:val="single" w:sz="5" w:space="0" w:color="000000"/>
            </w:tcBorders>
          </w:tcPr>
          <w:p w:rsidR="007C25FE" w:rsidRDefault="00AB77A8">
            <w:pPr>
              <w:spacing w:before="40" w:after="403" w:line="277" w:lineRule="exact"/>
              <w:ind w:left="29"/>
              <w:textAlignment w:val="baseline"/>
              <w:rPr>
                <w:rFonts w:eastAsia="Times New Roman"/>
                <w:b/>
                <w:color w:val="000000"/>
                <w:sz w:val="24"/>
              </w:rPr>
            </w:pPr>
            <w:r>
              <w:rPr>
                <w:rFonts w:eastAsia="Times New Roman"/>
                <w:b/>
                <w:color w:val="000000"/>
                <w:sz w:val="24"/>
              </w:rPr>
              <w:t>POINTS</w:t>
            </w:r>
          </w:p>
        </w:tc>
        <w:tc>
          <w:tcPr>
            <w:tcW w:w="1349"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40" w:after="403" w:line="277" w:lineRule="exact"/>
              <w:ind w:left="24"/>
              <w:textAlignment w:val="baseline"/>
              <w:rPr>
                <w:rFonts w:eastAsia="Times New Roman"/>
                <w:b/>
                <w:color w:val="000000"/>
                <w:sz w:val="24"/>
              </w:rPr>
            </w:pPr>
            <w:r>
              <w:rPr>
                <w:rFonts w:eastAsia="Times New Roman"/>
                <w:b/>
                <w:color w:val="000000"/>
                <w:sz w:val="24"/>
              </w:rPr>
              <w:t>CHART</w:t>
            </w:r>
          </w:p>
        </w:tc>
        <w:tc>
          <w:tcPr>
            <w:tcW w:w="2448" w:type="dxa"/>
            <w:tcBorders>
              <w:top w:val="single" w:sz="5" w:space="0" w:color="000000"/>
              <w:left w:val="single" w:sz="5" w:space="0" w:color="000000"/>
              <w:bottom w:val="single" w:sz="5" w:space="0" w:color="000000"/>
              <w:right w:val="single" w:sz="5" w:space="0" w:color="000000"/>
            </w:tcBorders>
          </w:tcPr>
          <w:p w:rsidR="007C25FE" w:rsidRDefault="00AB77A8">
            <w:pPr>
              <w:spacing w:before="42" w:after="124" w:line="277" w:lineRule="exact"/>
              <w:ind w:left="72" w:firstLine="72"/>
              <w:textAlignment w:val="baseline"/>
              <w:rPr>
                <w:rFonts w:eastAsia="Times New Roman"/>
                <w:b/>
                <w:color w:val="000000"/>
                <w:sz w:val="24"/>
              </w:rPr>
            </w:pPr>
            <w:r>
              <w:rPr>
                <w:rFonts w:eastAsia="Times New Roman"/>
                <w:b/>
                <w:color w:val="000000"/>
                <w:sz w:val="24"/>
              </w:rPr>
              <w:t>SEPARATE NARRATIVE</w:t>
            </w:r>
          </w:p>
        </w:tc>
      </w:tr>
      <w:tr w:rsidR="007C25FE">
        <w:trPr>
          <w:trHeight w:hRule="exact" w:val="730"/>
        </w:trPr>
        <w:tc>
          <w:tcPr>
            <w:tcW w:w="4262" w:type="dxa"/>
            <w:gridSpan w:val="4"/>
            <w:tcBorders>
              <w:top w:val="single" w:sz="5" w:space="0" w:color="000000"/>
              <w:left w:val="single" w:sz="5" w:space="0" w:color="000000"/>
              <w:bottom w:val="single" w:sz="5" w:space="0" w:color="000000"/>
              <w:right w:val="single" w:sz="5" w:space="0" w:color="000000"/>
            </w:tcBorders>
          </w:tcPr>
          <w:p w:rsidR="007C25FE" w:rsidRDefault="00AB77A8">
            <w:pPr>
              <w:spacing w:before="39" w:line="277" w:lineRule="exact"/>
              <w:textAlignment w:val="baseline"/>
              <w:rPr>
                <w:rFonts w:eastAsia="Times New Roman"/>
                <w:color w:val="000000"/>
                <w:sz w:val="24"/>
              </w:rPr>
            </w:pPr>
            <w:r>
              <w:rPr>
                <w:rFonts w:eastAsia="Times New Roman"/>
                <w:color w:val="000000"/>
                <w:sz w:val="24"/>
              </w:rPr>
              <w:t>Promise Zone OR Disaster</w:t>
            </w:r>
          </w:p>
          <w:p w:rsidR="007C25FE" w:rsidRDefault="00AB77A8">
            <w:pPr>
              <w:spacing w:before="1" w:after="131" w:line="277" w:lineRule="exact"/>
              <w:textAlignment w:val="baseline"/>
              <w:rPr>
                <w:rFonts w:eastAsia="Times New Roman"/>
                <w:color w:val="000000"/>
                <w:sz w:val="24"/>
              </w:rPr>
            </w:pPr>
            <w:r>
              <w:rPr>
                <w:rFonts w:eastAsia="Times New Roman"/>
                <w:color w:val="000000"/>
                <w:sz w:val="24"/>
              </w:rPr>
              <w:t>Awareness/Emergency Preparedness</w:t>
            </w:r>
          </w:p>
        </w:tc>
        <w:tc>
          <w:tcPr>
            <w:tcW w:w="1248"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409" w:line="277" w:lineRule="exact"/>
              <w:ind w:left="29"/>
              <w:textAlignment w:val="baseline"/>
              <w:rPr>
                <w:rFonts w:eastAsia="Times New Roman"/>
                <w:color w:val="000000"/>
                <w:sz w:val="24"/>
              </w:rPr>
            </w:pPr>
            <w:r>
              <w:rPr>
                <w:rFonts w:eastAsia="Times New Roman"/>
                <w:color w:val="000000"/>
                <w:sz w:val="24"/>
              </w:rPr>
              <w:t>2</w:t>
            </w:r>
          </w:p>
        </w:tc>
        <w:tc>
          <w:tcPr>
            <w:tcW w:w="1349" w:type="dxa"/>
            <w:gridSpan w:val="2"/>
            <w:tcBorders>
              <w:top w:val="single" w:sz="5" w:space="0" w:color="000000"/>
              <w:left w:val="single" w:sz="5" w:space="0" w:color="000000"/>
              <w:bottom w:val="single" w:sz="5" w:space="0" w:color="000000"/>
              <w:right w:val="single" w:sz="5" w:space="0" w:color="000000"/>
            </w:tcBorders>
          </w:tcPr>
          <w:p w:rsidR="007C25FE" w:rsidRDefault="00AB77A8">
            <w:pPr>
              <w:spacing w:before="40" w:after="131" w:line="277" w:lineRule="exact"/>
              <w:ind w:left="72" w:firstLine="72"/>
              <w:textAlignment w:val="baseline"/>
              <w:rPr>
                <w:rFonts w:eastAsia="Times New Roman"/>
                <w:color w:val="000000"/>
                <w:sz w:val="24"/>
              </w:rPr>
            </w:pPr>
            <w:r>
              <w:rPr>
                <w:rFonts w:eastAsia="Times New Roman"/>
                <w:color w:val="000000"/>
                <w:sz w:val="24"/>
              </w:rPr>
              <w:t>Chart A1 or A2</w:t>
            </w:r>
          </w:p>
        </w:tc>
        <w:tc>
          <w:tcPr>
            <w:tcW w:w="2448" w:type="dxa"/>
            <w:tcBorders>
              <w:top w:val="single" w:sz="5" w:space="0" w:color="000000"/>
              <w:left w:val="single" w:sz="5" w:space="0" w:color="000000"/>
              <w:bottom w:val="single" w:sz="5" w:space="0" w:color="000000"/>
              <w:right w:val="single" w:sz="5" w:space="0" w:color="000000"/>
            </w:tcBorders>
          </w:tcPr>
          <w:p w:rsidR="007C25FE" w:rsidRDefault="00AB77A8">
            <w:pPr>
              <w:spacing w:before="39" w:after="409" w:line="277" w:lineRule="exact"/>
              <w:ind w:left="24"/>
              <w:textAlignment w:val="baseline"/>
              <w:rPr>
                <w:rFonts w:eastAsia="Times New Roman"/>
                <w:color w:val="000000"/>
                <w:sz w:val="24"/>
              </w:rPr>
            </w:pPr>
            <w:r>
              <w:rPr>
                <w:rFonts w:eastAsia="Times New Roman"/>
                <w:color w:val="000000"/>
                <w:sz w:val="24"/>
              </w:rPr>
              <w:t>N/A</w:t>
            </w:r>
          </w:p>
        </w:tc>
      </w:tr>
      <w:tr w:rsidR="007C25FE">
        <w:trPr>
          <w:trHeight w:hRule="exact" w:val="322"/>
        </w:trPr>
        <w:tc>
          <w:tcPr>
            <w:tcW w:w="9307" w:type="dxa"/>
            <w:gridSpan w:val="8"/>
            <w:tcBorders>
              <w:top w:val="single" w:sz="5" w:space="0" w:color="000000"/>
              <w:left w:val="single" w:sz="5" w:space="0" w:color="000000"/>
              <w:bottom w:val="single" w:sz="5" w:space="0" w:color="000000"/>
              <w:right w:val="single" w:sz="5" w:space="0" w:color="000000"/>
            </w:tcBorders>
            <w:vAlign w:val="center"/>
          </w:tcPr>
          <w:p w:rsidR="007C25FE" w:rsidRDefault="00AB77A8">
            <w:pPr>
              <w:spacing w:after="14" w:line="277" w:lineRule="exact"/>
              <w:ind w:left="33"/>
              <w:textAlignment w:val="baseline"/>
              <w:rPr>
                <w:rFonts w:eastAsia="Times New Roman"/>
                <w:b/>
                <w:color w:val="000000"/>
                <w:sz w:val="24"/>
              </w:rPr>
            </w:pPr>
            <w:r>
              <w:rPr>
                <w:rFonts w:eastAsia="Times New Roman"/>
                <w:b/>
                <w:color w:val="000000"/>
                <w:sz w:val="24"/>
              </w:rPr>
              <w:t>Preference Points in addition to Promise Zones (see Section V.A.2 of this NOFA:</w:t>
            </w:r>
          </w:p>
        </w:tc>
      </w:tr>
    </w:tbl>
    <w:p w:rsidR="007C25FE" w:rsidRDefault="007C25FE">
      <w:pPr>
        <w:spacing w:after="596" w:line="20" w:lineRule="exact"/>
      </w:pPr>
    </w:p>
    <w:p w:rsidR="007C25FE" w:rsidRDefault="007C25FE">
      <w:pPr>
        <w:spacing w:after="596" w:line="20" w:lineRule="exact"/>
        <w:sectPr w:rsidR="007C25FE">
          <w:pgSz w:w="12240" w:h="15840"/>
          <w:pgMar w:top="1440" w:right="1408" w:bottom="304" w:left="1375"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28 of 49</w:t>
      </w:r>
    </w:p>
    <w:p w:rsidR="007C25FE" w:rsidRDefault="007C25FE">
      <w:pPr>
        <w:sectPr w:rsidR="007C25FE">
          <w:type w:val="continuous"/>
          <w:pgSz w:w="12240" w:h="15840"/>
          <w:pgMar w:top="1440" w:right="1441" w:bottom="304" w:left="9999" w:header="720" w:footer="720" w:gutter="0"/>
          <w:cols w:space="720"/>
        </w:sectPr>
      </w:pPr>
    </w:p>
    <w:p w:rsidR="007C25FE" w:rsidRDefault="00AB77A8">
      <w:pPr>
        <w:spacing w:before="59" w:line="276" w:lineRule="exact"/>
        <w:ind w:left="106" w:right="178"/>
        <w:textAlignment w:val="baseline"/>
        <w:rPr>
          <w:rFonts w:eastAsia="Times New Roman"/>
          <w:b/>
          <w:color w:val="000000"/>
          <w:sz w:val="24"/>
        </w:rPr>
      </w:pPr>
      <w:r>
        <w:rPr>
          <w:noProof/>
        </w:rPr>
        <mc:AlternateContent>
          <mc:Choice Requires="wps">
            <w:drawing>
              <wp:anchor distT="0" distB="415925" distL="0" distR="0" simplePos="0" relativeHeight="251624448" behindDoc="1" locked="0" layoutInCell="1" allowOverlap="1" wp14:anchorId="16FCE5C1" wp14:editId="7F06DB9A">
                <wp:simplePos x="0" y="0"/>
                <wp:positionH relativeFrom="page">
                  <wp:posOffset>875030</wp:posOffset>
                </wp:positionH>
                <wp:positionV relativeFrom="page">
                  <wp:posOffset>914400</wp:posOffset>
                </wp:positionV>
                <wp:extent cx="6005195" cy="810133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10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0"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68.9pt;margin-top:1in;width:472.85pt;height:637.9pt;z-index:-251692032;visibility:visible;mso-wrap-style:square;mso-width-percent:0;mso-height-percent:0;mso-wrap-distance-left:0;mso-wrap-distance-top:0;mso-wrap-distance-right:0;mso-wrap-distance-bottom:32.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" filled="f" stroked="f">
                <v:textbox inset="0,0,0,0">
                  <w:txbxContent>
                    <w:p w:rsidR="007C25FE" w:rsidRDefault="007C25FE">
                      <w:pPr>
                        <w:pBdr>
                          <w:top w:val="single" w:sz="5" w:space="0" w:color="CCCCCC"/>
                          <w:left w:val="single" w:sz="5" w:space="0" w:color="CCCCCC"/>
                          <w:bottom w:val="single" w:sz="5" w:space="0" w:color="CCCCCC"/>
                          <w:right w:val="single" w:sz="5" w:space="0" w:color="CCCCCC"/>
                        </w:pBdr>
                      </w:pPr>
                    </w:p>
                  </w:txbxContent>
                </v:textbox>
                <w10:wrap anchorx="page" anchory="page"/>
              </v:shape>
            </w:pict>
          </mc:Fallback>
        </mc:AlternateContent>
      </w:r>
      <w:r>
        <w:rPr>
          <w:rFonts w:eastAsia="Times New Roman"/>
          <w:b/>
          <w:color w:val="000000"/>
          <w:sz w:val="24"/>
        </w:rPr>
        <w:t>Preference Points)</w:t>
      </w:r>
      <w:r>
        <w:rPr>
          <w:rFonts w:eastAsia="Times New Roman"/>
          <w:color w:val="000000"/>
          <w:sz w:val="24"/>
        </w:rPr>
        <w:t>: HUD encourages housing counseling agencies to provide housing counselors with training in emergency preparedness and/or disaster recovery. HUD will award two points for qualified activities, such as establishing a Continuity of Operations Plan (COOP), supporting either or both initiative(s). In no case will HUD award more than two preference points for these activities.</w:t>
      </w:r>
    </w:p>
    <w:p w:rsidR="007C25FE" w:rsidRDefault="00AB77A8">
      <w:pPr>
        <w:spacing w:before="120" w:line="276" w:lineRule="exact"/>
        <w:ind w:left="106" w:right="466"/>
        <w:textAlignment w:val="baseline"/>
        <w:rPr>
          <w:rFonts w:eastAsia="Times New Roman"/>
          <w:color w:val="000000"/>
          <w:sz w:val="24"/>
        </w:rPr>
      </w:pPr>
      <w:r>
        <w:rPr>
          <w:rFonts w:eastAsia="Times New Roman"/>
          <w:color w:val="000000"/>
          <w:sz w:val="24"/>
        </w:rPr>
        <w:t>To receive Emergency Preparedness and/or Disaster Recovery Preference Points, applicants must indicate an “x” in Field E on HUD-9906 Chart A1 (LHCA) or Chart A2 (Intermediary, SHFA, or MSO) and have described these types of activities in their approved housing counseling work plan on file with HUD.</w:t>
      </w:r>
    </w:p>
    <w:p w:rsidR="007C25FE" w:rsidRDefault="00AB77A8">
      <w:pPr>
        <w:spacing w:before="122" w:line="276" w:lineRule="exact"/>
        <w:ind w:left="106" w:right="178"/>
        <w:textAlignment w:val="baseline"/>
        <w:rPr>
          <w:rFonts w:eastAsia="Times New Roman"/>
          <w:color w:val="000000"/>
          <w:sz w:val="24"/>
        </w:rPr>
      </w:pPr>
      <w:r>
        <w:rPr>
          <w:rFonts w:eastAsia="Times New Roman"/>
          <w:color w:val="000000"/>
          <w:sz w:val="24"/>
        </w:rPr>
        <w:t>Applicants should note that preference points will be awarded only after an applicant has met a minimum threshold score on their application (i.e., the preference points do not assist the applicant to meet the minimum threshold score).</w:t>
      </w:r>
    </w:p>
    <w:p w:rsidR="007C25FE" w:rsidRDefault="00AB77A8">
      <w:pPr>
        <w:spacing w:before="910" w:line="276" w:lineRule="exact"/>
        <w:ind w:left="106" w:right="178"/>
        <w:textAlignment w:val="baseline"/>
        <w:rPr>
          <w:rFonts w:eastAsia="Times New Roman"/>
          <w:b/>
          <w:color w:val="000000"/>
          <w:sz w:val="24"/>
        </w:rPr>
      </w:pPr>
      <w:r>
        <w:rPr>
          <w:rFonts w:eastAsia="Times New Roman"/>
          <w:b/>
          <w:color w:val="000000"/>
          <w:sz w:val="24"/>
        </w:rPr>
        <w:t>Rating Factors</w:t>
      </w:r>
      <w:r>
        <w:rPr>
          <w:rFonts w:eastAsia="Times New Roman"/>
          <w:color w:val="000000"/>
          <w:sz w:val="24"/>
        </w:rPr>
        <w:t>. The following Rating Factors are applicable to all Applicants. Each Rating Factor and the maximum points available for each factor are outlined below. For all Applicants the maximum total available for the Rating Factors is 100 points.</w:t>
      </w:r>
    </w:p>
    <w:p w:rsidR="007C25FE" w:rsidRDefault="00AB77A8">
      <w:pPr>
        <w:spacing w:before="122" w:line="276" w:lineRule="exact"/>
        <w:ind w:left="106" w:right="178"/>
        <w:textAlignment w:val="baseline"/>
        <w:rPr>
          <w:rFonts w:eastAsia="Times New Roman"/>
          <w:b/>
          <w:color w:val="000000"/>
          <w:sz w:val="24"/>
        </w:rPr>
      </w:pPr>
      <w:r>
        <w:rPr>
          <w:rFonts w:eastAsia="Times New Roman"/>
          <w:b/>
          <w:color w:val="000000"/>
          <w:sz w:val="24"/>
        </w:rPr>
        <w:t xml:space="preserve">a. Rating Factor 1: Capacity of the Applicant (31 Points). </w:t>
      </w:r>
      <w:r>
        <w:rPr>
          <w:rFonts w:eastAsia="Times New Roman"/>
          <w:color w:val="000000"/>
          <w:sz w:val="24"/>
        </w:rPr>
        <w:t>HUD uses responses to this Rating Factor to evaluate the readiness and ability of an Applicant and if applicable, its proposed Sub-grantee and Branch staff, to immediately begin, and successfully implement, the proposed work plan detailed in Rating Factor 3. HUD will also evaluate how effectively the Applicant managed work plan adjustments that may have been required if the client outcome projections for each type of counseling activity provided were not met within established timeframes and how often work plan adjustments were required.</w:t>
      </w:r>
    </w:p>
    <w:p w:rsidR="007C25FE" w:rsidRDefault="00AB77A8">
      <w:pPr>
        <w:spacing w:before="120" w:line="276" w:lineRule="exact"/>
        <w:ind w:left="106" w:right="178"/>
        <w:textAlignment w:val="baseline"/>
        <w:rPr>
          <w:rFonts w:eastAsia="Times New Roman"/>
          <w:b/>
          <w:color w:val="000000"/>
          <w:sz w:val="24"/>
        </w:rPr>
      </w:pPr>
      <w:r>
        <w:rPr>
          <w:rFonts w:eastAsia="Times New Roman"/>
          <w:b/>
          <w:color w:val="000000"/>
          <w:sz w:val="24"/>
        </w:rPr>
        <w:t xml:space="preserve">(1) Capacity (18 points). </w:t>
      </w:r>
      <w:r>
        <w:rPr>
          <w:rFonts w:eastAsia="Times New Roman"/>
          <w:color w:val="000000"/>
          <w:sz w:val="24"/>
        </w:rPr>
        <w:t>In scoring this section, HUD will evaluate the capacity of the Applicant, including proposed Sub-grantees and Branches, if applicable, to implement the proposed activities in a timely and effective manner. A higher score will be awarded to Applicants that demonstrate a greater capacity based on the factors delineated in this section. HUD will consider the following factors related to capacity, as outlined in HUD-9906 Chart A1 (LHCA) or Chart A2 (Intermediary, SHFA, or MSO), as applicable:</w:t>
      </w:r>
    </w:p>
    <w:p w:rsidR="007C25FE" w:rsidRDefault="00AB77A8">
      <w:pPr>
        <w:numPr>
          <w:ilvl w:val="0"/>
          <w:numId w:val="9"/>
        </w:numPr>
        <w:tabs>
          <w:tab w:val="clear" w:pos="216"/>
          <w:tab w:val="left" w:pos="2266"/>
        </w:tabs>
        <w:spacing w:before="240" w:line="276" w:lineRule="exact"/>
        <w:ind w:left="2266" w:right="538" w:hanging="216"/>
        <w:textAlignment w:val="baseline"/>
        <w:rPr>
          <w:rFonts w:eastAsia="Times New Roman"/>
          <w:color w:val="000000"/>
          <w:sz w:val="24"/>
        </w:rPr>
      </w:pPr>
      <w:r>
        <w:rPr>
          <w:rFonts w:eastAsia="Times New Roman"/>
          <w:color w:val="000000"/>
          <w:sz w:val="24"/>
        </w:rPr>
        <w:t>Field J, the number of FTE employees as of September 30, 2017 that provided direct housing counseling services;</w:t>
      </w:r>
    </w:p>
    <w:p w:rsidR="007C25FE" w:rsidRDefault="00AB77A8">
      <w:pPr>
        <w:numPr>
          <w:ilvl w:val="0"/>
          <w:numId w:val="9"/>
        </w:numPr>
        <w:tabs>
          <w:tab w:val="clear" w:pos="216"/>
          <w:tab w:val="left" w:pos="2266"/>
        </w:tabs>
        <w:spacing w:line="276" w:lineRule="exact"/>
        <w:ind w:left="2266" w:right="178" w:hanging="216"/>
        <w:textAlignment w:val="baseline"/>
        <w:rPr>
          <w:rFonts w:eastAsia="Times New Roman"/>
          <w:color w:val="000000"/>
          <w:sz w:val="24"/>
        </w:rPr>
      </w:pPr>
      <w:r>
        <w:rPr>
          <w:rFonts w:eastAsia="Times New Roman"/>
          <w:color w:val="000000"/>
          <w:sz w:val="24"/>
        </w:rPr>
        <w:t>Field K, the number of HECM Roster reverse mortgage counselors as of September 30, 2017;</w:t>
      </w:r>
    </w:p>
    <w:p w:rsidR="007C25FE" w:rsidRDefault="00AB77A8">
      <w:pPr>
        <w:numPr>
          <w:ilvl w:val="0"/>
          <w:numId w:val="9"/>
        </w:numPr>
        <w:tabs>
          <w:tab w:val="clear" w:pos="216"/>
          <w:tab w:val="left" w:pos="2266"/>
        </w:tabs>
        <w:spacing w:line="274" w:lineRule="exact"/>
        <w:ind w:left="2266" w:right="178" w:hanging="216"/>
        <w:textAlignment w:val="baseline"/>
        <w:rPr>
          <w:rFonts w:eastAsia="Times New Roman"/>
          <w:color w:val="000000"/>
          <w:sz w:val="24"/>
        </w:rPr>
      </w:pPr>
      <w:r>
        <w:rPr>
          <w:rFonts w:eastAsia="Times New Roman"/>
          <w:color w:val="000000"/>
          <w:sz w:val="24"/>
        </w:rPr>
        <w:t>Field L, the average counseling hours per FY 2017 HECM Client;</w:t>
      </w:r>
    </w:p>
    <w:p w:rsidR="007C25FE" w:rsidRDefault="00AB77A8">
      <w:pPr>
        <w:numPr>
          <w:ilvl w:val="0"/>
          <w:numId w:val="9"/>
        </w:numPr>
        <w:tabs>
          <w:tab w:val="clear" w:pos="216"/>
          <w:tab w:val="left" w:pos="2266"/>
        </w:tabs>
        <w:spacing w:before="2" w:line="276" w:lineRule="exact"/>
        <w:ind w:left="2266" w:right="322" w:hanging="216"/>
        <w:textAlignment w:val="baseline"/>
        <w:rPr>
          <w:rFonts w:eastAsia="Times New Roman"/>
          <w:color w:val="000000"/>
          <w:sz w:val="24"/>
        </w:rPr>
      </w:pPr>
      <w:r>
        <w:rPr>
          <w:rFonts w:eastAsia="Times New Roman"/>
          <w:color w:val="000000"/>
          <w:sz w:val="24"/>
        </w:rPr>
        <w:t>Field M, if fifty percent (50%) or more of counselors received formal housing counseling training in the past two years (not including on-the-job training);</w:t>
      </w:r>
    </w:p>
    <w:p w:rsidR="007C25FE" w:rsidRDefault="00AB77A8">
      <w:pPr>
        <w:numPr>
          <w:ilvl w:val="0"/>
          <w:numId w:val="9"/>
        </w:numPr>
        <w:tabs>
          <w:tab w:val="clear" w:pos="216"/>
          <w:tab w:val="left" w:pos="2266"/>
        </w:tabs>
        <w:spacing w:line="274" w:lineRule="exact"/>
        <w:ind w:left="2266" w:right="178" w:hanging="216"/>
        <w:textAlignment w:val="baseline"/>
        <w:rPr>
          <w:rFonts w:eastAsia="Times New Roman"/>
          <w:color w:val="000000"/>
          <w:spacing w:val="-2"/>
          <w:sz w:val="24"/>
        </w:rPr>
      </w:pPr>
      <w:r>
        <w:rPr>
          <w:rFonts w:eastAsia="Times New Roman"/>
          <w:color w:val="000000"/>
          <w:spacing w:val="-2"/>
          <w:sz w:val="24"/>
        </w:rPr>
        <w:t>Field N, if agencies have on staff any HUD-certified housing counselors;</w:t>
      </w:r>
    </w:p>
    <w:p w:rsidR="007C25FE" w:rsidRDefault="00AB77A8">
      <w:pPr>
        <w:numPr>
          <w:ilvl w:val="0"/>
          <w:numId w:val="9"/>
        </w:numPr>
        <w:tabs>
          <w:tab w:val="clear" w:pos="216"/>
          <w:tab w:val="left" w:pos="2266"/>
        </w:tabs>
        <w:spacing w:line="276" w:lineRule="exact"/>
        <w:ind w:left="2266" w:right="538" w:hanging="216"/>
        <w:jc w:val="both"/>
        <w:textAlignment w:val="baseline"/>
        <w:rPr>
          <w:rFonts w:eastAsia="Times New Roman"/>
          <w:color w:val="000000"/>
          <w:sz w:val="24"/>
        </w:rPr>
      </w:pPr>
      <w:r>
        <w:rPr>
          <w:rFonts w:eastAsia="Times New Roman"/>
          <w:color w:val="000000"/>
          <w:sz w:val="24"/>
        </w:rPr>
        <w:t>Field O, if agencies offer alternate mode(s) of counseling (e.g. phone, internet, Skype);</w:t>
      </w:r>
    </w:p>
    <w:p w:rsidR="007C25FE" w:rsidRDefault="00AB77A8">
      <w:pPr>
        <w:numPr>
          <w:ilvl w:val="0"/>
          <w:numId w:val="9"/>
        </w:numPr>
        <w:tabs>
          <w:tab w:val="clear" w:pos="216"/>
          <w:tab w:val="left" w:pos="2266"/>
        </w:tabs>
        <w:spacing w:before="2" w:after="666" w:line="276" w:lineRule="exact"/>
        <w:ind w:left="2266" w:right="178" w:hanging="216"/>
        <w:jc w:val="both"/>
        <w:textAlignment w:val="baseline"/>
        <w:rPr>
          <w:rFonts w:eastAsia="Times New Roman"/>
          <w:color w:val="000000"/>
          <w:sz w:val="24"/>
        </w:rPr>
      </w:pPr>
      <w:r>
        <w:rPr>
          <w:rFonts w:eastAsia="Times New Roman"/>
          <w:color w:val="000000"/>
          <w:sz w:val="24"/>
        </w:rPr>
        <w:t>Field P, if agencies adopted national industry standards prior to the</w:t>
      </w:r>
    </w:p>
    <w:p w:rsidR="007C25FE" w:rsidRDefault="007C25FE">
      <w:pPr>
        <w:spacing w:before="2" w:after="666" w:line="276" w:lineRule="exact"/>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29 of 49</w:t>
      </w:r>
    </w:p>
    <w:p w:rsidR="007C25FE" w:rsidRDefault="007C25FE">
      <w:pPr>
        <w:sectPr w:rsidR="007C25FE">
          <w:type w:val="continuous"/>
          <w:pgSz w:w="12240" w:h="15840"/>
          <w:pgMar w:top="1440" w:right="1441" w:bottom="304" w:left="9999" w:header="720" w:footer="720" w:gutter="0"/>
          <w:cols w:space="720"/>
        </w:sectPr>
      </w:pPr>
    </w:p>
    <w:p w:rsidR="007C25FE" w:rsidRDefault="00AB77A8">
      <w:pPr>
        <w:spacing w:before="63" w:line="276" w:lineRule="exact"/>
        <w:ind w:left="2266" w:right="106"/>
        <w:textAlignment w:val="baseline"/>
        <w:rPr>
          <w:rFonts w:eastAsia="Times New Roman"/>
          <w:color w:val="000000"/>
          <w:sz w:val="24"/>
        </w:rPr>
      </w:pPr>
      <w:r>
        <w:rPr>
          <w:noProof/>
        </w:rPr>
        <mc:AlternateContent>
          <mc:Choice Requires="wps">
            <w:drawing>
              <wp:anchor distT="0" distB="339725" distL="0" distR="0" simplePos="0" relativeHeight="251625472" behindDoc="1" locked="0" layoutInCell="1" allowOverlap="1" wp14:anchorId="45238F84" wp14:editId="00459C70">
                <wp:simplePos x="0" y="0"/>
                <wp:positionH relativeFrom="page">
                  <wp:posOffset>875030</wp:posOffset>
                </wp:positionH>
                <wp:positionV relativeFrom="page">
                  <wp:posOffset>914400</wp:posOffset>
                </wp:positionV>
                <wp:extent cx="6005195" cy="817753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17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6"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68.9pt;margin-top:1in;width:472.85pt;height:643.9pt;z-index:-251691008;visibility:visible;mso-wrap-style:square;mso-width-percent:0;mso-height-percent:0;mso-wrap-distance-left:0;mso-wrap-distance-top:0;mso-wrap-distance-right:0;mso-wrap-distance-bottom:26.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" filled="f" stroked="f">
                <v:textbox inset="0,0,0,0">
                  <w:txbxContent>
                    <w:p w:rsidR="007C25FE" w:rsidRDefault="007C25FE">
                      <w:pPr>
                        <w:pBdr>
                          <w:top w:val="single" w:sz="5" w:space="0" w:color="CCCCCC"/>
                          <w:left w:val="single" w:sz="5" w:space="0" w:color="CCCCCC"/>
                          <w:bottom w:val="single" w:sz="5" w:space="26" w:color="CCCCCC"/>
                          <w:right w:val="single" w:sz="5" w:space="0" w:color="CCCCCC"/>
                        </w:pBdr>
                      </w:pPr>
                    </w:p>
                  </w:txbxContent>
                </v:textbox>
                <w10:wrap anchorx="page" anchory="page"/>
              </v:shape>
            </w:pict>
          </mc:Fallback>
        </mc:AlternateContent>
      </w:r>
      <w:r>
        <w:rPr>
          <w:rFonts w:eastAsia="Times New Roman"/>
          <w:color w:val="000000"/>
          <w:sz w:val="24"/>
        </w:rPr>
        <w:t>NOFA application submission date;</w:t>
      </w:r>
    </w:p>
    <w:p w:rsidR="007C25FE" w:rsidRDefault="00AB77A8">
      <w:pPr>
        <w:numPr>
          <w:ilvl w:val="0"/>
          <w:numId w:val="9"/>
        </w:numPr>
        <w:tabs>
          <w:tab w:val="clear" w:pos="216"/>
          <w:tab w:val="left" w:pos="2266"/>
        </w:tabs>
        <w:spacing w:line="274" w:lineRule="exact"/>
        <w:ind w:left="2266" w:right="106" w:hanging="216"/>
        <w:textAlignment w:val="baseline"/>
        <w:rPr>
          <w:rFonts w:eastAsia="Times New Roman"/>
          <w:color w:val="000000"/>
          <w:sz w:val="24"/>
        </w:rPr>
      </w:pPr>
      <w:r>
        <w:rPr>
          <w:rFonts w:eastAsia="Times New Roman"/>
          <w:color w:val="000000"/>
          <w:sz w:val="24"/>
        </w:rPr>
        <w:t>Field Q, if services are available in multiple languages; and</w:t>
      </w:r>
    </w:p>
    <w:p w:rsidR="007C25FE" w:rsidRDefault="00AB77A8">
      <w:pPr>
        <w:numPr>
          <w:ilvl w:val="0"/>
          <w:numId w:val="9"/>
        </w:numPr>
        <w:tabs>
          <w:tab w:val="clear" w:pos="216"/>
          <w:tab w:val="left" w:pos="2266"/>
        </w:tabs>
        <w:spacing w:line="276" w:lineRule="exact"/>
        <w:ind w:left="2266" w:right="106" w:hanging="216"/>
        <w:jc w:val="both"/>
        <w:textAlignment w:val="baseline"/>
        <w:rPr>
          <w:rFonts w:eastAsia="Times New Roman"/>
          <w:color w:val="000000"/>
          <w:sz w:val="24"/>
        </w:rPr>
      </w:pPr>
      <w:r>
        <w:rPr>
          <w:rFonts w:eastAsia="Times New Roman"/>
          <w:color w:val="000000"/>
          <w:sz w:val="24"/>
        </w:rPr>
        <w:t>Field R, if services are available in alternate formats that are accessible to persons with disabilities.</w:t>
      </w:r>
    </w:p>
    <w:p w:rsidR="007C25FE" w:rsidRDefault="00AB77A8">
      <w:pPr>
        <w:spacing w:before="241" w:line="276" w:lineRule="exact"/>
        <w:ind w:left="106" w:right="106"/>
        <w:textAlignment w:val="baseline"/>
        <w:rPr>
          <w:rFonts w:eastAsia="Times New Roman"/>
          <w:color w:val="000000"/>
          <w:sz w:val="24"/>
        </w:rPr>
      </w:pPr>
      <w:r>
        <w:rPr>
          <w:rFonts w:eastAsia="Times New Roman"/>
          <w:color w:val="000000"/>
          <w:sz w:val="24"/>
        </w:rPr>
        <w:t>Using HUD-9906 Chart A1 (LHCA) or Chart A2 (Intermediary, SHFA, or MSO), all Applicants must provide the requested information regarding the Applicant and if applicable, its proposed Sub-grantees and/or Branches. For example, indicate by entering an “x” in the appropriate field if the Applicant and if applicable, its Sub-grantees and/or Branches have adopted the National Industry Standards for Homeownership Education and Counseling</w:t>
      </w:r>
      <w:r>
        <w:rPr>
          <w:rFonts w:eastAsia="Times New Roman"/>
          <w:color w:val="0000EE"/>
          <w:sz w:val="24"/>
          <w:u w:val="single"/>
        </w:rPr>
        <w:t xml:space="preserve"> (http  ://</w:t>
      </w:r>
      <w:hyperlink r:id="rId68">
        <w:r>
          <w:rPr>
            <w:rFonts w:eastAsia="Times New Roman"/>
            <w:color w:val="0000FF"/>
            <w:sz w:val="24"/>
            <w:u w:val="single"/>
          </w:rPr>
          <w:t>homeownershipstandards.com</w:t>
        </w:r>
      </w:hyperlink>
      <w:r>
        <w:rPr>
          <w:rFonts w:eastAsia="Times New Roman"/>
          <w:color w:val="0000EE"/>
          <w:sz w:val="24"/>
          <w:u w:val="single"/>
        </w:rPr>
        <w:t>)</w:t>
      </w:r>
      <w:r>
        <w:rPr>
          <w:rFonts w:eastAsia="Times New Roman"/>
          <w:color w:val="000000"/>
          <w:sz w:val="24"/>
        </w:rPr>
        <w:t xml:space="preserve"> prior to the NOFA application submission date.</w:t>
      </w:r>
    </w:p>
    <w:p w:rsidR="007C25FE" w:rsidRDefault="00AB77A8">
      <w:pPr>
        <w:spacing w:before="119" w:line="276" w:lineRule="exact"/>
        <w:ind w:left="106" w:right="106"/>
        <w:textAlignment w:val="baseline"/>
        <w:rPr>
          <w:rFonts w:eastAsia="Times New Roman"/>
          <w:color w:val="000000"/>
          <w:sz w:val="24"/>
        </w:rPr>
      </w:pPr>
      <w:r>
        <w:rPr>
          <w:rFonts w:eastAsia="Times New Roman"/>
          <w:color w:val="000000"/>
          <w:sz w:val="24"/>
        </w:rPr>
        <w:t xml:space="preserve">In addition, Applicants that manage networks of counseling agencies </w:t>
      </w:r>
      <w:r>
        <w:rPr>
          <w:rFonts w:eastAsia="Times New Roman"/>
          <w:i/>
          <w:color w:val="000000"/>
          <w:sz w:val="24"/>
        </w:rPr>
        <w:t xml:space="preserve">and </w:t>
      </w:r>
      <w:r>
        <w:rPr>
          <w:rFonts w:eastAsia="Times New Roman"/>
          <w:color w:val="000000"/>
          <w:sz w:val="24"/>
        </w:rPr>
        <w:t>also provide direct housing counseling services at the Applicant’s main office must complete an additional step when filling out HUD-9906 chart A2 (Intermediary, SHFA, MSO). These Applicants must indicate their direct housing counseling activities by including the main office in the list of Sub-grantees and Branches on Chart A2. The main office will be treated as a Branch for scoring and funding formula purposes.</w:t>
      </w:r>
    </w:p>
    <w:p w:rsidR="007C25FE" w:rsidRDefault="00AB77A8">
      <w:pPr>
        <w:spacing w:before="120" w:line="276" w:lineRule="exact"/>
        <w:ind w:left="106" w:right="106"/>
        <w:textAlignment w:val="baseline"/>
        <w:rPr>
          <w:rFonts w:eastAsia="Times New Roman"/>
          <w:color w:val="000000"/>
          <w:sz w:val="24"/>
        </w:rPr>
      </w:pPr>
      <w:r>
        <w:rPr>
          <w:rFonts w:eastAsia="Times New Roman"/>
          <w:color w:val="000000"/>
          <w:sz w:val="24"/>
        </w:rPr>
        <w:t>When completing Chart A2, Intermediary, SHFA and MSO applicants must generally only list Branch offices that are open to provide housing counseling services to a minimum of thirty (30) clients per year. This thirty (30) client minimum does not apply to agencies that offer only housing counseling services limited to reverse mortgages, including home equity conversion mortgages (HECMs). For additional information, see 24 C.F.R. 214.303(b) for additional information on the HECM exception.</w:t>
      </w:r>
    </w:p>
    <w:p w:rsidR="007C25FE" w:rsidRDefault="00AB77A8">
      <w:pPr>
        <w:spacing w:before="120" w:line="276" w:lineRule="exact"/>
        <w:ind w:left="106" w:right="466"/>
        <w:textAlignment w:val="baseline"/>
        <w:rPr>
          <w:rFonts w:eastAsia="Times New Roman"/>
          <w:color w:val="000000"/>
          <w:sz w:val="24"/>
        </w:rPr>
      </w:pPr>
      <w:r>
        <w:rPr>
          <w:rFonts w:eastAsia="Times New Roman"/>
          <w:color w:val="000000"/>
          <w:sz w:val="24"/>
        </w:rPr>
        <w:t>Intermediaries, SHFAs and MSOs must submit this information on the Chart A2 Attachment (Excel spreadsheet) AND totals must be included on the 9906 chart.</w:t>
      </w:r>
    </w:p>
    <w:p w:rsidR="007C25FE" w:rsidRDefault="00AB77A8">
      <w:pPr>
        <w:numPr>
          <w:ilvl w:val="0"/>
          <w:numId w:val="31"/>
        </w:numPr>
        <w:tabs>
          <w:tab w:val="clear" w:pos="360"/>
          <w:tab w:val="left" w:pos="466"/>
        </w:tabs>
        <w:spacing w:before="118" w:line="276" w:lineRule="exact"/>
        <w:ind w:left="106" w:right="250"/>
        <w:textAlignment w:val="baseline"/>
        <w:rPr>
          <w:rFonts w:eastAsia="Times New Roman"/>
          <w:b/>
          <w:color w:val="000000"/>
          <w:sz w:val="24"/>
        </w:rPr>
      </w:pPr>
      <w:r>
        <w:rPr>
          <w:rFonts w:eastAsia="Times New Roman"/>
          <w:b/>
          <w:color w:val="000000"/>
          <w:sz w:val="24"/>
        </w:rPr>
        <w:t xml:space="preserve">Performance Reviews/Compliance (7 points). </w:t>
      </w:r>
      <w:r>
        <w:rPr>
          <w:rFonts w:eastAsia="Times New Roman"/>
          <w:color w:val="000000"/>
          <w:sz w:val="24"/>
        </w:rPr>
        <w:t>In scoring this section, HUD will evaluate Applicant compliance with programmatic requirements and oversight results, for the period October 1, 2016 through September 30, 2017.</w:t>
      </w:r>
    </w:p>
    <w:p w:rsidR="007C25FE" w:rsidRDefault="00AB77A8">
      <w:pPr>
        <w:spacing w:before="120" w:line="276" w:lineRule="exact"/>
        <w:ind w:left="106" w:right="538"/>
        <w:textAlignment w:val="baseline"/>
        <w:rPr>
          <w:rFonts w:eastAsia="Times New Roman"/>
          <w:color w:val="000000"/>
          <w:sz w:val="24"/>
        </w:rPr>
      </w:pPr>
      <w:r>
        <w:rPr>
          <w:rFonts w:eastAsia="Times New Roman"/>
          <w:color w:val="000000"/>
          <w:sz w:val="24"/>
        </w:rPr>
        <w:t>Applicants will not provide a narrative response to this sub-factor. HUD will utilize its own records to score this factor.</w:t>
      </w:r>
    </w:p>
    <w:p w:rsidR="007C25FE" w:rsidRDefault="00AB77A8">
      <w:pPr>
        <w:spacing w:before="122" w:line="276" w:lineRule="exact"/>
        <w:ind w:left="106" w:right="106"/>
        <w:textAlignment w:val="baseline"/>
        <w:rPr>
          <w:rFonts w:eastAsia="Times New Roman"/>
          <w:color w:val="000000"/>
          <w:sz w:val="24"/>
        </w:rPr>
      </w:pPr>
      <w:r>
        <w:rPr>
          <w:rFonts w:eastAsia="Times New Roman"/>
          <w:color w:val="000000"/>
          <w:sz w:val="24"/>
        </w:rPr>
        <w:t>For the Applicant, significant findings on oversight and performance reviews conducted by HUD staff, HUD’s Inspector General, or other non-HUD auditing organizations, will be taken into consideration when scoring this section. Significant findings may be findings that suggest an Applicant has operated its agency in a manner inconsistent with Housing Counseling Program requirements, including acts of waste, fraud and abuse of grant funds. HUD will consider significant findings documented during a review(s) and/or audit(s), and incidence of repeat findings, complaints, etc. HUD may also factor in frequency and responsiveness to complaints, the Applicant’s responsiveness to findings and implementation of corrective action, grantee performance/reporting, and counseling activity reporting.</w:t>
      </w:r>
    </w:p>
    <w:p w:rsidR="007C25FE" w:rsidRDefault="00AB77A8">
      <w:pPr>
        <w:numPr>
          <w:ilvl w:val="0"/>
          <w:numId w:val="31"/>
        </w:numPr>
        <w:tabs>
          <w:tab w:val="clear" w:pos="360"/>
          <w:tab w:val="left" w:pos="466"/>
        </w:tabs>
        <w:spacing w:before="120" w:after="675" w:line="276" w:lineRule="exact"/>
        <w:ind w:left="106" w:right="250"/>
        <w:textAlignment w:val="baseline"/>
        <w:rPr>
          <w:rFonts w:eastAsia="Times New Roman"/>
          <w:b/>
          <w:color w:val="000000"/>
          <w:sz w:val="24"/>
        </w:rPr>
      </w:pPr>
      <w:r>
        <w:rPr>
          <w:rFonts w:eastAsia="Times New Roman"/>
          <w:b/>
          <w:color w:val="000000"/>
          <w:sz w:val="24"/>
        </w:rPr>
        <w:t>Measuring Client Satisfaction (6 points)</w:t>
      </w:r>
      <w:r>
        <w:rPr>
          <w:rFonts w:eastAsia="Times New Roman"/>
          <w:color w:val="000000"/>
          <w:sz w:val="24"/>
        </w:rPr>
        <w:t>. Scoring of this sub-factor will reward Applicants that measure customer satisfaction. Those Applicants that demonstrate a variety of methods and techniques to measure customer satisfaction, including those methods and techniques identified in this section, will be awarded a higher score.</w:t>
      </w:r>
    </w:p>
    <w:p w:rsidR="007C25FE" w:rsidRDefault="007C25FE">
      <w:pPr>
        <w:spacing w:before="120" w:after="675" w:line="276" w:lineRule="exact"/>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30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60" w:line="276" w:lineRule="exact"/>
        <w:ind w:left="106" w:right="178"/>
        <w:textAlignment w:val="baseline"/>
        <w:rPr>
          <w:rFonts w:eastAsia="Times New Roman"/>
          <w:color w:val="000000"/>
          <w:sz w:val="24"/>
        </w:rPr>
      </w:pPr>
      <w:r>
        <w:rPr>
          <w:noProof/>
        </w:rPr>
        <mc:AlternateContent>
          <mc:Choice Requires="wps">
            <w:drawing>
              <wp:anchor distT="0" distB="314960" distL="0" distR="0" simplePos="0" relativeHeight="251626496" behindDoc="1" locked="0" layoutInCell="1" allowOverlap="1" wp14:anchorId="098F343B" wp14:editId="55D3701C">
                <wp:simplePos x="0" y="0"/>
                <wp:positionH relativeFrom="page">
                  <wp:posOffset>875030</wp:posOffset>
                </wp:positionH>
                <wp:positionV relativeFrom="page">
                  <wp:posOffset>914400</wp:posOffset>
                </wp:positionV>
                <wp:extent cx="6005195" cy="820229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20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4"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left:0;text-align:left;margin-left:68.9pt;margin-top:1in;width:472.85pt;height:645.85pt;z-index:-251689984;visibility:visible;mso-wrap-style:square;mso-width-percent:0;mso-height-percent:0;mso-wrap-distance-left:0;mso-wrap-distance-top:0;mso-wrap-distance-right:0;mso-wrap-distance-bottom:24.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" filled="f" stroked="f">
                <v:textbox inset="0,0,0,0">
                  <w:txbxContent>
                    <w:p w:rsidR="007C25FE" w:rsidRDefault="007C25FE">
                      <w:pPr>
                        <w:pBdr>
                          <w:top w:val="single" w:sz="5" w:space="0" w:color="CCCCCC"/>
                          <w:left w:val="single" w:sz="5" w:space="0" w:color="CCCCCC"/>
                          <w:bottom w:val="single" w:sz="5" w:space="24" w:color="CCCCCC"/>
                          <w:right w:val="single" w:sz="5" w:space="0" w:color="CCCCCC"/>
                        </w:pBdr>
                      </w:pPr>
                    </w:p>
                  </w:txbxContent>
                </v:textbox>
                <w10:wrap anchorx="page" anchory="page"/>
              </v:shape>
            </w:pict>
          </mc:Fallback>
        </mc:AlternateContent>
      </w:r>
      <w:r>
        <w:rPr>
          <w:rFonts w:eastAsia="Times New Roman"/>
          <w:color w:val="000000"/>
          <w:sz w:val="24"/>
        </w:rPr>
        <w:t>Use HUD-9906 Chart A1 (LHCA) or Chart A2 (Intermediary, SHFA, or MSO) to indicate if the Applicant and if applicable, its proposed Sub-grantees and/or Branches, measured customer satisfaction during the period October 1, 2016 through September 30, 2017. Indicate if the Applicant, and if applicable, its proposed Sub-grantees and Branches:</w:t>
      </w:r>
    </w:p>
    <w:p w:rsidR="007C25FE" w:rsidRDefault="00AB77A8">
      <w:pPr>
        <w:numPr>
          <w:ilvl w:val="0"/>
          <w:numId w:val="32"/>
        </w:numPr>
        <w:tabs>
          <w:tab w:val="clear" w:pos="360"/>
          <w:tab w:val="left" w:pos="466"/>
        </w:tabs>
        <w:spacing w:before="118" w:line="276" w:lineRule="exact"/>
        <w:ind w:left="106" w:right="106"/>
        <w:textAlignment w:val="baseline"/>
        <w:rPr>
          <w:rFonts w:eastAsia="Times New Roman"/>
          <w:color w:val="000000"/>
          <w:sz w:val="24"/>
        </w:rPr>
      </w:pPr>
      <w:r>
        <w:rPr>
          <w:rFonts w:eastAsia="Times New Roman"/>
          <w:color w:val="000000"/>
          <w:sz w:val="24"/>
        </w:rPr>
        <w:t>Field S, issued client exit surveys at the end of counseling or education sessions; and</w:t>
      </w:r>
    </w:p>
    <w:p w:rsidR="007C25FE" w:rsidRDefault="00AB77A8">
      <w:pPr>
        <w:numPr>
          <w:ilvl w:val="0"/>
          <w:numId w:val="32"/>
        </w:numPr>
        <w:tabs>
          <w:tab w:val="clear" w:pos="360"/>
          <w:tab w:val="left" w:pos="466"/>
        </w:tabs>
        <w:spacing w:before="122" w:line="276" w:lineRule="exact"/>
        <w:ind w:left="106" w:right="106"/>
        <w:textAlignment w:val="baseline"/>
        <w:rPr>
          <w:rFonts w:eastAsia="Times New Roman"/>
          <w:color w:val="000000"/>
          <w:sz w:val="24"/>
        </w:rPr>
      </w:pPr>
      <w:r>
        <w:rPr>
          <w:rFonts w:eastAsia="Times New Roman"/>
          <w:color w:val="000000"/>
          <w:sz w:val="24"/>
        </w:rPr>
        <w:t>Field T issued any follow-up client surveys after the counseling was completed.</w:t>
      </w:r>
    </w:p>
    <w:p w:rsidR="007C25FE" w:rsidRDefault="00AB77A8">
      <w:pPr>
        <w:spacing w:before="120" w:line="276" w:lineRule="exact"/>
        <w:ind w:left="106" w:right="178"/>
        <w:textAlignment w:val="baseline"/>
        <w:rPr>
          <w:rFonts w:eastAsia="Times New Roman"/>
          <w:b/>
          <w:color w:val="000000"/>
          <w:sz w:val="24"/>
        </w:rPr>
      </w:pPr>
      <w:r>
        <w:rPr>
          <w:rFonts w:eastAsia="Times New Roman"/>
          <w:b/>
          <w:color w:val="000000"/>
          <w:sz w:val="24"/>
        </w:rPr>
        <w:t xml:space="preserve">b. Rating Factor 2: Need/NOFA Priorities (14 Points). </w:t>
      </w:r>
      <w:r>
        <w:rPr>
          <w:rFonts w:eastAsia="Times New Roman"/>
          <w:color w:val="000000"/>
          <w:sz w:val="24"/>
        </w:rPr>
        <w:t>This factor addresses the extent to which there is a need for funding the proposed activities described in the Applicant’s work plan and the degree to which the Applicant’s work plan substantively addresses certain NOFA priorities.</w:t>
      </w:r>
    </w:p>
    <w:p w:rsidR="007C25FE" w:rsidRDefault="00AB77A8">
      <w:pPr>
        <w:spacing w:before="120" w:line="276" w:lineRule="exact"/>
        <w:ind w:left="106" w:right="106"/>
        <w:textAlignment w:val="baseline"/>
        <w:rPr>
          <w:rFonts w:eastAsia="Times New Roman"/>
          <w:b/>
          <w:color w:val="000000"/>
          <w:spacing w:val="-1"/>
          <w:sz w:val="24"/>
        </w:rPr>
      </w:pPr>
      <w:r>
        <w:rPr>
          <w:rFonts w:eastAsia="Times New Roman"/>
          <w:b/>
          <w:color w:val="000000"/>
          <w:spacing w:val="-1"/>
          <w:sz w:val="24"/>
        </w:rPr>
        <w:t xml:space="preserve">(1) Needs (10 points). </w:t>
      </w:r>
      <w:r>
        <w:rPr>
          <w:rFonts w:eastAsia="Times New Roman"/>
          <w:color w:val="000000"/>
          <w:spacing w:val="-1"/>
          <w:sz w:val="24"/>
        </w:rPr>
        <w:t>Applicant must report the following data regarding the communities they propose to serve. In scoring this Section, HUD will evaluate the degree to which the Applicant addressed the specific needs identified in this factor and, where requested, cited source information, and provided examples and/or brief descriptions of activities proposed to address the needs. Applicants that fail to adequately address the specific needs or provide requested source citations, examples and/or descriptions will not receive full points for this sub-factor.</w:t>
      </w:r>
    </w:p>
    <w:p w:rsidR="007C25FE" w:rsidRDefault="00AB77A8">
      <w:pPr>
        <w:numPr>
          <w:ilvl w:val="0"/>
          <w:numId w:val="33"/>
        </w:numPr>
        <w:tabs>
          <w:tab w:val="clear" w:pos="360"/>
          <w:tab w:val="left" w:pos="466"/>
        </w:tabs>
        <w:spacing w:before="120" w:line="276" w:lineRule="exact"/>
        <w:ind w:left="106" w:right="106"/>
        <w:textAlignment w:val="baseline"/>
        <w:rPr>
          <w:rFonts w:eastAsia="Times New Roman"/>
          <w:b/>
          <w:color w:val="000000"/>
          <w:sz w:val="24"/>
        </w:rPr>
      </w:pPr>
      <w:r>
        <w:rPr>
          <w:rFonts w:eastAsia="Times New Roman"/>
          <w:b/>
          <w:color w:val="000000"/>
          <w:sz w:val="24"/>
        </w:rPr>
        <w:t xml:space="preserve">Rural Communities. </w:t>
      </w:r>
      <w:r>
        <w:rPr>
          <w:rFonts w:eastAsia="Times New Roman"/>
          <w:color w:val="000000"/>
          <w:sz w:val="24"/>
        </w:rPr>
        <w:t>In HUD-9906 Chart A1 (LHCA) or Chart A2 (Intermediary, SHFA, or MSO), Field U, indicate if the Applicant, or its Sub-grantees and/or Branches, if applicable, proposes to serve a community that includes a Rural Area as defined by the U.S. Department of Agriculture (USDA) at 7 C.F.R. § 3550.10. Maps that help identify eligible rural areas can be accessed on the USDA's website at</w:t>
      </w:r>
      <w:r>
        <w:rPr>
          <w:rFonts w:eastAsia="Times New Roman"/>
          <w:color w:val="0000EE"/>
          <w:sz w:val="24"/>
          <w:u w:val="single"/>
        </w:rPr>
        <w:t xml:space="preserve"> </w:t>
      </w:r>
      <w:hyperlink r:id="rId69">
        <w:r>
          <w:rPr>
            <w:rFonts w:eastAsia="Times New Roman"/>
            <w:color w:val="0000FF"/>
            <w:sz w:val="24"/>
            <w:u w:val="single"/>
          </w:rPr>
          <w:t>http://eligibility.sc.egov.usda.gov/eligibility/welcomeAction</w:t>
        </w:r>
      </w:hyperlink>
      <w:r>
        <w:rPr>
          <w:rFonts w:eastAsia="Times New Roman"/>
          <w:color w:val="0000EE"/>
          <w:sz w:val="24"/>
          <w:u w:val="single"/>
        </w:rPr>
        <w:t xml:space="preserve"> .do.</w:t>
      </w:r>
      <w:r>
        <w:rPr>
          <w:rFonts w:eastAsia="Times New Roman"/>
          <w:color w:val="000000"/>
          <w:sz w:val="24"/>
        </w:rPr>
        <w:t xml:space="preserve"> In Chart A1 or Chart A2, (Field V), also identify if the proposed agency, Sub-grantees, and/or Branches serve a Rural Area that lacks Internet access at the time of the application submission.</w:t>
      </w:r>
    </w:p>
    <w:p w:rsidR="007C25FE" w:rsidRDefault="00AB77A8">
      <w:pPr>
        <w:numPr>
          <w:ilvl w:val="0"/>
          <w:numId w:val="33"/>
        </w:numPr>
        <w:tabs>
          <w:tab w:val="clear" w:pos="360"/>
          <w:tab w:val="left" w:pos="466"/>
        </w:tabs>
        <w:spacing w:before="120" w:line="276" w:lineRule="exact"/>
        <w:ind w:left="106" w:right="106"/>
        <w:textAlignment w:val="baseline"/>
        <w:rPr>
          <w:rFonts w:eastAsia="Times New Roman"/>
          <w:b/>
          <w:color w:val="000000"/>
          <w:sz w:val="24"/>
        </w:rPr>
      </w:pPr>
      <w:r>
        <w:rPr>
          <w:rFonts w:eastAsia="Times New Roman"/>
          <w:b/>
          <w:color w:val="000000"/>
          <w:sz w:val="24"/>
        </w:rPr>
        <w:t>Sole Agency Providing Housing Counseling Services in Target Area</w:t>
      </w:r>
      <w:r>
        <w:rPr>
          <w:rFonts w:eastAsia="Times New Roman"/>
          <w:color w:val="000000"/>
          <w:sz w:val="24"/>
        </w:rPr>
        <w:t>. In HUD-9906 Chart A1 (LHCA) or Chart A2 (Intermediary, SHFA, or MSO), indicate in Field W if the Applicant, or one of its Sub-grantees or Branch offices, is or will be the only agency, Sub-grantee or Branch office participating in HUD’s Housing Counseling Program that is physically located in the service area of the Applicant, Sub-grantee or Branch. If applicable, in a brief narrative, please describe the geographic area that your agency alone serves.</w:t>
      </w:r>
    </w:p>
    <w:p w:rsidR="007C25FE" w:rsidRDefault="00AB77A8">
      <w:pPr>
        <w:numPr>
          <w:ilvl w:val="0"/>
          <w:numId w:val="33"/>
        </w:numPr>
        <w:tabs>
          <w:tab w:val="clear" w:pos="360"/>
          <w:tab w:val="left" w:pos="466"/>
        </w:tabs>
        <w:spacing w:before="118" w:line="276" w:lineRule="exact"/>
        <w:ind w:left="106" w:right="106"/>
        <w:textAlignment w:val="baseline"/>
        <w:rPr>
          <w:rFonts w:eastAsia="Times New Roman"/>
          <w:b/>
          <w:color w:val="000000"/>
          <w:sz w:val="24"/>
        </w:rPr>
      </w:pPr>
      <w:r>
        <w:rPr>
          <w:rFonts w:eastAsia="Times New Roman"/>
          <w:b/>
          <w:color w:val="000000"/>
          <w:sz w:val="24"/>
        </w:rPr>
        <w:t xml:space="preserve">Identifying Impediments to Fair Housing Choice. </w:t>
      </w:r>
      <w:r>
        <w:rPr>
          <w:rFonts w:eastAsia="Times New Roman"/>
          <w:color w:val="000000"/>
          <w:sz w:val="24"/>
        </w:rPr>
        <w:t>Successful Applicants will be obligated to affirmatively further fair housing in their use of Housing Counseling grant funds. Therefore, on HUD-9906 Chart F (Field B) Applicants must submit a brief description of impediments to fair housing choice in their jurisdiction or service area and, if applicable, their Sub-grantees’ jurisdictions or service areas, as well as strategies for overcoming the effect of such impediments. On Chart F (Field C) identify the applicable state or local Consolidated Plan, Analysis of Impediments, Assessment of Fair Housing, or other source of information on impediments to fair housing, including but not limited to discriminatory housing practices under the Fair Housing Act and its implementing regulations at 24 C.F.R. Part 100.</w:t>
      </w:r>
    </w:p>
    <w:p w:rsidR="007C25FE" w:rsidRDefault="00AB77A8">
      <w:pPr>
        <w:spacing w:before="120" w:after="526" w:line="276" w:lineRule="exact"/>
        <w:ind w:left="106" w:right="322"/>
        <w:textAlignment w:val="baseline"/>
        <w:rPr>
          <w:rFonts w:eastAsia="Times New Roman"/>
          <w:color w:val="000000"/>
          <w:spacing w:val="-1"/>
          <w:sz w:val="24"/>
        </w:rPr>
      </w:pPr>
      <w:r>
        <w:rPr>
          <w:rFonts w:eastAsia="Times New Roman"/>
          <w:color w:val="000000"/>
          <w:spacing w:val="-1"/>
          <w:sz w:val="24"/>
        </w:rPr>
        <w:t>Background Information: Under the Affirmatively Furthering Fair Housing (AFFH) rule, an "Assessment of Fair Housing" (AFH) will replace the current "Analysis of Impediments" (AI) process. The AFH Assessment Tool, which includes instructions and data provided by HUD, consists of a series of questions designed to help program participants identify, among other</w:t>
      </w:r>
    </w:p>
    <w:p w:rsidR="007C25FE" w:rsidRDefault="007C25FE">
      <w:pPr>
        <w:spacing w:before="120" w:after="526" w:line="276" w:lineRule="exact"/>
        <w:sectPr w:rsidR="007C25FE">
          <w:pgSz w:w="12240" w:h="15840"/>
          <w:pgMar w:top="1440" w:right="1405" w:bottom="304" w:left="1378" w:header="720" w:footer="720" w:gutter="0"/>
          <w:cols w:space="720"/>
        </w:sectPr>
      </w:pPr>
    </w:p>
    <w:p w:rsidR="007C25FE" w:rsidRDefault="00AB77A8">
      <w:pPr>
        <w:spacing w:line="274" w:lineRule="exact"/>
        <w:textAlignment w:val="baseline"/>
        <w:rPr>
          <w:rFonts w:eastAsia="Times New Roman"/>
          <w:color w:val="000000"/>
          <w:spacing w:val="-13"/>
          <w:sz w:val="24"/>
        </w:rPr>
      </w:pPr>
      <w:r>
        <w:rPr>
          <w:rFonts w:eastAsia="Times New Roman"/>
          <w:color w:val="000000"/>
          <w:spacing w:val="-13"/>
          <w:sz w:val="24"/>
        </w:rPr>
        <w:t>31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48" w:line="276" w:lineRule="exact"/>
        <w:ind w:left="72" w:right="288"/>
        <w:textAlignment w:val="baseline"/>
        <w:rPr>
          <w:rFonts w:eastAsia="Times New Roman"/>
          <w:color w:val="000000"/>
          <w:sz w:val="24"/>
        </w:rPr>
      </w:pPr>
      <w:r>
        <w:rPr>
          <w:noProof/>
        </w:rPr>
        <mc:AlternateContent>
          <mc:Choice Requires="wps">
            <w:drawing>
              <wp:anchor distT="0" distB="0" distL="114300" distR="114300" simplePos="0" relativeHeight="251668480" behindDoc="0" locked="0" layoutInCell="1" allowOverlap="1" wp14:anchorId="2B80BEA0" wp14:editId="051DD03A">
                <wp:simplePos x="0" y="0"/>
                <wp:positionH relativeFrom="page">
                  <wp:posOffset>875030</wp:posOffset>
                </wp:positionH>
                <wp:positionV relativeFrom="page">
                  <wp:posOffset>914400</wp:posOffset>
                </wp:positionV>
                <wp:extent cx="6005195" cy="0"/>
                <wp:effectExtent l="0" t="0" r="0" b="0"/>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349F6" id="Line 4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F/Hg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63C9FB36" wp14:editId="56B74505">
                <wp:simplePos x="0" y="0"/>
                <wp:positionH relativeFrom="page">
                  <wp:posOffset>875030</wp:posOffset>
                </wp:positionH>
                <wp:positionV relativeFrom="page">
                  <wp:posOffset>914400</wp:posOffset>
                </wp:positionV>
                <wp:extent cx="0" cy="8101330"/>
                <wp:effectExtent l="0" t="0" r="0" b="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133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26F7D" id="Line 4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P2HQIAAEMEAAAOAAAAZHJzL2Uyb0RvYy54bWysU82O2jAQvlfqO1i+QxJIKU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" strokecolor="#ccc" strokeweight=".7pt">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4FDFBB10" wp14:editId="55184461">
                <wp:simplePos x="0" y="0"/>
                <wp:positionH relativeFrom="page">
                  <wp:posOffset>6880225</wp:posOffset>
                </wp:positionH>
                <wp:positionV relativeFrom="page">
                  <wp:posOffset>914400</wp:posOffset>
                </wp:positionV>
                <wp:extent cx="0" cy="8101330"/>
                <wp:effectExtent l="0" t="0" r="0" b="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133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183883" id="Line 41"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" strokecolor="#ccc" strokeweight=".7pt">
                <w10:wrap anchorx="page" anchory="page"/>
              </v:line>
            </w:pict>
          </mc:Fallback>
        </mc:AlternateContent>
      </w:r>
      <w:r>
        <w:rPr>
          <w:rFonts w:eastAsia="Times New Roman"/>
          <w:color w:val="000000"/>
          <w:sz w:val="24"/>
        </w:rPr>
        <w:t>things, fair housing issues pertaining to patterns of integration and segregation; racially and ethnically concentrated areas of poverty; disparities in access to opportunity; and disproportionate housing needs, as well as the contributing factors for those issues. The Assessment Tool is intended to help communities understand and identify local barriers to fair housing choice. The AFH provides an approach that will help program participants more effectively affirmatively further the purposes and policies of the Fair Housing Act.</w:t>
      </w:r>
    </w:p>
    <w:p w:rsidR="007C25FE" w:rsidRDefault="00AB77A8">
      <w:pPr>
        <w:spacing w:before="118" w:line="276" w:lineRule="exact"/>
        <w:ind w:left="72" w:right="144"/>
        <w:textAlignment w:val="baseline"/>
        <w:rPr>
          <w:rFonts w:eastAsia="Times New Roman"/>
          <w:color w:val="000000"/>
          <w:sz w:val="24"/>
        </w:rPr>
      </w:pPr>
      <w:r>
        <w:rPr>
          <w:rFonts w:eastAsia="Times New Roman"/>
          <w:color w:val="000000"/>
          <w:sz w:val="24"/>
        </w:rPr>
        <w:t>The AFFH rule establishes specific requirements for the incorporation of the AFH into subsequent consolidated plans and Public Housing Authority (PHA) plans in a manner that connects housing and community development policy and investment planning with meaningful actions to AFFH. The AFFH rule links existing community participation and consultation requirements to the AFH process to ensure program participants give the public opportunities for involvement in the development of the AFH and its incorporation into the consolidated plan and PHA plan.</w:t>
      </w:r>
    </w:p>
    <w:p w:rsidR="007C25FE" w:rsidRDefault="00AB77A8">
      <w:pPr>
        <w:spacing w:before="122" w:line="276" w:lineRule="exact"/>
        <w:ind w:left="72" w:right="432"/>
        <w:textAlignment w:val="baseline"/>
        <w:rPr>
          <w:rFonts w:eastAsia="Times New Roman"/>
          <w:color w:val="000000"/>
          <w:sz w:val="24"/>
        </w:rPr>
      </w:pPr>
      <w:r>
        <w:rPr>
          <w:rFonts w:eastAsia="Times New Roman"/>
          <w:color w:val="000000"/>
          <w:sz w:val="24"/>
        </w:rPr>
        <w:t>This background has been provided to help applicants understand changing terminology and requirements in this areas as jurisdictions and Public Housing Authorities implement the AFFH rule over the next two years.</w:t>
      </w:r>
    </w:p>
    <w:p w:rsidR="007C25FE" w:rsidRDefault="00AB77A8">
      <w:pPr>
        <w:spacing w:before="118" w:line="276" w:lineRule="exact"/>
        <w:ind w:left="72" w:right="576"/>
        <w:textAlignment w:val="baseline"/>
        <w:rPr>
          <w:rFonts w:eastAsia="Times New Roman"/>
          <w:b/>
          <w:color w:val="000000"/>
          <w:sz w:val="24"/>
        </w:rPr>
      </w:pPr>
      <w:r>
        <w:rPr>
          <w:rFonts w:eastAsia="Times New Roman"/>
          <w:b/>
          <w:color w:val="000000"/>
          <w:sz w:val="24"/>
        </w:rPr>
        <w:t xml:space="preserve">(d) Persons with Disabilities and Limited English Proficiency. </w:t>
      </w:r>
      <w:r>
        <w:rPr>
          <w:rFonts w:eastAsia="Times New Roman"/>
          <w:color w:val="000000"/>
          <w:sz w:val="24"/>
        </w:rPr>
        <w:t>In a brief narrative, Applicants must describe how meaningful program access will be provided to persons with disabilities and persons with Limited English Proficiency (LEP).</w:t>
      </w:r>
    </w:p>
    <w:p w:rsidR="007C25FE" w:rsidRDefault="00AB77A8">
      <w:pPr>
        <w:spacing w:before="122" w:line="276" w:lineRule="exact"/>
        <w:ind w:left="72" w:right="144"/>
        <w:textAlignment w:val="baseline"/>
        <w:rPr>
          <w:rFonts w:eastAsia="Times New Roman"/>
          <w:b/>
          <w:color w:val="000000"/>
          <w:sz w:val="24"/>
        </w:rPr>
      </w:pPr>
      <w:r>
        <w:rPr>
          <w:rFonts w:eastAsia="Times New Roman"/>
          <w:b/>
          <w:color w:val="000000"/>
          <w:sz w:val="24"/>
        </w:rPr>
        <w:t>(2) NOFA Priorities (4 points)</w:t>
      </w:r>
      <w:r>
        <w:rPr>
          <w:rFonts w:eastAsia="Times New Roman"/>
          <w:color w:val="000000"/>
          <w:sz w:val="24"/>
        </w:rPr>
        <w:t>. Each NOFA Priority addressed below has a point value of one (1) point. Applicants that are responding to a NOFA Priority that requires a narrative response must limit responses to 500 words per NOFA Priority</w:t>
      </w:r>
    </w:p>
    <w:p w:rsidR="007C25FE" w:rsidRDefault="00AB77A8">
      <w:pPr>
        <w:spacing w:before="120" w:line="276" w:lineRule="exact"/>
        <w:ind w:left="72" w:right="144"/>
        <w:textAlignment w:val="baseline"/>
        <w:rPr>
          <w:rFonts w:eastAsia="Times New Roman"/>
          <w:color w:val="000000"/>
          <w:sz w:val="24"/>
        </w:rPr>
      </w:pPr>
      <w:r>
        <w:rPr>
          <w:rFonts w:eastAsia="Times New Roman"/>
          <w:color w:val="000000"/>
          <w:sz w:val="24"/>
        </w:rPr>
        <w:t>To receive credit for a particular policy priority, Applicants must indicate if and describe how their work plan substantively addresses the NOFA Priority. In addition, Applicants that are Intermediaries, SHFAs or MSOs that manage a network of Sub-grantees and/or Branches must specifically state that one-third or more of their Sub-grantees and/or Branches meet the relevant criteria, and provide at least three (3) relevant specific examples. The following NOFA Priorities apply to the Housing Counseling Program for the purpose of this NOFA.</w:t>
      </w:r>
    </w:p>
    <w:p w:rsidR="007C25FE" w:rsidRDefault="00AB77A8">
      <w:pPr>
        <w:spacing w:before="118" w:line="276" w:lineRule="exact"/>
        <w:ind w:left="72" w:right="144"/>
        <w:textAlignment w:val="baseline"/>
        <w:rPr>
          <w:rFonts w:eastAsia="Times New Roman"/>
          <w:b/>
          <w:color w:val="000000"/>
          <w:sz w:val="24"/>
        </w:rPr>
      </w:pPr>
      <w:r>
        <w:rPr>
          <w:rFonts w:eastAsia="Times New Roman"/>
          <w:b/>
          <w:color w:val="000000"/>
          <w:sz w:val="24"/>
        </w:rPr>
        <w:t>(a) Affirmatively Furthering Fair Housing. (2 points) Applicants may receive one point for demonstrating any one of the following, with a maximum of 2 points awarded for this priority overall.</w:t>
      </w:r>
    </w:p>
    <w:p w:rsidR="007C25FE" w:rsidRDefault="00AB77A8">
      <w:pPr>
        <w:numPr>
          <w:ilvl w:val="0"/>
          <w:numId w:val="34"/>
        </w:numPr>
        <w:tabs>
          <w:tab w:val="clear" w:pos="216"/>
          <w:tab w:val="left" w:pos="288"/>
        </w:tabs>
        <w:spacing w:before="120" w:line="276" w:lineRule="exact"/>
        <w:ind w:left="72" w:right="144"/>
        <w:textAlignment w:val="baseline"/>
        <w:rPr>
          <w:rFonts w:eastAsia="Times New Roman"/>
          <w:b/>
          <w:color w:val="000000"/>
          <w:sz w:val="24"/>
        </w:rPr>
      </w:pPr>
      <w:r>
        <w:rPr>
          <w:rFonts w:eastAsia="Times New Roman"/>
          <w:b/>
          <w:color w:val="000000"/>
          <w:sz w:val="24"/>
        </w:rPr>
        <w:t xml:space="preserve">Staff Training (1 point): </w:t>
      </w:r>
      <w:r>
        <w:rPr>
          <w:rFonts w:eastAsia="Times New Roman"/>
          <w:color w:val="000000"/>
          <w:sz w:val="24"/>
        </w:rPr>
        <w:t>Applicants may earn 1 point by describing how they will train their staff on fair housing and civil rights laws, their method of providing their clients with information about their fair housing rights, and their mechanism for referring potential fair housing violations to HUD, state or local fair housing agencies, or private fair housing groups. For example, an Applicant may meet this requirement by demonstrating that it has entered into a memorandum of understanding with a fair housing enforcement agency that will provide them with fair housing training and informational materials and accept referrals of potential fair housing complaints;</w:t>
      </w:r>
    </w:p>
    <w:p w:rsidR="007C25FE" w:rsidRDefault="00AB77A8">
      <w:pPr>
        <w:numPr>
          <w:ilvl w:val="0"/>
          <w:numId w:val="34"/>
        </w:numPr>
        <w:tabs>
          <w:tab w:val="clear" w:pos="216"/>
          <w:tab w:val="left" w:pos="288"/>
        </w:tabs>
        <w:spacing w:before="122" w:after="130" w:line="276" w:lineRule="exact"/>
        <w:ind w:left="72" w:right="144"/>
        <w:textAlignment w:val="baseline"/>
        <w:rPr>
          <w:rFonts w:eastAsia="Times New Roman"/>
          <w:b/>
          <w:color w:val="000000"/>
          <w:spacing w:val="-1"/>
          <w:sz w:val="24"/>
        </w:rPr>
      </w:pPr>
      <w:r>
        <w:rPr>
          <w:rFonts w:eastAsia="Times New Roman"/>
          <w:b/>
          <w:color w:val="000000"/>
          <w:spacing w:val="-1"/>
          <w:sz w:val="24"/>
        </w:rPr>
        <w:t xml:space="preserve">Mobility Counseling (1 point): </w:t>
      </w:r>
      <w:r>
        <w:rPr>
          <w:rFonts w:eastAsia="Times New Roman"/>
          <w:color w:val="000000"/>
          <w:spacing w:val="-1"/>
          <w:sz w:val="24"/>
        </w:rPr>
        <w:t>Applicants may earn 1 point by describing how they will provide clients with mobility counseling and what information Applicants will furnish to clients that will enhance their housing choice outside of areas of minority and poverty concentration;</w:t>
      </w:r>
    </w:p>
    <w:p w:rsidR="007C25FE" w:rsidRDefault="00AB77A8">
      <w:pPr>
        <w:spacing w:before="385" w:line="288" w:lineRule="exact"/>
        <w:textAlignment w:val="baseline"/>
        <w:rPr>
          <w:rFonts w:eastAsia="Times New Roman"/>
          <w:color w:val="000000"/>
          <w:sz w:val="24"/>
        </w:rPr>
      </w:pPr>
      <w:r>
        <w:rPr>
          <w:noProof/>
        </w:rPr>
        <mc:AlternateContent>
          <mc:Choice Requires="wps">
            <w:drawing>
              <wp:anchor distT="0" distB="0" distL="114300" distR="114300" simplePos="0" relativeHeight="251671552" behindDoc="0" locked="0" layoutInCell="1" allowOverlap="1" wp14:anchorId="1F0428D6" wp14:editId="7D9F6D49">
                <wp:simplePos x="0" y="0"/>
                <wp:positionH relativeFrom="column">
                  <wp:posOffset>0</wp:posOffset>
                </wp:positionH>
                <wp:positionV relativeFrom="paragraph">
                  <wp:posOffset>0</wp:posOffset>
                </wp:positionV>
                <wp:extent cx="6005195" cy="0"/>
                <wp:effectExtent l="0" t="0" r="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BA1DD" id="Line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TgHg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" strokecolor="#ccc" strokeweight=".7pt"/>
            </w:pict>
          </mc:Fallback>
        </mc:AlternateContent>
      </w:r>
    </w:p>
    <w:p w:rsidR="007C25FE" w:rsidRDefault="007C25FE">
      <w:pPr>
        <w:sectPr w:rsidR="007C25FE">
          <w:pgSz w:w="12240" w:h="15840"/>
          <w:pgMar w:top="1440" w:right="1405" w:bottom="304" w:left="1378" w:header="720" w:footer="720" w:gutter="0"/>
          <w:cols w:space="720"/>
        </w:sectPr>
      </w:pPr>
    </w:p>
    <w:p w:rsidR="007C25FE" w:rsidRDefault="00AB77A8">
      <w:pPr>
        <w:spacing w:line="276" w:lineRule="exact"/>
        <w:textAlignment w:val="baseline"/>
        <w:rPr>
          <w:rFonts w:eastAsia="Times New Roman"/>
          <w:color w:val="000000"/>
          <w:spacing w:val="-13"/>
          <w:sz w:val="24"/>
        </w:rPr>
      </w:pPr>
      <w:r>
        <w:rPr>
          <w:rFonts w:eastAsia="Times New Roman"/>
          <w:color w:val="000000"/>
          <w:spacing w:val="-13"/>
          <w:sz w:val="24"/>
        </w:rPr>
        <w:t>32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63" w:line="276" w:lineRule="exact"/>
        <w:ind w:left="178" w:right="250"/>
        <w:textAlignment w:val="baseline"/>
        <w:rPr>
          <w:rFonts w:eastAsia="Times New Roman"/>
          <w:b/>
          <w:color w:val="000000"/>
          <w:sz w:val="24"/>
        </w:rPr>
      </w:pPr>
      <w:r>
        <w:rPr>
          <w:noProof/>
        </w:rPr>
        <mc:AlternateContent>
          <mc:Choice Requires="wps">
            <w:drawing>
              <wp:anchor distT="0" distB="415925" distL="0" distR="0" simplePos="0" relativeHeight="251627520" behindDoc="1" locked="0" layoutInCell="1" allowOverlap="1" wp14:anchorId="683077A9" wp14:editId="266B8F0C">
                <wp:simplePos x="0" y="0"/>
                <wp:positionH relativeFrom="page">
                  <wp:posOffset>875030</wp:posOffset>
                </wp:positionH>
                <wp:positionV relativeFrom="page">
                  <wp:posOffset>914400</wp:posOffset>
                </wp:positionV>
                <wp:extent cx="6005195" cy="810133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10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0"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68.9pt;margin-top:1in;width:472.85pt;height:637.9pt;z-index:-251688960;visibility:visible;mso-wrap-style:square;mso-width-percent:0;mso-height-percent:0;mso-wrap-distance-left:0;mso-wrap-distance-top:0;mso-wrap-distance-right:0;mso-wrap-distance-bottom:32.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" filled="f" stroked="f">
                <v:textbox inset="0,0,0,0">
                  <w:txbxContent>
                    <w:p w:rsidR="007C25FE" w:rsidRDefault="007C25FE">
                      <w:pPr>
                        <w:pBdr>
                          <w:top w:val="single" w:sz="5" w:space="0" w:color="CCCCCC"/>
                          <w:left w:val="single" w:sz="5" w:space="0" w:color="CCCCCC"/>
                          <w:bottom w:val="single" w:sz="5" w:space="0" w:color="CCCCCC"/>
                          <w:right w:val="single" w:sz="5" w:space="0" w:color="CCCCCC"/>
                        </w:pBdr>
                      </w:pPr>
                    </w:p>
                  </w:txbxContent>
                </v:textbox>
                <w10:wrap anchorx="page" anchory="page"/>
              </v:shape>
            </w:pict>
          </mc:Fallback>
        </mc:AlternateContent>
      </w:r>
      <w:r>
        <w:rPr>
          <w:rFonts w:eastAsia="Times New Roman"/>
          <w:b/>
          <w:color w:val="000000"/>
          <w:sz w:val="24"/>
        </w:rPr>
        <w:t xml:space="preserve">(b) Increase Energy Efficiency and the Health and Safety of Homes. (2 Points). </w:t>
      </w:r>
      <w:r>
        <w:rPr>
          <w:rFonts w:eastAsia="Times New Roman"/>
          <w:color w:val="000000"/>
          <w:sz w:val="24"/>
        </w:rPr>
        <w:t>Applicants may receive, within the maximum of 2 points awarded for this priority overall, 1 point for meeting criterion i. or criterion ii., or both.</w:t>
      </w:r>
    </w:p>
    <w:p w:rsidR="007C25FE" w:rsidRDefault="00AB77A8">
      <w:pPr>
        <w:numPr>
          <w:ilvl w:val="0"/>
          <w:numId w:val="35"/>
        </w:numPr>
        <w:tabs>
          <w:tab w:val="clear" w:pos="504"/>
          <w:tab w:val="left" w:pos="682"/>
        </w:tabs>
        <w:spacing w:before="118" w:line="276" w:lineRule="exact"/>
        <w:ind w:left="178" w:right="106"/>
        <w:textAlignment w:val="baseline"/>
        <w:rPr>
          <w:rFonts w:eastAsia="Times New Roman"/>
          <w:b/>
          <w:color w:val="000000"/>
          <w:sz w:val="24"/>
        </w:rPr>
      </w:pPr>
      <w:r>
        <w:rPr>
          <w:rFonts w:eastAsia="Times New Roman"/>
          <w:b/>
          <w:color w:val="000000"/>
          <w:sz w:val="24"/>
        </w:rPr>
        <w:t xml:space="preserve">Improve Residents' Home Health and Safety (1 point): </w:t>
      </w:r>
      <w:r>
        <w:rPr>
          <w:rFonts w:eastAsia="Times New Roman"/>
          <w:color w:val="000000"/>
          <w:sz w:val="24"/>
        </w:rPr>
        <w:t>The Applicant demonstrates a high degree of technical expertise (through past performance or staff competencies) in improving residents' health and safety, particularly that of children and other vulnerable populations by promoting green and healthy design, construction, rehabilitation, and maintenance of housing and communities.</w:t>
      </w:r>
    </w:p>
    <w:p w:rsidR="007C25FE" w:rsidRDefault="00AB77A8">
      <w:pPr>
        <w:numPr>
          <w:ilvl w:val="0"/>
          <w:numId w:val="35"/>
        </w:numPr>
        <w:tabs>
          <w:tab w:val="clear" w:pos="504"/>
          <w:tab w:val="left" w:pos="682"/>
        </w:tabs>
        <w:spacing w:before="120" w:line="276" w:lineRule="exact"/>
        <w:ind w:left="178" w:right="250"/>
        <w:textAlignment w:val="baseline"/>
        <w:rPr>
          <w:rFonts w:eastAsia="Times New Roman"/>
          <w:b/>
          <w:color w:val="000000"/>
          <w:sz w:val="24"/>
        </w:rPr>
      </w:pPr>
      <w:r>
        <w:rPr>
          <w:rFonts w:eastAsia="Times New Roman"/>
          <w:b/>
          <w:color w:val="000000"/>
          <w:sz w:val="24"/>
        </w:rPr>
        <w:t xml:space="preserve">Green Building or Renewable Energy (1 point): </w:t>
      </w:r>
      <w:r>
        <w:rPr>
          <w:rFonts w:eastAsia="Times New Roman"/>
          <w:color w:val="000000"/>
          <w:sz w:val="24"/>
        </w:rPr>
        <w:t>Applicants may receive this point by fulfilling either the green building or renewable energy criteria, or both.</w:t>
      </w:r>
    </w:p>
    <w:p w:rsidR="007C25FE" w:rsidRDefault="00AB77A8">
      <w:pPr>
        <w:numPr>
          <w:ilvl w:val="0"/>
          <w:numId w:val="36"/>
        </w:numPr>
        <w:tabs>
          <w:tab w:val="clear" w:pos="504"/>
          <w:tab w:val="left" w:pos="682"/>
        </w:tabs>
        <w:spacing w:before="120" w:line="276" w:lineRule="exact"/>
        <w:ind w:left="178" w:right="178"/>
        <w:textAlignment w:val="baseline"/>
        <w:rPr>
          <w:rFonts w:eastAsia="Times New Roman"/>
          <w:b/>
          <w:color w:val="000000"/>
          <w:spacing w:val="-1"/>
          <w:sz w:val="24"/>
        </w:rPr>
      </w:pPr>
      <w:r>
        <w:rPr>
          <w:rFonts w:eastAsia="Times New Roman"/>
          <w:b/>
          <w:color w:val="000000"/>
          <w:spacing w:val="-1"/>
          <w:sz w:val="24"/>
        </w:rPr>
        <w:t xml:space="preserve">Green Building Standards: </w:t>
      </w:r>
      <w:r>
        <w:rPr>
          <w:rFonts w:eastAsia="Times New Roman"/>
          <w:color w:val="000000"/>
          <w:spacing w:val="-1"/>
          <w:sz w:val="24"/>
        </w:rPr>
        <w:t>The Applicant must describe how its curriculum and work plan inform clients about one or more industry-recognized green building standards and certifications for green building or rehabilitation, including supporting and promoting an energy-efficient, green, and healthy housing market by retrofitting existing housing, supporting energy-efficient new construction, improving home energy labeling, or promoting financial products that reduce the carbon footprint of non-HUD supported residential housing.</w:t>
      </w:r>
    </w:p>
    <w:p w:rsidR="007C25FE" w:rsidRDefault="00AB77A8">
      <w:pPr>
        <w:numPr>
          <w:ilvl w:val="0"/>
          <w:numId w:val="36"/>
        </w:numPr>
        <w:tabs>
          <w:tab w:val="clear" w:pos="504"/>
          <w:tab w:val="left" w:pos="682"/>
        </w:tabs>
        <w:spacing w:before="118" w:line="276" w:lineRule="exact"/>
        <w:ind w:left="178" w:right="106"/>
        <w:textAlignment w:val="baseline"/>
        <w:rPr>
          <w:rFonts w:eastAsia="Times New Roman"/>
          <w:b/>
          <w:color w:val="000000"/>
          <w:sz w:val="24"/>
        </w:rPr>
      </w:pPr>
      <w:r>
        <w:rPr>
          <w:rFonts w:eastAsia="Times New Roman"/>
          <w:b/>
          <w:color w:val="000000"/>
          <w:sz w:val="24"/>
        </w:rPr>
        <w:t xml:space="preserve">Renewable Energy: </w:t>
      </w:r>
      <w:r>
        <w:rPr>
          <w:rFonts w:eastAsia="Times New Roman"/>
          <w:color w:val="000000"/>
          <w:sz w:val="24"/>
        </w:rPr>
        <w:t>The Applicant demonstrates through past performance and technical competencies - the ability to assist with the delivery of successful financing and/or installation of on-site renewable energy technologies in HUD-supported affordable housing.</w:t>
      </w:r>
    </w:p>
    <w:p w:rsidR="007C25FE" w:rsidRDefault="00AB77A8">
      <w:pPr>
        <w:numPr>
          <w:ilvl w:val="0"/>
          <w:numId w:val="36"/>
        </w:numPr>
        <w:tabs>
          <w:tab w:val="left" w:pos="466"/>
        </w:tabs>
        <w:spacing w:before="518" w:line="276" w:lineRule="exact"/>
        <w:ind w:left="178" w:right="106"/>
        <w:textAlignment w:val="baseline"/>
        <w:rPr>
          <w:rFonts w:eastAsia="Times New Roman"/>
          <w:b/>
          <w:color w:val="000000"/>
          <w:spacing w:val="-2"/>
          <w:sz w:val="24"/>
        </w:rPr>
      </w:pPr>
      <w:r>
        <w:rPr>
          <w:rFonts w:eastAsia="Times New Roman"/>
          <w:b/>
          <w:color w:val="000000"/>
          <w:spacing w:val="-2"/>
          <w:sz w:val="24"/>
        </w:rPr>
        <w:t xml:space="preserve">Rating Factor 3: Soundness of Approach/Scope of Housing Counseling Services (41 points). </w:t>
      </w:r>
      <w:r>
        <w:rPr>
          <w:rFonts w:eastAsia="Times New Roman"/>
          <w:color w:val="000000"/>
          <w:spacing w:val="-2"/>
          <w:sz w:val="24"/>
        </w:rPr>
        <w:t>This factor addresses the quality and effectiveness of the Applicant’s past and proposed housing counseling activities. In scoring this Rating Factor, HUD will evaluate the past impact of the Applicant’s housing counseling services, the complexity of the projected work plan the Applicant proposes to undertake, and the degree to which the Applicant coordinates its housing counseling services with additional HUD programs and other organizations and programs.</w:t>
      </w:r>
    </w:p>
    <w:p w:rsidR="007C25FE" w:rsidRDefault="00AB77A8">
      <w:pPr>
        <w:spacing w:before="120" w:line="276" w:lineRule="exact"/>
        <w:ind w:left="178" w:right="322"/>
        <w:textAlignment w:val="baseline"/>
        <w:rPr>
          <w:rFonts w:eastAsia="Times New Roman"/>
          <w:b/>
          <w:color w:val="000000"/>
          <w:spacing w:val="-2"/>
          <w:sz w:val="24"/>
        </w:rPr>
      </w:pPr>
      <w:r>
        <w:rPr>
          <w:rFonts w:eastAsia="Times New Roman"/>
          <w:b/>
          <w:color w:val="000000"/>
          <w:spacing w:val="-2"/>
          <w:sz w:val="24"/>
        </w:rPr>
        <w:t xml:space="preserve">(1) Past Performance </w:t>
      </w:r>
      <w:r>
        <w:rPr>
          <w:rFonts w:eastAsia="Times New Roman"/>
          <w:color w:val="000000"/>
          <w:spacing w:val="-2"/>
          <w:sz w:val="24"/>
        </w:rPr>
        <w:t xml:space="preserve">– </w:t>
      </w:r>
      <w:r>
        <w:rPr>
          <w:rFonts w:eastAsia="Times New Roman"/>
          <w:b/>
          <w:color w:val="000000"/>
          <w:spacing w:val="-2"/>
          <w:sz w:val="24"/>
        </w:rPr>
        <w:t xml:space="preserve">Impact (24 points). </w:t>
      </w:r>
      <w:r>
        <w:rPr>
          <w:rFonts w:eastAsia="Times New Roman"/>
          <w:color w:val="000000"/>
          <w:spacing w:val="-2"/>
          <w:sz w:val="24"/>
        </w:rPr>
        <w:t>To score this factor, HUD will analyze performance and actual expenses for the period October 1, 2016 through September 30, 2017.</w:t>
      </w:r>
    </w:p>
    <w:p w:rsidR="007C25FE" w:rsidRDefault="00AB77A8">
      <w:pPr>
        <w:numPr>
          <w:ilvl w:val="0"/>
          <w:numId w:val="37"/>
        </w:numPr>
        <w:tabs>
          <w:tab w:val="clear" w:pos="288"/>
          <w:tab w:val="left" w:pos="466"/>
        </w:tabs>
        <w:spacing w:before="118" w:line="276" w:lineRule="exact"/>
        <w:ind w:left="178" w:right="250"/>
        <w:textAlignment w:val="baseline"/>
        <w:rPr>
          <w:rFonts w:eastAsia="Times New Roman"/>
          <w:b/>
          <w:color w:val="000000"/>
          <w:spacing w:val="-1"/>
          <w:sz w:val="24"/>
        </w:rPr>
      </w:pPr>
      <w:r>
        <w:rPr>
          <w:rFonts w:eastAsia="Times New Roman"/>
          <w:b/>
          <w:color w:val="000000"/>
          <w:spacing w:val="-1"/>
          <w:sz w:val="24"/>
        </w:rPr>
        <w:t xml:space="preserve">Impact. </w:t>
      </w:r>
      <w:r>
        <w:rPr>
          <w:rFonts w:eastAsia="Times New Roman"/>
          <w:color w:val="000000"/>
          <w:spacing w:val="-1"/>
          <w:sz w:val="24"/>
        </w:rPr>
        <w:t>In scoring this sub-factor, HUD will evaluate the total number of education participants and housing counseling clients served by the Applicant during the period October 1, 2016 through September 30, 2017 with all sources of funding. HUD will utilize the form HUD-9902 data. Newly-approved applicants who were not required to submit a HUD-9902 during this period must prepare and submit a HUD-9902 as part of the application. Applicants who were previously required to submit a HUD-9902 will be evaluated based on their report submitted through the Housing Counseling System (HCS). Applicants are responsible for ensuring that the information contained in HCS is correct before the application due date. HUD will not consider a HUD-9902 submitted with the application by Agencies that were not newly-approved (i.e. after September 30, 2017) and were previously required to submit the report.</w:t>
      </w:r>
    </w:p>
    <w:p w:rsidR="007C25FE" w:rsidRDefault="00AB77A8">
      <w:pPr>
        <w:numPr>
          <w:ilvl w:val="0"/>
          <w:numId w:val="37"/>
        </w:numPr>
        <w:tabs>
          <w:tab w:val="clear" w:pos="288"/>
          <w:tab w:val="left" w:pos="466"/>
        </w:tabs>
        <w:spacing w:before="122" w:after="666" w:line="276" w:lineRule="exact"/>
        <w:ind w:left="178" w:right="394"/>
        <w:textAlignment w:val="baseline"/>
        <w:rPr>
          <w:rFonts w:eastAsia="Times New Roman"/>
          <w:b/>
          <w:color w:val="000000"/>
          <w:spacing w:val="-1"/>
          <w:sz w:val="24"/>
        </w:rPr>
      </w:pPr>
      <w:r>
        <w:rPr>
          <w:rFonts w:eastAsia="Times New Roman"/>
          <w:b/>
          <w:color w:val="000000"/>
          <w:spacing w:val="-1"/>
          <w:sz w:val="24"/>
        </w:rPr>
        <w:t xml:space="preserve">Actual Expenses. </w:t>
      </w:r>
      <w:r>
        <w:rPr>
          <w:rFonts w:eastAsia="Times New Roman"/>
          <w:color w:val="000000"/>
          <w:spacing w:val="-1"/>
          <w:sz w:val="24"/>
        </w:rPr>
        <w:t>In scoring this sub-factor, HUD will evaluate the Applicant’s Housing Counseling Program actual expenses for the period October 1, 2016 through September 30, 2017. Utilizing HUD-9906 Chart E1 (LHCA) or Chart E2 (Intermediary, SHFA, or MSO) –</w:t>
      </w:r>
    </w:p>
    <w:p w:rsidR="007C25FE" w:rsidRDefault="007C25FE">
      <w:pPr>
        <w:spacing w:before="122" w:after="666" w:line="276" w:lineRule="exact"/>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33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47" w:line="276" w:lineRule="exact"/>
        <w:ind w:left="72" w:right="144"/>
        <w:textAlignment w:val="baseline"/>
        <w:rPr>
          <w:rFonts w:eastAsia="Times New Roman"/>
          <w:color w:val="000000"/>
          <w:sz w:val="24"/>
        </w:rPr>
      </w:pPr>
      <w:r>
        <w:rPr>
          <w:noProof/>
        </w:rPr>
        <mc:AlternateContent>
          <mc:Choice Requires="wps">
            <w:drawing>
              <wp:anchor distT="0" distB="0" distL="114300" distR="114300" simplePos="0" relativeHeight="251672576" behindDoc="0" locked="0" layoutInCell="1" allowOverlap="1" wp14:anchorId="075B947B" wp14:editId="5F5BF358">
                <wp:simplePos x="0" y="0"/>
                <wp:positionH relativeFrom="page">
                  <wp:posOffset>875030</wp:posOffset>
                </wp:positionH>
                <wp:positionV relativeFrom="page">
                  <wp:posOffset>914400</wp:posOffset>
                </wp:positionV>
                <wp:extent cx="6005195"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7B93CC" id="Line 38"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SCHg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65936DCE" wp14:editId="63E854D2">
                <wp:simplePos x="0" y="0"/>
                <wp:positionH relativeFrom="page">
                  <wp:posOffset>875030</wp:posOffset>
                </wp:positionH>
                <wp:positionV relativeFrom="page">
                  <wp:posOffset>914400</wp:posOffset>
                </wp:positionV>
                <wp:extent cx="0" cy="8202295"/>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229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37409" id="Line 3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7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14:anchorId="630AE616" wp14:editId="3429C61D">
                <wp:simplePos x="0" y="0"/>
                <wp:positionH relativeFrom="page">
                  <wp:posOffset>6880225</wp:posOffset>
                </wp:positionH>
                <wp:positionV relativeFrom="page">
                  <wp:posOffset>914400</wp:posOffset>
                </wp:positionV>
                <wp:extent cx="0" cy="8202295"/>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229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417254" id="Line 3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7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" strokecolor="#ccc" strokeweight=".7pt">
                <w10:wrap anchorx="page" anchory="page"/>
              </v:line>
            </w:pict>
          </mc:Fallback>
        </mc:AlternateContent>
      </w:r>
      <w:r>
        <w:rPr>
          <w:rFonts w:eastAsia="Times New Roman"/>
          <w:color w:val="000000"/>
          <w:sz w:val="24"/>
        </w:rPr>
        <w:t xml:space="preserve">Actual Expenses, for the above time period, Applicants must document their total housing counseling program expenses that includes all of the activities and services shown on the Applicant’s form HUD-9902 submitted to HUD for the same time period. Agencies that became HUD-approved mid-way through the fiscal year should ensure that both their 9902 data and their Chart E expenses reflect the </w:t>
      </w:r>
      <w:r>
        <w:rPr>
          <w:rFonts w:eastAsia="Times New Roman"/>
          <w:i/>
          <w:color w:val="000000"/>
          <w:sz w:val="24"/>
        </w:rPr>
        <w:t>entire fiscal year</w:t>
      </w:r>
      <w:r>
        <w:rPr>
          <w:rFonts w:eastAsia="Times New Roman"/>
          <w:color w:val="000000"/>
          <w:sz w:val="24"/>
        </w:rPr>
        <w:t xml:space="preserve">, and not just that portion for which the agency was HUD-approved. In completing the “Total Other Direct Costs” line item on Chart E1 or Chart E2, Applicants should include expenses such as supplies; telephone/Internet; postage; office space; equipment rental/maintenance; printing and copying; marketing and outreach; training costs (supplies, room, tuition, testing, etc.) and travel. Note that fees for joining a network are an allowable expense under the grant, and if applicable, should also be explained in the related narrative for this line. If applicable, Applicants must also include a detailed breakdown of their intermediary administrative expenses, </w:t>
      </w:r>
      <w:r>
        <w:rPr>
          <w:rFonts w:eastAsia="Times New Roman"/>
          <w:i/>
          <w:color w:val="000000"/>
          <w:sz w:val="24"/>
        </w:rPr>
        <w:t>i.e</w:t>
      </w:r>
      <w:r>
        <w:rPr>
          <w:rFonts w:eastAsia="Times New Roman"/>
          <w:color w:val="000000"/>
          <w:sz w:val="24"/>
        </w:rPr>
        <w:t>. funds not sub-allocated to Sub-grantees and Branches. If applicable, the actual expenses chart must provide a full picture of both housing counseling and program management activities.</w:t>
      </w:r>
    </w:p>
    <w:p w:rsidR="007C25FE" w:rsidRDefault="00AB77A8">
      <w:pPr>
        <w:spacing w:before="121" w:line="276" w:lineRule="exact"/>
        <w:ind w:left="72" w:right="144"/>
        <w:textAlignment w:val="baseline"/>
        <w:rPr>
          <w:rFonts w:eastAsia="Times New Roman"/>
          <w:color w:val="000000"/>
          <w:spacing w:val="-2"/>
          <w:sz w:val="24"/>
        </w:rPr>
      </w:pPr>
      <w:r>
        <w:rPr>
          <w:rFonts w:eastAsia="Times New Roman"/>
          <w:color w:val="000000"/>
          <w:spacing w:val="-2"/>
          <w:sz w:val="24"/>
        </w:rPr>
        <w:t xml:space="preserve">All Applicants are required to submit a narrative description/justification of the actual expenses, including variations between actual and projected expenses, expenses that did not result in the direct provision of services, expenses that seem disproportionately high, and an explanation of the value entered under the “Other” line item on the Chart E1 or Chart E2 </w:t>
      </w:r>
      <w:r>
        <w:rPr>
          <w:rFonts w:eastAsia="Times New Roman"/>
          <w:i/>
          <w:color w:val="000000"/>
          <w:spacing w:val="-2"/>
          <w:sz w:val="24"/>
        </w:rPr>
        <w:t>Actual Expenses.</w:t>
      </w:r>
    </w:p>
    <w:p w:rsidR="007C25FE" w:rsidRDefault="00AB77A8">
      <w:pPr>
        <w:spacing w:before="119" w:line="276" w:lineRule="exact"/>
        <w:ind w:left="72" w:right="144"/>
        <w:textAlignment w:val="baseline"/>
        <w:rPr>
          <w:rFonts w:eastAsia="Times New Roman"/>
          <w:color w:val="000000"/>
          <w:sz w:val="24"/>
        </w:rPr>
      </w:pPr>
      <w:r>
        <w:rPr>
          <w:rFonts w:eastAsia="Times New Roman"/>
          <w:color w:val="000000"/>
          <w:sz w:val="24"/>
        </w:rPr>
        <w:t>In scoring this sub-factor, HUD may evaluate expenses for direct counseling service provision, the ratio of HUD grant funds to total expenses and the cost per client.</w:t>
      </w:r>
    </w:p>
    <w:p w:rsidR="007C25FE" w:rsidRDefault="00AB77A8">
      <w:pPr>
        <w:spacing w:before="118" w:line="276" w:lineRule="exact"/>
        <w:ind w:left="72" w:right="288"/>
        <w:textAlignment w:val="baseline"/>
        <w:rPr>
          <w:rFonts w:eastAsia="Times New Roman"/>
          <w:color w:val="000000"/>
          <w:sz w:val="24"/>
        </w:rPr>
      </w:pPr>
      <w:r>
        <w:rPr>
          <w:rFonts w:eastAsia="Times New Roman"/>
          <w:color w:val="000000"/>
          <w:sz w:val="24"/>
        </w:rPr>
        <w:t>Applicants may also indicate, but are not required to, a maximum grant request on chart E1 or E2. This amount, if provided, will also be considered in the funding methodology as a cap in establishing the maximum grant amount for the Applicant.</w:t>
      </w:r>
    </w:p>
    <w:p w:rsidR="007C25FE" w:rsidRDefault="00AB77A8">
      <w:pPr>
        <w:spacing w:before="120" w:line="276" w:lineRule="exact"/>
        <w:ind w:left="72" w:right="144"/>
        <w:textAlignment w:val="baseline"/>
        <w:rPr>
          <w:rFonts w:eastAsia="Times New Roman"/>
          <w:b/>
          <w:color w:val="000000"/>
          <w:sz w:val="24"/>
        </w:rPr>
      </w:pPr>
      <w:r>
        <w:rPr>
          <w:rFonts w:eastAsia="Times New Roman"/>
          <w:b/>
          <w:color w:val="000000"/>
          <w:sz w:val="24"/>
        </w:rPr>
        <w:t xml:space="preserve">(c) Oversight Activities. </w:t>
      </w:r>
      <w:r>
        <w:rPr>
          <w:rFonts w:eastAsia="Times New Roman"/>
          <w:color w:val="000000"/>
          <w:sz w:val="24"/>
        </w:rPr>
        <w:t>All Applicants must complete HUD-9906 Chart G1 or G2 to indicate housing counseling oversight and quality control activities performed as part of the FY 2017 work plan, including how Applicants determined that, if applicable, their Sub-grantees that are not directly approved by HUD met or exceeded HUD’s Housing Counseling Program requirements. Items selected in these charts may be verified by HUD staff during a performance review.</w:t>
      </w:r>
    </w:p>
    <w:p w:rsidR="007C25FE" w:rsidRDefault="00AB77A8">
      <w:pPr>
        <w:spacing w:before="122" w:line="276" w:lineRule="exact"/>
        <w:ind w:left="72" w:right="144"/>
        <w:textAlignment w:val="baseline"/>
        <w:rPr>
          <w:rFonts w:eastAsia="Times New Roman"/>
          <w:b/>
          <w:color w:val="000000"/>
          <w:sz w:val="24"/>
        </w:rPr>
      </w:pPr>
      <w:r>
        <w:rPr>
          <w:rFonts w:eastAsia="Times New Roman"/>
          <w:b/>
          <w:color w:val="000000"/>
          <w:sz w:val="24"/>
        </w:rPr>
        <w:t xml:space="preserve">Intermediaries, MSOs, and SHFAs </w:t>
      </w:r>
      <w:r>
        <w:rPr>
          <w:rFonts w:eastAsia="Times New Roman"/>
          <w:color w:val="000000"/>
          <w:sz w:val="24"/>
        </w:rPr>
        <w:t>that sub-allocated funding to Sub-grantees and Branches must complete Chart G2 to indicate network management activities performed as part of the FY 2017 work plan.</w:t>
      </w:r>
    </w:p>
    <w:p w:rsidR="007C25FE" w:rsidRDefault="00AB77A8">
      <w:pPr>
        <w:spacing w:before="120" w:line="276" w:lineRule="exact"/>
        <w:ind w:left="72" w:right="288"/>
        <w:textAlignment w:val="baseline"/>
        <w:rPr>
          <w:rFonts w:eastAsia="Times New Roman"/>
          <w:b/>
          <w:color w:val="000000"/>
          <w:sz w:val="24"/>
        </w:rPr>
      </w:pPr>
      <w:r>
        <w:rPr>
          <w:rFonts w:eastAsia="Times New Roman"/>
          <w:b/>
          <w:color w:val="000000"/>
          <w:sz w:val="24"/>
        </w:rPr>
        <w:t xml:space="preserve">LHCAs </w:t>
      </w:r>
      <w:r>
        <w:rPr>
          <w:rFonts w:eastAsia="Times New Roman"/>
          <w:color w:val="000000"/>
          <w:sz w:val="24"/>
        </w:rPr>
        <w:t>must complete Chart G1 to indicate housing counseling oversight and quality control activities performed as a part of the FY 2017 work plan.</w:t>
      </w:r>
    </w:p>
    <w:p w:rsidR="007C25FE" w:rsidRDefault="00AB77A8">
      <w:pPr>
        <w:spacing w:before="118" w:after="135" w:line="276" w:lineRule="exact"/>
        <w:ind w:left="72" w:right="144"/>
        <w:textAlignment w:val="baseline"/>
        <w:rPr>
          <w:rFonts w:eastAsia="Times New Roman"/>
          <w:b/>
          <w:color w:val="000000"/>
          <w:sz w:val="24"/>
        </w:rPr>
      </w:pPr>
      <w:r>
        <w:rPr>
          <w:rFonts w:eastAsia="Times New Roman"/>
          <w:b/>
          <w:color w:val="000000"/>
          <w:sz w:val="24"/>
        </w:rPr>
        <w:t xml:space="preserve">(2) Projected Performance - Work Plan (12 points). </w:t>
      </w:r>
      <w:r>
        <w:rPr>
          <w:rFonts w:eastAsia="Times New Roman"/>
          <w:color w:val="000000"/>
          <w:sz w:val="24"/>
        </w:rPr>
        <w:t>This sub-factor involves the proposed housing counseling services and other activities to be conducted by the Applicant and its Sub-grantees and Branches it intends to fund during the period of performance (October 1, 2017 through March 31, 2019) using all funding sources. Applicants who receive an award under this NOFA will be required to provide projections for the number of clients to be served in connection with each of the services indicated on HUD-9906 Chart B with the HUD funding awarded prior to the final execution of the award. Housing counseling activities specified in Chart B must be consistent with housing counseling activities previously approved in the work plan on file with HUD prior to the application due date.</w:t>
      </w:r>
    </w:p>
    <w:p w:rsidR="007C25FE" w:rsidRDefault="00AB77A8">
      <w:pPr>
        <w:spacing w:before="226" w:line="288" w:lineRule="exact"/>
        <w:textAlignment w:val="baseline"/>
        <w:rPr>
          <w:rFonts w:eastAsia="Times New Roman"/>
          <w:color w:val="000000"/>
          <w:sz w:val="24"/>
        </w:rPr>
      </w:pPr>
      <w:r>
        <w:rPr>
          <w:noProof/>
        </w:rPr>
        <mc:AlternateContent>
          <mc:Choice Requires="wps">
            <w:drawing>
              <wp:anchor distT="0" distB="0" distL="114300" distR="114300" simplePos="0" relativeHeight="251675648" behindDoc="0" locked="0" layoutInCell="1" allowOverlap="1" wp14:anchorId="41A2247F" wp14:editId="045EED70">
                <wp:simplePos x="0" y="0"/>
                <wp:positionH relativeFrom="column">
                  <wp:posOffset>0</wp:posOffset>
                </wp:positionH>
                <wp:positionV relativeFrom="paragraph">
                  <wp:posOffset>0</wp:posOffset>
                </wp:positionV>
                <wp:extent cx="6005195" cy="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24C13" id="Line 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RHg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" strokecolor="#ccc" strokeweight=".7pt"/>
            </w:pict>
          </mc:Fallback>
        </mc:AlternateContent>
      </w:r>
    </w:p>
    <w:p w:rsidR="007C25FE" w:rsidRDefault="007C25FE">
      <w:pPr>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34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60" w:line="276" w:lineRule="exact"/>
        <w:ind w:left="106" w:right="178"/>
        <w:textAlignment w:val="baseline"/>
        <w:rPr>
          <w:rFonts w:eastAsia="Times New Roman"/>
          <w:color w:val="000000"/>
          <w:spacing w:val="-1"/>
          <w:sz w:val="24"/>
        </w:rPr>
      </w:pPr>
      <w:r>
        <w:rPr>
          <w:noProof/>
        </w:rPr>
        <mc:AlternateContent>
          <mc:Choice Requires="wps">
            <w:drawing>
              <wp:anchor distT="0" distB="391160" distL="0" distR="0" simplePos="0" relativeHeight="251628544" behindDoc="1" locked="0" layoutInCell="1" allowOverlap="1" wp14:anchorId="48C7983C" wp14:editId="2C2818A1">
                <wp:simplePos x="0" y="0"/>
                <wp:positionH relativeFrom="page">
                  <wp:posOffset>875030</wp:posOffset>
                </wp:positionH>
                <wp:positionV relativeFrom="page">
                  <wp:posOffset>914400</wp:posOffset>
                </wp:positionV>
                <wp:extent cx="6005195" cy="812609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12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30"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68.9pt;margin-top:1in;width:472.85pt;height:639.85pt;z-index:-251687936;visibility:visible;mso-wrap-style:square;mso-width-percent:0;mso-height-percent:0;mso-wrap-distance-left:0;mso-wrap-distance-top:0;mso-wrap-distance-right:0;mso-wrap-distance-bottom:3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" filled="f" stroked="f">
                <v:textbox inset="0,0,0,0">
                  <w:txbxContent>
                    <w:p w:rsidR="007C25FE" w:rsidRDefault="007C25FE">
                      <w:pPr>
                        <w:pBdr>
                          <w:top w:val="single" w:sz="5" w:space="0" w:color="CCCCCC"/>
                          <w:left w:val="single" w:sz="5" w:space="0" w:color="CCCCCC"/>
                          <w:bottom w:val="single" w:sz="5" w:space="30" w:color="CCCCCC"/>
                          <w:right w:val="single" w:sz="5" w:space="0" w:color="CCCCCC"/>
                        </w:pBdr>
                      </w:pPr>
                    </w:p>
                  </w:txbxContent>
                </v:textbox>
                <w10:wrap anchorx="page" anchory="page"/>
              </v:shape>
            </w:pict>
          </mc:Fallback>
        </mc:AlternateContent>
      </w:r>
      <w:r>
        <w:rPr>
          <w:rFonts w:eastAsia="Times New Roman"/>
          <w:color w:val="000000"/>
          <w:spacing w:val="-1"/>
          <w:sz w:val="24"/>
        </w:rPr>
        <w:t>In scoring this sub-factor, HUD will consider the types and variety of housing counseling and education services being offered, and other activities occurring in support of the Applicant’s housing counseling program. Those Applicants that will provide the greatest variety of services and delivery modes, that provide a comprehensive plan for oversight activities (of their</w:t>
      </w:r>
    </w:p>
    <w:p w:rsidR="007C25FE" w:rsidRDefault="00AB77A8">
      <w:pPr>
        <w:spacing w:line="275" w:lineRule="exact"/>
        <w:ind w:left="106" w:right="178"/>
        <w:textAlignment w:val="baseline"/>
        <w:rPr>
          <w:rFonts w:eastAsia="Times New Roman"/>
          <w:color w:val="000000"/>
          <w:sz w:val="24"/>
        </w:rPr>
      </w:pPr>
      <w:r>
        <w:rPr>
          <w:rFonts w:eastAsia="Times New Roman"/>
          <w:color w:val="000000"/>
          <w:sz w:val="24"/>
        </w:rPr>
        <w:t>activities or those of their Sub-grantees/Branches), and that demonstrate how they will affirmatively further fair housing with their use of Housing Counseling grant funds will get the highest scores.</w:t>
      </w:r>
    </w:p>
    <w:p w:rsidR="007C25FE" w:rsidRDefault="00AB77A8">
      <w:pPr>
        <w:spacing w:before="122" w:line="276" w:lineRule="exact"/>
        <w:ind w:left="106" w:right="178"/>
        <w:textAlignment w:val="baseline"/>
        <w:rPr>
          <w:rFonts w:eastAsia="Times New Roman"/>
          <w:color w:val="000000"/>
          <w:spacing w:val="-2"/>
          <w:sz w:val="24"/>
        </w:rPr>
      </w:pPr>
      <w:r>
        <w:rPr>
          <w:rFonts w:eastAsia="Times New Roman"/>
          <w:color w:val="000000"/>
          <w:spacing w:val="-2"/>
          <w:sz w:val="24"/>
        </w:rPr>
        <w:t>HUD may decrease the award amount to the Grantee if changes to the network (i.e. composition of Sub-grantees and Branches), number of housing counselor full-time equivalents (FTEs), or services provided would result in a lower amount than was awarded using the funding methodology stated in the Housing Counseling NOFA and reserves the right to recapture all or part of the resulting grant and reprogram the funds to any other allowable use.</w:t>
      </w:r>
    </w:p>
    <w:p w:rsidR="007C25FE" w:rsidRDefault="00AB77A8">
      <w:pPr>
        <w:spacing w:before="118" w:line="276" w:lineRule="exact"/>
        <w:ind w:left="106" w:right="178"/>
        <w:textAlignment w:val="baseline"/>
        <w:rPr>
          <w:rFonts w:eastAsia="Times New Roman"/>
          <w:b/>
          <w:color w:val="000000"/>
          <w:sz w:val="24"/>
        </w:rPr>
      </w:pPr>
      <w:r>
        <w:rPr>
          <w:rFonts w:eastAsia="Times New Roman"/>
          <w:b/>
          <w:color w:val="000000"/>
          <w:sz w:val="24"/>
        </w:rPr>
        <w:t xml:space="preserve">(a) Counseling and Education Services. </w:t>
      </w:r>
      <w:r>
        <w:rPr>
          <w:rFonts w:eastAsia="Times New Roman"/>
          <w:color w:val="000000"/>
          <w:sz w:val="24"/>
        </w:rPr>
        <w:t>Applicants will be evaluated on the reach and complexity of the various types of housing counseling and education services the Applicant proposes to undertake. Using Chart A2, Intermediaries, SHFAs and MSOs must indicate the percentage of the proposed award the Applicant intends to allocate to itself or each Sub-grantee and Branch (Field X).</w:t>
      </w:r>
    </w:p>
    <w:p w:rsidR="007C25FE" w:rsidRDefault="00AB77A8">
      <w:pPr>
        <w:spacing w:before="122" w:line="276" w:lineRule="exact"/>
        <w:ind w:left="106" w:right="322"/>
        <w:textAlignment w:val="baseline"/>
        <w:rPr>
          <w:rFonts w:eastAsia="Times New Roman"/>
          <w:color w:val="000000"/>
          <w:sz w:val="24"/>
        </w:rPr>
      </w:pPr>
      <w:r>
        <w:rPr>
          <w:rFonts w:eastAsia="Times New Roman"/>
          <w:color w:val="000000"/>
          <w:sz w:val="24"/>
        </w:rPr>
        <w:t xml:space="preserve">Using Chart B – </w:t>
      </w:r>
      <w:r>
        <w:rPr>
          <w:rFonts w:eastAsia="Times New Roman"/>
          <w:i/>
          <w:color w:val="000000"/>
          <w:sz w:val="24"/>
        </w:rPr>
        <w:t>Services and Modes</w:t>
      </w:r>
      <w:r>
        <w:rPr>
          <w:rFonts w:eastAsia="Times New Roman"/>
          <w:color w:val="000000"/>
          <w:sz w:val="24"/>
        </w:rPr>
        <w:t>, for each housing counseling service (listed at the top of the chart) that the Applicant and its Sub-grantees and Branches will provide during the period of performance through all funding sources, indicate in:</w:t>
      </w:r>
    </w:p>
    <w:p w:rsidR="007C25FE" w:rsidRDefault="00AB77A8">
      <w:pPr>
        <w:numPr>
          <w:ilvl w:val="0"/>
          <w:numId w:val="9"/>
        </w:numPr>
        <w:tabs>
          <w:tab w:val="clear" w:pos="216"/>
          <w:tab w:val="left" w:pos="2986"/>
        </w:tabs>
        <w:spacing w:before="238" w:line="276" w:lineRule="exact"/>
        <w:ind w:left="2986" w:right="682" w:hanging="216"/>
        <w:textAlignment w:val="baseline"/>
        <w:rPr>
          <w:rFonts w:eastAsia="Times New Roman"/>
          <w:color w:val="000000"/>
          <w:sz w:val="24"/>
        </w:rPr>
      </w:pPr>
      <w:r>
        <w:rPr>
          <w:rFonts w:eastAsia="Times New Roman"/>
          <w:color w:val="000000"/>
          <w:sz w:val="24"/>
        </w:rPr>
        <w:t>Row B, if one-on-one counseling will be provided by the Applicant and in Row C, the number of Sub-grantees and/or Branches that will provide one-on-one counseling;</w:t>
      </w:r>
    </w:p>
    <w:p w:rsidR="007C25FE" w:rsidRDefault="00AB77A8">
      <w:pPr>
        <w:numPr>
          <w:ilvl w:val="0"/>
          <w:numId w:val="9"/>
        </w:numPr>
        <w:tabs>
          <w:tab w:val="clear" w:pos="216"/>
          <w:tab w:val="left" w:pos="2986"/>
        </w:tabs>
        <w:spacing w:before="2" w:line="276" w:lineRule="exact"/>
        <w:ind w:left="2986" w:right="322" w:hanging="216"/>
        <w:textAlignment w:val="baseline"/>
        <w:rPr>
          <w:rFonts w:eastAsia="Times New Roman"/>
          <w:color w:val="000000"/>
          <w:sz w:val="24"/>
        </w:rPr>
      </w:pPr>
      <w:r>
        <w:rPr>
          <w:rFonts w:eastAsia="Times New Roman"/>
          <w:color w:val="000000"/>
          <w:sz w:val="24"/>
        </w:rPr>
        <w:t>Row D, if group education will be provided by the Applicant and in Row E, the number of Sub-grantees and/or Branches that will provide group education;</w:t>
      </w:r>
    </w:p>
    <w:p w:rsidR="007C25FE" w:rsidRDefault="00AB77A8">
      <w:pPr>
        <w:numPr>
          <w:ilvl w:val="0"/>
          <w:numId w:val="9"/>
        </w:numPr>
        <w:tabs>
          <w:tab w:val="clear" w:pos="216"/>
          <w:tab w:val="left" w:pos="2986"/>
        </w:tabs>
        <w:spacing w:line="275" w:lineRule="exact"/>
        <w:ind w:left="2986" w:right="538" w:hanging="216"/>
        <w:textAlignment w:val="baseline"/>
        <w:rPr>
          <w:rFonts w:eastAsia="Times New Roman"/>
          <w:color w:val="000000"/>
          <w:sz w:val="24"/>
        </w:rPr>
      </w:pPr>
      <w:r>
        <w:rPr>
          <w:rFonts w:eastAsia="Times New Roman"/>
          <w:color w:val="000000"/>
          <w:sz w:val="24"/>
        </w:rPr>
        <w:t>Row F, whether the service will be provided in-person and in Row G, the number of Sub-grantees and/or Branches that will provide the service in person;</w:t>
      </w:r>
    </w:p>
    <w:p w:rsidR="007C25FE" w:rsidRDefault="00AB77A8">
      <w:pPr>
        <w:numPr>
          <w:ilvl w:val="0"/>
          <w:numId w:val="9"/>
        </w:numPr>
        <w:tabs>
          <w:tab w:val="clear" w:pos="216"/>
          <w:tab w:val="left" w:pos="2986"/>
        </w:tabs>
        <w:spacing w:before="2" w:line="276" w:lineRule="exact"/>
        <w:ind w:left="2986" w:right="178" w:hanging="216"/>
        <w:textAlignment w:val="baseline"/>
        <w:rPr>
          <w:rFonts w:eastAsia="Times New Roman"/>
          <w:color w:val="000000"/>
          <w:sz w:val="24"/>
        </w:rPr>
      </w:pPr>
      <w:r>
        <w:rPr>
          <w:rFonts w:eastAsia="Times New Roman"/>
          <w:color w:val="000000"/>
          <w:sz w:val="24"/>
        </w:rPr>
        <w:t>Row H, if the service will be provided via telephone and in Row I, the number of Sub-grantees and/or Branches that will provide the service over the telephone;</w:t>
      </w:r>
    </w:p>
    <w:p w:rsidR="007C25FE" w:rsidRDefault="00AB77A8">
      <w:pPr>
        <w:numPr>
          <w:ilvl w:val="0"/>
          <w:numId w:val="9"/>
        </w:numPr>
        <w:tabs>
          <w:tab w:val="clear" w:pos="216"/>
          <w:tab w:val="left" w:pos="2986"/>
        </w:tabs>
        <w:spacing w:line="275" w:lineRule="exact"/>
        <w:ind w:left="2986" w:right="538" w:hanging="216"/>
        <w:textAlignment w:val="baseline"/>
        <w:rPr>
          <w:rFonts w:eastAsia="Times New Roman"/>
          <w:color w:val="000000"/>
          <w:sz w:val="24"/>
        </w:rPr>
      </w:pPr>
      <w:r>
        <w:rPr>
          <w:rFonts w:eastAsia="Times New Roman"/>
          <w:color w:val="000000"/>
          <w:sz w:val="24"/>
        </w:rPr>
        <w:t>Row J, if the service will be provided over the internet and in Row K, the number of Sub-grantees and/or Branches that will provide the service over the internet;</w:t>
      </w:r>
    </w:p>
    <w:p w:rsidR="007C25FE" w:rsidRDefault="00AB77A8">
      <w:pPr>
        <w:numPr>
          <w:ilvl w:val="0"/>
          <w:numId w:val="9"/>
        </w:numPr>
        <w:tabs>
          <w:tab w:val="clear" w:pos="216"/>
          <w:tab w:val="left" w:pos="2986"/>
        </w:tabs>
        <w:spacing w:before="2" w:line="276" w:lineRule="exact"/>
        <w:ind w:left="2986" w:right="682" w:hanging="216"/>
        <w:jc w:val="both"/>
        <w:textAlignment w:val="baseline"/>
        <w:rPr>
          <w:rFonts w:eastAsia="Times New Roman"/>
          <w:color w:val="000000"/>
          <w:spacing w:val="-2"/>
          <w:sz w:val="24"/>
        </w:rPr>
      </w:pPr>
      <w:r>
        <w:rPr>
          <w:rFonts w:eastAsia="Times New Roman"/>
          <w:color w:val="000000"/>
          <w:spacing w:val="-2"/>
          <w:sz w:val="24"/>
        </w:rPr>
        <w:t>Row L, whether the service is made available in multiple languages and in Row M, the number of Sub-grantees or Branches that will provide the service in multiple languages.</w:t>
      </w:r>
    </w:p>
    <w:p w:rsidR="007C25FE" w:rsidRDefault="00AB77A8">
      <w:pPr>
        <w:spacing w:before="238" w:after="637" w:line="276" w:lineRule="exact"/>
        <w:ind w:left="106" w:right="178"/>
        <w:textAlignment w:val="baseline"/>
        <w:rPr>
          <w:rFonts w:eastAsia="Times New Roman"/>
          <w:b/>
          <w:color w:val="000000"/>
          <w:spacing w:val="-1"/>
          <w:sz w:val="24"/>
        </w:rPr>
      </w:pPr>
      <w:r>
        <w:rPr>
          <w:rFonts w:eastAsia="Times New Roman"/>
          <w:b/>
          <w:color w:val="000000"/>
          <w:spacing w:val="-1"/>
          <w:sz w:val="24"/>
        </w:rPr>
        <w:t xml:space="preserve">(b) Oversight Activities. </w:t>
      </w:r>
      <w:r>
        <w:rPr>
          <w:rFonts w:eastAsia="Times New Roman"/>
          <w:color w:val="000000"/>
          <w:spacing w:val="-1"/>
          <w:sz w:val="24"/>
        </w:rPr>
        <w:t>All Applicants must complete HUD-9906 Chart G1 or G2 to indicate housing counseling oversight and quality control activities that will be performed as part of the proposed work plan, including how Applicants determine that, if applicable, their Sub-grantees that are not directly approved by HUD meet or exceed HUD’s Housing Counseling Program requirements. Items selected in this chart may be verified by HUD staff during a performance</w:t>
      </w:r>
    </w:p>
    <w:p w:rsidR="007C25FE" w:rsidRDefault="007C25FE">
      <w:pPr>
        <w:spacing w:before="238" w:after="637" w:line="276" w:lineRule="exact"/>
        <w:sectPr w:rsidR="007C25FE">
          <w:pgSz w:w="12240" w:h="15840"/>
          <w:pgMar w:top="1440" w:right="1405" w:bottom="304" w:left="1378" w:header="720" w:footer="720" w:gutter="0"/>
          <w:cols w:space="720"/>
        </w:sectPr>
      </w:pPr>
    </w:p>
    <w:p w:rsidR="007C25FE" w:rsidRDefault="00AB77A8">
      <w:pPr>
        <w:spacing w:line="274" w:lineRule="exact"/>
        <w:textAlignment w:val="baseline"/>
        <w:rPr>
          <w:rFonts w:eastAsia="Times New Roman"/>
          <w:color w:val="000000"/>
          <w:spacing w:val="-13"/>
          <w:sz w:val="24"/>
        </w:rPr>
      </w:pPr>
      <w:r>
        <w:rPr>
          <w:rFonts w:eastAsia="Times New Roman"/>
          <w:color w:val="000000"/>
          <w:spacing w:val="-13"/>
          <w:sz w:val="24"/>
        </w:rPr>
        <w:t>35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50" w:line="275" w:lineRule="exact"/>
        <w:ind w:left="144"/>
        <w:textAlignment w:val="baseline"/>
        <w:rPr>
          <w:rFonts w:eastAsia="Times New Roman"/>
          <w:color w:val="000000"/>
          <w:spacing w:val="-1"/>
          <w:sz w:val="24"/>
        </w:rPr>
      </w:pPr>
      <w:r>
        <w:rPr>
          <w:noProof/>
        </w:rPr>
        <mc:AlternateContent>
          <mc:Choice Requires="wps">
            <w:drawing>
              <wp:anchor distT="0" distB="0" distL="114300" distR="114300" simplePos="0" relativeHeight="251676672" behindDoc="0" locked="0" layoutInCell="1" allowOverlap="1" wp14:anchorId="1945A25F" wp14:editId="1F72CDBC">
                <wp:simplePos x="0" y="0"/>
                <wp:positionH relativeFrom="page">
                  <wp:posOffset>875030</wp:posOffset>
                </wp:positionH>
                <wp:positionV relativeFrom="page">
                  <wp:posOffset>914400</wp:posOffset>
                </wp:positionV>
                <wp:extent cx="6005195"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D8CB0" id="Line 3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a0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" strokecolor="#ccc" strokeweight=".7pt">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14:anchorId="124B7A1E" wp14:editId="74989C0C">
                <wp:simplePos x="0" y="0"/>
                <wp:positionH relativeFrom="page">
                  <wp:posOffset>875030</wp:posOffset>
                </wp:positionH>
                <wp:positionV relativeFrom="page">
                  <wp:posOffset>914400</wp:posOffset>
                </wp:positionV>
                <wp:extent cx="0" cy="8126095"/>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609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CF9337" id="Line 32"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7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1DA77FAF" wp14:editId="3DDA11B3">
                <wp:simplePos x="0" y="0"/>
                <wp:positionH relativeFrom="page">
                  <wp:posOffset>6880225</wp:posOffset>
                </wp:positionH>
                <wp:positionV relativeFrom="page">
                  <wp:posOffset>914400</wp:posOffset>
                </wp:positionV>
                <wp:extent cx="0" cy="8126095"/>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609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910DF" id="Line 3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7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" strokecolor="#ccc" strokeweight=".7pt">
                <w10:wrap anchorx="page" anchory="page"/>
              </v:line>
            </w:pict>
          </mc:Fallback>
        </mc:AlternateContent>
      </w:r>
      <w:r>
        <w:rPr>
          <w:rFonts w:eastAsia="Times New Roman"/>
          <w:color w:val="000000"/>
          <w:spacing w:val="-1"/>
          <w:sz w:val="24"/>
        </w:rPr>
        <w:t>review and must be included in an Agency's quality control plan.</w:t>
      </w:r>
    </w:p>
    <w:p w:rsidR="007C25FE" w:rsidRDefault="00AB77A8">
      <w:pPr>
        <w:spacing w:before="126" w:line="275" w:lineRule="exact"/>
        <w:ind w:left="144" w:right="144"/>
        <w:textAlignment w:val="baseline"/>
        <w:rPr>
          <w:rFonts w:eastAsia="Times New Roman"/>
          <w:b/>
          <w:color w:val="000000"/>
          <w:spacing w:val="-2"/>
          <w:sz w:val="24"/>
        </w:rPr>
      </w:pPr>
      <w:r>
        <w:rPr>
          <w:rFonts w:eastAsia="Times New Roman"/>
          <w:b/>
          <w:color w:val="000000"/>
          <w:spacing w:val="-2"/>
          <w:sz w:val="24"/>
        </w:rPr>
        <w:t xml:space="preserve">Intermediaries, MSOs, and SHFAs </w:t>
      </w:r>
      <w:r>
        <w:rPr>
          <w:rFonts w:eastAsia="Times New Roman"/>
          <w:color w:val="000000"/>
          <w:spacing w:val="-2"/>
          <w:sz w:val="24"/>
        </w:rPr>
        <w:t>that sub-allocate funding to Sub-grantees and/or Branches must complete Chart G2 to select network management activities that will be performed as part of the proposed work plan. In determining the level of funding to provide support for a network under the funding methodology, HUD wants to incentivize oversight agencies to review members of their network using the HUD-9910 form and share these reviews and follow-up resolution with HUD to inform HUD review and oversight. HUD may base a portion of the calculation for network support in the funding methodology on an Applicant's plan to review members of their network to meet this objective. Chart G2 includes a space for Applicants to indicate the number of members (from 0 to a maximum of 5) that they propose to review using this criteria during the FY 2018 grant performance period.</w:t>
      </w:r>
    </w:p>
    <w:p w:rsidR="007C25FE" w:rsidRDefault="00AB77A8">
      <w:pPr>
        <w:spacing w:before="122" w:line="275" w:lineRule="exact"/>
        <w:ind w:left="144" w:right="648"/>
        <w:textAlignment w:val="baseline"/>
        <w:rPr>
          <w:rFonts w:eastAsia="Times New Roman"/>
          <w:b/>
          <w:color w:val="000000"/>
          <w:sz w:val="24"/>
        </w:rPr>
      </w:pPr>
      <w:r>
        <w:rPr>
          <w:rFonts w:eastAsia="Times New Roman"/>
          <w:b/>
          <w:color w:val="000000"/>
          <w:sz w:val="24"/>
        </w:rPr>
        <w:t xml:space="preserve">LHCAs </w:t>
      </w:r>
      <w:r>
        <w:rPr>
          <w:rFonts w:eastAsia="Times New Roman"/>
          <w:color w:val="000000"/>
          <w:sz w:val="24"/>
        </w:rPr>
        <w:t>must complete Chart G1 to select which housing counseling oversight and quality control activities will be performed as part of the FY 2018 work plan.</w:t>
      </w:r>
    </w:p>
    <w:p w:rsidR="007C25FE" w:rsidRDefault="00AB77A8">
      <w:pPr>
        <w:numPr>
          <w:ilvl w:val="0"/>
          <w:numId w:val="38"/>
        </w:numPr>
        <w:tabs>
          <w:tab w:val="clear" w:pos="288"/>
          <w:tab w:val="left" w:pos="432"/>
        </w:tabs>
        <w:spacing w:before="128" w:line="275" w:lineRule="exact"/>
        <w:ind w:left="144" w:right="144"/>
        <w:textAlignment w:val="baseline"/>
        <w:rPr>
          <w:rFonts w:eastAsia="Times New Roman"/>
          <w:b/>
          <w:color w:val="000000"/>
          <w:sz w:val="24"/>
        </w:rPr>
      </w:pPr>
      <w:r>
        <w:rPr>
          <w:rFonts w:eastAsia="Times New Roman"/>
          <w:b/>
          <w:color w:val="000000"/>
          <w:sz w:val="24"/>
        </w:rPr>
        <w:t xml:space="preserve">Affirmatively Furthering Fair Housing. </w:t>
      </w:r>
      <w:r>
        <w:rPr>
          <w:rFonts w:eastAsia="Times New Roman"/>
          <w:color w:val="000000"/>
          <w:sz w:val="24"/>
        </w:rPr>
        <w:t>Successful Applicants, including their Sub-grantees, if applicable, are obligated to affirmatively further fair housing in their use of Housing Counseling grant funds. On Chart F – Affirmatively Furthering Fair Housing (Fields D and E) Applicants must describe at least one activity that addresses an impediment to fair housing choice in Applicant’s and, if applicable, in at least three (3) of its Sub-grantees’ distinct service areas and how it will measure outcomes related to the proposed activity. Applicants must maintain records of these activities. See Section III.E.2.p. for examples of affirmatively furthering fair housing activities.</w:t>
      </w:r>
    </w:p>
    <w:p w:rsidR="007C25FE" w:rsidRDefault="00AB77A8">
      <w:pPr>
        <w:spacing w:before="124" w:line="275" w:lineRule="exact"/>
        <w:ind w:left="144"/>
        <w:textAlignment w:val="baseline"/>
        <w:rPr>
          <w:rFonts w:eastAsia="Times New Roman"/>
          <w:b/>
          <w:color w:val="000000"/>
          <w:spacing w:val="-1"/>
          <w:sz w:val="24"/>
        </w:rPr>
      </w:pPr>
      <w:r>
        <w:rPr>
          <w:rFonts w:eastAsia="Times New Roman"/>
          <w:b/>
          <w:color w:val="000000"/>
          <w:spacing w:val="-1"/>
          <w:sz w:val="24"/>
        </w:rPr>
        <w:t xml:space="preserve">(3) Performance/Work Plan </w:t>
      </w:r>
      <w:r>
        <w:rPr>
          <w:rFonts w:eastAsia="Times New Roman"/>
          <w:color w:val="000000"/>
          <w:spacing w:val="-1"/>
          <w:sz w:val="24"/>
        </w:rPr>
        <w:t xml:space="preserve">– </w:t>
      </w:r>
      <w:r>
        <w:rPr>
          <w:rFonts w:eastAsia="Times New Roman"/>
          <w:b/>
          <w:color w:val="000000"/>
          <w:spacing w:val="-1"/>
          <w:sz w:val="24"/>
        </w:rPr>
        <w:t>Coordination (5 points).</w:t>
      </w:r>
    </w:p>
    <w:p w:rsidR="007C25FE" w:rsidRDefault="00AB77A8">
      <w:pPr>
        <w:numPr>
          <w:ilvl w:val="0"/>
          <w:numId w:val="39"/>
        </w:numPr>
        <w:tabs>
          <w:tab w:val="clear" w:pos="288"/>
          <w:tab w:val="left" w:pos="432"/>
        </w:tabs>
        <w:spacing w:before="125" w:line="275" w:lineRule="exact"/>
        <w:ind w:left="144" w:right="360"/>
        <w:textAlignment w:val="baseline"/>
        <w:rPr>
          <w:rFonts w:eastAsia="Times New Roman"/>
          <w:b/>
          <w:color w:val="000000"/>
          <w:spacing w:val="-1"/>
          <w:sz w:val="24"/>
        </w:rPr>
      </w:pPr>
      <w:r>
        <w:rPr>
          <w:rFonts w:eastAsia="Times New Roman"/>
          <w:b/>
          <w:color w:val="000000"/>
          <w:spacing w:val="-1"/>
          <w:sz w:val="24"/>
        </w:rPr>
        <w:t xml:space="preserve">Housing Counseling-related Partnerships/Collaboratives. </w:t>
      </w:r>
      <w:r>
        <w:rPr>
          <w:rFonts w:eastAsia="Times New Roman"/>
          <w:color w:val="000000"/>
          <w:spacing w:val="-1"/>
          <w:sz w:val="24"/>
        </w:rPr>
        <w:t>In scoring this sub-factor, HUD will reward Applicants that actively participate in housing counseling related partnerships/collaboratives. If the Applicant, or proposed Sub-grantees and Branches, participate in any local, regional or state housing counseling related partnership/collaborative, on Chart A1 (LHCA) or Chart A2 (Intermediary, SHFA, or MSO), Field Y, indicate the names(s) of the partnership/collaborative.</w:t>
      </w:r>
    </w:p>
    <w:p w:rsidR="007C25FE" w:rsidRDefault="00AB77A8">
      <w:pPr>
        <w:numPr>
          <w:ilvl w:val="0"/>
          <w:numId w:val="39"/>
        </w:numPr>
        <w:tabs>
          <w:tab w:val="clear" w:pos="288"/>
          <w:tab w:val="left" w:pos="432"/>
        </w:tabs>
        <w:spacing w:before="129" w:line="275" w:lineRule="exact"/>
        <w:ind w:left="144" w:right="144"/>
        <w:textAlignment w:val="baseline"/>
        <w:rPr>
          <w:rFonts w:eastAsia="Times New Roman"/>
          <w:b/>
          <w:color w:val="000000"/>
          <w:sz w:val="24"/>
        </w:rPr>
      </w:pPr>
      <w:r>
        <w:rPr>
          <w:rFonts w:eastAsia="Times New Roman"/>
          <w:b/>
          <w:color w:val="000000"/>
          <w:sz w:val="24"/>
        </w:rPr>
        <w:t xml:space="preserve">Complementing Other HUD Programs. </w:t>
      </w:r>
      <w:r>
        <w:rPr>
          <w:rFonts w:eastAsia="Times New Roman"/>
          <w:color w:val="000000"/>
          <w:sz w:val="24"/>
        </w:rPr>
        <w:t xml:space="preserve">Using Chart C - </w:t>
      </w:r>
      <w:r>
        <w:rPr>
          <w:rFonts w:eastAsia="Times New Roman"/>
          <w:i/>
          <w:color w:val="000000"/>
          <w:sz w:val="24"/>
        </w:rPr>
        <w:t>Other HUD Programs</w:t>
      </w:r>
      <w:r>
        <w:rPr>
          <w:rFonts w:eastAsia="Times New Roman"/>
          <w:color w:val="000000"/>
          <w:sz w:val="24"/>
        </w:rPr>
        <w:t>, all Applicants must indicate (by putting “x’s” in Column C) whether the Applicant, or proposed Sub-grantees or Branches, provided housing counseling services in conjunction with any of the identified HUD programs during the period October 1, 2016 through September 30, 2017. Intermediaries, SHFAs or MSOs proposing to fund Sub-grantees and/or Branches must also indicate the number of proposed Sub-grantees and/or Branches (Column D) that provide housing counseling services in conjunction with the listed HUD programs. To receive credit for this sub-factor, Applicants must specify in writing the names of “Other” HUD programs, where indicated on Chart C. For the purposes of Chart C, FHA programs and HECM/Reverse Mortgage Counseling should not be added as "Other" HUD programs, and will not be considered in evaluating this chart.</w:t>
      </w:r>
    </w:p>
    <w:p w:rsidR="007C25FE" w:rsidRDefault="00AB77A8">
      <w:pPr>
        <w:spacing w:before="124" w:after="5" w:line="275" w:lineRule="exact"/>
        <w:ind w:left="144" w:right="360"/>
        <w:textAlignment w:val="baseline"/>
        <w:rPr>
          <w:rFonts w:eastAsia="Times New Roman"/>
          <w:b/>
          <w:color w:val="000000"/>
          <w:spacing w:val="-2"/>
          <w:sz w:val="24"/>
        </w:rPr>
      </w:pPr>
      <w:r>
        <w:rPr>
          <w:rFonts w:eastAsia="Times New Roman"/>
          <w:b/>
          <w:color w:val="000000"/>
          <w:spacing w:val="-2"/>
          <w:sz w:val="24"/>
        </w:rPr>
        <w:t xml:space="preserve">d. Rating Factor 4: Leveraging Resources (6 Points). </w:t>
      </w:r>
      <w:r>
        <w:rPr>
          <w:rFonts w:eastAsia="Times New Roman"/>
          <w:color w:val="000000"/>
          <w:spacing w:val="-2"/>
          <w:sz w:val="24"/>
        </w:rPr>
        <w:t>HUD Housing Counseling grants are not intended to be the sole source of funds for an Applicant’s (or its Sub-grantee's) housing counseling program. All organizations that receive HUD Housing Counseling grant funds are expected to seek other sources of funding, both private and public, to supplement HUD grant</w:t>
      </w:r>
    </w:p>
    <w:p w:rsidR="007C25FE" w:rsidRDefault="00AB77A8">
      <w:pPr>
        <w:spacing w:before="346" w:line="288" w:lineRule="exact"/>
        <w:textAlignment w:val="baseline"/>
        <w:rPr>
          <w:rFonts w:eastAsia="Times New Roman"/>
          <w:color w:val="000000"/>
          <w:sz w:val="24"/>
        </w:rPr>
      </w:pPr>
      <w:r>
        <w:rPr>
          <w:noProof/>
        </w:rPr>
        <mc:AlternateContent>
          <mc:Choice Requires="wps">
            <w:drawing>
              <wp:anchor distT="0" distB="0" distL="114300" distR="114300" simplePos="0" relativeHeight="251679744" behindDoc="0" locked="0" layoutInCell="1" allowOverlap="1" wp14:anchorId="71E5D18C" wp14:editId="18A4D9AE">
                <wp:simplePos x="0" y="0"/>
                <wp:positionH relativeFrom="column">
                  <wp:posOffset>0</wp:posOffset>
                </wp:positionH>
                <wp:positionV relativeFrom="paragraph">
                  <wp:posOffset>0</wp:posOffset>
                </wp:positionV>
                <wp:extent cx="6005195" cy="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779071" id="Line 3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MrHgIAAEM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" strokecolor="#ccc" strokeweight=".7pt"/>
            </w:pict>
          </mc:Fallback>
        </mc:AlternateContent>
      </w:r>
    </w:p>
    <w:p w:rsidR="007C25FE" w:rsidRDefault="007C25FE">
      <w:pPr>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36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63" w:line="276" w:lineRule="exact"/>
        <w:ind w:left="106" w:right="178"/>
        <w:textAlignment w:val="baseline"/>
        <w:rPr>
          <w:rFonts w:eastAsia="Times New Roman"/>
          <w:color w:val="000000"/>
          <w:sz w:val="24"/>
        </w:rPr>
      </w:pPr>
      <w:r>
        <w:rPr>
          <w:noProof/>
        </w:rPr>
        <mc:AlternateContent>
          <mc:Choice Requires="wps">
            <w:drawing>
              <wp:anchor distT="0" distB="339725" distL="0" distR="0" simplePos="0" relativeHeight="251629568" behindDoc="1" locked="0" layoutInCell="1" allowOverlap="1" wp14:anchorId="073F9865" wp14:editId="2DC6064D">
                <wp:simplePos x="0" y="0"/>
                <wp:positionH relativeFrom="page">
                  <wp:posOffset>875030</wp:posOffset>
                </wp:positionH>
                <wp:positionV relativeFrom="page">
                  <wp:posOffset>914400</wp:posOffset>
                </wp:positionV>
                <wp:extent cx="6005195" cy="817753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17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6"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left:0;text-align:left;margin-left:68.9pt;margin-top:1in;width:472.85pt;height:643.9pt;z-index:-251686912;visibility:visible;mso-wrap-style:square;mso-width-percent:0;mso-height-percent:0;mso-wrap-distance-left:0;mso-wrap-distance-top:0;mso-wrap-distance-right:0;mso-wrap-distance-bottom:26.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oBtQIAALQ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" filled="f" stroked="f">
                <v:textbox inset="0,0,0,0">
                  <w:txbxContent>
                    <w:p w:rsidR="007C25FE" w:rsidRDefault="007C25FE">
                      <w:pPr>
                        <w:pBdr>
                          <w:top w:val="single" w:sz="5" w:space="0" w:color="CCCCCC"/>
                          <w:left w:val="single" w:sz="5" w:space="0" w:color="CCCCCC"/>
                          <w:bottom w:val="single" w:sz="5" w:space="26" w:color="CCCCCC"/>
                          <w:right w:val="single" w:sz="5" w:space="0" w:color="CCCCCC"/>
                        </w:pBdr>
                      </w:pPr>
                    </w:p>
                  </w:txbxContent>
                </v:textbox>
                <w10:wrap anchorx="page" anchory="page"/>
              </v:shape>
            </w:pict>
          </mc:Fallback>
        </mc:AlternateContent>
      </w:r>
      <w:r>
        <w:rPr>
          <w:rFonts w:eastAsia="Times New Roman"/>
          <w:color w:val="000000"/>
          <w:sz w:val="24"/>
        </w:rPr>
        <w:t>funding. Points for this factor will be awarded based on the amount of leveraged funding that meets the criteria in this section. Applicants who have no other resources available will receive no points for this factor.</w:t>
      </w:r>
    </w:p>
    <w:p w:rsidR="007C25FE" w:rsidRDefault="00AB77A8">
      <w:pPr>
        <w:spacing w:before="118" w:line="276" w:lineRule="exact"/>
        <w:ind w:left="106" w:right="178"/>
        <w:textAlignment w:val="baseline"/>
        <w:rPr>
          <w:rFonts w:eastAsia="Times New Roman"/>
          <w:color w:val="000000"/>
          <w:spacing w:val="-1"/>
          <w:sz w:val="24"/>
        </w:rPr>
      </w:pPr>
      <w:r>
        <w:rPr>
          <w:rFonts w:eastAsia="Times New Roman"/>
          <w:color w:val="000000"/>
          <w:spacing w:val="-1"/>
          <w:sz w:val="24"/>
        </w:rPr>
        <w:t xml:space="preserve">Applicants will be evaluated based on their ability to demonstrate that they have obtained additional </w:t>
      </w:r>
      <w:r>
        <w:rPr>
          <w:rFonts w:eastAsia="Times New Roman"/>
          <w:b/>
          <w:i/>
          <w:color w:val="000000"/>
          <w:spacing w:val="-1"/>
          <w:sz w:val="24"/>
        </w:rPr>
        <w:t xml:space="preserve">non-federal </w:t>
      </w:r>
      <w:r>
        <w:rPr>
          <w:rFonts w:eastAsia="Times New Roman"/>
          <w:color w:val="000000"/>
          <w:spacing w:val="-1"/>
          <w:sz w:val="24"/>
        </w:rPr>
        <w:t xml:space="preserve">resources including direct financial assistance (grants), fees, in-kind contribution, such as services, equipment, office space and labor to support their housing counseling activities, for the period of performance (October 1, 2017 through March 31, 2019). Leveraged resources provided by </w:t>
      </w:r>
      <w:r>
        <w:rPr>
          <w:rFonts w:eastAsia="Times New Roman"/>
          <w:b/>
          <w:i/>
          <w:color w:val="000000"/>
          <w:spacing w:val="-1"/>
          <w:sz w:val="24"/>
        </w:rPr>
        <w:t xml:space="preserve">non-federal </w:t>
      </w:r>
      <w:r>
        <w:rPr>
          <w:rFonts w:eastAsia="Times New Roman"/>
          <w:color w:val="000000"/>
          <w:spacing w:val="-1"/>
          <w:sz w:val="24"/>
        </w:rPr>
        <w:t>government sources, public or private nonprofit organizations, for-profit organizations, or other entities committed to providing assistance will be counted toward the Applicant’s leveraged funding total. Grantees will be required to maintain evidence that leveraged funds were actually provided to the agency. Files may be reviewed by HUD staff as a part of the performance reviews and on-site monitoring visits.</w:t>
      </w:r>
    </w:p>
    <w:p w:rsidR="007C25FE" w:rsidRDefault="00AB77A8">
      <w:pPr>
        <w:spacing w:before="121" w:line="276" w:lineRule="exact"/>
        <w:ind w:left="106" w:right="106"/>
        <w:textAlignment w:val="baseline"/>
        <w:rPr>
          <w:rFonts w:eastAsia="Times New Roman"/>
          <w:color w:val="000000"/>
          <w:sz w:val="24"/>
        </w:rPr>
      </w:pPr>
      <w:r>
        <w:rPr>
          <w:rFonts w:eastAsia="Times New Roman"/>
          <w:color w:val="000000"/>
          <w:sz w:val="24"/>
        </w:rPr>
        <w:t xml:space="preserve">Leveraging resources cannot consist of </w:t>
      </w:r>
      <w:r>
        <w:rPr>
          <w:rFonts w:eastAsia="Times New Roman"/>
          <w:b/>
          <w:color w:val="000000"/>
          <w:sz w:val="24"/>
        </w:rPr>
        <w:t>federal funds</w:t>
      </w:r>
      <w:r>
        <w:rPr>
          <w:rFonts w:eastAsia="Times New Roman"/>
          <w:color w:val="000000"/>
          <w:sz w:val="24"/>
        </w:rPr>
        <w:t xml:space="preserve">, directly or indirectly. </w:t>
      </w:r>
      <w:r>
        <w:rPr>
          <w:rFonts w:eastAsia="Times New Roman"/>
          <w:b/>
          <w:color w:val="000000"/>
          <w:sz w:val="24"/>
        </w:rPr>
        <w:t xml:space="preserve">Federal funds </w:t>
      </w:r>
      <w:r>
        <w:rPr>
          <w:rFonts w:eastAsia="Times New Roman"/>
          <w:color w:val="000000"/>
          <w:sz w:val="24"/>
        </w:rPr>
        <w:t xml:space="preserve">that are passed through state and local governments are ineligible. Any federal funds listed on the chart will not be counted towards the total amount of leveraged funds. Do </w:t>
      </w:r>
      <w:r>
        <w:rPr>
          <w:rFonts w:eastAsia="Times New Roman"/>
          <w:b/>
          <w:color w:val="000000"/>
          <w:sz w:val="24"/>
        </w:rPr>
        <w:t xml:space="preserve">NOT </w:t>
      </w:r>
      <w:r>
        <w:rPr>
          <w:rFonts w:eastAsia="Times New Roman"/>
          <w:color w:val="000000"/>
          <w:sz w:val="24"/>
        </w:rPr>
        <w:t xml:space="preserve">include federal sources such as, </w:t>
      </w:r>
      <w:r>
        <w:rPr>
          <w:rFonts w:eastAsia="Times New Roman"/>
          <w:b/>
          <w:color w:val="000000"/>
          <w:sz w:val="24"/>
        </w:rPr>
        <w:t>but not limited to</w:t>
      </w:r>
      <w:r>
        <w:rPr>
          <w:rFonts w:eastAsia="Times New Roman"/>
          <w:color w:val="000000"/>
          <w:sz w:val="24"/>
        </w:rPr>
        <w:t>:</w:t>
      </w:r>
    </w:p>
    <w:p w:rsidR="007C25FE" w:rsidRDefault="00AB77A8">
      <w:pPr>
        <w:numPr>
          <w:ilvl w:val="0"/>
          <w:numId w:val="40"/>
        </w:numPr>
        <w:tabs>
          <w:tab w:val="clear" w:pos="216"/>
          <w:tab w:val="left" w:pos="1546"/>
        </w:tabs>
        <w:spacing w:before="237" w:line="276" w:lineRule="exact"/>
        <w:ind w:left="1330" w:right="106"/>
        <w:textAlignment w:val="baseline"/>
        <w:rPr>
          <w:rFonts w:eastAsia="Times New Roman"/>
          <w:color w:val="000000"/>
          <w:sz w:val="24"/>
        </w:rPr>
      </w:pPr>
      <w:r>
        <w:rPr>
          <w:rFonts w:eastAsia="Times New Roman"/>
          <w:color w:val="000000"/>
          <w:sz w:val="24"/>
        </w:rPr>
        <w:t>National Foreclosure Mitigation Counseling Program (NFMC);</w:t>
      </w:r>
    </w:p>
    <w:p w:rsidR="007C25FE" w:rsidRDefault="00AB77A8">
      <w:pPr>
        <w:numPr>
          <w:ilvl w:val="0"/>
          <w:numId w:val="40"/>
        </w:numPr>
        <w:tabs>
          <w:tab w:val="clear" w:pos="216"/>
          <w:tab w:val="left" w:pos="1546"/>
        </w:tabs>
        <w:spacing w:before="2" w:line="276" w:lineRule="exact"/>
        <w:ind w:left="1330" w:right="106"/>
        <w:textAlignment w:val="baseline"/>
        <w:rPr>
          <w:rFonts w:eastAsia="Times New Roman"/>
          <w:color w:val="000000"/>
          <w:sz w:val="24"/>
        </w:rPr>
      </w:pPr>
      <w:r>
        <w:rPr>
          <w:rFonts w:eastAsia="Times New Roman"/>
          <w:color w:val="000000"/>
          <w:sz w:val="24"/>
        </w:rPr>
        <w:t>Hardest Hit Funds (HHF);</w:t>
      </w:r>
    </w:p>
    <w:p w:rsidR="007C25FE" w:rsidRDefault="00AB77A8">
      <w:pPr>
        <w:numPr>
          <w:ilvl w:val="0"/>
          <w:numId w:val="40"/>
        </w:numPr>
        <w:tabs>
          <w:tab w:val="clear" w:pos="216"/>
          <w:tab w:val="left" w:pos="1546"/>
        </w:tabs>
        <w:spacing w:line="274" w:lineRule="exact"/>
        <w:ind w:left="1330" w:right="106"/>
        <w:textAlignment w:val="baseline"/>
        <w:rPr>
          <w:rFonts w:eastAsia="Times New Roman"/>
          <w:color w:val="000000"/>
          <w:sz w:val="24"/>
        </w:rPr>
      </w:pPr>
      <w:r>
        <w:rPr>
          <w:rFonts w:eastAsia="Times New Roman"/>
          <w:color w:val="000000"/>
          <w:sz w:val="24"/>
        </w:rPr>
        <w:t>Community Development Block Grants (CDBG);</w:t>
      </w:r>
    </w:p>
    <w:p w:rsidR="007C25FE" w:rsidRDefault="00AB77A8">
      <w:pPr>
        <w:numPr>
          <w:ilvl w:val="0"/>
          <w:numId w:val="40"/>
        </w:numPr>
        <w:tabs>
          <w:tab w:val="clear" w:pos="216"/>
          <w:tab w:val="left" w:pos="1546"/>
        </w:tabs>
        <w:spacing w:before="2" w:line="276" w:lineRule="exact"/>
        <w:ind w:left="1330" w:right="106"/>
        <w:textAlignment w:val="baseline"/>
        <w:rPr>
          <w:rFonts w:eastAsia="Times New Roman"/>
          <w:color w:val="000000"/>
          <w:sz w:val="24"/>
        </w:rPr>
      </w:pPr>
      <w:r>
        <w:rPr>
          <w:rFonts w:eastAsia="Times New Roman"/>
          <w:color w:val="000000"/>
          <w:sz w:val="24"/>
        </w:rPr>
        <w:t>Community Services Block Grants (CSBG);</w:t>
      </w:r>
    </w:p>
    <w:p w:rsidR="007C25FE" w:rsidRDefault="00AB77A8">
      <w:pPr>
        <w:numPr>
          <w:ilvl w:val="0"/>
          <w:numId w:val="40"/>
        </w:numPr>
        <w:tabs>
          <w:tab w:val="clear" w:pos="216"/>
          <w:tab w:val="left" w:pos="1546"/>
        </w:tabs>
        <w:spacing w:line="274" w:lineRule="exact"/>
        <w:ind w:left="1330" w:right="106"/>
        <w:textAlignment w:val="baseline"/>
        <w:rPr>
          <w:rFonts w:eastAsia="Times New Roman"/>
          <w:color w:val="000000"/>
          <w:sz w:val="24"/>
        </w:rPr>
      </w:pPr>
      <w:r>
        <w:rPr>
          <w:rFonts w:eastAsia="Times New Roman"/>
          <w:color w:val="000000"/>
          <w:sz w:val="24"/>
        </w:rPr>
        <w:t>Emergency Homeowner Loan Program (EHLP);</w:t>
      </w:r>
    </w:p>
    <w:p w:rsidR="007C25FE" w:rsidRDefault="00AB77A8">
      <w:pPr>
        <w:numPr>
          <w:ilvl w:val="0"/>
          <w:numId w:val="40"/>
        </w:numPr>
        <w:tabs>
          <w:tab w:val="clear" w:pos="216"/>
          <w:tab w:val="left" w:pos="1546"/>
        </w:tabs>
        <w:spacing w:before="2" w:line="276" w:lineRule="exact"/>
        <w:ind w:left="1330" w:right="106"/>
        <w:textAlignment w:val="baseline"/>
        <w:rPr>
          <w:rFonts w:eastAsia="Times New Roman"/>
          <w:color w:val="000000"/>
          <w:sz w:val="24"/>
        </w:rPr>
      </w:pPr>
      <w:r>
        <w:rPr>
          <w:rFonts w:eastAsia="Times New Roman"/>
          <w:color w:val="000000"/>
          <w:sz w:val="24"/>
        </w:rPr>
        <w:t>Fair Housing Initiatives program (FHIP); and</w:t>
      </w:r>
    </w:p>
    <w:p w:rsidR="007C25FE" w:rsidRDefault="00AB77A8">
      <w:pPr>
        <w:numPr>
          <w:ilvl w:val="0"/>
          <w:numId w:val="40"/>
        </w:numPr>
        <w:tabs>
          <w:tab w:val="clear" w:pos="216"/>
          <w:tab w:val="left" w:pos="1546"/>
        </w:tabs>
        <w:spacing w:line="274" w:lineRule="exact"/>
        <w:ind w:left="1330" w:right="106"/>
        <w:textAlignment w:val="baseline"/>
        <w:rPr>
          <w:rFonts w:eastAsia="Times New Roman"/>
          <w:color w:val="000000"/>
          <w:sz w:val="24"/>
        </w:rPr>
      </w:pPr>
      <w:r>
        <w:rPr>
          <w:rFonts w:eastAsia="Times New Roman"/>
          <w:color w:val="000000"/>
          <w:sz w:val="24"/>
        </w:rPr>
        <w:t>Home Investment Partnerships program (HOME).</w:t>
      </w:r>
    </w:p>
    <w:p w:rsidR="007C25FE" w:rsidRDefault="00AB77A8">
      <w:pPr>
        <w:spacing w:before="242" w:line="276" w:lineRule="exact"/>
        <w:ind w:left="106" w:right="106"/>
        <w:textAlignment w:val="baseline"/>
        <w:rPr>
          <w:rFonts w:eastAsia="Times New Roman"/>
          <w:color w:val="000000"/>
          <w:sz w:val="24"/>
        </w:rPr>
      </w:pPr>
      <w:r>
        <w:rPr>
          <w:rFonts w:eastAsia="Times New Roman"/>
          <w:color w:val="000000"/>
          <w:sz w:val="24"/>
        </w:rPr>
        <w:t>Settlement funds from the National Mortgage Settlement</w:t>
      </w:r>
    </w:p>
    <w:p w:rsidR="007C25FE" w:rsidRDefault="00AB77A8">
      <w:pPr>
        <w:spacing w:line="276" w:lineRule="exact"/>
        <w:ind w:left="106" w:right="538"/>
        <w:textAlignment w:val="baseline"/>
        <w:rPr>
          <w:rFonts w:eastAsia="Times New Roman"/>
          <w:color w:val="000000"/>
          <w:sz w:val="24"/>
        </w:rPr>
      </w:pPr>
      <w:r>
        <w:rPr>
          <w:rFonts w:eastAsia="Times New Roman"/>
          <w:color w:val="000000"/>
          <w:sz w:val="24"/>
        </w:rPr>
        <w:t>(</w:t>
      </w:r>
      <w:hyperlink r:id="rId70">
        <w:r>
          <w:rPr>
            <w:rFonts w:eastAsia="Times New Roman"/>
            <w:color w:val="0000FF"/>
            <w:sz w:val="24"/>
            <w:u w:val="single"/>
          </w:rPr>
          <w:t>http://www.nationalmortgagesettlement.com</w:t>
        </w:r>
      </w:hyperlink>
      <w:r>
        <w:rPr>
          <w:rFonts w:eastAsia="Times New Roman"/>
          <w:color w:val="000000"/>
          <w:sz w:val="24"/>
        </w:rPr>
        <w:t>) are not considered Federal and therefore can count toward leveraging.</w:t>
      </w:r>
    </w:p>
    <w:p w:rsidR="007C25FE" w:rsidRDefault="00AB77A8">
      <w:pPr>
        <w:spacing w:before="120" w:line="276" w:lineRule="exact"/>
        <w:ind w:left="106" w:right="178"/>
        <w:textAlignment w:val="baseline"/>
        <w:rPr>
          <w:rFonts w:eastAsia="Times New Roman"/>
          <w:b/>
          <w:color w:val="000000"/>
          <w:sz w:val="24"/>
        </w:rPr>
      </w:pPr>
      <w:r>
        <w:rPr>
          <w:rFonts w:eastAsia="Times New Roman"/>
          <w:b/>
          <w:color w:val="000000"/>
          <w:sz w:val="24"/>
        </w:rPr>
        <w:t>(1) Itemize Leveraging</w:t>
      </w:r>
      <w:r>
        <w:rPr>
          <w:rFonts w:eastAsia="Times New Roman"/>
          <w:color w:val="000000"/>
          <w:sz w:val="24"/>
        </w:rPr>
        <w:t xml:space="preserve">. Utilize Chart D1 or D2 – </w:t>
      </w:r>
      <w:r>
        <w:rPr>
          <w:rFonts w:eastAsia="Times New Roman"/>
          <w:i/>
          <w:color w:val="000000"/>
          <w:sz w:val="24"/>
        </w:rPr>
        <w:t xml:space="preserve">Leveraging </w:t>
      </w:r>
      <w:r>
        <w:rPr>
          <w:rFonts w:eastAsia="Times New Roman"/>
          <w:color w:val="000000"/>
          <w:sz w:val="24"/>
        </w:rPr>
        <w:t>to provide the following information. Intermediary/SHFA/MSO applicants must submit itemized information on the Chart D2-Leveraging Excel spreadsheet AND enter total leveraged amounts on the 9906 chart. Please ensure the total amount on the Chart D2 spreadsheet is the same as the total entered on Chart D2. Leveraged totals that do not match may constitute a non-curable deficiency and may not be amended after the application submission deadline.</w:t>
      </w:r>
    </w:p>
    <w:p w:rsidR="007C25FE" w:rsidRDefault="00AB77A8">
      <w:pPr>
        <w:spacing w:before="118" w:line="276" w:lineRule="exact"/>
        <w:ind w:left="106" w:right="466"/>
        <w:textAlignment w:val="baseline"/>
        <w:rPr>
          <w:rFonts w:eastAsia="Times New Roman"/>
          <w:b/>
          <w:color w:val="000000"/>
          <w:sz w:val="24"/>
        </w:rPr>
      </w:pPr>
      <w:r>
        <w:rPr>
          <w:rFonts w:eastAsia="Times New Roman"/>
          <w:b/>
          <w:color w:val="000000"/>
          <w:sz w:val="24"/>
        </w:rPr>
        <w:t xml:space="preserve">(a) </w:t>
      </w:r>
      <w:r>
        <w:rPr>
          <w:rFonts w:eastAsia="Times New Roman"/>
          <w:color w:val="000000"/>
          <w:sz w:val="24"/>
        </w:rPr>
        <w:t>All Applicants must provide an itemized list of all leveraged resources, including in-kind contributions, for the Applicant and, if applicable, each proposed Sub-grantee and/or Branch office.</w:t>
      </w:r>
    </w:p>
    <w:p w:rsidR="007C25FE" w:rsidRDefault="00AB77A8">
      <w:pPr>
        <w:numPr>
          <w:ilvl w:val="0"/>
          <w:numId w:val="9"/>
        </w:numPr>
        <w:tabs>
          <w:tab w:val="clear" w:pos="216"/>
          <w:tab w:val="left" w:pos="2986"/>
        </w:tabs>
        <w:spacing w:before="242" w:line="276" w:lineRule="exact"/>
        <w:ind w:left="2986" w:right="106" w:hanging="216"/>
        <w:textAlignment w:val="baseline"/>
        <w:rPr>
          <w:rFonts w:eastAsia="Times New Roman"/>
          <w:color w:val="000000"/>
          <w:sz w:val="24"/>
        </w:rPr>
      </w:pPr>
      <w:r>
        <w:rPr>
          <w:rFonts w:eastAsia="Times New Roman"/>
          <w:color w:val="000000"/>
          <w:sz w:val="24"/>
        </w:rPr>
        <w:t>In Field A, enter the type of agency listed in Field B</w:t>
      </w:r>
    </w:p>
    <w:p w:rsidR="007C25FE" w:rsidRDefault="00AB77A8">
      <w:pPr>
        <w:numPr>
          <w:ilvl w:val="0"/>
          <w:numId w:val="9"/>
        </w:numPr>
        <w:tabs>
          <w:tab w:val="clear" w:pos="216"/>
          <w:tab w:val="left" w:pos="2986"/>
        </w:tabs>
        <w:spacing w:line="276" w:lineRule="exact"/>
        <w:ind w:left="2986" w:right="826" w:hanging="216"/>
        <w:textAlignment w:val="baseline"/>
        <w:rPr>
          <w:rFonts w:eastAsia="Times New Roman"/>
          <w:color w:val="000000"/>
          <w:sz w:val="24"/>
        </w:rPr>
      </w:pPr>
      <w:r>
        <w:rPr>
          <w:rFonts w:eastAsia="Times New Roman"/>
          <w:color w:val="000000"/>
          <w:sz w:val="24"/>
        </w:rPr>
        <w:t>In Field B, enter the name of the Applicant, Sub-grantee or Branch</w:t>
      </w:r>
    </w:p>
    <w:p w:rsidR="007C25FE" w:rsidRDefault="00AB77A8">
      <w:pPr>
        <w:numPr>
          <w:ilvl w:val="0"/>
          <w:numId w:val="9"/>
        </w:numPr>
        <w:tabs>
          <w:tab w:val="clear" w:pos="216"/>
          <w:tab w:val="left" w:pos="2986"/>
        </w:tabs>
        <w:spacing w:line="276" w:lineRule="exact"/>
        <w:ind w:left="2986" w:right="178" w:hanging="216"/>
        <w:textAlignment w:val="baseline"/>
        <w:rPr>
          <w:rFonts w:eastAsia="Times New Roman"/>
          <w:color w:val="000000"/>
          <w:sz w:val="24"/>
        </w:rPr>
      </w:pPr>
      <w:r>
        <w:rPr>
          <w:rFonts w:eastAsia="Times New Roman"/>
          <w:color w:val="000000"/>
          <w:sz w:val="24"/>
        </w:rPr>
        <w:t>In Field C, enter the name of the organization providing the funds or in-kind contributions</w:t>
      </w:r>
    </w:p>
    <w:p w:rsidR="007C25FE" w:rsidRDefault="00AB77A8">
      <w:pPr>
        <w:numPr>
          <w:ilvl w:val="0"/>
          <w:numId w:val="9"/>
        </w:numPr>
        <w:tabs>
          <w:tab w:val="clear" w:pos="216"/>
          <w:tab w:val="left" w:pos="2986"/>
        </w:tabs>
        <w:spacing w:line="274" w:lineRule="exact"/>
        <w:ind w:left="2986" w:right="106" w:hanging="216"/>
        <w:textAlignment w:val="baseline"/>
        <w:rPr>
          <w:rFonts w:eastAsia="Times New Roman"/>
          <w:color w:val="000000"/>
          <w:sz w:val="24"/>
        </w:rPr>
      </w:pPr>
      <w:r>
        <w:rPr>
          <w:rFonts w:eastAsia="Times New Roman"/>
          <w:color w:val="000000"/>
          <w:sz w:val="24"/>
        </w:rPr>
        <w:t>In Field D, enter the type of contribution</w:t>
      </w:r>
    </w:p>
    <w:p w:rsidR="007C25FE" w:rsidRDefault="00AB77A8">
      <w:pPr>
        <w:numPr>
          <w:ilvl w:val="0"/>
          <w:numId w:val="9"/>
        </w:numPr>
        <w:tabs>
          <w:tab w:val="clear" w:pos="216"/>
          <w:tab w:val="left" w:pos="2986"/>
        </w:tabs>
        <w:spacing w:before="2" w:after="555" w:line="276" w:lineRule="exact"/>
        <w:ind w:left="2986" w:right="106" w:hanging="216"/>
        <w:textAlignment w:val="baseline"/>
        <w:rPr>
          <w:rFonts w:eastAsia="Times New Roman"/>
          <w:color w:val="000000"/>
          <w:spacing w:val="-1"/>
          <w:sz w:val="24"/>
        </w:rPr>
      </w:pPr>
      <w:r>
        <w:rPr>
          <w:rFonts w:eastAsia="Times New Roman"/>
          <w:color w:val="000000"/>
          <w:spacing w:val="-1"/>
          <w:sz w:val="24"/>
        </w:rPr>
        <w:t>In Field F, enter for what the leveraging funds will be used (must</w:t>
      </w:r>
    </w:p>
    <w:p w:rsidR="007C25FE" w:rsidRDefault="007C25FE">
      <w:pPr>
        <w:spacing w:before="2" w:after="555" w:line="276" w:lineRule="exact"/>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37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63" w:line="276" w:lineRule="exact"/>
        <w:ind w:left="2986" w:right="106"/>
        <w:textAlignment w:val="baseline"/>
        <w:rPr>
          <w:rFonts w:eastAsia="Times New Roman"/>
          <w:color w:val="000000"/>
          <w:sz w:val="24"/>
        </w:rPr>
      </w:pPr>
      <w:r>
        <w:rPr>
          <w:noProof/>
        </w:rPr>
        <mc:AlternateContent>
          <mc:Choice Requires="wps">
            <w:drawing>
              <wp:anchor distT="0" distB="314960" distL="0" distR="0" simplePos="0" relativeHeight="251630592" behindDoc="1" locked="0" layoutInCell="1" allowOverlap="1" wp14:anchorId="20EC86E0" wp14:editId="2CFEFD1E">
                <wp:simplePos x="0" y="0"/>
                <wp:positionH relativeFrom="page">
                  <wp:posOffset>875030</wp:posOffset>
                </wp:positionH>
                <wp:positionV relativeFrom="page">
                  <wp:posOffset>914400</wp:posOffset>
                </wp:positionV>
                <wp:extent cx="6005195" cy="82022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20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4"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left:0;text-align:left;margin-left:68.9pt;margin-top:1in;width:472.85pt;height:645.85pt;z-index:-251685888;visibility:visible;mso-wrap-style:square;mso-width-percent:0;mso-height-percent:0;mso-wrap-distance-left:0;mso-wrap-distance-top:0;mso-wrap-distance-right:0;mso-wrap-distance-bottom:24.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" filled="f" stroked="f">
                <v:textbox inset="0,0,0,0">
                  <w:txbxContent>
                    <w:p w:rsidR="007C25FE" w:rsidRDefault="007C25FE">
                      <w:pPr>
                        <w:pBdr>
                          <w:top w:val="single" w:sz="5" w:space="0" w:color="CCCCCC"/>
                          <w:left w:val="single" w:sz="5" w:space="0" w:color="CCCCCC"/>
                          <w:bottom w:val="single" w:sz="5" w:space="24" w:color="CCCCCC"/>
                          <w:right w:val="single" w:sz="5" w:space="0" w:color="CCCCCC"/>
                        </w:pBdr>
                      </w:pPr>
                    </w:p>
                  </w:txbxContent>
                </v:textbox>
                <w10:wrap anchorx="page" anchory="page"/>
              </v:shape>
            </w:pict>
          </mc:Fallback>
        </mc:AlternateContent>
      </w:r>
      <w:r>
        <w:rPr>
          <w:rFonts w:eastAsia="Times New Roman"/>
          <w:color w:val="000000"/>
          <w:sz w:val="24"/>
        </w:rPr>
        <w:t>be exclusively allocated for the housing counseling program)</w:t>
      </w:r>
    </w:p>
    <w:p w:rsidR="007C25FE" w:rsidRDefault="00AB77A8">
      <w:pPr>
        <w:spacing w:line="275" w:lineRule="exact"/>
        <w:ind w:left="2986" w:right="106" w:hanging="216"/>
        <w:textAlignment w:val="baseline"/>
        <w:rPr>
          <w:rFonts w:ascii="Arial" w:eastAsia="Arial" w:hAnsi="Arial"/>
          <w:color w:val="000000"/>
          <w:sz w:val="24"/>
        </w:rPr>
      </w:pPr>
      <w:r>
        <w:rPr>
          <w:rFonts w:ascii="Arial" w:eastAsia="Arial" w:hAnsi="Arial"/>
          <w:color w:val="000000"/>
          <w:sz w:val="24"/>
        </w:rPr>
        <w:t xml:space="preserve"> </w:t>
      </w:r>
      <w:r>
        <w:rPr>
          <w:rFonts w:eastAsia="Times New Roman"/>
          <w:color w:val="000000"/>
          <w:sz w:val="24"/>
        </w:rPr>
        <w:t>In Field G, enter only the amount of funds that will be available during the period of performance (October 1, 2017 through March 31, 2019).</w:t>
      </w:r>
    </w:p>
    <w:p w:rsidR="007C25FE" w:rsidRDefault="00AB77A8">
      <w:pPr>
        <w:spacing w:before="240" w:line="276" w:lineRule="exact"/>
        <w:ind w:left="106" w:right="610"/>
        <w:textAlignment w:val="baseline"/>
        <w:rPr>
          <w:rFonts w:eastAsia="Times New Roman"/>
          <w:color w:val="000000"/>
          <w:sz w:val="24"/>
        </w:rPr>
      </w:pPr>
      <w:r>
        <w:rPr>
          <w:rFonts w:eastAsia="Times New Roman"/>
          <w:color w:val="000000"/>
          <w:sz w:val="24"/>
        </w:rPr>
        <w:t>Every field must be completed. The leveraging amount for any resource that does not have all fields completed will not be counted.</w:t>
      </w:r>
    </w:p>
    <w:p w:rsidR="007C25FE" w:rsidRDefault="00AB77A8">
      <w:pPr>
        <w:spacing w:before="118" w:line="276" w:lineRule="exact"/>
        <w:ind w:left="106" w:right="178"/>
        <w:textAlignment w:val="baseline"/>
        <w:rPr>
          <w:rFonts w:eastAsia="Times New Roman"/>
          <w:color w:val="000000"/>
          <w:sz w:val="24"/>
        </w:rPr>
      </w:pPr>
      <w:r>
        <w:rPr>
          <w:rFonts w:eastAsia="Times New Roman"/>
          <w:color w:val="000000"/>
          <w:sz w:val="24"/>
        </w:rPr>
        <w:t>Include only funds that will be available during the period of performance (October 1, 2017 through March 31, 2019). If Applicant’s funding is available outside of the FY 2018 grant period, the Applicant must pro-rate the funding to reflect the amount that is available during the grant period. For example, if funds are available from January 2017 through December 2017, include only 3 months (October 1 through December 31, 2017) of funding (e.g., only $25,000 of a $100,000 grant should be entered on Chart D). If funds are available for two years, the total amount of funds must be pro-rated (e.g., $100,000 leverage available July 1, 2016 through June 30, 2018, only $37,500 should be entered on Chart D for the 9 months of October 1, 2017 through June 30, 2018).</w:t>
      </w:r>
    </w:p>
    <w:p w:rsidR="007C25FE" w:rsidRDefault="00AB77A8">
      <w:pPr>
        <w:spacing w:before="122" w:line="276" w:lineRule="exact"/>
        <w:ind w:left="106" w:right="466"/>
        <w:textAlignment w:val="baseline"/>
        <w:rPr>
          <w:rFonts w:eastAsia="Times New Roman"/>
          <w:color w:val="000000"/>
          <w:sz w:val="24"/>
        </w:rPr>
      </w:pPr>
      <w:r>
        <w:rPr>
          <w:rFonts w:eastAsia="Times New Roman"/>
          <w:color w:val="000000"/>
          <w:sz w:val="24"/>
        </w:rPr>
        <w:t>Applicants that fail to provide this information will not receive any points for this factor. All leveraged resources claimed by an Applicant, including cash and in-kind contributions, must meet all of the criteria set forth in 2 C.F.R. Part 200.</w:t>
      </w:r>
    </w:p>
    <w:p w:rsidR="007C25FE" w:rsidRDefault="00AB77A8">
      <w:pPr>
        <w:spacing w:before="121" w:line="276" w:lineRule="exact"/>
        <w:ind w:left="106" w:right="178"/>
        <w:textAlignment w:val="baseline"/>
        <w:rPr>
          <w:rFonts w:eastAsia="Times New Roman"/>
          <w:color w:val="000000"/>
          <w:sz w:val="24"/>
        </w:rPr>
      </w:pPr>
      <w:r>
        <w:rPr>
          <w:rFonts w:eastAsia="Times New Roman"/>
          <w:color w:val="000000"/>
          <w:sz w:val="24"/>
        </w:rPr>
        <w:t xml:space="preserve">In addition, do not include funds </w:t>
      </w:r>
      <w:r>
        <w:rPr>
          <w:rFonts w:eastAsia="Times New Roman"/>
          <w:b/>
          <w:color w:val="000000"/>
          <w:sz w:val="24"/>
        </w:rPr>
        <w:t xml:space="preserve">unless </w:t>
      </w:r>
      <w:r>
        <w:rPr>
          <w:rFonts w:eastAsia="Times New Roman"/>
          <w:color w:val="000000"/>
          <w:sz w:val="24"/>
        </w:rPr>
        <w:t xml:space="preserve">they are exclusively allocated for the housing counseling program. Resources provided by the Applicant must directly result in the provision of housing counseling services to count as leveraged resources. These funds must also be reflected in the SF424. However, resources provided by the Applicant for activities such as down payment and closing costs assistance, IDA programs and emergency services may </w:t>
      </w:r>
      <w:r>
        <w:rPr>
          <w:rFonts w:eastAsia="Times New Roman"/>
          <w:b/>
          <w:color w:val="000000"/>
          <w:sz w:val="24"/>
        </w:rPr>
        <w:t xml:space="preserve">not </w:t>
      </w:r>
      <w:r>
        <w:rPr>
          <w:rFonts w:eastAsia="Times New Roman"/>
          <w:color w:val="000000"/>
          <w:sz w:val="24"/>
        </w:rPr>
        <w:t xml:space="preserve">be counted and should </w:t>
      </w:r>
      <w:r>
        <w:rPr>
          <w:rFonts w:eastAsia="Times New Roman"/>
          <w:b/>
          <w:color w:val="000000"/>
          <w:sz w:val="24"/>
        </w:rPr>
        <w:t xml:space="preserve">not </w:t>
      </w:r>
      <w:r>
        <w:rPr>
          <w:rFonts w:eastAsia="Times New Roman"/>
          <w:color w:val="000000"/>
          <w:sz w:val="24"/>
        </w:rPr>
        <w:t>be included on Chart D or the SF424.</w:t>
      </w:r>
    </w:p>
    <w:p w:rsidR="007C25FE" w:rsidRDefault="00AB77A8">
      <w:pPr>
        <w:spacing w:before="119" w:line="276" w:lineRule="exact"/>
        <w:ind w:left="106" w:right="106"/>
        <w:textAlignment w:val="baseline"/>
        <w:rPr>
          <w:rFonts w:eastAsia="Times New Roman"/>
          <w:b/>
          <w:color w:val="000000"/>
          <w:sz w:val="24"/>
        </w:rPr>
      </w:pPr>
      <w:r>
        <w:rPr>
          <w:rFonts w:eastAsia="Times New Roman"/>
          <w:b/>
          <w:color w:val="000000"/>
          <w:sz w:val="24"/>
        </w:rPr>
        <w:t>(b) Fees</w:t>
      </w:r>
      <w:r>
        <w:rPr>
          <w:rFonts w:eastAsia="Times New Roman"/>
          <w:color w:val="000000"/>
          <w:sz w:val="24"/>
        </w:rPr>
        <w:t>. 24 C.F.R. Part 214 explains the conditions under which agencies participating in HUD’s Housing Counseling Program are permitted to charge fees to counseling recipients. Agencies participating in HUD’s Housing Counseling Program are not permitted to charge fees for default counseling or homeless counseling. While agencies are strongly encouraged to aggressively leverage funds from other private and public sources, fee income can be counted as leveraged resources. Fee income must be identified as program income on line “18. Estimated Funding, f. Program Income” of SF-424 “Application for Federal Assistance” as well as in Chart D, as described above, in order to receive credit for the fee income.</w:t>
      </w:r>
    </w:p>
    <w:p w:rsidR="007C25FE" w:rsidRDefault="00AB77A8">
      <w:pPr>
        <w:spacing w:before="118" w:line="276" w:lineRule="exact"/>
        <w:ind w:left="106" w:right="106"/>
        <w:textAlignment w:val="baseline"/>
        <w:rPr>
          <w:rFonts w:eastAsia="Times New Roman"/>
          <w:b/>
          <w:color w:val="000000"/>
          <w:sz w:val="24"/>
        </w:rPr>
      </w:pPr>
      <w:r>
        <w:rPr>
          <w:rFonts w:eastAsia="Times New Roman"/>
          <w:b/>
          <w:color w:val="000000"/>
          <w:sz w:val="24"/>
        </w:rPr>
        <w:t>e. Rating Factor 5: Achieving Results and Program Evaluation (8 points)</w:t>
      </w:r>
      <w:r>
        <w:rPr>
          <w:rFonts w:eastAsia="Times New Roman"/>
          <w:color w:val="000000"/>
          <w:sz w:val="24"/>
        </w:rPr>
        <w:t>. This factor emphasizes HUD's determination to ensure that Applicants meet the commitments made in their applications and grant agreements and to assess their performance in achieving agreed upon performance goals. This factor reflects HUD's Strategic Goal to embrace high standards of ethics, management and accountability. In scoring this section, HUD will consider Applicant methodologies used to evaluate overall program performance and grant expenditure performance. Applicants that utilize a variety of methods and techniques to evaluate performance, including those methods and techniques identified in this Rating Factor, will be awarded a higher score.</w:t>
      </w:r>
    </w:p>
    <w:p w:rsidR="007C25FE" w:rsidRDefault="00AB77A8">
      <w:pPr>
        <w:spacing w:before="120" w:after="525" w:line="276" w:lineRule="exact"/>
        <w:ind w:left="106" w:right="178"/>
        <w:textAlignment w:val="baseline"/>
        <w:rPr>
          <w:rFonts w:eastAsia="Times New Roman"/>
          <w:color w:val="000000"/>
          <w:spacing w:val="-1"/>
          <w:sz w:val="24"/>
        </w:rPr>
      </w:pPr>
      <w:r>
        <w:rPr>
          <w:rFonts w:eastAsia="Times New Roman"/>
          <w:color w:val="000000"/>
          <w:spacing w:val="-1"/>
          <w:sz w:val="24"/>
        </w:rPr>
        <w:t>In responding to this factor, Applicants must indicate how they evaluate program success. Use Chart A1 (LHCA) or Chart A2 (Intermediary, SHFA, or MSO) to indicate specific components</w:t>
      </w:r>
    </w:p>
    <w:p w:rsidR="007C25FE" w:rsidRDefault="007C25FE">
      <w:pPr>
        <w:spacing w:before="120" w:after="525" w:line="276" w:lineRule="exact"/>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38 of 49</w:t>
      </w:r>
    </w:p>
    <w:p w:rsidR="007C25FE" w:rsidRDefault="007C25FE">
      <w:pPr>
        <w:sectPr w:rsidR="007C25FE">
          <w:type w:val="continuous"/>
          <w:pgSz w:w="12240" w:h="15840"/>
          <w:pgMar w:top="1440" w:right="1438" w:bottom="304" w:left="10002" w:header="720" w:footer="720" w:gutter="0"/>
          <w:cols w:space="720"/>
        </w:sectPr>
      </w:pPr>
    </w:p>
    <w:p w:rsidR="007C25FE" w:rsidRDefault="00AB77A8">
      <w:pPr>
        <w:spacing w:before="33" w:line="274" w:lineRule="exact"/>
        <w:ind w:left="72" w:right="432"/>
        <w:textAlignment w:val="baseline"/>
        <w:rPr>
          <w:rFonts w:eastAsia="Times New Roman"/>
          <w:color w:val="000000"/>
          <w:sz w:val="24"/>
        </w:rPr>
      </w:pPr>
      <w:r>
        <w:rPr>
          <w:noProof/>
        </w:rPr>
        <mc:AlternateContent>
          <mc:Choice Requires="wps">
            <w:drawing>
              <wp:anchor distT="0" distB="817880" distL="0" distR="0" simplePos="0" relativeHeight="251631616" behindDoc="1" locked="0" layoutInCell="1" allowOverlap="1" wp14:anchorId="4D413526" wp14:editId="59A0D70F">
                <wp:simplePos x="0" y="0"/>
                <wp:positionH relativeFrom="page">
                  <wp:posOffset>874395</wp:posOffset>
                </wp:positionH>
                <wp:positionV relativeFrom="page">
                  <wp:posOffset>7641590</wp:posOffset>
                </wp:positionV>
                <wp:extent cx="6005195" cy="21336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0"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68.85pt;margin-top:601.7pt;width:472.85pt;height:16.8pt;z-index:-251684864;visibility:visible;mso-wrap-style:square;mso-width-percent:0;mso-height-percent:0;mso-wrap-distance-left:0;mso-wrap-distance-top:0;mso-wrap-distance-right:0;mso-wrap-distance-bottom:64.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IFtQIAALM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" filled="f" stroked="f">
                <v:textbox inset="0,0,0,0">
                  <w:txbxContent>
                    <w:p w:rsidR="007C25FE" w:rsidRDefault="007C25FE">
                      <w:pPr>
                        <w:pBdr>
                          <w:top w:val="single" w:sz="5" w:space="0" w:color="CCCCCC"/>
                          <w:left w:val="single" w:sz="5" w:space="0" w:color="CCCCCC"/>
                          <w:bottom w:val="single" w:sz="5" w:space="0" w:color="CCCCCC"/>
                          <w:right w:val="single" w:sz="5" w:space="0" w:color="CCCCCC"/>
                        </w:pBdr>
                      </w:pPr>
                    </w:p>
                  </w:txbxContent>
                </v:textbox>
                <w10:wrap type="square" anchorx="page" anchory="page"/>
              </v:shape>
            </w:pict>
          </mc:Fallback>
        </mc:AlternateContent>
      </w:r>
      <w:r>
        <w:rPr>
          <w:noProof/>
        </w:rPr>
        <mc:AlternateContent>
          <mc:Choice Requires="wps">
            <w:drawing>
              <wp:anchor distT="0" distB="0" distL="114300" distR="114300" simplePos="0" relativeHeight="251680768" behindDoc="0" locked="0" layoutInCell="1" allowOverlap="1" wp14:anchorId="0A6735A4" wp14:editId="34818A3A">
                <wp:simplePos x="0" y="0"/>
                <wp:positionH relativeFrom="page">
                  <wp:posOffset>874395</wp:posOffset>
                </wp:positionH>
                <wp:positionV relativeFrom="page">
                  <wp:posOffset>927100</wp:posOffset>
                </wp:positionV>
                <wp:extent cx="6005195"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C35CCF" id="Line 26"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73pt" to="54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7g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68A0AF01" wp14:editId="7766B4B1">
                <wp:simplePos x="0" y="0"/>
                <wp:positionH relativeFrom="page">
                  <wp:posOffset>874395</wp:posOffset>
                </wp:positionH>
                <wp:positionV relativeFrom="page">
                  <wp:posOffset>7641590</wp:posOffset>
                </wp:positionV>
                <wp:extent cx="6005195"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F6B680" id="Line 25"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601.7pt" to="541.7pt,6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3A2EE9C1" wp14:editId="34CA69E8">
                <wp:simplePos x="0" y="0"/>
                <wp:positionH relativeFrom="page">
                  <wp:posOffset>874395</wp:posOffset>
                </wp:positionH>
                <wp:positionV relativeFrom="page">
                  <wp:posOffset>927100</wp:posOffset>
                </wp:positionV>
                <wp:extent cx="0" cy="671449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1449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F8976C" id="Line 2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73pt" to="68.85pt,6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" strokecolor="#ccc" strokeweight=".7pt">
                <w10:wrap anchorx="page" anchory="page"/>
              </v:line>
            </w:pict>
          </mc:Fallback>
        </mc:AlternateContent>
      </w:r>
      <w:r>
        <w:rPr>
          <w:noProof/>
        </w:rPr>
        <mc:AlternateContent>
          <mc:Choice Requires="wps">
            <w:drawing>
              <wp:anchor distT="0" distB="0" distL="114300" distR="114300" simplePos="0" relativeHeight="251683840" behindDoc="0" locked="0" layoutInCell="1" allowOverlap="1" wp14:anchorId="544DA61F" wp14:editId="41EADFFC">
                <wp:simplePos x="0" y="0"/>
                <wp:positionH relativeFrom="page">
                  <wp:posOffset>6879590</wp:posOffset>
                </wp:positionH>
                <wp:positionV relativeFrom="page">
                  <wp:posOffset>927100</wp:posOffset>
                </wp:positionV>
                <wp:extent cx="0" cy="671449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1449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69E70" id="Line 23"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pt,73pt" to="541.7pt,6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" strokecolor="#ccc" strokeweight=".7pt">
                <w10:wrap anchorx="page" anchory="page"/>
              </v:line>
            </w:pict>
          </mc:Fallback>
        </mc:AlternateContent>
      </w:r>
      <w:r>
        <w:rPr>
          <w:rFonts w:eastAsia="Times New Roman"/>
          <w:color w:val="000000"/>
          <w:sz w:val="24"/>
        </w:rPr>
        <w:t xml:space="preserve">of evaluation used by the Applicant. Intermediaries, SHFAs or MSOs should also indicate on Chart A2 specific components of evaluation used by </w:t>
      </w:r>
      <w:r>
        <w:rPr>
          <w:rFonts w:eastAsia="Times New Roman"/>
          <w:b/>
          <w:color w:val="000000"/>
          <w:sz w:val="24"/>
        </w:rPr>
        <w:t xml:space="preserve">each </w:t>
      </w:r>
      <w:r>
        <w:rPr>
          <w:rFonts w:eastAsia="Times New Roman"/>
          <w:color w:val="000000"/>
          <w:sz w:val="24"/>
        </w:rPr>
        <w:t>of its Sub-grantees.</w:t>
      </w:r>
    </w:p>
    <w:p w:rsidR="007C25FE" w:rsidRDefault="00AB77A8">
      <w:pPr>
        <w:spacing w:before="121" w:line="274" w:lineRule="exact"/>
        <w:ind w:left="72" w:right="576"/>
        <w:textAlignment w:val="baseline"/>
        <w:rPr>
          <w:rFonts w:eastAsia="Times New Roman"/>
          <w:b/>
          <w:color w:val="000000"/>
          <w:sz w:val="24"/>
        </w:rPr>
      </w:pPr>
      <w:r>
        <w:rPr>
          <w:rFonts w:eastAsia="Times New Roman"/>
          <w:b/>
          <w:color w:val="000000"/>
          <w:sz w:val="24"/>
        </w:rPr>
        <w:t xml:space="preserve">(1) Components of Evaluation. (5 points). </w:t>
      </w:r>
      <w:r>
        <w:rPr>
          <w:rFonts w:eastAsia="Times New Roman"/>
          <w:color w:val="000000"/>
          <w:sz w:val="24"/>
        </w:rPr>
        <w:t>Components of evaluation include whether the Applicant and/or its Sub-grantees:</w:t>
      </w:r>
    </w:p>
    <w:p w:rsidR="007C25FE" w:rsidRDefault="00AB77A8">
      <w:pPr>
        <w:spacing w:before="116" w:line="278" w:lineRule="exact"/>
        <w:ind w:left="72" w:right="216"/>
        <w:textAlignment w:val="baseline"/>
        <w:rPr>
          <w:rFonts w:eastAsia="Times New Roman"/>
          <w:color w:val="000000"/>
          <w:sz w:val="24"/>
        </w:rPr>
      </w:pPr>
      <w:r>
        <w:rPr>
          <w:rFonts w:eastAsia="Times New Roman"/>
          <w:color w:val="000000"/>
          <w:sz w:val="24"/>
        </w:rPr>
        <w:t>(a) Field Z, utilizes reviews by senior management staff with results reported to organization’s board;</w:t>
      </w:r>
    </w:p>
    <w:p w:rsidR="007C25FE" w:rsidRDefault="00AB77A8">
      <w:pPr>
        <w:spacing w:before="118" w:line="276" w:lineRule="exact"/>
        <w:ind w:left="72" w:right="432"/>
        <w:textAlignment w:val="baseline"/>
        <w:rPr>
          <w:rFonts w:eastAsia="Times New Roman"/>
          <w:color w:val="000000"/>
          <w:sz w:val="24"/>
        </w:rPr>
      </w:pPr>
      <w:r>
        <w:rPr>
          <w:rFonts w:eastAsia="Times New Roman"/>
          <w:color w:val="000000"/>
          <w:sz w:val="24"/>
        </w:rPr>
        <w:t>(b) Field AA, publishes performance data (such as in annual reports, press releases, trade publications, or on the Web) and provide, if applicable, link to published performance data if available online (Field AB);</w:t>
      </w:r>
    </w:p>
    <w:p w:rsidR="007C25FE" w:rsidRDefault="00AB77A8">
      <w:pPr>
        <w:spacing w:before="124" w:line="274" w:lineRule="exact"/>
        <w:ind w:left="72" w:right="1080"/>
        <w:textAlignment w:val="baseline"/>
        <w:rPr>
          <w:rFonts w:eastAsia="Times New Roman"/>
          <w:color w:val="000000"/>
          <w:sz w:val="24"/>
        </w:rPr>
      </w:pPr>
      <w:r>
        <w:rPr>
          <w:rFonts w:eastAsia="Times New Roman"/>
          <w:color w:val="000000"/>
          <w:sz w:val="24"/>
        </w:rPr>
        <w:t>(c) uses their client management system (identify CMS in Field AC) to evaluate their performance and measure whether the goals were achieved by:</w:t>
      </w:r>
    </w:p>
    <w:p w:rsidR="007C25FE" w:rsidRDefault="00AB77A8">
      <w:pPr>
        <w:numPr>
          <w:ilvl w:val="0"/>
          <w:numId w:val="41"/>
        </w:numPr>
        <w:tabs>
          <w:tab w:val="clear" w:pos="288"/>
          <w:tab w:val="left" w:pos="360"/>
        </w:tabs>
        <w:spacing w:before="127" w:line="271" w:lineRule="exact"/>
        <w:ind w:left="72"/>
        <w:textAlignment w:val="baseline"/>
        <w:rPr>
          <w:rFonts w:eastAsia="Times New Roman"/>
          <w:color w:val="000000"/>
          <w:sz w:val="24"/>
        </w:rPr>
      </w:pPr>
      <w:r>
        <w:rPr>
          <w:rFonts w:eastAsia="Times New Roman"/>
          <w:color w:val="000000"/>
          <w:sz w:val="24"/>
        </w:rPr>
        <w:t>Field AD, generating reports on achievement of goals for management analysis;</w:t>
      </w:r>
    </w:p>
    <w:p w:rsidR="007C25FE" w:rsidRDefault="00AB77A8">
      <w:pPr>
        <w:numPr>
          <w:ilvl w:val="0"/>
          <w:numId w:val="41"/>
        </w:numPr>
        <w:tabs>
          <w:tab w:val="clear" w:pos="288"/>
          <w:tab w:val="left" w:pos="360"/>
        </w:tabs>
        <w:spacing w:before="116" w:line="278" w:lineRule="exact"/>
        <w:ind w:left="72" w:right="504"/>
        <w:textAlignment w:val="baseline"/>
        <w:rPr>
          <w:rFonts w:eastAsia="Times New Roman"/>
          <w:color w:val="000000"/>
          <w:sz w:val="24"/>
        </w:rPr>
      </w:pPr>
      <w:r>
        <w:rPr>
          <w:rFonts w:eastAsia="Times New Roman"/>
          <w:color w:val="000000"/>
          <w:sz w:val="24"/>
        </w:rPr>
        <w:t>Field AE, using their client management system to record notes for client activity, action plan, financial analysis, and follow-up;</w:t>
      </w:r>
    </w:p>
    <w:p w:rsidR="007C25FE" w:rsidRDefault="00AB77A8">
      <w:pPr>
        <w:numPr>
          <w:ilvl w:val="0"/>
          <w:numId w:val="41"/>
        </w:numPr>
        <w:tabs>
          <w:tab w:val="left" w:pos="504"/>
        </w:tabs>
        <w:spacing w:before="123" w:line="271" w:lineRule="exact"/>
        <w:ind w:left="72"/>
        <w:textAlignment w:val="baseline"/>
        <w:rPr>
          <w:rFonts w:eastAsia="Times New Roman"/>
          <w:color w:val="000000"/>
          <w:spacing w:val="-1"/>
          <w:sz w:val="24"/>
        </w:rPr>
      </w:pPr>
      <w:r>
        <w:rPr>
          <w:rFonts w:eastAsia="Times New Roman"/>
          <w:color w:val="000000"/>
          <w:spacing w:val="-1"/>
          <w:sz w:val="24"/>
        </w:rPr>
        <w:t>Field AF, tracking grants;</w:t>
      </w:r>
    </w:p>
    <w:p w:rsidR="007C25FE" w:rsidRDefault="00AB77A8">
      <w:pPr>
        <w:numPr>
          <w:ilvl w:val="0"/>
          <w:numId w:val="41"/>
        </w:numPr>
        <w:tabs>
          <w:tab w:val="clear" w:pos="288"/>
          <w:tab w:val="left" w:pos="360"/>
        </w:tabs>
        <w:spacing w:before="127" w:line="271" w:lineRule="exact"/>
        <w:ind w:left="72"/>
        <w:textAlignment w:val="baseline"/>
        <w:rPr>
          <w:rFonts w:eastAsia="Times New Roman"/>
          <w:color w:val="000000"/>
          <w:spacing w:val="1"/>
          <w:sz w:val="24"/>
        </w:rPr>
      </w:pPr>
      <w:r>
        <w:rPr>
          <w:rFonts w:eastAsia="Times New Roman"/>
          <w:color w:val="000000"/>
          <w:spacing w:val="1"/>
          <w:sz w:val="24"/>
        </w:rPr>
        <w:t>Field AG, performing Quality Control Reviews of client management system data;</w:t>
      </w:r>
    </w:p>
    <w:p w:rsidR="007C25FE" w:rsidRDefault="00AB77A8">
      <w:pPr>
        <w:spacing w:before="116" w:line="278" w:lineRule="exact"/>
        <w:ind w:left="72" w:right="360"/>
        <w:textAlignment w:val="baseline"/>
        <w:rPr>
          <w:rFonts w:eastAsia="Times New Roman"/>
          <w:color w:val="000000"/>
          <w:sz w:val="24"/>
        </w:rPr>
      </w:pPr>
      <w:r>
        <w:rPr>
          <w:rFonts w:eastAsia="Times New Roman"/>
          <w:color w:val="000000"/>
          <w:sz w:val="24"/>
        </w:rPr>
        <w:t>(d) Field AH, pulled credit reports as part of post counseling follow-up and reviews 6 months or more after counseling was completed;</w:t>
      </w:r>
    </w:p>
    <w:p w:rsidR="007C25FE" w:rsidRDefault="00AB77A8">
      <w:pPr>
        <w:spacing w:before="123" w:line="271" w:lineRule="exact"/>
        <w:ind w:left="72"/>
        <w:textAlignment w:val="baseline"/>
        <w:rPr>
          <w:rFonts w:eastAsia="Times New Roman"/>
          <w:color w:val="000000"/>
          <w:sz w:val="24"/>
        </w:rPr>
      </w:pPr>
      <w:r>
        <w:rPr>
          <w:rFonts w:eastAsia="Times New Roman"/>
          <w:color w:val="000000"/>
          <w:sz w:val="24"/>
        </w:rPr>
        <w:t>(e) Field AI, uses other methods of evaluation not listed above</w:t>
      </w:r>
    </w:p>
    <w:p w:rsidR="007C25FE" w:rsidRDefault="00AB77A8">
      <w:pPr>
        <w:spacing w:before="126" w:line="275" w:lineRule="exact"/>
        <w:ind w:left="72" w:right="144"/>
        <w:textAlignment w:val="baseline"/>
        <w:rPr>
          <w:rFonts w:eastAsia="Times New Roman"/>
          <w:color w:val="000000"/>
          <w:sz w:val="24"/>
        </w:rPr>
      </w:pPr>
      <w:r>
        <w:rPr>
          <w:rFonts w:eastAsia="Times New Roman"/>
          <w:color w:val="000000"/>
          <w:sz w:val="24"/>
        </w:rPr>
        <w:t>Applicants that put “x’s” in Field AI “</w:t>
      </w:r>
      <w:r>
        <w:rPr>
          <w:rFonts w:eastAsia="Times New Roman"/>
          <w:i/>
          <w:color w:val="000000"/>
          <w:sz w:val="24"/>
        </w:rPr>
        <w:t>Uses Other Methods of Evaluating Program Services</w:t>
      </w:r>
      <w:r>
        <w:rPr>
          <w:rFonts w:eastAsia="Times New Roman"/>
          <w:color w:val="000000"/>
          <w:sz w:val="24"/>
        </w:rPr>
        <w:t>” on Chart A1 or Chart A2 must provide a list or brief description of the other methods that the Applicant or its Sub-grantees, if applicable, use to evaluate program success. Intermediaries, SHFAs or MSOs that provide such information need only provide a list or description with a total of up to three examples of methods that the Applicant or its Sub-grantees use to evaluate program success.</w:t>
      </w:r>
    </w:p>
    <w:p w:rsidR="007C25FE" w:rsidRDefault="00AB77A8">
      <w:pPr>
        <w:spacing w:before="122" w:line="276" w:lineRule="exact"/>
        <w:ind w:left="72" w:right="432"/>
        <w:textAlignment w:val="baseline"/>
        <w:rPr>
          <w:rFonts w:eastAsia="Times New Roman"/>
          <w:b/>
          <w:color w:val="000000"/>
          <w:sz w:val="24"/>
        </w:rPr>
      </w:pPr>
      <w:r>
        <w:rPr>
          <w:rFonts w:eastAsia="Times New Roman"/>
          <w:b/>
          <w:color w:val="000000"/>
          <w:sz w:val="24"/>
        </w:rPr>
        <w:t xml:space="preserve">(2) Grant Expenditure History. (3 points) </w:t>
      </w:r>
      <w:r>
        <w:rPr>
          <w:rFonts w:eastAsia="Times New Roman"/>
          <w:color w:val="000000"/>
          <w:sz w:val="24"/>
        </w:rPr>
        <w:t>In scoring this section, HUD will evaluate Applicant compliance with programmatic requirements and expenditure results, based on the applicant's expenditure of FY 2016 funds.</w:t>
      </w:r>
    </w:p>
    <w:p w:rsidR="007C25FE" w:rsidRDefault="00AB77A8">
      <w:pPr>
        <w:spacing w:before="120" w:after="117" w:line="276" w:lineRule="exact"/>
        <w:ind w:left="72" w:right="144"/>
        <w:textAlignment w:val="baseline"/>
        <w:rPr>
          <w:rFonts w:eastAsia="Times New Roman"/>
          <w:color w:val="000000"/>
          <w:sz w:val="24"/>
        </w:rPr>
      </w:pPr>
      <w:r>
        <w:rPr>
          <w:rFonts w:eastAsia="Times New Roman"/>
          <w:color w:val="000000"/>
          <w:sz w:val="24"/>
        </w:rPr>
        <w:t>Applicants will not provide a response to this sub-factor. HUD will use its own records to score this area. Significant delays in grant expenditure beyond the FY2016 period of performance, including but not limited to the need for HUD to recapture funding, will be taken into consideration.</w:t>
      </w:r>
    </w:p>
    <w:p w:rsidR="007C25FE" w:rsidRDefault="00AB77A8">
      <w:pPr>
        <w:spacing w:before="3" w:after="914" w:line="271" w:lineRule="exact"/>
        <w:ind w:left="72"/>
        <w:textAlignment w:val="baseline"/>
        <w:rPr>
          <w:rFonts w:eastAsia="Times New Roman"/>
          <w:color w:val="000000"/>
          <w:sz w:val="24"/>
        </w:rPr>
      </w:pPr>
      <w:r>
        <w:rPr>
          <w:rFonts w:eastAsia="Times New Roman"/>
          <w:color w:val="000000"/>
          <w:sz w:val="24"/>
        </w:rPr>
        <w:t>2. Preference Points.</w:t>
      </w:r>
    </w:p>
    <w:p w:rsidR="007C25FE" w:rsidRDefault="007C25FE">
      <w:pPr>
        <w:spacing w:before="3" w:after="914" w:line="271" w:lineRule="exact"/>
        <w:sectPr w:rsidR="007C25FE">
          <w:pgSz w:w="12240" w:h="15840"/>
          <w:pgMar w:top="1460" w:right="1406" w:bottom="304" w:left="1377" w:header="720" w:footer="720" w:gutter="0"/>
          <w:cols w:space="720"/>
        </w:sectPr>
      </w:pPr>
    </w:p>
    <w:p w:rsidR="007C25FE" w:rsidRDefault="00AB77A8">
      <w:pPr>
        <w:spacing w:before="3" w:line="271" w:lineRule="exact"/>
        <w:textAlignment w:val="baseline"/>
        <w:rPr>
          <w:rFonts w:eastAsia="Times New Roman"/>
          <w:color w:val="000000"/>
          <w:spacing w:val="-13"/>
          <w:sz w:val="24"/>
        </w:rPr>
      </w:pPr>
      <w:r>
        <w:rPr>
          <w:rFonts w:eastAsia="Times New Roman"/>
          <w:color w:val="000000"/>
          <w:spacing w:val="-13"/>
          <w:sz w:val="24"/>
        </w:rPr>
        <w:t>39 of 49</w:t>
      </w:r>
    </w:p>
    <w:p w:rsidR="007C25FE" w:rsidRDefault="007C25FE">
      <w:pPr>
        <w:sectPr w:rsidR="007C25FE">
          <w:type w:val="continuous"/>
          <w:pgSz w:w="12240" w:h="15840"/>
          <w:pgMar w:top="1460" w:right="1438" w:bottom="304" w:left="10002" w:header="720" w:footer="720" w:gutter="0"/>
          <w:cols w:space="720"/>
        </w:sectPr>
      </w:pPr>
    </w:p>
    <w:p w:rsidR="007C25FE" w:rsidRDefault="00AB77A8">
      <w:pPr>
        <w:spacing w:before="3" w:line="276" w:lineRule="exact"/>
        <w:ind w:left="72" w:right="144"/>
        <w:jc w:val="both"/>
        <w:textAlignment w:val="baseline"/>
        <w:rPr>
          <w:rFonts w:eastAsia="Times New Roman"/>
          <w:color w:val="000000"/>
          <w:sz w:val="24"/>
        </w:rPr>
      </w:pPr>
      <w:r>
        <w:rPr>
          <w:rFonts w:eastAsia="Times New Roman"/>
          <w:color w:val="000000"/>
          <w:sz w:val="24"/>
        </w:rPr>
        <w:t>HUD encourages activities in Promise Zones (PZ) communities. HUD will award two (2) points for qualified activities within a designated zone or area.</w:t>
      </w:r>
    </w:p>
    <w:p w:rsidR="007C25FE" w:rsidRDefault="00AB77A8">
      <w:pPr>
        <w:spacing w:before="3" w:after="418" w:line="276" w:lineRule="exact"/>
        <w:ind w:left="72" w:right="360"/>
        <w:textAlignment w:val="baseline"/>
        <w:rPr>
          <w:rFonts w:eastAsia="Times New Roman"/>
          <w:color w:val="000000"/>
          <w:sz w:val="24"/>
        </w:rPr>
      </w:pPr>
      <w:r>
        <w:rPr>
          <w:rFonts w:eastAsia="Times New Roman"/>
          <w:color w:val="000000"/>
          <w:sz w:val="24"/>
        </w:rPr>
        <w:t>To receive Promise Zones Preference Points, applicants must submit form HUD 50153, Certification of Consistency with Promise Zone Goals and Implementation, signed by the Promise Zone Official authorized to certify the project meets the criteria to receive preference points. To view the list of designated Promise Zones and persons authorized to certify, please see the Promise Zone pages on</w:t>
      </w:r>
      <w:r>
        <w:rPr>
          <w:rFonts w:eastAsia="Times New Roman"/>
          <w:color w:val="0000EE"/>
          <w:sz w:val="24"/>
          <w:u w:val="single"/>
        </w:rPr>
        <w:t xml:space="preserve"> HUD's website.</w:t>
      </w:r>
    </w:p>
    <w:p w:rsidR="007C25FE" w:rsidRDefault="00AB77A8">
      <w:pPr>
        <w:shd w:val="solid" w:color="E0E0E0" w:fill="E0E0E0"/>
        <w:spacing w:after="30" w:line="273" w:lineRule="exact"/>
        <w:ind w:left="72"/>
        <w:textAlignment w:val="baseline"/>
        <w:rPr>
          <w:rFonts w:eastAsia="Times New Roman"/>
          <w:b/>
          <w:color w:val="000000"/>
          <w:sz w:val="24"/>
        </w:rPr>
      </w:pPr>
      <w:r>
        <w:rPr>
          <w:rFonts w:eastAsia="Times New Roman"/>
          <w:b/>
          <w:color w:val="000000"/>
          <w:sz w:val="24"/>
        </w:rPr>
        <w:t>B. Review and Selection Process.</w:t>
      </w:r>
    </w:p>
    <w:p w:rsidR="007C25FE" w:rsidRDefault="00AB77A8">
      <w:pPr>
        <w:spacing w:before="3" w:line="273" w:lineRule="exact"/>
        <w:ind w:left="72"/>
        <w:textAlignment w:val="baseline"/>
        <w:rPr>
          <w:rFonts w:eastAsia="Times New Roman"/>
          <w:b/>
          <w:color w:val="000000"/>
          <w:sz w:val="24"/>
        </w:rPr>
      </w:pPr>
      <w:r>
        <w:rPr>
          <w:rFonts w:eastAsia="Times New Roman"/>
          <w:b/>
          <w:color w:val="000000"/>
          <w:sz w:val="24"/>
        </w:rPr>
        <w:t>1. Past Performance</w:t>
      </w:r>
    </w:p>
    <w:p w:rsidR="007C25FE" w:rsidRDefault="00AB77A8">
      <w:pPr>
        <w:spacing w:before="2" w:line="276" w:lineRule="exact"/>
        <w:ind w:left="72"/>
        <w:textAlignment w:val="baseline"/>
        <w:rPr>
          <w:rFonts w:eastAsia="Times New Roman"/>
          <w:color w:val="000000"/>
          <w:sz w:val="24"/>
        </w:rPr>
      </w:pPr>
      <w:r>
        <w:rPr>
          <w:rFonts w:eastAsia="Times New Roman"/>
          <w:color w:val="000000"/>
          <w:sz w:val="24"/>
        </w:rPr>
        <w:t>In evaluating applications for funding, HUD will take into account an applicant’s past</w:t>
      </w:r>
    </w:p>
    <w:p w:rsidR="007C25FE" w:rsidRDefault="00AB77A8">
      <w:pPr>
        <w:spacing w:line="273" w:lineRule="exact"/>
        <w:ind w:left="72"/>
        <w:textAlignment w:val="baseline"/>
        <w:rPr>
          <w:rFonts w:eastAsia="Times New Roman"/>
          <w:color w:val="000000"/>
          <w:sz w:val="24"/>
        </w:rPr>
      </w:pPr>
      <w:r>
        <w:rPr>
          <w:rFonts w:eastAsia="Times New Roman"/>
          <w:color w:val="000000"/>
          <w:sz w:val="24"/>
        </w:rPr>
        <w:t>performance in managing funds. Items HUD may consider include, but are not limited to:</w:t>
      </w:r>
    </w:p>
    <w:p w:rsidR="007C25FE" w:rsidRDefault="00AB77A8">
      <w:pPr>
        <w:numPr>
          <w:ilvl w:val="0"/>
          <w:numId w:val="42"/>
        </w:numPr>
        <w:tabs>
          <w:tab w:val="clear" w:pos="216"/>
          <w:tab w:val="left" w:pos="288"/>
        </w:tabs>
        <w:spacing w:before="3" w:line="276" w:lineRule="exact"/>
        <w:ind w:left="72"/>
        <w:textAlignment w:val="baseline"/>
        <w:rPr>
          <w:rFonts w:eastAsia="Times New Roman"/>
          <w:color w:val="000000"/>
          <w:sz w:val="24"/>
        </w:rPr>
      </w:pPr>
      <w:r>
        <w:rPr>
          <w:rFonts w:eastAsia="Times New Roman"/>
          <w:color w:val="000000"/>
          <w:sz w:val="24"/>
        </w:rPr>
        <w:t>The ability to account for funds appropriately;</w:t>
      </w:r>
    </w:p>
    <w:p w:rsidR="007C25FE" w:rsidRDefault="00AB77A8">
      <w:pPr>
        <w:numPr>
          <w:ilvl w:val="0"/>
          <w:numId w:val="42"/>
        </w:numPr>
        <w:tabs>
          <w:tab w:val="clear" w:pos="216"/>
          <w:tab w:val="left" w:pos="288"/>
        </w:tabs>
        <w:spacing w:line="273" w:lineRule="exact"/>
        <w:ind w:left="72"/>
        <w:textAlignment w:val="baseline"/>
        <w:rPr>
          <w:rFonts w:eastAsia="Times New Roman"/>
          <w:color w:val="000000"/>
          <w:sz w:val="24"/>
        </w:rPr>
      </w:pPr>
      <w:r>
        <w:rPr>
          <w:rFonts w:eastAsia="Times New Roman"/>
          <w:color w:val="000000"/>
          <w:sz w:val="24"/>
        </w:rPr>
        <w:t>Timely use of funds received from HUD;</w:t>
      </w:r>
    </w:p>
    <w:p w:rsidR="007C25FE" w:rsidRDefault="00AB77A8">
      <w:pPr>
        <w:numPr>
          <w:ilvl w:val="0"/>
          <w:numId w:val="42"/>
        </w:numPr>
        <w:tabs>
          <w:tab w:val="clear" w:pos="216"/>
          <w:tab w:val="left" w:pos="288"/>
        </w:tabs>
        <w:spacing w:before="3" w:line="276" w:lineRule="exact"/>
        <w:ind w:left="72"/>
        <w:textAlignment w:val="baseline"/>
        <w:rPr>
          <w:rFonts w:eastAsia="Times New Roman"/>
          <w:color w:val="000000"/>
          <w:sz w:val="24"/>
        </w:rPr>
      </w:pPr>
      <w:r>
        <w:rPr>
          <w:rFonts w:eastAsia="Times New Roman"/>
          <w:color w:val="000000"/>
          <w:sz w:val="24"/>
        </w:rPr>
        <w:t>Timely submission and quality of reports submitted to HUD;</w:t>
      </w:r>
    </w:p>
    <w:p w:rsidR="007C25FE" w:rsidRDefault="00AB77A8">
      <w:pPr>
        <w:numPr>
          <w:ilvl w:val="0"/>
          <w:numId w:val="42"/>
        </w:numPr>
        <w:tabs>
          <w:tab w:val="clear" w:pos="216"/>
          <w:tab w:val="left" w:pos="288"/>
        </w:tabs>
        <w:spacing w:line="273" w:lineRule="exact"/>
        <w:ind w:left="72"/>
        <w:textAlignment w:val="baseline"/>
        <w:rPr>
          <w:rFonts w:eastAsia="Times New Roman"/>
          <w:color w:val="000000"/>
          <w:sz w:val="24"/>
        </w:rPr>
      </w:pPr>
      <w:r>
        <w:rPr>
          <w:rFonts w:eastAsia="Times New Roman"/>
          <w:color w:val="000000"/>
          <w:sz w:val="24"/>
        </w:rPr>
        <w:t>Meeting program requirements;</w:t>
      </w:r>
    </w:p>
    <w:p w:rsidR="007C25FE" w:rsidRDefault="00AB77A8">
      <w:pPr>
        <w:numPr>
          <w:ilvl w:val="0"/>
          <w:numId w:val="42"/>
        </w:numPr>
        <w:tabs>
          <w:tab w:val="clear" w:pos="216"/>
          <w:tab w:val="left" w:pos="288"/>
        </w:tabs>
        <w:spacing w:before="3" w:line="276" w:lineRule="exact"/>
        <w:ind w:left="72"/>
        <w:textAlignment w:val="baseline"/>
        <w:rPr>
          <w:rFonts w:eastAsia="Times New Roman"/>
          <w:color w:val="000000"/>
          <w:sz w:val="24"/>
        </w:rPr>
      </w:pPr>
      <w:r>
        <w:rPr>
          <w:rFonts w:eastAsia="Times New Roman"/>
          <w:color w:val="000000"/>
          <w:sz w:val="24"/>
        </w:rPr>
        <w:t>Meeting performance targets as established in the grant agreement;</w:t>
      </w:r>
    </w:p>
    <w:p w:rsidR="007C25FE" w:rsidRDefault="00AB77A8">
      <w:pPr>
        <w:numPr>
          <w:ilvl w:val="0"/>
          <w:numId w:val="42"/>
        </w:numPr>
        <w:tabs>
          <w:tab w:val="clear" w:pos="216"/>
          <w:tab w:val="left" w:pos="288"/>
        </w:tabs>
        <w:spacing w:line="273" w:lineRule="exact"/>
        <w:ind w:left="72"/>
        <w:textAlignment w:val="baseline"/>
        <w:rPr>
          <w:rFonts w:eastAsia="Times New Roman"/>
          <w:color w:val="000000"/>
          <w:sz w:val="24"/>
        </w:rPr>
      </w:pPr>
      <w:r>
        <w:rPr>
          <w:rFonts w:eastAsia="Times New Roman"/>
          <w:color w:val="000000"/>
          <w:sz w:val="24"/>
        </w:rPr>
        <w:t>The applicant’s organizational capacity, including staffing structures and capabilities;</w:t>
      </w:r>
    </w:p>
    <w:p w:rsidR="007C25FE" w:rsidRDefault="00AB77A8">
      <w:pPr>
        <w:numPr>
          <w:ilvl w:val="0"/>
          <w:numId w:val="42"/>
        </w:numPr>
        <w:tabs>
          <w:tab w:val="clear" w:pos="216"/>
          <w:tab w:val="left" w:pos="288"/>
        </w:tabs>
        <w:spacing w:line="276" w:lineRule="exact"/>
        <w:ind w:left="72" w:right="216"/>
        <w:textAlignment w:val="baseline"/>
        <w:rPr>
          <w:rFonts w:eastAsia="Times New Roman"/>
          <w:color w:val="000000"/>
          <w:sz w:val="24"/>
        </w:rPr>
      </w:pPr>
      <w:r>
        <w:rPr>
          <w:rFonts w:eastAsia="Times New Roman"/>
          <w:color w:val="000000"/>
          <w:sz w:val="24"/>
        </w:rPr>
        <w:t>Time-lines for completion of activities and receipt of promised matching or leveraged funds; and</w:t>
      </w:r>
    </w:p>
    <w:p w:rsidR="007C25FE" w:rsidRDefault="00AB77A8">
      <w:pPr>
        <w:numPr>
          <w:ilvl w:val="0"/>
          <w:numId w:val="42"/>
        </w:numPr>
        <w:tabs>
          <w:tab w:val="clear" w:pos="216"/>
          <w:tab w:val="left" w:pos="288"/>
        </w:tabs>
        <w:spacing w:before="3" w:line="276" w:lineRule="exact"/>
        <w:ind w:left="72"/>
        <w:textAlignment w:val="baseline"/>
        <w:rPr>
          <w:rFonts w:eastAsia="Times New Roman"/>
          <w:color w:val="000000"/>
          <w:sz w:val="24"/>
        </w:rPr>
      </w:pPr>
      <w:r>
        <w:rPr>
          <w:rFonts w:eastAsia="Times New Roman"/>
          <w:color w:val="000000"/>
          <w:sz w:val="24"/>
        </w:rPr>
        <w:t>The number of persons to be served or targeted for assistance.</w:t>
      </w:r>
    </w:p>
    <w:p w:rsidR="007C25FE" w:rsidRDefault="00AB77A8">
      <w:pPr>
        <w:spacing w:line="275" w:lineRule="exact"/>
        <w:ind w:left="72" w:right="216"/>
        <w:textAlignment w:val="baseline"/>
        <w:rPr>
          <w:rFonts w:eastAsia="Times New Roman"/>
          <w:color w:val="000000"/>
          <w:sz w:val="24"/>
        </w:rPr>
      </w:pPr>
      <w:r>
        <w:rPr>
          <w:rFonts w:eastAsia="Times New Roman"/>
          <w:color w:val="000000"/>
          <w:sz w:val="24"/>
        </w:rPr>
        <w:t>HUD may deduct points from the rating score or establish threshold levels as specified under the Factors for Award in the NOFA. Each NOFA will specify how past performance will be rated or otherwise used in the determination of award amounts. Whenever possible, HUD will obtain past performance information from staff with the greatest knowledge and understanding of each applicant’s performance. If this evaluation results in an adverse finding related to integrity or performance, HUD reserves the right to take any of the remedies provided in Section III.D 1. Pre-selection Review of Performance, above.</w:t>
      </w:r>
    </w:p>
    <w:p w:rsidR="007C25FE" w:rsidRDefault="00AB77A8">
      <w:pPr>
        <w:spacing w:before="300" w:after="57" w:line="273" w:lineRule="exact"/>
        <w:ind w:left="72"/>
        <w:textAlignment w:val="baseline"/>
        <w:rPr>
          <w:rFonts w:eastAsia="Times New Roman"/>
          <w:b/>
          <w:color w:val="000000"/>
          <w:sz w:val="24"/>
        </w:rPr>
      </w:pPr>
      <w:r>
        <w:rPr>
          <w:rFonts w:eastAsia="Times New Roman"/>
          <w:b/>
          <w:color w:val="000000"/>
          <w:sz w:val="24"/>
        </w:rPr>
        <w:t>2. Assessing Applicant Risk</w:t>
      </w:r>
    </w:p>
    <w:p w:rsidR="007C25FE" w:rsidRDefault="00AB77A8">
      <w:pPr>
        <w:spacing w:before="46" w:line="276" w:lineRule="exact"/>
        <w:ind w:left="106" w:right="178"/>
        <w:textAlignment w:val="baseline"/>
        <w:rPr>
          <w:rFonts w:eastAsia="Times New Roman"/>
          <w:b/>
          <w:color w:val="000000"/>
          <w:spacing w:val="1"/>
          <w:sz w:val="24"/>
        </w:rPr>
      </w:pPr>
      <w:r>
        <w:rPr>
          <w:noProof/>
        </w:rPr>
        <mc:AlternateContent>
          <mc:Choice Requires="wps">
            <w:drawing>
              <wp:anchor distT="0" distB="409575" distL="0" distR="0" simplePos="0" relativeHeight="251632640" behindDoc="1" locked="0" layoutInCell="1" allowOverlap="1" wp14:anchorId="6A9F8F86" wp14:editId="065204BD">
                <wp:simplePos x="0" y="0"/>
                <wp:positionH relativeFrom="page">
                  <wp:posOffset>871855</wp:posOffset>
                </wp:positionH>
                <wp:positionV relativeFrom="page">
                  <wp:posOffset>6394450</wp:posOffset>
                </wp:positionV>
                <wp:extent cx="6005195" cy="262763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262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0"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68.65pt;margin-top:503.5pt;width:472.85pt;height:206.9pt;z-index:-251683840;visibility:visible;mso-wrap-style:square;mso-width-percent:0;mso-height-percent:0;mso-wrap-distance-left:0;mso-wrap-distance-top:0;mso-wrap-distance-right:0;mso-wrap-distance-bottom:32.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6jtQIAALQ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" filled="f" stroked="f">
                <v:textbox inset="0,0,0,0">
                  <w:txbxContent>
                    <w:p w:rsidR="007C25FE" w:rsidRDefault="007C25FE">
                      <w:pPr>
                        <w:pBdr>
                          <w:top w:val="single" w:sz="5" w:space="0" w:color="CCCCCC"/>
                          <w:left w:val="single" w:sz="5" w:space="0" w:color="CCCCCC"/>
                          <w:bottom w:val="single" w:sz="5" w:space="0" w:color="CCCCCC"/>
                          <w:right w:val="single" w:sz="5" w:space="0" w:color="CCCCCC"/>
                        </w:pBdr>
                      </w:pPr>
                    </w:p>
                  </w:txbxContent>
                </v:textbox>
                <w10:wrap anchorx="page" anchory="page"/>
              </v:shape>
            </w:pict>
          </mc:Fallback>
        </mc:AlternateContent>
      </w:r>
      <w:r>
        <w:rPr>
          <w:rFonts w:eastAsia="Times New Roman"/>
          <w:b/>
          <w:color w:val="000000"/>
          <w:spacing w:val="1"/>
          <w:sz w:val="24"/>
        </w:rPr>
        <w:t xml:space="preserve">a. Review and Selection Process. </w:t>
      </w:r>
      <w:r>
        <w:rPr>
          <w:rFonts w:eastAsia="Times New Roman"/>
          <w:color w:val="000000"/>
          <w:spacing w:val="1"/>
          <w:sz w:val="24"/>
        </w:rPr>
        <w:t>Two types of reviews will be conducted.</w:t>
      </w:r>
    </w:p>
    <w:p w:rsidR="007C25FE" w:rsidRDefault="00AB77A8">
      <w:pPr>
        <w:numPr>
          <w:ilvl w:val="0"/>
          <w:numId w:val="43"/>
        </w:numPr>
        <w:tabs>
          <w:tab w:val="clear" w:pos="360"/>
          <w:tab w:val="left" w:pos="466"/>
        </w:tabs>
        <w:spacing w:before="119" w:line="276" w:lineRule="exact"/>
        <w:ind w:left="106" w:right="178"/>
        <w:textAlignment w:val="baseline"/>
        <w:rPr>
          <w:rFonts w:eastAsia="Times New Roman"/>
          <w:b/>
          <w:color w:val="000000"/>
          <w:sz w:val="24"/>
        </w:rPr>
      </w:pPr>
      <w:r>
        <w:rPr>
          <w:rFonts w:eastAsia="Times New Roman"/>
          <w:b/>
          <w:color w:val="000000"/>
          <w:sz w:val="24"/>
        </w:rPr>
        <w:t xml:space="preserve">Technical Review. </w:t>
      </w:r>
      <w:r>
        <w:rPr>
          <w:rFonts w:eastAsia="Times New Roman"/>
          <w:color w:val="000000"/>
          <w:sz w:val="24"/>
        </w:rPr>
        <w:t>First, a technical sufficiency review will determine whether each application meets the threshold requirements set forth in this NOFA and whether all required forms have been properly submitted. Section IV.D.4 of this NOFA provides the procedures for corrections to deficient applications.</w:t>
      </w:r>
    </w:p>
    <w:p w:rsidR="007C25FE" w:rsidRDefault="00AB77A8">
      <w:pPr>
        <w:numPr>
          <w:ilvl w:val="0"/>
          <w:numId w:val="43"/>
        </w:numPr>
        <w:tabs>
          <w:tab w:val="clear" w:pos="360"/>
          <w:tab w:val="left" w:pos="466"/>
        </w:tabs>
        <w:spacing w:before="117" w:line="276" w:lineRule="exact"/>
        <w:ind w:left="106" w:right="178"/>
        <w:textAlignment w:val="baseline"/>
        <w:rPr>
          <w:rFonts w:eastAsia="Times New Roman"/>
          <w:b/>
          <w:color w:val="000000"/>
          <w:sz w:val="24"/>
        </w:rPr>
      </w:pPr>
      <w:r>
        <w:rPr>
          <w:rFonts w:eastAsia="Times New Roman"/>
          <w:b/>
          <w:color w:val="000000"/>
          <w:sz w:val="24"/>
        </w:rPr>
        <w:t xml:space="preserve">General Review. </w:t>
      </w:r>
      <w:r>
        <w:rPr>
          <w:rFonts w:eastAsia="Times New Roman"/>
          <w:color w:val="000000"/>
          <w:sz w:val="24"/>
        </w:rPr>
        <w:t>A second review will evaluate the responses to each Rating Factor outlined above and other relevant information. Applications will be evaluated competitively and ranked against all other Applicants that applied in the same funding category.</w:t>
      </w:r>
    </w:p>
    <w:p w:rsidR="007C25FE" w:rsidRDefault="00AB77A8">
      <w:pPr>
        <w:numPr>
          <w:ilvl w:val="0"/>
          <w:numId w:val="43"/>
        </w:numPr>
        <w:tabs>
          <w:tab w:val="clear" w:pos="360"/>
          <w:tab w:val="left" w:pos="466"/>
        </w:tabs>
        <w:spacing w:before="121" w:line="276" w:lineRule="exact"/>
        <w:ind w:left="106" w:right="178"/>
        <w:textAlignment w:val="baseline"/>
        <w:rPr>
          <w:rFonts w:eastAsia="Times New Roman"/>
          <w:b/>
          <w:color w:val="000000"/>
          <w:sz w:val="24"/>
        </w:rPr>
      </w:pPr>
      <w:r>
        <w:rPr>
          <w:rFonts w:eastAsia="Times New Roman"/>
          <w:b/>
          <w:color w:val="000000"/>
          <w:sz w:val="24"/>
        </w:rPr>
        <w:t xml:space="preserve">Rating Panels. </w:t>
      </w:r>
      <w:r>
        <w:rPr>
          <w:rFonts w:eastAsia="Times New Roman"/>
          <w:color w:val="000000"/>
          <w:sz w:val="24"/>
        </w:rPr>
        <w:t>Information on the rating review panels appears in Section III.D.2.h of this NOFA</w:t>
      </w:r>
      <w:r>
        <w:rPr>
          <w:rFonts w:eastAsia="Times New Roman"/>
          <w:b/>
          <w:color w:val="000000"/>
          <w:sz w:val="24"/>
        </w:rPr>
        <w:t>.</w:t>
      </w:r>
    </w:p>
    <w:p w:rsidR="007C25FE" w:rsidRDefault="00AB77A8">
      <w:pPr>
        <w:numPr>
          <w:ilvl w:val="0"/>
          <w:numId w:val="43"/>
        </w:numPr>
        <w:tabs>
          <w:tab w:val="clear" w:pos="360"/>
          <w:tab w:val="left" w:pos="466"/>
        </w:tabs>
        <w:spacing w:before="122" w:after="660" w:line="276" w:lineRule="exact"/>
        <w:ind w:left="106" w:right="178"/>
        <w:textAlignment w:val="baseline"/>
        <w:rPr>
          <w:rFonts w:eastAsia="Times New Roman"/>
          <w:b/>
          <w:color w:val="000000"/>
          <w:spacing w:val="-1"/>
          <w:sz w:val="24"/>
        </w:rPr>
      </w:pPr>
      <w:r>
        <w:rPr>
          <w:rFonts w:eastAsia="Times New Roman"/>
          <w:b/>
          <w:color w:val="000000"/>
          <w:spacing w:val="-1"/>
          <w:sz w:val="24"/>
        </w:rPr>
        <w:t xml:space="preserve">Minimum Fundable Score. </w:t>
      </w:r>
      <w:r>
        <w:rPr>
          <w:rFonts w:eastAsia="Times New Roman"/>
          <w:color w:val="000000"/>
          <w:spacing w:val="-1"/>
          <w:sz w:val="24"/>
        </w:rPr>
        <w:t>All applications will be scored on a 100 point scale, not including preference points, if applicable. Applications that receive a total of 75 points or more will be eligible for grant funds awarded under this NOFA. HUD anticipates making awards to</w:t>
      </w:r>
    </w:p>
    <w:p w:rsidR="007C25FE" w:rsidRDefault="007C25FE">
      <w:pPr>
        <w:spacing w:before="122" w:after="660" w:line="276" w:lineRule="exact"/>
        <w:sectPr w:rsidR="007C25FE">
          <w:pgSz w:w="12240" w:h="15840"/>
          <w:pgMar w:top="1460" w:right="1410" w:bottom="304" w:left="1373"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40 of 49</w:t>
      </w:r>
    </w:p>
    <w:p w:rsidR="007C25FE" w:rsidRDefault="007C25FE">
      <w:pPr>
        <w:sectPr w:rsidR="007C25FE">
          <w:type w:val="continuous"/>
          <w:pgSz w:w="12240" w:h="15840"/>
          <w:pgMar w:top="1460" w:right="1443" w:bottom="304" w:left="9997" w:header="720" w:footer="720" w:gutter="0"/>
          <w:cols w:space="720"/>
        </w:sectPr>
      </w:pPr>
    </w:p>
    <w:p w:rsidR="007C25FE" w:rsidRDefault="00AB77A8">
      <w:pPr>
        <w:spacing w:before="64" w:line="275" w:lineRule="exact"/>
        <w:ind w:left="178" w:right="106"/>
        <w:textAlignment w:val="baseline"/>
        <w:rPr>
          <w:rFonts w:eastAsia="Times New Roman"/>
          <w:color w:val="000000"/>
          <w:sz w:val="24"/>
        </w:rPr>
      </w:pPr>
      <w:r>
        <w:rPr>
          <w:noProof/>
        </w:rPr>
        <mc:AlternateContent>
          <mc:Choice Requires="wps">
            <w:drawing>
              <wp:anchor distT="0" distB="314960" distL="0" distR="0" simplePos="0" relativeHeight="251633664" behindDoc="1" locked="0" layoutInCell="1" allowOverlap="1" wp14:anchorId="138C8035" wp14:editId="101F37EA">
                <wp:simplePos x="0" y="0"/>
                <wp:positionH relativeFrom="page">
                  <wp:posOffset>875030</wp:posOffset>
                </wp:positionH>
                <wp:positionV relativeFrom="page">
                  <wp:posOffset>914400</wp:posOffset>
                </wp:positionV>
                <wp:extent cx="6005195" cy="82022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820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4"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68.9pt;margin-top:1in;width:472.85pt;height:645.85pt;z-index:-251682816;visibility:visible;mso-wrap-style:square;mso-width-percent:0;mso-height-percent:0;mso-wrap-distance-left:0;mso-wrap-distance-top:0;mso-wrap-distance-right:0;mso-wrap-distance-bottom:24.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VDsgIAALQ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" filled="f" stroked="f">
                <v:textbox inset="0,0,0,0">
                  <w:txbxContent>
                    <w:p w:rsidR="007C25FE" w:rsidRDefault="007C25FE">
                      <w:pPr>
                        <w:pBdr>
                          <w:top w:val="single" w:sz="5" w:space="0" w:color="CCCCCC"/>
                          <w:left w:val="single" w:sz="5" w:space="0" w:color="CCCCCC"/>
                          <w:bottom w:val="single" w:sz="5" w:space="24" w:color="CCCCCC"/>
                          <w:right w:val="single" w:sz="5" w:space="0" w:color="CCCCCC"/>
                        </w:pBdr>
                      </w:pPr>
                    </w:p>
                  </w:txbxContent>
                </v:textbox>
                <w10:wrap anchorx="page" anchory="page"/>
              </v:shape>
            </w:pict>
          </mc:Fallback>
        </mc:AlternateContent>
      </w:r>
      <w:r>
        <w:rPr>
          <w:rFonts w:eastAsia="Times New Roman"/>
          <w:color w:val="000000"/>
          <w:sz w:val="24"/>
        </w:rPr>
        <w:t>all Applicants scoring 75 points or greater, however, all awards will be subject to the availability of funds. In the event that available funds are insufficient to provide grants to all Applicants achieving the minimum fundable score, grants will be awarded in rank order from highest-ranking application to lowest-ranking fundable application until all available funds have been distributed.</w:t>
      </w:r>
    </w:p>
    <w:p w:rsidR="007C25FE" w:rsidRDefault="00AB77A8">
      <w:pPr>
        <w:numPr>
          <w:ilvl w:val="0"/>
          <w:numId w:val="44"/>
        </w:numPr>
        <w:tabs>
          <w:tab w:val="clear" w:pos="288"/>
          <w:tab w:val="left" w:pos="466"/>
        </w:tabs>
        <w:spacing w:before="126" w:line="275" w:lineRule="exact"/>
        <w:ind w:left="178" w:right="250"/>
        <w:textAlignment w:val="baseline"/>
        <w:rPr>
          <w:rFonts w:eastAsia="Times New Roman"/>
          <w:b/>
          <w:color w:val="000000"/>
          <w:spacing w:val="-2"/>
          <w:sz w:val="24"/>
        </w:rPr>
      </w:pPr>
      <w:r>
        <w:rPr>
          <w:rFonts w:eastAsia="Times New Roman"/>
          <w:b/>
          <w:color w:val="000000"/>
          <w:spacing w:val="-2"/>
          <w:sz w:val="24"/>
        </w:rPr>
        <w:t xml:space="preserve">Funding Methodology. </w:t>
      </w:r>
      <w:r>
        <w:rPr>
          <w:rFonts w:eastAsia="Times New Roman"/>
          <w:color w:val="000000"/>
          <w:spacing w:val="-2"/>
          <w:sz w:val="24"/>
        </w:rPr>
        <w:t>HUD recognizes that all eligible Applicants already participate in HUD’s Housing Counseling Program and those that met threshold requirements have demonstrated an acceptable level of performance and compliance with programmatic requirements. This methodology awards agencies a base grant amount determined by the size and nature of their counseling networks. The methodology then augments that amount based on performance within HUD’s Housing Counseling Program and other relevant criteria.</w:t>
      </w:r>
    </w:p>
    <w:p w:rsidR="007C25FE" w:rsidRDefault="00AB77A8">
      <w:pPr>
        <w:spacing w:before="127" w:line="275" w:lineRule="exact"/>
        <w:ind w:left="178" w:right="250"/>
        <w:textAlignment w:val="baseline"/>
        <w:rPr>
          <w:rFonts w:eastAsia="Times New Roman"/>
          <w:color w:val="000000"/>
          <w:sz w:val="24"/>
        </w:rPr>
      </w:pPr>
      <w:r>
        <w:rPr>
          <w:rFonts w:eastAsia="Times New Roman"/>
          <w:color w:val="000000"/>
          <w:sz w:val="24"/>
        </w:rPr>
        <w:t>HUD continues to reserve the right to establish maximum award amounts as it has done in the past, and anticipates considering a reduction in the maximum award amount under this NOFA. Applicants may also indicate, but are not required to, a maximum grant request on Chart E1 or E2. This amount, if provided, will also be considered in the funding methodology as a cap in establishing the maximum grant amount for that Applicant.</w:t>
      </w:r>
    </w:p>
    <w:p w:rsidR="007C25FE" w:rsidRDefault="00AB77A8">
      <w:pPr>
        <w:numPr>
          <w:ilvl w:val="0"/>
          <w:numId w:val="44"/>
        </w:numPr>
        <w:tabs>
          <w:tab w:val="clear" w:pos="288"/>
          <w:tab w:val="left" w:pos="466"/>
        </w:tabs>
        <w:spacing w:before="121" w:line="275" w:lineRule="exact"/>
        <w:ind w:left="178" w:right="250"/>
        <w:textAlignment w:val="baseline"/>
        <w:rPr>
          <w:rFonts w:eastAsia="Times New Roman"/>
          <w:color w:val="000000"/>
          <w:sz w:val="24"/>
        </w:rPr>
      </w:pPr>
      <w:r>
        <w:rPr>
          <w:rFonts w:eastAsia="Times New Roman"/>
          <w:color w:val="000000"/>
          <w:sz w:val="24"/>
        </w:rPr>
        <w:t>Although HUD will determine the total Base Award for each grantee, grantees themselves will determine the actual funding amounts to be distributed to Sub-grantees and/or Branches as delineated in their response in Chart A2.</w:t>
      </w:r>
    </w:p>
    <w:p w:rsidR="007C25FE" w:rsidRDefault="00AB77A8">
      <w:pPr>
        <w:numPr>
          <w:ilvl w:val="0"/>
          <w:numId w:val="45"/>
        </w:numPr>
        <w:tabs>
          <w:tab w:val="clear" w:pos="288"/>
          <w:tab w:val="left" w:pos="466"/>
        </w:tabs>
        <w:spacing w:before="126" w:line="275" w:lineRule="exact"/>
        <w:ind w:left="178" w:right="250"/>
        <w:textAlignment w:val="baseline"/>
        <w:rPr>
          <w:rFonts w:eastAsia="Times New Roman"/>
          <w:b/>
          <w:color w:val="000000"/>
          <w:sz w:val="24"/>
          <w:u w:val="single"/>
        </w:rPr>
      </w:pPr>
      <w:r>
        <w:rPr>
          <w:rFonts w:eastAsia="Times New Roman"/>
          <w:b/>
          <w:color w:val="000000"/>
          <w:sz w:val="24"/>
          <w:u w:val="single"/>
        </w:rPr>
        <w:t>Base Award for LHCAs Applying Independently to HUD</w:t>
      </w:r>
      <w:r>
        <w:rPr>
          <w:rFonts w:eastAsia="Times New Roman"/>
          <w:color w:val="000000"/>
          <w:sz w:val="26"/>
          <w:u w:val="single"/>
        </w:rPr>
        <w:t>.</w:t>
      </w:r>
      <w:r>
        <w:rPr>
          <w:rFonts w:eastAsia="Times New Roman"/>
          <w:color w:val="000000"/>
          <w:sz w:val="24"/>
        </w:rPr>
        <w:t xml:space="preserve"> For this NOFA, the funding formula will provide a Base Award for successful LHCAs applying independently to HUD. LHCAs applying independently are not eligible under this NOFA to make sub-grants. Successful LHCAs applying independently may sub-allocate HUD grant funds to eligible Branch offices, but the funding formula for this NOFA will not provide a Base Award for such Branch offices.</w:t>
      </w:r>
    </w:p>
    <w:p w:rsidR="007C25FE" w:rsidRDefault="00AB77A8">
      <w:pPr>
        <w:numPr>
          <w:ilvl w:val="0"/>
          <w:numId w:val="45"/>
        </w:numPr>
        <w:tabs>
          <w:tab w:val="clear" w:pos="288"/>
          <w:tab w:val="left" w:pos="466"/>
        </w:tabs>
        <w:spacing w:before="129" w:line="275" w:lineRule="exact"/>
        <w:ind w:left="178" w:right="250"/>
        <w:textAlignment w:val="baseline"/>
        <w:rPr>
          <w:rFonts w:eastAsia="Times New Roman"/>
          <w:b/>
          <w:color w:val="000000"/>
          <w:spacing w:val="-2"/>
          <w:sz w:val="24"/>
          <w:u w:val="single"/>
        </w:rPr>
      </w:pPr>
      <w:r>
        <w:rPr>
          <w:rFonts w:eastAsia="Times New Roman"/>
          <w:b/>
          <w:color w:val="000000"/>
          <w:spacing w:val="-2"/>
          <w:sz w:val="24"/>
          <w:u w:val="single"/>
        </w:rPr>
        <w:t>Base Award for Intermediaries, SHFAs and MSOs</w:t>
      </w:r>
      <w:r>
        <w:rPr>
          <w:rFonts w:eastAsia="Times New Roman"/>
          <w:color w:val="000000"/>
          <w:spacing w:val="-2"/>
          <w:sz w:val="26"/>
          <w:u w:val="single"/>
        </w:rPr>
        <w:t>.</w:t>
      </w:r>
      <w:r>
        <w:rPr>
          <w:rFonts w:eastAsia="Times New Roman"/>
          <w:color w:val="000000"/>
          <w:spacing w:val="-2"/>
          <w:sz w:val="24"/>
        </w:rPr>
        <w:t xml:space="preserve"> For successful Applicants that do provide sub-grants or fund Branches, the Base Award will be calculated using the number and nature of the Applicant’s proposed Sub-grantees and Branches. For successful Applicants that provide direct counseling services at the Applicant’s main office, HUD will count the main office as another Sub-grantee or Branch for the purpose of this calculation. To receive a base award under the funding methodology for this NOFA, a Branch office must be open to provide housing counseling services to a minimum of thirty (30) clients per year.</w:t>
      </w:r>
    </w:p>
    <w:p w:rsidR="007C25FE" w:rsidRDefault="00AB77A8">
      <w:pPr>
        <w:numPr>
          <w:ilvl w:val="0"/>
          <w:numId w:val="45"/>
        </w:numPr>
        <w:tabs>
          <w:tab w:val="clear" w:pos="288"/>
          <w:tab w:val="left" w:pos="466"/>
        </w:tabs>
        <w:spacing w:before="121" w:line="275" w:lineRule="exact"/>
        <w:ind w:left="178" w:right="250"/>
        <w:textAlignment w:val="baseline"/>
        <w:rPr>
          <w:rFonts w:eastAsia="Times New Roman"/>
          <w:b/>
          <w:color w:val="000000"/>
          <w:sz w:val="24"/>
          <w:u w:val="single"/>
        </w:rPr>
      </w:pPr>
      <w:r>
        <w:rPr>
          <w:rFonts w:eastAsia="Times New Roman"/>
          <w:b/>
          <w:color w:val="000000"/>
          <w:sz w:val="24"/>
          <w:u w:val="single"/>
        </w:rPr>
        <w:t>Competitive Funding Amount.</w:t>
      </w:r>
      <w:r>
        <w:rPr>
          <w:rFonts w:eastAsia="Times New Roman"/>
          <w:color w:val="000000"/>
          <w:sz w:val="24"/>
        </w:rPr>
        <w:t xml:space="preserve"> If sufficient funding is available, a percentage of the highest scoring submissions may receive incentive funding on top of the base funding based on the score of the Applicants.</w:t>
      </w:r>
    </w:p>
    <w:p w:rsidR="007C25FE" w:rsidRDefault="00AB77A8">
      <w:pPr>
        <w:numPr>
          <w:ilvl w:val="0"/>
          <w:numId w:val="45"/>
        </w:numPr>
        <w:tabs>
          <w:tab w:val="clear" w:pos="288"/>
          <w:tab w:val="left" w:pos="466"/>
        </w:tabs>
        <w:spacing w:before="127" w:line="275" w:lineRule="exact"/>
        <w:ind w:left="178" w:right="106"/>
        <w:textAlignment w:val="baseline"/>
        <w:rPr>
          <w:rFonts w:eastAsia="Times New Roman"/>
          <w:b/>
          <w:color w:val="000000"/>
          <w:spacing w:val="-1"/>
          <w:sz w:val="24"/>
          <w:u w:val="single"/>
        </w:rPr>
      </w:pPr>
      <w:r>
        <w:rPr>
          <w:rFonts w:eastAsia="Times New Roman"/>
          <w:b/>
          <w:color w:val="000000"/>
          <w:spacing w:val="-1"/>
          <w:sz w:val="24"/>
          <w:u w:val="single"/>
        </w:rPr>
        <w:t>Funding Based on Number of Counselor FTEs</w:t>
      </w:r>
      <w:r>
        <w:rPr>
          <w:rFonts w:eastAsia="Times New Roman"/>
          <w:color w:val="000000"/>
          <w:spacing w:val="-1"/>
          <w:sz w:val="26"/>
          <w:u w:val="single"/>
        </w:rPr>
        <w:t>.</w:t>
      </w:r>
      <w:r>
        <w:rPr>
          <w:rFonts w:eastAsia="Times New Roman"/>
          <w:color w:val="000000"/>
          <w:spacing w:val="-1"/>
          <w:sz w:val="24"/>
        </w:rPr>
        <w:t xml:space="preserve"> HUD may augment the Base Award with additional funds for successful Applicants based on the number of FTEs that provide direct housing counseling services as of September 30, 2017. For successful Applicants that provide direct counseling services at the Applicant’s main office, Applicant may count the number of housing counselor FTEs at the main office and at the offices of Sub-grantees and/or Branches.</w:t>
      </w:r>
    </w:p>
    <w:p w:rsidR="007C25FE" w:rsidRDefault="00AB77A8">
      <w:pPr>
        <w:numPr>
          <w:ilvl w:val="0"/>
          <w:numId w:val="45"/>
        </w:numPr>
        <w:tabs>
          <w:tab w:val="clear" w:pos="288"/>
          <w:tab w:val="left" w:pos="466"/>
        </w:tabs>
        <w:spacing w:before="121" w:after="525" w:line="275" w:lineRule="exact"/>
        <w:ind w:left="178" w:right="250"/>
        <w:textAlignment w:val="baseline"/>
        <w:rPr>
          <w:rFonts w:eastAsia="Times New Roman"/>
          <w:b/>
          <w:color w:val="000000"/>
          <w:spacing w:val="-1"/>
          <w:sz w:val="24"/>
          <w:u w:val="single"/>
        </w:rPr>
      </w:pPr>
      <w:r>
        <w:rPr>
          <w:rFonts w:eastAsia="Times New Roman"/>
          <w:b/>
          <w:color w:val="000000"/>
          <w:spacing w:val="-1"/>
          <w:sz w:val="24"/>
          <w:u w:val="single"/>
        </w:rPr>
        <w:t>Funding to Provide Support to a Network</w:t>
      </w:r>
      <w:r>
        <w:rPr>
          <w:rFonts w:eastAsia="Times New Roman"/>
          <w:color w:val="000000"/>
          <w:spacing w:val="-1"/>
          <w:sz w:val="26"/>
          <w:u w:val="single"/>
        </w:rPr>
        <w:t>.</w:t>
      </w:r>
      <w:r>
        <w:rPr>
          <w:rFonts w:eastAsia="Times New Roman"/>
          <w:color w:val="000000"/>
          <w:spacing w:val="-1"/>
          <w:sz w:val="24"/>
        </w:rPr>
        <w:t xml:space="preserve"> HUD may augment the Base Award with additional funds for successful Applicants that are Intermediaries, SHFAs, or MSOs, that sub-allocate funding to Sub-grantees and/or Branches, including for oversight and quality control</w:t>
      </w:r>
    </w:p>
    <w:p w:rsidR="007C25FE" w:rsidRDefault="007C25FE">
      <w:pPr>
        <w:spacing w:before="121" w:after="525" w:line="275" w:lineRule="exact"/>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41 of 49</w:t>
      </w:r>
    </w:p>
    <w:p w:rsidR="007C25FE" w:rsidRDefault="007C25FE">
      <w:pPr>
        <w:sectPr w:rsidR="007C25FE">
          <w:type w:val="continuous"/>
          <w:pgSz w:w="12240" w:h="15840"/>
          <w:pgMar w:top="1440" w:right="1443" w:bottom="304" w:left="9997" w:header="720" w:footer="720" w:gutter="0"/>
          <w:cols w:space="720"/>
        </w:sectPr>
      </w:pPr>
    </w:p>
    <w:p w:rsidR="007C25FE" w:rsidRDefault="00AB77A8">
      <w:pPr>
        <w:spacing w:before="49" w:line="276" w:lineRule="exact"/>
        <w:ind w:left="144" w:right="144"/>
        <w:textAlignment w:val="baseline"/>
        <w:rPr>
          <w:rFonts w:eastAsia="Times New Roman"/>
          <w:color w:val="000000"/>
          <w:sz w:val="24"/>
        </w:rPr>
      </w:pPr>
      <w:r>
        <w:rPr>
          <w:noProof/>
        </w:rPr>
        <mc:AlternateContent>
          <mc:Choice Requires="wps">
            <w:drawing>
              <wp:anchor distT="0" distB="0" distL="114300" distR="114300" simplePos="0" relativeHeight="251684864" behindDoc="0" locked="0" layoutInCell="1" allowOverlap="1" wp14:anchorId="18B0CA80" wp14:editId="515556B5">
                <wp:simplePos x="0" y="0"/>
                <wp:positionH relativeFrom="page">
                  <wp:posOffset>871855</wp:posOffset>
                </wp:positionH>
                <wp:positionV relativeFrom="page">
                  <wp:posOffset>914400</wp:posOffset>
                </wp:positionV>
                <wp:extent cx="6005195"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DA51D5" id="Line 20"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1in" to="541.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QF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" strokecolor="#ccc" strokeweight=".7pt">
                <w10:wrap anchorx="page" anchory="page"/>
              </v:line>
            </w:pict>
          </mc:Fallback>
        </mc:AlternateContent>
      </w:r>
      <w:r>
        <w:rPr>
          <w:noProof/>
        </w:rPr>
        <mc:AlternateContent>
          <mc:Choice Requires="wps">
            <w:drawing>
              <wp:anchor distT="0" distB="0" distL="114300" distR="114300" simplePos="0" relativeHeight="251685888" behindDoc="0" locked="0" layoutInCell="1" allowOverlap="1" wp14:anchorId="51EC3F29" wp14:editId="6F3FE6D3">
                <wp:simplePos x="0" y="0"/>
                <wp:positionH relativeFrom="page">
                  <wp:posOffset>871855</wp:posOffset>
                </wp:positionH>
                <wp:positionV relativeFrom="page">
                  <wp:posOffset>8476615</wp:posOffset>
                </wp:positionV>
                <wp:extent cx="6005195"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C37D0" id="Line 19"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667.45pt" to="541.5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cdHg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" strokecolor="#ccc" strokeweight=".7pt">
                <w10:wrap anchorx="page" anchory="page"/>
              </v:line>
            </w:pict>
          </mc:Fallback>
        </mc:AlternateContent>
      </w:r>
      <w:r>
        <w:rPr>
          <w:noProof/>
        </w:rPr>
        <mc:AlternateContent>
          <mc:Choice Requires="wps">
            <w:drawing>
              <wp:anchor distT="0" distB="0" distL="114300" distR="114300" simplePos="0" relativeHeight="251686912" behindDoc="0" locked="0" layoutInCell="1" allowOverlap="1" wp14:anchorId="0187322E" wp14:editId="3A9CB60D">
                <wp:simplePos x="0" y="0"/>
                <wp:positionH relativeFrom="page">
                  <wp:posOffset>871855</wp:posOffset>
                </wp:positionH>
                <wp:positionV relativeFrom="page">
                  <wp:posOffset>914400</wp:posOffset>
                </wp:positionV>
                <wp:extent cx="0" cy="7562215"/>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21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EBEA6" id="Line 18"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1in" to="68.65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" strokecolor="#ccc" strokeweight=".7pt">
                <w10:wrap anchorx="page" anchory="page"/>
              </v:line>
            </w:pict>
          </mc:Fallback>
        </mc:AlternateContent>
      </w:r>
      <w:r>
        <w:rPr>
          <w:noProof/>
        </w:rPr>
        <mc:AlternateContent>
          <mc:Choice Requires="wps">
            <w:drawing>
              <wp:anchor distT="0" distB="0" distL="114300" distR="114300" simplePos="0" relativeHeight="251687936" behindDoc="0" locked="0" layoutInCell="1" allowOverlap="1" wp14:anchorId="2900D210" wp14:editId="1F877DBD">
                <wp:simplePos x="0" y="0"/>
                <wp:positionH relativeFrom="page">
                  <wp:posOffset>6877050</wp:posOffset>
                </wp:positionH>
                <wp:positionV relativeFrom="page">
                  <wp:posOffset>914400</wp:posOffset>
                </wp:positionV>
                <wp:extent cx="0" cy="7562215"/>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215"/>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63145" id="Line 17"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5pt,1in" to="541.5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6PHgIAAEMEAAAOAAAAZHJzL2Uyb0RvYy54bWysU12v2iAYvl+y/0C417ZOP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" strokecolor="#ccc" strokeweight=".7pt">
                <w10:wrap anchorx="page" anchory="page"/>
              </v:line>
            </w:pict>
          </mc:Fallback>
        </mc:AlternateContent>
      </w:r>
      <w:r>
        <w:rPr>
          <w:rFonts w:eastAsia="Times New Roman"/>
          <w:color w:val="000000"/>
          <w:sz w:val="24"/>
        </w:rPr>
        <w:t>activities. In determining the level of funding to provide support for a network, HUD may base a portion of this calculation on an Applicant's plan to review members of its network utilizing the HUD-9910 form and share review results and follow-up actions with HUD.</w:t>
      </w:r>
    </w:p>
    <w:p w:rsidR="007C25FE" w:rsidRDefault="00AB77A8">
      <w:pPr>
        <w:spacing w:before="120" w:line="275" w:lineRule="exact"/>
        <w:ind w:left="144" w:right="288"/>
        <w:textAlignment w:val="baseline"/>
        <w:rPr>
          <w:rFonts w:eastAsia="Times New Roman"/>
          <w:b/>
          <w:color w:val="000000"/>
          <w:sz w:val="24"/>
        </w:rPr>
      </w:pPr>
      <w:r>
        <w:rPr>
          <w:rFonts w:eastAsia="Times New Roman"/>
          <w:b/>
          <w:color w:val="000000"/>
          <w:sz w:val="24"/>
        </w:rPr>
        <w:t xml:space="preserve">(f) </w:t>
      </w:r>
      <w:r>
        <w:rPr>
          <w:rFonts w:eastAsia="Times New Roman"/>
          <w:b/>
          <w:color w:val="000000"/>
          <w:sz w:val="24"/>
          <w:u w:val="single"/>
        </w:rPr>
        <w:t>Funding for Reverse Mortgage Counseling.</w:t>
      </w:r>
      <w:r>
        <w:rPr>
          <w:rFonts w:eastAsia="Times New Roman"/>
          <w:color w:val="000000"/>
          <w:sz w:val="24"/>
        </w:rPr>
        <w:t xml:space="preserve"> Successful Applicants that are awarded a Comprehensive Counseling grant are eligible to receive funding for reverse mortgage counseling. The award amount will be calculated based on the number of HUD HECM Roster Counselors to be funded and average time per HECM client served.</w:t>
      </w:r>
    </w:p>
    <w:p w:rsidR="007C25FE" w:rsidRDefault="00AB77A8">
      <w:pPr>
        <w:numPr>
          <w:ilvl w:val="0"/>
          <w:numId w:val="46"/>
        </w:numPr>
        <w:tabs>
          <w:tab w:val="clear" w:pos="288"/>
          <w:tab w:val="left" w:pos="432"/>
        </w:tabs>
        <w:spacing w:before="122" w:line="276" w:lineRule="exact"/>
        <w:ind w:left="144" w:right="144"/>
        <w:textAlignment w:val="baseline"/>
        <w:rPr>
          <w:rFonts w:eastAsia="Times New Roman"/>
          <w:b/>
          <w:color w:val="000000"/>
          <w:sz w:val="24"/>
        </w:rPr>
      </w:pPr>
      <w:r>
        <w:rPr>
          <w:rFonts w:eastAsia="Times New Roman"/>
          <w:b/>
          <w:color w:val="000000"/>
          <w:sz w:val="24"/>
        </w:rPr>
        <w:t>Reallocation of Unallocated Funds</w:t>
      </w:r>
      <w:r>
        <w:rPr>
          <w:rFonts w:eastAsia="Times New Roman"/>
          <w:color w:val="000000"/>
          <w:sz w:val="24"/>
        </w:rPr>
        <w:t>. If funds designated for this NOFA remain unallocated after the formulas have been run and award recommendations are determined, HUD may, at its discretion, reallocate those funds to FY 2018 Housing Counseling Training grants, FY 2019 Comprehensive Housing Counseling awards issued under the FY 2018 – 2019 NOFA, or any other allowable use.</w:t>
      </w:r>
    </w:p>
    <w:p w:rsidR="007C25FE" w:rsidRDefault="00AB77A8">
      <w:pPr>
        <w:numPr>
          <w:ilvl w:val="0"/>
          <w:numId w:val="46"/>
        </w:numPr>
        <w:tabs>
          <w:tab w:val="clear" w:pos="288"/>
          <w:tab w:val="left" w:pos="432"/>
        </w:tabs>
        <w:spacing w:before="118" w:line="276" w:lineRule="exact"/>
        <w:ind w:left="144" w:right="216"/>
        <w:textAlignment w:val="baseline"/>
        <w:rPr>
          <w:rFonts w:eastAsia="Times New Roman"/>
          <w:b/>
          <w:color w:val="000000"/>
          <w:sz w:val="24"/>
        </w:rPr>
      </w:pPr>
      <w:r>
        <w:rPr>
          <w:rFonts w:eastAsia="Times New Roman"/>
          <w:b/>
          <w:color w:val="000000"/>
          <w:sz w:val="24"/>
        </w:rPr>
        <w:t xml:space="preserve">Funds Recapture. </w:t>
      </w:r>
      <w:r>
        <w:rPr>
          <w:rFonts w:eastAsia="Times New Roman"/>
          <w:color w:val="000000"/>
          <w:sz w:val="24"/>
        </w:rPr>
        <w:t>HUD may recapture any funds unspent in the time allotted. Grantees are required to cooperate with recapture requests within the time period specified with the request. Should grantees fail to cooperate with recapture requests in a timely fashion, this will be recorded and may affect application scoring in future grant competitions. HUD may also decrease the award amount to the Grantee if changes to the composition of Sub-grantees and Branches or services provided would result in a lower amount than was awarded using the funding methodology stated in the Housing Counseling NOFA and reserves the right to recapture all or part of the resulting grant. Recaptured funds will be awarded to fund any allowable use.</w:t>
      </w:r>
    </w:p>
    <w:p w:rsidR="007C25FE" w:rsidRDefault="00AB77A8">
      <w:pPr>
        <w:numPr>
          <w:ilvl w:val="0"/>
          <w:numId w:val="46"/>
        </w:numPr>
        <w:tabs>
          <w:tab w:val="clear" w:pos="288"/>
          <w:tab w:val="left" w:pos="432"/>
        </w:tabs>
        <w:spacing w:before="122" w:line="276" w:lineRule="exact"/>
        <w:ind w:left="144" w:right="144"/>
        <w:textAlignment w:val="baseline"/>
        <w:rPr>
          <w:rFonts w:eastAsia="Times New Roman"/>
          <w:b/>
          <w:color w:val="000000"/>
          <w:sz w:val="24"/>
        </w:rPr>
      </w:pPr>
      <w:r>
        <w:rPr>
          <w:rFonts w:eastAsia="Times New Roman"/>
          <w:b/>
          <w:color w:val="000000"/>
          <w:sz w:val="24"/>
        </w:rPr>
        <w:t xml:space="preserve">Mergers, Acquisitions and Other Changes in Organizational Structure. </w:t>
      </w:r>
      <w:r>
        <w:rPr>
          <w:rFonts w:eastAsia="Times New Roman"/>
          <w:color w:val="000000"/>
          <w:sz w:val="24"/>
        </w:rPr>
        <w:t>Anticipated mergers, acquisitions, or other changes in Grantee(s) legal or organizational structure must be reported to Grantee’s Point of Contact in HUD’s Office of Housing Counseling. In the case of a simple name change, HUD may make the award in the name of the newly named entity. In the case of a merger, the new or merged entity may be eligible to receive grant funding made to the original Grantee(s), provided they meet certain conditions, including but not necessarily limited to:</w:t>
      </w:r>
    </w:p>
    <w:p w:rsidR="007C25FE" w:rsidRDefault="00AB77A8">
      <w:pPr>
        <w:numPr>
          <w:ilvl w:val="0"/>
          <w:numId w:val="47"/>
        </w:numPr>
        <w:tabs>
          <w:tab w:val="clear" w:pos="288"/>
          <w:tab w:val="left" w:pos="432"/>
        </w:tabs>
        <w:spacing w:before="116" w:line="278" w:lineRule="exact"/>
        <w:ind w:left="144" w:right="720"/>
        <w:textAlignment w:val="baseline"/>
        <w:rPr>
          <w:rFonts w:eastAsia="Times New Roman"/>
          <w:color w:val="000000"/>
          <w:spacing w:val="-2"/>
          <w:sz w:val="24"/>
        </w:rPr>
      </w:pPr>
      <w:r>
        <w:rPr>
          <w:rFonts w:eastAsia="Times New Roman"/>
          <w:color w:val="000000"/>
          <w:spacing w:val="-2"/>
          <w:sz w:val="24"/>
        </w:rPr>
        <w:t>The new or merged entity receives HUD approval as a housing counseling agency and agrees to comply with programmatic requirements, including oversight and reporting;</w:t>
      </w:r>
    </w:p>
    <w:p w:rsidR="007C25FE" w:rsidRDefault="00AB77A8">
      <w:pPr>
        <w:numPr>
          <w:ilvl w:val="0"/>
          <w:numId w:val="47"/>
        </w:numPr>
        <w:tabs>
          <w:tab w:val="clear" w:pos="288"/>
          <w:tab w:val="left" w:pos="432"/>
        </w:tabs>
        <w:spacing w:before="116" w:line="278" w:lineRule="exact"/>
        <w:ind w:left="144" w:right="360"/>
        <w:textAlignment w:val="baseline"/>
        <w:rPr>
          <w:rFonts w:eastAsia="Times New Roman"/>
          <w:color w:val="000000"/>
          <w:spacing w:val="-3"/>
          <w:sz w:val="24"/>
        </w:rPr>
      </w:pPr>
      <w:r>
        <w:rPr>
          <w:rFonts w:eastAsia="Times New Roman"/>
          <w:color w:val="000000"/>
          <w:spacing w:val="-3"/>
          <w:sz w:val="24"/>
        </w:rPr>
        <w:t>The new or merged entity demonstrates that its application and work plan, target community, and personnel involved are substantially similar to that of the original Grantee(s);</w:t>
      </w:r>
    </w:p>
    <w:p w:rsidR="007C25FE" w:rsidRDefault="00AB77A8">
      <w:pPr>
        <w:numPr>
          <w:ilvl w:val="0"/>
          <w:numId w:val="47"/>
        </w:numPr>
        <w:tabs>
          <w:tab w:val="clear" w:pos="288"/>
          <w:tab w:val="left" w:pos="432"/>
        </w:tabs>
        <w:spacing w:before="116" w:line="278" w:lineRule="exact"/>
        <w:ind w:left="144" w:right="360"/>
        <w:textAlignment w:val="baseline"/>
        <w:rPr>
          <w:rFonts w:eastAsia="Times New Roman"/>
          <w:color w:val="000000"/>
          <w:sz w:val="24"/>
        </w:rPr>
      </w:pPr>
      <w:r>
        <w:rPr>
          <w:rFonts w:eastAsia="Times New Roman"/>
          <w:color w:val="000000"/>
          <w:sz w:val="24"/>
        </w:rPr>
        <w:t>The newly named entity has a DUNS identifier, has registered in SAM and has passed the IRS check conducted as part of the SAM registration process;</w:t>
      </w:r>
    </w:p>
    <w:p w:rsidR="007C25FE" w:rsidRDefault="00AB77A8">
      <w:pPr>
        <w:numPr>
          <w:ilvl w:val="0"/>
          <w:numId w:val="47"/>
        </w:numPr>
        <w:tabs>
          <w:tab w:val="clear" w:pos="288"/>
          <w:tab w:val="left" w:pos="432"/>
        </w:tabs>
        <w:spacing w:before="122" w:line="272" w:lineRule="exact"/>
        <w:ind w:left="144"/>
        <w:textAlignment w:val="baseline"/>
        <w:rPr>
          <w:rFonts w:eastAsia="Times New Roman"/>
          <w:color w:val="000000"/>
          <w:sz w:val="24"/>
        </w:rPr>
      </w:pPr>
      <w:r>
        <w:rPr>
          <w:rFonts w:eastAsia="Times New Roman"/>
          <w:color w:val="000000"/>
          <w:sz w:val="24"/>
        </w:rPr>
        <w:t>The Name Check review process has been conducted for the proposed new awardee;</w:t>
      </w:r>
    </w:p>
    <w:p w:rsidR="007C25FE" w:rsidRDefault="00AB77A8">
      <w:pPr>
        <w:numPr>
          <w:ilvl w:val="0"/>
          <w:numId w:val="47"/>
        </w:numPr>
        <w:tabs>
          <w:tab w:val="clear" w:pos="288"/>
          <w:tab w:val="left" w:pos="432"/>
        </w:tabs>
        <w:spacing w:before="124" w:line="274" w:lineRule="exact"/>
        <w:ind w:left="144" w:right="288"/>
        <w:textAlignment w:val="baseline"/>
        <w:rPr>
          <w:rFonts w:eastAsia="Times New Roman"/>
          <w:color w:val="000000"/>
          <w:sz w:val="24"/>
        </w:rPr>
      </w:pPr>
      <w:r>
        <w:rPr>
          <w:rFonts w:eastAsia="Times New Roman"/>
          <w:color w:val="000000"/>
          <w:sz w:val="24"/>
        </w:rPr>
        <w:t>An amendment to the award agreement assigning the award to the new entity is completed; and</w:t>
      </w:r>
    </w:p>
    <w:p w:rsidR="007C25FE" w:rsidRDefault="00AB77A8">
      <w:pPr>
        <w:numPr>
          <w:ilvl w:val="0"/>
          <w:numId w:val="47"/>
        </w:numPr>
        <w:tabs>
          <w:tab w:val="clear" w:pos="288"/>
          <w:tab w:val="left" w:pos="432"/>
        </w:tabs>
        <w:spacing w:before="126" w:after="145" w:line="272" w:lineRule="exact"/>
        <w:ind w:left="144"/>
        <w:textAlignment w:val="baseline"/>
        <w:rPr>
          <w:rFonts w:eastAsia="Times New Roman"/>
          <w:color w:val="000000"/>
          <w:sz w:val="24"/>
        </w:rPr>
      </w:pPr>
      <w:r>
        <w:rPr>
          <w:rFonts w:eastAsia="Times New Roman"/>
          <w:color w:val="000000"/>
          <w:sz w:val="24"/>
        </w:rPr>
        <w:t>A new LOCCS access form has been filed with the HUD Accounting Office.</w:t>
      </w:r>
    </w:p>
    <w:p w:rsidR="007C25FE" w:rsidRDefault="00AB77A8">
      <w:pPr>
        <w:shd w:val="solid" w:color="FFB2B2" w:fill="FFB2B2"/>
        <w:spacing w:after="116" w:line="272" w:lineRule="exact"/>
        <w:ind w:left="144"/>
        <w:textAlignment w:val="baseline"/>
        <w:rPr>
          <w:rFonts w:eastAsia="Times New Roman"/>
          <w:color w:val="000000"/>
          <w:spacing w:val="-1"/>
          <w:sz w:val="24"/>
        </w:rPr>
      </w:pPr>
      <w:r>
        <w:rPr>
          <w:rFonts w:eastAsia="Times New Roman"/>
          <w:color w:val="000000"/>
          <w:spacing w:val="-1"/>
          <w:sz w:val="24"/>
        </w:rPr>
        <w:t>You must fill out the Review and Selection Process text field.</w:t>
      </w:r>
    </w:p>
    <w:p w:rsidR="007C25FE" w:rsidRDefault="00AB77A8">
      <w:pPr>
        <w:shd w:val="solid" w:color="E0E0E0" w:fill="E0E0E0"/>
        <w:spacing w:after="24" w:line="273" w:lineRule="exact"/>
        <w:ind w:left="144"/>
        <w:textAlignment w:val="baseline"/>
        <w:rPr>
          <w:rFonts w:eastAsia="Times New Roman"/>
          <w:b/>
          <w:color w:val="000000"/>
          <w:sz w:val="24"/>
        </w:rPr>
      </w:pPr>
      <w:r>
        <w:rPr>
          <w:rFonts w:eastAsia="Times New Roman"/>
          <w:b/>
          <w:color w:val="000000"/>
          <w:sz w:val="24"/>
        </w:rPr>
        <w:t>C. Anticipated Announcement and Award Dates.</w:t>
      </w:r>
    </w:p>
    <w:p w:rsidR="007C25FE" w:rsidRDefault="007C25FE">
      <w:pPr>
        <w:spacing w:before="447" w:line="288" w:lineRule="exact"/>
        <w:textAlignment w:val="baseline"/>
        <w:rPr>
          <w:rFonts w:eastAsia="Times New Roman"/>
          <w:color w:val="000000"/>
          <w:sz w:val="24"/>
        </w:rPr>
      </w:pPr>
    </w:p>
    <w:p w:rsidR="007C25FE" w:rsidRDefault="007C25FE">
      <w:pPr>
        <w:sectPr w:rsidR="007C25FE">
          <w:pgSz w:w="12240" w:h="15840"/>
          <w:pgMar w:top="1440" w:right="1410" w:bottom="304" w:left="1373" w:header="720" w:footer="720" w:gutter="0"/>
          <w:cols w:space="720"/>
        </w:sectPr>
      </w:pPr>
    </w:p>
    <w:p w:rsidR="007C25FE" w:rsidRDefault="00AB77A8">
      <w:pPr>
        <w:spacing w:before="3" w:line="272" w:lineRule="exact"/>
        <w:textAlignment w:val="baseline"/>
        <w:rPr>
          <w:rFonts w:eastAsia="Times New Roman"/>
          <w:color w:val="000000"/>
          <w:spacing w:val="-13"/>
          <w:sz w:val="24"/>
        </w:rPr>
      </w:pPr>
      <w:r>
        <w:rPr>
          <w:rFonts w:eastAsia="Times New Roman"/>
          <w:color w:val="000000"/>
          <w:spacing w:val="-13"/>
          <w:sz w:val="24"/>
        </w:rPr>
        <w:t>42 of 49</w:t>
      </w:r>
    </w:p>
    <w:p w:rsidR="007C25FE" w:rsidRDefault="007C25FE">
      <w:pPr>
        <w:sectPr w:rsidR="007C25FE">
          <w:type w:val="continuous"/>
          <w:pgSz w:w="12240" w:h="15840"/>
          <w:pgMar w:top="1440" w:right="1443" w:bottom="304" w:left="9997" w:header="720" w:footer="720" w:gutter="0"/>
          <w:cols w:space="720"/>
        </w:sectPr>
      </w:pPr>
    </w:p>
    <w:p w:rsidR="007C25FE" w:rsidRDefault="00AB77A8">
      <w:pPr>
        <w:spacing w:before="6" w:after="427" w:line="276" w:lineRule="exact"/>
        <w:ind w:left="144" w:right="720"/>
        <w:textAlignment w:val="baseline"/>
        <w:rPr>
          <w:rFonts w:eastAsia="Times New Roman"/>
          <w:color w:val="000000"/>
          <w:sz w:val="24"/>
        </w:rPr>
      </w:pPr>
      <w:r>
        <w:rPr>
          <w:rFonts w:eastAsia="Times New Roman"/>
          <w:color w:val="000000"/>
          <w:sz w:val="24"/>
        </w:rPr>
        <w:t>Information about announcement and award dates will be available when full-year appropriations are enacted. After enactment of full-year appropriations, HUD will issue a notice updating the terms of this NOFA to include 2018 appropriations.</w:t>
      </w:r>
    </w:p>
    <w:p w:rsidR="007C25FE" w:rsidRDefault="00AB77A8">
      <w:pPr>
        <w:shd w:val="solid" w:color="BCDFFB" w:fill="BCDFFB"/>
        <w:spacing w:after="142" w:line="270" w:lineRule="exact"/>
        <w:ind w:left="144"/>
        <w:textAlignment w:val="baseline"/>
        <w:rPr>
          <w:rFonts w:eastAsia="Times New Roman"/>
          <w:b/>
          <w:color w:val="000000"/>
          <w:sz w:val="24"/>
        </w:rPr>
      </w:pPr>
      <w:r>
        <w:rPr>
          <w:rFonts w:eastAsia="Times New Roman"/>
          <w:b/>
          <w:color w:val="000000"/>
          <w:sz w:val="24"/>
        </w:rPr>
        <w:t>VI. Award Administration Information.</w:t>
      </w:r>
    </w:p>
    <w:p w:rsidR="007C25FE" w:rsidRDefault="00AB77A8">
      <w:pPr>
        <w:numPr>
          <w:ilvl w:val="0"/>
          <w:numId w:val="48"/>
        </w:numPr>
        <w:shd w:val="solid" w:color="E0E0E0" w:fill="E0E0E0"/>
        <w:tabs>
          <w:tab w:val="clear" w:pos="216"/>
          <w:tab w:val="left" w:pos="360"/>
        </w:tabs>
        <w:spacing w:after="34" w:line="270" w:lineRule="exact"/>
        <w:ind w:left="144"/>
        <w:textAlignment w:val="baseline"/>
        <w:rPr>
          <w:rFonts w:eastAsia="Times New Roman"/>
          <w:b/>
          <w:color w:val="000000"/>
          <w:spacing w:val="4"/>
          <w:sz w:val="24"/>
        </w:rPr>
      </w:pPr>
      <w:r>
        <w:rPr>
          <w:rFonts w:eastAsia="Times New Roman"/>
          <w:b/>
          <w:color w:val="000000"/>
          <w:spacing w:val="4"/>
          <w:sz w:val="24"/>
        </w:rPr>
        <w:t>Award Notices.</w:t>
      </w:r>
    </w:p>
    <w:p w:rsidR="007C25FE" w:rsidRDefault="00AB77A8">
      <w:pPr>
        <w:spacing w:before="2" w:after="532" w:line="275" w:lineRule="exact"/>
        <w:ind w:left="144" w:right="288"/>
        <w:textAlignment w:val="baseline"/>
        <w:rPr>
          <w:rFonts w:eastAsia="Times New Roman"/>
          <w:color w:val="000000"/>
          <w:sz w:val="24"/>
        </w:rPr>
      </w:pPr>
      <w:r>
        <w:rPr>
          <w:rFonts w:eastAsia="Times New Roman"/>
          <w:color w:val="000000"/>
          <w:sz w:val="24"/>
        </w:rPr>
        <w:t>Following the evaluation process, HUD will notify successful applicants of their selection for funding. HUD will also notify other applicants, whose applications were received by the deadline, but have not been chosen for award. Notifications will be sent by email to the person listed as the AOR in item 21 of the SF-424.</w:t>
      </w:r>
    </w:p>
    <w:p w:rsidR="007C25FE" w:rsidRDefault="00AB77A8">
      <w:pPr>
        <w:numPr>
          <w:ilvl w:val="0"/>
          <w:numId w:val="48"/>
        </w:numPr>
        <w:shd w:val="solid" w:color="E0E0E0" w:fill="E0E0E0"/>
        <w:tabs>
          <w:tab w:val="clear" w:pos="216"/>
          <w:tab w:val="left" w:pos="360"/>
        </w:tabs>
        <w:spacing w:after="29" w:line="270" w:lineRule="exact"/>
        <w:ind w:left="144"/>
        <w:textAlignment w:val="baseline"/>
        <w:rPr>
          <w:rFonts w:eastAsia="Times New Roman"/>
          <w:b/>
          <w:color w:val="000000"/>
          <w:sz w:val="24"/>
        </w:rPr>
      </w:pPr>
      <w:r>
        <w:rPr>
          <w:rFonts w:eastAsia="Times New Roman"/>
          <w:b/>
          <w:color w:val="000000"/>
          <w:sz w:val="24"/>
        </w:rPr>
        <w:t>Administrative, National and Department Policy Requirements for HUD recipients</w:t>
      </w:r>
    </w:p>
    <w:p w:rsidR="007C25FE" w:rsidRDefault="00AB77A8">
      <w:pPr>
        <w:spacing w:before="3" w:line="273" w:lineRule="exact"/>
        <w:ind w:left="144"/>
        <w:textAlignment w:val="baseline"/>
        <w:rPr>
          <w:rFonts w:eastAsia="Times New Roman"/>
          <w:color w:val="000000"/>
          <w:sz w:val="24"/>
        </w:rPr>
      </w:pPr>
      <w:r>
        <w:rPr>
          <w:rFonts w:eastAsia="Times New Roman"/>
          <w:color w:val="000000"/>
          <w:sz w:val="24"/>
        </w:rPr>
        <w:t>For this NOFA, the following General Administrative Requirements and Terms</w:t>
      </w:r>
    </w:p>
    <w:p w:rsidR="007C25FE" w:rsidRDefault="00AB77A8">
      <w:pPr>
        <w:spacing w:line="273" w:lineRule="exact"/>
        <w:ind w:left="144"/>
        <w:textAlignment w:val="baseline"/>
        <w:rPr>
          <w:rFonts w:eastAsia="Times New Roman"/>
          <w:color w:val="000000"/>
          <w:sz w:val="24"/>
        </w:rPr>
      </w:pPr>
      <w:r>
        <w:rPr>
          <w:rFonts w:eastAsia="Times New Roman"/>
          <w:color w:val="000000"/>
          <w:sz w:val="24"/>
        </w:rPr>
        <w:t>for HUD Financial Assistance Awards apply. Please [</w:t>
      </w:r>
      <w:r>
        <w:rPr>
          <w:rFonts w:eastAsia="Times New Roman"/>
          <w:b/>
          <w:color w:val="000000"/>
          <w:sz w:val="24"/>
        </w:rPr>
        <w:t xml:space="preserve">click here] </w:t>
      </w:r>
      <w:r>
        <w:rPr>
          <w:rFonts w:eastAsia="Times New Roman"/>
          <w:color w:val="000000"/>
          <w:sz w:val="24"/>
        </w:rPr>
        <w:t>to read the detailed</w:t>
      </w:r>
    </w:p>
    <w:p w:rsidR="007C25FE" w:rsidRDefault="00AB77A8">
      <w:pPr>
        <w:spacing w:before="6" w:line="273" w:lineRule="exact"/>
        <w:ind w:left="144"/>
        <w:textAlignment w:val="baseline"/>
        <w:rPr>
          <w:rFonts w:eastAsia="Times New Roman"/>
          <w:color w:val="000000"/>
          <w:spacing w:val="-1"/>
          <w:sz w:val="24"/>
        </w:rPr>
      </w:pPr>
      <w:r>
        <w:rPr>
          <w:rFonts w:eastAsia="Times New Roman"/>
          <w:color w:val="000000"/>
          <w:spacing w:val="-1"/>
          <w:sz w:val="24"/>
        </w:rPr>
        <w:t>description of each applicable requirement.</w:t>
      </w:r>
    </w:p>
    <w:p w:rsidR="007C25FE" w:rsidRDefault="00AB77A8">
      <w:pPr>
        <w:spacing w:before="255" w:line="274" w:lineRule="exact"/>
        <w:ind w:left="144"/>
        <w:textAlignment w:val="baseline"/>
        <w:rPr>
          <w:rFonts w:eastAsia="Times New Roman"/>
          <w:color w:val="000000"/>
          <w:sz w:val="24"/>
          <w:u w:val="single"/>
        </w:rPr>
      </w:pPr>
      <w:r>
        <w:rPr>
          <w:rFonts w:eastAsia="Times New Roman"/>
          <w:color w:val="000000"/>
          <w:sz w:val="24"/>
          <w:u w:val="single"/>
        </w:rPr>
        <w:t xml:space="preserve">1.Compliance with Non-discrimination and Related Requirements. </w:t>
      </w:r>
    </w:p>
    <w:p w:rsidR="007C25FE" w:rsidRDefault="00AB77A8">
      <w:pPr>
        <w:spacing w:before="1" w:line="276" w:lineRule="exact"/>
        <w:ind w:left="144" w:right="216"/>
        <w:textAlignment w:val="baseline"/>
        <w:rPr>
          <w:rFonts w:eastAsia="Times New Roman"/>
          <w:color w:val="000000"/>
          <w:sz w:val="24"/>
        </w:rPr>
      </w:pPr>
      <w:r>
        <w:rPr>
          <w:rFonts w:eastAsia="Times New Roman"/>
          <w:color w:val="000000"/>
          <w:sz w:val="24"/>
        </w:rPr>
        <w:t>Unless otherwise specified, these non-discrimination and equal opportunity authorities and other requirements apply to all NOFAs. Please read the following requirements carefully as the requirements are different among HUD’s programs.</w:t>
      </w:r>
    </w:p>
    <w:p w:rsidR="007C25FE" w:rsidRDefault="00AB77A8">
      <w:pPr>
        <w:numPr>
          <w:ilvl w:val="0"/>
          <w:numId w:val="9"/>
        </w:numPr>
        <w:tabs>
          <w:tab w:val="clear" w:pos="216"/>
          <w:tab w:val="left" w:pos="360"/>
        </w:tabs>
        <w:spacing w:before="430" w:line="300" w:lineRule="exact"/>
        <w:ind w:left="144"/>
        <w:textAlignment w:val="baseline"/>
        <w:rPr>
          <w:rFonts w:eastAsia="Times New Roman"/>
          <w:color w:val="000000"/>
          <w:sz w:val="24"/>
        </w:rPr>
      </w:pPr>
      <w:r>
        <w:rPr>
          <w:rFonts w:eastAsia="Times New Roman"/>
          <w:color w:val="000000"/>
          <w:sz w:val="24"/>
        </w:rPr>
        <w:t>Compliance with Fair Housing and Civil Rights Laws.</w:t>
      </w:r>
    </w:p>
    <w:p w:rsidR="007C25FE" w:rsidRDefault="00AB77A8">
      <w:pPr>
        <w:numPr>
          <w:ilvl w:val="0"/>
          <w:numId w:val="9"/>
        </w:numPr>
        <w:tabs>
          <w:tab w:val="clear" w:pos="216"/>
          <w:tab w:val="left" w:pos="360"/>
        </w:tabs>
        <w:spacing w:before="314" w:line="300" w:lineRule="exact"/>
        <w:ind w:left="144"/>
        <w:textAlignment w:val="baseline"/>
        <w:rPr>
          <w:rFonts w:eastAsia="Times New Roman"/>
          <w:color w:val="000000"/>
          <w:sz w:val="24"/>
        </w:rPr>
      </w:pPr>
      <w:r>
        <w:rPr>
          <w:rFonts w:eastAsia="Times New Roman"/>
          <w:color w:val="000000"/>
          <w:sz w:val="24"/>
        </w:rPr>
        <w:t>Affirmatively Furthering Fair Housing.</w:t>
      </w:r>
    </w:p>
    <w:p w:rsidR="007C25FE" w:rsidRDefault="00AB77A8">
      <w:pPr>
        <w:numPr>
          <w:ilvl w:val="0"/>
          <w:numId w:val="9"/>
        </w:numPr>
        <w:tabs>
          <w:tab w:val="clear" w:pos="216"/>
          <w:tab w:val="left" w:pos="360"/>
        </w:tabs>
        <w:spacing w:before="310" w:line="300" w:lineRule="exact"/>
        <w:ind w:left="144"/>
        <w:textAlignment w:val="baseline"/>
        <w:rPr>
          <w:rFonts w:eastAsia="Times New Roman"/>
          <w:color w:val="000000"/>
          <w:sz w:val="24"/>
        </w:rPr>
      </w:pPr>
      <w:r>
        <w:rPr>
          <w:rFonts w:eastAsia="Times New Roman"/>
          <w:color w:val="000000"/>
          <w:sz w:val="24"/>
        </w:rPr>
        <w:t>Economic Opportunities for Low-and Very Low-income Persons (Section 3).</w:t>
      </w:r>
    </w:p>
    <w:p w:rsidR="007C25FE" w:rsidRDefault="00AB77A8">
      <w:pPr>
        <w:numPr>
          <w:ilvl w:val="0"/>
          <w:numId w:val="9"/>
        </w:numPr>
        <w:tabs>
          <w:tab w:val="clear" w:pos="216"/>
          <w:tab w:val="left" w:pos="360"/>
        </w:tabs>
        <w:spacing w:before="314" w:line="300" w:lineRule="exact"/>
        <w:ind w:left="144"/>
        <w:textAlignment w:val="baseline"/>
        <w:rPr>
          <w:rFonts w:eastAsia="Times New Roman"/>
          <w:color w:val="000000"/>
          <w:sz w:val="24"/>
        </w:rPr>
      </w:pPr>
      <w:r>
        <w:rPr>
          <w:rFonts w:eastAsia="Times New Roman"/>
          <w:color w:val="000000"/>
          <w:sz w:val="24"/>
        </w:rPr>
        <w:t>Improving Access to Services for Persons with Limited English Proficiency (LEP).</w:t>
      </w:r>
    </w:p>
    <w:p w:rsidR="007C25FE" w:rsidRDefault="00AB77A8">
      <w:pPr>
        <w:numPr>
          <w:ilvl w:val="0"/>
          <w:numId w:val="9"/>
        </w:numPr>
        <w:tabs>
          <w:tab w:val="clear" w:pos="216"/>
          <w:tab w:val="left" w:pos="360"/>
        </w:tabs>
        <w:spacing w:before="310" w:line="300" w:lineRule="exact"/>
        <w:ind w:left="144"/>
        <w:textAlignment w:val="baseline"/>
        <w:rPr>
          <w:rFonts w:eastAsia="Times New Roman"/>
          <w:color w:val="000000"/>
          <w:sz w:val="24"/>
        </w:rPr>
      </w:pPr>
      <w:r>
        <w:rPr>
          <w:rFonts w:eastAsia="Times New Roman"/>
          <w:color w:val="000000"/>
          <w:sz w:val="24"/>
        </w:rPr>
        <w:t>Accessible Technology.</w:t>
      </w:r>
    </w:p>
    <w:p w:rsidR="007C25FE" w:rsidRDefault="00AB77A8">
      <w:pPr>
        <w:numPr>
          <w:ilvl w:val="0"/>
          <w:numId w:val="49"/>
        </w:numPr>
        <w:tabs>
          <w:tab w:val="clear" w:pos="216"/>
          <w:tab w:val="left" w:pos="360"/>
        </w:tabs>
        <w:spacing w:before="644" w:line="273" w:lineRule="exact"/>
        <w:ind w:left="144"/>
        <w:textAlignment w:val="baseline"/>
        <w:rPr>
          <w:rFonts w:eastAsia="Times New Roman"/>
          <w:color w:val="000000"/>
          <w:sz w:val="24"/>
        </w:rPr>
      </w:pPr>
      <w:r>
        <w:rPr>
          <w:rFonts w:eastAsia="Times New Roman"/>
          <w:color w:val="000000"/>
          <w:sz w:val="24"/>
        </w:rPr>
        <w:t>Equal Access to Housing Regardless of Sexual Orientation or Gender Identity.</w:t>
      </w:r>
    </w:p>
    <w:p w:rsidR="007C25FE" w:rsidRDefault="00AB77A8">
      <w:pPr>
        <w:numPr>
          <w:ilvl w:val="0"/>
          <w:numId w:val="49"/>
        </w:numPr>
        <w:tabs>
          <w:tab w:val="clear" w:pos="216"/>
          <w:tab w:val="left" w:pos="360"/>
        </w:tabs>
        <w:spacing w:before="341" w:line="273" w:lineRule="exact"/>
        <w:ind w:left="144"/>
        <w:textAlignment w:val="baseline"/>
        <w:rPr>
          <w:rFonts w:eastAsia="Times New Roman"/>
          <w:color w:val="000000"/>
          <w:sz w:val="24"/>
        </w:rPr>
      </w:pPr>
      <w:r>
        <w:rPr>
          <w:rFonts w:eastAsia="Times New Roman"/>
          <w:color w:val="000000"/>
          <w:sz w:val="24"/>
        </w:rPr>
        <w:t>Ensuring the Participation of Small Disadvantaged Business, and Women-Owned Business.</w:t>
      </w:r>
    </w:p>
    <w:p w:rsidR="007C25FE" w:rsidRDefault="00AB77A8">
      <w:pPr>
        <w:numPr>
          <w:ilvl w:val="0"/>
          <w:numId w:val="49"/>
        </w:numPr>
        <w:tabs>
          <w:tab w:val="clear" w:pos="216"/>
          <w:tab w:val="left" w:pos="360"/>
        </w:tabs>
        <w:spacing w:before="337" w:line="273" w:lineRule="exact"/>
        <w:ind w:left="144"/>
        <w:textAlignment w:val="baseline"/>
        <w:rPr>
          <w:rFonts w:eastAsia="Times New Roman"/>
          <w:color w:val="000000"/>
          <w:sz w:val="24"/>
        </w:rPr>
      </w:pPr>
      <w:r>
        <w:rPr>
          <w:rFonts w:eastAsia="Times New Roman"/>
          <w:color w:val="000000"/>
          <w:sz w:val="24"/>
        </w:rPr>
        <w:t>Equal Participation of Faith-Based Organizations in HUD Programs and Activities.</w:t>
      </w:r>
    </w:p>
    <w:p w:rsidR="007C25FE" w:rsidRDefault="00AB77A8">
      <w:pPr>
        <w:numPr>
          <w:ilvl w:val="0"/>
          <w:numId w:val="49"/>
        </w:numPr>
        <w:tabs>
          <w:tab w:val="clear" w:pos="216"/>
          <w:tab w:val="left" w:pos="360"/>
        </w:tabs>
        <w:spacing w:before="341" w:line="273" w:lineRule="exact"/>
        <w:ind w:left="144"/>
        <w:textAlignment w:val="baseline"/>
        <w:rPr>
          <w:rFonts w:eastAsia="Times New Roman"/>
          <w:color w:val="000000"/>
          <w:sz w:val="24"/>
        </w:rPr>
      </w:pPr>
      <w:r>
        <w:rPr>
          <w:rFonts w:eastAsia="Times New Roman"/>
          <w:color w:val="000000"/>
          <w:sz w:val="24"/>
        </w:rPr>
        <w:t>Real Property Acquisition and Relocation.</w:t>
      </w:r>
    </w:p>
    <w:p w:rsidR="007C25FE" w:rsidRDefault="00AB77A8">
      <w:pPr>
        <w:numPr>
          <w:ilvl w:val="0"/>
          <w:numId w:val="49"/>
        </w:numPr>
        <w:tabs>
          <w:tab w:val="clear" w:pos="216"/>
          <w:tab w:val="left" w:pos="360"/>
        </w:tabs>
        <w:spacing w:before="337" w:after="518" w:line="273" w:lineRule="exact"/>
        <w:ind w:left="144"/>
        <w:textAlignment w:val="baseline"/>
        <w:rPr>
          <w:rFonts w:eastAsia="Times New Roman"/>
          <w:color w:val="000000"/>
          <w:sz w:val="24"/>
        </w:rPr>
      </w:pPr>
      <w:r>
        <w:rPr>
          <w:rFonts w:eastAsia="Times New Roman"/>
          <w:color w:val="000000"/>
          <w:sz w:val="24"/>
        </w:rPr>
        <w:t>Participation in HUD-Sponsored Program Evaluation.</w:t>
      </w:r>
    </w:p>
    <w:p w:rsidR="007C25FE" w:rsidRDefault="007C25FE">
      <w:pPr>
        <w:spacing w:before="337" w:after="518" w:line="273" w:lineRule="exact"/>
        <w:sectPr w:rsidR="007C25FE">
          <w:pgSz w:w="12240" w:h="15840"/>
          <w:pgMar w:top="1460" w:right="1420" w:bottom="304" w:left="1363" w:header="720" w:footer="720" w:gutter="0"/>
          <w:cols w:space="720"/>
        </w:sectPr>
      </w:pPr>
    </w:p>
    <w:p w:rsidR="007C25FE" w:rsidRDefault="00AB77A8">
      <w:pPr>
        <w:spacing w:before="3" w:line="273" w:lineRule="exact"/>
        <w:textAlignment w:val="baseline"/>
        <w:rPr>
          <w:rFonts w:eastAsia="Times New Roman"/>
          <w:color w:val="000000"/>
          <w:spacing w:val="-13"/>
          <w:sz w:val="24"/>
        </w:rPr>
      </w:pPr>
      <w:r>
        <w:rPr>
          <w:rFonts w:eastAsia="Times New Roman"/>
          <w:color w:val="000000"/>
          <w:spacing w:val="-13"/>
          <w:sz w:val="24"/>
        </w:rPr>
        <w:t>43 of 49</w:t>
      </w:r>
    </w:p>
    <w:p w:rsidR="007C25FE" w:rsidRDefault="007C25FE">
      <w:pPr>
        <w:sectPr w:rsidR="007C25FE">
          <w:type w:val="continuous"/>
          <w:pgSz w:w="12240" w:h="15840"/>
          <w:pgMar w:top="1460" w:right="1443" w:bottom="304" w:left="9997" w:header="720" w:footer="720" w:gutter="0"/>
          <w:cols w:space="720"/>
        </w:sectPr>
      </w:pPr>
    </w:p>
    <w:p w:rsidR="007C25FE" w:rsidRDefault="00AB77A8">
      <w:pPr>
        <w:numPr>
          <w:ilvl w:val="0"/>
          <w:numId w:val="50"/>
        </w:numPr>
        <w:tabs>
          <w:tab w:val="clear" w:pos="216"/>
          <w:tab w:val="left" w:pos="360"/>
        </w:tabs>
        <w:spacing w:before="15" w:line="274" w:lineRule="exact"/>
        <w:ind w:left="144" w:right="504"/>
        <w:textAlignment w:val="baseline"/>
        <w:rPr>
          <w:rFonts w:eastAsia="Times New Roman"/>
          <w:color w:val="000000"/>
          <w:sz w:val="24"/>
        </w:rPr>
      </w:pPr>
      <w:r>
        <w:rPr>
          <w:noProof/>
        </w:rPr>
        <mc:AlternateContent>
          <mc:Choice Requires="wps">
            <w:drawing>
              <wp:anchor distT="0" distB="114300" distL="0" distR="0" simplePos="0" relativeHeight="251634688" behindDoc="1" locked="0" layoutInCell="1" allowOverlap="1" wp14:anchorId="2BEF91E7" wp14:editId="20BD2762">
                <wp:simplePos x="0" y="0"/>
                <wp:positionH relativeFrom="page">
                  <wp:posOffset>865505</wp:posOffset>
                </wp:positionH>
                <wp:positionV relativeFrom="page">
                  <wp:posOffset>8049895</wp:posOffset>
                </wp:positionV>
                <wp:extent cx="6005195" cy="31051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9"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left:0;text-align:left;margin-left:68.15pt;margin-top:633.85pt;width:472.85pt;height:24.45pt;z-index:-251681792;visibility:visible;mso-wrap-style:square;mso-width-percent:0;mso-height-percent:0;mso-wrap-distance-left:0;mso-wrap-distance-top:0;mso-wrap-distance-right:0;mso-wrap-distance-bottom: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" filled="f" stroked="f">
                <v:textbox inset="0,0,0,0">
                  <w:txbxContent>
                    <w:p w:rsidR="007C25FE" w:rsidRDefault="007C25FE">
                      <w:pPr>
                        <w:pBdr>
                          <w:top w:val="single" w:sz="5" w:space="0" w:color="CCCCCC"/>
                          <w:left w:val="single" w:sz="5" w:space="0" w:color="CCCCCC"/>
                          <w:bottom w:val="single" w:sz="5" w:space="9" w:color="CCCCCC"/>
                          <w:right w:val="single" w:sz="5" w:space="0" w:color="CCCCCC"/>
                        </w:pBdr>
                      </w:pPr>
                    </w:p>
                  </w:txbxContent>
                </v:textbox>
                <w10:wrap type="square" anchorx="page" anchory="page"/>
              </v:shape>
            </w:pict>
          </mc:Fallback>
        </mc:AlternateContent>
      </w:r>
      <w:r>
        <w:rPr>
          <w:rFonts w:eastAsia="Times New Roman"/>
          <w:color w:val="000000"/>
          <w:sz w:val="24"/>
        </w:rPr>
        <w:t>OMB Administrative Requirements, Cost Principles, and Audit Requirements for Federal Awards.</w:t>
      </w:r>
    </w:p>
    <w:p w:rsidR="007C25FE" w:rsidRDefault="00AB77A8">
      <w:pPr>
        <w:numPr>
          <w:ilvl w:val="0"/>
          <w:numId w:val="50"/>
        </w:numPr>
        <w:tabs>
          <w:tab w:val="clear" w:pos="216"/>
          <w:tab w:val="left" w:pos="360"/>
        </w:tabs>
        <w:spacing w:before="341" w:line="273" w:lineRule="exact"/>
        <w:ind w:left="144"/>
        <w:textAlignment w:val="baseline"/>
        <w:rPr>
          <w:rFonts w:eastAsia="Times New Roman"/>
          <w:color w:val="000000"/>
          <w:spacing w:val="-2"/>
          <w:sz w:val="24"/>
        </w:rPr>
      </w:pPr>
      <w:r>
        <w:rPr>
          <w:rFonts w:eastAsia="Times New Roman"/>
          <w:color w:val="000000"/>
          <w:spacing w:val="-2"/>
          <w:sz w:val="24"/>
        </w:rPr>
        <w:t>Drug-Free Workplace.</w:t>
      </w:r>
    </w:p>
    <w:p w:rsidR="007C25FE" w:rsidRDefault="00AB77A8">
      <w:pPr>
        <w:numPr>
          <w:ilvl w:val="0"/>
          <w:numId w:val="50"/>
        </w:numPr>
        <w:tabs>
          <w:tab w:val="clear" w:pos="216"/>
          <w:tab w:val="left" w:pos="360"/>
        </w:tabs>
        <w:spacing w:before="337" w:line="273" w:lineRule="exact"/>
        <w:ind w:left="144"/>
        <w:textAlignment w:val="baseline"/>
        <w:rPr>
          <w:rFonts w:eastAsia="Times New Roman"/>
          <w:color w:val="000000"/>
          <w:spacing w:val="-1"/>
          <w:sz w:val="24"/>
        </w:rPr>
      </w:pPr>
      <w:r>
        <w:rPr>
          <w:rFonts w:eastAsia="Times New Roman"/>
          <w:color w:val="000000"/>
          <w:spacing w:val="-1"/>
          <w:sz w:val="24"/>
        </w:rPr>
        <w:t>Safeguarding Resident/Client Files.</w:t>
      </w:r>
    </w:p>
    <w:p w:rsidR="007C25FE" w:rsidRDefault="00AB77A8">
      <w:pPr>
        <w:numPr>
          <w:ilvl w:val="0"/>
          <w:numId w:val="50"/>
        </w:numPr>
        <w:tabs>
          <w:tab w:val="left" w:pos="504"/>
        </w:tabs>
        <w:spacing w:before="340" w:line="274" w:lineRule="exact"/>
        <w:ind w:left="144" w:right="360"/>
        <w:textAlignment w:val="baseline"/>
        <w:rPr>
          <w:rFonts w:eastAsia="Times New Roman"/>
          <w:color w:val="000000"/>
          <w:sz w:val="24"/>
        </w:rPr>
      </w:pPr>
      <w:r>
        <w:rPr>
          <w:rFonts w:eastAsia="Times New Roman"/>
          <w:color w:val="000000"/>
          <w:sz w:val="24"/>
        </w:rPr>
        <w:t>Compliance with the Federal Funding Accountability and Transparency Act of 2006 (Pub. L.109-282) (Transparency Act), as amended.</w:t>
      </w:r>
    </w:p>
    <w:p w:rsidR="007C25FE" w:rsidRDefault="00AB77A8">
      <w:pPr>
        <w:numPr>
          <w:ilvl w:val="0"/>
          <w:numId w:val="50"/>
        </w:numPr>
        <w:tabs>
          <w:tab w:val="left" w:pos="504"/>
        </w:tabs>
        <w:spacing w:before="341" w:line="273" w:lineRule="exact"/>
        <w:ind w:left="144"/>
        <w:textAlignment w:val="baseline"/>
        <w:rPr>
          <w:rFonts w:eastAsia="Times New Roman"/>
          <w:color w:val="000000"/>
          <w:spacing w:val="-4"/>
          <w:sz w:val="24"/>
        </w:rPr>
      </w:pPr>
      <w:r>
        <w:rPr>
          <w:rFonts w:eastAsia="Times New Roman"/>
          <w:color w:val="000000"/>
          <w:spacing w:val="-4"/>
          <w:sz w:val="24"/>
        </w:rPr>
        <w:t>Eminent Domain.</w:t>
      </w:r>
    </w:p>
    <w:p w:rsidR="007C25FE" w:rsidRDefault="00AB77A8">
      <w:pPr>
        <w:numPr>
          <w:ilvl w:val="0"/>
          <w:numId w:val="50"/>
        </w:numPr>
        <w:tabs>
          <w:tab w:val="left" w:pos="504"/>
        </w:tabs>
        <w:spacing w:before="337" w:line="273" w:lineRule="exact"/>
        <w:ind w:left="144"/>
        <w:textAlignment w:val="baseline"/>
        <w:rPr>
          <w:rFonts w:eastAsia="Times New Roman"/>
          <w:color w:val="000000"/>
          <w:spacing w:val="-1"/>
          <w:sz w:val="24"/>
        </w:rPr>
      </w:pPr>
      <w:r>
        <w:rPr>
          <w:rFonts w:eastAsia="Times New Roman"/>
          <w:color w:val="000000"/>
          <w:spacing w:val="-1"/>
          <w:sz w:val="24"/>
        </w:rPr>
        <w:t>Accessibility for persons with Disabilities.</w:t>
      </w:r>
    </w:p>
    <w:p w:rsidR="007C25FE" w:rsidRDefault="00AB77A8">
      <w:pPr>
        <w:numPr>
          <w:ilvl w:val="0"/>
          <w:numId w:val="50"/>
        </w:numPr>
        <w:tabs>
          <w:tab w:val="left" w:pos="504"/>
        </w:tabs>
        <w:spacing w:before="336" w:line="273" w:lineRule="exact"/>
        <w:ind w:left="144"/>
        <w:textAlignment w:val="baseline"/>
        <w:rPr>
          <w:rFonts w:eastAsia="Times New Roman"/>
          <w:color w:val="000000"/>
          <w:spacing w:val="-2"/>
          <w:sz w:val="24"/>
        </w:rPr>
      </w:pPr>
      <w:r>
        <w:rPr>
          <w:rFonts w:eastAsia="Times New Roman"/>
          <w:color w:val="000000"/>
          <w:spacing w:val="-2"/>
          <w:sz w:val="24"/>
        </w:rPr>
        <w:t>Violence Against Women Act.</w:t>
      </w:r>
    </w:p>
    <w:p w:rsidR="007C25FE" w:rsidRDefault="00AB77A8">
      <w:pPr>
        <w:numPr>
          <w:ilvl w:val="0"/>
          <w:numId w:val="50"/>
        </w:numPr>
        <w:tabs>
          <w:tab w:val="left" w:pos="504"/>
        </w:tabs>
        <w:spacing w:before="342" w:line="273" w:lineRule="exact"/>
        <w:ind w:left="144"/>
        <w:textAlignment w:val="baseline"/>
        <w:rPr>
          <w:rFonts w:eastAsia="Times New Roman"/>
          <w:color w:val="000000"/>
          <w:sz w:val="24"/>
        </w:rPr>
      </w:pPr>
      <w:r>
        <w:rPr>
          <w:rFonts w:eastAsia="Times New Roman"/>
          <w:color w:val="000000"/>
          <w:sz w:val="24"/>
        </w:rPr>
        <w:t>Conducting Business in accordance with Ethical Standards/Code of Conduct.</w:t>
      </w:r>
    </w:p>
    <w:p w:rsidR="007C25FE" w:rsidRDefault="00AB77A8">
      <w:pPr>
        <w:numPr>
          <w:ilvl w:val="0"/>
          <w:numId w:val="50"/>
        </w:numPr>
        <w:tabs>
          <w:tab w:val="left" w:pos="504"/>
        </w:tabs>
        <w:spacing w:before="336" w:after="125" w:line="273" w:lineRule="exact"/>
        <w:ind w:left="144"/>
        <w:textAlignment w:val="baseline"/>
        <w:rPr>
          <w:rFonts w:eastAsia="Times New Roman"/>
          <w:color w:val="000000"/>
          <w:spacing w:val="-2"/>
          <w:sz w:val="24"/>
        </w:rPr>
      </w:pPr>
      <w:r>
        <w:rPr>
          <w:rFonts w:eastAsia="Times New Roman"/>
          <w:color w:val="000000"/>
          <w:spacing w:val="-2"/>
          <w:sz w:val="24"/>
        </w:rPr>
        <w:t>Environmental Requirements.</w:t>
      </w:r>
    </w:p>
    <w:p w:rsidR="007C25FE" w:rsidRDefault="00AB77A8">
      <w:pPr>
        <w:shd w:val="solid" w:color="E0E0E0" w:fill="E0E0E0"/>
        <w:spacing w:after="39" w:line="273" w:lineRule="exact"/>
        <w:ind w:left="144"/>
        <w:textAlignment w:val="baseline"/>
        <w:rPr>
          <w:rFonts w:eastAsia="Times New Roman"/>
          <w:b/>
          <w:color w:val="000000"/>
          <w:spacing w:val="-1"/>
          <w:sz w:val="24"/>
        </w:rPr>
      </w:pPr>
      <w:r>
        <w:rPr>
          <w:rFonts w:eastAsia="Times New Roman"/>
          <w:b/>
          <w:color w:val="000000"/>
          <w:spacing w:val="-1"/>
          <w:sz w:val="24"/>
        </w:rPr>
        <w:t>C. Reporting.</w:t>
      </w:r>
    </w:p>
    <w:p w:rsidR="007C25FE" w:rsidRDefault="00AB77A8">
      <w:pPr>
        <w:spacing w:line="279" w:lineRule="exact"/>
        <w:ind w:left="144" w:right="216"/>
        <w:textAlignment w:val="baseline"/>
        <w:rPr>
          <w:rFonts w:eastAsia="Times New Roman"/>
          <w:color w:val="000000"/>
          <w:sz w:val="24"/>
        </w:rPr>
      </w:pPr>
      <w:r>
        <w:rPr>
          <w:rFonts w:eastAsia="Times New Roman"/>
          <w:color w:val="000000"/>
          <w:sz w:val="24"/>
        </w:rPr>
        <w:t>HUD requires recipients to submit performance and financial reports under OMB guidance and program instructions.</w:t>
      </w:r>
    </w:p>
    <w:p w:rsidR="007C25FE" w:rsidRDefault="00AB77A8">
      <w:pPr>
        <w:numPr>
          <w:ilvl w:val="0"/>
          <w:numId w:val="51"/>
        </w:numPr>
        <w:tabs>
          <w:tab w:val="clear" w:pos="216"/>
          <w:tab w:val="left" w:pos="360"/>
        </w:tabs>
        <w:spacing w:line="276" w:lineRule="exact"/>
        <w:ind w:left="144" w:right="72"/>
        <w:textAlignment w:val="baseline"/>
        <w:rPr>
          <w:rFonts w:eastAsia="Times New Roman"/>
          <w:b/>
          <w:color w:val="000000"/>
          <w:sz w:val="24"/>
        </w:rPr>
      </w:pPr>
      <w:r>
        <w:rPr>
          <w:rFonts w:eastAsia="Times New Roman"/>
          <w:b/>
          <w:color w:val="000000"/>
          <w:sz w:val="24"/>
        </w:rPr>
        <w:t>Reporting Requirements and Frequency of Reporting</w:t>
      </w:r>
      <w:r>
        <w:rPr>
          <w:rFonts w:eastAsia="Times New Roman"/>
          <w:color w:val="000000"/>
          <w:sz w:val="24"/>
        </w:rPr>
        <w:t>. This NOFA and award agreement will specify the reporting requirements, including content, method of data collection, and reporting frequency. Applicants should be aware that if the total Federal share of your Federal award includes more than $ 500,000 over the period of performance, you may be subject to post award reporting requirements reflected in Appendix XII to Part 200-Award Term and Condition for Recipient Integrity and Performance Matters.</w:t>
      </w:r>
    </w:p>
    <w:p w:rsidR="007C25FE" w:rsidRDefault="00AB77A8">
      <w:pPr>
        <w:numPr>
          <w:ilvl w:val="0"/>
          <w:numId w:val="51"/>
        </w:numPr>
        <w:tabs>
          <w:tab w:val="clear" w:pos="216"/>
          <w:tab w:val="left" w:pos="360"/>
        </w:tabs>
        <w:spacing w:line="276" w:lineRule="exact"/>
        <w:ind w:left="144" w:right="72"/>
        <w:textAlignment w:val="baseline"/>
        <w:rPr>
          <w:rFonts w:eastAsia="Times New Roman"/>
          <w:b/>
          <w:color w:val="000000"/>
          <w:sz w:val="24"/>
        </w:rPr>
      </w:pPr>
      <w:r>
        <w:rPr>
          <w:rFonts w:eastAsia="Times New Roman"/>
          <w:b/>
          <w:color w:val="000000"/>
          <w:sz w:val="24"/>
        </w:rPr>
        <w:t>Race, Ethnicity and Other Data Reporting</w:t>
      </w:r>
      <w:r>
        <w:rPr>
          <w:rFonts w:eastAsia="Times New Roman"/>
          <w:color w:val="000000"/>
          <w:sz w:val="24"/>
        </w:rPr>
        <w:t>. HUD requires recipients that provide HUD-funded program benefits to individuals or families to report data on the race, color, religion, sex, national origin, age, disability, and family characteristics of persons and households who are applicants for, participants in, or beneficiaries or potential beneficiaries of HUD programs in order to carry out the Department’s responsibilities under the Fair Housing Act, Executive Order 11063, Title VI of the Civil Rights Act of 1964, and Section 562 of the Housing and Community Development Act of 1987. NOFAs may specify the data collection and reporting requirements. Many programs use the Race and Ethnic Data U.S. Department of</w:t>
      </w:r>
    </w:p>
    <w:p w:rsidR="007C25FE" w:rsidRDefault="00AB77A8">
      <w:pPr>
        <w:spacing w:line="269" w:lineRule="exact"/>
        <w:ind w:left="144"/>
        <w:textAlignment w:val="baseline"/>
        <w:rPr>
          <w:rFonts w:eastAsia="Times New Roman"/>
          <w:color w:val="000000"/>
          <w:spacing w:val="-1"/>
          <w:sz w:val="24"/>
        </w:rPr>
      </w:pPr>
      <w:r>
        <w:rPr>
          <w:rFonts w:eastAsia="Times New Roman"/>
          <w:color w:val="000000"/>
          <w:spacing w:val="-1"/>
          <w:sz w:val="24"/>
        </w:rPr>
        <w:t>Housing OMB Approval No. 2535-0113 Reporting Form HUD-27061.</w:t>
      </w:r>
    </w:p>
    <w:p w:rsidR="007C25FE" w:rsidRDefault="00AB77A8">
      <w:pPr>
        <w:numPr>
          <w:ilvl w:val="0"/>
          <w:numId w:val="51"/>
        </w:numPr>
        <w:tabs>
          <w:tab w:val="clear" w:pos="216"/>
          <w:tab w:val="left" w:pos="360"/>
        </w:tabs>
        <w:spacing w:before="8" w:line="273" w:lineRule="exact"/>
        <w:ind w:left="144"/>
        <w:textAlignment w:val="baseline"/>
        <w:rPr>
          <w:rFonts w:eastAsia="Times New Roman"/>
          <w:b/>
          <w:color w:val="000000"/>
          <w:sz w:val="24"/>
        </w:rPr>
      </w:pPr>
      <w:r>
        <w:rPr>
          <w:rFonts w:eastAsia="Times New Roman"/>
          <w:b/>
          <w:color w:val="000000"/>
          <w:sz w:val="24"/>
        </w:rPr>
        <w:t>Performance Reporting</w:t>
      </w:r>
      <w:r>
        <w:rPr>
          <w:rFonts w:eastAsia="Times New Roman"/>
          <w:color w:val="000000"/>
          <w:sz w:val="24"/>
        </w:rPr>
        <w:t>. All HUD funded programs, including this program, require</w:t>
      </w:r>
    </w:p>
    <w:p w:rsidR="007C25FE" w:rsidRDefault="00AB77A8">
      <w:pPr>
        <w:spacing w:before="5" w:line="273" w:lineRule="exact"/>
        <w:ind w:left="144"/>
        <w:textAlignment w:val="baseline"/>
        <w:rPr>
          <w:rFonts w:eastAsia="Times New Roman"/>
          <w:color w:val="000000"/>
          <w:sz w:val="24"/>
        </w:rPr>
      </w:pPr>
      <w:r>
        <w:rPr>
          <w:rFonts w:eastAsia="Times New Roman"/>
          <w:color w:val="000000"/>
          <w:sz w:val="24"/>
        </w:rPr>
        <w:t>recipients to submit, not less than annually, a report documenting achievement</w:t>
      </w:r>
    </w:p>
    <w:p w:rsidR="007C25FE" w:rsidRDefault="00AB77A8">
      <w:pPr>
        <w:spacing w:before="1" w:after="667" w:line="273" w:lineRule="exact"/>
        <w:ind w:left="144"/>
        <w:textAlignment w:val="baseline"/>
        <w:rPr>
          <w:rFonts w:eastAsia="Times New Roman"/>
          <w:color w:val="000000"/>
          <w:sz w:val="24"/>
        </w:rPr>
      </w:pPr>
      <w:r>
        <w:rPr>
          <w:rFonts w:eastAsia="Times New Roman"/>
          <w:color w:val="000000"/>
          <w:sz w:val="24"/>
        </w:rPr>
        <w:t>of outcomesunder the purpose of the program and the work plan in the award agreement.</w:t>
      </w:r>
    </w:p>
    <w:p w:rsidR="007C25FE" w:rsidRDefault="007C25FE">
      <w:pPr>
        <w:spacing w:before="1" w:after="667" w:line="273" w:lineRule="exact"/>
        <w:sectPr w:rsidR="007C25FE">
          <w:pgSz w:w="12240" w:h="15840"/>
          <w:pgMar w:top="1760" w:right="1420" w:bottom="304" w:left="1363" w:header="720" w:footer="720" w:gutter="0"/>
          <w:cols w:space="720"/>
        </w:sectPr>
      </w:pPr>
    </w:p>
    <w:p w:rsidR="007C25FE" w:rsidRDefault="00AB77A8">
      <w:pPr>
        <w:spacing w:before="3" w:line="273" w:lineRule="exact"/>
        <w:textAlignment w:val="baseline"/>
        <w:rPr>
          <w:rFonts w:eastAsia="Times New Roman"/>
          <w:color w:val="000000"/>
          <w:spacing w:val="-13"/>
          <w:sz w:val="24"/>
        </w:rPr>
      </w:pPr>
      <w:r>
        <w:rPr>
          <w:rFonts w:eastAsia="Times New Roman"/>
          <w:color w:val="000000"/>
          <w:spacing w:val="-13"/>
          <w:sz w:val="24"/>
        </w:rPr>
        <w:t>44 of 49</w:t>
      </w:r>
    </w:p>
    <w:p w:rsidR="007C25FE" w:rsidRDefault="007C25FE">
      <w:pPr>
        <w:sectPr w:rsidR="007C25FE">
          <w:type w:val="continuous"/>
          <w:pgSz w:w="12240" w:h="15840"/>
          <w:pgMar w:top="1760" w:right="1443" w:bottom="304" w:left="9997" w:header="720" w:footer="720" w:gutter="0"/>
          <w:cols w:space="720"/>
        </w:sectPr>
      </w:pPr>
    </w:p>
    <w:p w:rsidR="007C25FE" w:rsidRDefault="00AB77A8">
      <w:pPr>
        <w:spacing w:before="8" w:after="462" w:line="277" w:lineRule="exact"/>
        <w:ind w:left="72"/>
        <w:textAlignment w:val="baseline"/>
        <w:rPr>
          <w:rFonts w:eastAsia="Times New Roman"/>
          <w:color w:val="000000"/>
          <w:sz w:val="24"/>
        </w:rPr>
      </w:pPr>
      <w:r>
        <w:rPr>
          <w:rFonts w:eastAsia="Times New Roman"/>
          <w:color w:val="000000"/>
          <w:sz w:val="24"/>
        </w:rPr>
        <w:t>FY18 - Additional Program Specific Reporting Requirements and Frequency of Reporting</w:t>
      </w:r>
    </w:p>
    <w:p w:rsidR="007C25FE" w:rsidRDefault="00AB77A8">
      <w:pPr>
        <w:spacing w:before="20" w:line="278" w:lineRule="exact"/>
        <w:ind w:left="72" w:right="360"/>
        <w:textAlignment w:val="baseline"/>
        <w:rPr>
          <w:rFonts w:eastAsia="Times New Roman"/>
          <w:b/>
          <w:color w:val="000000"/>
          <w:sz w:val="24"/>
        </w:rPr>
      </w:pPr>
      <w:r>
        <w:rPr>
          <w:noProof/>
        </w:rPr>
        <mc:AlternateContent>
          <mc:Choice Requires="wps">
            <w:drawing>
              <wp:anchor distT="0" distB="0" distL="114300" distR="114300" simplePos="0" relativeHeight="251688960" behindDoc="0" locked="0" layoutInCell="1" allowOverlap="1" wp14:anchorId="139C93A0" wp14:editId="78D81D5D">
                <wp:simplePos x="0" y="0"/>
                <wp:positionH relativeFrom="page">
                  <wp:posOffset>874395</wp:posOffset>
                </wp:positionH>
                <wp:positionV relativeFrom="page">
                  <wp:posOffset>1493520</wp:posOffset>
                </wp:positionV>
                <wp:extent cx="600519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2F0E9" id="Line 15"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117.6pt" to="541.7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MNHQ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" strokecolor="#ccc" strokeweight=".7pt">
                <w10:wrap anchorx="page" anchory="page"/>
              </v:line>
            </w:pict>
          </mc:Fallback>
        </mc:AlternateContent>
      </w:r>
      <w:r>
        <w:rPr>
          <w:noProof/>
        </w:rPr>
        <mc:AlternateContent>
          <mc:Choice Requires="wps">
            <w:drawing>
              <wp:anchor distT="0" distB="0" distL="114300" distR="114300" simplePos="0" relativeHeight="251689984" behindDoc="0" locked="0" layoutInCell="1" allowOverlap="1" wp14:anchorId="15EB7A7D" wp14:editId="05C6D113">
                <wp:simplePos x="0" y="0"/>
                <wp:positionH relativeFrom="page">
                  <wp:posOffset>874395</wp:posOffset>
                </wp:positionH>
                <wp:positionV relativeFrom="page">
                  <wp:posOffset>6971030</wp:posOffset>
                </wp:positionV>
                <wp:extent cx="600519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7350E" id="Line 14"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548.9pt" to="541.7pt,5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OHg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" strokecolor="#ccc" strokeweight=".7pt">
                <w10:wrap anchorx="page" anchory="page"/>
              </v:line>
            </w:pict>
          </mc:Fallback>
        </mc:AlternateContent>
      </w:r>
      <w:r>
        <w:rPr>
          <w:noProof/>
        </w:rPr>
        <mc:AlternateContent>
          <mc:Choice Requires="wps">
            <w:drawing>
              <wp:anchor distT="0" distB="0" distL="114300" distR="114300" simplePos="0" relativeHeight="251691008" behindDoc="0" locked="0" layoutInCell="1" allowOverlap="1" wp14:anchorId="374F7A34" wp14:editId="7F0FEE7C">
                <wp:simplePos x="0" y="0"/>
                <wp:positionH relativeFrom="page">
                  <wp:posOffset>874395</wp:posOffset>
                </wp:positionH>
                <wp:positionV relativeFrom="page">
                  <wp:posOffset>1493520</wp:posOffset>
                </wp:positionV>
                <wp:extent cx="0" cy="547751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751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FC202C" id="Line 1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117.6pt" to="68.85pt,5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EzHg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" strokecolor="#ccc" strokeweight=".7pt">
                <w10:wrap anchorx="page" anchory="page"/>
              </v:line>
            </w:pict>
          </mc:Fallback>
        </mc:AlternateContent>
      </w:r>
      <w:r>
        <w:rPr>
          <w:noProof/>
        </w:rPr>
        <mc:AlternateContent>
          <mc:Choice Requires="wps">
            <w:drawing>
              <wp:anchor distT="0" distB="0" distL="114300" distR="114300" simplePos="0" relativeHeight="251692032" behindDoc="0" locked="0" layoutInCell="1" allowOverlap="1" wp14:anchorId="213D03D5" wp14:editId="3CC8D4BA">
                <wp:simplePos x="0" y="0"/>
                <wp:positionH relativeFrom="page">
                  <wp:posOffset>6879590</wp:posOffset>
                </wp:positionH>
                <wp:positionV relativeFrom="page">
                  <wp:posOffset>1493520</wp:posOffset>
                </wp:positionV>
                <wp:extent cx="0" cy="547751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751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A25F0" id="Line 12"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pt,117.6pt" to="541.7pt,5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3wHgIAAEM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" strokecolor="#ccc" strokeweight=".7pt">
                <w10:wrap anchorx="page" anchory="page"/>
              </v:line>
            </w:pict>
          </mc:Fallback>
        </mc:AlternateContent>
      </w:r>
      <w:r>
        <w:rPr>
          <w:rFonts w:eastAsia="Times New Roman"/>
          <w:b/>
          <w:color w:val="000000"/>
          <w:sz w:val="24"/>
        </w:rPr>
        <w:t>Race, Ethnicity and Other Data for this program is reported on the HUD-9902, Housing Counseling Activity Report.</w:t>
      </w:r>
    </w:p>
    <w:p w:rsidR="007C25FE" w:rsidRDefault="00AB77A8">
      <w:pPr>
        <w:spacing w:before="115" w:line="277" w:lineRule="exact"/>
        <w:ind w:left="72" w:right="432"/>
        <w:textAlignment w:val="baseline"/>
        <w:rPr>
          <w:rFonts w:eastAsia="Times New Roman"/>
          <w:b/>
          <w:color w:val="000000"/>
          <w:sz w:val="24"/>
        </w:rPr>
      </w:pPr>
      <w:r>
        <w:rPr>
          <w:rFonts w:eastAsia="Times New Roman"/>
          <w:b/>
          <w:color w:val="000000"/>
          <w:sz w:val="24"/>
        </w:rPr>
        <w:t xml:space="preserve">a. Fiscal Year Activity Report. </w:t>
      </w:r>
      <w:r>
        <w:rPr>
          <w:rFonts w:eastAsia="Times New Roman"/>
          <w:color w:val="000000"/>
          <w:sz w:val="24"/>
        </w:rPr>
        <w:t>Grantees are required to submit Form HUD-9902, Housing Counseling Activity Report, quarterly via HUD's web-based Housing Counseling System (HCS). The information compiled from this report provides HUD with its primary means of measuring program performance.</w:t>
      </w:r>
    </w:p>
    <w:p w:rsidR="007C25FE" w:rsidRDefault="00AB77A8">
      <w:pPr>
        <w:spacing w:before="520" w:line="273" w:lineRule="exact"/>
        <w:ind w:left="72"/>
        <w:textAlignment w:val="baseline"/>
        <w:rPr>
          <w:rFonts w:eastAsia="Times New Roman"/>
          <w:b/>
          <w:color w:val="000000"/>
          <w:spacing w:val="1"/>
          <w:sz w:val="24"/>
        </w:rPr>
      </w:pPr>
      <w:r>
        <w:rPr>
          <w:rFonts w:eastAsia="Times New Roman"/>
          <w:b/>
          <w:color w:val="000000"/>
          <w:spacing w:val="1"/>
          <w:sz w:val="24"/>
        </w:rPr>
        <w:t>4. Transparency Act Reporting.</w:t>
      </w:r>
    </w:p>
    <w:p w:rsidR="007C25FE" w:rsidRDefault="00AB77A8">
      <w:pPr>
        <w:spacing w:before="116" w:line="278" w:lineRule="exact"/>
        <w:ind w:left="72" w:right="288"/>
        <w:textAlignment w:val="baseline"/>
        <w:rPr>
          <w:rFonts w:eastAsia="Times New Roman"/>
          <w:b/>
          <w:color w:val="000000"/>
          <w:spacing w:val="-1"/>
          <w:sz w:val="24"/>
        </w:rPr>
      </w:pPr>
      <w:r>
        <w:rPr>
          <w:rFonts w:eastAsia="Times New Roman"/>
          <w:b/>
          <w:color w:val="000000"/>
          <w:spacing w:val="-1"/>
          <w:sz w:val="24"/>
        </w:rPr>
        <w:t xml:space="preserve">a. </w:t>
      </w:r>
      <w:r>
        <w:rPr>
          <w:rFonts w:eastAsia="Times New Roman"/>
          <w:b/>
          <w:color w:val="000000"/>
          <w:spacing w:val="-1"/>
          <w:sz w:val="24"/>
          <w:u w:val="single"/>
        </w:rPr>
        <w:t xml:space="preserve">Recipient Reporting to Meet the Requirements of the Federal Funding Accountability and Transparency Act of 2006 (Pub. L. 109-282) (Transparency Act), as amended. </w:t>
      </w:r>
    </w:p>
    <w:p w:rsidR="007C25FE" w:rsidRDefault="00AB77A8">
      <w:pPr>
        <w:spacing w:before="115" w:line="277" w:lineRule="exact"/>
        <w:ind w:left="72" w:right="288"/>
        <w:textAlignment w:val="baseline"/>
        <w:rPr>
          <w:rFonts w:eastAsia="Times New Roman"/>
          <w:b/>
          <w:color w:val="000000"/>
          <w:sz w:val="24"/>
        </w:rPr>
      </w:pPr>
      <w:r>
        <w:rPr>
          <w:rFonts w:eastAsia="Times New Roman"/>
          <w:b/>
          <w:color w:val="000000"/>
          <w:sz w:val="24"/>
        </w:rPr>
        <w:t xml:space="preserve">(1) Prime Grant Awardee Reporting. </w:t>
      </w:r>
      <w:r>
        <w:rPr>
          <w:rFonts w:eastAsia="Times New Roman"/>
          <w:color w:val="000000"/>
          <w:sz w:val="24"/>
        </w:rPr>
        <w:t>Prime recipients of the Department’s financial assistance are required to report certain sub-awards in the Federal Funding Accountability and Transparency Act Sub-award System (FSRS) website located</w:t>
      </w:r>
      <w:r>
        <w:rPr>
          <w:rFonts w:eastAsia="Times New Roman"/>
          <w:color w:val="0000EE"/>
          <w:sz w:val="24"/>
          <w:u w:val="single"/>
        </w:rPr>
        <w:t xml:space="preserve"> </w:t>
      </w:r>
      <w:hyperlink r:id="rId71">
        <w:r>
          <w:rPr>
            <w:rFonts w:eastAsia="Times New Roman"/>
            <w:color w:val="0000FF"/>
            <w:sz w:val="24"/>
            <w:u w:val="single"/>
          </w:rPr>
          <w:t>atwww.fsrs.gov</w:t>
        </w:r>
      </w:hyperlink>
      <w:r>
        <w:rPr>
          <w:rFonts w:eastAsia="Times New Roman"/>
          <w:color w:val="000000"/>
          <w:sz w:val="24"/>
        </w:rPr>
        <w:t xml:space="preserve"> or its successor system for all prime awards listed on the FSRS website.</w:t>
      </w:r>
    </w:p>
    <w:p w:rsidR="007C25FE" w:rsidRDefault="00AB77A8">
      <w:pPr>
        <w:spacing w:before="106" w:after="121" w:line="277" w:lineRule="exact"/>
        <w:ind w:left="72" w:right="144"/>
        <w:textAlignment w:val="baseline"/>
        <w:rPr>
          <w:rFonts w:eastAsia="Times New Roman"/>
          <w:b/>
          <w:color w:val="000000"/>
          <w:sz w:val="24"/>
        </w:rPr>
      </w:pPr>
      <w:r>
        <w:rPr>
          <w:rFonts w:eastAsia="Times New Roman"/>
          <w:b/>
          <w:color w:val="000000"/>
          <w:sz w:val="24"/>
        </w:rPr>
        <w:t xml:space="preserve">(a) </w:t>
      </w:r>
      <w:r>
        <w:rPr>
          <w:rFonts w:eastAsia="Times New Roman"/>
          <w:color w:val="000000"/>
          <w:sz w:val="24"/>
        </w:rPr>
        <w:t>Starting with awards made October 1, 2010 prime financial assistance awardees receiving funds directly from the Department are required to report sub-awards and executive compensation information both for the prime award and sub-award recipients, including awards made as pass-through awards or awards to vendors, if the initial prime grant award is $25,000 or greater, or the cumulative prime grant award will be $25,000 or greater if funded incrementally as directed by HUD in accordance with OMB guidance; and the sub-award is $25,000 or greater, or the cumulative sub-award will be $25,000 or greater. For reportable sub-awards, if executive compensation reporting is required and sub-award recipients’ executive compensation is reported through the SAM system, the prime recipient is not required to report this information. The reporting of award and sub-award information is in accordance with the requirements of the Transparency Act, as amended by section 6202 of Public Law 110-252 and OMB Guidance issued to the Federal agencies on September 14, 2010 (75 FR 55669) and in OMB Policy guidance. Please refer to https;//www.fsrs.gov/ for complete information on requirements under the Transparency Act and OMB guidance.</w:t>
      </w:r>
    </w:p>
    <w:p w:rsidR="007C25FE" w:rsidRDefault="00AB77A8">
      <w:pPr>
        <w:pBdr>
          <w:top w:val="single" w:sz="5" w:space="1" w:color="CCCCCC"/>
          <w:left w:val="single" w:sz="5" w:space="3" w:color="CCCCCC"/>
          <w:bottom w:val="single" w:sz="5" w:space="0" w:color="CCCCCC"/>
          <w:right w:val="single" w:sz="5" w:space="7" w:color="CCCCCC"/>
        </w:pBdr>
        <w:spacing w:line="277" w:lineRule="exact"/>
        <w:ind w:left="72" w:right="144"/>
        <w:textAlignment w:val="baseline"/>
        <w:rPr>
          <w:rFonts w:eastAsia="Times New Roman"/>
          <w:color w:val="000000"/>
          <w:sz w:val="24"/>
        </w:rPr>
      </w:pPr>
      <w:r>
        <w:rPr>
          <w:rFonts w:eastAsia="Times New Roman"/>
          <w:color w:val="000000"/>
          <w:sz w:val="24"/>
        </w:rPr>
        <w:t>Please direct questions regarding specific reporting requirements to the point of contact listed in Section VII. Agency Contact(s), below.</w:t>
      </w:r>
    </w:p>
    <w:p w:rsidR="007C25FE" w:rsidRDefault="00AB77A8">
      <w:pPr>
        <w:numPr>
          <w:ilvl w:val="0"/>
          <w:numId w:val="52"/>
        </w:numPr>
        <w:pBdr>
          <w:top w:val="single" w:sz="5" w:space="1" w:color="CCCCCC"/>
          <w:left w:val="single" w:sz="5" w:space="3" w:color="CCCCCC"/>
          <w:bottom w:val="single" w:sz="5" w:space="0" w:color="CCCCCC"/>
          <w:right w:val="single" w:sz="5" w:space="7" w:color="CCCCCC"/>
        </w:pBdr>
        <w:tabs>
          <w:tab w:val="clear" w:pos="288"/>
          <w:tab w:val="left" w:pos="360"/>
        </w:tabs>
        <w:spacing w:before="116" w:line="277" w:lineRule="exact"/>
        <w:ind w:left="72" w:right="144"/>
        <w:textAlignment w:val="baseline"/>
        <w:rPr>
          <w:rFonts w:eastAsia="Times New Roman"/>
          <w:b/>
          <w:color w:val="000000"/>
          <w:sz w:val="24"/>
        </w:rPr>
      </w:pPr>
      <w:r>
        <w:rPr>
          <w:rFonts w:eastAsia="Times New Roman"/>
          <w:b/>
          <w:color w:val="000000"/>
          <w:sz w:val="24"/>
        </w:rPr>
        <w:t>Grants Oversight and New Efficiency Act (GONE Act) Reporting</w:t>
      </w:r>
      <w:r>
        <w:rPr>
          <w:rFonts w:eastAsia="Times New Roman"/>
          <w:color w:val="000000"/>
          <w:sz w:val="24"/>
        </w:rPr>
        <w:t>. Subject to the requirements of Pub. Law 114-117, Grantees with Expired Grants and Undisbursed Balances at the end of the period of performance, must provide a narrative description to the GTR explaining the challenges leading to delays in grant closeout.</w:t>
      </w:r>
    </w:p>
    <w:p w:rsidR="007C25FE" w:rsidRDefault="00AB77A8">
      <w:pPr>
        <w:numPr>
          <w:ilvl w:val="0"/>
          <w:numId w:val="52"/>
        </w:numPr>
        <w:pBdr>
          <w:top w:val="single" w:sz="5" w:space="1" w:color="CCCCCC"/>
          <w:left w:val="single" w:sz="5" w:space="3" w:color="CCCCCC"/>
          <w:bottom w:val="single" w:sz="5" w:space="0" w:color="CCCCCC"/>
          <w:right w:val="single" w:sz="5" w:space="7" w:color="CCCCCC"/>
        </w:pBdr>
        <w:tabs>
          <w:tab w:val="clear" w:pos="288"/>
          <w:tab w:val="left" w:pos="360"/>
        </w:tabs>
        <w:spacing w:before="112" w:line="277" w:lineRule="exact"/>
        <w:ind w:left="72" w:right="144"/>
        <w:textAlignment w:val="baseline"/>
        <w:rPr>
          <w:rFonts w:eastAsia="Times New Roman"/>
          <w:b/>
          <w:color w:val="000000"/>
          <w:spacing w:val="-1"/>
          <w:sz w:val="24"/>
        </w:rPr>
      </w:pPr>
      <w:r>
        <w:rPr>
          <w:rFonts w:eastAsia="Times New Roman"/>
          <w:b/>
          <w:color w:val="000000"/>
          <w:spacing w:val="-1"/>
          <w:sz w:val="24"/>
        </w:rPr>
        <w:t xml:space="preserve">Reporting Changes in Composition and/or Number of Network of Sub-grantees and Funded Branches. </w:t>
      </w:r>
      <w:r>
        <w:rPr>
          <w:rFonts w:eastAsia="Times New Roman"/>
          <w:color w:val="000000"/>
          <w:spacing w:val="-1"/>
          <w:sz w:val="24"/>
        </w:rPr>
        <w:t>In determining the level of funding to award, HUD takes into consideration an applicant’s capacity to meet program goals. Intermediaries, State Housing Finance Agencies (SHFA) and Multistate Organizations (MSO), must report to HUD all changes in the composition and number of their network of sub-grantees and funded branches. Moreover, all</w:t>
      </w:r>
    </w:p>
    <w:p w:rsidR="007C25FE" w:rsidRDefault="007C25FE">
      <w:pPr>
        <w:spacing w:before="269" w:line="288" w:lineRule="exact"/>
        <w:textAlignment w:val="baseline"/>
        <w:rPr>
          <w:rFonts w:eastAsia="Times New Roman"/>
          <w:color w:val="000000"/>
          <w:sz w:val="24"/>
        </w:rPr>
      </w:pPr>
    </w:p>
    <w:p w:rsidR="007C25FE" w:rsidRDefault="007C25FE">
      <w:pPr>
        <w:sectPr w:rsidR="007C25FE">
          <w:pgSz w:w="12240" w:h="15840"/>
          <w:pgMar w:top="1600" w:right="1406" w:bottom="304" w:left="1377"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45 of 49</w:t>
      </w:r>
    </w:p>
    <w:p w:rsidR="007C25FE" w:rsidRDefault="007C25FE">
      <w:pPr>
        <w:sectPr w:rsidR="007C25FE">
          <w:type w:val="continuous"/>
          <w:pgSz w:w="12240" w:h="15840"/>
          <w:pgMar w:top="1600" w:right="1443" w:bottom="304" w:left="9997" w:header="720" w:footer="720" w:gutter="0"/>
          <w:cols w:space="720"/>
        </w:sectPr>
      </w:pPr>
    </w:p>
    <w:p w:rsidR="007C25FE" w:rsidRDefault="00AB77A8">
      <w:pPr>
        <w:pBdr>
          <w:top w:val="single" w:sz="5" w:space="2" w:color="CCCCCC"/>
          <w:left w:val="single" w:sz="5" w:space="3" w:color="CCCCCC"/>
          <w:bottom w:val="single" w:sz="5" w:space="6" w:color="CCCCCC"/>
          <w:right w:val="single" w:sz="5" w:space="3" w:color="CCCCCC"/>
        </w:pBdr>
        <w:spacing w:after="2117" w:line="276" w:lineRule="exact"/>
        <w:ind w:left="72" w:right="72"/>
        <w:textAlignment w:val="baseline"/>
        <w:rPr>
          <w:rFonts w:eastAsia="Times New Roman"/>
          <w:color w:val="000000"/>
          <w:sz w:val="24"/>
        </w:rPr>
      </w:pPr>
      <w:r>
        <w:rPr>
          <w:rFonts w:eastAsia="Times New Roman"/>
          <w:color w:val="000000"/>
          <w:sz w:val="24"/>
        </w:rPr>
        <w:t>grantees are reminded of their duty under 24 CFR 214.305 to notify HUD of any changes in staff personnel responsible for the</w:t>
      </w:r>
      <w:r>
        <w:rPr>
          <w:rFonts w:eastAsia="Times New Roman"/>
          <w:color w:val="0000EE"/>
          <w:sz w:val="24"/>
          <w:u w:val="single"/>
        </w:rPr>
        <w:t xml:space="preserve"> Housing Counseling</w:t>
      </w:r>
      <w:r>
        <w:rPr>
          <w:rFonts w:eastAsia="Times New Roman"/>
          <w:color w:val="000000"/>
          <w:sz w:val="24"/>
        </w:rPr>
        <w:t xml:space="preserve"> program. HUD reserves the right to adjust the award amount granted through this year’s NOFA or a second-year funding run should the number of a grantees network of sub-grantees and funded branches change significantly from that proposed in the grant application. For an Intermediary, SHFA or MSO, a significant change might include, but is not limited to, a 25 percent or greater decrease in the number of their sub-grantees and funded branches from that stated in the Intermediary’s, SHFA’s or MSO’s grant application.</w:t>
      </w:r>
    </w:p>
    <w:p w:rsidR="007C25FE" w:rsidRDefault="00AB77A8">
      <w:pPr>
        <w:shd w:val="solid" w:color="E0E0E0" w:fill="E0E0E0"/>
        <w:spacing w:after="30" w:line="274" w:lineRule="exact"/>
        <w:ind w:left="72"/>
        <w:textAlignment w:val="baseline"/>
        <w:rPr>
          <w:rFonts w:eastAsia="Times New Roman"/>
          <w:b/>
          <w:color w:val="000000"/>
          <w:sz w:val="24"/>
        </w:rPr>
      </w:pPr>
      <w:r>
        <w:rPr>
          <w:rFonts w:eastAsia="Times New Roman"/>
          <w:b/>
          <w:color w:val="000000"/>
          <w:sz w:val="24"/>
        </w:rPr>
        <w:t>D. Debriefing.</w:t>
      </w:r>
    </w:p>
    <w:p w:rsidR="007C25FE" w:rsidRDefault="00AB77A8">
      <w:pPr>
        <w:spacing w:after="427" w:line="276" w:lineRule="exact"/>
        <w:ind w:left="72" w:right="360"/>
        <w:textAlignment w:val="baseline"/>
        <w:rPr>
          <w:rFonts w:eastAsia="Times New Roman"/>
          <w:color w:val="000000"/>
          <w:sz w:val="24"/>
        </w:rPr>
      </w:pPr>
      <w:r>
        <w:rPr>
          <w:rFonts w:eastAsia="Times New Roman"/>
          <w:color w:val="000000"/>
          <w:sz w:val="24"/>
        </w:rPr>
        <w:t>For a period of at least 120 days, beginning 30 days after the public announcement of awards under this NOFA, HUD will provide a debriefing related to their application to requesting applicants. A request for debriefing must be made in writing or by email by the authorized official whose signature appears on the SF424 or by his or her successor in office, and be submitted to the point of contact in Section VII Agency Contact(s), below. Information provided during a debriefing may include the final score the applicant received for each rating factor, final evaluator comments for each rating factor, and the final assessment indicating the basis upon which funding was approved or denied.</w:t>
      </w:r>
    </w:p>
    <w:p w:rsidR="007C25FE" w:rsidRDefault="00AB77A8">
      <w:pPr>
        <w:numPr>
          <w:ilvl w:val="0"/>
          <w:numId w:val="53"/>
        </w:numPr>
        <w:shd w:val="solid" w:color="BCDFFB" w:fill="BCDFFB"/>
        <w:tabs>
          <w:tab w:val="clear" w:pos="504"/>
          <w:tab w:val="left" w:pos="576"/>
        </w:tabs>
        <w:spacing w:after="163" w:line="274" w:lineRule="exact"/>
        <w:ind w:left="72"/>
        <w:textAlignment w:val="baseline"/>
        <w:rPr>
          <w:rFonts w:eastAsia="Times New Roman"/>
          <w:b/>
          <w:color w:val="000000"/>
          <w:sz w:val="24"/>
        </w:rPr>
      </w:pPr>
      <w:r>
        <w:rPr>
          <w:rFonts w:eastAsia="Times New Roman"/>
          <w:b/>
          <w:color w:val="000000"/>
          <w:sz w:val="24"/>
        </w:rPr>
        <w:t>Agency Contacts.</w:t>
      </w:r>
    </w:p>
    <w:p w:rsidR="007C25FE" w:rsidRDefault="00AB77A8">
      <w:pPr>
        <w:spacing w:line="276" w:lineRule="exact"/>
        <w:ind w:left="72"/>
        <w:textAlignment w:val="baseline"/>
        <w:rPr>
          <w:rFonts w:eastAsia="Times New Roman"/>
          <w:color w:val="000000"/>
          <w:sz w:val="24"/>
        </w:rPr>
      </w:pPr>
      <w:r>
        <w:rPr>
          <w:rFonts w:eastAsia="Times New Roman"/>
          <w:color w:val="000000"/>
          <w:sz w:val="24"/>
        </w:rPr>
        <w:t>HUD staff will be available to provide clarification on the content of this NOFA.</w:t>
      </w:r>
    </w:p>
    <w:p w:rsidR="007C25FE" w:rsidRDefault="00AB77A8">
      <w:pPr>
        <w:spacing w:before="3" w:line="276" w:lineRule="exact"/>
        <w:ind w:left="72"/>
        <w:textAlignment w:val="baseline"/>
        <w:rPr>
          <w:rFonts w:eastAsia="Times New Roman"/>
          <w:color w:val="000000"/>
          <w:sz w:val="24"/>
        </w:rPr>
      </w:pPr>
      <w:r>
        <w:rPr>
          <w:rFonts w:eastAsia="Times New Roman"/>
          <w:color w:val="000000"/>
          <w:sz w:val="24"/>
        </w:rPr>
        <w:t>Questions regarding specific program requirements for this NOFA should be directed to the</w:t>
      </w:r>
    </w:p>
    <w:p w:rsidR="007C25FE" w:rsidRDefault="00AB77A8">
      <w:pPr>
        <w:spacing w:line="273" w:lineRule="exact"/>
        <w:ind w:left="72"/>
        <w:textAlignment w:val="baseline"/>
        <w:rPr>
          <w:rFonts w:eastAsia="Times New Roman"/>
          <w:color w:val="000000"/>
          <w:sz w:val="24"/>
        </w:rPr>
      </w:pPr>
      <w:r>
        <w:rPr>
          <w:rFonts w:eastAsia="Times New Roman"/>
          <w:color w:val="000000"/>
          <w:sz w:val="24"/>
        </w:rPr>
        <w:t>point of contact listed below.</w:t>
      </w:r>
    </w:p>
    <w:p w:rsidR="007C25FE" w:rsidRDefault="00AB77A8">
      <w:pPr>
        <w:spacing w:before="152" w:line="276" w:lineRule="exact"/>
        <w:ind w:left="72"/>
        <w:textAlignment w:val="baseline"/>
        <w:rPr>
          <w:rFonts w:eastAsia="Times New Roman"/>
          <w:color w:val="000000"/>
          <w:sz w:val="24"/>
        </w:rPr>
      </w:pPr>
      <w:r>
        <w:rPr>
          <w:rFonts w:eastAsia="Times New Roman"/>
          <w:color w:val="000000"/>
          <w:sz w:val="24"/>
        </w:rPr>
        <w:t>Connie Barton</w:t>
      </w:r>
    </w:p>
    <w:p w:rsidR="007C25FE" w:rsidRDefault="00AB77A8">
      <w:pPr>
        <w:spacing w:before="31" w:line="276" w:lineRule="exact"/>
        <w:ind w:left="72"/>
        <w:textAlignment w:val="baseline"/>
        <w:rPr>
          <w:rFonts w:eastAsia="Times New Roman"/>
          <w:color w:val="000000"/>
          <w:spacing w:val="-2"/>
          <w:sz w:val="24"/>
        </w:rPr>
      </w:pPr>
      <w:r>
        <w:rPr>
          <w:rFonts w:eastAsia="Times New Roman"/>
          <w:color w:val="000000"/>
          <w:spacing w:val="-2"/>
          <w:sz w:val="24"/>
        </w:rPr>
        <w:t>(617) 994-8521</w:t>
      </w:r>
    </w:p>
    <w:p w:rsidR="007C25FE" w:rsidRDefault="005D7575">
      <w:pPr>
        <w:spacing w:before="27" w:line="276" w:lineRule="exact"/>
        <w:ind w:left="72"/>
        <w:textAlignment w:val="baseline"/>
        <w:rPr>
          <w:rFonts w:eastAsia="Times New Roman"/>
          <w:color w:val="0000EE"/>
          <w:sz w:val="24"/>
          <w:u w:val="single"/>
        </w:rPr>
      </w:pPr>
      <w:hyperlink r:id="rId72">
        <w:r w:rsidR="00AB77A8">
          <w:rPr>
            <w:rFonts w:eastAsia="Times New Roman"/>
            <w:color w:val="0000FF"/>
            <w:sz w:val="24"/>
            <w:u w:val="single"/>
          </w:rPr>
          <w:t>Housing.Counseling@hud.gov</w:t>
        </w:r>
      </w:hyperlink>
      <w:r w:rsidR="00AB77A8">
        <w:rPr>
          <w:rFonts w:eastAsia="Times New Roman"/>
          <w:color w:val="000000"/>
          <w:sz w:val="24"/>
        </w:rPr>
        <w:t xml:space="preserve"> </w:t>
      </w:r>
    </w:p>
    <w:p w:rsidR="007C25FE" w:rsidRDefault="00AB77A8">
      <w:pPr>
        <w:spacing w:before="174" w:after="346" w:line="276" w:lineRule="exact"/>
        <w:ind w:left="72" w:right="504"/>
        <w:textAlignment w:val="baseline"/>
        <w:rPr>
          <w:rFonts w:eastAsia="Times New Roman"/>
          <w:color w:val="000000"/>
          <w:sz w:val="24"/>
        </w:rPr>
      </w:pPr>
      <w:r>
        <w:rPr>
          <w:rFonts w:eastAsia="Times New Roman"/>
          <w:color w:val="000000"/>
          <w:sz w:val="24"/>
        </w:rPr>
        <w:t>Persons with hearing or speech impairments may access this number via TTY by calling the toll-free Federal Relay Service at 800-877-8339. Please note that HUD staff cannot assist applicants in preparing their applications.</w:t>
      </w:r>
    </w:p>
    <w:p w:rsidR="007C25FE" w:rsidRDefault="00AB77A8">
      <w:pPr>
        <w:numPr>
          <w:ilvl w:val="0"/>
          <w:numId w:val="53"/>
        </w:numPr>
        <w:shd w:val="solid" w:color="BCDFFB" w:fill="BCDFFB"/>
        <w:tabs>
          <w:tab w:val="left" w:pos="720"/>
        </w:tabs>
        <w:spacing w:after="202" w:line="274" w:lineRule="exact"/>
        <w:ind w:left="72"/>
        <w:textAlignment w:val="baseline"/>
        <w:rPr>
          <w:rFonts w:eastAsia="Times New Roman"/>
          <w:b/>
          <w:color w:val="000000"/>
          <w:spacing w:val="-2"/>
          <w:sz w:val="24"/>
        </w:rPr>
      </w:pPr>
      <w:r>
        <w:rPr>
          <w:rFonts w:eastAsia="Times New Roman"/>
          <w:b/>
          <w:color w:val="000000"/>
          <w:spacing w:val="-2"/>
          <w:sz w:val="24"/>
        </w:rPr>
        <w:t>Other Information.</w:t>
      </w:r>
    </w:p>
    <w:p w:rsidR="007C25FE" w:rsidRDefault="00AB77A8">
      <w:pPr>
        <w:spacing w:before="3" w:line="274" w:lineRule="exact"/>
        <w:ind w:left="72"/>
        <w:textAlignment w:val="baseline"/>
        <w:rPr>
          <w:rFonts w:eastAsia="Times New Roman"/>
          <w:b/>
          <w:color w:val="000000"/>
          <w:sz w:val="24"/>
        </w:rPr>
      </w:pPr>
      <w:r>
        <w:rPr>
          <w:rFonts w:eastAsia="Times New Roman"/>
          <w:b/>
          <w:color w:val="000000"/>
          <w:sz w:val="24"/>
        </w:rPr>
        <w:t>1. National Environmental Policy Act.</w:t>
      </w:r>
    </w:p>
    <w:p w:rsidR="007C25FE" w:rsidRDefault="00AB77A8">
      <w:pPr>
        <w:spacing w:before="71" w:after="720" w:line="276" w:lineRule="exact"/>
        <w:ind w:left="72" w:right="432"/>
        <w:textAlignment w:val="baseline"/>
        <w:rPr>
          <w:rFonts w:eastAsia="Times New Roman"/>
          <w:color w:val="000000"/>
          <w:spacing w:val="-1"/>
          <w:sz w:val="24"/>
        </w:rPr>
      </w:pPr>
      <w:r>
        <w:rPr>
          <w:rFonts w:eastAsia="Times New Roman"/>
          <w:color w:val="000000"/>
          <w:spacing w:val="-1"/>
          <w:sz w:val="24"/>
        </w:rPr>
        <w:t>This NOFA provides funding under 24 CFR Part 214, which does not contain environmental review provisions because it is excluded from environmental review under the National</w:t>
      </w:r>
    </w:p>
    <w:p w:rsidR="007C25FE" w:rsidRDefault="007C25FE">
      <w:pPr>
        <w:spacing w:before="71" w:after="720" w:line="276" w:lineRule="exact"/>
        <w:sectPr w:rsidR="007C25FE">
          <w:pgSz w:w="12240" w:h="15840"/>
          <w:pgMar w:top="1440" w:right="1410" w:bottom="304" w:left="1373" w:header="720" w:footer="720" w:gutter="0"/>
          <w:cols w:space="720"/>
        </w:sectPr>
      </w:pPr>
    </w:p>
    <w:p w:rsidR="007C25FE" w:rsidRDefault="00AB77A8">
      <w:pPr>
        <w:spacing w:line="276" w:lineRule="exact"/>
        <w:textAlignment w:val="baseline"/>
        <w:rPr>
          <w:rFonts w:eastAsia="Times New Roman"/>
          <w:color w:val="000000"/>
          <w:spacing w:val="-13"/>
          <w:sz w:val="24"/>
        </w:rPr>
      </w:pPr>
      <w:r>
        <w:rPr>
          <w:rFonts w:eastAsia="Times New Roman"/>
          <w:color w:val="000000"/>
          <w:spacing w:val="-13"/>
          <w:sz w:val="24"/>
        </w:rPr>
        <w:t>46 of 49</w:t>
      </w:r>
    </w:p>
    <w:p w:rsidR="007C25FE" w:rsidRDefault="007C25FE">
      <w:pPr>
        <w:sectPr w:rsidR="007C25FE">
          <w:type w:val="continuous"/>
          <w:pgSz w:w="12240" w:h="15840"/>
          <w:pgMar w:top="1440" w:right="1443" w:bottom="304" w:left="9997" w:header="720" w:footer="720" w:gutter="0"/>
          <w:cols w:space="720"/>
        </w:sectPr>
      </w:pPr>
    </w:p>
    <w:p w:rsidR="007C25FE" w:rsidRDefault="00AB77A8">
      <w:pPr>
        <w:spacing w:before="8" w:after="432" w:line="274" w:lineRule="exact"/>
        <w:ind w:left="72" w:right="144"/>
        <w:textAlignment w:val="baseline"/>
        <w:rPr>
          <w:rFonts w:eastAsia="Times New Roman"/>
          <w:color w:val="000000"/>
          <w:spacing w:val="-1"/>
          <w:sz w:val="24"/>
        </w:rPr>
      </w:pPr>
      <w:r>
        <w:rPr>
          <w:rFonts w:eastAsia="Times New Roman"/>
          <w:color w:val="000000"/>
          <w:spacing w:val="-1"/>
          <w:sz w:val="24"/>
        </w:rPr>
        <w:t>Environmental Policy Act of 1969 (42 U.S.C. 4321) ("NEPA"). Accordingly, under 24 CFR §50.19(c)(5), this NOFA is categorically excluded from environmental review under the NEPA.</w:t>
      </w:r>
    </w:p>
    <w:p w:rsidR="007C25FE" w:rsidRDefault="00AB77A8">
      <w:pPr>
        <w:shd w:val="solid" w:color="BCDFFB" w:fill="BCDFFB"/>
        <w:spacing w:after="37" w:line="274" w:lineRule="exact"/>
        <w:ind w:left="72"/>
        <w:textAlignment w:val="baseline"/>
        <w:rPr>
          <w:rFonts w:eastAsia="Times New Roman"/>
          <w:b/>
          <w:color w:val="000000"/>
          <w:sz w:val="24"/>
        </w:rPr>
      </w:pPr>
      <w:r>
        <w:rPr>
          <w:rFonts w:eastAsia="Times New Roman"/>
          <w:b/>
          <w:color w:val="000000"/>
          <w:sz w:val="24"/>
        </w:rPr>
        <w:t>Appendix.</w:t>
      </w:r>
    </w:p>
    <w:p w:rsidR="007C25FE" w:rsidRDefault="00AB77A8">
      <w:pPr>
        <w:spacing w:before="53" w:line="274" w:lineRule="exact"/>
        <w:ind w:left="106" w:right="106"/>
        <w:textAlignment w:val="baseline"/>
        <w:rPr>
          <w:rFonts w:eastAsia="Times New Roman"/>
          <w:b/>
          <w:color w:val="000000"/>
          <w:sz w:val="24"/>
        </w:rPr>
      </w:pPr>
      <w:r>
        <w:rPr>
          <w:noProof/>
        </w:rPr>
        <mc:AlternateContent>
          <mc:Choice Requires="wps">
            <w:drawing>
              <wp:anchor distT="0" distB="311785" distL="0" distR="0" simplePos="0" relativeHeight="251635712" behindDoc="1" locked="0" layoutInCell="1" allowOverlap="1" wp14:anchorId="7F95AEF2" wp14:editId="2C656FC7">
                <wp:simplePos x="0" y="0"/>
                <wp:positionH relativeFrom="page">
                  <wp:posOffset>871855</wp:posOffset>
                </wp:positionH>
                <wp:positionV relativeFrom="page">
                  <wp:posOffset>1795145</wp:posOffset>
                </wp:positionV>
                <wp:extent cx="6005195" cy="73247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732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24"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left:0;text-align:left;margin-left:68.65pt;margin-top:141.35pt;width:472.85pt;height:576.75pt;z-index:-251680768;visibility:visible;mso-wrap-style:square;mso-width-percent:0;mso-height-percent:0;mso-wrap-distance-left:0;mso-wrap-distance-top:0;mso-wrap-distance-right:0;mso-wrap-distance-bottom:24.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2UsQIAALQ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" filled="f" stroked="f">
                <v:textbox inset="0,0,0,0">
                  <w:txbxContent>
                    <w:p w:rsidR="007C25FE" w:rsidRDefault="007C25FE">
                      <w:pPr>
                        <w:pBdr>
                          <w:top w:val="single" w:sz="5" w:space="0" w:color="CCCCCC"/>
                          <w:left w:val="single" w:sz="5" w:space="0" w:color="CCCCCC"/>
                          <w:bottom w:val="single" w:sz="5" w:space="24" w:color="CCCCCC"/>
                          <w:right w:val="single" w:sz="5" w:space="0" w:color="CCCCCC"/>
                        </w:pBdr>
                      </w:pPr>
                    </w:p>
                  </w:txbxContent>
                </v:textbox>
                <w10:wrap anchorx="page" anchory="page"/>
              </v:shape>
            </w:pict>
          </mc:Fallback>
        </mc:AlternateContent>
      </w:r>
      <w:r>
        <w:rPr>
          <w:rFonts w:eastAsia="Times New Roman"/>
          <w:b/>
          <w:color w:val="000000"/>
          <w:sz w:val="24"/>
        </w:rPr>
        <w:t>Appendix A</w:t>
      </w:r>
    </w:p>
    <w:p w:rsidR="007C25FE" w:rsidRDefault="00AB77A8">
      <w:pPr>
        <w:spacing w:before="120" w:line="274" w:lineRule="exact"/>
        <w:ind w:left="106" w:right="106"/>
        <w:textAlignment w:val="baseline"/>
        <w:rPr>
          <w:rFonts w:eastAsia="Times New Roman"/>
          <w:b/>
          <w:color w:val="000000"/>
          <w:sz w:val="24"/>
        </w:rPr>
      </w:pPr>
      <w:r>
        <w:rPr>
          <w:rFonts w:eastAsia="Times New Roman"/>
          <w:b/>
          <w:color w:val="000000"/>
          <w:sz w:val="24"/>
        </w:rPr>
        <w:t>State Housing Finance Agencies (SHFAs) and HUD-approved Intermediaries</w:t>
      </w:r>
    </w:p>
    <w:p w:rsidR="007C25FE" w:rsidRDefault="00AB77A8">
      <w:pPr>
        <w:spacing w:before="132" w:line="276" w:lineRule="exact"/>
        <w:ind w:left="106" w:right="322"/>
        <w:textAlignment w:val="baseline"/>
        <w:rPr>
          <w:rFonts w:eastAsia="Times New Roman"/>
          <w:i/>
          <w:color w:val="000000"/>
          <w:sz w:val="24"/>
        </w:rPr>
      </w:pPr>
      <w:r>
        <w:rPr>
          <w:rFonts w:eastAsia="Times New Roman"/>
          <w:i/>
          <w:color w:val="000000"/>
          <w:sz w:val="24"/>
        </w:rPr>
        <w:t>HUD's Office of Housing Counseling maintains a listing of currently-approved State Housing Finance Agencies (SHFAs) and HUD-approved Intermediaries at</w:t>
      </w:r>
      <w:r>
        <w:rPr>
          <w:rFonts w:eastAsia="Times New Roman"/>
          <w:color w:val="0000EE"/>
          <w:sz w:val="24"/>
          <w:u w:val="single"/>
        </w:rPr>
        <w:t xml:space="preserve"> </w:t>
      </w:r>
      <w:hyperlink r:id="rId73">
        <w:r>
          <w:rPr>
            <w:rFonts w:eastAsia="Times New Roman"/>
            <w:color w:val="0000FF"/>
            <w:sz w:val="24"/>
            <w:u w:val="single"/>
          </w:rPr>
          <w:t>https://www.hudexchange</w:t>
        </w:r>
      </w:hyperlink>
      <w:r>
        <w:rPr>
          <w:rFonts w:eastAsia="Times New Roman"/>
          <w:color w:val="0000EE"/>
          <w:sz w:val="24"/>
          <w:u w:val="single"/>
        </w:rPr>
        <w:t xml:space="preserve">  .info/programs/housing-counseling/intermediaries-shfa/</w:t>
      </w:r>
      <w:r>
        <w:rPr>
          <w:rFonts w:eastAsia="Times New Roman"/>
          <w:i/>
          <w:color w:val="0000EE"/>
          <w:sz w:val="28"/>
          <w:u w:val="single"/>
        </w:rPr>
        <w:t>.</w:t>
      </w:r>
      <w:r>
        <w:rPr>
          <w:rFonts w:eastAsia="Times New Roman"/>
          <w:i/>
          <w:color w:val="0000EE"/>
          <w:sz w:val="24"/>
        </w:rPr>
        <w:t xml:space="preserve"> </w:t>
      </w:r>
    </w:p>
    <w:p w:rsidR="007C25FE" w:rsidRDefault="00AB77A8">
      <w:pPr>
        <w:spacing w:before="107" w:line="276" w:lineRule="exact"/>
        <w:ind w:left="106" w:right="394"/>
        <w:textAlignment w:val="baseline"/>
        <w:rPr>
          <w:rFonts w:eastAsia="Times New Roman"/>
          <w:color w:val="000000"/>
          <w:sz w:val="24"/>
        </w:rPr>
      </w:pPr>
      <w:r>
        <w:rPr>
          <w:rFonts w:eastAsia="Times New Roman"/>
          <w:color w:val="000000"/>
          <w:sz w:val="24"/>
        </w:rPr>
        <w:t xml:space="preserve">This listing is updated periodically. Applicants that want to confirm the status of SHFAs and Intermediaries that are not listed here may contact the Office of Housing Counseling via email at </w:t>
      </w:r>
      <w:hyperlink r:id="rId74">
        <w:r>
          <w:rPr>
            <w:rFonts w:eastAsia="Times New Roman"/>
            <w:color w:val="0000FF"/>
            <w:sz w:val="24"/>
            <w:u w:val="single"/>
          </w:rPr>
          <w:t>housing.counseling@hud.gov</w:t>
        </w:r>
      </w:hyperlink>
      <w:r>
        <w:rPr>
          <w:rFonts w:eastAsia="Times New Roman"/>
          <w:color w:val="000000"/>
          <w:sz w:val="24"/>
        </w:rPr>
        <w:t>.</w:t>
      </w:r>
    </w:p>
    <w:p w:rsidR="007C25FE" w:rsidRDefault="00AB77A8">
      <w:pPr>
        <w:spacing w:before="797" w:line="394" w:lineRule="exact"/>
        <w:ind w:left="106" w:right="106"/>
        <w:textAlignment w:val="baseline"/>
        <w:rPr>
          <w:rFonts w:eastAsia="Times New Roman"/>
          <w:b/>
          <w:color w:val="000000"/>
          <w:sz w:val="24"/>
        </w:rPr>
      </w:pPr>
      <w:r>
        <w:rPr>
          <w:rFonts w:eastAsia="Times New Roman"/>
          <w:b/>
          <w:color w:val="000000"/>
          <w:sz w:val="24"/>
        </w:rPr>
        <w:t xml:space="preserve">Appendix B </w:t>
      </w:r>
      <w:r>
        <w:rPr>
          <w:rFonts w:eastAsia="Times New Roman"/>
          <w:b/>
          <w:color w:val="000000"/>
          <w:sz w:val="24"/>
        </w:rPr>
        <w:br/>
        <w:t>Definitions</w:t>
      </w:r>
    </w:p>
    <w:p w:rsidR="007C25FE" w:rsidRDefault="00AB77A8">
      <w:pPr>
        <w:spacing w:before="121" w:line="276" w:lineRule="exact"/>
        <w:ind w:left="106" w:right="322"/>
        <w:textAlignment w:val="baseline"/>
        <w:rPr>
          <w:rFonts w:eastAsia="Times New Roman"/>
          <w:b/>
          <w:color w:val="000000"/>
          <w:sz w:val="24"/>
        </w:rPr>
      </w:pPr>
      <w:r>
        <w:rPr>
          <w:rFonts w:eastAsia="Times New Roman"/>
          <w:b/>
          <w:color w:val="000000"/>
          <w:sz w:val="24"/>
        </w:rPr>
        <w:t>1. Affiliate</w:t>
      </w:r>
      <w:r>
        <w:rPr>
          <w:rFonts w:eastAsia="Times New Roman"/>
          <w:color w:val="000000"/>
          <w:sz w:val="24"/>
        </w:rPr>
        <w:t>. A nonprofit organization participating in the HUD-related housing counseling program of a regional or national intermediary, or state housing finance agency. An affiliate is incorporated separately from the Intermediary or SHFA. An affiliate is also:</w:t>
      </w:r>
    </w:p>
    <w:p w:rsidR="007C25FE" w:rsidRDefault="00AB77A8">
      <w:pPr>
        <w:numPr>
          <w:ilvl w:val="0"/>
          <w:numId w:val="54"/>
        </w:numPr>
        <w:tabs>
          <w:tab w:val="clear" w:pos="216"/>
          <w:tab w:val="left" w:pos="322"/>
        </w:tabs>
        <w:spacing w:before="121" w:line="273" w:lineRule="exact"/>
        <w:ind w:left="106" w:right="106"/>
        <w:textAlignment w:val="baseline"/>
        <w:rPr>
          <w:rFonts w:eastAsia="Times New Roman"/>
          <w:color w:val="000000"/>
          <w:sz w:val="24"/>
        </w:rPr>
      </w:pPr>
      <w:r>
        <w:rPr>
          <w:rFonts w:eastAsia="Times New Roman"/>
          <w:color w:val="000000"/>
          <w:sz w:val="24"/>
        </w:rPr>
        <w:t>Duly organized and existing as a tax-exempt nonprofit organization;</w:t>
      </w:r>
    </w:p>
    <w:p w:rsidR="007C25FE" w:rsidRDefault="00AB77A8">
      <w:pPr>
        <w:numPr>
          <w:ilvl w:val="0"/>
          <w:numId w:val="54"/>
        </w:numPr>
        <w:tabs>
          <w:tab w:val="clear" w:pos="216"/>
          <w:tab w:val="left" w:pos="322"/>
        </w:tabs>
        <w:spacing w:before="125" w:line="273" w:lineRule="exact"/>
        <w:ind w:left="106" w:right="106"/>
        <w:textAlignment w:val="baseline"/>
        <w:rPr>
          <w:rFonts w:eastAsia="Times New Roman"/>
          <w:color w:val="000000"/>
          <w:sz w:val="24"/>
        </w:rPr>
      </w:pPr>
      <w:r>
        <w:rPr>
          <w:rFonts w:eastAsia="Times New Roman"/>
          <w:color w:val="000000"/>
          <w:sz w:val="24"/>
        </w:rPr>
        <w:t>In good standing under the laws of the state of the organization; and</w:t>
      </w:r>
    </w:p>
    <w:p w:rsidR="007C25FE" w:rsidRDefault="00AB77A8">
      <w:pPr>
        <w:numPr>
          <w:ilvl w:val="0"/>
          <w:numId w:val="54"/>
        </w:numPr>
        <w:tabs>
          <w:tab w:val="clear" w:pos="216"/>
          <w:tab w:val="left" w:pos="322"/>
        </w:tabs>
        <w:spacing w:before="116" w:line="278" w:lineRule="exact"/>
        <w:ind w:left="106" w:right="682"/>
        <w:textAlignment w:val="baseline"/>
        <w:rPr>
          <w:rFonts w:eastAsia="Times New Roman"/>
          <w:color w:val="000000"/>
          <w:sz w:val="24"/>
        </w:rPr>
      </w:pPr>
      <w:r>
        <w:rPr>
          <w:rFonts w:eastAsia="Times New Roman"/>
          <w:color w:val="000000"/>
          <w:sz w:val="24"/>
        </w:rPr>
        <w:t>Authorized to do business in the states where it proposes to provide housing counseling services.</w:t>
      </w:r>
    </w:p>
    <w:p w:rsidR="007C25FE" w:rsidRDefault="00AB77A8">
      <w:pPr>
        <w:spacing w:before="121" w:line="274" w:lineRule="exact"/>
        <w:ind w:left="106" w:right="106"/>
        <w:textAlignment w:val="baseline"/>
        <w:rPr>
          <w:rFonts w:eastAsia="Times New Roman"/>
          <w:b/>
          <w:color w:val="000000"/>
          <w:sz w:val="24"/>
        </w:rPr>
      </w:pPr>
      <w:r>
        <w:rPr>
          <w:rFonts w:eastAsia="Times New Roman"/>
          <w:b/>
          <w:color w:val="000000"/>
          <w:sz w:val="24"/>
        </w:rPr>
        <w:t xml:space="preserve">2. Applicant. </w:t>
      </w:r>
      <w:r>
        <w:rPr>
          <w:rFonts w:eastAsia="Times New Roman"/>
          <w:color w:val="000000"/>
          <w:sz w:val="24"/>
        </w:rPr>
        <w:t>A HUD-approved housing counseling agency or SHFA applying for a Housing</w:t>
      </w:r>
    </w:p>
    <w:p w:rsidR="007C25FE" w:rsidRDefault="00AB77A8">
      <w:pPr>
        <w:spacing w:before="4" w:line="273" w:lineRule="exact"/>
        <w:ind w:left="106" w:right="106"/>
        <w:textAlignment w:val="baseline"/>
        <w:rPr>
          <w:rFonts w:eastAsia="Times New Roman"/>
          <w:color w:val="000000"/>
          <w:sz w:val="24"/>
        </w:rPr>
      </w:pPr>
      <w:r>
        <w:rPr>
          <w:rFonts w:eastAsia="Times New Roman"/>
          <w:color w:val="000000"/>
          <w:sz w:val="24"/>
        </w:rPr>
        <w:t>Counseling grant from HUD through this NOFA. The term applicantincludes the</w:t>
      </w:r>
    </w:p>
    <w:p w:rsidR="007C25FE" w:rsidRDefault="00AB77A8">
      <w:pPr>
        <w:spacing w:before="1" w:line="273" w:lineRule="exact"/>
        <w:ind w:left="106" w:right="106"/>
        <w:textAlignment w:val="baseline"/>
        <w:rPr>
          <w:rFonts w:eastAsia="Times New Roman"/>
          <w:color w:val="000000"/>
          <w:sz w:val="24"/>
        </w:rPr>
      </w:pPr>
      <w:r>
        <w:rPr>
          <w:rFonts w:eastAsia="Times New Roman"/>
          <w:color w:val="000000"/>
          <w:sz w:val="24"/>
        </w:rPr>
        <w:t>agency's branches identified in its application.</w:t>
      </w:r>
    </w:p>
    <w:p w:rsidR="007C25FE" w:rsidRDefault="00AB77A8">
      <w:pPr>
        <w:spacing w:before="124" w:line="275" w:lineRule="exact"/>
        <w:ind w:left="106" w:right="178"/>
        <w:textAlignment w:val="baseline"/>
        <w:rPr>
          <w:rFonts w:eastAsia="Times New Roman"/>
          <w:b/>
          <w:color w:val="000000"/>
          <w:spacing w:val="-1"/>
          <w:sz w:val="24"/>
        </w:rPr>
      </w:pPr>
      <w:r>
        <w:rPr>
          <w:rFonts w:eastAsia="Times New Roman"/>
          <w:b/>
          <w:color w:val="000000"/>
          <w:spacing w:val="-1"/>
          <w:sz w:val="24"/>
        </w:rPr>
        <w:t xml:space="preserve">3. Branch. </w:t>
      </w:r>
      <w:r>
        <w:rPr>
          <w:rFonts w:eastAsia="Times New Roman"/>
          <w:color w:val="000000"/>
          <w:spacing w:val="-1"/>
          <w:sz w:val="24"/>
        </w:rPr>
        <w:t>An organizational and subordinate unit of an LHCA, MSO, Intermediary or SHFA, not separately incorporated or organized, that participates in HUD's Housing Counseling Program. A branch must be in good standing under the laws of the state where it proposes to provide housing counseling services. A branch cannot be a sub-grantee or affiliate.</w:t>
      </w:r>
    </w:p>
    <w:p w:rsidR="007C25FE" w:rsidRDefault="00AB77A8">
      <w:pPr>
        <w:spacing w:before="126" w:line="275" w:lineRule="exact"/>
        <w:ind w:left="106" w:right="250"/>
        <w:textAlignment w:val="baseline"/>
        <w:rPr>
          <w:rFonts w:eastAsia="Times New Roman"/>
          <w:color w:val="000000"/>
          <w:sz w:val="24"/>
        </w:rPr>
      </w:pPr>
      <w:r>
        <w:rPr>
          <w:rFonts w:eastAsia="Times New Roman"/>
          <w:color w:val="000000"/>
          <w:sz w:val="24"/>
        </w:rPr>
        <w:t xml:space="preserve">4. </w:t>
      </w:r>
      <w:r>
        <w:rPr>
          <w:rFonts w:eastAsia="Times New Roman"/>
          <w:b/>
          <w:color w:val="000000"/>
          <w:sz w:val="24"/>
        </w:rPr>
        <w:t>Continuity of Operations Plan (COOP)</w:t>
      </w:r>
      <w:r>
        <w:rPr>
          <w:rFonts w:eastAsia="Times New Roman"/>
          <w:color w:val="000000"/>
          <w:sz w:val="24"/>
        </w:rPr>
        <w:t>. An organization’s internal efforts to ensure that a viable capability exists to continue essential functions across a wide range of potential emergencies. COOP plans and procedures delineate essential functions, specify succession to office and the emergency delegation of authority, provide for the safekeeping of vital records and databases, identify alternate operating facilities, and provide for interoperable communications.</w:t>
      </w:r>
    </w:p>
    <w:p w:rsidR="007C25FE" w:rsidRDefault="00AB77A8">
      <w:pPr>
        <w:spacing w:before="122" w:after="510" w:line="276" w:lineRule="exact"/>
        <w:ind w:left="106" w:right="466"/>
        <w:textAlignment w:val="baseline"/>
        <w:rPr>
          <w:rFonts w:eastAsia="Times New Roman"/>
          <w:b/>
          <w:color w:val="000000"/>
          <w:spacing w:val="-2"/>
          <w:sz w:val="24"/>
        </w:rPr>
      </w:pPr>
      <w:r>
        <w:rPr>
          <w:rFonts w:eastAsia="Times New Roman"/>
          <w:b/>
          <w:color w:val="000000"/>
          <w:spacing w:val="-2"/>
          <w:sz w:val="24"/>
        </w:rPr>
        <w:t xml:space="preserve">5. Counseling. </w:t>
      </w:r>
      <w:r>
        <w:rPr>
          <w:rFonts w:eastAsia="Times New Roman"/>
          <w:color w:val="000000"/>
          <w:spacing w:val="-2"/>
          <w:sz w:val="24"/>
        </w:rPr>
        <w:t>Counselor-to-client assistance that addresses unique financial circumstances and housing issues and focuses on ways of overcoming specific obstacles to achieving a housing goal such as addressing a rental dispute, purchasing a home, locating resources for a</w:t>
      </w:r>
    </w:p>
    <w:p w:rsidR="007C25FE" w:rsidRDefault="007C25FE">
      <w:pPr>
        <w:spacing w:before="122" w:after="510" w:line="276" w:lineRule="exact"/>
        <w:sectPr w:rsidR="007C25FE">
          <w:pgSz w:w="12240" w:h="15840"/>
          <w:pgMar w:top="1460" w:right="1410" w:bottom="304" w:left="1373" w:header="720" w:footer="720" w:gutter="0"/>
          <w:cols w:space="720"/>
        </w:sectPr>
      </w:pPr>
    </w:p>
    <w:p w:rsidR="007C25FE" w:rsidRDefault="00AB77A8">
      <w:pPr>
        <w:spacing w:before="3" w:line="273" w:lineRule="exact"/>
        <w:textAlignment w:val="baseline"/>
        <w:rPr>
          <w:rFonts w:eastAsia="Times New Roman"/>
          <w:color w:val="000000"/>
          <w:spacing w:val="-13"/>
          <w:sz w:val="24"/>
        </w:rPr>
      </w:pPr>
      <w:r>
        <w:rPr>
          <w:rFonts w:eastAsia="Times New Roman"/>
          <w:color w:val="000000"/>
          <w:spacing w:val="-13"/>
          <w:sz w:val="24"/>
        </w:rPr>
        <w:t>47 of 49</w:t>
      </w:r>
    </w:p>
    <w:p w:rsidR="007C25FE" w:rsidRDefault="007C25FE">
      <w:pPr>
        <w:sectPr w:rsidR="007C25FE">
          <w:type w:val="continuous"/>
          <w:pgSz w:w="12240" w:h="15840"/>
          <w:pgMar w:top="1460" w:right="1443" w:bottom="304" w:left="9997" w:header="720" w:footer="720" w:gutter="0"/>
          <w:cols w:space="720"/>
        </w:sectPr>
      </w:pPr>
    </w:p>
    <w:p w:rsidR="007C25FE" w:rsidRDefault="00AB77A8">
      <w:pPr>
        <w:spacing w:before="49" w:line="276" w:lineRule="exact"/>
        <w:ind w:left="144" w:right="576"/>
        <w:textAlignment w:val="baseline"/>
        <w:rPr>
          <w:rFonts w:eastAsia="Times New Roman"/>
          <w:color w:val="000000"/>
          <w:sz w:val="24"/>
        </w:rPr>
      </w:pPr>
      <w:r>
        <w:rPr>
          <w:noProof/>
        </w:rPr>
        <mc:AlternateContent>
          <mc:Choice Requires="wps">
            <w:drawing>
              <wp:anchor distT="0" distB="0" distL="114300" distR="114300" simplePos="0" relativeHeight="251693056" behindDoc="0" locked="0" layoutInCell="1" allowOverlap="1" wp14:anchorId="4A7DF47E" wp14:editId="5D195F63">
                <wp:simplePos x="0" y="0"/>
                <wp:positionH relativeFrom="page">
                  <wp:posOffset>875030</wp:posOffset>
                </wp:positionH>
                <wp:positionV relativeFrom="page">
                  <wp:posOffset>914400</wp:posOffset>
                </wp:positionV>
                <wp:extent cx="600519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812B8" id="Line 10"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541.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x3HQ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" strokecolor="#ccc" strokeweight=".7pt">
                <w10:wrap anchorx="page" anchory="page"/>
              </v:line>
            </w:pict>
          </mc:Fallback>
        </mc:AlternateContent>
      </w:r>
      <w:r>
        <w:rPr>
          <w:noProof/>
        </w:rPr>
        <mc:AlternateContent>
          <mc:Choice Requires="wps">
            <w:drawing>
              <wp:anchor distT="0" distB="0" distL="114300" distR="114300" simplePos="0" relativeHeight="251694080" behindDoc="0" locked="0" layoutInCell="1" allowOverlap="1" wp14:anchorId="316D3C19" wp14:editId="46A74A79">
                <wp:simplePos x="0" y="0"/>
                <wp:positionH relativeFrom="page">
                  <wp:posOffset>875030</wp:posOffset>
                </wp:positionH>
                <wp:positionV relativeFrom="page">
                  <wp:posOffset>914400</wp:posOffset>
                </wp:positionV>
                <wp:extent cx="0" cy="817753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753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D936DF" id="Line 9"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9pt,1in" to="68.9pt,7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" strokecolor="#ccc" strokeweight=".7pt">
                <w10:wrap anchorx="page" anchory="page"/>
              </v:line>
            </w:pict>
          </mc:Fallback>
        </mc:AlternateContent>
      </w:r>
      <w:r>
        <w:rPr>
          <w:noProof/>
        </w:rPr>
        <mc:AlternateContent>
          <mc:Choice Requires="wps">
            <w:drawing>
              <wp:anchor distT="0" distB="0" distL="114300" distR="114300" simplePos="0" relativeHeight="251695104" behindDoc="0" locked="0" layoutInCell="1" allowOverlap="1" wp14:anchorId="1AE0D110" wp14:editId="3DC102C4">
                <wp:simplePos x="0" y="0"/>
                <wp:positionH relativeFrom="page">
                  <wp:posOffset>6880225</wp:posOffset>
                </wp:positionH>
                <wp:positionV relativeFrom="page">
                  <wp:posOffset>914400</wp:posOffset>
                </wp:positionV>
                <wp:extent cx="0" cy="817753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753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5124F5" id="Line 8"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5pt,1in" to="541.75pt,7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" strokecolor="#ccc" strokeweight=".7pt">
                <w10:wrap anchorx="page" anchory="page"/>
              </v:line>
            </w:pict>
          </mc:Fallback>
        </mc:AlternateContent>
      </w:r>
      <w:r>
        <w:rPr>
          <w:rFonts w:eastAsia="Times New Roman"/>
          <w:color w:val="000000"/>
          <w:sz w:val="24"/>
        </w:rPr>
        <w:t>down payment, being informed of fair housing and fair lending requirements of the Fair Housing Act, finding units accessible to persons with disabilities and persons with Limited English Proficiency, avoiding foreclosure, or resolving a financial crisis.</w:t>
      </w:r>
    </w:p>
    <w:p w:rsidR="007C25FE" w:rsidRDefault="00AB77A8">
      <w:pPr>
        <w:numPr>
          <w:ilvl w:val="0"/>
          <w:numId w:val="55"/>
        </w:numPr>
        <w:tabs>
          <w:tab w:val="clear" w:pos="360"/>
          <w:tab w:val="left" w:pos="504"/>
        </w:tabs>
        <w:spacing w:before="118" w:line="276" w:lineRule="exact"/>
        <w:ind w:left="144" w:right="144"/>
        <w:textAlignment w:val="baseline"/>
        <w:rPr>
          <w:rFonts w:eastAsia="Times New Roman"/>
          <w:b/>
          <w:color w:val="000000"/>
          <w:sz w:val="24"/>
        </w:rPr>
      </w:pPr>
      <w:r>
        <w:rPr>
          <w:rFonts w:eastAsia="Times New Roman"/>
          <w:b/>
          <w:color w:val="000000"/>
          <w:sz w:val="24"/>
        </w:rPr>
        <w:t xml:space="preserve">Education. </w:t>
      </w:r>
      <w:r>
        <w:rPr>
          <w:rFonts w:eastAsia="Times New Roman"/>
          <w:color w:val="000000"/>
          <w:sz w:val="24"/>
        </w:rPr>
        <w:t>Formal classes, with established curriculum and instructional goals, provided in a group or classroom setting, or other format approved by HUD, covering one or more of the eligible topics in Section III.E.1.b of this NOFA or 24 C.F.R. 214.103.</w:t>
      </w:r>
    </w:p>
    <w:p w:rsidR="007C25FE" w:rsidRDefault="00AB77A8">
      <w:pPr>
        <w:numPr>
          <w:ilvl w:val="0"/>
          <w:numId w:val="55"/>
        </w:numPr>
        <w:tabs>
          <w:tab w:val="clear" w:pos="360"/>
          <w:tab w:val="left" w:pos="504"/>
        </w:tabs>
        <w:spacing w:before="120" w:line="276" w:lineRule="exact"/>
        <w:ind w:left="144" w:right="144"/>
        <w:textAlignment w:val="baseline"/>
        <w:rPr>
          <w:rFonts w:eastAsia="Times New Roman"/>
          <w:b/>
          <w:color w:val="000000"/>
          <w:sz w:val="24"/>
        </w:rPr>
      </w:pPr>
      <w:r>
        <w:rPr>
          <w:rFonts w:eastAsia="Times New Roman"/>
          <w:b/>
          <w:color w:val="000000"/>
          <w:sz w:val="24"/>
        </w:rPr>
        <w:t xml:space="preserve">Full-time equivalent. </w:t>
      </w:r>
      <w:r>
        <w:rPr>
          <w:rFonts w:eastAsia="Times New Roman"/>
          <w:color w:val="000000"/>
          <w:sz w:val="24"/>
        </w:rPr>
        <w:t>The number of total hours worked divided by the maximum number of compensable hours in a full-time schedule as defined by law. For example, if the normal schedule for a quarter is defined as 411.25 hours ([35 hours per week * 52 weeks per year 5 weeks regulatory vacation)] / 4), then someone working 100 hours during that quarter represents 100/411.25 = 0.24 FTE. Two employees working in total 400 hours during that same quarterly period represent 0.97 FTE.</w:t>
      </w:r>
    </w:p>
    <w:p w:rsidR="007C25FE" w:rsidRDefault="00AB77A8">
      <w:pPr>
        <w:numPr>
          <w:ilvl w:val="0"/>
          <w:numId w:val="55"/>
        </w:numPr>
        <w:tabs>
          <w:tab w:val="clear" w:pos="360"/>
          <w:tab w:val="left" w:pos="504"/>
        </w:tabs>
        <w:spacing w:before="118" w:line="276" w:lineRule="exact"/>
        <w:ind w:left="144" w:right="648"/>
        <w:textAlignment w:val="baseline"/>
        <w:rPr>
          <w:rFonts w:eastAsia="Times New Roman"/>
          <w:b/>
          <w:color w:val="000000"/>
          <w:sz w:val="24"/>
        </w:rPr>
      </w:pPr>
      <w:r>
        <w:rPr>
          <w:rFonts w:eastAsia="Times New Roman"/>
          <w:b/>
          <w:color w:val="000000"/>
          <w:sz w:val="24"/>
        </w:rPr>
        <w:t xml:space="preserve">Grantee. </w:t>
      </w:r>
      <w:r>
        <w:rPr>
          <w:rFonts w:eastAsia="Times New Roman"/>
          <w:color w:val="000000"/>
          <w:sz w:val="24"/>
        </w:rPr>
        <w:t>A HUD-approved housing counseling agency or SHFA that receives housing counseling funds from HUD through this NOFA. The term Granteeincludes the Grantee's branches identified in its application.</w:t>
      </w:r>
    </w:p>
    <w:p w:rsidR="007C25FE" w:rsidRDefault="00AB77A8">
      <w:pPr>
        <w:numPr>
          <w:ilvl w:val="0"/>
          <w:numId w:val="55"/>
        </w:numPr>
        <w:tabs>
          <w:tab w:val="left" w:pos="432"/>
        </w:tabs>
        <w:spacing w:before="122" w:line="276" w:lineRule="exact"/>
        <w:ind w:left="144" w:right="144"/>
        <w:textAlignment w:val="baseline"/>
        <w:rPr>
          <w:rFonts w:eastAsia="Times New Roman"/>
          <w:b/>
          <w:color w:val="000000"/>
          <w:spacing w:val="-3"/>
          <w:sz w:val="24"/>
        </w:rPr>
      </w:pPr>
      <w:r>
        <w:rPr>
          <w:rFonts w:eastAsia="Times New Roman"/>
          <w:b/>
          <w:color w:val="000000"/>
          <w:spacing w:val="-3"/>
          <w:sz w:val="24"/>
        </w:rPr>
        <w:t>Homeownership Counseling</w:t>
      </w:r>
      <w:r>
        <w:rPr>
          <w:rFonts w:eastAsia="Times New Roman"/>
          <w:color w:val="000000"/>
          <w:spacing w:val="-3"/>
          <w:sz w:val="24"/>
        </w:rPr>
        <w:t>. The Final Rule defines Homeownership Counseling as Housing Counseling related to homeownership and residential mortgage loans when provided in connection with HUD’s Housing Counseling Program, or required by or provided in connection with HUD Programs. Homeownership Counseling is housing counseling that covers: the decision to purchase a home; the selection and purchase of a home; Issues arising during or affecting the period of ownership of a home (including financing, refinancing, default, and foreclosure, and other financial decisions); and the sale or other disposition of a home.</w:t>
      </w:r>
    </w:p>
    <w:p w:rsidR="007C25FE" w:rsidRDefault="00AB77A8">
      <w:pPr>
        <w:numPr>
          <w:ilvl w:val="0"/>
          <w:numId w:val="55"/>
        </w:numPr>
        <w:tabs>
          <w:tab w:val="clear" w:pos="360"/>
          <w:tab w:val="left" w:pos="504"/>
        </w:tabs>
        <w:spacing w:before="118" w:line="276" w:lineRule="exact"/>
        <w:ind w:left="144" w:right="144"/>
        <w:textAlignment w:val="baseline"/>
        <w:rPr>
          <w:rFonts w:eastAsia="Times New Roman"/>
          <w:b/>
          <w:color w:val="000000"/>
          <w:sz w:val="24"/>
        </w:rPr>
      </w:pPr>
      <w:r>
        <w:rPr>
          <w:rFonts w:eastAsia="Times New Roman"/>
          <w:b/>
          <w:color w:val="000000"/>
          <w:sz w:val="24"/>
        </w:rPr>
        <w:t xml:space="preserve">HUD HECM Roster Counselor. </w:t>
      </w:r>
      <w:r>
        <w:rPr>
          <w:rFonts w:eastAsia="Times New Roman"/>
          <w:color w:val="000000"/>
          <w:sz w:val="24"/>
        </w:rPr>
        <w:t>A housing counselor that has met the requirements pertaining to HUD's HECM Counseling Standardization and Roster (24 C.F.R. 206, Subpart E) and appears on the HUD HECM Counselor Roster.</w:t>
      </w:r>
    </w:p>
    <w:p w:rsidR="007C25FE" w:rsidRDefault="00AB77A8">
      <w:pPr>
        <w:numPr>
          <w:ilvl w:val="0"/>
          <w:numId w:val="55"/>
        </w:numPr>
        <w:tabs>
          <w:tab w:val="clear" w:pos="360"/>
          <w:tab w:val="left" w:pos="504"/>
        </w:tabs>
        <w:spacing w:before="122" w:line="276" w:lineRule="exact"/>
        <w:ind w:left="144" w:right="432"/>
        <w:textAlignment w:val="baseline"/>
        <w:rPr>
          <w:rFonts w:eastAsia="Times New Roman"/>
          <w:b/>
          <w:color w:val="000000"/>
          <w:sz w:val="24"/>
        </w:rPr>
      </w:pPr>
      <w:r>
        <w:rPr>
          <w:rFonts w:eastAsia="Times New Roman"/>
          <w:b/>
          <w:color w:val="000000"/>
          <w:sz w:val="24"/>
        </w:rPr>
        <w:t xml:space="preserve">Intermediary. </w:t>
      </w:r>
      <w:r>
        <w:rPr>
          <w:rFonts w:eastAsia="Times New Roman"/>
          <w:color w:val="000000"/>
          <w:sz w:val="24"/>
        </w:rPr>
        <w:t>A HUD-approved organization that provides housing counseling services indirectly through its branches or affiliates for whom it exercises control over the quality and type of housing counseling services rendered.</w:t>
      </w:r>
    </w:p>
    <w:p w:rsidR="007C25FE" w:rsidRDefault="00AB77A8">
      <w:pPr>
        <w:numPr>
          <w:ilvl w:val="0"/>
          <w:numId w:val="55"/>
        </w:numPr>
        <w:tabs>
          <w:tab w:val="clear" w:pos="360"/>
          <w:tab w:val="left" w:pos="504"/>
        </w:tabs>
        <w:spacing w:before="118" w:line="276" w:lineRule="exact"/>
        <w:ind w:left="144" w:right="288"/>
        <w:textAlignment w:val="baseline"/>
        <w:rPr>
          <w:rFonts w:eastAsia="Times New Roman"/>
          <w:b/>
          <w:color w:val="000000"/>
          <w:sz w:val="24"/>
        </w:rPr>
      </w:pPr>
      <w:r>
        <w:rPr>
          <w:rFonts w:eastAsia="Times New Roman"/>
          <w:b/>
          <w:color w:val="000000"/>
          <w:sz w:val="24"/>
        </w:rPr>
        <w:t xml:space="preserve">Local Housing Counseling Agency (LHCA). </w:t>
      </w:r>
      <w:r>
        <w:rPr>
          <w:rFonts w:eastAsia="Times New Roman"/>
          <w:color w:val="000000"/>
          <w:sz w:val="24"/>
        </w:rPr>
        <w:t>A housing counseling agency that directly provides housing counseling services. An LHCA may have a main office, and one or more branch offices, in no more than two contiguous states.</w:t>
      </w:r>
    </w:p>
    <w:p w:rsidR="007C25FE" w:rsidRDefault="00AB77A8">
      <w:pPr>
        <w:numPr>
          <w:ilvl w:val="0"/>
          <w:numId w:val="55"/>
        </w:numPr>
        <w:tabs>
          <w:tab w:val="clear" w:pos="360"/>
          <w:tab w:val="left" w:pos="504"/>
        </w:tabs>
        <w:spacing w:before="120" w:line="276" w:lineRule="exact"/>
        <w:ind w:left="144" w:right="144"/>
        <w:textAlignment w:val="baseline"/>
        <w:rPr>
          <w:rFonts w:eastAsia="Times New Roman"/>
          <w:b/>
          <w:color w:val="000000"/>
          <w:sz w:val="24"/>
        </w:rPr>
      </w:pPr>
      <w:r>
        <w:rPr>
          <w:rFonts w:eastAsia="Times New Roman"/>
          <w:b/>
          <w:color w:val="000000"/>
          <w:sz w:val="24"/>
        </w:rPr>
        <w:t xml:space="preserve">Multi-State Organization (MSO). </w:t>
      </w:r>
      <w:r>
        <w:rPr>
          <w:rFonts w:eastAsia="Times New Roman"/>
          <w:color w:val="000000"/>
          <w:sz w:val="24"/>
        </w:rPr>
        <w:t>A multi-state organization provides housing counseling services through a main office and branches, in two or more states.</w:t>
      </w:r>
    </w:p>
    <w:p w:rsidR="007C25FE" w:rsidRDefault="00AB77A8">
      <w:pPr>
        <w:numPr>
          <w:ilvl w:val="0"/>
          <w:numId w:val="55"/>
        </w:numPr>
        <w:tabs>
          <w:tab w:val="clear" w:pos="360"/>
          <w:tab w:val="left" w:pos="504"/>
        </w:tabs>
        <w:spacing w:before="120" w:line="276" w:lineRule="exact"/>
        <w:ind w:left="144" w:right="144"/>
        <w:textAlignment w:val="baseline"/>
        <w:rPr>
          <w:rFonts w:eastAsia="Times New Roman"/>
          <w:b/>
          <w:color w:val="000000"/>
          <w:sz w:val="24"/>
        </w:rPr>
      </w:pPr>
      <w:r>
        <w:rPr>
          <w:rFonts w:eastAsia="Times New Roman"/>
          <w:b/>
          <w:color w:val="000000"/>
          <w:sz w:val="24"/>
        </w:rPr>
        <w:t xml:space="preserve">Participating Agency. </w:t>
      </w:r>
      <w:r>
        <w:rPr>
          <w:rFonts w:eastAsia="Times New Roman"/>
          <w:color w:val="000000"/>
          <w:sz w:val="24"/>
        </w:rPr>
        <w:t>Participating Agencies are all housing counseling and intermediary organizations participating in HUD's Housing Counseling program, including HUD-approved agencies, and affiliates and branches of HUD-approved Intermediaries, HUD-approved Multi-State Organizations, and State Housing Finance Agencies.</w:t>
      </w:r>
    </w:p>
    <w:p w:rsidR="007C25FE" w:rsidRDefault="00AB77A8">
      <w:pPr>
        <w:numPr>
          <w:ilvl w:val="0"/>
          <w:numId w:val="55"/>
        </w:numPr>
        <w:tabs>
          <w:tab w:val="clear" w:pos="360"/>
          <w:tab w:val="left" w:pos="504"/>
        </w:tabs>
        <w:spacing w:before="122" w:after="6" w:line="276" w:lineRule="exact"/>
        <w:ind w:left="144" w:right="144"/>
        <w:textAlignment w:val="baseline"/>
        <w:rPr>
          <w:rFonts w:eastAsia="Times New Roman"/>
          <w:b/>
          <w:color w:val="000000"/>
          <w:spacing w:val="-2"/>
          <w:sz w:val="24"/>
        </w:rPr>
      </w:pPr>
      <w:r>
        <w:rPr>
          <w:rFonts w:eastAsia="Times New Roman"/>
          <w:b/>
          <w:color w:val="000000"/>
          <w:spacing w:val="-2"/>
          <w:sz w:val="24"/>
        </w:rPr>
        <w:t xml:space="preserve">State Housing Finance Agency (SHFA). </w:t>
      </w:r>
      <w:r>
        <w:rPr>
          <w:rFonts w:eastAsia="Times New Roman"/>
          <w:color w:val="000000"/>
          <w:spacing w:val="-2"/>
          <w:sz w:val="24"/>
        </w:rPr>
        <w:t>Any public body, agency or instrumentality created by a specific act of a state legislature empowered to finance activities designed to provide housing and related facilities and services, through land acquisition, construction or rehabilitation, throughout an entire state. SHFAs may provide direct counseling services or sub-grant housing counseling funds to affiliated housing counseling agencies within the SHFA's</w:t>
      </w:r>
    </w:p>
    <w:p w:rsidR="007C25FE" w:rsidRDefault="00AB77A8">
      <w:pPr>
        <w:spacing w:before="265" w:line="288" w:lineRule="exact"/>
        <w:textAlignment w:val="baseline"/>
        <w:rPr>
          <w:rFonts w:eastAsia="Times New Roman"/>
          <w:color w:val="000000"/>
          <w:sz w:val="24"/>
        </w:rPr>
      </w:pPr>
      <w:r>
        <w:rPr>
          <w:noProof/>
        </w:rPr>
        <mc:AlternateContent>
          <mc:Choice Requires="wps">
            <w:drawing>
              <wp:anchor distT="0" distB="0" distL="114300" distR="114300" simplePos="0" relativeHeight="251696128" behindDoc="0" locked="0" layoutInCell="1" allowOverlap="1" wp14:anchorId="3093FCA2" wp14:editId="384FAE1D">
                <wp:simplePos x="0" y="0"/>
                <wp:positionH relativeFrom="column">
                  <wp:posOffset>0</wp:posOffset>
                </wp:positionH>
                <wp:positionV relativeFrom="paragraph">
                  <wp:posOffset>0</wp:posOffset>
                </wp:positionV>
                <wp:extent cx="600519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1B1423" id="Line 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wgHQ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" strokecolor="#ccc" strokeweight=".7pt"/>
            </w:pict>
          </mc:Fallback>
        </mc:AlternateContent>
      </w:r>
    </w:p>
    <w:p w:rsidR="007C25FE" w:rsidRDefault="007C25FE">
      <w:pPr>
        <w:sectPr w:rsidR="007C25FE">
          <w:pgSz w:w="12240" w:h="15840"/>
          <w:pgMar w:top="1440" w:right="1405" w:bottom="304" w:left="1378" w:header="720" w:footer="720" w:gutter="0"/>
          <w:cols w:space="720"/>
        </w:sectPr>
      </w:pPr>
    </w:p>
    <w:p w:rsidR="007C25FE" w:rsidRDefault="00AB77A8">
      <w:pPr>
        <w:spacing w:line="275" w:lineRule="exact"/>
        <w:textAlignment w:val="baseline"/>
        <w:rPr>
          <w:rFonts w:eastAsia="Times New Roman"/>
          <w:color w:val="000000"/>
          <w:spacing w:val="-13"/>
          <w:sz w:val="24"/>
        </w:rPr>
      </w:pPr>
      <w:r>
        <w:rPr>
          <w:rFonts w:eastAsia="Times New Roman"/>
          <w:color w:val="000000"/>
          <w:spacing w:val="-13"/>
          <w:sz w:val="24"/>
        </w:rPr>
        <w:t>48 of 49</w:t>
      </w:r>
    </w:p>
    <w:p w:rsidR="007C25FE" w:rsidRDefault="007C25FE">
      <w:pPr>
        <w:sectPr w:rsidR="007C25FE">
          <w:type w:val="continuous"/>
          <w:pgSz w:w="12240" w:h="15840"/>
          <w:pgMar w:top="1440" w:right="1443" w:bottom="304" w:left="9997" w:header="720" w:footer="720" w:gutter="0"/>
          <w:cols w:space="720"/>
        </w:sectPr>
      </w:pPr>
    </w:p>
    <w:p w:rsidR="007C25FE" w:rsidRDefault="00AB77A8">
      <w:pPr>
        <w:spacing w:before="29" w:line="276" w:lineRule="exact"/>
        <w:ind w:left="144" w:right="504"/>
        <w:textAlignment w:val="baseline"/>
        <w:rPr>
          <w:rFonts w:eastAsia="Times New Roman"/>
          <w:color w:val="000000"/>
          <w:sz w:val="24"/>
        </w:rPr>
      </w:pPr>
      <w:r>
        <w:rPr>
          <w:noProof/>
        </w:rPr>
        <mc:AlternateContent>
          <mc:Choice Requires="wps">
            <w:drawing>
              <wp:anchor distT="0" distB="0" distL="114300" distR="114300" simplePos="0" relativeHeight="251697152" behindDoc="0" locked="0" layoutInCell="1" allowOverlap="1" wp14:anchorId="63D77183" wp14:editId="5B2AACC5">
                <wp:simplePos x="0" y="0"/>
                <wp:positionH relativeFrom="page">
                  <wp:posOffset>874395</wp:posOffset>
                </wp:positionH>
                <wp:positionV relativeFrom="page">
                  <wp:posOffset>927100</wp:posOffset>
                </wp:positionV>
                <wp:extent cx="60051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A2EF4" id="Line 6"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73pt" to="54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4bHQ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" strokecolor="#ccc" strokeweight=".7pt">
                <w10:wrap anchorx="page" anchory="page"/>
              </v:line>
            </w:pict>
          </mc:Fallback>
        </mc:AlternateContent>
      </w:r>
      <w:r>
        <w:rPr>
          <w:noProof/>
        </w:rPr>
        <mc:AlternateContent>
          <mc:Choice Requires="wps">
            <w:drawing>
              <wp:anchor distT="0" distB="0" distL="114300" distR="114300" simplePos="0" relativeHeight="251698176" behindDoc="0" locked="0" layoutInCell="1" allowOverlap="1" wp14:anchorId="0F32D6EA" wp14:editId="2C6B7E37">
                <wp:simplePos x="0" y="0"/>
                <wp:positionH relativeFrom="page">
                  <wp:posOffset>874395</wp:posOffset>
                </wp:positionH>
                <wp:positionV relativeFrom="page">
                  <wp:posOffset>927100</wp:posOffset>
                </wp:positionV>
                <wp:extent cx="0" cy="202057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057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293AA" id="Line 5"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5pt,73pt" to="68.85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o6HQIAAEE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" strokecolor="#ccc" strokeweight=".7pt">
                <w10:wrap anchorx="page" anchory="page"/>
              </v:line>
            </w:pict>
          </mc:Fallback>
        </mc:AlternateContent>
      </w:r>
      <w:r>
        <w:rPr>
          <w:noProof/>
        </w:rPr>
        <mc:AlternateContent>
          <mc:Choice Requires="wps">
            <w:drawing>
              <wp:anchor distT="0" distB="0" distL="114300" distR="114300" simplePos="0" relativeHeight="251699200" behindDoc="0" locked="0" layoutInCell="1" allowOverlap="1" wp14:anchorId="32D5C817" wp14:editId="4E69F877">
                <wp:simplePos x="0" y="0"/>
                <wp:positionH relativeFrom="page">
                  <wp:posOffset>6879590</wp:posOffset>
                </wp:positionH>
                <wp:positionV relativeFrom="page">
                  <wp:posOffset>927100</wp:posOffset>
                </wp:positionV>
                <wp:extent cx="0" cy="202057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057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A1DE9" id="Line 4"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7pt,73pt" to="541.7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gBHQIAAEEEAAAOAAAAZHJzL2Uyb0RvYy54bWysU8GO2jAQvVfqP1i+QxKaZS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" strokecolor="#ccc" strokeweight=".7pt">
                <w10:wrap anchorx="page" anchory="page"/>
              </v:line>
            </w:pict>
          </mc:Fallback>
        </mc:AlternateContent>
      </w:r>
      <w:r>
        <w:rPr>
          <w:rFonts w:eastAsia="Times New Roman"/>
          <w:color w:val="000000"/>
          <w:sz w:val="24"/>
        </w:rPr>
        <w:t>state, or both. The term state includes the fifty states, Puerto Rico, the District of Columbia, Guam, the Commonwealth of the Northern Mariana Islands, American Samoa, and the U.S. Virgin Islands.</w:t>
      </w:r>
    </w:p>
    <w:p w:rsidR="007C25FE" w:rsidRDefault="00AB77A8">
      <w:pPr>
        <w:numPr>
          <w:ilvl w:val="0"/>
          <w:numId w:val="56"/>
        </w:numPr>
        <w:tabs>
          <w:tab w:val="clear" w:pos="360"/>
          <w:tab w:val="left" w:pos="504"/>
        </w:tabs>
        <w:spacing w:before="116" w:line="276" w:lineRule="exact"/>
        <w:ind w:left="144" w:right="360"/>
        <w:textAlignment w:val="baseline"/>
        <w:rPr>
          <w:rFonts w:eastAsia="Times New Roman"/>
          <w:b/>
          <w:color w:val="000000"/>
          <w:spacing w:val="-2"/>
          <w:sz w:val="24"/>
        </w:rPr>
      </w:pPr>
      <w:r>
        <w:rPr>
          <w:rFonts w:eastAsia="Times New Roman"/>
          <w:b/>
          <w:color w:val="000000"/>
          <w:spacing w:val="-2"/>
          <w:sz w:val="24"/>
        </w:rPr>
        <w:t xml:space="preserve">Sub-grantee. </w:t>
      </w:r>
      <w:r>
        <w:rPr>
          <w:rFonts w:eastAsia="Times New Roman"/>
          <w:color w:val="000000"/>
          <w:spacing w:val="-2"/>
          <w:sz w:val="24"/>
        </w:rPr>
        <w:t>An affiliate of a HUD-approved Intermediary or SHFA that receives a sub-grant of housing counseling funds provided under a HUD housing counseling grant. All sub-grantees must be identified in the grantee's application. Under certain conditions, including approval by HUD, grantees may amend their sub-grantee list after awards are made.</w:t>
      </w:r>
    </w:p>
    <w:p w:rsidR="007C25FE" w:rsidRDefault="00AB77A8">
      <w:pPr>
        <w:numPr>
          <w:ilvl w:val="0"/>
          <w:numId w:val="56"/>
        </w:numPr>
        <w:tabs>
          <w:tab w:val="clear" w:pos="360"/>
          <w:tab w:val="left" w:pos="504"/>
        </w:tabs>
        <w:spacing w:before="122" w:after="121" w:line="276" w:lineRule="exact"/>
        <w:ind w:left="144" w:right="432"/>
        <w:textAlignment w:val="baseline"/>
        <w:rPr>
          <w:rFonts w:eastAsia="Times New Roman"/>
          <w:b/>
          <w:color w:val="000000"/>
          <w:sz w:val="24"/>
        </w:rPr>
      </w:pPr>
      <w:r>
        <w:rPr>
          <w:rFonts w:eastAsia="Times New Roman"/>
          <w:b/>
          <w:color w:val="000000"/>
          <w:sz w:val="24"/>
        </w:rPr>
        <w:t xml:space="preserve">Reverse Mortgage. </w:t>
      </w:r>
      <w:r>
        <w:rPr>
          <w:rFonts w:eastAsia="Times New Roman"/>
          <w:color w:val="000000"/>
          <w:sz w:val="24"/>
        </w:rPr>
        <w:t>A reverse mortgage is a mortgage that pays a homeowner loan proceeds drawn from accumulated home equity and that requires no repayment until a future time.</w:t>
      </w:r>
    </w:p>
    <w:p w:rsidR="007C25FE" w:rsidRDefault="00AB77A8">
      <w:pPr>
        <w:spacing w:before="66" w:line="288" w:lineRule="exact"/>
        <w:textAlignment w:val="baseline"/>
        <w:rPr>
          <w:rFonts w:eastAsia="Times New Roman"/>
          <w:color w:val="000000"/>
          <w:sz w:val="24"/>
        </w:rPr>
      </w:pPr>
      <w:r>
        <w:rPr>
          <w:noProof/>
        </w:rPr>
        <mc:AlternateContent>
          <mc:Choice Requires="wps">
            <w:drawing>
              <wp:anchor distT="0" distB="0" distL="0" distR="0" simplePos="0" relativeHeight="251636736" behindDoc="1" locked="0" layoutInCell="1" allowOverlap="1" wp14:anchorId="526DCC77" wp14:editId="5949C5E6">
                <wp:simplePos x="0" y="0"/>
                <wp:positionH relativeFrom="column">
                  <wp:posOffset>48895</wp:posOffset>
                </wp:positionH>
                <wp:positionV relativeFrom="paragraph">
                  <wp:posOffset>0</wp:posOffset>
                </wp:positionV>
                <wp:extent cx="5907405" cy="213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5FE" w:rsidRDefault="007C25FE">
                            <w:pPr>
                              <w:pBdr>
                                <w:top w:val="single" w:sz="5" w:space="0" w:color="CCCCCC"/>
                                <w:left w:val="single" w:sz="5" w:space="0" w:color="CCCCCC"/>
                                <w:bottom w:val="single" w:sz="5" w:space="0" w:color="CCCCCC"/>
                                <w:right w:val="single" w:sz="5" w:space="0" w:color="CCCCCC"/>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7" type="#_x0000_t202" style="position:absolute;margin-left:3.85pt;margin-top:0;width:465.15pt;height:16.8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XdswIAALE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" filled="f" stroked="f">
                <v:textbox inset="0,0,0,0">
                  <w:txbxContent>
                    <w:p w:rsidR="007C25FE" w:rsidRDefault="007C25FE">
                      <w:pPr>
                        <w:pBdr>
                          <w:top w:val="single" w:sz="5" w:space="0" w:color="CCCCCC"/>
                          <w:left w:val="single" w:sz="5" w:space="0" w:color="CCCCCC"/>
                          <w:bottom w:val="single" w:sz="5" w:space="0" w:color="CCCCCC"/>
                          <w:right w:val="single" w:sz="5" w:space="0" w:color="CCCCCC"/>
                        </w:pBd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E39EC22" wp14:editId="0F24BD8E">
                <wp:simplePos x="0" y="0"/>
                <wp:positionH relativeFrom="column">
                  <wp:posOffset>0</wp:posOffset>
                </wp:positionH>
                <wp:positionV relativeFrom="paragraph">
                  <wp:posOffset>0</wp:posOffset>
                </wp:positionV>
                <wp:extent cx="600519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889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7F70C" id="Line 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X3HQ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" strokecolor="#ccc" strokeweight=".7pt"/>
            </w:pict>
          </mc:Fallback>
        </mc:AlternateContent>
      </w:r>
    </w:p>
    <w:p w:rsidR="007C25FE" w:rsidRDefault="007C25FE">
      <w:pPr>
        <w:sectPr w:rsidR="007C25FE">
          <w:pgSz w:w="12240" w:h="15840"/>
          <w:pgMar w:top="1460" w:right="1406" w:bottom="304" w:left="1377" w:header="720" w:footer="720" w:gutter="0"/>
          <w:cols w:space="720"/>
        </w:sectPr>
      </w:pPr>
    </w:p>
    <w:p w:rsidR="007C25FE" w:rsidRDefault="00AB77A8">
      <w:pPr>
        <w:spacing w:before="9874" w:line="276" w:lineRule="exact"/>
        <w:textAlignment w:val="baseline"/>
        <w:rPr>
          <w:rFonts w:eastAsia="Times New Roman"/>
          <w:color w:val="000000"/>
          <w:spacing w:val="-13"/>
          <w:sz w:val="24"/>
        </w:rPr>
      </w:pPr>
      <w:r>
        <w:rPr>
          <w:rFonts w:eastAsia="Times New Roman"/>
          <w:color w:val="000000"/>
          <w:spacing w:val="-13"/>
          <w:sz w:val="24"/>
        </w:rPr>
        <w:t>49 of 49</w:t>
      </w:r>
    </w:p>
    <w:sectPr w:rsidR="007C25FE">
      <w:type w:val="continuous"/>
      <w:pgSz w:w="12240" w:h="15840"/>
      <w:pgMar w:top="1460" w:right="1443" w:bottom="304" w:left="99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Segoe UI Symbol">
    <w:charset w:val="00"/>
    <w:pitch w:val="variable"/>
    <w:family w:val="swiss"/>
    <w:panose1 w:val="02020603050405020304"/>
  </w:font>
  <w:font w:name="Arial">
    <w:charset w:val="00"/>
    <w:pitch w:val="variable"/>
    <w:family w:val="swiss"/>
    <w:panose1 w:val="02020603050405020304"/>
  </w:font>
  <w:font w:name="Symbol">
    <w:pitch w:val="default"/>
    <w:family w:val="auto"/>
  </w:font>
  <w:font w:name="Courier New">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441"/>
    <w:multiLevelType w:val="multilevel"/>
    <w:tmpl w:val="D1508D94"/>
    <w:lvl w:ilvl="0">
      <w:start w:val="5"/>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74C7"/>
    <w:multiLevelType w:val="multilevel"/>
    <w:tmpl w:val="864A69F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A517F"/>
    <w:multiLevelType w:val="multilevel"/>
    <w:tmpl w:val="7096975A"/>
    <w:lvl w:ilvl="0">
      <w:start w:val="1"/>
      <w:numFmt w:val="decimal"/>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576BD"/>
    <w:multiLevelType w:val="multilevel"/>
    <w:tmpl w:val="10304F9E"/>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666E4"/>
    <w:multiLevelType w:val="multilevel"/>
    <w:tmpl w:val="F3D274D8"/>
    <w:lvl w:ilvl="0">
      <w:start w:val="1"/>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72344"/>
    <w:multiLevelType w:val="multilevel"/>
    <w:tmpl w:val="461605A2"/>
    <w:lvl w:ilvl="0">
      <w:start w:val="1"/>
      <w:numFmt w:val="lowerRoman"/>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91C8E"/>
    <w:multiLevelType w:val="multilevel"/>
    <w:tmpl w:val="4C8605BE"/>
    <w:lvl w:ilvl="0">
      <w:start w:val="3"/>
      <w:numFmt w:val="lowerLetter"/>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9649D"/>
    <w:multiLevelType w:val="multilevel"/>
    <w:tmpl w:val="6BDC66BA"/>
    <w:lvl w:ilvl="0">
      <w:start w:val="1"/>
      <w:numFmt w:val="decimal"/>
      <w:lvlText w:val="(%1)"/>
      <w:lvlJc w:val="left"/>
      <w:pPr>
        <w:tabs>
          <w:tab w:val="left" w:pos="360"/>
        </w:tabs>
        <w:ind w:left="720"/>
      </w:pPr>
      <w:rPr>
        <w:rFonts w:ascii="Times New Roman" w:eastAsia="Times New Roman" w:hAnsi="Times New Roman"/>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E2101"/>
    <w:multiLevelType w:val="multilevel"/>
    <w:tmpl w:val="A9246E3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3B7784"/>
    <w:multiLevelType w:val="multilevel"/>
    <w:tmpl w:val="CFA22AE4"/>
    <w:lvl w:ilvl="0">
      <w:start w:val="9"/>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4F7474"/>
    <w:multiLevelType w:val="multilevel"/>
    <w:tmpl w:val="AC7C9BE6"/>
    <w:lvl w:ilvl="0">
      <w:start w:val="1"/>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16447"/>
    <w:multiLevelType w:val="multilevel"/>
    <w:tmpl w:val="6D96A6DE"/>
    <w:lvl w:ilvl="0">
      <w:start w:val="1"/>
      <w:numFmt w:val="lowerLetter"/>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290E78"/>
    <w:multiLevelType w:val="multilevel"/>
    <w:tmpl w:val="8A0A163E"/>
    <w:lvl w:ilvl="0">
      <w:start w:val="1"/>
      <w:numFmt w:val="lowerLetter"/>
      <w:lvlText w:val="(%1)"/>
      <w:lvlJc w:val="left"/>
      <w:pPr>
        <w:tabs>
          <w:tab w:val="left" w:pos="288"/>
        </w:tabs>
        <w:ind w:left="720"/>
      </w:pPr>
      <w:rPr>
        <w:rFonts w:ascii="Times New Roman" w:eastAsia="Times New Roman" w:hAnsi="Times New Roman"/>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2876CE"/>
    <w:multiLevelType w:val="multilevel"/>
    <w:tmpl w:val="370645FE"/>
    <w:lvl w:ilvl="0">
      <w:start w:val="1"/>
      <w:numFmt w:val="bullet"/>
      <w:lvlText w:val="·"/>
      <w:lvlJc w:val="left"/>
      <w:pPr>
        <w:tabs>
          <w:tab w:val="left" w:pos="216"/>
        </w:tabs>
        <w:ind w:left="720"/>
      </w:pPr>
      <w:rPr>
        <w:rFonts w:ascii="Symbol" w:eastAsia="Symbol" w:hAnsi="Symbol"/>
        <w:strike w:val="0"/>
        <w:color w:val="0000EE"/>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F527C7"/>
    <w:multiLevelType w:val="multilevel"/>
    <w:tmpl w:val="8014F0EE"/>
    <w:lvl w:ilvl="0">
      <w:start w:val="1"/>
      <w:numFmt w:val="lowerLetter"/>
      <w:lvlText w:val="%1."/>
      <w:lvlJc w:val="left"/>
      <w:pPr>
        <w:tabs>
          <w:tab w:val="left" w:pos="504"/>
        </w:tabs>
        <w:ind w:left="720"/>
      </w:pPr>
      <w:rPr>
        <w:rFonts w:ascii="Times New Roman" w:eastAsia="Times New Roman" w:hAnsi="Times New Roman"/>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114849"/>
    <w:multiLevelType w:val="multilevel"/>
    <w:tmpl w:val="A01CD9DE"/>
    <w:lvl w:ilvl="0">
      <w:start w:val="8"/>
      <w:numFmt w:val="lowerLetter"/>
      <w:lvlText w:val="%1."/>
      <w:lvlJc w:val="left"/>
      <w:pPr>
        <w:tabs>
          <w:tab w:val="left" w:pos="14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BA7998"/>
    <w:multiLevelType w:val="multilevel"/>
    <w:tmpl w:val="0F2AFE38"/>
    <w:lvl w:ilvl="0">
      <w:start w:val="1"/>
      <w:numFmt w:val="lowerRoman"/>
      <w:lvlText w:val="%1."/>
      <w:lvlJc w:val="left"/>
      <w:pPr>
        <w:tabs>
          <w:tab w:val="left" w:pos="50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F4FD9"/>
    <w:multiLevelType w:val="multilevel"/>
    <w:tmpl w:val="F24E3ECA"/>
    <w:lvl w:ilvl="0">
      <w:start w:val="5"/>
      <w:numFmt w:val="upperLetter"/>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5C4222"/>
    <w:multiLevelType w:val="multilevel"/>
    <w:tmpl w:val="CC380718"/>
    <w:lvl w:ilvl="0">
      <w:start w:val="4"/>
      <w:numFmt w:val="upperLetter"/>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650FBB"/>
    <w:multiLevelType w:val="multilevel"/>
    <w:tmpl w:val="39B2B2D4"/>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8E2B6F"/>
    <w:multiLevelType w:val="multilevel"/>
    <w:tmpl w:val="DA28DB02"/>
    <w:lvl w:ilvl="0">
      <w:start w:val="2"/>
      <w:numFmt w:val="lowerLetter"/>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080CD3"/>
    <w:multiLevelType w:val="multilevel"/>
    <w:tmpl w:val="3D9ACF08"/>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F3015F"/>
    <w:multiLevelType w:val="multilevel"/>
    <w:tmpl w:val="6E1808E6"/>
    <w:lvl w:ilvl="0">
      <w:start w:val="1"/>
      <w:numFmt w:val="bullet"/>
      <w:lvlText w:val="o"/>
      <w:lvlJc w:val="left"/>
      <w:pPr>
        <w:tabs>
          <w:tab w:val="left" w:pos="216"/>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74714"/>
    <w:multiLevelType w:val="multilevel"/>
    <w:tmpl w:val="3EC6807A"/>
    <w:lvl w:ilvl="0">
      <w:start w:val="3"/>
      <w:numFmt w:val="lowerLetter"/>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900B91"/>
    <w:multiLevelType w:val="multilevel"/>
    <w:tmpl w:val="C618FE8E"/>
    <w:lvl w:ilvl="0">
      <w:start w:val="4"/>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9C6CF8"/>
    <w:multiLevelType w:val="multilevel"/>
    <w:tmpl w:val="70EEF4CA"/>
    <w:lvl w:ilvl="0">
      <w:start w:val="1"/>
      <w:numFmt w:val="lowerLetter"/>
      <w:lvlText w:val="(%1)"/>
      <w:lvlJc w:val="left"/>
      <w:pPr>
        <w:tabs>
          <w:tab w:val="left" w:pos="288"/>
        </w:tabs>
        <w:ind w:left="720"/>
      </w:pPr>
      <w:rPr>
        <w:rFonts w:ascii="Times New Roman" w:eastAsia="Times New Roman" w:hAnsi="Times New Roman"/>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FF51E5"/>
    <w:multiLevelType w:val="multilevel"/>
    <w:tmpl w:val="13B8C6A8"/>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35503A"/>
    <w:multiLevelType w:val="multilevel"/>
    <w:tmpl w:val="2DC66DF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852EC7"/>
    <w:multiLevelType w:val="multilevel"/>
    <w:tmpl w:val="7478B466"/>
    <w:lvl w:ilvl="0">
      <w:start w:val="1"/>
      <w:numFmt w:val="lowerLetter"/>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5749AF"/>
    <w:multiLevelType w:val="multilevel"/>
    <w:tmpl w:val="EC74C074"/>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5B2B46"/>
    <w:multiLevelType w:val="multilevel"/>
    <w:tmpl w:val="B59A7316"/>
    <w:lvl w:ilvl="0">
      <w:start w:val="5"/>
      <w:numFmt w:val="decimal"/>
      <w:lvlText w:val="(%1)"/>
      <w:lvlJc w:val="left"/>
      <w:pPr>
        <w:tabs>
          <w:tab w:val="left" w:pos="288"/>
        </w:tabs>
        <w:ind w:left="720"/>
      </w:pPr>
      <w:rPr>
        <w:rFonts w:ascii="Times New Roman" w:eastAsia="Times New Roman" w:hAnsi="Times New Roman"/>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7B7F85"/>
    <w:multiLevelType w:val="multilevel"/>
    <w:tmpl w:val="C80627A4"/>
    <w:lvl w:ilvl="0">
      <w:start w:val="2"/>
      <w:numFmt w:val="decimal"/>
      <w:lvlText w:val="(%1)"/>
      <w:lvlJc w:val="left"/>
      <w:pPr>
        <w:tabs>
          <w:tab w:val="left" w:pos="288"/>
        </w:tabs>
        <w:ind w:left="720"/>
      </w:pPr>
      <w:rPr>
        <w:rFonts w:ascii="Times New Roman" w:eastAsia="Times New Roman" w:hAnsi="Times New Roman"/>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1978B7"/>
    <w:multiLevelType w:val="multilevel"/>
    <w:tmpl w:val="B91CE708"/>
    <w:lvl w:ilvl="0">
      <w:start w:val="6"/>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E4706C"/>
    <w:multiLevelType w:val="multilevel"/>
    <w:tmpl w:val="51E2E2AE"/>
    <w:lvl w:ilvl="0">
      <w:start w:val="1"/>
      <w:numFmt w:val="upperLetter"/>
      <w:lvlText w:val="%1."/>
      <w:lvlJc w:val="left"/>
      <w:pPr>
        <w:tabs>
          <w:tab w:val="left" w:pos="360"/>
        </w:tabs>
        <w:ind w:left="720"/>
      </w:pPr>
      <w:rPr>
        <w:rFonts w:ascii="Times New Roman" w:eastAsia="Times New Roman" w:hAnsi="Times New Roman"/>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14246B"/>
    <w:multiLevelType w:val="multilevel"/>
    <w:tmpl w:val="B3AA08BC"/>
    <w:lvl w:ilvl="0">
      <w:start w:val="1"/>
      <w:numFmt w:val="lowerLetter"/>
      <w:lvlText w:val="(%1)"/>
      <w:lvlJc w:val="left"/>
      <w:pPr>
        <w:tabs>
          <w:tab w:val="left" w:pos="288"/>
        </w:tabs>
        <w:ind w:left="720"/>
      </w:pPr>
      <w:rPr>
        <w:rFonts w:ascii="Times New Roman" w:eastAsia="Times New Roman" w:hAnsi="Times New Roman"/>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2A5D12"/>
    <w:multiLevelType w:val="multilevel"/>
    <w:tmpl w:val="A4BE7D14"/>
    <w:lvl w:ilvl="0">
      <w:start w:val="2"/>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F0114C"/>
    <w:multiLevelType w:val="multilevel"/>
    <w:tmpl w:val="6C0698BE"/>
    <w:lvl w:ilvl="0">
      <w:start w:val="1"/>
      <w:numFmt w:val="lowerLetter"/>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580EDF"/>
    <w:multiLevelType w:val="multilevel"/>
    <w:tmpl w:val="77BAA674"/>
    <w:lvl w:ilvl="0">
      <w:start w:val="1"/>
      <w:numFmt w:val="decimal"/>
      <w:lvlText w:val="%1."/>
      <w:lvlJc w:val="left"/>
      <w:pPr>
        <w:tabs>
          <w:tab w:val="left" w:pos="216"/>
        </w:tabs>
        <w:ind w:left="720"/>
      </w:pPr>
      <w:rPr>
        <w:rFonts w:ascii="Times New Roman" w:eastAsia="Times New Roman" w:hAnsi="Times New Roman"/>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DE5D27"/>
    <w:multiLevelType w:val="multilevel"/>
    <w:tmpl w:val="FCA4D1DE"/>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753338"/>
    <w:multiLevelType w:val="multilevel"/>
    <w:tmpl w:val="59381184"/>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3A179F"/>
    <w:multiLevelType w:val="multilevel"/>
    <w:tmpl w:val="E0FCDC7A"/>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D41832"/>
    <w:multiLevelType w:val="multilevel"/>
    <w:tmpl w:val="B2D8A79A"/>
    <w:lvl w:ilvl="0">
      <w:start w:val="1"/>
      <w:numFmt w:val="decimal"/>
      <w:lvlText w:val="%1."/>
      <w:lvlJc w:val="left"/>
      <w:pPr>
        <w:tabs>
          <w:tab w:val="left" w:pos="216"/>
        </w:tabs>
        <w:ind w:left="720"/>
      </w:pPr>
      <w:rPr>
        <w:rFonts w:ascii="Times New Roman" w:eastAsia="Times New Roman" w:hAnsi="Times New Roman"/>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2925D4"/>
    <w:multiLevelType w:val="multilevel"/>
    <w:tmpl w:val="F69E9E28"/>
    <w:lvl w:ilvl="0">
      <w:start w:val="1"/>
      <w:numFmt w:val="lowerRoman"/>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2F1C75"/>
    <w:multiLevelType w:val="multilevel"/>
    <w:tmpl w:val="B95CA5D2"/>
    <w:lvl w:ilvl="0">
      <w:start w:val="16"/>
      <w:numFmt w:val="decimal"/>
      <w:lvlText w:val="%1."/>
      <w:lvlJc w:val="left"/>
      <w:pPr>
        <w:tabs>
          <w:tab w:val="left" w:pos="360"/>
        </w:tabs>
        <w:ind w:left="720"/>
      </w:pPr>
      <w:rPr>
        <w:rFonts w:ascii="Times New Roman" w:eastAsia="Times New Roman" w:hAnsi="Times New Roman"/>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9F4BEE"/>
    <w:multiLevelType w:val="multilevel"/>
    <w:tmpl w:val="4976A6C0"/>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BB42CE"/>
    <w:multiLevelType w:val="multilevel"/>
    <w:tmpl w:val="11821DBC"/>
    <w:lvl w:ilvl="0">
      <w:start w:val="7"/>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375D16"/>
    <w:multiLevelType w:val="multilevel"/>
    <w:tmpl w:val="DAF8D884"/>
    <w:lvl w:ilvl="0">
      <w:start w:val="1"/>
      <w:numFmt w:val="lowerRoman"/>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4A4030A"/>
    <w:multiLevelType w:val="multilevel"/>
    <w:tmpl w:val="9620C978"/>
    <w:lvl w:ilvl="0">
      <w:start w:val="5"/>
      <w:numFmt w:val="lowerLetter"/>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7566E58"/>
    <w:multiLevelType w:val="multilevel"/>
    <w:tmpl w:val="051A1690"/>
    <w:lvl w:ilvl="0">
      <w:start w:val="2"/>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8B6B0B"/>
    <w:multiLevelType w:val="multilevel"/>
    <w:tmpl w:val="BDF02F38"/>
    <w:lvl w:ilvl="0">
      <w:start w:val="3"/>
      <w:numFmt w:val="lowerLetter"/>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4673D2"/>
    <w:multiLevelType w:val="multilevel"/>
    <w:tmpl w:val="0E4265C4"/>
    <w:lvl w:ilvl="0">
      <w:start w:val="7"/>
      <w:numFmt w:val="upperRoman"/>
      <w:lvlText w:val="%1."/>
      <w:lvlJc w:val="left"/>
      <w:pPr>
        <w:tabs>
          <w:tab w:val="left" w:pos="50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0C385B"/>
    <w:multiLevelType w:val="multilevel"/>
    <w:tmpl w:val="4F0E4638"/>
    <w:lvl w:ilvl="0">
      <w:start w:val="1"/>
      <w:numFmt w:val="lowerLetter"/>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952FE5"/>
    <w:multiLevelType w:val="multilevel"/>
    <w:tmpl w:val="5386A322"/>
    <w:lvl w:ilvl="0">
      <w:start w:val="1"/>
      <w:numFmt w:val="upperLetter"/>
      <w:lvlText w:val="%1."/>
      <w:lvlJc w:val="left"/>
      <w:pPr>
        <w:tabs>
          <w:tab w:val="left" w:pos="216"/>
        </w:tabs>
        <w:ind w:left="720"/>
      </w:pPr>
      <w:rPr>
        <w:rFonts w:ascii="Times New Roman" w:eastAsia="Times New Roman" w:hAnsi="Times New Roman"/>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0464EE"/>
    <w:multiLevelType w:val="multilevel"/>
    <w:tmpl w:val="7F546214"/>
    <w:lvl w:ilvl="0">
      <w:start w:val="1"/>
      <w:numFmt w:val="decimal"/>
      <w:lvlText w:val="(%1)"/>
      <w:lvlJc w:val="left"/>
      <w:pPr>
        <w:tabs>
          <w:tab w:val="left" w:pos="360"/>
        </w:tabs>
        <w:ind w:left="720"/>
      </w:pPr>
      <w:rPr>
        <w:rFonts w:ascii="Times New Roman" w:eastAsia="Times New Roman" w:hAnsi="Times New Roman"/>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E71193F"/>
    <w:multiLevelType w:val="multilevel"/>
    <w:tmpl w:val="8EFC0206"/>
    <w:lvl w:ilvl="0">
      <w:start w:val="3"/>
      <w:numFmt w:val="upperLetter"/>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92061F"/>
    <w:multiLevelType w:val="multilevel"/>
    <w:tmpl w:val="0ED0A1D4"/>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5"/>
  </w:num>
  <w:num w:numId="3">
    <w:abstractNumId w:val="44"/>
  </w:num>
  <w:num w:numId="4">
    <w:abstractNumId w:val="29"/>
  </w:num>
  <w:num w:numId="5">
    <w:abstractNumId w:val="27"/>
  </w:num>
  <w:num w:numId="6">
    <w:abstractNumId w:val="31"/>
  </w:num>
  <w:num w:numId="7">
    <w:abstractNumId w:val="6"/>
  </w:num>
  <w:num w:numId="8">
    <w:abstractNumId w:val="24"/>
  </w:num>
  <w:num w:numId="9">
    <w:abstractNumId w:val="13"/>
  </w:num>
  <w:num w:numId="10">
    <w:abstractNumId w:val="33"/>
  </w:num>
  <w:num w:numId="11">
    <w:abstractNumId w:val="39"/>
  </w:num>
  <w:num w:numId="12">
    <w:abstractNumId w:val="18"/>
  </w:num>
  <w:num w:numId="13">
    <w:abstractNumId w:val="21"/>
  </w:num>
  <w:num w:numId="14">
    <w:abstractNumId w:val="51"/>
  </w:num>
  <w:num w:numId="15">
    <w:abstractNumId w:val="11"/>
  </w:num>
  <w:num w:numId="16">
    <w:abstractNumId w:val="54"/>
  </w:num>
  <w:num w:numId="17">
    <w:abstractNumId w:val="53"/>
  </w:num>
  <w:num w:numId="18">
    <w:abstractNumId w:val="49"/>
  </w:num>
  <w:num w:numId="19">
    <w:abstractNumId w:val="47"/>
  </w:num>
  <w:num w:numId="20">
    <w:abstractNumId w:val="28"/>
  </w:num>
  <w:num w:numId="21">
    <w:abstractNumId w:val="15"/>
  </w:num>
  <w:num w:numId="22">
    <w:abstractNumId w:val="38"/>
  </w:num>
  <w:num w:numId="23">
    <w:abstractNumId w:val="46"/>
  </w:num>
  <w:num w:numId="24">
    <w:abstractNumId w:val="41"/>
  </w:num>
  <w:num w:numId="25">
    <w:abstractNumId w:val="7"/>
  </w:num>
  <w:num w:numId="26">
    <w:abstractNumId w:val="9"/>
  </w:num>
  <w:num w:numId="27">
    <w:abstractNumId w:val="37"/>
  </w:num>
  <w:num w:numId="28">
    <w:abstractNumId w:val="10"/>
  </w:num>
  <w:num w:numId="29">
    <w:abstractNumId w:val="17"/>
  </w:num>
  <w:num w:numId="30">
    <w:abstractNumId w:val="4"/>
  </w:num>
  <w:num w:numId="31">
    <w:abstractNumId w:val="48"/>
  </w:num>
  <w:num w:numId="32">
    <w:abstractNumId w:val="1"/>
  </w:num>
  <w:num w:numId="33">
    <w:abstractNumId w:val="36"/>
  </w:num>
  <w:num w:numId="34">
    <w:abstractNumId w:val="5"/>
  </w:num>
  <w:num w:numId="35">
    <w:abstractNumId w:val="16"/>
  </w:num>
  <w:num w:numId="36">
    <w:abstractNumId w:val="14"/>
  </w:num>
  <w:num w:numId="37">
    <w:abstractNumId w:val="25"/>
  </w:num>
  <w:num w:numId="38">
    <w:abstractNumId w:val="23"/>
  </w:num>
  <w:num w:numId="39">
    <w:abstractNumId w:val="12"/>
  </w:num>
  <w:num w:numId="40">
    <w:abstractNumId w:val="22"/>
  </w:num>
  <w:num w:numId="41">
    <w:abstractNumId w:val="42"/>
  </w:num>
  <w:num w:numId="42">
    <w:abstractNumId w:val="3"/>
  </w:num>
  <w:num w:numId="43">
    <w:abstractNumId w:val="40"/>
  </w:num>
  <w:num w:numId="44">
    <w:abstractNumId w:val="30"/>
  </w:num>
  <w:num w:numId="45">
    <w:abstractNumId w:val="34"/>
  </w:num>
  <w:num w:numId="46">
    <w:abstractNumId w:val="20"/>
  </w:num>
  <w:num w:numId="47">
    <w:abstractNumId w:val="19"/>
  </w:num>
  <w:num w:numId="48">
    <w:abstractNumId w:val="52"/>
  </w:num>
  <w:num w:numId="49">
    <w:abstractNumId w:val="35"/>
  </w:num>
  <w:num w:numId="50">
    <w:abstractNumId w:val="45"/>
  </w:num>
  <w:num w:numId="51">
    <w:abstractNumId w:val="2"/>
  </w:num>
  <w:num w:numId="52">
    <w:abstractNumId w:val="0"/>
  </w:num>
  <w:num w:numId="53">
    <w:abstractNumId w:val="50"/>
  </w:num>
  <w:num w:numId="54">
    <w:abstractNumId w:val="26"/>
  </w:num>
  <w:num w:numId="55">
    <w:abstractNumId w:val="32"/>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FE"/>
    <w:rsid w:val="005D7575"/>
    <w:rsid w:val="007C25FE"/>
    <w:rsid w:val="00AB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75"/>
    <w:rPr>
      <w:rFonts w:ascii="Tahoma" w:hAnsi="Tahoma" w:cs="Tahoma"/>
      <w:sz w:val="16"/>
      <w:szCs w:val="16"/>
    </w:rPr>
  </w:style>
  <w:style w:type="character" w:customStyle="1" w:styleId="BalloonTextChar">
    <w:name w:val="Balloon Text Char"/>
    <w:basedOn w:val="DefaultParagraphFont"/>
    <w:link w:val="BalloonText"/>
    <w:uiPriority w:val="99"/>
    <w:semiHidden/>
    <w:rsid w:val="005D7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75"/>
    <w:rPr>
      <w:rFonts w:ascii="Tahoma" w:hAnsi="Tahoma" w:cs="Tahoma"/>
      <w:sz w:val="16"/>
      <w:szCs w:val="16"/>
    </w:rPr>
  </w:style>
  <w:style w:type="character" w:customStyle="1" w:styleId="BalloonTextChar">
    <w:name w:val="Balloon Text Char"/>
    <w:basedOn w:val="DefaultParagraphFont"/>
    <w:link w:val="BalloonText"/>
    <w:uiPriority w:val="99"/>
    <w:semiHidden/>
    <w:rsid w:val="005D7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Grants.gov" TargetMode="External"/><Relationship Id="rId18" Type="http://schemas.openxmlformats.org/officeDocument/2006/relationships/hyperlink" Target="http://www.loanscamalert.org" TargetMode="External"/><Relationship Id="rId26" Type="http://schemas.openxmlformats.org/officeDocument/2006/relationships/hyperlink" Target="http://www.grants.gov/web/grants/applicants" TargetMode="External"/><Relationship Id="rId39" Type="http://schemas.openxmlformats.org/officeDocument/2006/relationships/hyperlink" Target="http://Grants.gov" TargetMode="External"/><Relationship Id="rId21" Type="http://schemas.openxmlformats.org/officeDocument/2006/relationships/hyperlink" Target="http://portal.hud.gov/hudportal/HUD" TargetMode="External"/><Relationship Id="rId34" Type="http://schemas.openxmlformats.org/officeDocument/2006/relationships/hyperlink" Target="http://Grants.gov" TargetMode="External"/><Relationship Id="rId42" Type="http://schemas.openxmlformats.org/officeDocument/2006/relationships/hyperlink" Target="http://Grants.gov" TargetMode="External"/><Relationship Id="rId47" Type="http://schemas.openxmlformats.org/officeDocument/2006/relationships/hyperlink" Target="http://Grants.gov" TargetMode="External"/><Relationship Id="rId50" Type="http://schemas.openxmlformats.org/officeDocument/2006/relationships/hyperlink" Target="http://Grants.gov" TargetMode="External"/><Relationship Id="rId55" Type="http://schemas.openxmlformats.org/officeDocument/2006/relationships/hyperlink" Target="http://Grants.gov" TargetMode="External"/><Relationship Id="rId63" Type="http://schemas.openxmlformats.org/officeDocument/2006/relationships/hyperlink" Target="mailto:to_applicationsupport@hud.gov" TargetMode="External"/><Relationship Id="rId68" Type="http://schemas.openxmlformats.org/officeDocument/2006/relationships/hyperlink" Target="http://homeownershipstandards.com" TargetMode="External"/><Relationship Id="rId76" Type="http://schemas.openxmlformats.org/officeDocument/2006/relationships/theme" Target="theme/theme1.xml"/><Relationship Id="rId7" Type="http://schemas.openxmlformats.org/officeDocument/2006/relationships/hyperlink" Target="http://Grants.gov" TargetMode="External"/><Relationship Id="rId71" Type="http://schemas.openxmlformats.org/officeDocument/2006/relationships/hyperlink" Target="http://atwww.fsrs.gov" TargetMode="External"/><Relationship Id="rId2" Type="http://schemas.openxmlformats.org/officeDocument/2006/relationships/styles" Target="styles.xml"/><Relationship Id="rId16" Type="http://schemas.openxmlformats.org/officeDocument/2006/relationships/hyperlink" Target="http://SAM.gov" TargetMode="External"/><Relationship Id="rId29" Type="http://schemas.openxmlformats.org/officeDocument/2006/relationships/hyperlink" Target="mailto:housing.counseling@hud.gov" TargetMode="External"/><Relationship Id="rId11" Type="http://schemas.openxmlformats.org/officeDocument/2006/relationships/hyperlink" Target="http://Sam.gov" TargetMode="External"/><Relationship Id="rId24" Type="http://schemas.openxmlformats.org/officeDocument/2006/relationships/hyperlink" Target="http://Grants.gov" TargetMode="External"/><Relationship Id="rId32" Type="http://schemas.openxmlformats.org/officeDocument/2006/relationships/hyperlink" Target="http://SAM.gov" TargetMode="External"/><Relationship Id="rId37" Type="http://schemas.openxmlformats.org/officeDocument/2006/relationships/hyperlink" Target="http://Grants.gov" TargetMode="External"/><Relationship Id="rId40" Type="http://schemas.openxmlformats.org/officeDocument/2006/relationships/hyperlink" Target="http://Grants.gov" TargetMode="External"/><Relationship Id="rId45" Type="http://schemas.openxmlformats.org/officeDocument/2006/relationships/hyperlink" Target="http://Grants.gov" TargetMode="External"/><Relationship Id="rId53" Type="http://schemas.openxmlformats.org/officeDocument/2006/relationships/hyperlink" Target="http://Grants.gov" TargetMode="External"/><Relationship Id="rId58" Type="http://schemas.openxmlformats.org/officeDocument/2006/relationships/hyperlink" Target="http://Grants.gov" TargetMode="External"/><Relationship Id="rId66" Type="http://schemas.openxmlformats.org/officeDocument/2006/relationships/hyperlink" Target="http://Grants.gov" TargetMode="External"/><Relationship Id="rId74" Type="http://schemas.openxmlformats.org/officeDocument/2006/relationships/hyperlink" Target="mailto:housing.counseling@hud.gov" TargetMode="External"/><Relationship Id="rId5" Type="http://schemas.openxmlformats.org/officeDocument/2006/relationships/webSettings" Target="webSettings.xml"/><Relationship Id="rId15" Type="http://schemas.openxmlformats.org/officeDocument/2006/relationships/hyperlink" Target="http://Grants.gov" TargetMode="External"/><Relationship Id="rId23" Type="http://schemas.openxmlformats.org/officeDocument/2006/relationships/hyperlink" Target="http://Grants.gov" TargetMode="External"/><Relationship Id="rId28" Type="http://schemas.openxmlformats.org/officeDocument/2006/relationships/hyperlink" Target="http://Grants.gov" TargetMode="External"/><Relationship Id="rId36" Type="http://schemas.openxmlformats.org/officeDocument/2006/relationships/hyperlink" Target="http://Grants.gov" TargetMode="External"/><Relationship Id="rId49" Type="http://schemas.openxmlformats.org/officeDocument/2006/relationships/hyperlink" Target="http://Grants.gov" TargetMode="External"/><Relationship Id="rId57" Type="http://schemas.openxmlformats.org/officeDocument/2006/relationships/hyperlink" Target="http://Grants.gov" TargetMode="External"/><Relationship Id="rId61" Type="http://schemas.openxmlformats.org/officeDocument/2006/relationships/hyperlink" Target="http://Grants.gov" TargetMode="External"/><Relationship Id="rId10" Type="http://schemas.openxmlformats.org/officeDocument/2006/relationships/hyperlink" Target="http://grants.gov" TargetMode="External"/><Relationship Id="rId19" Type="http://schemas.openxmlformats.org/officeDocument/2006/relationships/hyperlink" Target="https://www.hudoig.gov/fraud-prevention/indus" TargetMode="External"/><Relationship Id="rId31" Type="http://schemas.openxmlformats.org/officeDocument/2006/relationships/hyperlink" Target="http://Grants.gov" TargetMode="External"/><Relationship Id="rId44" Type="http://schemas.openxmlformats.org/officeDocument/2006/relationships/hyperlink" Target="http://Grants.gov" TargetMode="External"/><Relationship Id="rId52" Type="http://schemas.openxmlformats.org/officeDocument/2006/relationships/hyperlink" Target="http://Grants.gov" TargetMode="External"/><Relationship Id="rId60" Type="http://schemas.openxmlformats.org/officeDocument/2006/relationships/hyperlink" Target="http://Grants.gov" TargetMode="External"/><Relationship Id="rId65" Type="http://schemas.openxmlformats.org/officeDocument/2006/relationships/hyperlink" Target="http://Grants.gov" TargetMode="External"/><Relationship Id="rId73" Type="http://schemas.openxmlformats.org/officeDocument/2006/relationships/hyperlink" Target="https://www.hudexchange" TargetMode="External"/><Relationship Id="rId4" Type="http://schemas.openxmlformats.org/officeDocument/2006/relationships/settings" Target="settings.xml"/><Relationship Id="rId9" Type="http://schemas.openxmlformats.org/officeDocument/2006/relationships/hyperlink" Target="http://Grants.gov" TargetMode="External"/><Relationship Id="rId14" Type="http://schemas.openxmlformats.org/officeDocument/2006/relationships/hyperlink" Target="http://Grants.gov" TargetMode="External"/><Relationship Id="rId22" Type="http://schemas.openxmlformats.org/officeDocument/2006/relationships/hyperlink" Target="http://portal.hud.gov/hudportal/HUD?src=/programoffices/housi" TargetMode="External"/><Relationship Id="rId27" Type="http://schemas.openxmlformats.org/officeDocument/2006/relationships/hyperlink" Target="mailto:e-mailing_support@grants.gov" TargetMode="External"/><Relationship Id="rId30" Type="http://schemas.openxmlformats.org/officeDocument/2006/relationships/hyperlink" Target="http://SAM.gov" TargetMode="External"/><Relationship Id="rId35" Type="http://schemas.openxmlformats.org/officeDocument/2006/relationships/hyperlink" Target="http://Grants.gov" TargetMode="External"/><Relationship Id="rId43" Type="http://schemas.openxmlformats.org/officeDocument/2006/relationships/hyperlink" Target="http://Grants.gov" TargetMode="External"/><Relationship Id="rId48" Type="http://schemas.openxmlformats.org/officeDocument/2006/relationships/hyperlink" Target="http://Grants.gov" TargetMode="External"/><Relationship Id="rId56" Type="http://schemas.openxmlformats.org/officeDocument/2006/relationships/hyperlink" Target="http://Grants.gov" TargetMode="External"/><Relationship Id="rId64" Type="http://schemas.openxmlformats.org/officeDocument/2006/relationships/hyperlink" Target="mailto:to_applicationsupport@hud.gov" TargetMode="External"/><Relationship Id="rId69" Type="http://schemas.openxmlformats.org/officeDocument/2006/relationships/hyperlink" Target="http://eligibility.sc.egov.usda.gov/eligibility/welcomeAction" TargetMode="External"/><Relationship Id="rId8" Type="http://schemas.openxmlformats.org/officeDocument/2006/relationships/hyperlink" Target="http://Grants.gov" TargetMode="External"/><Relationship Id="rId51" Type="http://schemas.openxmlformats.org/officeDocument/2006/relationships/hyperlink" Target="http://Grants.gov" TargetMode="External"/><Relationship Id="rId72" Type="http://schemas.openxmlformats.org/officeDocument/2006/relationships/hyperlink" Target="mailto:Housing.Counseling@hud.gov" TargetMode="External"/><Relationship Id="rId3" Type="http://schemas.microsoft.com/office/2007/relationships/stylesWithEffects" Target="stylesWithEffects.xml"/><Relationship Id="drId3" Type="http://schemas.openxmlformats.org/wordprocessingml/2006/fontTable" Target="fontTable0.xml"/><Relationship Id="rId12" Type="http://schemas.openxmlformats.org/officeDocument/2006/relationships/hyperlink" Target="http://Sam.gov" TargetMode="External"/><Relationship Id="rId17" Type="http://schemas.openxmlformats.org/officeDocument/2006/relationships/hyperlink" Target="http://portal.hud.gov/hudportal/HUD?src" TargetMode="External"/><Relationship Id="rId25" Type="http://schemas.openxmlformats.org/officeDocument/2006/relationships/hyperlink" Target="mailto:Housing.Counseling@hud.gov" TargetMode="External"/><Relationship Id="rId33" Type="http://schemas.openxmlformats.org/officeDocument/2006/relationships/hyperlink" Target="http://portal.hud.gov/hudportal/documents/huddoc?id=2880.pdf" TargetMode="External"/><Relationship Id="rId38" Type="http://schemas.openxmlformats.org/officeDocument/2006/relationships/hyperlink" Target="http://Grants.gov" TargetMode="External"/><Relationship Id="rId46" Type="http://schemas.openxmlformats.org/officeDocument/2006/relationships/hyperlink" Target="http://Grants.gov" TargetMode="External"/><Relationship Id="rId59" Type="http://schemas.openxmlformats.org/officeDocument/2006/relationships/hyperlink" Target="http://Grants.gov" TargetMode="External"/><Relationship Id="rId67" Type="http://schemas.openxmlformats.org/officeDocument/2006/relationships/hyperlink" Target="http://Grants.gov" TargetMode="External"/><Relationship Id="rId20" Type="http://schemas.openxmlformats.org/officeDocument/2006/relationships/hyperlink" Target="https://www.hudexchange.info/programs" TargetMode="External"/><Relationship Id="rId41" Type="http://schemas.openxmlformats.org/officeDocument/2006/relationships/hyperlink" Target="http://Grants.gov" TargetMode="External"/><Relationship Id="rId54" Type="http://schemas.openxmlformats.org/officeDocument/2006/relationships/hyperlink" Target="http://Grants.gov" TargetMode="External"/><Relationship Id="rId62" Type="http://schemas.openxmlformats.org/officeDocument/2006/relationships/hyperlink" Target="http://Grants.gov" TargetMode="External"/><Relationship Id="rId70" Type="http://schemas.openxmlformats.org/officeDocument/2006/relationships/hyperlink" Target="http://www.nationalmortgagesettlement.co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21520</Words>
  <Characters>122667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Connie Y</dc:creator>
  <cp:lastModifiedBy>SYSTEM</cp:lastModifiedBy>
  <cp:revision>2</cp:revision>
  <dcterms:created xsi:type="dcterms:W3CDTF">2017-12-18T22:26:00Z</dcterms:created>
  <dcterms:modified xsi:type="dcterms:W3CDTF">2017-12-18T22:26:00Z</dcterms:modified>
</cp:coreProperties>
</file>