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68" w:rsidRDefault="00224C68" w:rsidP="00A437BE">
      <w:pPr>
        <w:pStyle w:val="Title"/>
      </w:pPr>
      <w:bookmarkStart w:id="0" w:name="_GoBack"/>
      <w:bookmarkEnd w:id="0"/>
      <w:r>
        <w:t>SUPPORTING STATEMENT</w:t>
      </w:r>
    </w:p>
    <w:p w:rsidR="003F6A23" w:rsidRPr="003F6A23" w:rsidRDefault="003F6A23" w:rsidP="003F6A23">
      <w:pPr>
        <w:pStyle w:val="Title"/>
        <w:rPr>
          <w:b w:val="0"/>
        </w:rPr>
      </w:pPr>
      <w:r w:rsidRPr="003F6A23">
        <w:rPr>
          <w:b w:val="0"/>
        </w:rPr>
        <w:t>VA Form 27-0820, Report of General Information</w:t>
      </w:r>
    </w:p>
    <w:p w:rsidR="003F6A23" w:rsidRPr="003F6A23" w:rsidRDefault="003F6A23" w:rsidP="003F6A23">
      <w:pPr>
        <w:pStyle w:val="Subtitle"/>
        <w:rPr>
          <w:szCs w:val="24"/>
        </w:rPr>
      </w:pPr>
      <w:r w:rsidRPr="003F6A23">
        <w:rPr>
          <w:szCs w:val="24"/>
        </w:rPr>
        <w:t xml:space="preserve">VA Form 27-0820a, Report of </w:t>
      </w:r>
      <w:r w:rsidR="003866A7">
        <w:rPr>
          <w:szCs w:val="24"/>
        </w:rPr>
        <w:t xml:space="preserve">First Notice of </w:t>
      </w:r>
      <w:r w:rsidRPr="003F6A23">
        <w:rPr>
          <w:szCs w:val="24"/>
        </w:rPr>
        <w:t xml:space="preserve">Death </w:t>
      </w:r>
    </w:p>
    <w:p w:rsidR="003F6A23" w:rsidRPr="003F6A23" w:rsidRDefault="003F6A23" w:rsidP="003F6A23">
      <w:pPr>
        <w:jc w:val="center"/>
      </w:pPr>
      <w:r w:rsidRPr="003F6A23">
        <w:t>VA Form 27-0820b, Report of Nursing Home</w:t>
      </w:r>
      <w:r w:rsidR="003866A7">
        <w:t xml:space="preserve"> or Assisted Living</w:t>
      </w:r>
      <w:r w:rsidRPr="003F6A23">
        <w:t xml:space="preserve"> Information</w:t>
      </w:r>
    </w:p>
    <w:p w:rsidR="003F6A23" w:rsidRPr="003F6A23" w:rsidRDefault="003F6A23" w:rsidP="003F6A23">
      <w:pPr>
        <w:jc w:val="center"/>
      </w:pPr>
      <w:r w:rsidRPr="003F6A23">
        <w:t>VA Form 27-0820c, Report of Defense Finance and Accounting Service (DFAS)</w:t>
      </w:r>
    </w:p>
    <w:p w:rsidR="003F6A23" w:rsidRPr="003F6A23" w:rsidRDefault="003F6A23" w:rsidP="003F6A23">
      <w:pPr>
        <w:jc w:val="center"/>
      </w:pPr>
      <w:r w:rsidRPr="003F6A23">
        <w:t xml:space="preserve">VA Form 27-0820d, Report of </w:t>
      </w:r>
      <w:r w:rsidR="003866A7">
        <w:t>Non-Receipt of Payment</w:t>
      </w:r>
    </w:p>
    <w:p w:rsidR="003F6A23" w:rsidRPr="003F6A23" w:rsidRDefault="003F6A23" w:rsidP="003F6A23">
      <w:pPr>
        <w:jc w:val="center"/>
      </w:pPr>
      <w:r w:rsidRPr="003F6A23">
        <w:t>VA Form 27-0820e, Report of Incarceration</w:t>
      </w:r>
    </w:p>
    <w:p w:rsidR="003F6A23" w:rsidRDefault="003F6A23" w:rsidP="003F6A23">
      <w:pPr>
        <w:jc w:val="center"/>
      </w:pPr>
      <w:r w:rsidRPr="003F6A23">
        <w:t>VA Form 27-0820f, Report of Month of Death</w:t>
      </w:r>
    </w:p>
    <w:p w:rsidR="003866A7" w:rsidRPr="003F6A23" w:rsidRDefault="003866A7" w:rsidP="003F6A23">
      <w:pPr>
        <w:jc w:val="center"/>
      </w:pPr>
    </w:p>
    <w:p w:rsidR="003F6A23" w:rsidRPr="003F6A23" w:rsidRDefault="003F6A23" w:rsidP="003F6A23">
      <w:pPr>
        <w:tabs>
          <w:tab w:val="left" w:pos="480"/>
          <w:tab w:val="right" w:pos="8640"/>
        </w:tabs>
        <w:ind w:right="684"/>
        <w:jc w:val="center"/>
        <w:rPr>
          <w:b/>
        </w:rPr>
      </w:pPr>
      <w:r w:rsidRPr="003F6A23">
        <w:rPr>
          <w:b/>
        </w:rPr>
        <w:t>2900-0734</w:t>
      </w:r>
    </w:p>
    <w:p w:rsidR="00224C68" w:rsidRDefault="00224C68" w:rsidP="003F6A23">
      <w:pPr>
        <w:jc w:val="center"/>
      </w:pPr>
    </w:p>
    <w:p w:rsidR="00224C68" w:rsidRDefault="00224C68">
      <w:pPr>
        <w:rPr>
          <w:b/>
          <w:bCs/>
        </w:rPr>
      </w:pPr>
    </w:p>
    <w:p w:rsidR="00224C68" w:rsidRDefault="00224C68">
      <w:pPr>
        <w:numPr>
          <w:ilvl w:val="0"/>
          <w:numId w:val="1"/>
        </w:numPr>
        <w:rPr>
          <w:b/>
          <w:bCs/>
        </w:rPr>
      </w:pPr>
      <w:r>
        <w:rPr>
          <w:b/>
          <w:bCs/>
          <w:u w:val="single"/>
        </w:rPr>
        <w:t>Justification</w:t>
      </w:r>
    </w:p>
    <w:p w:rsidR="00224C68" w:rsidRDefault="00224C68">
      <w:pPr>
        <w:rPr>
          <w:b/>
          <w:bCs/>
        </w:rPr>
      </w:pPr>
    </w:p>
    <w:p w:rsidR="00224C68" w:rsidRDefault="00224C68" w:rsidP="003F6E4A">
      <w:pPr>
        <w:numPr>
          <w:ilvl w:val="1"/>
          <w:numId w:val="1"/>
        </w:numPr>
        <w:tabs>
          <w:tab w:val="clear" w:pos="1440"/>
          <w:tab w:val="left" w:pos="108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RDefault="00E42780" w:rsidP="00B64A87">
      <w:pPr>
        <w:ind w:left="720"/>
        <w:rPr>
          <w:bCs/>
        </w:rPr>
      </w:pPr>
    </w:p>
    <w:p w:rsidR="00224C68" w:rsidRDefault="002940A6" w:rsidP="002940A6">
      <w:pPr>
        <w:tabs>
          <w:tab w:val="left" w:pos="720"/>
        </w:tabs>
        <w:ind w:left="720"/>
        <w:rPr>
          <w:b/>
          <w:bCs/>
        </w:rPr>
      </w:pPr>
      <w:r w:rsidRPr="002940A6">
        <w:t xml:space="preserve">The Department of Veterans Affairs (VA) through its Veterans Benefits Administration (VBA), administers an integrated program of benefits and services, established by law, for veterans, service personnel, and their dependents and/or beneficiaries.  38 Code of Federal Regulations 3.217 provides that action affecting entitlement to benefits may be taken based on oral information or statements provided to VA by a beneficiary or his or her fiduciary.  </w:t>
      </w:r>
    </w:p>
    <w:p w:rsidR="00224C68" w:rsidRDefault="00224C68">
      <w:pPr>
        <w:ind w:left="720" w:right="-720"/>
      </w:pPr>
    </w:p>
    <w:p w:rsidR="00224C68" w:rsidRDefault="00224C68" w:rsidP="003F6E4A">
      <w:pPr>
        <w:numPr>
          <w:ilvl w:val="1"/>
          <w:numId w:val="1"/>
        </w:numPr>
        <w:tabs>
          <w:tab w:val="clear" w:pos="1440"/>
          <w:tab w:val="num" w:pos="720"/>
          <w:tab w:val="left" w:pos="1080"/>
        </w:tabs>
        <w:ind w:left="720" w:firstLine="0"/>
        <w:rPr>
          <w:b/>
          <w:bCs/>
        </w:rPr>
      </w:pPr>
      <w:r>
        <w:rPr>
          <w:b/>
          <w:bCs/>
        </w:rPr>
        <w:t>Indicate how, by whom, and for what purposes the information is to be used; indicate actual use the agency has made of the information received from current collection.</w:t>
      </w:r>
    </w:p>
    <w:p w:rsidR="00E42780" w:rsidRDefault="00E42780" w:rsidP="00B64A87">
      <w:pPr>
        <w:ind w:left="720"/>
        <w:rPr>
          <w:bCs/>
        </w:rPr>
      </w:pPr>
    </w:p>
    <w:p w:rsidR="00224C68" w:rsidRDefault="003F6A23">
      <w:pPr>
        <w:ind w:left="720" w:right="-720"/>
        <w:rPr>
          <w:szCs w:val="20"/>
        </w:rPr>
      </w:pPr>
      <w:r w:rsidRPr="003F6A23">
        <w:rPr>
          <w:szCs w:val="20"/>
        </w:rPr>
        <w:t>VA Form 27-0820, 27-0820a, 27-0820b, 27-0820c, 27-0820d, 27-0820e and 27-0820f will be used VA Regional Office and Pension Maintenance Center employees to meet VA’s requirement to document verbal evidence obtained telephonically from VA beneficiary or claimant that will be used as part of the evidence for a claim for benefits.  Without this information action cannot be taken on any information received orally.</w:t>
      </w:r>
    </w:p>
    <w:p w:rsidR="003F6A23" w:rsidRDefault="003F6A23">
      <w:pPr>
        <w:ind w:left="720" w:right="-720"/>
      </w:pPr>
    </w:p>
    <w:p w:rsidR="00224C68" w:rsidRDefault="00224C68" w:rsidP="00A84524">
      <w:pPr>
        <w:numPr>
          <w:ilvl w:val="1"/>
          <w:numId w:val="1"/>
        </w:numPr>
        <w:tabs>
          <w:tab w:val="clear" w:pos="1440"/>
          <w:tab w:val="num" w:pos="720"/>
          <w:tab w:val="left" w:pos="108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RDefault="00E42780" w:rsidP="00187B51">
      <w:pPr>
        <w:ind w:left="720" w:right="-720"/>
        <w:rPr>
          <w:bCs/>
        </w:rPr>
      </w:pPr>
    </w:p>
    <w:p w:rsidR="00224C68" w:rsidRDefault="003F6A23" w:rsidP="003F6A23">
      <w:pPr>
        <w:ind w:left="720" w:right="-720"/>
        <w:rPr>
          <w:szCs w:val="20"/>
        </w:rPr>
      </w:pPr>
      <w:r w:rsidRPr="003F6A23">
        <w:rPr>
          <w:szCs w:val="20"/>
        </w:rPr>
        <w:t xml:space="preserve">VA Form 27-0820, 27-0820a, 27-0820b, 27-0820c, 27-0820d, 27-0820e and 27-0820f are  forms which will become available on the One-VA web site in a fillable electronic format and VBA’s Virtual VA application.  VBA maintains a secure server for forms of this type, but does not currently have the technology in place to allow for the complete submission of the form.  Validation edits are performed to assure data integrity.  Efforts within VA are underway to </w:t>
      </w:r>
      <w:r w:rsidRPr="003F6A23">
        <w:rPr>
          <w:szCs w:val="20"/>
        </w:rPr>
        <w:lastRenderedPageBreak/>
        <w:t xml:space="preserve">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3F6A23" w:rsidRDefault="003F6A23">
      <w:pPr>
        <w:ind w:right="-720"/>
        <w:rPr>
          <w:b/>
          <w:bCs/>
        </w:rPr>
      </w:pPr>
    </w:p>
    <w:p w:rsidR="00224C68" w:rsidRDefault="00224C68" w:rsidP="00A84524">
      <w:pPr>
        <w:numPr>
          <w:ilvl w:val="1"/>
          <w:numId w:val="1"/>
        </w:numPr>
        <w:tabs>
          <w:tab w:val="clear" w:pos="1440"/>
          <w:tab w:val="num" w:pos="720"/>
          <w:tab w:val="left" w:pos="108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RDefault="00E42780" w:rsidP="00187B51">
      <w:pPr>
        <w:ind w:left="720" w:right="-720"/>
      </w:pPr>
    </w:p>
    <w:p w:rsidR="00A84524" w:rsidRDefault="00A84524" w:rsidP="00A84524">
      <w:pPr>
        <w:tabs>
          <w:tab w:val="left" w:pos="480"/>
          <w:tab w:val="right" w:pos="8640"/>
        </w:tabs>
        <w:ind w:left="720" w:right="684"/>
      </w:pPr>
      <w:r>
        <w:t>Program reviews were conducted to identify potential areas of duplication; however, none were found to exist.  There is no known Department or Agency which maintains the necessary information, nor is it available from other sources within our Department.</w:t>
      </w:r>
    </w:p>
    <w:p w:rsidR="00224C68" w:rsidRDefault="00224C68">
      <w:pPr>
        <w:ind w:right="-720"/>
      </w:pPr>
    </w:p>
    <w:p w:rsidR="00224C68" w:rsidRPr="00187B51" w:rsidRDefault="00224C68" w:rsidP="00A84524">
      <w:pPr>
        <w:numPr>
          <w:ilvl w:val="1"/>
          <w:numId w:val="1"/>
        </w:numPr>
        <w:tabs>
          <w:tab w:val="clear" w:pos="1440"/>
          <w:tab w:val="num" w:pos="720"/>
          <w:tab w:val="left" w:pos="1080"/>
        </w:tabs>
        <w:ind w:left="720" w:right="-720" w:firstLine="0"/>
      </w:pPr>
      <w:r>
        <w:rPr>
          <w:b/>
          <w:bCs/>
        </w:rPr>
        <w:t>If the collection of information impacts small businesses or other small entities, describe any methods used to minimize burden.</w:t>
      </w:r>
    </w:p>
    <w:p w:rsidR="00E42780" w:rsidRDefault="00E42780" w:rsidP="00187B51">
      <w:pPr>
        <w:ind w:left="720" w:right="-720"/>
        <w:rPr>
          <w:bCs/>
        </w:rPr>
      </w:pPr>
    </w:p>
    <w:p w:rsidR="00187B51" w:rsidRPr="00187B51" w:rsidRDefault="003F6A23" w:rsidP="00187B51">
      <w:pPr>
        <w:ind w:left="720" w:right="-720"/>
      </w:pPr>
      <w:r w:rsidRPr="003F6A23">
        <w:rPr>
          <w:szCs w:val="20"/>
        </w:rPr>
        <w:t>The collection of information does not involve small businesses or entities.</w:t>
      </w:r>
    </w:p>
    <w:p w:rsidR="00224C68" w:rsidRDefault="00224C68">
      <w:pPr>
        <w:ind w:right="-720"/>
        <w:rPr>
          <w:b/>
          <w:bCs/>
        </w:rPr>
      </w:pPr>
    </w:p>
    <w:p w:rsidR="00224C68" w:rsidRDefault="00224C68" w:rsidP="00A84524">
      <w:pPr>
        <w:numPr>
          <w:ilvl w:val="1"/>
          <w:numId w:val="1"/>
        </w:numPr>
        <w:tabs>
          <w:tab w:val="clear" w:pos="1440"/>
          <w:tab w:val="left" w:pos="108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RDefault="00E42780" w:rsidP="00187B51">
      <w:pPr>
        <w:ind w:left="720" w:right="-720"/>
        <w:rPr>
          <w:bCs/>
        </w:rPr>
      </w:pPr>
    </w:p>
    <w:p w:rsidR="00224C68" w:rsidRDefault="0039627A" w:rsidP="003F6A23">
      <w:pPr>
        <w:ind w:left="720" w:right="-720"/>
      </w:pPr>
      <w:r>
        <w:t>Without this information entitlement to benefits could not be determined.</w:t>
      </w:r>
    </w:p>
    <w:p w:rsidR="003F6A23" w:rsidRDefault="003F6A23">
      <w:pPr>
        <w:ind w:right="-720"/>
        <w:rPr>
          <w:b/>
          <w:bCs/>
        </w:rPr>
      </w:pPr>
    </w:p>
    <w:p w:rsidR="00224C68" w:rsidRPr="00187B51" w:rsidRDefault="00224C68" w:rsidP="00A84524">
      <w:pPr>
        <w:numPr>
          <w:ilvl w:val="1"/>
          <w:numId w:val="1"/>
        </w:numPr>
        <w:tabs>
          <w:tab w:val="clear" w:pos="1440"/>
          <w:tab w:val="left" w:pos="108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RDefault="00E42780" w:rsidP="00187B51">
      <w:pPr>
        <w:ind w:left="720" w:right="-720"/>
        <w:rPr>
          <w:bCs/>
        </w:rPr>
      </w:pPr>
    </w:p>
    <w:p w:rsidR="00224C68" w:rsidRDefault="003F6A23" w:rsidP="003F6A23">
      <w:pPr>
        <w:ind w:left="720" w:right="-720"/>
        <w:rPr>
          <w:b/>
          <w:bCs/>
        </w:rPr>
      </w:pPr>
      <w:r w:rsidRPr="003F6A23">
        <w:rPr>
          <w:bCs/>
        </w:rPr>
        <w:t>There is no special circumstance requiring collection in a manner inconsistent with 5 CFR 1320.6 guidelines.</w:t>
      </w:r>
    </w:p>
    <w:p w:rsidR="00224C68" w:rsidRDefault="00224C68">
      <w:pPr>
        <w:ind w:left="720" w:right="-720"/>
      </w:pPr>
    </w:p>
    <w:p w:rsidR="00224C68" w:rsidRPr="00187B51" w:rsidRDefault="00224C68" w:rsidP="00A84524">
      <w:pPr>
        <w:numPr>
          <w:ilvl w:val="1"/>
          <w:numId w:val="1"/>
        </w:numPr>
        <w:tabs>
          <w:tab w:val="clear" w:pos="1440"/>
          <w:tab w:val="left" w:pos="108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RDefault="00E42780" w:rsidP="00187B51">
      <w:pPr>
        <w:ind w:left="720" w:right="-720"/>
        <w:rPr>
          <w:bCs/>
        </w:rPr>
      </w:pPr>
    </w:p>
    <w:p w:rsidR="00A84524" w:rsidRDefault="00A84524" w:rsidP="00A84524">
      <w:pPr>
        <w:ind w:left="720"/>
      </w:pPr>
      <w:r w:rsidRPr="009F0B50">
        <w:t>The</w:t>
      </w:r>
      <w:r>
        <w:t xml:space="preserve"> </w:t>
      </w:r>
      <w:r w:rsidRPr="009F0B50">
        <w:t xml:space="preserve">Department </w:t>
      </w:r>
      <w:r w:rsidR="00DB07AD">
        <w:t>n</w:t>
      </w:r>
      <w:r w:rsidRPr="009F0B50">
        <w:t>otice was published in the Federal Register on</w:t>
      </w:r>
      <w:r w:rsidR="00F26D1B">
        <w:t xml:space="preserve"> February 7, 2018</w:t>
      </w:r>
      <w:r>
        <w:t>, Volume</w:t>
      </w:r>
      <w:r w:rsidR="00F26D1B">
        <w:t xml:space="preserve"> 83</w:t>
      </w:r>
      <w:r>
        <w:t>, No.</w:t>
      </w:r>
      <w:r w:rsidR="00F26D1B">
        <w:t xml:space="preserve"> 23</w:t>
      </w:r>
      <w:r>
        <w:t xml:space="preserve"> , page</w:t>
      </w:r>
      <w:r w:rsidR="00F26D1B">
        <w:t>s 5513 and 5514</w:t>
      </w:r>
      <w:r w:rsidRPr="009F0B50">
        <w:t>.</w:t>
      </w:r>
      <w:r>
        <w:t xml:space="preserve">  No comments were received.</w:t>
      </w:r>
    </w:p>
    <w:p w:rsidR="00224C68" w:rsidRDefault="00224C68">
      <w:pPr>
        <w:ind w:right="-720"/>
        <w:rPr>
          <w:b/>
          <w:bCs/>
        </w:rPr>
      </w:pPr>
    </w:p>
    <w:p w:rsidR="00224C68" w:rsidRPr="00187B51" w:rsidRDefault="00224C68" w:rsidP="00A84524">
      <w:pPr>
        <w:numPr>
          <w:ilvl w:val="1"/>
          <w:numId w:val="1"/>
        </w:numPr>
        <w:tabs>
          <w:tab w:val="clear" w:pos="1440"/>
          <w:tab w:val="num" w:pos="-180"/>
          <w:tab w:val="left" w:pos="1080"/>
        </w:tabs>
        <w:ind w:left="720" w:right="-720" w:firstLine="0"/>
      </w:pPr>
      <w:r>
        <w:rPr>
          <w:b/>
          <w:bCs/>
        </w:rPr>
        <w:lastRenderedPageBreak/>
        <w:t>Explain any decision to provide any payment or gift to respondents.</w:t>
      </w:r>
    </w:p>
    <w:p w:rsidR="00E42780" w:rsidRDefault="00E42780" w:rsidP="00187B51">
      <w:pPr>
        <w:ind w:left="720" w:right="-720"/>
        <w:rPr>
          <w:bCs/>
        </w:rPr>
      </w:pPr>
    </w:p>
    <w:p w:rsidR="00224C68" w:rsidRDefault="003F6A23" w:rsidP="003F6A23">
      <w:pPr>
        <w:ind w:right="-720" w:firstLine="720"/>
        <w:rPr>
          <w:b/>
          <w:bCs/>
        </w:rPr>
      </w:pPr>
      <w:r w:rsidRPr="003F6A23">
        <w:rPr>
          <w:bCs/>
        </w:rPr>
        <w:t>No payments or gifts to respondents have been made under this collection of information.</w:t>
      </w:r>
    </w:p>
    <w:p w:rsidR="00224C68" w:rsidRDefault="00224C68">
      <w:pPr>
        <w:ind w:left="720" w:right="-720"/>
      </w:pPr>
    </w:p>
    <w:p w:rsidR="00224C68" w:rsidRDefault="00224C68" w:rsidP="00A84524">
      <w:pPr>
        <w:numPr>
          <w:ilvl w:val="1"/>
          <w:numId w:val="1"/>
        </w:numPr>
        <w:tabs>
          <w:tab w:val="clear" w:pos="1440"/>
          <w:tab w:val="left" w:pos="1080"/>
        </w:tabs>
        <w:ind w:left="720" w:right="-720" w:firstLine="0"/>
        <w:rPr>
          <w:b/>
          <w:bCs/>
        </w:rPr>
      </w:pPr>
      <w:r>
        <w:rPr>
          <w:b/>
          <w:bCs/>
        </w:rPr>
        <w:t>Describe any assurance of confidentiality provided to respondents and the basis for the assurance in statue, regulation, or agency policy.</w:t>
      </w:r>
    </w:p>
    <w:p w:rsidR="00E42780" w:rsidRDefault="00E42780" w:rsidP="00277E46">
      <w:pPr>
        <w:ind w:left="720" w:right="-720"/>
        <w:rPr>
          <w:bCs/>
        </w:rPr>
      </w:pPr>
    </w:p>
    <w:p w:rsidR="00224C68" w:rsidRDefault="002F78CB" w:rsidP="002F78CB">
      <w:pPr>
        <w:ind w:left="720" w:right="-720"/>
        <w:rPr>
          <w:b/>
          <w:bCs/>
        </w:rPr>
      </w:pPr>
      <w:r w:rsidRPr="002F78CB">
        <w:rPr>
          <w:szCs w:val="20"/>
        </w:rPr>
        <w:t xml:space="preserve">The records are maintained in the appropriate Privacy Act System of Records identified as </w:t>
      </w:r>
      <w:r w:rsidR="000765D7">
        <w:rPr>
          <w:szCs w:val="20"/>
        </w:rPr>
        <w:t>“Compensation, Pension, Education, and Vocational Rehabilitation and Employment Records – VA (</w:t>
      </w:r>
      <w:r w:rsidRPr="002F78CB">
        <w:rPr>
          <w:szCs w:val="20"/>
        </w:rPr>
        <w:t>58VA21/22</w:t>
      </w:r>
      <w:r w:rsidR="000765D7">
        <w:rPr>
          <w:szCs w:val="20"/>
        </w:rPr>
        <w:t>/28)</w:t>
      </w:r>
      <w:r w:rsidRPr="002F78CB">
        <w:rPr>
          <w:szCs w:val="20"/>
        </w:rPr>
        <w:t xml:space="preserve">, </w:t>
      </w:r>
      <w:r w:rsidR="000765D7">
        <w:rPr>
          <w:szCs w:val="20"/>
        </w:rPr>
        <w:t>published at 74 FR 29275 on June 19, 2009, and last amended at 77 FR 42593 (July 19, 2012).</w:t>
      </w:r>
    </w:p>
    <w:p w:rsidR="00224C68" w:rsidRDefault="00224C68">
      <w:pPr>
        <w:ind w:left="720" w:right="-720"/>
      </w:pPr>
    </w:p>
    <w:p w:rsidR="00224C68" w:rsidRDefault="00224C68" w:rsidP="00A84524">
      <w:pPr>
        <w:numPr>
          <w:ilvl w:val="1"/>
          <w:numId w:val="1"/>
        </w:numPr>
        <w:tabs>
          <w:tab w:val="clear" w:pos="1440"/>
          <w:tab w:val="left" w:pos="108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RDefault="00E42780" w:rsidP="00277E46">
      <w:pPr>
        <w:ind w:left="720" w:right="-720"/>
        <w:rPr>
          <w:bCs/>
        </w:rPr>
      </w:pPr>
    </w:p>
    <w:p w:rsidR="00277E46" w:rsidRPr="00277E46" w:rsidRDefault="00277E46" w:rsidP="00277E46">
      <w:pPr>
        <w:ind w:left="720" w:right="-720"/>
        <w:rPr>
          <w:bCs/>
        </w:rPr>
      </w:pPr>
      <w:r>
        <w:rPr>
          <w:bCs/>
        </w:rPr>
        <w:t>There are no questions of a sensitive nature.</w:t>
      </w:r>
    </w:p>
    <w:p w:rsidR="00224C68" w:rsidRDefault="00224C68">
      <w:pPr>
        <w:ind w:left="720" w:right="-720"/>
      </w:pPr>
    </w:p>
    <w:p w:rsidR="00224C68" w:rsidRDefault="00224C68" w:rsidP="00250A06">
      <w:pPr>
        <w:numPr>
          <w:ilvl w:val="1"/>
          <w:numId w:val="1"/>
        </w:numPr>
        <w:tabs>
          <w:tab w:val="clear" w:pos="1440"/>
          <w:tab w:val="left" w:pos="1080"/>
        </w:tabs>
        <w:ind w:left="720" w:right="-720" w:firstLine="0"/>
        <w:rPr>
          <w:b/>
          <w:bCs/>
        </w:rPr>
      </w:pPr>
      <w:r>
        <w:rPr>
          <w:b/>
          <w:bCs/>
        </w:rPr>
        <w:t>Estimate of the hour burden of the collection of information:</w:t>
      </w:r>
    </w:p>
    <w:p w:rsidR="00224C68" w:rsidRDefault="00224C68">
      <w:pPr>
        <w:ind w:right="-720"/>
        <w:rPr>
          <w:b/>
          <w:bCs/>
        </w:rPr>
      </w:pPr>
    </w:p>
    <w:p w:rsidR="00515875" w:rsidRDefault="00515875" w:rsidP="00515875">
      <w:pPr>
        <w:ind w:left="720" w:right="-720"/>
      </w:pPr>
      <w:r>
        <w:t>Estimate of Information Collection Burden:</w:t>
      </w:r>
    </w:p>
    <w:p w:rsidR="00515875" w:rsidRDefault="00515875" w:rsidP="00515875">
      <w:pPr>
        <w:ind w:left="720" w:right="-720"/>
      </w:pPr>
    </w:p>
    <w:p w:rsidR="00515875" w:rsidRDefault="00515875" w:rsidP="00980659">
      <w:pPr>
        <w:numPr>
          <w:ilvl w:val="0"/>
          <w:numId w:val="7"/>
        </w:numPr>
        <w:ind w:left="990" w:right="-720" w:hanging="270"/>
      </w:pPr>
      <w:r>
        <w:t xml:space="preserve">Number of Respondents: </w:t>
      </w:r>
      <w:r w:rsidR="00980659">
        <w:t>2,550</w:t>
      </w:r>
      <w:r w:rsidR="00250A06">
        <w:t>,000 per year</w:t>
      </w:r>
    </w:p>
    <w:p w:rsidR="00980659" w:rsidRDefault="00980659" w:rsidP="00980659">
      <w:pPr>
        <w:spacing w:before="120"/>
        <w:ind w:left="720" w:right="-720"/>
      </w:pPr>
      <w:r>
        <w:t>VA Form 27-0820, Report of General Information – 236,000.</w:t>
      </w:r>
    </w:p>
    <w:p w:rsidR="00980659" w:rsidRDefault="00980659" w:rsidP="00980659">
      <w:pPr>
        <w:ind w:left="720" w:right="-720"/>
      </w:pPr>
      <w:r>
        <w:t xml:space="preserve">VA Form 27-0820a, Report of </w:t>
      </w:r>
      <w:r w:rsidR="004B6D95">
        <w:t>First Notice of Death</w:t>
      </w:r>
      <w:r>
        <w:t xml:space="preserve"> – 80,000.</w:t>
      </w:r>
    </w:p>
    <w:p w:rsidR="00980659" w:rsidRDefault="00980659" w:rsidP="00980659">
      <w:pPr>
        <w:ind w:left="720" w:right="-720"/>
      </w:pPr>
      <w:r>
        <w:t>VA Form 27-0820b, Report of Nursing Home</w:t>
      </w:r>
      <w:r w:rsidR="004B6D95">
        <w:t xml:space="preserve"> or Assisted Living</w:t>
      </w:r>
      <w:r>
        <w:t xml:space="preserve"> Information – 30,000.</w:t>
      </w:r>
    </w:p>
    <w:p w:rsidR="00980659" w:rsidRDefault="00980659" w:rsidP="00980659">
      <w:pPr>
        <w:ind w:left="720" w:right="-720"/>
      </w:pPr>
      <w:r>
        <w:t>VA Form 27-0820c, Report of Defense Finance and Accounting Service (DFAS) – 30,000</w:t>
      </w:r>
    </w:p>
    <w:p w:rsidR="00980659" w:rsidRDefault="00980659" w:rsidP="00980659">
      <w:pPr>
        <w:ind w:left="720" w:right="-720"/>
      </w:pPr>
      <w:r>
        <w:t xml:space="preserve">VA Form 27-0820d, Report of </w:t>
      </w:r>
      <w:r w:rsidR="004B6D95">
        <w:t>Non-Receipt of Payment</w:t>
      </w:r>
      <w:r>
        <w:t xml:space="preserve"> – 30,000.</w:t>
      </w:r>
    </w:p>
    <w:p w:rsidR="00980659" w:rsidRDefault="00980659" w:rsidP="00980659">
      <w:pPr>
        <w:ind w:left="720" w:right="-720"/>
      </w:pPr>
      <w:r>
        <w:t>VA Form 27-0820e, Report of Incarceration – 10,000.</w:t>
      </w:r>
    </w:p>
    <w:p w:rsidR="00980659" w:rsidRDefault="00980659" w:rsidP="00980659">
      <w:pPr>
        <w:tabs>
          <w:tab w:val="left" w:pos="8640"/>
        </w:tabs>
        <w:ind w:left="720" w:right="-720"/>
      </w:pPr>
      <w:r>
        <w:t>VA Form 27-0820f, Report of Month of Death – 10,000.</w:t>
      </w:r>
    </w:p>
    <w:p w:rsidR="00250A06" w:rsidRDefault="00250A06" w:rsidP="00250A06">
      <w:pPr>
        <w:ind w:left="720" w:right="-720"/>
      </w:pPr>
    </w:p>
    <w:p w:rsidR="00515875" w:rsidRDefault="00515875" w:rsidP="00515875">
      <w:pPr>
        <w:ind w:left="720" w:right="-720"/>
      </w:pPr>
      <w:r>
        <w:t>b.</w:t>
      </w:r>
      <w:r>
        <w:tab/>
        <w:t xml:space="preserve">Frequency of Response: </w:t>
      </w:r>
      <w:r w:rsidR="00250A06">
        <w:t>one time</w:t>
      </w:r>
      <w:r w:rsidR="00961B1B">
        <w:t>.</w:t>
      </w:r>
    </w:p>
    <w:p w:rsidR="00515875" w:rsidRDefault="00515875" w:rsidP="00515875">
      <w:pPr>
        <w:ind w:left="720" w:right="-720"/>
      </w:pPr>
    </w:p>
    <w:p w:rsidR="00515875" w:rsidRDefault="00515875" w:rsidP="00515875">
      <w:pPr>
        <w:ind w:left="720" w:right="-720"/>
      </w:pPr>
      <w:r>
        <w:t>c.</w:t>
      </w:r>
      <w:r>
        <w:tab/>
        <w:t xml:space="preserve">Annual Burden Hours: </w:t>
      </w:r>
      <w:r w:rsidR="00886CA4">
        <w:t>212</w:t>
      </w:r>
      <w:r w:rsidR="00E83FE5">
        <w:t>,500</w:t>
      </w:r>
      <w:r w:rsidR="00250A06">
        <w:t xml:space="preserve"> hours</w:t>
      </w:r>
      <w:r w:rsidR="00961B1B">
        <w:t>.</w:t>
      </w:r>
    </w:p>
    <w:p w:rsidR="00515875" w:rsidRDefault="00515875" w:rsidP="00515875">
      <w:pPr>
        <w:ind w:left="720" w:right="-720"/>
      </w:pPr>
    </w:p>
    <w:p w:rsidR="00515875" w:rsidRDefault="00515875" w:rsidP="00515875">
      <w:pPr>
        <w:ind w:left="720" w:right="-720"/>
      </w:pPr>
      <w:r>
        <w:t>d.</w:t>
      </w:r>
      <w:r>
        <w:tab/>
      </w:r>
      <w:r w:rsidR="002251C0" w:rsidRPr="002251C0">
        <w:t>The estimated completion time of 5 minutes is based on review by staff personnel.</w:t>
      </w:r>
    </w:p>
    <w:p w:rsidR="00515875" w:rsidRDefault="00515875" w:rsidP="00515875">
      <w:pPr>
        <w:ind w:left="720" w:right="-720"/>
      </w:pPr>
    </w:p>
    <w:p w:rsidR="00515875" w:rsidRDefault="00515875" w:rsidP="00250A06">
      <w:pPr>
        <w:ind w:left="1440" w:right="-720" w:hanging="720"/>
      </w:pPr>
      <w:r>
        <w:t>e.</w:t>
      </w:r>
      <w:r>
        <w:tab/>
        <w:t xml:space="preserve">The respondent population is composed of </w:t>
      </w:r>
      <w:r w:rsidR="00250A06">
        <w:t>the general population</w:t>
      </w:r>
      <w: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515875" w:rsidRDefault="00515875" w:rsidP="00515875">
      <w:pPr>
        <w:ind w:left="720" w:right="-720"/>
      </w:pPr>
    </w:p>
    <w:p w:rsidR="00515875" w:rsidRDefault="00515875" w:rsidP="00515875">
      <w:pPr>
        <w:ind w:left="720" w:right="-720"/>
      </w:pPr>
      <w:r>
        <w:t>The Bureau of Labor Statistics</w:t>
      </w:r>
      <w:r w:rsidR="00384DF3">
        <w:t xml:space="preserve"> (BLS)</w:t>
      </w:r>
      <w:r>
        <w:t xml:space="preserve"> gathers information on full-time wage and salary workers.  According</w:t>
      </w:r>
      <w:r w:rsidR="00384DF3">
        <w:t xml:space="preserve"> to the latest available BLS data,</w:t>
      </w:r>
      <w:r>
        <w:t xml:space="preserve"> the median weekly earnings of full-time wage and salary</w:t>
      </w:r>
      <w:r w:rsidR="00384DF3">
        <w:t xml:space="preserve"> </w:t>
      </w:r>
      <w:r>
        <w:t>workers is $</w:t>
      </w:r>
      <w:r w:rsidR="007A2833">
        <w:t>9</w:t>
      </w:r>
      <w:r w:rsidR="008946AF">
        <w:t>73.60</w:t>
      </w:r>
      <w:r>
        <w:t>.  Assuming a forty (40) hour work week, the median hourly wage is $2</w:t>
      </w:r>
      <w:r w:rsidR="008946AF">
        <w:t>4</w:t>
      </w:r>
      <w:r>
        <w:t>.</w:t>
      </w:r>
      <w:r w:rsidR="00384DF3">
        <w:t>23</w:t>
      </w:r>
      <w:r w:rsidR="007A2833">
        <w:t xml:space="preserve"> based on the BLS wage code – “00-0000 All Occupations”</w:t>
      </w:r>
      <w:r>
        <w:t>.</w:t>
      </w:r>
    </w:p>
    <w:p w:rsidR="00384DF3" w:rsidRDefault="00384DF3" w:rsidP="00515875">
      <w:pPr>
        <w:ind w:left="720" w:right="-720"/>
      </w:pPr>
      <w:r>
        <w:t>This information is taken from the following website: (</w:t>
      </w:r>
      <w:hyperlink r:id="rId8" w:history="1">
        <w:r w:rsidRPr="008324DC">
          <w:rPr>
            <w:rStyle w:val="Hyperlink"/>
          </w:rPr>
          <w:t>http://www.bls.gov/oes/current/oes_nat.htm</w:t>
        </w:r>
      </w:hyperlink>
      <w:r>
        <w:t>, May 201</w:t>
      </w:r>
      <w:r w:rsidR="008946AF">
        <w:t>7</w:t>
      </w:r>
      <w:r w:rsidR="006B34E5">
        <w:t>)</w:t>
      </w:r>
      <w:r>
        <w:t>.</w:t>
      </w:r>
    </w:p>
    <w:p w:rsidR="00515875" w:rsidRDefault="00515875" w:rsidP="00515875">
      <w:pPr>
        <w:ind w:left="720" w:right="-720"/>
      </w:pPr>
    </w:p>
    <w:p w:rsidR="00515875" w:rsidRDefault="00515875" w:rsidP="00515875">
      <w:pPr>
        <w:ind w:left="720" w:right="-720"/>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0565C8">
        <w:t>8</w:t>
      </w:r>
      <w:r w:rsidR="008946AF">
        <w:t>76</w:t>
      </w:r>
      <w:r w:rsidR="00557851">
        <w:t>,</w:t>
      </w:r>
      <w:r w:rsidR="008946AF">
        <w:t>240</w:t>
      </w:r>
      <w:r>
        <w:t xml:space="preserve"> (</w:t>
      </w:r>
      <w:r w:rsidR="000565C8">
        <w:t>3</w:t>
      </w:r>
      <w:r w:rsidR="008946AF">
        <w:t>6,000</w:t>
      </w:r>
      <w:r>
        <w:t xml:space="preserve"> burden hours x $2</w:t>
      </w:r>
      <w:r w:rsidR="008946AF">
        <w:t>4.34</w:t>
      </w:r>
      <w:r>
        <w:t xml:space="preserve"> per hour).</w:t>
      </w:r>
    </w:p>
    <w:p w:rsidR="00515875" w:rsidRDefault="00515875">
      <w:pPr>
        <w:ind w:left="720" w:right="-720"/>
      </w:pPr>
    </w:p>
    <w:p w:rsidR="00224C68" w:rsidRDefault="00224C68" w:rsidP="005C0513">
      <w:pPr>
        <w:numPr>
          <w:ilvl w:val="1"/>
          <w:numId w:val="1"/>
        </w:numPr>
        <w:tabs>
          <w:tab w:val="clear" w:pos="1440"/>
          <w:tab w:val="left" w:pos="1170"/>
        </w:tabs>
        <w:ind w:left="720" w:right="-720" w:firstLine="0"/>
        <w:rPr>
          <w:b/>
          <w:bCs/>
        </w:rPr>
      </w:pPr>
      <w:r>
        <w:rPr>
          <w:b/>
          <w:bCs/>
        </w:rPr>
        <w:t>Provide an estimate of the total annual cost burden to respondents or record keepers resulting from the collection of information.</w:t>
      </w:r>
    </w:p>
    <w:p w:rsidR="00E42780" w:rsidRDefault="00E42780" w:rsidP="00000FC2">
      <w:pPr>
        <w:ind w:left="720" w:right="-720"/>
        <w:rPr>
          <w:bCs/>
        </w:rPr>
      </w:pPr>
    </w:p>
    <w:p w:rsidR="00000FC2" w:rsidRPr="00000FC2" w:rsidRDefault="00000FC2" w:rsidP="00000FC2">
      <w:pPr>
        <w:ind w:left="720" w:right="-720"/>
        <w:rPr>
          <w:bCs/>
        </w:rPr>
      </w:pPr>
      <w:r>
        <w:rPr>
          <w:bCs/>
        </w:rPr>
        <w:t>This submission does not involve any record keeping costs.</w:t>
      </w:r>
    </w:p>
    <w:p w:rsidR="00224C68" w:rsidRDefault="00224C68">
      <w:pPr>
        <w:ind w:right="-720"/>
        <w:rPr>
          <w:b/>
          <w:bCs/>
        </w:rPr>
      </w:pP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RDefault="00BA6B61" w:rsidP="00BA6B61">
      <w:pPr>
        <w:ind w:left="720" w:right="-720"/>
        <w:rPr>
          <w:bCs/>
        </w:rPr>
      </w:pPr>
    </w:p>
    <w:p w:rsidR="005C0513" w:rsidRDefault="005C0513" w:rsidP="005C0513">
      <w:pPr>
        <w:ind w:left="360" w:right="684" w:firstLine="360"/>
      </w:pPr>
      <w:r>
        <w:t>  Estimated Costs to the Federal Government:</w:t>
      </w:r>
    </w:p>
    <w:p w:rsidR="005C0513" w:rsidRDefault="005C0513" w:rsidP="005C0513">
      <w:pPr>
        <w:ind w:left="360" w:right="684"/>
      </w:pPr>
    </w:p>
    <w:tbl>
      <w:tblPr>
        <w:tblW w:w="8910" w:type="dxa"/>
        <w:tblInd w:w="468" w:type="dxa"/>
        <w:tblLayout w:type="fixed"/>
        <w:tblCellMar>
          <w:left w:w="0" w:type="dxa"/>
          <w:right w:w="0" w:type="dxa"/>
        </w:tblCellMar>
        <w:tblLook w:val="04A0" w:firstRow="1" w:lastRow="0" w:firstColumn="1" w:lastColumn="0" w:noHBand="0" w:noVBand="1"/>
      </w:tblPr>
      <w:tblGrid>
        <w:gridCol w:w="1106"/>
        <w:gridCol w:w="683"/>
        <w:gridCol w:w="868"/>
        <w:gridCol w:w="1026"/>
        <w:gridCol w:w="1253"/>
        <w:gridCol w:w="914"/>
        <w:gridCol w:w="1170"/>
        <w:gridCol w:w="1890"/>
      </w:tblGrid>
      <w:tr w:rsidR="00B274E1" w:rsidTr="00992375">
        <w:trPr>
          <w:trHeight w:val="492"/>
        </w:trPr>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Grade</w:t>
            </w: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Step</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Burden Time</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Fraction of Hour</w:t>
            </w:r>
          </w:p>
        </w:tc>
        <w:tc>
          <w:tcPr>
            <w:tcW w:w="1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Hourly Rate</w:t>
            </w: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Cost Per Response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Total Responses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18"/>
                <w:szCs w:val="18"/>
              </w:rPr>
            </w:pPr>
            <w:r>
              <w:rPr>
                <w:color w:val="000000"/>
                <w:sz w:val="18"/>
                <w:szCs w:val="18"/>
              </w:rPr>
              <w:t>Total</w:t>
            </w:r>
          </w:p>
        </w:tc>
      </w:tr>
      <w:tr w:rsidR="00B274E1" w:rsidTr="00992375">
        <w:trPr>
          <w:trHeight w:val="288"/>
        </w:trPr>
        <w:tc>
          <w:tcPr>
            <w:tcW w:w="1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9</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60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1.00</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 xml:space="preserve">$22.11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22.110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0565C8" w:rsidP="000565C8">
            <w:pPr>
              <w:jc w:val="center"/>
              <w:rPr>
                <w:rFonts w:eastAsia="Calibri"/>
                <w:color w:val="000000"/>
                <w:sz w:val="22"/>
                <w:szCs w:val="22"/>
              </w:rPr>
            </w:pPr>
            <w:r>
              <w:rPr>
                <w:rFonts w:eastAsia="Calibri"/>
                <w:color w:val="000000"/>
                <w:sz w:val="22"/>
                <w:szCs w:val="22"/>
              </w:rPr>
              <w:t>2,550,000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6376A9" w:rsidP="000565C8">
            <w:pPr>
              <w:jc w:val="center"/>
              <w:rPr>
                <w:rFonts w:eastAsia="Calibri"/>
                <w:color w:val="000000"/>
                <w:sz w:val="22"/>
                <w:szCs w:val="22"/>
              </w:rPr>
            </w:pPr>
            <w:r>
              <w:rPr>
                <w:rFonts w:eastAsia="Calibri"/>
                <w:color w:val="000000"/>
                <w:sz w:val="22"/>
                <w:szCs w:val="22"/>
              </w:rPr>
              <w:t xml:space="preserve">$ </w:t>
            </w:r>
            <w:r w:rsidR="000565C8">
              <w:rPr>
                <w:rFonts w:eastAsia="Calibri"/>
                <w:color w:val="000000"/>
                <w:sz w:val="22"/>
                <w:szCs w:val="22"/>
              </w:rPr>
              <w:t>56,380,</w:t>
            </w:r>
            <w:r w:rsidR="00992375">
              <w:rPr>
                <w:rFonts w:eastAsia="Calibri"/>
                <w:color w:val="000000"/>
                <w:sz w:val="22"/>
                <w:szCs w:val="22"/>
              </w:rPr>
              <w:t>500</w:t>
            </w:r>
            <w:r>
              <w:rPr>
                <w:rFonts w:eastAsia="Calibri"/>
                <w:color w:val="000000"/>
                <w:sz w:val="22"/>
                <w:szCs w:val="22"/>
              </w:rPr>
              <w:t>.00</w:t>
            </w:r>
          </w:p>
        </w:tc>
      </w:tr>
      <w:tr w:rsidR="00B274E1" w:rsidTr="00992375">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rPr>
                <w:rFonts w:eastAsia="Calibri"/>
                <w:color w:val="000000"/>
                <w:sz w:val="22"/>
                <w:szCs w:val="22"/>
              </w:rPr>
            </w:pPr>
            <w:r>
              <w:rPr>
                <w:color w:val="000000"/>
              </w:rPr>
              <w:t>Overhead at 100% Salary</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6376A9" w:rsidP="00992375">
            <w:pPr>
              <w:jc w:val="center"/>
              <w:rPr>
                <w:rFonts w:eastAsia="Calibri"/>
                <w:color w:val="000000"/>
                <w:sz w:val="22"/>
                <w:szCs w:val="22"/>
              </w:rPr>
            </w:pPr>
            <w:r>
              <w:rPr>
                <w:rFonts w:eastAsia="Calibri"/>
                <w:color w:val="000000"/>
                <w:sz w:val="22"/>
                <w:szCs w:val="22"/>
              </w:rPr>
              <w:t xml:space="preserve">$ </w:t>
            </w:r>
            <w:r w:rsidR="00992375">
              <w:rPr>
                <w:rFonts w:eastAsia="Calibri"/>
                <w:color w:val="000000"/>
                <w:sz w:val="22"/>
                <w:szCs w:val="22"/>
              </w:rPr>
              <w:t>56</w:t>
            </w:r>
            <w:r>
              <w:rPr>
                <w:rFonts w:eastAsia="Calibri"/>
                <w:color w:val="000000"/>
                <w:sz w:val="22"/>
                <w:szCs w:val="22"/>
              </w:rPr>
              <w:t>,</w:t>
            </w:r>
            <w:r w:rsidR="00992375">
              <w:rPr>
                <w:rFonts w:eastAsia="Calibri"/>
                <w:color w:val="000000"/>
                <w:sz w:val="22"/>
                <w:szCs w:val="22"/>
              </w:rPr>
              <w:t>380</w:t>
            </w:r>
            <w:r>
              <w:rPr>
                <w:rFonts w:eastAsia="Calibri"/>
                <w:color w:val="000000"/>
                <w:sz w:val="22"/>
                <w:szCs w:val="22"/>
              </w:rPr>
              <w:t>,</w:t>
            </w:r>
            <w:r w:rsidR="00992375">
              <w:rPr>
                <w:rFonts w:eastAsia="Calibri"/>
                <w:color w:val="000000"/>
                <w:sz w:val="22"/>
                <w:szCs w:val="22"/>
              </w:rPr>
              <w:t>500</w:t>
            </w:r>
            <w:r>
              <w:rPr>
                <w:rFonts w:eastAsia="Calibri"/>
                <w:color w:val="000000"/>
                <w:sz w:val="22"/>
                <w:szCs w:val="22"/>
              </w:rPr>
              <w:t>.00</w:t>
            </w:r>
          </w:p>
        </w:tc>
      </w:tr>
      <w:tr w:rsidR="00B274E1" w:rsidTr="00992375">
        <w:trPr>
          <w:trHeight w:val="288"/>
        </w:trPr>
        <w:tc>
          <w:tcPr>
            <w:tcW w:w="1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11</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30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0.50</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 xml:space="preserve">$26.75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992375" w:rsidP="00992375">
            <w:pPr>
              <w:jc w:val="center"/>
              <w:rPr>
                <w:rFonts w:eastAsia="Calibri"/>
                <w:color w:val="000000"/>
                <w:sz w:val="22"/>
                <w:szCs w:val="22"/>
              </w:rPr>
            </w:pPr>
            <w:r>
              <w:rPr>
                <w:color w:val="000000"/>
              </w:rPr>
              <w:t>26</w:t>
            </w:r>
            <w:r w:rsidR="005C0513">
              <w:rPr>
                <w:color w:val="000000"/>
              </w:rPr>
              <w:t>.75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992375" w:rsidRDefault="00992375" w:rsidP="00992375">
            <w:pPr>
              <w:jc w:val="center"/>
              <w:rPr>
                <w:rFonts w:eastAsia="Calibri"/>
                <w:color w:val="000000"/>
                <w:sz w:val="22"/>
                <w:szCs w:val="22"/>
              </w:rPr>
            </w:pPr>
            <w:r w:rsidRPr="00992375">
              <w:rPr>
                <w:color w:val="000000"/>
                <w:sz w:val="22"/>
                <w:szCs w:val="22"/>
              </w:rPr>
              <w:t>2,550,000</w:t>
            </w:r>
            <w:r w:rsidR="005C0513" w:rsidRPr="00992375">
              <w:rPr>
                <w:color w:val="000000"/>
                <w:sz w:val="22"/>
                <w:szCs w:val="22"/>
              </w:rPr>
              <w:t xml:space="preserve">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6376A9" w:rsidP="00992375">
            <w:pPr>
              <w:jc w:val="center"/>
              <w:rPr>
                <w:rFonts w:eastAsia="Calibri"/>
                <w:color w:val="000000"/>
                <w:sz w:val="22"/>
                <w:szCs w:val="22"/>
              </w:rPr>
            </w:pPr>
            <w:r>
              <w:rPr>
                <w:rFonts w:eastAsia="Calibri"/>
                <w:color w:val="000000"/>
                <w:sz w:val="22"/>
                <w:szCs w:val="22"/>
              </w:rPr>
              <w:t xml:space="preserve">$ </w:t>
            </w:r>
            <w:r w:rsidR="00992375">
              <w:rPr>
                <w:rFonts w:eastAsia="Calibri"/>
                <w:color w:val="000000"/>
                <w:sz w:val="22"/>
                <w:szCs w:val="22"/>
              </w:rPr>
              <w:t>68</w:t>
            </w:r>
            <w:r>
              <w:rPr>
                <w:rFonts w:eastAsia="Calibri"/>
                <w:color w:val="000000"/>
                <w:sz w:val="22"/>
                <w:szCs w:val="22"/>
              </w:rPr>
              <w:t>,</w:t>
            </w:r>
            <w:r w:rsidR="00992375">
              <w:rPr>
                <w:rFonts w:eastAsia="Calibri"/>
                <w:color w:val="000000"/>
                <w:sz w:val="22"/>
                <w:szCs w:val="22"/>
              </w:rPr>
              <w:t>212,500</w:t>
            </w:r>
            <w:r>
              <w:rPr>
                <w:rFonts w:eastAsia="Calibri"/>
                <w:color w:val="000000"/>
                <w:sz w:val="22"/>
                <w:szCs w:val="22"/>
              </w:rPr>
              <w:t>.00</w:t>
            </w:r>
          </w:p>
        </w:tc>
      </w:tr>
      <w:tr w:rsidR="00B274E1" w:rsidTr="00992375">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rPr>
                <w:rFonts w:eastAsia="Calibri"/>
                <w:color w:val="000000"/>
                <w:sz w:val="22"/>
                <w:szCs w:val="22"/>
              </w:rPr>
            </w:pPr>
            <w:r>
              <w:rPr>
                <w:color w:val="000000"/>
              </w:rPr>
              <w:t>Overhead at 100% Salary</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6376A9" w:rsidP="00992375">
            <w:pPr>
              <w:jc w:val="center"/>
              <w:rPr>
                <w:rFonts w:eastAsia="Calibri"/>
                <w:color w:val="000000"/>
                <w:sz w:val="22"/>
                <w:szCs w:val="22"/>
              </w:rPr>
            </w:pPr>
            <w:r>
              <w:rPr>
                <w:rFonts w:eastAsia="Calibri"/>
                <w:color w:val="000000"/>
                <w:sz w:val="22"/>
                <w:szCs w:val="22"/>
              </w:rPr>
              <w:t xml:space="preserve">$ </w:t>
            </w:r>
            <w:r w:rsidR="00992375">
              <w:rPr>
                <w:rFonts w:eastAsia="Calibri"/>
                <w:color w:val="000000"/>
                <w:sz w:val="22"/>
                <w:szCs w:val="22"/>
              </w:rPr>
              <w:t>68</w:t>
            </w:r>
            <w:r>
              <w:rPr>
                <w:rFonts w:eastAsia="Calibri"/>
                <w:color w:val="000000"/>
                <w:sz w:val="22"/>
                <w:szCs w:val="22"/>
              </w:rPr>
              <w:t>,</w:t>
            </w:r>
            <w:r w:rsidR="00992375">
              <w:rPr>
                <w:rFonts w:eastAsia="Calibri"/>
                <w:color w:val="000000"/>
                <w:sz w:val="22"/>
                <w:szCs w:val="22"/>
              </w:rPr>
              <w:t>212,500</w:t>
            </w:r>
            <w:r>
              <w:rPr>
                <w:rFonts w:eastAsia="Calibri"/>
                <w:color w:val="000000"/>
                <w:sz w:val="22"/>
                <w:szCs w:val="22"/>
              </w:rPr>
              <w:t>.00</w:t>
            </w:r>
          </w:p>
        </w:tc>
      </w:tr>
      <w:tr w:rsidR="00B274E1" w:rsidTr="00992375">
        <w:trPr>
          <w:trHeight w:val="288"/>
        </w:trPr>
        <w:tc>
          <w:tcPr>
            <w:tcW w:w="1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12</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3</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15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0.25</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 xml:space="preserve">$32.06 </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992375" w:rsidP="00992375">
            <w:pPr>
              <w:jc w:val="center"/>
              <w:rPr>
                <w:rFonts w:eastAsia="Calibri"/>
                <w:color w:val="000000"/>
                <w:sz w:val="22"/>
                <w:szCs w:val="22"/>
              </w:rPr>
            </w:pPr>
            <w:r>
              <w:rPr>
                <w:color w:val="000000"/>
              </w:rPr>
              <w:t>32</w:t>
            </w:r>
            <w:r w:rsidR="005C0513">
              <w:rPr>
                <w:color w:val="000000"/>
              </w:rPr>
              <w:t>.0</w:t>
            </w:r>
            <w:r>
              <w:rPr>
                <w:color w:val="000000"/>
              </w:rPr>
              <w:t>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992375" w:rsidP="00992375">
            <w:pPr>
              <w:jc w:val="center"/>
              <w:rPr>
                <w:rFonts w:eastAsia="Calibri"/>
                <w:color w:val="000000"/>
                <w:sz w:val="22"/>
                <w:szCs w:val="22"/>
              </w:rPr>
            </w:pPr>
            <w:r>
              <w:rPr>
                <w:rFonts w:eastAsia="Calibri"/>
                <w:color w:val="000000"/>
                <w:sz w:val="22"/>
                <w:szCs w:val="22"/>
              </w:rPr>
              <w:t>2,550,000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E25EF3" w:rsidP="00992375">
            <w:pPr>
              <w:jc w:val="center"/>
              <w:rPr>
                <w:rFonts w:eastAsia="Calibri"/>
                <w:color w:val="000000"/>
                <w:sz w:val="22"/>
                <w:szCs w:val="22"/>
              </w:rPr>
            </w:pPr>
            <w:r>
              <w:rPr>
                <w:rFonts w:eastAsia="Calibri"/>
                <w:color w:val="000000"/>
                <w:sz w:val="22"/>
                <w:szCs w:val="22"/>
              </w:rPr>
              <w:t xml:space="preserve">$ </w:t>
            </w:r>
            <w:r w:rsidR="00992375">
              <w:rPr>
                <w:rFonts w:eastAsia="Calibri"/>
                <w:color w:val="000000"/>
                <w:sz w:val="22"/>
                <w:szCs w:val="22"/>
              </w:rPr>
              <w:t>81,753,30</w:t>
            </w:r>
            <w:r>
              <w:rPr>
                <w:rFonts w:eastAsia="Calibri"/>
                <w:color w:val="000000"/>
                <w:sz w:val="22"/>
                <w:szCs w:val="22"/>
              </w:rPr>
              <w:t>0</w:t>
            </w:r>
            <w:r w:rsidR="00992375">
              <w:rPr>
                <w:rFonts w:eastAsia="Calibri"/>
                <w:color w:val="000000"/>
                <w:sz w:val="22"/>
                <w:szCs w:val="22"/>
              </w:rPr>
              <w:t>.0</w:t>
            </w:r>
            <w:r>
              <w:rPr>
                <w:rFonts w:eastAsia="Calibri"/>
                <w:color w:val="000000"/>
                <w:sz w:val="22"/>
                <w:szCs w:val="22"/>
              </w:rPr>
              <w:t>0</w:t>
            </w:r>
          </w:p>
        </w:tc>
      </w:tr>
      <w:tr w:rsidR="00B274E1" w:rsidTr="00992375">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rPr>
                <w:rFonts w:eastAsia="Calibri"/>
                <w:color w:val="000000"/>
                <w:sz w:val="22"/>
                <w:szCs w:val="22"/>
              </w:rPr>
            </w:pPr>
            <w:r>
              <w:rPr>
                <w:color w:val="000000"/>
              </w:rPr>
              <w:t>Overhead at 100% Salary</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E25EF3" w:rsidP="00992375">
            <w:pPr>
              <w:jc w:val="center"/>
              <w:rPr>
                <w:rFonts w:eastAsia="Calibri"/>
                <w:color w:val="000000"/>
                <w:sz w:val="22"/>
                <w:szCs w:val="22"/>
              </w:rPr>
            </w:pPr>
            <w:r>
              <w:rPr>
                <w:rFonts w:eastAsia="Calibri"/>
                <w:color w:val="000000"/>
                <w:sz w:val="22"/>
                <w:szCs w:val="22"/>
              </w:rPr>
              <w:t xml:space="preserve">$ </w:t>
            </w:r>
            <w:r w:rsidR="00992375">
              <w:rPr>
                <w:rFonts w:eastAsia="Calibri"/>
                <w:color w:val="000000"/>
                <w:sz w:val="22"/>
                <w:szCs w:val="22"/>
              </w:rPr>
              <w:t>81</w:t>
            </w:r>
            <w:r>
              <w:rPr>
                <w:rFonts w:eastAsia="Calibri"/>
                <w:color w:val="000000"/>
                <w:sz w:val="22"/>
                <w:szCs w:val="22"/>
              </w:rPr>
              <w:t>,</w:t>
            </w:r>
            <w:r w:rsidR="00992375">
              <w:rPr>
                <w:rFonts w:eastAsia="Calibri"/>
                <w:color w:val="000000"/>
                <w:sz w:val="22"/>
                <w:szCs w:val="22"/>
              </w:rPr>
              <w:t>753,300</w:t>
            </w:r>
            <w:r>
              <w:rPr>
                <w:rFonts w:eastAsia="Calibri"/>
                <w:color w:val="000000"/>
                <w:sz w:val="22"/>
                <w:szCs w:val="22"/>
              </w:rPr>
              <w:t>.00</w:t>
            </w:r>
          </w:p>
        </w:tc>
      </w:tr>
      <w:tr w:rsidR="00B274E1" w:rsidTr="00992375">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5C0513">
            <w:pPr>
              <w:jc w:val="center"/>
              <w:rPr>
                <w:rFonts w:eastAsia="Calibri"/>
                <w:color w:val="000000"/>
                <w:sz w:val="22"/>
                <w:szCs w:val="22"/>
              </w:rPr>
            </w:pPr>
            <w:r>
              <w:rPr>
                <w:color w:val="000000"/>
              </w:rPr>
              <w:t> </w:t>
            </w:r>
          </w:p>
        </w:tc>
      </w:tr>
      <w:tr w:rsidR="00B274E1" w:rsidTr="00992375">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rPr>
                <w:rFonts w:eastAsia="Calibri"/>
                <w:color w:val="000000"/>
                <w:sz w:val="22"/>
                <w:szCs w:val="22"/>
              </w:rPr>
            </w:pPr>
            <w:r>
              <w:rPr>
                <w:color w:val="000000"/>
              </w:rPr>
              <w:t>Processing / Analyzing Costs</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tcPr>
          <w:p w:rsidR="005C0513" w:rsidRPr="005C0513" w:rsidRDefault="006376A9" w:rsidP="007C34F6">
            <w:pPr>
              <w:jc w:val="center"/>
              <w:rPr>
                <w:rFonts w:eastAsia="Calibri"/>
                <w:color w:val="000000"/>
                <w:sz w:val="22"/>
                <w:szCs w:val="22"/>
              </w:rPr>
            </w:pPr>
            <w:r>
              <w:rPr>
                <w:rFonts w:eastAsia="Calibri"/>
                <w:color w:val="000000"/>
                <w:sz w:val="22"/>
                <w:szCs w:val="22"/>
              </w:rPr>
              <w:t xml:space="preserve">$ </w:t>
            </w:r>
            <w:r w:rsidR="007C34F6">
              <w:rPr>
                <w:rFonts w:eastAsia="Calibri"/>
                <w:color w:val="000000"/>
                <w:sz w:val="22"/>
                <w:szCs w:val="22"/>
              </w:rPr>
              <w:t>6</w:t>
            </w:r>
            <w:r w:rsidR="00990553">
              <w:rPr>
                <w:rFonts w:eastAsia="Calibri"/>
                <w:color w:val="000000"/>
                <w:sz w:val="22"/>
                <w:szCs w:val="22"/>
              </w:rPr>
              <w:t>2,916,975</w:t>
            </w:r>
            <w:r w:rsidR="001925B7">
              <w:rPr>
                <w:rFonts w:eastAsia="Calibri"/>
                <w:color w:val="000000"/>
                <w:sz w:val="22"/>
                <w:szCs w:val="22"/>
              </w:rPr>
              <w:t>.</w:t>
            </w:r>
            <w:r>
              <w:rPr>
                <w:rFonts w:eastAsia="Calibri"/>
                <w:color w:val="000000"/>
                <w:sz w:val="22"/>
                <w:szCs w:val="22"/>
              </w:rPr>
              <w:t>00</w:t>
            </w:r>
          </w:p>
        </w:tc>
      </w:tr>
      <w:tr w:rsidR="00B274E1" w:rsidTr="00992375">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rPr>
                <w:rFonts w:eastAsia="Calibri"/>
                <w:color w:val="000000"/>
                <w:sz w:val="22"/>
                <w:szCs w:val="22"/>
              </w:rPr>
            </w:pPr>
            <w:r>
              <w:rPr>
                <w:color w:val="000000"/>
              </w:rPr>
              <w:t>Printing and Production Cost</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6376A9" w:rsidP="007C34F6">
            <w:pPr>
              <w:jc w:val="center"/>
              <w:rPr>
                <w:rFonts w:eastAsia="Calibri"/>
                <w:color w:val="000000"/>
                <w:sz w:val="22"/>
                <w:szCs w:val="22"/>
              </w:rPr>
            </w:pPr>
            <w:r>
              <w:rPr>
                <w:rFonts w:eastAsia="Calibri"/>
                <w:color w:val="000000"/>
                <w:sz w:val="22"/>
                <w:szCs w:val="22"/>
              </w:rPr>
              <w:t xml:space="preserve">$ </w:t>
            </w:r>
            <w:r w:rsidR="007C34F6">
              <w:rPr>
                <w:rFonts w:eastAsia="Calibri"/>
                <w:color w:val="000000"/>
                <w:sz w:val="22"/>
                <w:szCs w:val="22"/>
              </w:rPr>
              <w:t>284</w:t>
            </w:r>
            <w:r>
              <w:rPr>
                <w:rFonts w:eastAsia="Calibri"/>
                <w:color w:val="000000"/>
                <w:sz w:val="22"/>
                <w:szCs w:val="22"/>
              </w:rPr>
              <w:t>.00</w:t>
            </w:r>
          </w:p>
        </w:tc>
      </w:tr>
      <w:tr w:rsidR="00B274E1" w:rsidTr="00992375">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5C0513" w:rsidRPr="005C0513" w:rsidRDefault="005C0513">
            <w:pPr>
              <w:rPr>
                <w:rFonts w:eastAsia="Calibri"/>
                <w:color w:val="000000"/>
                <w:sz w:val="22"/>
                <w:szCs w:val="22"/>
              </w:rPr>
            </w:pPr>
            <w:r>
              <w:rPr>
                <w:color w:val="000000"/>
              </w:rPr>
              <w:t>Total Cost to Government</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C0513" w:rsidRPr="005C0513" w:rsidRDefault="0028497F" w:rsidP="00204870">
            <w:pPr>
              <w:jc w:val="center"/>
              <w:rPr>
                <w:rFonts w:eastAsia="Calibri"/>
                <w:color w:val="000000"/>
                <w:sz w:val="22"/>
                <w:szCs w:val="22"/>
              </w:rPr>
            </w:pPr>
            <w:r>
              <w:rPr>
                <w:rFonts w:eastAsia="Calibri"/>
                <w:color w:val="000000"/>
                <w:sz w:val="22"/>
                <w:szCs w:val="22"/>
              </w:rPr>
              <w:t xml:space="preserve">$ </w:t>
            </w:r>
            <w:r w:rsidR="00204870">
              <w:rPr>
                <w:rFonts w:eastAsia="Calibri"/>
                <w:color w:val="000000"/>
                <w:sz w:val="22"/>
                <w:szCs w:val="22"/>
              </w:rPr>
              <w:t>62,</w:t>
            </w:r>
            <w:r w:rsidR="001925B7">
              <w:rPr>
                <w:rFonts w:eastAsia="Calibri"/>
                <w:color w:val="000000"/>
                <w:sz w:val="22"/>
                <w:szCs w:val="22"/>
              </w:rPr>
              <w:t>91</w:t>
            </w:r>
            <w:r w:rsidR="00204870">
              <w:rPr>
                <w:rFonts w:eastAsia="Calibri"/>
                <w:color w:val="000000"/>
                <w:sz w:val="22"/>
                <w:szCs w:val="22"/>
              </w:rPr>
              <w:t>7</w:t>
            </w:r>
            <w:r w:rsidR="006376A9">
              <w:rPr>
                <w:rFonts w:eastAsia="Calibri"/>
                <w:color w:val="000000"/>
                <w:sz w:val="22"/>
                <w:szCs w:val="22"/>
              </w:rPr>
              <w:t>,</w:t>
            </w:r>
            <w:r w:rsidR="00204870">
              <w:rPr>
                <w:rFonts w:eastAsia="Calibri"/>
                <w:color w:val="000000"/>
                <w:sz w:val="22"/>
                <w:szCs w:val="22"/>
              </w:rPr>
              <w:t>259</w:t>
            </w:r>
            <w:r w:rsidR="006376A9">
              <w:rPr>
                <w:rFonts w:eastAsia="Calibri"/>
                <w:color w:val="000000"/>
                <w:sz w:val="22"/>
                <w:szCs w:val="22"/>
              </w:rPr>
              <w:t>.00</w:t>
            </w:r>
          </w:p>
        </w:tc>
      </w:tr>
    </w:tbl>
    <w:p w:rsidR="005C0513" w:rsidRPr="005C0513" w:rsidRDefault="005C0513" w:rsidP="005C0513">
      <w:pPr>
        <w:pStyle w:val="ListParagraph"/>
        <w:ind w:left="360" w:right="576"/>
        <w:jc w:val="both"/>
        <w:rPr>
          <w:rFonts w:ascii="Times New Roman" w:hAnsi="Times New Roman"/>
          <w:sz w:val="24"/>
          <w:szCs w:val="24"/>
        </w:rPr>
      </w:pPr>
      <w:r>
        <w:rPr>
          <w:sz w:val="24"/>
          <w:szCs w:val="24"/>
        </w:rPr>
        <w:t xml:space="preserve">                                                                                                                                      </w:t>
      </w:r>
    </w:p>
    <w:p w:rsidR="005C0513" w:rsidRPr="005C0513" w:rsidRDefault="005C0513" w:rsidP="005C0513">
      <w:pPr>
        <w:pStyle w:val="ListParagraph"/>
        <w:ind w:left="810" w:right="576"/>
        <w:jc w:val="both"/>
        <w:rPr>
          <w:rFonts w:ascii="Times New Roman" w:hAnsi="Times New Roman"/>
          <w:sz w:val="24"/>
          <w:szCs w:val="24"/>
        </w:rPr>
      </w:pPr>
      <w:r w:rsidRPr="005C0513">
        <w:rPr>
          <w:rFonts w:ascii="Times New Roman" w:hAnsi="Times New Roman"/>
          <w:sz w:val="24"/>
          <w:szCs w:val="24"/>
        </w:rPr>
        <w:t xml:space="preserve">Overhead costs are 100% of salary and are same as the wage listed above and the amounts are included in the total.  </w:t>
      </w:r>
    </w:p>
    <w:p w:rsidR="005C0513" w:rsidRDefault="005C0513" w:rsidP="005C0513">
      <w:pPr>
        <w:pStyle w:val="ListParagraph"/>
        <w:ind w:left="0" w:right="576"/>
        <w:jc w:val="both"/>
        <w:rPr>
          <w:sz w:val="24"/>
          <w:szCs w:val="24"/>
        </w:rPr>
      </w:pPr>
    </w:p>
    <w:p w:rsidR="005C0513" w:rsidRDefault="005C0513" w:rsidP="005C0513">
      <w:pPr>
        <w:ind w:left="810"/>
      </w:pPr>
      <w:r>
        <w:t xml:space="preserve">Note: The hourly wage information above is based on the hourly </w:t>
      </w:r>
      <w:r w:rsidRPr="006B34E5">
        <w:t>2017</w:t>
      </w:r>
      <w:r>
        <w:t xml:space="preserve"> General Schedule (Base) Pay (</w:t>
      </w:r>
      <w:hyperlink r:id="rId9" w:history="1">
        <w:r>
          <w:rPr>
            <w:rStyle w:val="Hyperlink"/>
          </w:rPr>
          <w:t>https://www.opm.gov/policy-data-oversight/pay-leave/salaries-wages/salary-tables/pdf/2017/GS_h.pdf</w:t>
        </w:r>
      </w:hyperlink>
      <w:r>
        <w:t xml:space="preserve"> ).  This rate does not include any locality adjustment as applicable. </w:t>
      </w:r>
    </w:p>
    <w:p w:rsidR="005C0513" w:rsidRDefault="005C0513" w:rsidP="005C0513">
      <w:pPr>
        <w:ind w:left="360"/>
      </w:pPr>
    </w:p>
    <w:p w:rsidR="005C0513" w:rsidRDefault="005C0513" w:rsidP="005C0513">
      <w:pPr>
        <w:ind w:left="810"/>
      </w:pPr>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C0513" w:rsidRDefault="005C0513" w:rsidP="00BA6B61">
      <w:pPr>
        <w:ind w:left="2880" w:right="-720" w:hanging="2160"/>
        <w:rPr>
          <w:bCs/>
        </w:rPr>
      </w:pPr>
    </w:p>
    <w:p w:rsidR="005C0513" w:rsidRDefault="005C0513" w:rsidP="00BA6B61">
      <w:pPr>
        <w:ind w:left="2880" w:right="-720" w:hanging="2160"/>
        <w:rPr>
          <w:bCs/>
        </w:rPr>
      </w:pPr>
    </w:p>
    <w:p w:rsidR="00224C68" w:rsidRDefault="00224C68">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RDefault="00E42780" w:rsidP="00E42780">
      <w:pPr>
        <w:ind w:left="720" w:right="-720"/>
        <w:rPr>
          <w:bCs/>
        </w:rPr>
      </w:pPr>
    </w:p>
    <w:p w:rsidR="00E42780" w:rsidRPr="00E42780" w:rsidRDefault="00E42780" w:rsidP="00E42780">
      <w:pPr>
        <w:ind w:left="720" w:right="-720"/>
        <w:rPr>
          <w:bCs/>
        </w:rPr>
      </w:pPr>
      <w:r w:rsidRPr="00E42780">
        <w:rPr>
          <w:bCs/>
        </w:rPr>
        <w:t>N/A</w:t>
      </w:r>
    </w:p>
    <w:p w:rsidR="00224C68" w:rsidRDefault="00224C68">
      <w:pPr>
        <w:ind w:right="-720"/>
        <w:rPr>
          <w:b/>
          <w:bCs/>
        </w:rPr>
      </w:pPr>
    </w:p>
    <w:p w:rsidR="00224C68" w:rsidRDefault="00224C68">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pPr>
        <w:ind w:right="-720"/>
        <w:rPr>
          <w:b/>
          <w:bCs/>
        </w:rPr>
      </w:pPr>
    </w:p>
    <w:p w:rsidR="00224C68" w:rsidRDefault="00E42780">
      <w:pPr>
        <w:ind w:left="720" w:right="-720"/>
      </w:pPr>
      <w:r>
        <w:t>This information</w:t>
      </w:r>
      <w:r w:rsidR="006B34E5">
        <w:t xml:space="preserve"> collection is not for</w:t>
      </w:r>
      <w:r>
        <w:t xml:space="preserve"> publication</w:t>
      </w:r>
      <w:r w:rsidR="006B34E5">
        <w:t xml:space="preserve"> or tabulation use</w:t>
      </w:r>
      <w:r>
        <w:t>.</w:t>
      </w:r>
    </w:p>
    <w:p w:rsidR="00224C68" w:rsidRDefault="00224C68">
      <w:pPr>
        <w:ind w:left="720" w:right="-720"/>
      </w:pPr>
    </w:p>
    <w:p w:rsidR="00224C68" w:rsidRDefault="00224C68">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pPr>
        <w:ind w:right="-720"/>
        <w:rPr>
          <w:b/>
          <w:bCs/>
        </w:rPr>
      </w:pPr>
    </w:p>
    <w:p w:rsidR="00224C68" w:rsidRDefault="006B34E5">
      <w:pPr>
        <w:ind w:left="720" w:right="-720"/>
      </w:pPr>
      <w:r>
        <w:t>We are not seeking</w:t>
      </w:r>
      <w:r w:rsidR="00515875">
        <w:t xml:space="preserve"> to omit the expiration</w:t>
      </w:r>
      <w:r>
        <w:t xml:space="preserve"> </w:t>
      </w:r>
      <w:r w:rsidR="00515875">
        <w:t>date for OMB approval.</w:t>
      </w:r>
    </w:p>
    <w:p w:rsidR="00E42780" w:rsidRDefault="00E42780">
      <w:pPr>
        <w:ind w:left="720" w:right="-720"/>
      </w:pPr>
    </w:p>
    <w:p w:rsidR="00224C68" w:rsidRDefault="00224C68">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pPr>
        <w:ind w:right="-720"/>
      </w:pPr>
    </w:p>
    <w:p w:rsidR="00224C68" w:rsidRDefault="006B34E5">
      <w:pPr>
        <w:ind w:left="720" w:right="-720"/>
      </w:pPr>
      <w:r>
        <w:t>This submission does not contain any exceptions to the certification statement.</w:t>
      </w:r>
    </w:p>
    <w:p w:rsidR="00E42780" w:rsidRDefault="00E42780">
      <w:pPr>
        <w:ind w:left="720" w:right="-720"/>
      </w:pPr>
    </w:p>
    <w:p w:rsidR="006B34E5" w:rsidRDefault="00224C68" w:rsidP="006B34E5">
      <w:pPr>
        <w:pStyle w:val="Heading1"/>
        <w:numPr>
          <w:ilvl w:val="0"/>
          <w:numId w:val="1"/>
        </w:numPr>
        <w:jc w:val="left"/>
      </w:pPr>
      <w:r>
        <w:t>COLLECTION OF INFORMATION EMPLOYING STATISTICAL</w:t>
      </w:r>
    </w:p>
    <w:p w:rsidR="00224C68" w:rsidRDefault="00224C68" w:rsidP="006B34E5">
      <w:pPr>
        <w:pStyle w:val="Heading1"/>
        <w:ind w:left="720"/>
        <w:jc w:val="left"/>
      </w:pPr>
      <w:r>
        <w:t>METHODS</w:t>
      </w:r>
    </w:p>
    <w:p w:rsidR="00224C68" w:rsidRDefault="00224C68">
      <w:pPr>
        <w:rPr>
          <w:b/>
          <w:bCs/>
          <w:sz w:val="22"/>
        </w:rPr>
      </w:pPr>
    </w:p>
    <w:p w:rsidR="007073BD" w:rsidRDefault="00E42780" w:rsidP="00E25EF3">
      <w:pPr>
        <w:ind w:left="720" w:right="-720"/>
      </w:pPr>
      <w:r>
        <w:t xml:space="preserve">The </w:t>
      </w:r>
      <w:r w:rsidR="006B34E5">
        <w:t>data</w:t>
      </w:r>
      <w:r>
        <w:t xml:space="preserve"> collect</w:t>
      </w:r>
      <w:r w:rsidR="006B34E5">
        <w:t>ion does not employ</w:t>
      </w:r>
      <w:r>
        <w:t xml:space="preserve"> statistical methods.</w:t>
      </w:r>
    </w:p>
    <w:sectPr w:rsidR="007073BD" w:rsidSect="00A437BE">
      <w:footerReference w:type="default" r:id="rId10"/>
      <w:pgSz w:w="12240" w:h="15840"/>
      <w:pgMar w:top="1440" w:right="162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F3" w:rsidRDefault="00AB3DF3" w:rsidP="007073BD">
      <w:r>
        <w:separator/>
      </w:r>
    </w:p>
  </w:endnote>
  <w:endnote w:type="continuationSeparator" w:id="0">
    <w:p w:rsidR="00AB3DF3" w:rsidRDefault="00AB3DF3"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3BD" w:rsidRDefault="007073BD">
    <w:pPr>
      <w:pStyle w:val="Footer"/>
      <w:jc w:val="right"/>
    </w:pPr>
    <w:r>
      <w:fldChar w:fldCharType="begin"/>
    </w:r>
    <w:r>
      <w:instrText xml:space="preserve"> PAGE   \* MERGEFORMAT </w:instrText>
    </w:r>
    <w:r>
      <w:fldChar w:fldCharType="separate"/>
    </w:r>
    <w:r w:rsidR="003D2063">
      <w:rPr>
        <w:noProof/>
      </w:rPr>
      <w:t>1</w:t>
    </w:r>
    <w:r>
      <w:rPr>
        <w:noProof/>
      </w:rPr>
      <w:fldChar w:fldCharType="end"/>
    </w:r>
  </w:p>
  <w:p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F3" w:rsidRDefault="00AB3DF3" w:rsidP="007073BD">
      <w:r>
        <w:separator/>
      </w:r>
    </w:p>
  </w:footnote>
  <w:footnote w:type="continuationSeparator" w:id="0">
    <w:p w:rsidR="00AB3DF3" w:rsidRDefault="00AB3DF3" w:rsidP="00707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A4F2FFC"/>
    <w:multiLevelType w:val="hybridMultilevel"/>
    <w:tmpl w:val="C03AEEDA"/>
    <w:lvl w:ilvl="0" w:tplc="8A8817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D3"/>
    <w:rsid w:val="00000FC2"/>
    <w:rsid w:val="000565C8"/>
    <w:rsid w:val="0007467F"/>
    <w:rsid w:val="000765D7"/>
    <w:rsid w:val="00093F32"/>
    <w:rsid w:val="000A754C"/>
    <w:rsid w:val="000C3DDF"/>
    <w:rsid w:val="00100402"/>
    <w:rsid w:val="00154661"/>
    <w:rsid w:val="00172BBA"/>
    <w:rsid w:val="00187B51"/>
    <w:rsid w:val="001906C4"/>
    <w:rsid w:val="001925B7"/>
    <w:rsid w:val="001A7FA8"/>
    <w:rsid w:val="001E2F14"/>
    <w:rsid w:val="001E5052"/>
    <w:rsid w:val="001F080D"/>
    <w:rsid w:val="001F15B6"/>
    <w:rsid w:val="00200933"/>
    <w:rsid w:val="00204870"/>
    <w:rsid w:val="00224C68"/>
    <w:rsid w:val="002251C0"/>
    <w:rsid w:val="002413C3"/>
    <w:rsid w:val="00250A06"/>
    <w:rsid w:val="00275648"/>
    <w:rsid w:val="00277E46"/>
    <w:rsid w:val="0028497F"/>
    <w:rsid w:val="002940A6"/>
    <w:rsid w:val="002D2781"/>
    <w:rsid w:val="002D2A73"/>
    <w:rsid w:val="002F78CB"/>
    <w:rsid w:val="002F7E7F"/>
    <w:rsid w:val="0034626E"/>
    <w:rsid w:val="00362008"/>
    <w:rsid w:val="00366F2E"/>
    <w:rsid w:val="00384DF3"/>
    <w:rsid w:val="003866A7"/>
    <w:rsid w:val="003875F6"/>
    <w:rsid w:val="0039627A"/>
    <w:rsid w:val="003A72EB"/>
    <w:rsid w:val="003D2063"/>
    <w:rsid w:val="003F6A23"/>
    <w:rsid w:val="003F6E4A"/>
    <w:rsid w:val="0041612F"/>
    <w:rsid w:val="00495714"/>
    <w:rsid w:val="004B6D95"/>
    <w:rsid w:val="005032E6"/>
    <w:rsid w:val="00515875"/>
    <w:rsid w:val="00521A78"/>
    <w:rsid w:val="00544E50"/>
    <w:rsid w:val="00557851"/>
    <w:rsid w:val="005864D9"/>
    <w:rsid w:val="005C0513"/>
    <w:rsid w:val="005E3924"/>
    <w:rsid w:val="005F4114"/>
    <w:rsid w:val="00604766"/>
    <w:rsid w:val="0061205B"/>
    <w:rsid w:val="0063116C"/>
    <w:rsid w:val="006376A9"/>
    <w:rsid w:val="00684BDB"/>
    <w:rsid w:val="006B34E5"/>
    <w:rsid w:val="006B6AE4"/>
    <w:rsid w:val="006C02FC"/>
    <w:rsid w:val="006E527A"/>
    <w:rsid w:val="007073BD"/>
    <w:rsid w:val="00791297"/>
    <w:rsid w:val="007A2833"/>
    <w:rsid w:val="007C34F6"/>
    <w:rsid w:val="007D0F41"/>
    <w:rsid w:val="007F1099"/>
    <w:rsid w:val="00817D95"/>
    <w:rsid w:val="008229D3"/>
    <w:rsid w:val="00827365"/>
    <w:rsid w:val="00837D1A"/>
    <w:rsid w:val="008627DD"/>
    <w:rsid w:val="00886CA4"/>
    <w:rsid w:val="00893788"/>
    <w:rsid w:val="008946AF"/>
    <w:rsid w:val="008F3F30"/>
    <w:rsid w:val="009125A2"/>
    <w:rsid w:val="009166E5"/>
    <w:rsid w:val="0092446E"/>
    <w:rsid w:val="00961B1B"/>
    <w:rsid w:val="00971858"/>
    <w:rsid w:val="00980659"/>
    <w:rsid w:val="00990553"/>
    <w:rsid w:val="00992375"/>
    <w:rsid w:val="00A00957"/>
    <w:rsid w:val="00A437BE"/>
    <w:rsid w:val="00A84524"/>
    <w:rsid w:val="00AA4371"/>
    <w:rsid w:val="00AB3DF3"/>
    <w:rsid w:val="00AC0A4A"/>
    <w:rsid w:val="00AD52FF"/>
    <w:rsid w:val="00B274E1"/>
    <w:rsid w:val="00B64A87"/>
    <w:rsid w:val="00B96C28"/>
    <w:rsid w:val="00B9796C"/>
    <w:rsid w:val="00BA6B61"/>
    <w:rsid w:val="00BC2083"/>
    <w:rsid w:val="00BE430F"/>
    <w:rsid w:val="00C162B0"/>
    <w:rsid w:val="00C17901"/>
    <w:rsid w:val="00C7194B"/>
    <w:rsid w:val="00CA16AF"/>
    <w:rsid w:val="00CA3771"/>
    <w:rsid w:val="00CB1264"/>
    <w:rsid w:val="00CD7DC3"/>
    <w:rsid w:val="00CE3F6E"/>
    <w:rsid w:val="00CF6B80"/>
    <w:rsid w:val="00D0355B"/>
    <w:rsid w:val="00D3433F"/>
    <w:rsid w:val="00D466DD"/>
    <w:rsid w:val="00DA2623"/>
    <w:rsid w:val="00DB07AD"/>
    <w:rsid w:val="00DB5E38"/>
    <w:rsid w:val="00DB6B96"/>
    <w:rsid w:val="00DC19B8"/>
    <w:rsid w:val="00DD1867"/>
    <w:rsid w:val="00E02FFC"/>
    <w:rsid w:val="00E25EF3"/>
    <w:rsid w:val="00E42780"/>
    <w:rsid w:val="00E83FE5"/>
    <w:rsid w:val="00F26D1B"/>
    <w:rsid w:val="00F50E0D"/>
    <w:rsid w:val="00F80455"/>
    <w:rsid w:val="00F84310"/>
    <w:rsid w:val="00FA7081"/>
    <w:rsid w:val="00FC6932"/>
    <w:rsid w:val="00FC71B6"/>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A84524"/>
    <w:pPr>
      <w:spacing w:after="120" w:line="480" w:lineRule="auto"/>
    </w:pPr>
  </w:style>
  <w:style w:type="character" w:customStyle="1" w:styleId="BodyText2Char">
    <w:name w:val="Body Text 2 Char"/>
    <w:link w:val="BodyText2"/>
    <w:uiPriority w:val="99"/>
    <w:semiHidden/>
    <w:rsid w:val="00A84524"/>
    <w:rPr>
      <w:sz w:val="24"/>
      <w:szCs w:val="24"/>
    </w:rPr>
  </w:style>
  <w:style w:type="character" w:styleId="Hyperlink">
    <w:name w:val="Hyperlink"/>
    <w:uiPriority w:val="99"/>
    <w:unhideWhenUsed/>
    <w:rsid w:val="005C0513"/>
    <w:rPr>
      <w:color w:val="0000FF"/>
      <w:u w:val="single"/>
    </w:rPr>
  </w:style>
  <w:style w:type="character" w:styleId="FollowedHyperlink">
    <w:name w:val="FollowedHyperlink"/>
    <w:uiPriority w:val="99"/>
    <w:semiHidden/>
    <w:unhideWhenUsed/>
    <w:rsid w:val="005F4114"/>
    <w:rPr>
      <w:color w:val="800080"/>
      <w:u w:val="single"/>
    </w:rPr>
  </w:style>
  <w:style w:type="paragraph" w:styleId="Subtitle">
    <w:name w:val="Subtitle"/>
    <w:basedOn w:val="Normal"/>
    <w:link w:val="SubtitleChar"/>
    <w:qFormat/>
    <w:rsid w:val="003F6A23"/>
    <w:pPr>
      <w:jc w:val="center"/>
    </w:pPr>
    <w:rPr>
      <w:szCs w:val="20"/>
    </w:rPr>
  </w:style>
  <w:style w:type="character" w:customStyle="1" w:styleId="SubtitleChar">
    <w:name w:val="Subtitle Char"/>
    <w:link w:val="Subtitle"/>
    <w:rsid w:val="003F6A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A84524"/>
    <w:pPr>
      <w:spacing w:after="120" w:line="480" w:lineRule="auto"/>
    </w:pPr>
  </w:style>
  <w:style w:type="character" w:customStyle="1" w:styleId="BodyText2Char">
    <w:name w:val="Body Text 2 Char"/>
    <w:link w:val="BodyText2"/>
    <w:uiPriority w:val="99"/>
    <w:semiHidden/>
    <w:rsid w:val="00A84524"/>
    <w:rPr>
      <w:sz w:val="24"/>
      <w:szCs w:val="24"/>
    </w:rPr>
  </w:style>
  <w:style w:type="character" w:styleId="Hyperlink">
    <w:name w:val="Hyperlink"/>
    <w:uiPriority w:val="99"/>
    <w:unhideWhenUsed/>
    <w:rsid w:val="005C0513"/>
    <w:rPr>
      <w:color w:val="0000FF"/>
      <w:u w:val="single"/>
    </w:rPr>
  </w:style>
  <w:style w:type="character" w:styleId="FollowedHyperlink">
    <w:name w:val="FollowedHyperlink"/>
    <w:uiPriority w:val="99"/>
    <w:semiHidden/>
    <w:unhideWhenUsed/>
    <w:rsid w:val="005F4114"/>
    <w:rPr>
      <w:color w:val="800080"/>
      <w:u w:val="single"/>
    </w:rPr>
  </w:style>
  <w:style w:type="paragraph" w:styleId="Subtitle">
    <w:name w:val="Subtitle"/>
    <w:basedOn w:val="Normal"/>
    <w:link w:val="SubtitleChar"/>
    <w:qFormat/>
    <w:rsid w:val="003F6A23"/>
    <w:pPr>
      <w:jc w:val="center"/>
    </w:pPr>
    <w:rPr>
      <w:szCs w:val="20"/>
    </w:rPr>
  </w:style>
  <w:style w:type="character" w:customStyle="1" w:styleId="SubtitleChar">
    <w:name w:val="Subtitle Char"/>
    <w:link w:val="Subtitle"/>
    <w:rsid w:val="003F6A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8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11269</CharactersWithSpaces>
  <SharedDoc>false</SharedDoc>
  <HLinks>
    <vt:vector size="12" baseType="variant">
      <vt:variant>
        <vt:i4>4063263</vt:i4>
      </vt:variant>
      <vt:variant>
        <vt:i4>3</vt:i4>
      </vt:variant>
      <vt:variant>
        <vt:i4>0</vt:i4>
      </vt:variant>
      <vt:variant>
        <vt:i4>5</vt:i4>
      </vt:variant>
      <vt:variant>
        <vt:lpwstr>https://www.opm.gov/policy-data-oversight/pay-leave/salaries-wages/salary-tables/pdf/2017/GS_h.pdf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SYSTEM</cp:lastModifiedBy>
  <cp:revision>2</cp:revision>
  <cp:lastPrinted>2010-01-07T19:39:00Z</cp:lastPrinted>
  <dcterms:created xsi:type="dcterms:W3CDTF">2018-07-16T18:15:00Z</dcterms:created>
  <dcterms:modified xsi:type="dcterms:W3CDTF">2018-07-16T18:15:00Z</dcterms:modified>
</cp:coreProperties>
</file>