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6E145E" w:rsidRDefault="006E145E" w:rsidP="006E145E">
      <w:r>
        <w:t>RI 20-7 – Representative Payee Application</w:t>
      </w:r>
    </w:p>
    <w:p w:rsidR="00933321" w:rsidRDefault="006E145E" w:rsidP="006E145E">
      <w:r>
        <w:t>RI 30-3 – Information Necessary for a Competency Determination</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E95093" w:rsidP="00EB14B8">
      <w:pPr>
        <w:ind w:left="720"/>
      </w:pPr>
      <w:r>
        <w:t>Title 5, U. S. Code, Sections 8345(e) and 8466(c) provide that payment due a minor, or an individual mentally incompetent or under legal disability, may be made to the person who is constituted guardian or other fiduciary by the law of the State of residence of the claimant or is otherwise vested with the care of the claimant or his estate.</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A179A1" w:rsidP="00EB14B8">
      <w:pPr>
        <w:ind w:left="720"/>
      </w:pPr>
      <w:r>
        <w:t xml:space="preserve">RI 20-7 is used by the Civil Service Retirement System (CSRS) and the Federal Employees Retirement System (FERS) to collect information from persons who apply to be fiduciaries for annuitants or survivor annuitants who appear to be incapable of handling their own funds or for minor children.  The scope of the information requested includes items relating to the capability and the suitability of the applicant to assume responsibility for the annuitant’s benefit, as well as identifying information from the applicant.  RI 30-3 is an enclosure to RI 20-7 and is needed for adult annuitants who are alleged to be incompetent.  RI 30-3 collects medical information regarding the annuitant’s competency for OPM’s use in evaluating the annuitant’s condition.  Failure to collect this information would make it impossible for OPM to make a determination as to whom to pay and thus could deny payment provided by title 5, U.S. Code, Chapters 83 and 84.  Both forms have been revised with editorial changes. We have updated the Privacy Act Statement on RI 20-7. We added graphic enhancements to the RI 30-3 for readability. The Public Burden Statement meets the requirement of 5 </w:t>
      </w:r>
      <w:smartTag w:uri="urn:schemas-microsoft-com:office:smarttags" w:element="stockticker">
        <w:r>
          <w:t>CFR</w:t>
        </w:r>
      </w:smartTag>
      <w:r>
        <w:t xml:space="preserve"> 1320.8(b)(3).</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DB421C" w:rsidP="00EB14B8">
      <w:pPr>
        <w:ind w:left="720"/>
      </w:pPr>
      <w:r>
        <w:t>The information collected is detailed and can only be obtained from the respondents.  New methods of information technology would do little to reduce the burden on the respondents; they must sign the application attesting to its truth, under penalty of law, to the best of their knowledge.  However, the forms are available in a PDF format on our website and meet our GPEA requirements.</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A11803" w:rsidP="009B7453">
      <w:pPr>
        <w:ind w:left="720"/>
      </w:pPr>
      <w:r>
        <w:t>Applications are filed individually.  Duplication is minimized.</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A11803" w:rsidP="009B7453">
      <w:pPr>
        <w:ind w:left="720"/>
      </w:pPr>
      <w:r>
        <w:t>This information is collected only when OPM must determine whether a person properly should be responsible for handling benefits for an incompetent annuitant.  Less frequent collections would be to the disadvantage of the incompetent annuitant.</w:t>
      </w:r>
    </w:p>
    <w:p w:rsidR="00933321" w:rsidRDefault="00933321"/>
    <w:p w:rsidR="00CD456B" w:rsidRDefault="00E54E94" w:rsidP="00CD456B">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CD456B" w:rsidRDefault="00CD456B" w:rsidP="00CD456B">
      <w:pPr>
        <w:pStyle w:val="ListParagraph"/>
        <w:numPr>
          <w:ilvl w:val="0"/>
          <w:numId w:val="3"/>
        </w:numPr>
        <w:shd w:val="pct25" w:color="auto" w:fill="auto"/>
        <w:tabs>
          <w:tab w:val="left" w:pos="-720"/>
        </w:tabs>
        <w:suppressAutoHyphens/>
      </w:pPr>
      <w:r>
        <w:t>requiring respondents to report information to the agency more often than quarterly;</w:t>
      </w:r>
    </w:p>
    <w:p w:rsidR="00CD456B" w:rsidRDefault="00CD456B" w:rsidP="00CD456B">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CD456B" w:rsidRDefault="00CD456B" w:rsidP="00CD456B">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CD456B" w:rsidRDefault="00CD456B" w:rsidP="00CD456B">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CD456B" w:rsidRDefault="00CD456B" w:rsidP="00CD456B">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CD456B" w:rsidRDefault="00CD456B" w:rsidP="00CD456B">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CD456B" w:rsidRDefault="00CD456B" w:rsidP="00CD456B">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CD456B" w:rsidP="00CD456B">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RDefault="00E54E94" w:rsidP="00E54E94">
      <w:pPr>
        <w:ind w:left="720"/>
      </w:pPr>
    </w:p>
    <w:p w:rsidR="00933321" w:rsidRDefault="0077330B" w:rsidP="00E54E94">
      <w:pPr>
        <w:ind w:left="720"/>
      </w:pPr>
      <w:r>
        <w:t>There are no special circumstances involved in the collection of this information.</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E82F15" w:rsidP="00E54E94">
      <w:pPr>
        <w:ind w:left="720"/>
      </w:pPr>
      <w:r>
        <w:t>On April 13, 2017, a 60 Day Federal Register Notice was published at 82 FR 17891. There were no comments received.</w:t>
      </w:r>
      <w:r w:rsidR="00E54E94" w:rsidRPr="00741061">
        <w:t xml:space="preserve">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DD68F3" w:rsidP="00E54E94">
      <w:pPr>
        <w:spacing w:before="240"/>
        <w:ind w:left="720"/>
      </w:pPr>
      <w:r>
        <w:t>This information collection includes questions about the annuitant’s medical condition; this information is considered private and is protected by OPM as described in item 10 above.  The information must be collected, if there is no court-appointed guardian, in order for OPM to determine whether the annuitant is incompetent.  The submission of this information is voluntary.  However, if it is not submitted, OPM cannot determine whether the annuitant needs a representative payee.</w:t>
      </w:r>
    </w:p>
    <w:p w:rsidR="00A10BE7" w:rsidRDefault="00A10BE7" w:rsidP="00E54E94">
      <w:pPr>
        <w:spacing w:before="240"/>
        <w:ind w:left="720"/>
      </w:pPr>
    </w:p>
    <w:p w:rsidR="00E54E94" w:rsidRPr="00741061" w:rsidRDefault="00E54E94" w:rsidP="00763750">
      <w:pPr>
        <w:pStyle w:val="ListParagraph"/>
        <w:shd w:val="pct25" w:color="auto" w:fill="FFFFFF"/>
        <w:tabs>
          <w:tab w:val="left" w:pos="-720"/>
        </w:tabs>
        <w:suppressAutoHyphens/>
        <w:ind w:left="288"/>
      </w:pPr>
      <w:r w:rsidRPr="00741061">
        <w:t xml:space="preserve">12. </w:t>
      </w:r>
      <w:r w:rsidR="00763750">
        <w:tab/>
      </w:r>
      <w:r w:rsidRPr="00741061">
        <w:t>Provide estimates of the hour burden of the collection of information.  The statement</w:t>
      </w:r>
      <w:r w:rsidR="00763750">
        <w:br/>
        <w:t xml:space="preserve">      </w:t>
      </w:r>
      <w:r w:rsidRPr="00741061">
        <w:t xml:space="preserve"> 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3077A1" w:rsidP="00A10BE7">
      <w:pPr>
        <w:spacing w:before="240"/>
        <w:ind w:left="720"/>
      </w:pPr>
      <w:r>
        <w:t>The number of respondents to RI 20-7 is 12,480; we estimate that it takes 30 minutes to fill out the form.  The annual burden is 6,240 hours.  The number of respondents to RI 30-3 is 250; we estimate it takes 60 minutes to fill out the form.  The annual burden is 250 hours.  The total burden is 6,490 hours.  This burden is not expected to vary substantially.</w:t>
      </w:r>
      <w:r w:rsidR="00A10BE7" w:rsidRPr="00A10BE7">
        <w:t xml:space="preserve"> </w:t>
      </w:r>
      <w:r w:rsidR="00EE35E7">
        <w:br/>
      </w:r>
    </w:p>
    <w:tbl>
      <w:tblPr>
        <w:tblStyle w:val="TableGrid"/>
        <w:tblW w:w="0" w:type="auto"/>
        <w:tblInd w:w="720" w:type="dxa"/>
        <w:tblLook w:val="04A0" w:firstRow="1" w:lastRow="0" w:firstColumn="1" w:lastColumn="0" w:noHBand="0" w:noVBand="1"/>
      </w:tblPr>
      <w:tblGrid>
        <w:gridCol w:w="1286"/>
        <w:gridCol w:w="981"/>
        <w:gridCol w:w="1230"/>
        <w:gridCol w:w="1165"/>
        <w:gridCol w:w="1074"/>
        <w:gridCol w:w="957"/>
        <w:gridCol w:w="998"/>
        <w:gridCol w:w="1165"/>
      </w:tblGrid>
      <w:tr w:rsidR="00215562" w:rsidTr="00215562">
        <w:trPr>
          <w:cantSplit/>
        </w:trPr>
        <w:tc>
          <w:tcPr>
            <w:tcW w:w="128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98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65"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74"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5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98"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5"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215562">
        <w:trPr>
          <w:cantSplit/>
        </w:trPr>
        <w:tc>
          <w:tcPr>
            <w:tcW w:w="1286" w:type="dxa"/>
          </w:tcPr>
          <w:p w:rsidR="00EE35E7" w:rsidRPr="008869F8" w:rsidRDefault="003077A1" w:rsidP="00EE35E7">
            <w:pPr>
              <w:spacing w:before="240"/>
              <w:rPr>
                <w:sz w:val="18"/>
                <w:szCs w:val="18"/>
              </w:rPr>
            </w:pPr>
            <w:r>
              <w:rPr>
                <w:sz w:val="18"/>
                <w:szCs w:val="18"/>
              </w:rPr>
              <w:t>Representative Payee</w:t>
            </w:r>
          </w:p>
        </w:tc>
        <w:tc>
          <w:tcPr>
            <w:tcW w:w="981" w:type="dxa"/>
          </w:tcPr>
          <w:p w:rsidR="00EE35E7" w:rsidRPr="008869F8" w:rsidRDefault="008869F8" w:rsidP="003077A1">
            <w:pPr>
              <w:spacing w:before="240"/>
              <w:rPr>
                <w:sz w:val="18"/>
                <w:szCs w:val="18"/>
              </w:rPr>
            </w:pPr>
            <w:r>
              <w:rPr>
                <w:sz w:val="18"/>
                <w:szCs w:val="18"/>
              </w:rPr>
              <w:t>RI 2</w:t>
            </w:r>
            <w:r w:rsidR="003077A1">
              <w:rPr>
                <w:sz w:val="18"/>
                <w:szCs w:val="18"/>
              </w:rPr>
              <w:t>0-7</w:t>
            </w:r>
          </w:p>
        </w:tc>
        <w:tc>
          <w:tcPr>
            <w:tcW w:w="1230" w:type="dxa"/>
          </w:tcPr>
          <w:p w:rsidR="00EE35E7" w:rsidRPr="008869F8" w:rsidRDefault="003077A1" w:rsidP="008869F8">
            <w:pPr>
              <w:spacing w:before="240"/>
              <w:jc w:val="right"/>
              <w:rPr>
                <w:sz w:val="18"/>
                <w:szCs w:val="18"/>
              </w:rPr>
            </w:pPr>
            <w:r>
              <w:rPr>
                <w:sz w:val="18"/>
                <w:szCs w:val="18"/>
              </w:rPr>
              <w:t>12,480</w:t>
            </w:r>
          </w:p>
        </w:tc>
        <w:tc>
          <w:tcPr>
            <w:tcW w:w="1165" w:type="dxa"/>
          </w:tcPr>
          <w:p w:rsidR="00EE35E7" w:rsidRPr="008869F8" w:rsidRDefault="008869F8" w:rsidP="008869F8">
            <w:pPr>
              <w:spacing w:before="240"/>
              <w:jc w:val="right"/>
              <w:rPr>
                <w:sz w:val="18"/>
                <w:szCs w:val="18"/>
              </w:rPr>
            </w:pPr>
            <w:r>
              <w:rPr>
                <w:sz w:val="18"/>
                <w:szCs w:val="18"/>
              </w:rPr>
              <w:t>1</w:t>
            </w:r>
          </w:p>
        </w:tc>
        <w:tc>
          <w:tcPr>
            <w:tcW w:w="1074" w:type="dxa"/>
          </w:tcPr>
          <w:p w:rsidR="00EE35E7" w:rsidRPr="008869F8" w:rsidRDefault="003077A1" w:rsidP="008869F8">
            <w:pPr>
              <w:spacing w:before="240"/>
              <w:jc w:val="right"/>
              <w:rPr>
                <w:sz w:val="18"/>
                <w:szCs w:val="18"/>
              </w:rPr>
            </w:pPr>
            <w:r>
              <w:rPr>
                <w:sz w:val="18"/>
                <w:szCs w:val="18"/>
              </w:rPr>
              <w:t>30 minutes</w:t>
            </w:r>
          </w:p>
        </w:tc>
        <w:tc>
          <w:tcPr>
            <w:tcW w:w="957" w:type="dxa"/>
          </w:tcPr>
          <w:p w:rsidR="00EE35E7" w:rsidRPr="008869F8" w:rsidRDefault="003077A1" w:rsidP="008869F8">
            <w:pPr>
              <w:spacing w:before="240"/>
              <w:jc w:val="right"/>
              <w:rPr>
                <w:sz w:val="18"/>
                <w:szCs w:val="18"/>
              </w:rPr>
            </w:pPr>
            <w:r>
              <w:rPr>
                <w:sz w:val="18"/>
                <w:szCs w:val="18"/>
              </w:rPr>
              <w:t>6,24</w:t>
            </w:r>
            <w:r w:rsidR="008869F8">
              <w:rPr>
                <w:sz w:val="18"/>
                <w:szCs w:val="18"/>
              </w:rPr>
              <w:t>0</w:t>
            </w:r>
          </w:p>
        </w:tc>
        <w:tc>
          <w:tcPr>
            <w:tcW w:w="998"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65" w:type="dxa"/>
          </w:tcPr>
          <w:p w:rsidR="00EE35E7" w:rsidRPr="008869F8" w:rsidRDefault="002A25A7" w:rsidP="002A25A7">
            <w:pPr>
              <w:spacing w:before="240"/>
              <w:jc w:val="center"/>
              <w:rPr>
                <w:sz w:val="18"/>
                <w:szCs w:val="18"/>
              </w:rPr>
            </w:pPr>
            <w:r>
              <w:rPr>
                <w:sz w:val="18"/>
                <w:szCs w:val="18"/>
              </w:rPr>
              <w:t>$0</w:t>
            </w:r>
          </w:p>
        </w:tc>
      </w:tr>
      <w:tr w:rsidR="003077A1" w:rsidTr="00215562">
        <w:trPr>
          <w:cantSplit/>
        </w:trPr>
        <w:tc>
          <w:tcPr>
            <w:tcW w:w="1286" w:type="dxa"/>
          </w:tcPr>
          <w:p w:rsidR="003077A1" w:rsidRDefault="003077A1" w:rsidP="00EE35E7">
            <w:pPr>
              <w:spacing w:before="240"/>
              <w:rPr>
                <w:sz w:val="18"/>
                <w:szCs w:val="18"/>
              </w:rPr>
            </w:pPr>
            <w:r>
              <w:rPr>
                <w:sz w:val="18"/>
                <w:szCs w:val="18"/>
              </w:rPr>
              <w:t>Information Necessary for a Competency Determination</w:t>
            </w:r>
          </w:p>
        </w:tc>
        <w:tc>
          <w:tcPr>
            <w:tcW w:w="981" w:type="dxa"/>
          </w:tcPr>
          <w:p w:rsidR="003077A1" w:rsidRDefault="003077A1" w:rsidP="003077A1">
            <w:pPr>
              <w:spacing w:before="240"/>
              <w:rPr>
                <w:sz w:val="18"/>
                <w:szCs w:val="18"/>
              </w:rPr>
            </w:pPr>
            <w:r>
              <w:rPr>
                <w:sz w:val="18"/>
                <w:szCs w:val="18"/>
              </w:rPr>
              <w:t>RI 30-3</w:t>
            </w:r>
          </w:p>
        </w:tc>
        <w:tc>
          <w:tcPr>
            <w:tcW w:w="1230" w:type="dxa"/>
          </w:tcPr>
          <w:p w:rsidR="003077A1" w:rsidRDefault="003077A1" w:rsidP="008869F8">
            <w:pPr>
              <w:spacing w:before="240"/>
              <w:jc w:val="right"/>
              <w:rPr>
                <w:sz w:val="18"/>
                <w:szCs w:val="18"/>
              </w:rPr>
            </w:pPr>
            <w:r>
              <w:rPr>
                <w:sz w:val="18"/>
                <w:szCs w:val="18"/>
              </w:rPr>
              <w:t>250</w:t>
            </w:r>
          </w:p>
        </w:tc>
        <w:tc>
          <w:tcPr>
            <w:tcW w:w="1165" w:type="dxa"/>
          </w:tcPr>
          <w:p w:rsidR="003077A1" w:rsidRDefault="003077A1" w:rsidP="008869F8">
            <w:pPr>
              <w:spacing w:before="240"/>
              <w:jc w:val="right"/>
              <w:rPr>
                <w:sz w:val="18"/>
                <w:szCs w:val="18"/>
              </w:rPr>
            </w:pPr>
            <w:r>
              <w:rPr>
                <w:sz w:val="18"/>
                <w:szCs w:val="18"/>
              </w:rPr>
              <w:t>1</w:t>
            </w:r>
          </w:p>
        </w:tc>
        <w:tc>
          <w:tcPr>
            <w:tcW w:w="1074" w:type="dxa"/>
          </w:tcPr>
          <w:p w:rsidR="003077A1" w:rsidRDefault="003077A1" w:rsidP="008869F8">
            <w:pPr>
              <w:spacing w:before="240"/>
              <w:jc w:val="right"/>
              <w:rPr>
                <w:sz w:val="18"/>
                <w:szCs w:val="18"/>
              </w:rPr>
            </w:pPr>
            <w:r>
              <w:rPr>
                <w:sz w:val="18"/>
                <w:szCs w:val="18"/>
              </w:rPr>
              <w:t>1 hour</w:t>
            </w:r>
          </w:p>
        </w:tc>
        <w:tc>
          <w:tcPr>
            <w:tcW w:w="957" w:type="dxa"/>
          </w:tcPr>
          <w:p w:rsidR="003077A1" w:rsidRDefault="003077A1" w:rsidP="008869F8">
            <w:pPr>
              <w:spacing w:before="240"/>
              <w:jc w:val="right"/>
              <w:rPr>
                <w:sz w:val="18"/>
                <w:szCs w:val="18"/>
              </w:rPr>
            </w:pPr>
            <w:r>
              <w:rPr>
                <w:sz w:val="18"/>
                <w:szCs w:val="18"/>
              </w:rPr>
              <w:t>250</w:t>
            </w:r>
          </w:p>
        </w:tc>
        <w:tc>
          <w:tcPr>
            <w:tcW w:w="998" w:type="dxa"/>
          </w:tcPr>
          <w:p w:rsidR="003077A1" w:rsidRDefault="003077A1" w:rsidP="002A25A7">
            <w:pPr>
              <w:spacing w:before="240"/>
              <w:jc w:val="center"/>
              <w:rPr>
                <w:sz w:val="18"/>
                <w:szCs w:val="18"/>
              </w:rPr>
            </w:pPr>
            <w:r>
              <w:rPr>
                <w:sz w:val="18"/>
                <w:szCs w:val="18"/>
              </w:rPr>
              <w:t>$0</w:t>
            </w:r>
          </w:p>
        </w:tc>
        <w:tc>
          <w:tcPr>
            <w:tcW w:w="1165" w:type="dxa"/>
          </w:tcPr>
          <w:p w:rsidR="003077A1" w:rsidRDefault="003077A1" w:rsidP="002A25A7">
            <w:pPr>
              <w:spacing w:before="240"/>
              <w:jc w:val="center"/>
              <w:rPr>
                <w:sz w:val="18"/>
                <w:szCs w:val="18"/>
              </w:rPr>
            </w:pPr>
            <w:r>
              <w:rPr>
                <w:sz w:val="18"/>
                <w:szCs w:val="18"/>
              </w:rPr>
              <w:t>$0</w:t>
            </w:r>
          </w:p>
        </w:tc>
      </w:tr>
    </w:tbl>
    <w:p w:rsidR="00933321" w:rsidRDefault="00215562" w:rsidP="00A10BE7">
      <w:pPr>
        <w:spacing w:before="240"/>
        <w:ind w:left="720"/>
      </w:pPr>
      <w:r>
        <w:t>Although recent physicians’ reports may be required so that we can make a competency determination, there is no way to estimate the cost to the annuitants because they are paying for their continuing medical care anyway.  They do not necessarily have to get a special medical evaluation to fulfill the OPM requirements.</w:t>
      </w:r>
    </w:p>
    <w:p w:rsidR="00933321" w:rsidRDefault="00933321" w:rsidP="00A10BE7">
      <w:pPr>
        <w:spacing w:before="240"/>
        <w:ind w:left="720"/>
      </w:pPr>
    </w:p>
    <w:p w:rsidR="00215562" w:rsidRDefault="00215562" w:rsidP="00A10BE7">
      <w:pPr>
        <w:spacing w:before="240"/>
        <w:ind w:left="720"/>
      </w:pPr>
    </w:p>
    <w:p w:rsidR="00A10BE7" w:rsidRPr="00741061" w:rsidRDefault="00A10BE7" w:rsidP="00255833">
      <w:pPr>
        <w:pStyle w:val="ListParagraph"/>
        <w:shd w:val="pct25" w:color="auto" w:fill="auto"/>
        <w:tabs>
          <w:tab w:val="left" w:pos="-720"/>
        </w:tabs>
        <w:suppressAutoHyphens/>
        <w:ind w:left="288"/>
      </w:pPr>
      <w:r w:rsidRPr="00741061">
        <w:t xml:space="preserve">13.   Provide an estimate of the total annual cost burden to respondents or </w:t>
      </w:r>
      <w:r w:rsidR="00FC7E12" w:rsidRPr="00741061">
        <w:t>record-keepers</w:t>
      </w:r>
      <w:r w:rsidRPr="00741061">
        <w:t xml:space="preserve"> </w:t>
      </w:r>
      <w:r w:rsidR="00255833">
        <w:br/>
        <w:t xml:space="preserve">        </w:t>
      </w:r>
      <w:r w:rsidRPr="00741061">
        <w:t>resulting from the collection of information.  (Do not include the cost of any hour burden</w:t>
      </w:r>
      <w:r w:rsidR="00255833">
        <w:br/>
        <w:t xml:space="preserve">       </w:t>
      </w:r>
      <w:r w:rsidRPr="00741061">
        <w:t xml:space="preserve">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063C11" w:rsidP="00063C11">
      <w:pPr>
        <w:spacing w:before="240"/>
        <w:ind w:left="288"/>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063C11" w:rsidRDefault="00A3186B" w:rsidP="00A10BE7">
      <w:pPr>
        <w:spacing w:before="240"/>
        <w:ind w:left="720"/>
      </w:pPr>
      <w:r>
        <w:t>The annualized cost to the Federal government is $198,850.  This cost includes employee salary hours devoted to the program, forms cost, and overhead.</w:t>
      </w:r>
    </w:p>
    <w:p w:rsidR="00063C11" w:rsidRDefault="00063C11" w:rsidP="00A10BE7">
      <w:pPr>
        <w:spacing w:before="240"/>
        <w:ind w:left="720"/>
      </w:pPr>
    </w:p>
    <w:p w:rsidR="00A10BE7" w:rsidRPr="00741061" w:rsidRDefault="00A10BE7" w:rsidP="00255833">
      <w:pPr>
        <w:pStyle w:val="ListParagraph"/>
        <w:shd w:val="pct25" w:color="auto" w:fill="auto"/>
        <w:tabs>
          <w:tab w:val="left" w:pos="-720"/>
        </w:tabs>
        <w:suppressAutoHyphens/>
        <w:ind w:left="288"/>
      </w:pPr>
      <w:r w:rsidRPr="00741061">
        <w:t>15.  Explain the reasons for any program changes or adjustments reported in Items 13 or 14 of</w:t>
      </w:r>
      <w:r w:rsidR="00255833">
        <w:br/>
        <w:t xml:space="preserve">      </w:t>
      </w:r>
      <w:r w:rsidRPr="00741061">
        <w:t xml:space="preserve"> the OMB Form 83-I.  Changes in hour burden, i.e., program changes or adjustments made</w:t>
      </w:r>
      <w:r w:rsidR="00255833">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255833">
        <w:br/>
        <w:t xml:space="preserve">      </w:t>
      </w:r>
      <w:r w:rsidRPr="00741061">
        <w:t xml:space="preserve"> result of deliberate Federal government action.  All new collections and any subsequent</w:t>
      </w:r>
      <w:r w:rsidR="00255833">
        <w:br/>
        <w:t xml:space="preserve">      </w:t>
      </w:r>
      <w:r w:rsidRPr="00741061">
        <w:t xml:space="preserve"> revisions of existing collections (e.g., the addition or deletion of questions) are recorded</w:t>
      </w:r>
      <w:r w:rsidR="00255833">
        <w:br/>
        <w:t xml:space="preserve">      </w:t>
      </w:r>
      <w:r w:rsidRPr="00741061">
        <w:t>as program changes.  An adjustment is a change that is not the result of a deliberate</w:t>
      </w:r>
      <w:r w:rsidR="00255833">
        <w:br/>
        <w:t xml:space="preserve">     </w:t>
      </w:r>
      <w:r w:rsidRPr="00741061">
        <w:t xml:space="preserve"> Federal government action.  These changes that result from new estimates or actions not</w:t>
      </w:r>
      <w:r w:rsidR="00255833">
        <w:br/>
        <w:t xml:space="preserve">     </w:t>
      </w:r>
      <w:r w:rsidRPr="00741061">
        <w:t xml:space="preserve">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CC5C33">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CC5C33">
        <w:br/>
        <w:t xml:space="preserve">       </w:t>
      </w:r>
      <w:r w:rsidRPr="00741061">
        <w:t>tabulation and publication.  Address any complex analytical techniques that will be used.</w:t>
      </w:r>
      <w:r w:rsidR="00CC5C33">
        <w:br/>
        <w:t xml:space="preserve">     </w:t>
      </w:r>
      <w:r w:rsidRPr="00741061">
        <w:t xml:space="preserve">  Provide the time schedule for the entire project, including beginning and ending dates of</w:t>
      </w:r>
      <w:r w:rsidR="00CC5C33">
        <w:br/>
        <w:t xml:space="preserve">      </w:t>
      </w:r>
      <w:r w:rsidRPr="00741061">
        <w:t xml:space="preserve">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CC5C33" w:rsidRPr="00741061" w:rsidRDefault="00CC5C33" w:rsidP="00A10BE7">
      <w:pPr>
        <w:pStyle w:val="ListParagraph"/>
      </w:pPr>
    </w:p>
    <w:p w:rsidR="00A10BE7" w:rsidRPr="00741061" w:rsidRDefault="00A10BE7" w:rsidP="00CC5C33">
      <w:pPr>
        <w:pStyle w:val="ListParagraph"/>
        <w:shd w:val="pct25" w:color="auto" w:fill="auto"/>
        <w:tabs>
          <w:tab w:val="left" w:pos="-720"/>
        </w:tabs>
        <w:suppressAutoHyphens/>
        <w:ind w:left="288"/>
      </w:pPr>
      <w:r w:rsidRPr="00741061">
        <w:t xml:space="preserve">17.  If seeking approval to not display the expiration date for OMB approval of the </w:t>
      </w:r>
      <w:r w:rsidR="00CC5C33">
        <w:br/>
        <w:t xml:space="preserve">       </w:t>
      </w:r>
      <w:r w:rsidRPr="00741061">
        <w:t>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CC5C33">
      <w:pPr>
        <w:pStyle w:val="ListParagraph"/>
        <w:shd w:val="pct25" w:color="auto" w:fill="auto"/>
        <w:tabs>
          <w:tab w:val="left" w:pos="-720"/>
        </w:tabs>
        <w:suppressAutoHyphens/>
        <w:ind w:left="288"/>
      </w:pPr>
      <w:r w:rsidRPr="00741061">
        <w:t>18.  Explain each exception to the certification statement identified in Item 19 “Certification</w:t>
      </w:r>
      <w:r w:rsidR="00CC5C33">
        <w:br/>
        <w:t xml:space="preserve">      </w:t>
      </w:r>
      <w:r w:rsidRPr="00741061">
        <w:t xml:space="preserve">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63C11"/>
    <w:rsid w:val="000D3A6C"/>
    <w:rsid w:val="00215562"/>
    <w:rsid w:val="00255833"/>
    <w:rsid w:val="002A25A7"/>
    <w:rsid w:val="002C1F76"/>
    <w:rsid w:val="002C52D2"/>
    <w:rsid w:val="003016AB"/>
    <w:rsid w:val="003077A1"/>
    <w:rsid w:val="00332AC9"/>
    <w:rsid w:val="003F0958"/>
    <w:rsid w:val="00433131"/>
    <w:rsid w:val="00461DF9"/>
    <w:rsid w:val="00513374"/>
    <w:rsid w:val="00665692"/>
    <w:rsid w:val="006E145E"/>
    <w:rsid w:val="00723DAF"/>
    <w:rsid w:val="007323C2"/>
    <w:rsid w:val="00763750"/>
    <w:rsid w:val="007678A9"/>
    <w:rsid w:val="0077330B"/>
    <w:rsid w:val="00785DBB"/>
    <w:rsid w:val="007D1502"/>
    <w:rsid w:val="007E0CA7"/>
    <w:rsid w:val="008869F8"/>
    <w:rsid w:val="00933321"/>
    <w:rsid w:val="00993A7C"/>
    <w:rsid w:val="009B7453"/>
    <w:rsid w:val="00A10BE7"/>
    <w:rsid w:val="00A11803"/>
    <w:rsid w:val="00A179A1"/>
    <w:rsid w:val="00A3186B"/>
    <w:rsid w:val="00A65644"/>
    <w:rsid w:val="00BA1768"/>
    <w:rsid w:val="00BE2F13"/>
    <w:rsid w:val="00C34D5B"/>
    <w:rsid w:val="00CC5C33"/>
    <w:rsid w:val="00CD456B"/>
    <w:rsid w:val="00D5461A"/>
    <w:rsid w:val="00DB421C"/>
    <w:rsid w:val="00DD68F3"/>
    <w:rsid w:val="00E05B45"/>
    <w:rsid w:val="00E54E94"/>
    <w:rsid w:val="00E82F15"/>
    <w:rsid w:val="00E95093"/>
    <w:rsid w:val="00EB14B8"/>
    <w:rsid w:val="00EE35E7"/>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2018-01-19T17:35:00Z</dcterms:created>
  <dcterms:modified xsi:type="dcterms:W3CDTF">2018-01-19T17:35:00Z</dcterms:modified>
</cp:coreProperties>
</file>